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eastAsia="宋体" w:cs="Times New Roman"/>
          <w:b/>
          <w:bCs/>
          <w:color w:val="000000" w:themeColor="text1"/>
          <w:sz w:val="48"/>
          <w:szCs w:val="48"/>
          <w:lang w:val="en-US" w:eastAsia="zh-CN" w:bidi="ar-SA"/>
          <w14:textFill>
            <w14:solidFill>
              <w14:schemeClr w14:val="tx1"/>
            </w14:solidFill>
          </w14:textFill>
        </w:rPr>
      </w:pPr>
      <w:r/>
      <w:bookmarkStart w:id="0" w:name="OLE_LINK12"/>
      <w:r/>
      <w:bookmarkStart w:id="1" w:name="OLE_LINK5"/>
      <w:r>
        <w:rPr>
          <w:rFonts w:hint="eastAsia" w:cs="Times New Roman"/>
          <w:b/>
          <w:bCs/>
          <w:color w:val="000000" w:themeColor="text1"/>
          <w:sz w:val="48"/>
          <w:szCs w:val="48"/>
          <w:lang w:val="en-US" w:eastAsia="zh-CN" w:bidi="ar-SA"/>
          <w14:textFill>
            <w14:solidFill>
              <w14:schemeClr w14:val="tx1"/>
            </w14:solidFill>
          </w14:textFill>
        </w:rPr>
        <w:t xml:space="preserve"> </w:t>
      </w:r>
      <w:r/>
    </w:p>
    <w:p>
      <w:pPr>
        <w:pStyle w:val="903"/>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903"/>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903"/>
        <w:jc w:val="center"/>
        <w:rPr>
          <w:rFonts w:cs="Times New Roman"/>
          <w:b/>
          <w:bCs/>
          <w:color w:val="000000" w:themeColor="text1"/>
          <w:sz w:val="48"/>
          <w:szCs w:val="48"/>
          <w:lang w:val="en-US" w:bidi="ar-SA"/>
          <w14:textFill>
            <w14:solidFill>
              <w14:schemeClr w14:val="tx1"/>
            </w14:solidFill>
          </w14:textFill>
        </w:rPr>
      </w:pPr>
      <w:r>
        <w:rPr>
          <w:rFonts w:hint="eastAsia" w:cs="Times New Roman"/>
          <w:b/>
          <w:bCs/>
          <w:color w:val="000000" w:themeColor="text1"/>
          <w:sz w:val="48"/>
          <w:szCs w:val="48"/>
          <w:lang w:val="en-US" w:bidi="ar-SA"/>
          <w14:textFill>
            <w14:solidFill>
              <w14:schemeClr w14:val="tx1"/>
            </w14:solidFill>
          </w14:textFill>
        </w:rPr>
        <w:t xml:space="preserve">江苏开放大学环境生态学院实验室建设及安装项目</w:t>
      </w:r>
      <w:r/>
    </w:p>
    <w:p>
      <w:pPr>
        <w:pStyle w:val="903"/>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903"/>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jc w:val="center"/>
        <w:spacing w:line="360" w:lineRule="auto"/>
        <w:widowControl/>
        <w:rPr>
          <w:rFonts w:hAnsi="Times New Roman" w:cs="Times New Roman"/>
          <w:b/>
          <w:bCs/>
          <w:color w:val="000000" w:themeColor="text1"/>
          <w:sz w:val="48"/>
          <w:szCs w:val="48"/>
          <w:lang w:val="en-US" w:bidi="ar-SA"/>
          <w14:textFill>
            <w14:solidFill>
              <w14:schemeClr w14:val="tx1"/>
            </w14:solidFill>
          </w14:textFill>
        </w:rPr>
      </w:pPr>
      <w:r>
        <w:rPr>
          <w:rFonts w:hAnsi="Times New Roman" w:cs="Times New Roman"/>
          <w:b/>
          <w:bCs/>
          <w:color w:val="000000" w:themeColor="text1"/>
          <w:sz w:val="48"/>
          <w:szCs w:val="48"/>
          <w:lang w:val="en-US" w:bidi="ar-SA"/>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15875" b="1905"/>
                <wp:docPr id="5"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hAnsi="Times New Roman" w:cs="Times New Roman"/>
          <w:b/>
          <w:bCs/>
          <w:color w:val="000000" w:themeColor="text1"/>
          <w:sz w:val="72"/>
          <w:szCs w:val="72"/>
          <w:lang w:val="en-US" w:bidi="ar-SA"/>
          <w14:textFill>
            <w14:solidFill>
              <w14:schemeClr w14:val="tx1"/>
            </w14:solidFill>
          </w14:textFill>
        </w:rPr>
      </w:pPr>
      <w:r>
        <w:rPr>
          <w:rFonts w:hint="eastAsia" w:cs="Times New Roman"/>
          <w:b/>
          <w:bCs/>
          <w:color w:val="000000" w:themeColor="text1"/>
          <w:sz w:val="72"/>
          <w:szCs w:val="72"/>
          <w:lang w:val="en-US" w:bidi="ar-SA"/>
          <w14:textFill>
            <w14:solidFill>
              <w14:schemeClr w14:val="tx1"/>
            </w14:solidFill>
          </w14:textFill>
        </w:rPr>
        <w:t xml:space="preserve">招标文件</w:t>
      </w:r>
      <w:r/>
    </w:p>
    <w:p>
      <w:pPr>
        <w:jc w:val="center"/>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项目编号：</w:t>
      </w:r>
      <w:r>
        <w:rPr>
          <w:rFonts w:ascii="仿宋" w:hAnsi="仿宋" w:eastAsia="仿宋" w:cs="仿宋"/>
          <w:b/>
          <w:bCs/>
          <w:color w:val="000000"/>
          <w:sz w:val="36"/>
          <w:szCs w:val="28"/>
          <w:highlight w:val="white"/>
        </w:rPr>
        <w:t xml:space="preserve">JSZC-320000-SNZX-G2026-0046</w:t>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采购人：江苏开放大学</w:t>
      </w:r>
      <w:r/>
    </w:p>
    <w:p>
      <w:pPr>
        <w:ind w:left="660" w:firstLine="723"/>
        <w:spacing w:line="360" w:lineRule="auto"/>
        <w:widowControl/>
        <w:rPr>
          <w:rFonts w:hAnsi="Times New Roman"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招标代理机构：南京苏宁工程咨询有限公司</w:t>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日期：二〇二六年四月</w:t>
      </w:r>
      <w:r>
        <w:rPr>
          <w:rFonts w:hint="eastAsia" w:cs="Times New Roman"/>
          <w:b/>
          <w:color w:val="000000" w:themeColor="text1"/>
          <w:sz w:val="36"/>
          <w:szCs w:val="36"/>
          <w:lang w:val="en-US" w:bidi="ar-SA"/>
          <w14:textFill>
            <w14:solidFill>
              <w14:schemeClr w14:val="tx1"/>
            </w14:solidFill>
          </w14:textFill>
        </w:rPr>
        <w:br w:type="page" w:clear="all"/>
      </w:r>
      <w:r/>
    </w:p>
    <w:sdt>
      <w:sdtPr>
        <w15:appearance w15:val="boundingBox"/>
        <w:id w:val="147453953"/>
        <w:docPartObj>
          <w:docPartGallery w:val="Table of Contents"/>
          <w:docPartUnique w:val="true"/>
        </w:docPartObj>
        <w:rPr>
          <w:rFonts w:hint="eastAsia"/>
          <w:color w:val="000000" w:themeColor="text1"/>
          <w:sz w:val="28"/>
          <w:szCs w:val="28"/>
          <w14:textFill>
            <w14:solidFill>
              <w14:schemeClr w14:val="tx1"/>
            </w14:solidFill>
          </w14:textFill>
        </w:rPr>
      </w:sdtPr>
      <w:sdtContent>
        <w:p>
          <w:pPr>
            <w:jc w:val="center"/>
            <w:rPr>
              <w:rFonts w:ascii="黑体" w:hAnsi="黑体" w:eastAsia="黑体" w:cs="黑体"/>
              <w:color w:val="000000" w:themeColor="text1"/>
              <w:sz w:val="44"/>
              <w:szCs w:val="44"/>
              <w14:textFill>
                <w14:solidFill>
                  <w14:schemeClr w14:val="tx1"/>
                </w14:solidFill>
              </w14:textFill>
            </w:rPr>
          </w:pPr>
          <w:r>
            <w:rPr>
              <w:rFonts w:hint="eastAsia" w:ascii="黑体" w:hAnsi="黑体" w:eastAsia="黑体" w:cs="黑体"/>
              <w:color w:val="000000" w:themeColor="text1"/>
              <w:sz w:val="44"/>
              <w:szCs w:val="44"/>
              <w14:textFill>
                <w14:solidFill>
                  <w14:schemeClr w14:val="tx1"/>
                </w14:solidFill>
              </w14:textFill>
            </w:rPr>
            <w:t xml:space="preserve">目录</w:t>
          </w:r>
          <w:r/>
        </w:p>
        <w:p>
          <w:pPr>
            <w:pStyle w:val="846"/>
            <w:spacing w:line="480" w:lineRule="auto"/>
            <w:tabs>
              <w:tab w:val="right" w:pos="9638" w:leader="dot"/>
            </w:tabs>
            <w:rPr>
              <w:color w:val="000000" w:themeColor="text1"/>
              <w:sz w:val="28"/>
              <w:szCs w:val="28"/>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begin"/>
          </w:r>
          <w:r>
            <w:rPr>
              <w:rFonts w:hint="eastAsia"/>
              <w:color w:val="000000" w:themeColor="text1"/>
              <w:sz w:val="28"/>
              <w:szCs w:val="28"/>
              <w:lang w:val="en-US"/>
              <w14:textFill>
                <w14:solidFill>
                  <w14:schemeClr w14:val="tx1"/>
                </w14:solidFill>
              </w14:textFill>
            </w:rPr>
            <w:instrText xml:space="preserve">TOC \o "1-1" \h \u </w:instrText>
          </w:r>
          <w:r>
            <w:rPr>
              <w:rFonts w:hint="eastAsia"/>
              <w:color w:val="000000" w:themeColor="text1"/>
              <w:sz w:val="28"/>
              <w:szCs w:val="28"/>
              <w:lang w:val="en-US"/>
              <w14:textFill>
                <w14:solidFill>
                  <w14:schemeClr w14:val="tx1"/>
                </w14:solidFill>
              </w14:textFill>
            </w:rPr>
            <w:fldChar w:fldCharType="separate"/>
          </w:r>
          <w:r>
            <w:fldChar w:fldCharType="begin"/>
          </w:r>
          <w:r>
            <w:instrText xml:space="preserve"> HYPERLINK \l "_Toc10358" </w:instrText>
          </w:r>
          <w:r>
            <w:fldChar w:fldCharType="separate"/>
          </w:r>
          <w:r>
            <w:rPr>
              <w:rFonts w:hint="eastAsia"/>
              <w:color w:val="000000" w:themeColor="text1"/>
              <w:sz w:val="28"/>
              <w:szCs w:val="28"/>
              <w14:textFill>
                <w14:solidFill>
                  <w14:schemeClr w14:val="tx1"/>
                </w14:solidFill>
              </w14:textFill>
            </w:rPr>
            <w:t xml:space="preserve">第一章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招标公告</w:t>
          </w:r>
          <w:r>
            <w:rPr>
              <w:rFonts w:hint="eastAsia"/>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fldChar w:fldCharType="begin"/>
          </w:r>
          <w:r>
            <w:rPr>
              <w:rFonts w:hint="eastAsia"/>
              <w:color w:val="000000" w:themeColor="text1"/>
              <w:sz w:val="28"/>
              <w:szCs w:val="28"/>
              <w14:textFill>
                <w14:solidFill>
                  <w14:schemeClr w14:val="tx1"/>
                </w14:solidFill>
              </w14:textFill>
            </w:rPr>
            <w:instrText xml:space="preserve"> PAGEREF _Toc10358 \h </w:instrText>
          </w:r>
          <w:r>
            <w:rPr>
              <w:rFonts w:hint="eastAsia"/>
              <w:color w:val="000000" w:themeColor="text1"/>
              <w:sz w:val="28"/>
              <w:szCs w:val="28"/>
              <w14:textFill>
                <w14:solidFill>
                  <w14:schemeClr w14:val="tx1"/>
                </w14:solidFill>
              </w14:textFill>
            </w:rPr>
            <w:fldChar w:fldCharType="separate"/>
          </w:r>
          <w:r>
            <w:rPr>
              <w:rFonts w:hint="eastAsia"/>
              <w:color w:val="000000" w:themeColor="text1"/>
              <w:sz w:val="28"/>
              <w:szCs w:val="28"/>
              <w14:textFill>
                <w14:solidFill>
                  <w14:schemeClr w14:val="tx1"/>
                </w14:solidFill>
              </w14:textFill>
            </w:rPr>
            <w:t xml:space="preserve">3</w:t>
          </w:r>
          <w:r>
            <w:rPr>
              <w:rFonts w:hint="eastAsia"/>
              <w:color w:val="000000" w:themeColor="text1"/>
              <w:sz w:val="28"/>
              <w:szCs w:val="28"/>
              <w14:textFill>
                <w14:solidFill>
                  <w14:schemeClr w14:val="tx1"/>
                </w14:solidFill>
              </w14:textFill>
            </w:rPr>
            <w:fldChar w:fldCharType="end"/>
          </w:r>
          <w:r>
            <w:rPr>
              <w:rFonts w:hint="eastAsia"/>
              <w:color w:val="000000" w:themeColor="text1"/>
              <w:sz w:val="28"/>
              <w:szCs w:val="28"/>
              <w14:textFill>
                <w14:solidFill>
                  <w14:schemeClr w14:val="tx1"/>
                </w14:solidFill>
              </w14:textFill>
            </w:rPr>
            <w:fldChar w:fldCharType="end"/>
          </w:r>
          <w:r/>
        </w:p>
        <w:p>
          <w:pPr>
            <w:pStyle w:val="846"/>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"_Toc15993" </w:instrText>
          </w:r>
          <w:r>
            <w:fldChar w:fldCharType="separate"/>
          </w:r>
          <w:r>
            <w:rPr>
              <w:rFonts w:hint="eastAsia"/>
              <w:color w:val="000000" w:themeColor="text1"/>
              <w:sz w:val="28"/>
              <w:szCs w:val="28"/>
              <w14:textFill>
                <w14:solidFill>
                  <w14:schemeClr w14:val="tx1"/>
                </w14:solidFill>
              </w14:textFill>
            </w:rPr>
            <w:t xml:space="preserve">第二章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供应商须知</w:t>
          </w:r>
          <w:r>
            <w:rPr>
              <w:rFonts w:hint="eastAsia"/>
              <w:color w:val="000000" w:themeColor="text1"/>
              <w:sz w:val="28"/>
              <w:szCs w:val="28"/>
              <w14:textFill>
                <w14:solidFill>
                  <w14:schemeClr w14:val="tx1"/>
                </w14:solidFill>
              </w14:textFill>
            </w:rPr>
            <w:tab/>
          </w:r>
          <w:r>
            <w:rPr>
              <w:rFonts w:hint="eastAsia"/>
              <w:color w:val="000000" w:themeColor="text1"/>
              <w:sz w:val="28"/>
              <w:szCs w:val="28"/>
              <w:lang w:val="en-US"/>
              <w14:textFill>
                <w14:solidFill>
                  <w14:schemeClr w14:val="tx1"/>
                </w14:solidFill>
              </w14:textFill>
            </w:rPr>
            <w:t xml:space="preserve">6</w:t>
          </w:r>
          <w:r>
            <w:rPr>
              <w:rFonts w:hint="eastAsia"/>
              <w:color w:val="000000" w:themeColor="text1"/>
              <w:sz w:val="28"/>
              <w:szCs w:val="28"/>
              <w:lang w:val="en-US"/>
              <w14:textFill>
                <w14:solidFill>
                  <w14:schemeClr w14:val="tx1"/>
                </w14:solidFill>
              </w14:textFill>
            </w:rPr>
            <w:fldChar w:fldCharType="end"/>
          </w:r>
          <w:r/>
        </w:p>
        <w:p>
          <w:pPr>
            <w:pStyle w:val="846"/>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"_Toc9832" </w:instrText>
          </w:r>
          <w:r>
            <w:fldChar w:fldCharType="separate"/>
          </w:r>
          <w:r>
            <w:rPr>
              <w:rFonts w:hint="eastAsia"/>
              <w:color w:val="000000" w:themeColor="text1"/>
              <w:sz w:val="28"/>
              <w:szCs w:val="28"/>
              <w14:textFill>
                <w14:solidFill>
                  <w14:schemeClr w14:val="tx1"/>
                </w14:solidFill>
              </w14:textFill>
            </w:rPr>
            <w:t xml:space="preserve">第三章 评标标准</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17</w:t>
          </w:r>
          <w:r>
            <w:rPr>
              <w:color w:val="000000" w:themeColor="text1"/>
              <w:sz w:val="28"/>
              <w:szCs w:val="28"/>
              <w14:textFill>
                <w14:solidFill>
                  <w14:schemeClr w14:val="tx1"/>
                </w14:solidFill>
              </w14:textFill>
            </w:rPr>
            <w:fldChar w:fldCharType="end"/>
          </w:r>
          <w:r/>
        </w:p>
        <w:p>
          <w:pPr>
            <w:pStyle w:val="846"/>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"_Toc12644" </w:instrText>
          </w:r>
          <w:r>
            <w:fldChar w:fldCharType="separate"/>
          </w:r>
          <w:r>
            <w:rPr>
              <w:rFonts w:hint="eastAsia"/>
              <w:color w:val="000000" w:themeColor="text1"/>
              <w:sz w:val="28"/>
              <w:szCs w:val="28"/>
              <w14:textFill>
                <w14:solidFill>
                  <w14:schemeClr w14:val="tx1"/>
                </w14:solidFill>
              </w14:textFill>
            </w:rPr>
            <w:t xml:space="preserve">第四章 招标项目的技术规格、要求和数量等</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23</w:t>
          </w:r>
          <w:r>
            <w:rPr>
              <w:color w:val="000000" w:themeColor="text1"/>
              <w:sz w:val="28"/>
              <w:szCs w:val="28"/>
              <w14:textFill>
                <w14:solidFill>
                  <w14:schemeClr w14:val="tx1"/>
                </w14:solidFill>
              </w14:textFill>
            </w:rPr>
            <w:fldChar w:fldCharType="end"/>
          </w:r>
          <w:r/>
        </w:p>
        <w:p>
          <w:pPr>
            <w:pStyle w:val="846"/>
            <w:spacing w:line="480" w:lineRule="auto"/>
            <w:tabs>
              <w:tab w:val="right" w:pos="2400" w:leader="none"/>
              <w:tab w:val="right" w:pos="9638" w:leader="dot"/>
            </w:tabs>
            <w:rPr>
              <w:color w:val="000000" w:themeColor="text1"/>
              <w:sz w:val="28"/>
              <w:szCs w:val="28"/>
              <w14:textFill>
                <w14:solidFill>
                  <w14:schemeClr w14:val="tx1"/>
                </w14:solidFill>
              </w14:textFill>
            </w:rPr>
          </w:pPr>
          <w:r>
            <w:fldChar w:fldCharType="begin"/>
          </w:r>
          <w:r>
            <w:instrText xml:space="preserve"> HYPERLINK \l "_Toc17931" </w:instrText>
          </w:r>
          <w:r>
            <w:fldChar w:fldCharType="separate"/>
          </w:r>
          <w:r>
            <w:rPr>
              <w:rFonts w:hint="eastAsia"/>
              <w:color w:val="000000" w:themeColor="text1"/>
              <w:sz w:val="28"/>
              <w:szCs w:val="28"/>
              <w14:textFill>
                <w14:solidFill>
                  <w14:schemeClr w14:val="tx1"/>
                </w14:solidFill>
              </w14:textFill>
            </w:rPr>
            <w:t xml:space="preserve">第五章</w:t>
          </w:r>
          <w:r>
            <w:rPr>
              <w:rFonts w:hint="eastAsia"/>
              <w:color w:val="000000" w:themeColor="text1"/>
              <w:sz w:val="28"/>
              <w:szCs w:val="28"/>
              <w14:textFill>
                <w14:solidFill>
                  <w14:schemeClr w14:val="tx1"/>
                </w14:solidFill>
              </w14:textFill>
            </w:rPr>
            <w:tab/>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合同主要条款及格式</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61</w:t>
          </w:r>
          <w:r>
            <w:rPr>
              <w:color w:val="000000" w:themeColor="text1"/>
              <w:sz w:val="28"/>
              <w:szCs w:val="28"/>
              <w14:textFill>
                <w14:solidFill>
                  <w14:schemeClr w14:val="tx1"/>
                </w14:solidFill>
              </w14:textFill>
            </w:rPr>
            <w:fldChar w:fldCharType="end"/>
          </w:r>
          <w:r/>
        </w:p>
        <w:p>
          <w:pPr>
            <w:pStyle w:val="846"/>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"_Toc11634" </w:instrText>
          </w:r>
          <w:r>
            <w:fldChar w:fldCharType="separate"/>
          </w:r>
          <w:r>
            <w:rPr>
              <w:rFonts w:hint="eastAsia"/>
              <w:color w:val="000000" w:themeColor="text1"/>
              <w:sz w:val="28"/>
              <w:szCs w:val="28"/>
              <w14:textFill>
                <w14:solidFill>
                  <w14:schemeClr w14:val="tx1"/>
                </w14:solidFill>
              </w14:textFill>
            </w:rPr>
            <w:t xml:space="preserve">第六章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投标文件格式及附件</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67</w:t>
          </w:r>
          <w:r>
            <w:rPr>
              <w:color w:val="000000" w:themeColor="text1"/>
              <w:sz w:val="28"/>
              <w:szCs w:val="28"/>
              <w14:textFill>
                <w14:solidFill>
                  <w14:schemeClr w14:val="tx1"/>
                </w14:solidFill>
              </w14:textFill>
            </w:rPr>
            <w:fldChar w:fldCharType="end"/>
          </w:r>
          <w:r/>
        </w:p>
        <w:p>
          <w:pPr>
            <w:pStyle w:val="903"/>
            <w:ind w:left="0" w:firstLine="0"/>
            <w:spacing w:line="480" w:lineRule="auto"/>
            <w:rPr>
              <w:color w:val="000000" w:themeColor="text1"/>
              <w:lang w:val="en-US"/>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end"/>
          </w:r>
          <w:r/>
        </w:p>
      </w:sdtContent>
    </w:sdt>
    <w:p>
      <w:pPr>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br w:type="page" w:clear="all"/>
      </w:r>
      <w:r/>
    </w:p>
    <w:p>
      <w:pPr>
        <w:jc w:val="center"/>
        <w:spacing w:line="360" w:lineRule="auto"/>
        <w:rPr>
          <w:rFonts w:ascii="黑体" w:eastAsia="黑体"/>
          <w:b/>
          <w:color w:val="000000" w:themeColor="text1"/>
          <w:sz w:val="36"/>
          <w14:textFill>
            <w14:solidFill>
              <w14:schemeClr w14:val="tx1"/>
            </w14:solidFill>
          </w14:textFill>
        </w:rPr>
        <w:outlineLvl w:val="0"/>
      </w:pPr>
      <w:r/>
      <w:bookmarkStart w:id="2" w:name="_Toc10358"/>
      <w:r>
        <w:rPr>
          <w:rFonts w:hint="eastAsia" w:ascii="黑体" w:eastAsia="黑体"/>
          <w:b/>
          <w:color w:val="000000" w:themeColor="text1"/>
          <w:sz w:val="36"/>
          <w14:textFill>
            <w14:solidFill>
              <w14:schemeClr w14:val="tx1"/>
            </w14:solidFill>
          </w14:textFill>
        </w:rPr>
        <w:t xml:space="preserve">第一章</w:t>
      </w:r>
      <w:bookmarkEnd w:id="2"/>
      <w:r>
        <w:rPr>
          <w:rFonts w:hint="eastAsia" w:ascii="黑体" w:eastAsia="黑体"/>
          <w:b/>
          <w:color w:val="000000" w:themeColor="text1"/>
          <w:sz w:val="36"/>
          <w:lang w:val="en-US"/>
          <w14:textFill>
            <w14:solidFill>
              <w14:schemeClr w14:val="tx1"/>
            </w14:solidFill>
          </w14:textFill>
        </w:rPr>
        <w:t xml:space="preserve"> </w:t>
      </w:r>
      <w:r>
        <w:rPr>
          <w:rFonts w:hint="eastAsia" w:ascii="黑体" w:eastAsia="黑体"/>
          <w:b/>
          <w:color w:val="000000" w:themeColor="text1"/>
          <w:sz w:val="36"/>
          <w14:textFill>
            <w14:solidFill>
              <w14:schemeClr w14:val="tx1"/>
            </w14:solidFill>
          </w14:textFill>
        </w:rPr>
        <w:t xml:space="preserve">投标邀请</w:t>
      </w:r>
      <w:r/>
    </w:p>
    <w:p>
      <w:pPr>
        <w:ind w:firstLine="482"/>
        <w:jc w:val="both"/>
        <w:spacing w:line="360" w:lineRule="auto"/>
        <w:rPr>
          <w:b/>
          <w:bCs/>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b/>
          <w:bCs/>
          <w:color w:val="000000" w:themeColor="text1"/>
          <w:sz w:val="24"/>
          <w:szCs w:val="24"/>
          <w:lang w:val="en-US" w:bidi="ar-SA"/>
          <w14:textFill>
            <w14:solidFill>
              <w14:schemeClr w14:val="tx1"/>
            </w14:solidFill>
          </w14:textFill>
        </w:rPr>
        <w:t xml:space="preserve">项目概况</w:t>
      </w:r>
      <w:r/>
    </w:p>
    <w:p>
      <w:pPr>
        <w:ind w:firstLine="480"/>
        <w:spacing w:line="360" w:lineRule="auto"/>
        <w:rPr>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lang w:val="en-US" w:bidi="ar-SA"/>
          <w14:textFill>
            <w14:solidFill>
              <w14:schemeClr w14:val="tx1"/>
            </w14:solidFill>
          </w14:textFill>
        </w:rPr>
        <w:t xml:space="preserve">江苏开放大学环境生态学院实验室建设及安装项目</w:t>
      </w:r>
      <w:r>
        <w:rPr>
          <w:rFonts w:hint="eastAsia"/>
          <w:color w:val="000000" w:themeColor="text1"/>
          <w:sz w:val="24"/>
          <w:szCs w:val="24"/>
          <w:lang w:val="en-US" w:bidi="ar-SA"/>
          <w14:textFill>
            <w14:solidFill>
              <w14:schemeClr w14:val="tx1"/>
            </w14:solidFill>
          </w14:textFill>
        </w:rPr>
        <w:t xml:space="preserve">的潜在供应商应在</w:t>
      </w:r>
      <w:r>
        <w:rPr>
          <w:rFonts w:hint="eastAsia"/>
          <w:color w:val="000000" w:themeColor="text1"/>
          <w:sz w:val="24"/>
          <w:szCs w:val="24"/>
          <w:u w:val="single"/>
          <w:lang w:val="en-US" w:bidi="ar-SA"/>
          <w14:textFill>
            <w14:solidFill>
              <w14:schemeClr w14:val="tx1"/>
            </w14:solidFill>
          </w14:textFill>
        </w:rPr>
        <w:t xml:space="preserve">“苏采云”系统注册登记成功后免费下载</w:t>
      </w:r>
      <w:r>
        <w:rPr>
          <w:rFonts w:hint="eastAsia"/>
          <w:color w:val="000000" w:themeColor="text1"/>
          <w:sz w:val="24"/>
          <w:szCs w:val="24"/>
          <w:lang w:val="en-US" w:bidi="ar-SA"/>
          <w14:textFill>
            <w14:solidFill>
              <w14:schemeClr w14:val="tx1"/>
            </w14:solidFill>
          </w14:textFill>
        </w:rPr>
        <w:t xml:space="preserve">获取招标文件，并于</w:t>
      </w:r>
      <w:r>
        <w:rPr>
          <w:rFonts w:hint="eastAsia"/>
          <w:color w:val="ff0000"/>
          <w:sz w:val="24"/>
          <w:szCs w:val="24"/>
          <w:u w:val="single"/>
          <w:lang w:val="en-US" w:eastAsia="zh-CN" w:bidi="ar-SA"/>
        </w:rPr>
        <w:t xml:space="preserve">2026年5月25日09</w:t>
      </w:r>
      <w:r>
        <w:rPr>
          <w:rFonts w:hint="eastAsia"/>
          <w:color w:val="ff0000"/>
          <w:sz w:val="24"/>
          <w:szCs w:val="24"/>
          <w:u w:val="single"/>
          <w:lang w:val="en-US" w:bidi="ar-SA"/>
        </w:rPr>
        <w:t xml:space="preserve">点</w:t>
      </w:r>
      <w:r>
        <w:rPr>
          <w:rFonts w:hint="eastAsia"/>
          <w:color w:val="ff0000"/>
          <w:sz w:val="24"/>
          <w:szCs w:val="24"/>
          <w:u w:val="single"/>
          <w:lang w:val="en-US" w:eastAsia="zh-CN" w:bidi="ar-SA"/>
        </w:rPr>
        <w:t xml:space="preserve">30</w:t>
      </w:r>
      <w:r>
        <w:rPr>
          <w:rFonts w:hint="eastAsia"/>
          <w:color w:val="ff0000"/>
          <w:sz w:val="24"/>
          <w:szCs w:val="24"/>
          <w:u w:val="single"/>
          <w:lang w:val="en-US" w:bidi="ar-SA"/>
        </w:rPr>
        <w:t xml:space="preserve">分</w:t>
      </w:r>
      <w:r>
        <w:rPr>
          <w:rFonts w:hint="eastAsia"/>
          <w:bCs/>
          <w:color w:val="000000" w:themeColor="text1"/>
          <w:sz w:val="24"/>
          <w:szCs w:val="24"/>
          <w:lang w:val="en-US" w:bidi="ar-SA"/>
          <w14:textFill>
            <w14:solidFill>
              <w14:schemeClr w14:val="tx1"/>
            </w14:solidFill>
          </w14:textFill>
        </w:rPr>
        <w:t xml:space="preserve">（北京时间）前递交投标文件</w:t>
      </w:r>
      <w:r>
        <w:rPr>
          <w:rFonts w:hint="eastAsia"/>
          <w:color w:val="000000" w:themeColor="text1"/>
          <w:sz w:val="24"/>
          <w:szCs w:val="24"/>
          <w:lang w:val="en-US" w:bidi="ar-SA"/>
          <w14:textFill>
            <w14:solidFill>
              <w14:schemeClr w14:val="tx1"/>
            </w14:solidFill>
          </w14:textFill>
        </w:rPr>
        <w:t xml:space="preserve">。</w:t>
      </w:r>
      <w:r/>
    </w:p>
    <w:p>
      <w:pPr>
        <w:ind w:firstLine="482"/>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项目编号：JSZC-320000-SNZX-G2026-0046</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项目名称：江苏开放大学环境生态学院实验室建设及安装项目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采购方式：公开招标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预算金额：</w:t>
      </w:r>
      <w:r>
        <w:rPr>
          <w:rFonts w:hint="eastAsia"/>
          <w:color w:val="000000" w:themeColor="text1"/>
          <w:sz w:val="24"/>
          <w:szCs w:val="24"/>
          <w:lang w:val="en-US"/>
          <w14:textFill>
            <w14:solidFill>
              <w14:schemeClr w14:val="tx1"/>
            </w14:solidFill>
          </w14:textFill>
        </w:rPr>
        <w:t xml:space="preserve">367万元</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最高限价：</w:t>
      </w:r>
      <w:r>
        <w:rPr>
          <w:rFonts w:hint="eastAsia"/>
          <w:color w:val="000000" w:themeColor="text1"/>
          <w:sz w:val="24"/>
          <w:szCs w:val="24"/>
          <w:lang w:val="en-US"/>
          <w14:textFill>
            <w14:solidFill>
              <w14:schemeClr w14:val="tx1"/>
            </w14:solidFill>
          </w14:textFill>
        </w:rPr>
        <w:t xml:space="preserve">367万元</w:t>
      </w:r>
      <w:r>
        <w:rPr>
          <w:rFonts w:hint="eastAsia"/>
          <w:color w:val="000000" w:themeColor="text1"/>
          <w:sz w:val="24"/>
          <w:szCs w:val="24"/>
          <w14:textFill>
            <w14:solidFill>
              <w14:schemeClr w14:val="tx1"/>
            </w14:solidFill>
          </w14:textFill>
        </w:rPr>
        <w:t xml:space="preserve">，投标总价及分项报</w:t>
      </w:r>
      <w:r>
        <w:rPr>
          <w:rFonts w:hint="eastAsia"/>
          <w:color w:val="000000" w:themeColor="text1"/>
          <w:sz w:val="24"/>
          <w:szCs w:val="24"/>
          <w:lang w:val="en-US"/>
          <w14:textFill>
            <w14:solidFill>
              <w14:schemeClr w14:val="tx1"/>
            </w14:solidFill>
          </w14:textFill>
        </w:rPr>
        <w:t xml:space="preserve">价超过最高限价的为无效投标。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采购需求：</w:t>
      </w:r>
      <w:r>
        <w:rPr>
          <w:rFonts w:hint="eastAsia"/>
          <w:color w:val="000000" w:themeColor="text1"/>
          <w:sz w:val="24"/>
          <w:szCs w:val="32"/>
          <w:lang w:val="en-US"/>
          <w14:textFill>
            <w14:solidFill>
              <w14:schemeClr w14:val="tx1"/>
            </w14:solidFill>
          </w14:textFill>
        </w:rPr>
        <w:t xml:space="preserve">江苏开放大学环境生态学院实验室建设及安装项目，具体内容见招标文件。</w:t>
      </w:r>
      <w:r/>
    </w:p>
    <w:p>
      <w:pPr>
        <w:pStyle w:val="833"/>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合同履行期限（交付期）</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32"/>
          <w:lang w:val="en-US"/>
          <w14:textFill>
            <w14:solidFill>
              <w14:schemeClr w14:val="tx1"/>
            </w14:solidFill>
          </w14:textFill>
        </w:rPr>
        <w:t xml:space="preserve">自合同签订之日起75个工作日内完成交付、安装调试并验收合格。</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w:t>
      </w:r>
      <w:r>
        <w:rPr>
          <w:rFonts w:hint="eastAsia"/>
          <w:b/>
          <w:bCs/>
          <w:color w:val="000000" w:themeColor="text1"/>
          <w:sz w:val="24"/>
          <w:szCs w:val="24"/>
          <w14:textFill>
            <w14:solidFill>
              <w14:schemeClr w14:val="tx1"/>
            </w14:solidFill>
          </w14:textFill>
        </w:rPr>
        <w:t xml:space="preserve">不接受</w:t>
      </w:r>
      <w:r>
        <w:rPr>
          <w:rFonts w:hint="eastAsia"/>
          <w:color w:val="000000" w:themeColor="text1"/>
          <w:sz w:val="24"/>
          <w:szCs w:val="24"/>
          <w14:textFill>
            <w14:solidFill>
              <w14:schemeClr w14:val="tx1"/>
            </w14:solidFill>
          </w14:textFill>
        </w:rPr>
        <w:t xml:space="preserve">联合体投标。</w:t>
      </w:r>
      <w:r/>
    </w:p>
    <w:p>
      <w:pPr>
        <w:contextualSpacing/>
        <w:ind w:firstLine="482"/>
        <w:spacing w:line="360" w:lineRule="auto"/>
        <w:rPr>
          <w:b/>
          <w:bCs/>
          <w:color w:val="000000" w:themeColor="text1"/>
          <w:sz w:val="24"/>
          <w:szCs w:val="24"/>
          <w14:textFill>
            <w14:solidFill>
              <w14:schemeClr w14:val="tx1"/>
            </w14:solidFill>
          </w14:textFill>
        </w:rPr>
      </w:pPr>
      <w:r/>
      <w:bookmarkStart w:id="3" w:name="二、申请人的资格要求："/>
      <w:r/>
      <w:bookmarkEnd w:id="3"/>
      <w:r>
        <w:rPr>
          <w:rFonts w:hint="eastAsia"/>
          <w:b/>
          <w:bCs/>
          <w:color w:val="000000" w:themeColor="text1"/>
          <w:sz w:val="24"/>
          <w:szCs w:val="24"/>
          <w14:textFill>
            <w14:solidFill>
              <w14:schemeClr w14:val="tx1"/>
            </w14:solidFill>
          </w14:textFill>
        </w:rPr>
        <w:t xml:space="preserve">二、申请人的资格要求：</w:t>
      </w:r>
      <w:r/>
    </w:p>
    <w:p>
      <w:pPr>
        <w:pStyle w:val="903"/>
        <w:ind w:firstLine="482"/>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（一）满足《中华人民共和国政府采购法》第二十二条规定：</w:t>
      </w:r>
      <w:r/>
    </w:p>
    <w:p>
      <w:pPr>
        <w:pStyle w:val="903"/>
        <w:ind w:firstLine="482"/>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1、具有独立承担民事责任的能力（提供法人或者其他组织的营业执照，自然人的身份证明）；</w:t>
      </w:r>
      <w:r/>
    </w:p>
    <w:p>
      <w:pPr>
        <w:pStyle w:val="903"/>
        <w:ind w:firstLine="482"/>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2024年度或者2025年度经审计的财务报告复印件，否则视为未提供）；</w:t>
      </w:r>
      <w:r/>
    </w:p>
    <w:p>
      <w:pPr>
        <w:pStyle w:val="903"/>
        <w:ind w:firstLine="482"/>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3、具有履行合同所必需的设备和专业技术能力（提供履行合同所必需的设备和专业技术能力的声明及证明材料复印件加盖公章）；</w:t>
      </w:r>
      <w:r/>
    </w:p>
    <w:p>
      <w:pPr>
        <w:pStyle w:val="903"/>
        <w:ind w:firstLine="482"/>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4、有依法缴纳税收和社会保障资金的良好记录（提供参加本次采购活动前一年内至少一个月依法缴纳增值税或企业所得税或印花税的凭据，及社会保障资金的相关材料复印件加盖公章）；</w:t>
      </w:r>
      <w:r/>
    </w:p>
    <w:p>
      <w:pPr>
        <w:pStyle w:val="903"/>
        <w:ind w:firstLine="482"/>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5、参加本项目前三年内，在经营活动中没有重大违法记录（提供参加本次采购活动前三年内在经营活动中没有重大违法记录的声明）；</w:t>
      </w:r>
      <w:r/>
    </w:p>
    <w:p>
      <w:pPr>
        <w:pStyle w:val="903"/>
        <w:ind w:firstLine="482"/>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6、法律、行政法规规定的其他条件。</w:t>
      </w:r>
      <w:r/>
    </w:p>
    <w:p>
      <w:pPr>
        <w:pStyle w:val="903"/>
        <w:ind w:firstLine="482"/>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（二）落实政府采购政策需满足的资格要求：</w:t>
      </w:r>
      <w:r/>
    </w:p>
    <w:p>
      <w:pPr>
        <w:pStyle w:val="903"/>
        <w:ind w:firstLine="482"/>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本项目不属于专门面向中小企业采购项目，执行价格扣除优惠政策，具体详见第三章。</w:t>
      </w:r>
      <w:r/>
    </w:p>
    <w:p>
      <w:pPr>
        <w:pStyle w:val="903"/>
        <w:ind w:left="0" w:firstLine="482"/>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（三）本项目的特定资格要求：无</w:t>
      </w:r>
      <w:r/>
    </w:p>
    <w:p>
      <w:pPr>
        <w:pStyle w:val="903"/>
        <w:ind w:left="0" w:firstLine="482"/>
        <w:spacing w:line="360" w:lineRule="auto"/>
        <w:tabs>
          <w:tab w:val="left" w:pos="1061" w:leader="none"/>
        </w:tabs>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三、获取采购文件</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bookmarkStart w:id="4" w:name="四、提交投标文件截止时间、开标时间和地点"/>
      <w:r/>
      <w:bookmarkEnd w:id="4"/>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时间：自招标文件公告发布之日起</w:t>
      </w:r>
      <w:r>
        <w:rPr>
          <w:rFonts w:asciiTheme="minorEastAsia" w:hAnsiTheme="minorEastAsia" w:eastAsiaTheme="minorEastAsia"/>
          <w:color w:val="000000" w:themeColor="text1"/>
          <w:sz w:val="24"/>
          <w:szCs w:val="24"/>
          <w:lang w:val="en-US"/>
          <w14:textFill>
            <w14:solidFill>
              <w14:schemeClr w14:val="tx1"/>
            </w14:solidFill>
          </w14:textFill>
        </w:rPr>
        <w:t xml:space="preserve">5个工作日</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地点：江苏政府采购网苏采云系统</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方式：网上下载</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售价：</w:t>
      </w:r>
      <w:r>
        <w:rPr>
          <w:rFonts w:asciiTheme="minorEastAsia" w:hAnsiTheme="minorEastAsia" w:eastAsiaTheme="minorEastAsia"/>
          <w:color w:val="000000" w:themeColor="text1"/>
          <w:sz w:val="24"/>
          <w:szCs w:val="24"/>
          <w:lang w:val="en-US"/>
          <w14:textFill>
            <w14:solidFill>
              <w14:schemeClr w14:val="tx1"/>
            </w14:solidFill>
          </w14:textFill>
        </w:rPr>
        <w:t xml:space="preserve">0元</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四、提交投标文件截止时间、开标时间和地点</w:t>
      </w:r>
      <w:r/>
    </w:p>
    <w:p>
      <w:pPr>
        <w:ind w:firstLine="480"/>
        <w:spacing w:line="360" w:lineRule="auto"/>
        <w:rPr>
          <w:color w:val="ff0000"/>
          <w:sz w:val="24"/>
          <w:szCs w:val="24"/>
          <w:u w:val="single"/>
        </w:rPr>
      </w:pPr>
      <w:r>
        <w:rPr>
          <w:rFonts w:hint="eastAsia"/>
          <w:color w:val="ff0000"/>
          <w:sz w:val="24"/>
          <w:szCs w:val="24"/>
        </w:rPr>
        <w:t xml:space="preserve">时间：</w:t>
      </w:r>
      <w:r>
        <w:rPr>
          <w:rFonts w:hint="eastAsia"/>
          <w:color w:val="ff0000"/>
          <w:sz w:val="24"/>
          <w:szCs w:val="24"/>
          <w:u w:val="single"/>
          <w:lang w:val="en-US" w:eastAsia="zh-CN"/>
        </w:rPr>
        <w:t xml:space="preserve">2026年5月25日09</w:t>
      </w:r>
      <w:r>
        <w:rPr>
          <w:rFonts w:hint="eastAsia"/>
          <w:color w:val="ff0000"/>
          <w:sz w:val="24"/>
          <w:szCs w:val="24"/>
          <w:u w:val="single"/>
          <w:lang w:val="en-US"/>
        </w:rPr>
        <w:t xml:space="preserve">点</w:t>
      </w:r>
      <w:r>
        <w:rPr>
          <w:rFonts w:hint="eastAsia"/>
          <w:color w:val="ff0000"/>
          <w:sz w:val="24"/>
          <w:szCs w:val="24"/>
          <w:u w:val="single"/>
          <w:lang w:val="en-US" w:eastAsia="zh-CN"/>
        </w:rPr>
        <w:t xml:space="preserve">30</w:t>
      </w:r>
      <w:r>
        <w:rPr>
          <w:rFonts w:hint="eastAsia"/>
          <w:color w:val="ff0000"/>
          <w:sz w:val="24"/>
          <w:szCs w:val="24"/>
          <w:u w:val="single"/>
          <w:lang w:val="en-US"/>
        </w:rPr>
        <w:t xml:space="preserve">分</w:t>
      </w:r>
      <w:r>
        <w:rPr>
          <w:rFonts w:hint="eastAsia"/>
          <w:color w:val="ff0000"/>
          <w:sz w:val="24"/>
          <w:szCs w:val="24"/>
          <w:u w:val="single"/>
        </w:rPr>
        <w:t xml:space="preserve">（北京时间）</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地点：</w:t>
      </w:r>
      <w:r>
        <w:rPr>
          <w:rFonts w:hint="eastAsia"/>
          <w:color w:val="000000" w:themeColor="text1"/>
          <w:sz w:val="24"/>
          <w:szCs w:val="24"/>
          <w:u w:val="single"/>
          <w:lang w:val="en-US"/>
          <w14:textFill>
            <w14:solidFill>
              <w14:schemeClr w14:val="tx1"/>
            </w14:solidFill>
          </w14:textFill>
        </w:rPr>
        <w:t xml:space="preserve">江苏省政府采购交易系统（以下简称“苏采云系统”）网上开标大厅</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五、公告期限</w:t>
      </w:r>
      <w:r/>
    </w:p>
    <w:p>
      <w:pPr>
        <w:ind w:firstLine="480"/>
        <w:spacing w:line="360" w:lineRule="auto"/>
        <w:rPr>
          <w:color w:val="000000" w:themeColor="text1"/>
          <w:sz w:val="28"/>
          <w:szCs w:val="28"/>
          <w14:textFill>
            <w14:solidFill>
              <w14:schemeClr w14:val="tx1"/>
            </w14:solidFill>
          </w14:textFill>
        </w:rPr>
      </w:pPr>
      <w:r>
        <w:rPr>
          <w:rFonts w:hint="eastAsia"/>
          <w:color w:val="000000" w:themeColor="text1"/>
          <w:sz w:val="24"/>
          <w:szCs w:val="24"/>
          <w14:textFill>
            <w14:solidFill>
              <w14:schemeClr w14:val="tx1"/>
            </w14:solidFill>
          </w14:textFill>
        </w:rPr>
        <w:t xml:space="preserve">自本公告发布之日起5个工作日。</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六、其他补充事宜</w:t>
      </w:r>
      <w:r/>
    </w:p>
    <w:p>
      <w:pPr>
        <w:ind w:firstLine="480"/>
        <w:spacing w:line="360" w:lineRule="auto"/>
        <w:rPr>
          <w:color w:val="000000" w:themeColor="text1"/>
          <w:sz w:val="24"/>
          <w:szCs w:val="24"/>
          <w:lang w:val="en-US"/>
          <w14:textFill>
            <w14:solidFill>
              <w14:schemeClr w14:val="tx1"/>
            </w14:solidFill>
          </w14:textFill>
        </w:rPr>
      </w:pPr>
      <w:r/>
      <w:bookmarkStart w:id="5" w:name="七、对本次招标提出询问，请按以下方式联系。"/>
      <w:r/>
      <w:bookmarkEnd w:id="5"/>
      <w:r/>
      <w:bookmarkStart w:id="6" w:name="OLE_LINK4"/>
      <w:r>
        <w:rPr>
          <w:rFonts w:hint="eastAsia"/>
          <w:color w:val="000000" w:themeColor="text1"/>
          <w:sz w:val="24"/>
          <w:szCs w:val="24"/>
          <w:lang w:val="en-US"/>
          <w14:textFill>
            <w14:solidFill>
              <w14:schemeClr w14:val="tx1"/>
            </w14:solidFill>
          </w14:textFill>
        </w:rPr>
        <w:t xml:space="preserve">1、拒绝下述供应商参加本次采购活动：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（1）供应商单位负责人为同一人或者存在直接控股、管理关系的不同供应商，不得参加同一合同项下的采购活动。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（2）凡为采购项目提供整体设计、规范编制或者项目管理、监理、检测等服务的供应商，不得再参加本项目的采购活动。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（3）拒绝列入失信被执行人、重大税收违法案件当事人名单、政府采购严重违法失信行为记录名单中的供应商参加本项目的采购活动。</w:t>
      </w:r>
      <w:r/>
    </w:p>
    <w:p>
      <w:pPr>
        <w:ind w:firstLine="480"/>
        <w:spacing w:line="360" w:lineRule="auto"/>
        <w:rPr>
          <w:color w:val="000000" w:themeColor="text1"/>
          <w:sz w:val="24"/>
          <w:szCs w:val="24"/>
          <w:lang w:val="en-US"/>
          <w14:textFill>
            <w14:solidFill>
              <w14:schemeClr w14:val="tx1"/>
            </w14:solidFill>
          </w14:textFill>
        </w:rPr>
      </w:pPr>
      <w:r/>
      <w:bookmarkStart w:id="7" w:name="OLE_LINK2"/>
      <w:r/>
      <w:bookmarkStart w:id="8" w:name="OLE_LINK1"/>
      <w:r>
        <w:rPr>
          <w:rFonts w:hint="eastAsia"/>
          <w:color w:val="000000" w:themeColor="text1"/>
          <w:sz w:val="24"/>
          <w:szCs w:val="24"/>
          <w:lang w:val="en-US"/>
          <w14:textFill>
            <w14:solidFill>
              <w14:schemeClr w14:val="tx1"/>
            </w14:solidFill>
          </w14:textFill>
        </w:rPr>
        <w:t xml:space="preserve">2、集中考察或答疑：本项目组织统一踏勘现场，时间2026年4月2</w:t>
      </w:r>
      <w:r>
        <w:rPr>
          <w:color w:val="000000" w:themeColor="text1"/>
          <w:sz w:val="24"/>
          <w:szCs w:val="24"/>
          <w:lang w:val="en-US"/>
          <w14:textFill>
            <w14:solidFill>
              <w14:schemeClr w14:val="tx1"/>
            </w14:solidFill>
          </w14:textFill>
        </w:rPr>
        <w:t xml:space="preserve">7</w:t>
      </w:r>
      <w:r>
        <w:rPr>
          <w:rFonts w:hint="eastAsia"/>
          <w:color w:val="000000" w:themeColor="text1"/>
          <w:sz w:val="24"/>
          <w:szCs w:val="24"/>
          <w:lang w:val="en-US"/>
          <w14:textFill>
            <w14:solidFill>
              <w14:schemeClr w14:val="tx1"/>
            </w14:solidFill>
          </w14:textFill>
        </w:rPr>
        <w:t xml:space="preserve">日上午9:30至11:30，地址：南京市浦口区桥林街道桥林街明因路601号 江苏开放大学（桥林校区）C4实验楼南楼， 联系电话：14751686688 。建议各投标人应根据自身情况，在提交投标文件前勘察现场，对实际场地和施工量的测量（包括图纸设计、水电施工、通排风系统安装等），未踏勘现场或踏勘工作不详细的供应商中标后，不得以不了解现场情况为由向采购人提出任何索赔或其他要求，对此采购人不承担任何责任。</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3、供应商通过“苏采云”（网址：</w:t>
      </w:r>
      <w:r>
        <w:rPr>
          <w:color w:val="000000" w:themeColor="text1"/>
          <w:sz w:val="24"/>
          <w:szCs w:val="24"/>
          <w:lang w:val="en-US"/>
          <w14:textFill>
            <w14:solidFill>
              <w14:schemeClr w14:val="tx1"/>
            </w14:solidFill>
          </w14:textFill>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操作手册下载地址：</w:t>
      </w:r>
      <w:r>
        <w:rPr>
          <w:color w:val="000000" w:themeColor="text1"/>
          <w:sz w:val="24"/>
          <w:szCs w:val="24"/>
          <w:lang w:val="en-US"/>
          <w14:textFill>
            <w14:solidFill>
              <w14:schemeClr w14:val="tx1"/>
            </w14:solidFill>
          </w14:textFill>
        </w:rPr>
        <w:t xml:space="preserve">http://www.ccgp-jiangsu.gov.cn/jiangsu/zlxz/ee/ee3a4bc5a3454aa2b0d9312230633ce9.html</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首次登录“苏采云”系统的新用户，登录网址后，点击“用户注册”</w:t>
      </w:r>
      <w:r>
        <w:rPr>
          <w:color w:val="000000" w:themeColor="text1"/>
          <w:sz w:val="24"/>
          <w:szCs w:val="24"/>
          <w:lang w:val="en-US"/>
          <w14:textFill>
            <w14:solidFill>
              <w14:schemeClr w14:val="tx1"/>
            </w14:solidFill>
          </w14:textFill>
        </w:rPr>
        <w:t xml:space="preserve">--“新CA办理指南”--获取CA后绑定、登录系统--采购项目参与--下载采购文件（文件后缀名为“.kedt”）。</w:t>
      </w:r>
      <w:r>
        <w:rPr>
          <w:rFonts w:hint="eastAsia"/>
          <w:color w:val="000000" w:themeColor="text1"/>
          <w:sz w:val="24"/>
          <w:szCs w:val="24"/>
          <w:lang w:val="en-US"/>
          <w14:textFill>
            <w14:solidFill>
              <w14:schemeClr w14:val="tx1"/>
            </w14:solidFill>
          </w14:textFill>
        </w:rPr>
        <w:t xml:space="preserve">“苏采云”南京地区客服热线</w:t>
      </w:r>
      <w:r>
        <w:rPr>
          <w:color w:val="000000" w:themeColor="text1"/>
          <w:sz w:val="24"/>
          <w:szCs w:val="24"/>
          <w:lang w:val="en-US"/>
          <w14:textFill>
            <w14:solidFill>
              <w14:schemeClr w14:val="tx1"/>
            </w14:solidFill>
          </w14:textFill>
        </w:rPr>
        <w:t xml:space="preserve">025-83633744、025-83633743</w:t>
      </w:r>
      <w:r>
        <w:rPr>
          <w:rFonts w:hint="eastAsia"/>
          <w:color w:val="000000" w:themeColor="text1"/>
          <w:sz w:val="24"/>
          <w:szCs w:val="24"/>
          <w:lang w:val="en-US"/>
          <w14:textFill>
            <w14:solidFill>
              <w14:schemeClr w14:val="tx1"/>
            </w14:solidFill>
          </w14:textFill>
        </w:rPr>
        <w:t xml:space="preserve">。</w:t>
      </w:r>
      <w:bookmarkEnd w:id="7"/>
      <w:r/>
      <w:bookmarkEnd w:id="8"/>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4、公告媒体</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（1）本招标公告在江苏政府采购网公示发布，敬请各供应商关注；</w:t>
      </w:r>
      <w:r/>
    </w:p>
    <w:p>
      <w:pPr>
        <w:pStyle w:val="833"/>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（2）若有关本次招标存在变动或修改，敬请各供应商及时关注江苏政府采购网发布的关于本项目的信息更正公告。</w:t>
      </w:r>
      <w:r/>
    </w:p>
    <w:p>
      <w:pPr>
        <w:pStyle w:val="833"/>
        <w:contextualSpacing/>
        <w:ind w:firstLine="480"/>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5、</w:t>
      </w:r>
      <w:r>
        <w:rPr>
          <w:rFonts w:hint="eastAsia"/>
          <w:color w:val="000000" w:themeColor="text1"/>
          <w:sz w:val="24"/>
          <w:szCs w:val="24"/>
          <w:lang w:val="en-US"/>
          <w14:textFill>
            <w14:solidFill>
              <w14:schemeClr w14:val="tx1"/>
            </w14:solidFill>
          </w14:textFill>
        </w:rPr>
        <w:t xml:space="preserve">采购项目需要落实的政府采购政策</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（1）政府采购促进中小企业发展</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（2）政府采购支持监狱企业发展</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（3）政府采购促进残疾人就业</w:t>
      </w:r>
      <w:r/>
    </w:p>
    <w:p>
      <w:pPr>
        <w:pStyle w:val="833"/>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（4）政府采购鼓励采购节能环保产品</w:t>
      </w:r>
      <w:bookmarkEnd w:id="6"/>
      <w:r/>
      <w:r/>
    </w:p>
    <w:p>
      <w:pPr>
        <w:ind w:firstLine="482"/>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6、是否接受进口产品：不接受。</w:t>
      </w:r>
      <w:r/>
    </w:p>
    <w:p>
      <w:pPr>
        <w:ind w:firstLine="482"/>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7、本项目所属行业：工业。</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七、凡对本次采购提出询问，请按以下方式联系。</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采购人信息</w:t>
      </w:r>
      <w:r/>
    </w:p>
    <w:p>
      <w:pPr>
        <w:ind w:firstLine="480"/>
        <w:spacing w:line="360" w:lineRule="auto"/>
        <w:tabs>
          <w:tab w:val="left" w:pos="2116" w:leader="none"/>
          <w:tab w:val="left" w:pos="4635" w:leader="none"/>
          <w:tab w:val="left" w:pos="561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江苏开放大学</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 址：</w:t>
      </w:r>
      <w:r>
        <w:rPr>
          <w:rFonts w:hint="eastAsia"/>
          <w:color w:val="000000" w:themeColor="text1"/>
          <w:sz w:val="24"/>
          <w:szCs w:val="24"/>
          <w:u w:val="single"/>
          <w14:textFill>
            <w14:solidFill>
              <w14:schemeClr w14:val="tx1"/>
            </w14:solidFill>
          </w14:textFill>
        </w:rPr>
        <w:t xml:space="preserve">南京市江东北路399号</w:t>
      </w:r>
      <w:r/>
    </w:p>
    <w:p>
      <w:pPr>
        <w:contextualSpacing/>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联系人：</w:t>
      </w:r>
      <w:r>
        <w:rPr>
          <w:rFonts w:hint="eastAsia"/>
          <w:color w:val="000000" w:themeColor="text1"/>
          <w:sz w:val="24"/>
          <w:szCs w:val="24"/>
          <w:u w:val="single"/>
          <w14:textFill>
            <w14:solidFill>
              <w14:schemeClr w14:val="tx1"/>
            </w14:solidFill>
          </w14:textFill>
        </w:rPr>
        <w:t xml:space="preserve">吕老师</w:t>
      </w:r>
      <w:r>
        <w:rPr>
          <w:rFonts w:hint="eastAsia"/>
          <w:color w:val="000000" w:themeColor="text1"/>
          <w:sz w:val="24"/>
          <w:szCs w:val="24"/>
          <w14:textFill>
            <w14:solidFill>
              <w14:schemeClr w14:val="tx1"/>
            </w14:solidFill>
          </w14:textFill>
        </w:rPr>
        <w:t xml:space="preserve"> </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联系电话：</w:t>
      </w:r>
      <w:r>
        <w:rPr>
          <w:rFonts w:hint="eastAsia"/>
          <w:color w:val="000000" w:themeColor="text1"/>
          <w:sz w:val="24"/>
          <w:szCs w:val="24"/>
          <w:u w:val="single"/>
          <w14:textFill>
            <w14:solidFill>
              <w14:schemeClr w14:val="tx1"/>
            </w14:solidFill>
          </w14:textFill>
        </w:rPr>
        <w:t xml:space="preserve">025-86265605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采购代理机构信息</w:t>
      </w:r>
      <w:r/>
    </w:p>
    <w:p>
      <w:pPr>
        <w:ind w:firstLine="480"/>
        <w:spacing w:line="360" w:lineRule="auto"/>
        <w:tabs>
          <w:tab w:val="left" w:pos="2596" w:leader="none"/>
          <w:tab w:val="left" w:pos="6236"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地址：</w:t>
      </w:r>
      <w:r>
        <w:rPr>
          <w:rFonts w:hint="eastAsia"/>
          <w:color w:val="000000" w:themeColor="text1"/>
          <w:sz w:val="24"/>
          <w:szCs w:val="24"/>
          <w:u w:val="single"/>
          <w14:textFill>
            <w14:solidFill>
              <w14:schemeClr w14:val="tx1"/>
            </w14:solidFill>
          </w14:textFill>
        </w:rPr>
        <w:t xml:space="preserve">南京市中山路99号12楼1212室</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lang w:val="en-US"/>
          <w14:textFill>
            <w14:solidFill>
              <w14:schemeClr w14:val="tx1"/>
            </w14:solidFill>
          </w14:textFill>
        </w:rPr>
        <w:t xml:space="preserve">江跃、蒋毅</w:t>
      </w:r>
      <w:r>
        <w:rPr>
          <w:rFonts w:hint="eastAsia"/>
          <w:color w:val="000000" w:themeColor="text1"/>
          <w:sz w:val="24"/>
          <w:szCs w:val="24"/>
          <w:u w:val="single"/>
          <w14:textFill>
            <w14:solidFill>
              <w14:schemeClr w14:val="tx1"/>
            </w14:solidFill>
          </w14:textFill>
        </w:rPr>
        <w:t xml:space="preserve">025-84200819</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项目联系方式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项目联系人：</w:t>
      </w:r>
      <w:r>
        <w:rPr>
          <w:rFonts w:hint="eastAsia"/>
          <w:color w:val="000000" w:themeColor="text1"/>
          <w:sz w:val="24"/>
          <w:szCs w:val="24"/>
          <w:u w:val="single"/>
          <w14:textFill>
            <w14:solidFill>
              <w14:schemeClr w14:val="tx1"/>
            </w14:solidFill>
          </w14:textFill>
        </w:rPr>
        <w:t xml:space="preserve">江跃、蒋毅</w:t>
      </w:r>
      <w:r/>
    </w:p>
    <w:p>
      <w:pPr>
        <w:ind w:firstLine="480"/>
        <w:spacing w:line="360" w:lineRule="auto"/>
        <w:tabs>
          <w:tab w:val="left" w:pos="1617" w:leader="none"/>
          <w:tab w:val="left" w:pos="2457" w:leader="none"/>
          <w:tab w:val="left" w:pos="7076"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电话：</w:t>
      </w:r>
      <w:r>
        <w:rPr>
          <w:rFonts w:hint="eastAsia"/>
          <w:color w:val="000000" w:themeColor="text1"/>
          <w:sz w:val="24"/>
          <w:szCs w:val="24"/>
          <w:u w:val="single"/>
          <w14:textFill>
            <w14:solidFill>
              <w14:schemeClr w14:val="tx1"/>
            </w14:solidFill>
          </w14:textFill>
        </w:rPr>
        <w:t xml:space="preserve">025-84200819</w:t>
      </w:r>
      <w:r/>
    </w:p>
    <w:p>
      <w:pPr>
        <w:ind w:left="2024" w:right="2064"/>
        <w:jc w:val="center"/>
        <w:spacing w:before="49"/>
        <w:rPr>
          <w:rFonts w:hint="eastAsia" w:ascii="黑体" w:eastAsia="黑体"/>
          <w:b/>
          <w:bCs/>
          <w:color w:val="000000" w:themeColor="text1"/>
          <w:sz w:val="36"/>
          <w14:textFill>
            <w14:solidFill>
              <w14:schemeClr w14:val="tx1"/>
            </w14:solidFill>
          </w14:textFill>
        </w:rPr>
        <w:outlineLvl w:val="0"/>
      </w:pPr>
      <w:r/>
      <w:bookmarkStart w:id="9" w:name="_Toc15993"/>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第二章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供应商须知</w:t>
      </w:r>
      <w:bookmarkEnd w:id="9"/>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一、总则</w:t>
      </w:r>
      <w:r/>
    </w:p>
    <w:p>
      <w:pPr>
        <w:pStyle w:val="833"/>
        <w:ind w:firstLine="420"/>
        <w:spacing w:line="360" w:lineRule="auto"/>
        <w:rPr>
          <w:color w:val="000000" w:themeColor="text1"/>
          <w14:textFill>
            <w14:solidFill>
              <w14:schemeClr w14:val="tx1"/>
            </w14:solidFill>
          </w14:textFill>
        </w:rPr>
      </w:pPr>
      <w:r/>
      <w:bookmarkStart w:id="10" w:name="1、适用法律"/>
      <w:r/>
      <w:bookmarkEnd w:id="10"/>
      <w:r>
        <w:rPr>
          <w:rFonts w:hint="eastAsia"/>
          <w:color w:val="000000" w:themeColor="text1"/>
          <w14:textFill>
            <w14:solidFill>
              <w14:schemeClr w14:val="tx1"/>
            </w14:solidFill>
          </w14:textFill>
        </w:rPr>
        <w:t xml:space="preserve">1、适用法律</w:t>
      </w:r>
      <w:r/>
    </w:p>
    <w:p>
      <w:pPr>
        <w:pStyle w:val="833"/>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000000" w:themeColor="text1"/>
          <w:sz w:val="21"/>
          <w:szCs w:val="21"/>
          <w14:textFill>
            <w14:solidFill>
              <w14:schemeClr w14:val="tx1"/>
            </w14:solidFill>
          </w14:textFill>
        </w:rPr>
      </w:pPr>
      <w:r/>
      <w:bookmarkStart w:id="11" w:name="2、定义"/>
      <w:r/>
      <w:bookmarkEnd w:id="11"/>
      <w:r>
        <w:rPr>
          <w:rFonts w:hint="eastAsia"/>
          <w:b/>
          <w:color w:val="000000" w:themeColor="text1"/>
          <w:sz w:val="21"/>
          <w:szCs w:val="21"/>
          <w14:textFill>
            <w14:solidFill>
              <w14:schemeClr w14:val="tx1"/>
            </w14:solidFill>
          </w14:textFill>
        </w:rPr>
        <w:t xml:space="preserve">2、定义</w:t>
      </w:r>
      <w:r/>
    </w:p>
    <w:p>
      <w:pPr>
        <w:pStyle w:val="903"/>
        <w:numPr>
          <w:ilvl w:val="1"/>
          <w:numId w:val="2"/>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bCs/>
          <w:color w:val="000000" w:themeColor="text1"/>
          <w:sz w:val="21"/>
          <w:szCs w:val="21"/>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”是指参加投标竞争，并符合招标文件规定资格条件的法人、其他组织或者自然人。</w:t>
      </w:r>
      <w:r/>
    </w:p>
    <w:p>
      <w:pPr>
        <w:pStyle w:val="903"/>
        <w:numPr>
          <w:ilvl w:val="1"/>
          <w:numId w:val="2"/>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“产品”指本招标文件中所述</w:t>
      </w:r>
      <w:r>
        <w:rPr>
          <w:rFonts w:hint="eastAsia"/>
          <w:bCs/>
          <w:color w:val="000000" w:themeColor="text1"/>
          <w:sz w:val="21"/>
          <w:szCs w:val="21"/>
          <w14:textFill>
            <w14:solidFill>
              <w14:schemeClr w14:val="tx1"/>
            </w14:solidFill>
          </w14:textFill>
        </w:rPr>
        <w:t xml:space="preserve">产品</w:t>
      </w:r>
      <w:r>
        <w:rPr>
          <w:rFonts w:hint="eastAsia"/>
          <w:color w:val="000000" w:themeColor="text1"/>
          <w:sz w:val="21"/>
          <w:szCs w:val="21"/>
          <w14:textFill>
            <w14:solidFill>
              <w14:schemeClr w14:val="tx1"/>
            </w14:solidFill>
          </w14:textFill>
        </w:rPr>
        <w:t xml:space="preserve">及相关服务。</w:t>
      </w:r>
      <w:r/>
    </w:p>
    <w:p>
      <w:pPr>
        <w:pStyle w:val="903"/>
        <w:numPr>
          <w:ilvl w:val="1"/>
          <w:numId w:val="2"/>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“用户或使用单位”是指使用服务的单位。 </w:t>
      </w:r>
      <w:r/>
    </w:p>
    <w:p>
      <w:pPr>
        <w:pStyle w:val="903"/>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3、政策功能</w:t>
      </w:r>
      <w:r/>
    </w:p>
    <w:p>
      <w:pPr>
        <w:pStyle w:val="903"/>
        <w:numPr>
          <w:ilvl w:val="1"/>
          <w:numId w:val="3"/>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03"/>
        <w:numPr>
          <w:ilvl w:val="1"/>
          <w:numId w:val="3"/>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03"/>
        <w:numPr>
          <w:ilvl w:val="1"/>
          <w:numId w:val="3"/>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03"/>
        <w:numPr>
          <w:ilvl w:val="1"/>
          <w:numId w:val="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03"/>
        <w:numPr>
          <w:ilvl w:val="1"/>
          <w:numId w:val="3"/>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提供的产品属于信息安全产品的，供应商应当选择经国家认证的信息安全产品投标，并提供由中国信息安全认证中心按国家标准认证颁发的有效认证证书复印件。</w:t>
      </w:r>
      <w:r/>
    </w:p>
    <w:p>
      <w:pPr>
        <w:pStyle w:val="903"/>
        <w:numPr>
          <w:ilvl w:val="1"/>
          <w:numId w:val="3"/>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提供的产品属于政府强制采购节能产品的，供应商应当选择经过认证的节能产品投标，并提供有效的节能产品认证证书复印件。</w:t>
      </w:r>
      <w:r/>
    </w:p>
    <w:p>
      <w:pPr>
        <w:pStyle w:val="903"/>
        <w:numPr>
          <w:ilvl w:val="1"/>
          <w:numId w:val="3"/>
        </w:numPr>
        <w:ind w:firstLine="420"/>
        <w:spacing w:line="360" w:lineRule="auto"/>
        <w:tabs>
          <w:tab w:val="left" w:pos="111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提供的产品属于环境标志产品的，供应商应当选择经过认证的环境标志产品投标，并提供有效的环境标志产品认证证书复印件。</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3.8.实施本国产品标准及相关政策</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sz w:val="21"/>
          <w:szCs w:val="21"/>
          <w14:textFill>
            <w14:solidFill>
              <w14:schemeClr w14:val="tx1"/>
            </w14:solidFill>
          </w14:textFill>
        </w:rPr>
        <w:t xml:space="preserve">采</w:t>
      </w:r>
      <w:r>
        <w:rPr>
          <w:color w:val="000000" w:themeColor="text1"/>
          <w:sz w:val="21"/>
          <w:szCs w:val="21"/>
          <w14:textFill>
            <w14:solidFill>
              <w14:schemeClr w14:val="tx1"/>
            </w14:solidFill>
          </w14:textFill>
        </w:rPr>
        <w:t xml:space="preserve">购中实施本国产品标准及相关政策的通知》（宁财购通〔2025〕78号）等文件规定，在政府采购中实施本国产品标准及相关政策。</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3.8.2本国产品应当符合以下条件：</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1）在中国境内生产</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000000" w:themeColor="text1"/>
          <w:sz w:val="21"/>
          <w:szCs w:val="21"/>
          <w14:textFill>
            <w14:solidFill>
              <w14:schemeClr w14:val="tx1"/>
            </w14:solidFill>
          </w14:textFill>
        </w:rPr>
        <w:t xml:space="preserve">2025〕34号）规定。</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2）在中国境内生产的组件成本占比达到规定比例</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比例计算公式详见《国务院办公厅关于在政府采购中实施本国产品标准及相关政策的通知》（国办发〔</w:t>
      </w:r>
      <w:r>
        <w:rPr>
          <w:color w:val="000000" w:themeColor="text1"/>
          <w:sz w:val="21"/>
          <w:szCs w:val="21"/>
          <w14:textFill>
            <w14:solidFill>
              <w14:schemeClr w14:val="tx1"/>
            </w14:solidFill>
          </w14:textFill>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3）特定产品的关键组件、关键工序符合相关要求</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3.8.3本国产品标准的适用范围</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3.8.4对本国产品的支持政策</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本项目如既有本国产品又有非本国产品参与竞争，依法对本国产品给予价格评审优惠，具体详见第三章。</w:t>
      </w:r>
      <w:r/>
    </w:p>
    <w:p>
      <w:pPr>
        <w:ind w:firstLine="42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3.8.5政策执行要求</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000000" w:themeColor="text1"/>
          <w:sz w:val="21"/>
          <w:szCs w:val="21"/>
          <w14:textFill>
            <w14:solidFill>
              <w14:schemeClr w14:val="tx1"/>
            </w14:solidFill>
          </w14:textFill>
        </w:rPr>
        <w:t xml:space="preserve">二、招标文件</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4、招标文件组成</w:t>
      </w:r>
      <w:r/>
    </w:p>
    <w:p>
      <w:pPr>
        <w:pStyle w:val="903"/>
        <w:numPr>
          <w:ilvl w:val="1"/>
          <w:numId w:val="4"/>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903"/>
        <w:numPr>
          <w:ilvl w:val="1"/>
          <w:numId w:val="4"/>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招标的最小单位是包。招标服务数量及技术要求中未分包的，供应商对要求提供的服务不得部分投标；招标服务数量及技术要求中已经分包的，应当以包为单位投标。</w:t>
      </w:r>
      <w:r/>
    </w:p>
    <w:p>
      <w:pPr>
        <w:pStyle w:val="903"/>
        <w:numPr>
          <w:ilvl w:val="1"/>
          <w:numId w:val="4"/>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招标文件如果要求供应商提交备选投标方案的，供应商可以提交备选方案；否则，备选方案将被拒绝。</w:t>
      </w:r>
      <w:r/>
    </w:p>
    <w:p>
      <w:pPr>
        <w:ind w:firstLine="422"/>
        <w:spacing w:line="360" w:lineRule="auto"/>
        <w:rPr>
          <w:b/>
          <w:color w:val="000000" w:themeColor="text1"/>
          <w:sz w:val="21"/>
          <w:szCs w:val="21"/>
          <w14:textFill>
            <w14:solidFill>
              <w14:schemeClr w14:val="tx1"/>
            </w14:solidFill>
          </w14:textFill>
        </w:rPr>
      </w:pPr>
      <w:r/>
      <w:bookmarkStart w:id="12" w:name="5、招标文件的澄清、修改"/>
      <w:r/>
      <w:bookmarkEnd w:id="12"/>
      <w:r>
        <w:rPr>
          <w:rFonts w:hint="eastAsia"/>
          <w:b/>
          <w:color w:val="000000" w:themeColor="text1"/>
          <w:sz w:val="21"/>
          <w:szCs w:val="21"/>
          <w14:textFill>
            <w14:solidFill>
              <w14:schemeClr w14:val="tx1"/>
            </w14:solidFill>
          </w14:textFill>
        </w:rPr>
        <w:t xml:space="preserve">5、招标文件的澄清、修改</w:t>
      </w:r>
      <w:r/>
    </w:p>
    <w:p>
      <w:pPr>
        <w:pStyle w:val="903"/>
        <w:numPr>
          <w:ilvl w:val="1"/>
          <w:numId w:val="5"/>
        </w:numPr>
        <w:ind w:firstLine="420"/>
        <w:spacing w:line="360" w:lineRule="auto"/>
        <w:tabs>
          <w:tab w:val="left" w:pos="95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招标代理机构对已发出的招标文件进行必要澄清或者修改的，将在招标文件要求提交投标文件截止时间</w:t>
      </w:r>
      <w:r>
        <w:rPr>
          <w:rFonts w:hint="eastAsia"/>
          <w:b/>
          <w:color w:val="000000" w:themeColor="text1"/>
          <w:sz w:val="21"/>
          <w:szCs w:val="21"/>
          <w:u w:val="single"/>
          <w14:textFill>
            <w14:solidFill>
              <w14:schemeClr w14:val="tx1"/>
            </w14:solidFill>
          </w14:textFill>
        </w:rPr>
        <w:t xml:space="preserve">十五日</w:t>
      </w:r>
      <w:r>
        <w:rPr>
          <w:rFonts w:hint="eastAsia"/>
          <w:color w:val="000000" w:themeColor="text1"/>
          <w:sz w:val="21"/>
          <w:szCs w:val="21"/>
          <w14:textFill>
            <w14:solidFill>
              <w14:schemeClr w14:val="tx1"/>
            </w14:solidFill>
          </w14:textFill>
        </w:rPr>
        <w:t xml:space="preserve">前，在原招标公告媒体发布更正公告，该澄清或者修改的内容为招标文件的组成部分。</w:t>
      </w:r>
      <w:r/>
    </w:p>
    <w:p>
      <w:pPr>
        <w:pStyle w:val="903"/>
        <w:numPr>
          <w:ilvl w:val="1"/>
          <w:numId w:val="5"/>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招标代理机构在招标文件要求提交投标文件截止时间</w:t>
      </w:r>
      <w:r>
        <w:rPr>
          <w:rFonts w:hint="eastAsia"/>
          <w:b/>
          <w:color w:val="000000" w:themeColor="text1"/>
          <w:sz w:val="21"/>
          <w:szCs w:val="21"/>
          <w:u w:val="single"/>
          <w14:textFill>
            <w14:solidFill>
              <w14:schemeClr w14:val="tx1"/>
            </w14:solidFill>
          </w14:textFill>
        </w:rPr>
        <w:t xml:space="preserve">三日</w:t>
      </w:r>
      <w:r>
        <w:rPr>
          <w:rFonts w:hint="eastAsia"/>
          <w:color w:val="000000" w:themeColor="text1"/>
          <w:sz w:val="21"/>
          <w:szCs w:val="21"/>
          <w14:textFill>
            <w14:solidFill>
              <w14:schemeClr w14:val="tx1"/>
            </w14:solidFill>
          </w14:textFill>
        </w:rPr>
        <w:t xml:space="preserve">前，有权决定延长投标截止时间和开标时间，并在原采购信息发布媒体上发布变更公告。</w:t>
      </w:r>
      <w:r/>
    </w:p>
    <w:p>
      <w:pPr>
        <w:pStyle w:val="903"/>
        <w:numPr>
          <w:ilvl w:val="1"/>
          <w:numId w:val="5"/>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供应商应在投标截止时间前关注原采购信息发布媒体上有关本招标项目有无变更公告。  </w:t>
      </w:r>
      <w:bookmarkStart w:id="13" w:name="三、投标"/>
      <w:r/>
      <w:bookmarkEnd w:id="13"/>
      <w:r/>
      <w:r/>
    </w:p>
    <w:p>
      <w:pPr>
        <w:pStyle w:val="903"/>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三、投标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6、投标文件的语言、计量单位、货币和编制</w:t>
      </w:r>
      <w:r/>
    </w:p>
    <w:p>
      <w:pPr>
        <w:pStyle w:val="903"/>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03"/>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6.2 供应商所使用的计量单位应为国家法定计量单位。</w:t>
      </w:r>
      <w:r/>
    </w:p>
    <w:p>
      <w:pPr>
        <w:pStyle w:val="903"/>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6.3 供应商应用人民币报价。</w:t>
      </w:r>
      <w:r/>
    </w:p>
    <w:p>
      <w:pPr>
        <w:pStyle w:val="903"/>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6.4 如标书制作工具中格式和内容与“江苏政府采购网”发布的招标文件不一致，以“江苏政府采购网”发布的招标文件为准。</w:t>
      </w:r>
      <w:r/>
    </w:p>
    <w:p>
      <w:pPr>
        <w:pStyle w:val="903"/>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6.5 供应商应在投标文件中写清相应的项目编号、项目名称、供应商全称、地址、电话、传真等。</w:t>
      </w:r>
      <w:r/>
    </w:p>
    <w:p>
      <w:pPr>
        <w:pStyle w:val="903"/>
        <w:numPr>
          <w:ilvl w:val="1"/>
          <w:numId w:val="0"/>
        </w:numPr>
        <w:ind w:firstLine="420"/>
        <w:spacing w:line="360" w:lineRule="auto"/>
        <w:tabs>
          <w:tab w:val="left" w:pos="105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6.6 供应商所使用的技术标准应遵循国家最新标准及规范。</w:t>
      </w:r>
      <w:r>
        <w:rPr>
          <w:rFonts w:hint="eastAsia"/>
          <w:color w:val="000000" w:themeColor="text1"/>
          <w:sz w:val="21"/>
          <w:szCs w:val="21"/>
          <w14:textFill>
            <w14:solidFill>
              <w14:schemeClr w14:val="tx1"/>
            </w14:solidFill>
          </w14:textFill>
        </w:rPr>
        <w:t xml:space="preserve">   </w:t>
      </w:r>
      <w:r/>
    </w:p>
    <w:p>
      <w:pPr>
        <w:pStyle w:val="903"/>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w:t>
      </w:r>
      <w:r>
        <w:rPr>
          <w:rFonts w:hint="eastAsia"/>
          <w:b/>
          <w:color w:val="000000" w:themeColor="text1"/>
          <w:sz w:val="21"/>
          <w:szCs w:val="21"/>
          <w14:textFill>
            <w14:solidFill>
              <w14:schemeClr w14:val="tx1"/>
            </w14:solidFill>
          </w14:textFill>
        </w:rPr>
        <w:t xml:space="preserve">、联合投标</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本次项目不接受联合体形式投标</w:t>
      </w:r>
      <w:bookmarkStart w:id="14" w:name="8、投标费用"/>
      <w:r/>
      <w:bookmarkEnd w:id="14"/>
      <w:r>
        <w:rPr>
          <w:rFonts w:hint="eastAsia"/>
          <w:color w:val="000000" w:themeColor="text1"/>
          <w:sz w:val="21"/>
          <w:szCs w:val="2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8、投标费用</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w:t>
      </w:r>
      <w:r>
        <w:rPr>
          <w:bCs/>
          <w:color w:val="000000" w:themeColor="text1"/>
          <w:sz w:val="21"/>
          <w:szCs w:val="21"/>
          <w:lang w:val="en-US"/>
          <w14:textFill>
            <w14:solidFill>
              <w14:schemeClr w14:val="tx1"/>
            </w14:solidFill>
          </w14:textFill>
        </w:rPr>
        <w:t xml:space="preserve">.</w:t>
      </w:r>
      <w:r>
        <w:rPr>
          <w:rFonts w:hint="eastAsia"/>
          <w:bCs/>
          <w:color w:val="000000" w:themeColor="text1"/>
          <w:sz w:val="21"/>
          <w:szCs w:val="21"/>
          <w:lang w:val="en-US"/>
          <w14:textFill>
            <w14:solidFill>
              <w14:schemeClr w14:val="tx1"/>
            </w14:solidFill>
          </w14:textFill>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rPr>
          <w:bCs/>
          <w:color w:val="000000" w:themeColor="text1"/>
          <w:sz w:val="21"/>
          <w:szCs w:val="21"/>
          <w:lang w:val="en-US"/>
          <w14:textFill>
            <w14:solidFill>
              <w14:schemeClr w14:val="tx1"/>
            </w14:solidFill>
          </w14:textFill>
        </w:rPr>
        <w:t xml:space="preserve">  </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8.2 投标保证金：本项目</w:t>
      </w:r>
      <w:r>
        <w:rPr>
          <w:rFonts w:hint="eastAsia"/>
          <w:b/>
          <w:color w:val="000000" w:themeColor="text1"/>
          <w:sz w:val="21"/>
          <w:szCs w:val="21"/>
          <w:lang w:val="en-US"/>
          <w14:textFill>
            <w14:solidFill>
              <w14:schemeClr w14:val="tx1"/>
            </w14:solidFill>
          </w14:textFill>
        </w:rPr>
        <w:t xml:space="preserve">不收取</w:t>
      </w:r>
      <w:r>
        <w:rPr>
          <w:rFonts w:hint="eastAsia"/>
          <w:bCs/>
          <w:color w:val="000000" w:themeColor="text1"/>
          <w:sz w:val="21"/>
          <w:szCs w:val="21"/>
          <w:lang w:val="en-US"/>
          <w14:textFill>
            <w14:solidFill>
              <w14:schemeClr w14:val="tx1"/>
            </w14:solidFill>
          </w14:textFill>
        </w:rPr>
        <w:t xml:space="preserve">投标保证金。</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9、投标文件组成</w:t>
      </w:r>
      <w:r/>
    </w:p>
    <w:p>
      <w:pPr>
        <w:pStyle w:val="903"/>
        <w:numPr>
          <w:ilvl w:val="1"/>
          <w:numId w:val="6"/>
        </w:numPr>
        <w:ind w:firstLine="420"/>
        <w:spacing w:line="360" w:lineRule="auto"/>
        <w:tabs>
          <w:tab w:val="left" w:pos="100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03"/>
        <w:numPr>
          <w:ilvl w:val="1"/>
          <w:numId w:val="6"/>
        </w:numPr>
        <w:ind w:firstLine="420"/>
        <w:spacing w:line="360" w:lineRule="auto"/>
        <w:tabs>
          <w:tab w:val="left" w:pos="104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供应商根据招标文件载明的标的采购项目实际情况，拟在中标后将中标项目的非主体、非关键性工作交由他人完成的，应当在投标文件中载明。</w:t>
      </w:r>
      <w:r/>
    </w:p>
    <w:p>
      <w:pPr>
        <w:pStyle w:val="903"/>
        <w:numPr>
          <w:ilvl w:val="1"/>
          <w:numId w:val="6"/>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投标文件由商务部分、技术部分、价格部分，以及其他部分组成。 </w:t>
      </w:r>
      <w:r/>
    </w:p>
    <w:p>
      <w:pPr>
        <w:pStyle w:val="903"/>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10、投标文件的商务部分</w:t>
      </w:r>
      <w:r/>
    </w:p>
    <w:p>
      <w:pPr>
        <w:pStyle w:val="833"/>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”项目不得有缺失或无效。</w:t>
      </w:r>
      <w:r/>
    </w:p>
    <w:p>
      <w:pPr>
        <w:pStyle w:val="903"/>
        <w:numPr>
          <w:ilvl w:val="0"/>
          <w:numId w:val="7"/>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投标申请及声明；</w:t>
      </w:r>
      <w:r/>
    </w:p>
    <w:p>
      <w:pPr>
        <w:pStyle w:val="903"/>
        <w:numPr>
          <w:ilvl w:val="0"/>
          <w:numId w:val="7"/>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法定代表人授权委托书及委托代理人的身份证复印件；</w:t>
      </w:r>
      <w:r/>
    </w:p>
    <w:p>
      <w:pPr>
        <w:pStyle w:val="903"/>
        <w:numPr>
          <w:ilvl w:val="0"/>
          <w:numId w:val="7"/>
        </w:numPr>
        <w:ind w:firstLine="442"/>
        <w:spacing w:line="360" w:lineRule="auto"/>
        <w:tabs>
          <w:tab w:val="left" w:pos="1169"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第一章投标邀请中申请人的资格要求规定的资格条件证明文件；</w:t>
      </w:r>
      <w:r/>
    </w:p>
    <w:p>
      <w:pPr>
        <w:pStyle w:val="903"/>
        <w:ind w:left="440" w:firstLine="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4</w:t>
      </w:r>
      <w:r>
        <w:rPr>
          <w:rFonts w:hint="eastAsia"/>
          <w:color w:val="000000" w:themeColor="text1"/>
          <w:sz w:val="2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《商务条款偏离表》；</w:t>
      </w:r>
      <w:r/>
    </w:p>
    <w:p>
      <w:pPr>
        <w:pStyle w:val="903"/>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）供应商认为需要提供的其他资格证明文件和商务资料等。 </w:t>
      </w:r>
      <w:r/>
    </w:p>
    <w:p>
      <w:pPr>
        <w:pStyle w:val="903"/>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11、投标文件的技术部分</w:t>
      </w:r>
      <w:r/>
    </w:p>
    <w:p>
      <w:pPr>
        <w:pStyle w:val="903"/>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技术部分是证明供应商提供的产品和服务是合格的、并符合招标文件要求的证明文件，以及对投标报价表中的服务的详细说明，这些文件可以是文字资料、图纸和数据等。</w:t>
      </w:r>
      <w:r/>
    </w:p>
    <w:p>
      <w:pPr>
        <w:pStyle w:val="903"/>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若技术性能无特殊说明，则按国家有关部门最新颁布的标准及规范为准；</w:t>
      </w:r>
      <w:r/>
    </w:p>
    <w:p>
      <w:pPr>
        <w:pStyle w:val="903"/>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提供的服务如与招标文件要求有不符之处，应说明其差别之所在，并在《技术条款偏离表》中逐条予以说明。</w:t>
      </w:r>
      <w:r/>
    </w:p>
    <w:p>
      <w:pPr>
        <w:pStyle w:val="903"/>
        <w:numPr>
          <w:ilvl w:val="1"/>
          <w:numId w:val="8"/>
        </w:numPr>
        <w:ind w:firstLine="420"/>
        <w:spacing w:line="360" w:lineRule="auto"/>
        <w:tabs>
          <w:tab w:val="left" w:pos="1164"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投标文件应按照招标文件要求提供技术资料、文件和有关证明，包括但不限于</w:t>
      </w:r>
      <w:r>
        <w:rPr>
          <w:rFonts w:hint="eastAsia"/>
          <w:b/>
          <w:color w:val="000000" w:themeColor="text1"/>
          <w:sz w:val="21"/>
          <w:szCs w:val="21"/>
          <w14:textFill>
            <w14:solidFill>
              <w14:schemeClr w14:val="tx1"/>
            </w14:solidFill>
          </w14:textFill>
        </w:rPr>
        <w:t xml:space="preserve">其中加</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项目不得有缺失或无效：</w:t>
      </w:r>
      <w:r/>
    </w:p>
    <w:p>
      <w:pPr>
        <w:pStyle w:val="903"/>
        <w:numPr>
          <w:ilvl w:val="0"/>
          <w:numId w:val="9"/>
        </w:numPr>
        <w:ind w:firstLine="420"/>
        <w:spacing w:line="360" w:lineRule="auto"/>
        <w:tabs>
          <w:tab w:val="left" w:pos="1164" w:leader="none"/>
        </w:tabs>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拟投入本项目人员配备表；</w:t>
      </w:r>
      <w:r/>
    </w:p>
    <w:p>
      <w:pPr>
        <w:pStyle w:val="903"/>
        <w:numPr>
          <w:ilvl w:val="0"/>
          <w:numId w:val="9"/>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项目实施方案；</w:t>
      </w:r>
      <w:r/>
    </w:p>
    <w:p>
      <w:pPr>
        <w:pStyle w:val="903"/>
        <w:numPr>
          <w:ilvl w:val="0"/>
          <w:numId w:val="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服务承诺；</w:t>
      </w:r>
      <w:r/>
    </w:p>
    <w:p>
      <w:pPr>
        <w:pStyle w:val="903"/>
        <w:numPr>
          <w:ilvl w:val="0"/>
          <w:numId w:val="9"/>
        </w:numPr>
        <w:ind w:firstLine="442"/>
        <w:spacing w:line="360" w:lineRule="auto"/>
        <w:tabs>
          <w:tab w:val="left" w:pos="1163"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《技术条款偏离表》；</w:t>
      </w:r>
      <w:r/>
    </w:p>
    <w:p>
      <w:pPr>
        <w:pStyle w:val="903"/>
        <w:numPr>
          <w:ilvl w:val="0"/>
          <w:numId w:val="9"/>
        </w:numPr>
        <w:ind w:firstLine="42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供应商认为需要提供的其他技术资料。</w:t>
      </w:r>
      <w:r/>
    </w:p>
    <w:p>
      <w:pPr>
        <w:pStyle w:val="903"/>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12、投标文件的价格部分</w:t>
      </w:r>
      <w:r/>
    </w:p>
    <w:p>
      <w:pPr>
        <w:pStyle w:val="903"/>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12.1 价格部分是对投标价格构成的说明，每一项货物仅接受一个价格。投标人应按照招标文件规定格式填报投标分项报价表。</w:t>
      </w:r>
      <w:r/>
    </w:p>
    <w:p>
      <w:pPr>
        <w:pStyle w:val="903"/>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12.2 供应商的投标报价，是指提供招标项目货物，并进行项目安装、调试、验收及售后等相关服务的所有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pStyle w:val="903"/>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12.3 供应商的任何错漏、优惠、竞争性报价不得作为减轻责任、减少服务、增加收费、降低质量的理由。</w:t>
      </w:r>
      <w:r/>
    </w:p>
    <w:p>
      <w:pPr>
        <w:pStyle w:val="903"/>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03"/>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12.5 《开标一览表》须加盖电子公章。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13、投标文件的其他部分</w:t>
      </w:r>
      <w:r/>
    </w:p>
    <w:p>
      <w:pPr>
        <w:pStyle w:val="833"/>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其他部分由供应商根据编制投标文件需要提供的其他相关文件组成。</w:t>
      </w:r>
      <w:r/>
    </w:p>
    <w:p>
      <w:pPr>
        <w:pStyle w:val="833"/>
        <w:ind w:firstLine="42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14、投标有效期</w:t>
      </w:r>
      <w:r/>
    </w:p>
    <w:p>
      <w:pPr>
        <w:pStyle w:val="903"/>
        <w:numPr>
          <w:ilvl w:val="1"/>
          <w:numId w:val="10"/>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自开标之日起</w:t>
      </w:r>
      <w:r>
        <w:rPr>
          <w:rFonts w:hint="eastAsia"/>
          <w:b/>
          <w:color w:val="000000" w:themeColor="text1"/>
          <w:sz w:val="21"/>
          <w:szCs w:val="21"/>
          <w14:textFill>
            <w14:solidFill>
              <w14:schemeClr w14:val="tx1"/>
            </w14:solidFill>
          </w14:textFill>
        </w:rPr>
        <w:t xml:space="preserve">60天</w:t>
      </w:r>
      <w:r>
        <w:rPr>
          <w:rFonts w:hint="eastAsia"/>
          <w:color w:val="000000" w:themeColor="text1"/>
          <w:sz w:val="21"/>
          <w:szCs w:val="21"/>
          <w14:textFill>
            <w14:solidFill>
              <w14:schemeClr w14:val="tx1"/>
            </w14:solidFill>
          </w14:textFill>
        </w:rPr>
        <w:t xml:space="preserve">内投标有效。</w:t>
      </w:r>
      <w:r/>
    </w:p>
    <w:p>
      <w:pPr>
        <w:pStyle w:val="903"/>
        <w:numPr>
          <w:ilvl w:val="1"/>
          <w:numId w:val="10"/>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15、投标文件的份数、签署</w:t>
      </w:r>
      <w:r/>
    </w:p>
    <w:p>
      <w:pPr>
        <w:pStyle w:val="903"/>
        <w:numPr>
          <w:ilvl w:val="1"/>
          <w:numId w:val="11"/>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除供应商对错处做必要修改外，投标文件不得行间插字、涂改或增删。如有修改错漏处，必须由投标文件签署人签字或加盖电子公章。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16、投标文件的递交</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.1 投标人应当按照《操作手册》规定，在招标公告规定的投标截止时间前制作并上传电子投标文件。</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903"/>
        <w:numPr>
          <w:ilvl w:val="1"/>
          <w:numId w:val="0"/>
        </w:numPr>
        <w:ind w:firstLine="420"/>
        <w:spacing w:line="360" w:lineRule="auto"/>
        <w:tabs>
          <w:tab w:val="left" w:pos="1164"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.3 代理机构有权通过修改招标文件酌情延长投标截止时间，在此情况下，投标人的所有权利和义务均以延长后新的截止时间为准。</w:t>
      </w:r>
      <w:r>
        <w:rPr>
          <w:rFonts w:hint="eastAsia"/>
          <w:color w:val="000000" w:themeColor="text1"/>
          <w:sz w:val="21"/>
          <w:szCs w:val="21"/>
          <w14:textFill>
            <w14:solidFill>
              <w14:schemeClr w14:val="tx1"/>
            </w14:solidFill>
          </w14:textFill>
        </w:rPr>
        <w:t xml:space="preserve">   </w:t>
      </w:r>
      <w:r/>
    </w:p>
    <w:p>
      <w:pPr>
        <w:pStyle w:val="903"/>
        <w:ind w:left="440" w:firstLine="0"/>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17、有下列情形之一的投标文件将拒收：</w:t>
      </w:r>
      <w:r/>
    </w:p>
    <w:p>
      <w:pPr>
        <w:ind w:firstLine="420"/>
        <w:spacing w:line="360" w:lineRule="auto"/>
        <w:rPr>
          <w:color w:val="000000" w:themeColor="text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17.1 </w:t>
      </w:r>
      <w:r>
        <w:rPr>
          <w:rFonts w:hint="eastAsia"/>
          <w:color w:val="000000" w:themeColor="text1"/>
          <w:sz w:val="21"/>
          <w:szCs w:val="21"/>
          <w14:textFill>
            <w14:solidFill>
              <w14:schemeClr w14:val="tx1"/>
            </w14:solidFill>
          </w14:textFill>
        </w:rPr>
        <w:t xml:space="preserve">在招标文件要求提交投标文件的截止时间之后上传的。</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18、投标文件的修改和撤回</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.1 投标文件的修改</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.2.1 投标人可在投标截止时间前对其电子投标文件进行修改，具体操作方法见《操作手册》。</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.2.2 投标截止时间之后，投标人不得对其电子投标文件作任何修改。</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 投标文件的撤回</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.2.1  投标人可在投标截止时间前撤回其电子投标文件，具体操作方法见《操作手册》。</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.2.2 投标人撤回电子投标文件，则认为其不再参与本项目投标活动。</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.2.3 在投标截止时间至招标文件中规定的投标有效期满之间的这段时间内，投标人不得撤回其投标。</w:t>
      </w:r>
      <w:r/>
    </w:p>
    <w:p>
      <w:pPr>
        <w:ind w:firstLine="422"/>
        <w:spacing w:line="360" w:lineRule="auto"/>
        <w:rPr>
          <w:b/>
          <w:color w:val="000000" w:themeColor="text1"/>
          <w:sz w:val="21"/>
          <w:szCs w:val="21"/>
          <w14:textFill>
            <w14:solidFill>
              <w14:schemeClr w14:val="tx1"/>
            </w14:solidFill>
          </w14:textFill>
        </w:rPr>
      </w:pPr>
      <w:r/>
      <w:bookmarkStart w:id="15" w:name="四、开标、评标与确定中标供应商"/>
      <w:r/>
      <w:bookmarkEnd w:id="15"/>
      <w:r>
        <w:rPr>
          <w:rFonts w:hint="eastAsia"/>
          <w:b/>
          <w:color w:val="000000" w:themeColor="text1"/>
          <w:sz w:val="21"/>
          <w:szCs w:val="21"/>
          <w14:textFill>
            <w14:solidFill>
              <w14:schemeClr w14:val="tx1"/>
            </w14:solidFill>
          </w14:textFill>
        </w:rPr>
        <w:t xml:space="preserve">四、开标、评标与确定中标供应商</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19、开标</w:t>
      </w:r>
      <w:r/>
    </w:p>
    <w:p>
      <w:pPr>
        <w:pStyle w:val="903"/>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03"/>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.2 投标人在开标过程中涉及到的投标文件解密、开标结果确认等工作，应按照《操作手册》规定执行。</w:t>
      </w:r>
      <w:r/>
    </w:p>
    <w:p>
      <w:pPr>
        <w:pStyle w:val="903"/>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20、评标</w:t>
      </w:r>
      <w:r/>
    </w:p>
    <w:p>
      <w:pPr>
        <w:pStyle w:val="903"/>
        <w:numPr>
          <w:ilvl w:val="1"/>
          <w:numId w:val="0"/>
        </w:numPr>
        <w:ind w:firstLine="422"/>
        <w:spacing w:line="360" w:lineRule="auto"/>
        <w:tabs>
          <w:tab w:val="left" w:pos="110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20.1</w:t>
      </w:r>
      <w:r>
        <w:rPr>
          <w:rFonts w:hint="eastAsia"/>
          <w:b/>
          <w:color w:val="000000" w:themeColor="text1"/>
          <w:sz w:val="21"/>
          <w:szCs w:val="21"/>
          <w14:textFill>
            <w14:solidFill>
              <w14:schemeClr w14:val="tx1"/>
            </w14:solidFill>
          </w14:textFill>
        </w:rPr>
        <w:t xml:space="preserve">评标组织</w:t>
      </w:r>
      <w:r/>
    </w:p>
    <w:p>
      <w:pPr>
        <w:pStyle w:val="903"/>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21.1.1评标工作由代理机构组织评标委员会（以下简称“评委会”）进行，具体评标事务由依法组建的评标委员会负责，并独立履行下列职责：</w:t>
      </w:r>
      <w:r/>
    </w:p>
    <w:p>
      <w:pPr>
        <w:pStyle w:val="903"/>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（1）审查、评价投标文件是否符合招标文件的商务、技术等实质性要求；</w:t>
      </w:r>
      <w:r/>
    </w:p>
    <w:p>
      <w:pPr>
        <w:pStyle w:val="903"/>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（2）要求供应商对投标文件有关事项作出澄清或者说明；</w:t>
      </w:r>
      <w:r/>
    </w:p>
    <w:p>
      <w:pPr>
        <w:pStyle w:val="903"/>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（3）对投标文件进行比较和评价；</w:t>
      </w:r>
      <w:r/>
    </w:p>
    <w:p>
      <w:pPr>
        <w:pStyle w:val="903"/>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（4）推荐中标候选人或根据采购人委托直接确定中标供应商；</w:t>
      </w:r>
      <w:r/>
    </w:p>
    <w:p>
      <w:pPr>
        <w:pStyle w:val="903"/>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（5）向采购人、财政部门报告评标中发现的违法行为。</w:t>
      </w:r>
      <w:r/>
    </w:p>
    <w:p>
      <w:pPr>
        <w:pStyle w:val="903"/>
        <w:numPr>
          <w:ilvl w:val="1"/>
          <w:numId w:val="0"/>
        </w:numPr>
        <w:ind w:firstLine="422"/>
        <w:spacing w:line="360" w:lineRule="auto"/>
        <w:tabs>
          <w:tab w:val="left" w:pos="1167"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w:t>
      </w:r>
      <w:r>
        <w:rPr>
          <w:rFonts w:hint="eastAsia"/>
          <w:b/>
          <w:color w:val="000000" w:themeColor="text1"/>
          <w:sz w:val="21"/>
          <w:szCs w:val="21"/>
          <w14:textFill>
            <w14:solidFill>
              <w14:schemeClr w14:val="tx1"/>
            </w14:solidFill>
          </w14:textFill>
        </w:rPr>
        <w:t xml:space="preserve">评标程序</w:t>
      </w:r>
      <w:r/>
    </w:p>
    <w:p>
      <w:pPr>
        <w:pStyle w:val="903"/>
        <w:numPr>
          <w:ilvl w:val="2"/>
          <w:numId w:val="0"/>
        </w:numPr>
        <w:ind w:firstLine="422"/>
        <w:spacing w:line="360" w:lineRule="auto"/>
        <w:tabs>
          <w:tab w:val="left" w:pos="1378"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20.2.1</w:t>
      </w:r>
      <w:r>
        <w:rPr>
          <w:rFonts w:hint="eastAsia"/>
          <w:b/>
          <w:color w:val="000000" w:themeColor="text1"/>
          <w:sz w:val="21"/>
          <w:szCs w:val="21"/>
          <w14:textFill>
            <w14:solidFill>
              <w14:schemeClr w14:val="tx1"/>
            </w14:solidFill>
          </w14:textFill>
        </w:rPr>
        <w:t xml:space="preserve">投标文件的资格审查。</w:t>
      </w:r>
      <w:r/>
    </w:p>
    <w:p>
      <w:pPr>
        <w:pStyle w:val="903"/>
        <w:ind w:left="0"/>
        <w:spacing w:line="360" w:lineRule="auto"/>
        <w:tabs>
          <w:tab w:val="left" w:pos="1163" w:leader="none"/>
        </w:tabs>
        <w:rPr>
          <w:color w:val="000000" w:themeColor="text1"/>
          <w:sz w:val="21"/>
          <w:szCs w:val="21"/>
          <w14:textFill>
            <w14:solidFill>
              <w14:schemeClr w14:val="tx1"/>
            </w14:solidFill>
          </w14:textFill>
        </w:rPr>
      </w:pPr>
      <w:r/>
      <w:bookmarkStart w:id="16" w:name="20.2.1.1采购人代表将依法对投标人的资格进行审查。"/>
      <w:r/>
      <w:bookmarkEnd w:id="16"/>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.2.1.1采购人代表依法对供应商的资格进行审查。</w:t>
      </w:r>
      <w:r/>
    </w:p>
    <w:p>
      <w:pPr>
        <w:pStyle w:val="903"/>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.2.1.2采购人代表依据法律法规和招标文件的规定，对投标文件中的资格证明文件等进行审查，以确定投标供应商是否具备投标资格。</w:t>
      </w:r>
      <w:r/>
    </w:p>
    <w:p>
      <w:pPr>
        <w:pStyle w:val="903"/>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03"/>
        <w:ind w:left="0"/>
        <w:spacing w:line="360" w:lineRule="auto"/>
        <w:tabs>
          <w:tab w:val="left" w:pos="1163" w:leader="none"/>
        </w:tabs>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w:t>
      </w:r>
      <w:r>
        <w:rPr>
          <w:rFonts w:hint="eastAsia"/>
          <w:b/>
          <w:bCs/>
          <w:color w:val="000000" w:themeColor="text1"/>
          <w:sz w:val="21"/>
          <w:szCs w:val="21"/>
          <w:lang w:val="en-US"/>
          <w14:textFill>
            <w14:solidFill>
              <w14:schemeClr w14:val="tx1"/>
            </w14:solidFill>
          </w14:textFill>
        </w:rPr>
        <w:t xml:space="preserve">0</w:t>
      </w:r>
      <w:r>
        <w:rPr>
          <w:b/>
          <w:bCs/>
          <w:color w:val="000000" w:themeColor="text1"/>
          <w:sz w:val="21"/>
          <w:szCs w:val="21"/>
          <w14:textFill>
            <w14:solidFill>
              <w14:schemeClr w14:val="tx1"/>
            </w14:solidFill>
          </w14:textFill>
        </w:rPr>
        <w:t xml:space="preserve">.2.1.4 投标文件有下列情况之一的，在资格性审查时按照无效投标处理</w:t>
      </w:r>
      <w:r/>
    </w:p>
    <w:p>
      <w:pPr>
        <w:pStyle w:val="903"/>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（1）不具备招标文件规定资格条件的； </w:t>
      </w:r>
      <w:r/>
    </w:p>
    <w:p>
      <w:pPr>
        <w:pStyle w:val="903"/>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03"/>
        <w:numPr>
          <w:ilvl w:val="2"/>
          <w:numId w:val="0"/>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20.2.2</w:t>
      </w:r>
      <w:r>
        <w:rPr>
          <w:rFonts w:hint="eastAsia"/>
          <w:b/>
          <w:color w:val="000000" w:themeColor="text1"/>
          <w:sz w:val="21"/>
          <w:szCs w:val="21"/>
          <w14:textFill>
            <w14:solidFill>
              <w14:schemeClr w14:val="tx1"/>
            </w14:solidFill>
          </w14:textFill>
        </w:rPr>
        <w:t xml:space="preserve">投标文件的符合性审查。</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.2.2.1评标委员会将依据法律法规和招标文件的规定，对投标文件的有效性、完整性和对招标文件的响应程度进行审查，以确定是否对招标文件的实质性要求作出响应。</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.2.2.2 实质性要求是指本招标文件中带“★”的商务和技术要求。</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.2.2.3 如果投标文件实质上没有响应招标文件的要求，评标委员会将予以拒绝，供应商不得通过修改或撤销不合要求的偏离而使其投标成为实质性响应的投标。</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.2.2.4 投标文件有下列情况之一的，在符合性审查时按照无效投标处理</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（1）未按招标文件规定签署、盖章的；</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（2）没有《开标一览表》或《开标一览表》未按招标文件要求盖章的；</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（3）投标总价超出采购预算金额或者最高限价的；</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（4）不同供应商的投标文件由同一单位或者个人编制；</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（5）不同供应商委托同一单位或者个人办理投标事宜；</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（6）不同供应商的投标文件载明的项目管理成员或者联系人员为同一人；</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（7）不同供应商的投标文件异常一致或者投标报价呈规律性差异；</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（8）不同供应商的投标文件相互混装；</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（9）不同供应商的法定代表人或委托代理人有夫妻、直系血亲关系的；</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（10）不同供应商的负责人为同一人或者存在控股、管理关系的；</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（11）不同供应商的委托代理人（或法定代表人、项目经理、项目总监、项目负责人等）在招标文件发布日上月至投标截止日当月在同一单位缴纳社会保险的；</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（12）属于投标邀请中拒绝参加本次采购活动供应商的；</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（13）投标文件含有采购人不能接受的附加条件的；</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（15）投标人在苏采云系统规定的时间内未成功解密电子投标文件。</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（16）投标人未按照招标文件要求上传电子投标文件。</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（17）同一投标人提交两个（含两个）以上不同的投标报价。</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（18）采购产品被财政部、国家发改委、生态环境部等列入“节能产品品目清单”强制采购范围，而投标人提供的产品不在强制采购范围内。</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未通过资格审查或符合性审查的投标人，代理机构将通过苏采云系统告知其具体原因，评标结束后不再接受有关询问。</w:t>
      </w:r>
      <w:r/>
    </w:p>
    <w:p>
      <w:pPr>
        <w:pStyle w:val="903"/>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20.2.2.5</w:t>
      </w:r>
      <w:r>
        <w:rPr>
          <w:rFonts w:hint="eastAsia"/>
          <w:b/>
          <w:bCs/>
          <w:color w:val="000000" w:themeColor="text1"/>
          <w:sz w:val="21"/>
          <w:szCs w:val="21"/>
          <w:lang w:val="en-US"/>
          <w14:textFill>
            <w14:solidFill>
              <w14:schemeClr w14:val="tx1"/>
            </w14:solidFill>
          </w14:textFill>
        </w:rPr>
        <w:t xml:space="preserve"> </w:t>
      </w:r>
      <w:r>
        <w:rPr>
          <w:rFonts w:hint="eastAsia"/>
          <w:b/>
          <w:bCs/>
          <w:color w:val="000000" w:themeColor="text1"/>
          <w:sz w:val="21"/>
          <w:szCs w:val="21"/>
          <w14:textFill>
            <w14:solidFill>
              <w14:schemeClr w14:val="tx1"/>
            </w14:solidFill>
          </w14:textFill>
        </w:rPr>
        <w:t xml:space="preserve">废标</w:t>
      </w:r>
      <w:r/>
    </w:p>
    <w:p>
      <w:pPr>
        <w:pStyle w:val="903"/>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.2.2.5.1 符合资格条件的供应商或者对招标文件作实质响应的供应商不足三家。</w:t>
      </w:r>
      <w:r/>
    </w:p>
    <w:p>
      <w:pPr>
        <w:pStyle w:val="903"/>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.2.2.5.2 出现影响采购公正的违法、违规行为。</w:t>
      </w:r>
      <w:r/>
    </w:p>
    <w:p>
      <w:pPr>
        <w:pStyle w:val="903"/>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.2.2.5.3 因重大变故采购任务取消。</w:t>
      </w:r>
      <w:r/>
    </w:p>
    <w:p>
      <w:pPr>
        <w:pStyle w:val="903"/>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.2.2.5.4 评委会认定招标文件存在歧义、重大缺陷导致评审工作无法进行。</w:t>
      </w:r>
      <w:r/>
    </w:p>
    <w:p>
      <w:pPr>
        <w:pStyle w:val="903"/>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.2.2.5.5 预留份额的采购项目或采购包，通过发布公告方式邀请供应商后，符合资格条件的中小企业数量不足3家的。</w:t>
      </w:r>
      <w:r/>
    </w:p>
    <w:p>
      <w:pPr>
        <w:pStyle w:val="903"/>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21.2.2.5.6 因苏采云系统故障造成开标不成功。</w:t>
      </w:r>
      <w:r/>
    </w:p>
    <w:p>
      <w:pPr>
        <w:pStyle w:val="903"/>
        <w:ind w:left="440" w:firstLine="0"/>
        <w:spacing w:line="360" w:lineRule="auto"/>
        <w:tabs>
          <w:tab w:val="left" w:pos="1163" w:leader="none"/>
        </w:tabs>
        <w:rPr>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20.2.3 投标文件的进一步评审</w:t>
      </w:r>
      <w:r/>
    </w:p>
    <w:p>
      <w:pPr>
        <w:pStyle w:val="903"/>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20.2.3.1评标委员会将对确定为实质性响应的投标文件进行进一步评审，看其是否有计算上或累加上的算术错误，修正错误的原则如下：</w:t>
      </w:r>
      <w:r/>
    </w:p>
    <w:p>
      <w:pPr>
        <w:pStyle w:val="903"/>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（1）如果用数字表示的金额和用文字表示的金额不一致时，应以文字表示的金额为准进行修正；</w:t>
      </w:r>
      <w:r/>
    </w:p>
    <w:p>
      <w:pPr>
        <w:pStyle w:val="903"/>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（2）当单价与数量的乘积和总价不一致时，以单价为准进行修正。只有在评标委员会认为单价有明显的小数点错误时，才能以标出的总价为准，并修改单价。</w:t>
      </w:r>
      <w:r/>
    </w:p>
    <w:p>
      <w:pPr>
        <w:pStyle w:val="903"/>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03"/>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20.2.3.3 评标委员会将允许修正投标文件中不构成重大偏离的、微小的、非正规的、不一致的或不规则的地方，但这些修改不能影响任何供应商相应的名次排列。</w:t>
      </w:r>
      <w:r/>
    </w:p>
    <w:p>
      <w:pPr>
        <w:pStyle w:val="903"/>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03"/>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20.2.3.5 比较与评价。按照招标文件中规定的评标方法和标准，对资格性检查和符合性检查合格的投标文件进行商务和技术评估，综合比较与评价。</w:t>
      </w:r>
      <w:r/>
    </w:p>
    <w:p>
      <w:pPr>
        <w:pStyle w:val="903"/>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20.2.3.6 投标人在开、评标全过程中应保持通讯畅通，及时登录苏采云系统查阅、答复相关信息，并安排专人与代理机构及评委会联系。</w:t>
      </w:r>
      <w:r/>
    </w:p>
    <w:p>
      <w:pPr>
        <w:pStyle w:val="903"/>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20.2.3.7 如出现投标截止时间后参加投标的供应商或者对招标文件作出实质性响应的供应商不足三家的情况，按政府采购相关规定执行。</w:t>
      </w:r>
      <w:r/>
    </w:p>
    <w:p>
      <w:pPr>
        <w:pStyle w:val="903"/>
        <w:numPr>
          <w:ilvl w:val="2"/>
          <w:numId w:val="0"/>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20.2.</w:t>
      </w:r>
      <w:r>
        <w:rPr>
          <w:rFonts w:hint="eastAsia"/>
          <w:b/>
          <w:bCs/>
          <w:color w:val="000000" w:themeColor="text1"/>
          <w:sz w:val="21"/>
          <w:szCs w:val="21"/>
          <w:lang w:val="en-US"/>
          <w14:textFill>
            <w14:solidFill>
              <w14:schemeClr w14:val="tx1"/>
            </w14:solidFill>
          </w14:textFill>
        </w:rPr>
        <w:t xml:space="preserve">4</w:t>
      </w:r>
      <w:r>
        <w:rPr>
          <w:rFonts w:hint="eastAsia"/>
          <w:b/>
          <w:bCs/>
          <w:color w:val="000000" w:themeColor="text1"/>
          <w:sz w:val="21"/>
          <w:szCs w:val="21"/>
          <w14:textFill>
            <w14:solidFill>
              <w14:schemeClr w14:val="tx1"/>
            </w14:solidFill>
          </w14:textFill>
        </w:rPr>
        <w:t xml:space="preserve">评</w:t>
      </w:r>
      <w:r>
        <w:rPr>
          <w:rFonts w:hint="eastAsia"/>
          <w:b/>
          <w:color w:val="000000" w:themeColor="text1"/>
          <w:sz w:val="21"/>
          <w:szCs w:val="21"/>
          <w14:textFill>
            <w14:solidFill>
              <w14:schemeClr w14:val="tx1"/>
            </w14:solidFill>
          </w14:textFill>
        </w:rPr>
        <w:t xml:space="preserve">审过程中出现下列情形之一的，评审委员会应当启动异常低价投标（响应）审查程序：</w:t>
      </w:r>
      <w:r/>
    </w:p>
    <w:p>
      <w:pPr>
        <w:pStyle w:val="903"/>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03"/>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03"/>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（3）投标（响应）报价低于采购项目最高限价45%的，即投标（响应）报价&lt;采购项目最高限价×45%；</w:t>
      </w:r>
      <w:r/>
    </w:p>
    <w:p>
      <w:pPr>
        <w:pStyle w:val="903"/>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（4）评审委员会认定的供应商报价过低、有可能影响产品质量或者不能诚信履约的其他情形。</w:t>
      </w:r>
      <w:r/>
    </w:p>
    <w:p>
      <w:pPr>
        <w:pStyle w:val="903"/>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评审委员会启动异常低价投标（响应）审查后，属于前述第1项至第4项情形的，应当</w:t>
      </w:r>
      <w:r>
        <w:rPr>
          <w:color w:val="000000" w:themeColor="text1"/>
          <w:sz w:val="21"/>
          <w:szCs w:val="21"/>
          <w14:textFill>
            <w14:solidFill>
              <w14:schemeClr w14:val="tx1"/>
            </w14:solidFill>
          </w14:textFill>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03"/>
        <w:numPr>
          <w:ilvl w:val="1"/>
          <w:numId w:val="0"/>
        </w:numPr>
        <w:ind w:firstLine="422"/>
        <w:spacing w:line="360" w:lineRule="auto"/>
        <w:tabs>
          <w:tab w:val="left" w:pos="1167" w:leader="none"/>
        </w:tabs>
        <w:rPr>
          <w:b/>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20.3</w:t>
      </w:r>
      <w:r>
        <w:rPr>
          <w:rFonts w:hint="eastAsia"/>
          <w:b/>
          <w:color w:val="000000" w:themeColor="text1"/>
          <w:sz w:val="21"/>
          <w:szCs w:val="21"/>
          <w14:textFill>
            <w14:solidFill>
              <w14:schemeClr w14:val="tx1"/>
            </w14:solidFill>
          </w14:textFill>
        </w:rPr>
        <w:t xml:space="preserve">评标方法和标准</w:t>
      </w:r>
      <w:r/>
    </w:p>
    <w:p>
      <w:pPr>
        <w:pStyle w:val="903"/>
        <w:numPr>
          <w:ilvl w:val="2"/>
          <w:numId w:val="0"/>
        </w:numPr>
        <w:ind w:firstLine="422"/>
        <w:spacing w:line="360" w:lineRule="auto"/>
        <w:tabs>
          <w:tab w:val="left" w:pos="127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03"/>
        <w:numPr>
          <w:ilvl w:val="2"/>
          <w:numId w:val="0"/>
        </w:numPr>
        <w:ind w:firstLine="422"/>
        <w:spacing w:line="360" w:lineRule="auto"/>
        <w:tabs>
          <w:tab w:val="left" w:pos="127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.3.2 综合评分的主要因素详见文件第三章。</w:t>
      </w:r>
      <w:r/>
    </w:p>
    <w:p>
      <w:pPr>
        <w:pStyle w:val="903"/>
        <w:numPr>
          <w:ilvl w:val="2"/>
          <w:numId w:val="0"/>
        </w:numPr>
        <w:ind w:firstLine="422"/>
        <w:spacing w:line="360" w:lineRule="auto"/>
        <w:tabs>
          <w:tab w:val="left" w:pos="1270"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.3.3评分标准详见文件第三章。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21、确定中标供应商</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.2 按以下第（1）种方式确定中标供应商</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（1）评标委员会直接确定排名第一的中标候选人为中标供应商；</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（2）采购人在评标委员会推荐的中标候选人中按顺序确定中标供应商。</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.3 中标供应商确定之日起两个工作日内，将在财政部门指定的政府采购信息发布媒体上公告。</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.4 《中标通知书》对采购人和中标供应商具有同等法律效力。</w:t>
      </w:r>
      <w:r/>
    </w:p>
    <w:p>
      <w:pPr>
        <w:pStyle w:val="903"/>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.5 《中标通知书》发出后，中标供应商无正当理由不与采购人签订合同的，应当依法承担法律责任。</w:t>
      </w:r>
      <w:r/>
    </w:p>
    <w:p>
      <w:pPr>
        <w:pStyle w:val="903"/>
        <w:numPr>
          <w:ilvl w:val="1"/>
          <w:numId w:val="0"/>
        </w:numPr>
        <w:ind w:firstLine="420"/>
        <w:spacing w:line="360" w:lineRule="auto"/>
        <w:tabs>
          <w:tab w:val="left" w:pos="1164"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.6代理机构和评标委员会对未中标的供应商不作未中标原因的解释。</w:t>
      </w:r>
      <w:r>
        <w:rPr>
          <w:rFonts w:hint="eastAsia"/>
          <w:color w:val="000000" w:themeColor="text1"/>
          <w:sz w:val="21"/>
          <w:szCs w:val="21"/>
          <w14:textFill>
            <w14:solidFill>
              <w14:schemeClr w14:val="tx1"/>
            </w14:solidFill>
          </w14:textFill>
        </w:rPr>
        <w:t xml:space="preserve">  </w:t>
      </w:r>
      <w:r/>
    </w:p>
    <w:p>
      <w:pPr>
        <w:pStyle w:val="903"/>
        <w:ind w:left="0" w:firstLine="422"/>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22、编写评标报告</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22.1 评标委员会根据全体评标成员签字的原始评标记录和评标结果编写评审报告。</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23、评标过程的保密性</w:t>
      </w:r>
      <w:r/>
    </w:p>
    <w:p>
      <w:pPr>
        <w:pStyle w:val="903"/>
        <w:numPr>
          <w:ilvl w:val="1"/>
          <w:numId w:val="12"/>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招标代理将采取必要措施，保证评标在严格保密的情况下进行。</w:t>
      </w:r>
      <w:r/>
    </w:p>
    <w:p>
      <w:pPr>
        <w:pStyle w:val="903"/>
        <w:numPr>
          <w:ilvl w:val="1"/>
          <w:numId w:val="12"/>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任何单位和个人不得非法干预、影响评标办法的确定，以及评标过程和结果。</w:t>
      </w:r>
      <w:r/>
    </w:p>
    <w:p>
      <w:pPr>
        <w:pStyle w:val="903"/>
        <w:numPr>
          <w:ilvl w:val="1"/>
          <w:numId w:val="12"/>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凡是与审查、澄清、评价和比较投标的有关资料等，均不向供应商及与评标无关的其他人员透露。</w:t>
      </w:r>
      <w:r/>
    </w:p>
    <w:p>
      <w:pPr>
        <w:ind w:firstLine="422"/>
        <w:spacing w:line="360" w:lineRule="auto"/>
        <w:rPr>
          <w:b/>
          <w:color w:val="000000" w:themeColor="text1"/>
          <w:sz w:val="21"/>
          <w:szCs w:val="21"/>
          <w14:textFill>
            <w14:solidFill>
              <w14:schemeClr w14:val="tx1"/>
            </w14:solidFill>
          </w14:textFill>
        </w:rPr>
      </w:pPr>
      <w:r/>
      <w:bookmarkStart w:id="17" w:name="五、签订合同"/>
      <w:r/>
      <w:bookmarkEnd w:id="17"/>
      <w:r>
        <w:rPr>
          <w:rFonts w:hint="eastAsia"/>
          <w:b/>
          <w:color w:val="000000" w:themeColor="text1"/>
          <w:sz w:val="21"/>
          <w:szCs w:val="21"/>
          <w14:textFill>
            <w14:solidFill>
              <w14:schemeClr w14:val="tx1"/>
            </w14:solidFill>
          </w14:textFill>
        </w:rPr>
        <w:t xml:space="preserve">五、签订合同</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24、签订合同</w:t>
      </w:r>
      <w:r/>
    </w:p>
    <w:p>
      <w:pPr>
        <w:pStyle w:val="903"/>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03"/>
        <w:numPr>
          <w:ilvl w:val="1"/>
          <w:numId w:val="13"/>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采购人不得向中标人提出任何不合理的要求作为签订合同的条件，不得与中标人私下订立背离合同实质性内容的协议。</w:t>
      </w:r>
      <w:r/>
    </w:p>
    <w:p>
      <w:pPr>
        <w:pStyle w:val="903"/>
        <w:numPr>
          <w:ilvl w:val="1"/>
          <w:numId w:val="13"/>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03"/>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000000" w:themeColor="text1"/>
          <w:sz w:val="21"/>
          <w:szCs w:val="21"/>
          <w14:textFill>
            <w14:solidFill>
              <w14:schemeClr w14:val="tx1"/>
            </w14:solidFill>
          </w14:textFill>
        </w:rPr>
      </w:pPr>
      <w:r/>
      <w:bookmarkStart w:id="18" w:name="六、询问、质疑、投诉和诚实信用"/>
      <w:r/>
      <w:bookmarkEnd w:id="18"/>
      <w:r>
        <w:rPr>
          <w:rFonts w:hint="eastAsia"/>
          <w:b/>
          <w:color w:val="000000" w:themeColor="text1"/>
          <w:sz w:val="21"/>
          <w:szCs w:val="21"/>
          <w14:textFill>
            <w14:solidFill>
              <w14:schemeClr w14:val="tx1"/>
            </w14:solidFill>
          </w14:textFill>
        </w:rPr>
        <w:t xml:space="preserve">六、询问、质疑、投诉和诚实信用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25、询问</w:t>
      </w:r>
      <w:r/>
    </w:p>
    <w:p>
      <w:pPr>
        <w:pStyle w:val="833"/>
        <w:ind w:firstLine="420"/>
        <w:spacing w:line="360" w:lineRule="auto"/>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 供应商对招标活动事项有疑问的，可以向招标代理或采购人提出询问，招标代理或采购人将在两个工作日内作出答复，但答复的内容不涉及商业秘密</w:t>
      </w:r>
      <w:r>
        <w:rPr>
          <w:rFonts w:hint="eastAsia"/>
          <w:bCs/>
          <w:color w:val="000000" w:themeColor="text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26、质疑</w:t>
      </w:r>
      <w:r/>
    </w:p>
    <w:p>
      <w:pPr>
        <w:pStyle w:val="903"/>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供应商（投标人）认为自己的权益受到损害的，可以在知道或者应知其权益受到损害之日起七个工作日内，以书面形式向采购代理机构提出质疑，逾期将不再受理。</w:t>
      </w:r>
      <w:r/>
    </w:p>
    <w:p>
      <w:pPr>
        <w:pStyle w:val="903"/>
        <w:numPr>
          <w:ilvl w:val="1"/>
          <w:numId w:val="14"/>
        </w:numPr>
        <w:ind w:firstLine="420"/>
        <w:spacing w:line="360" w:lineRule="auto"/>
        <w:tabs>
          <w:tab w:val="left" w:pos="1155"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w:t>
      </w:r>
      <w:r/>
    </w:p>
    <w:p>
      <w:pPr>
        <w:pStyle w:val="903"/>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质疑必须以参加投标供应商法定代表人或授权代表（投标文件中所确定的）原件送达的方式提交，否则，招标代理有权不予受理。</w:t>
      </w:r>
      <w:r/>
    </w:p>
    <w:p>
      <w:pPr>
        <w:pStyle w:val="903"/>
        <w:numPr>
          <w:ilvl w:val="1"/>
          <w:numId w:val="14"/>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上述应知其权益受到损害之日是指：</w:t>
      </w:r>
      <w:r/>
    </w:p>
    <w:p>
      <w:pPr>
        <w:pStyle w:val="903"/>
        <w:numPr>
          <w:ilvl w:val="0"/>
          <w:numId w:val="15"/>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对招标文件提出质疑的，为投标文件公告期限届满之日起计算；</w:t>
      </w:r>
      <w:r/>
    </w:p>
    <w:p>
      <w:pPr>
        <w:pStyle w:val="903"/>
        <w:numPr>
          <w:ilvl w:val="0"/>
          <w:numId w:val="15"/>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对采购过程提出质疑的，自采购程序环节结束之日起计算；</w:t>
      </w:r>
      <w:r/>
    </w:p>
    <w:p>
      <w:pPr>
        <w:pStyle w:val="903"/>
        <w:numPr>
          <w:ilvl w:val="0"/>
          <w:numId w:val="15"/>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对中标结果提出质疑的，自中标结果公告期限届满之日起计算。</w:t>
      </w:r>
      <w:r/>
    </w:p>
    <w:p>
      <w:pPr>
        <w:pStyle w:val="903"/>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质疑文件应包括以下主要内容，并按照“谁主张、谁举证”的原则，附上相关证明材料。否则，招标代理或采购人不予受理：</w:t>
      </w:r>
      <w:r/>
    </w:p>
    <w:p>
      <w:pPr>
        <w:pStyle w:val="903"/>
        <w:numPr>
          <w:ilvl w:val="0"/>
          <w:numId w:val="16"/>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质疑项目名称、项目编号、包号、招标公告发布时间、开标时间；</w:t>
      </w:r>
      <w:r/>
    </w:p>
    <w:p>
      <w:pPr>
        <w:pStyle w:val="903"/>
        <w:numPr>
          <w:ilvl w:val="0"/>
          <w:numId w:val="16"/>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提起质疑的日期、具体的质疑事项及事实根据（具体条款）；</w:t>
      </w:r>
      <w:r/>
    </w:p>
    <w:p>
      <w:pPr>
        <w:pStyle w:val="903"/>
        <w:numPr>
          <w:ilvl w:val="0"/>
          <w:numId w:val="16"/>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03"/>
        <w:numPr>
          <w:ilvl w:val="0"/>
          <w:numId w:val="16"/>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质疑供应商名称、地址、邮编、联系人、联系电话（包括座机、手机、传真号码等）；</w:t>
      </w:r>
      <w:r/>
    </w:p>
    <w:p>
      <w:pPr>
        <w:pStyle w:val="903"/>
        <w:numPr>
          <w:ilvl w:val="0"/>
          <w:numId w:val="16"/>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质疑文件应当署名，质疑人为自然人的，应当由本人签字并附有效身份证明；质疑人为法人或其他组织的，应当由法定代表人签字并加盖单位公章。</w:t>
      </w:r>
      <w:r/>
    </w:p>
    <w:p>
      <w:pPr>
        <w:pStyle w:val="903"/>
        <w:numPr>
          <w:ilvl w:val="0"/>
          <w:numId w:val="16"/>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供应商委托代理质疑的，应当向被质疑人提交授权委托书，并载明委托代理的具体权限和事项。</w:t>
      </w:r>
      <w:r/>
    </w:p>
    <w:p>
      <w:pPr>
        <w:pStyle w:val="903"/>
        <w:numPr>
          <w:ilvl w:val="1"/>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27、投诉</w:t>
      </w:r>
      <w:r/>
    </w:p>
    <w:p>
      <w:pPr>
        <w:pStyle w:val="833"/>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27.1 质疑供应商对招标代理的答复不满意，或招标代理未在规定的时间内作出答复的，可以在答复期满后</w:t>
      </w:r>
      <w:r>
        <w:rPr>
          <w:rFonts w:hint="eastAsia"/>
          <w:b/>
          <w:color w:val="000000" w:themeColor="text1"/>
          <w14:textFill>
            <w14:solidFill>
              <w14:schemeClr w14:val="tx1"/>
            </w14:solidFill>
          </w14:textFill>
        </w:rPr>
        <w:t xml:space="preserve">十五个工作日内</w:t>
      </w:r>
      <w:r>
        <w:rPr>
          <w:rFonts w:hint="eastAsia"/>
          <w:color w:val="000000" w:themeColor="text1"/>
          <w14:textFill>
            <w14:solidFill>
              <w14:schemeClr w14:val="tx1"/>
            </w14:solidFill>
          </w14:textFill>
        </w:rPr>
        <w:t xml:space="preserve">向采购项目同级财政部门投诉。</w:t>
      </w:r>
      <w:r/>
    </w:p>
    <w:p>
      <w:pPr>
        <w:contextualSpacing/>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28、诚实信用</w:t>
      </w:r>
      <w:r/>
    </w:p>
    <w:p>
      <w:pPr>
        <w:pStyle w:val="903"/>
        <w:numPr>
          <w:ilvl w:val="1"/>
          <w:numId w:val="17"/>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供应商之间不得相互串通投标报价，不得妨碍其他供应商的公平竞争，不得损害采购人和其他供应商的合法权益。</w:t>
      </w:r>
      <w:r/>
    </w:p>
    <w:p>
      <w:pPr>
        <w:pStyle w:val="903"/>
        <w:numPr>
          <w:ilvl w:val="1"/>
          <w:numId w:val="17"/>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03"/>
        <w:numPr>
          <w:ilvl w:val="1"/>
          <w:numId w:val="17"/>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03"/>
        <w:numPr>
          <w:ilvl w:val="1"/>
          <w:numId w:val="17"/>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供应商不得虚假承诺，否则，按照提供虚假材料谋取中标成交处理。</w:t>
      </w:r>
      <w:r/>
    </w:p>
    <w:p>
      <w:pPr>
        <w:pStyle w:val="903"/>
        <w:contextualSpacing/>
        <w:ind w:left="0"/>
        <w:spacing w:line="360" w:lineRule="auto"/>
        <w:tabs>
          <w:tab w:val="left" w:pos="1164" w:leader="none"/>
        </w:tabs>
        <w:rPr>
          <w:color w:val="000000" w:themeColor="text1"/>
          <w:sz w:val="21"/>
          <w14:textFill>
            <w14:solidFill>
              <w14:schemeClr w14:val="tx1"/>
            </w14:solidFill>
          </w14:textFill>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000000" w:themeColor="text1"/>
          <w:sz w:val="21"/>
          <w:szCs w:val="21"/>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000000" w:themeColor="text1"/>
          <w:sz w:val="36"/>
          <w14:textFill>
            <w14:solidFill>
              <w14:schemeClr w14:val="tx1"/>
            </w14:solidFill>
          </w14:textFill>
        </w:rPr>
        <w:outlineLvl w:val="0"/>
      </w:pPr>
      <w:r/>
      <w:bookmarkStart w:id="19" w:name="_Toc9832"/>
      <w:r>
        <w:rPr>
          <w:rFonts w:hint="eastAsia" w:ascii="黑体" w:eastAsia="黑体"/>
          <w:b/>
          <w:color w:val="000000" w:themeColor="text1"/>
          <w:sz w:val="36"/>
          <w14:textFill>
            <w14:solidFill>
              <w14:schemeClr w14:val="tx1"/>
            </w14:solidFill>
          </w14:textFill>
        </w:rPr>
        <w:t xml:space="preserve">第三章 评标标准</w:t>
      </w:r>
      <w:bookmarkEnd w:id="19"/>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本项目评标方法采用综合评分法，综合评分的主要因素是：投标报价、技术参数、</w:t>
      </w:r>
      <w:r>
        <w:rPr>
          <w:rFonts w:hint="eastAsia"/>
          <w:color w:val="000000" w:themeColor="text1"/>
          <w:lang w:val="en-US"/>
          <w14:textFill>
            <w14:solidFill>
              <w14:schemeClr w14:val="tx1"/>
            </w14:solidFill>
          </w14:textFill>
        </w:rPr>
        <w:t xml:space="preserve">项目实施方案</w:t>
      </w:r>
      <w:r>
        <w:rPr>
          <w:rFonts w:hint="eastAsia"/>
          <w:color w:val="000000" w:themeColor="text1"/>
          <w14:textFill>
            <w14:solidFill>
              <w14:schemeClr w14:val="tx1"/>
            </w14:solidFill>
          </w14:textFill>
        </w:rPr>
        <w:t xml:space="preserve">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8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413"/>
        <w:gridCol w:w="6840"/>
        <w:gridCol w:w="970"/>
      </w:tblGrid>
      <w:tr>
        <w:trPr>
          <w:jc w:val="center"/>
          <w:tblHeader/>
        </w:trPr>
        <w:tc>
          <w:tcPr>
            <w:tcW w:w="371" w:type="pct"/>
            <w:vAlign w:val="center"/>
            <w:textDirection w:val="lrTb"/>
            <w:noWrap w:val="false"/>
          </w:tcPr>
          <w:p>
            <w:pPr>
              <w:jc w:val="center"/>
              <w:rPr>
                <w:b/>
                <w:color w:val="000000" w:themeColor="text1"/>
                <w:szCs w:val="21"/>
                <w14:textFill>
                  <w14:solidFill>
                    <w14:schemeClr w14:val="tx1"/>
                  </w14:solidFill>
                </w14:textFill>
              </w:rPr>
            </w:pPr>
            <w:r/>
            <w:bookmarkStart w:id="20" w:name="_Toc12644"/>
            <w:r>
              <w:rPr>
                <w:rFonts w:hint="eastAsia"/>
                <w:b/>
                <w:color w:val="000000" w:themeColor="text1"/>
                <w:szCs w:val="21"/>
                <w14:textFill>
                  <w14:solidFill>
                    <w14:schemeClr w14:val="tx1"/>
                  </w14:solidFill>
                </w14:textFill>
              </w:rPr>
              <w:t xml:space="preserve">序号</w:t>
            </w:r>
            <w:r/>
          </w:p>
        </w:tc>
        <w:tc>
          <w:tcPr>
            <w:tcW w:w="709" w:type="pct"/>
            <w:vAlign w:val="center"/>
            <w:textDirection w:val="lrTb"/>
            <w:noWrap w:val="false"/>
          </w:tcPr>
          <w:p>
            <w:pPr>
              <w:jc w:val="center"/>
              <w:spacing w:line="460" w:lineRule="exact"/>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评分因素</w:t>
            </w:r>
            <w:r/>
          </w:p>
        </w:tc>
        <w:tc>
          <w:tcPr>
            <w:tcW w:w="3433" w:type="pct"/>
            <w:vAlign w:val="center"/>
            <w:textDirection w:val="lrTb"/>
            <w:noWrap w:val="false"/>
          </w:tcPr>
          <w:p>
            <w:pPr>
              <w:jc w:val="center"/>
              <w:spacing w:line="460" w:lineRule="exact"/>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评审标准</w:t>
            </w:r>
            <w:r/>
          </w:p>
        </w:tc>
        <w:tc>
          <w:tcPr>
            <w:tcW w:w="487" w:type="pct"/>
            <w:vAlign w:val="center"/>
            <w:textDirection w:val="lrTb"/>
            <w:noWrap w:val="false"/>
          </w:tcPr>
          <w:p>
            <w:pPr>
              <w:jc w:val="center"/>
              <w:spacing w:line="460" w:lineRule="exact"/>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 xml:space="preserve">分值</w:t>
            </w:r>
            <w:r/>
          </w:p>
        </w:tc>
      </w:tr>
      <w:tr>
        <w:trPr>
          <w:jc w:val="center"/>
        </w:trPr>
        <w:tc>
          <w:tcPr>
            <w:tcW w:w="371" w:type="pct"/>
            <w:vAlign w:val="center"/>
            <w:textDirection w:val="lrTb"/>
            <w:noWrap w:val="false"/>
          </w:tcPr>
          <w:p>
            <w:pPr>
              <w:jc w:val="center"/>
              <w:spacing w:line="4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w:t>
            </w:r>
            <w:r/>
          </w:p>
        </w:tc>
        <w:tc>
          <w:tcPr>
            <w:tcW w:w="709" w:type="pct"/>
            <w:vAlign w:val="center"/>
            <w:textDirection w:val="lrTb"/>
            <w:noWrap w:val="false"/>
          </w:tcPr>
          <w:p>
            <w:pPr>
              <w:jc w:val="center"/>
              <w:spacing w:line="4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投标报价</w:t>
            </w:r>
            <w:r/>
          </w:p>
        </w:tc>
        <w:tc>
          <w:tcPr>
            <w:tcW w:w="3433" w:type="pct"/>
            <w:vAlign w:val="center"/>
            <w:textDirection w:val="lrTb"/>
            <w:noWrap w:val="false"/>
          </w:tcPr>
          <w:p>
            <w:pPr>
              <w:ind w:left="17" w:firstLine="22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采用低价优先法计算，即满足招标文件要求且投标价格最低的投标报价为评标基准价，其价格分为满分。其他投标人的价格分统一按照下列公式计算：投标报价得分=(评标基准价/投标报价)×</w:t>
            </w:r>
            <w:r>
              <w:rPr>
                <w:color w:val="000000" w:themeColor="text1"/>
                <w:szCs w:val="21"/>
                <w14:textFill>
                  <w14:solidFill>
                    <w14:schemeClr w14:val="tx1"/>
                  </w14:solidFill>
                </w14:textFill>
              </w:rPr>
              <w:t xml:space="preserve">30</w:t>
            </w:r>
            <w:r>
              <w:rPr>
                <w:rFonts w:hint="eastAsia"/>
                <w:color w:val="000000" w:themeColor="text1"/>
                <w:szCs w:val="21"/>
                <w14:textFill>
                  <w14:solidFill>
                    <w14:schemeClr w14:val="tx1"/>
                  </w14:solidFill>
                </w14:textFill>
              </w:rPr>
              <w:t xml:space="preserve">（小数点保留两位）</w:t>
            </w:r>
            <w:r/>
          </w:p>
        </w:tc>
        <w:tc>
          <w:tcPr>
            <w:tcW w:w="487" w:type="pct"/>
            <w:vAlign w:val="center"/>
            <w:textDirection w:val="lrTb"/>
            <w:noWrap w:val="false"/>
          </w:tcPr>
          <w:p>
            <w:pPr>
              <w:ind w:left="17" w:hanging="17"/>
              <w:jc w:val="center"/>
              <w:spacing w:line="44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0</w:t>
            </w:r>
            <w:r/>
          </w:p>
        </w:tc>
      </w:tr>
      <w:tr>
        <w:trPr>
          <w:jc w:val="center"/>
          <w:trHeight w:val="4531"/>
        </w:trPr>
        <w:tc>
          <w:tcPr>
            <w:tcW w:w="371" w:type="pct"/>
            <w:vAlign w:val="center"/>
            <w:textDirection w:val="lrTb"/>
            <w:noWrap w:val="false"/>
          </w:tcPr>
          <w:p>
            <w:pPr>
              <w:jc w:val="center"/>
              <w:spacing w:line="4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w:t>
            </w:r>
            <w:r/>
          </w:p>
        </w:tc>
        <w:tc>
          <w:tcPr>
            <w:tcW w:w="709" w:type="pct"/>
            <w:vAlign w:val="center"/>
            <w:textDirection w:val="lrTb"/>
            <w:noWrap w:val="false"/>
          </w:tcPr>
          <w:p>
            <w:pPr>
              <w:jc w:val="center"/>
              <w:spacing w:line="4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技术参数</w:t>
            </w:r>
            <w:r/>
          </w:p>
        </w:tc>
        <w:tc>
          <w:tcPr>
            <w:tcW w:w="3433" w:type="pct"/>
            <w:vAlign w:val="center"/>
            <w:textDirection w:val="lrTb"/>
            <w:noWrap w:val="false"/>
          </w:tcPr>
          <w:p>
            <w:pPr>
              <w:ind w:left="17" w:firstLine="22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产品技术参数全部满足采购文件第四章招标项目的技术规格、要求和数量等的得满分</w:t>
            </w:r>
            <w:r>
              <w:rPr>
                <w:color w:val="000000" w:themeColor="text1"/>
                <w:szCs w:val="21"/>
                <w:lang w:val="en-US"/>
                <w14:textFill>
                  <w14:solidFill>
                    <w14:schemeClr w14:val="tx1"/>
                  </w14:solidFill>
                </w14:textFill>
              </w:rPr>
              <w:t xml:space="preserve">20</w:t>
            </w:r>
            <w:r>
              <w:rPr>
                <w:rFonts w:hint="eastAsia"/>
                <w:color w:val="000000" w:themeColor="text1"/>
                <w:szCs w:val="21"/>
                <w14:textFill>
                  <w14:solidFill>
                    <w14:schemeClr w14:val="tx1"/>
                  </w14:solidFill>
                </w14:textFill>
              </w:rPr>
              <w:t xml:space="preserve">分；明确标注“★”为关键技术指标，投标人必须完全响应并满足这些条款的要求，如有负偏离直接判定其投标为无效投标或否决其投标，标注“▲”的为重要技术指标，每有一项负偏离扣</w:t>
            </w:r>
            <w:r>
              <w:rPr>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分；其他非重要参数，每有一项负偏离扣1分，扣完为止。</w:t>
            </w:r>
            <w:r/>
          </w:p>
          <w:p>
            <w:pPr>
              <w:ind w:left="17" w:firstLine="220"/>
              <w:spacing w:line="400" w:lineRule="exact"/>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备注：投标人须对招标文件技术要求中标注“▲”的参数提供相应技术支持资料(如彩页或说明书或检测报告等)，如果参数后带括号要求提供相关证明材料的，则另须提供相关证明材料，并在技术条款偏离表中详细标明所在投标文件中的页码和位置；其他参数以技术条款偏离中应答为准，如因未在《技术条款偏离表》中注明支持资料具体页码和位置导致本项不得分的，由此产生的后果由供应商自行承担。</w:t>
            </w:r>
            <w:r/>
          </w:p>
        </w:tc>
        <w:tc>
          <w:tcPr>
            <w:tcW w:w="487" w:type="pct"/>
            <w:vAlign w:val="center"/>
            <w:textDirection w:val="lrTb"/>
            <w:noWrap w:val="false"/>
          </w:tcPr>
          <w:p>
            <w:pPr>
              <w:ind w:left="17" w:hanging="17"/>
              <w:jc w:val="center"/>
              <w:spacing w:line="44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20</w:t>
            </w:r>
            <w:r/>
          </w:p>
        </w:tc>
      </w:tr>
      <w:tr>
        <w:trPr>
          <w:jc w:val="center"/>
        </w:trPr>
        <w:tc>
          <w:tcPr>
            <w:tcW w:w="371" w:type="pct"/>
            <w:vAlign w:val="center"/>
            <w:textDirection w:val="lrTb"/>
            <w:noWrap w:val="false"/>
          </w:tcPr>
          <w:p>
            <w:pPr>
              <w:jc w:val="center"/>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3</w:t>
            </w:r>
            <w:r/>
          </w:p>
        </w:tc>
        <w:tc>
          <w:tcPr>
            <w:tcW w:w="709" w:type="pct"/>
            <w:vAlign w:val="center"/>
            <w:textDirection w:val="lrTb"/>
            <w:noWrap w:val="false"/>
          </w:tcPr>
          <w:p>
            <w:pPr>
              <w:jc w:val="center"/>
              <w:rPr>
                <w:color w:val="000000" w:themeColor="text1"/>
                <w:szCs w:val="21"/>
                <w:lang w:val="en-US"/>
                <w14:textFill>
                  <w14:solidFill>
                    <w14:schemeClr w14:val="tx1"/>
                  </w14:solidFill>
                </w14:textFill>
              </w:rPr>
            </w:pPr>
            <w:r>
              <w:rPr>
                <w:rFonts w:hint="eastAsia"/>
                <w:color w:val="000000" w:themeColor="text1"/>
                <w:szCs w:val="21"/>
                <w14:textFill>
                  <w14:solidFill>
                    <w14:schemeClr w14:val="tx1"/>
                  </w14:solidFill>
                </w14:textFill>
              </w:rPr>
              <w:t xml:space="preserve">样品</w:t>
            </w:r>
            <w:r/>
          </w:p>
        </w:tc>
        <w:tc>
          <w:tcPr>
            <w:shd w:val="clear" w:color="auto" w:fill="auto"/>
            <w:tcW w:w="3433" w:type="pct"/>
            <w:vAlign w:val="center"/>
            <w:textDirection w:val="lrTb"/>
            <w:noWrap w:val="false"/>
          </w:tcPr>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开标前，将满足招标文件技术要求的样品送达评标现场，评审委员会根据样品的材料质量、尺寸、结构款式、制作工艺、表面处理情况等进行评审：（投标人提供的样品及相关费用由投标人承担，样品需要按招标文件要求尺寸提供）</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1、实验台所用钢材小样一块：尺寸215mm×150mm×1.2mm</w:t>
            </w:r>
            <w:r/>
          </w:p>
          <w:p>
            <w:pPr>
              <w:ind w:firstLine="440"/>
              <w:spacing w:line="400" w:lineRule="exact"/>
              <w:rPr>
                <w:color w:val="000000" w:themeColor="text1"/>
                <w:szCs w:val="21"/>
                <w14:textFill>
                  <w14:solidFill>
                    <w14:schemeClr w14:val="tx1"/>
                  </w14:solidFill>
                </w14:textFill>
              </w:rPr>
            </w:pPr>
            <w:r>
              <w:rPr>
                <w:color w:val="000000" w:themeColor="text1"/>
                <w:szCs w:val="21"/>
                <w:lang w:val="en-US"/>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小样的材料质量和尺寸符合招标文件技术要求和样品要求；小样的喷涂层均匀无色差、无斑点、无流疤等缺陷；得2分。</w:t>
            </w:r>
            <w:r/>
          </w:p>
          <w:p>
            <w:pPr>
              <w:ind w:firstLine="440"/>
              <w:spacing w:line="400" w:lineRule="exact"/>
              <w:rPr>
                <w:color w:val="000000" w:themeColor="text1"/>
                <w:szCs w:val="21"/>
                <w14:textFill>
                  <w14:solidFill>
                    <w14:schemeClr w14:val="tx1"/>
                  </w14:solidFill>
                </w14:textFill>
              </w:rPr>
            </w:pPr>
            <w:r>
              <w:rPr>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小样的喷涂层存在色差或斑点或流疤等任一缺陷；得1分。</w:t>
            </w:r>
            <w:r/>
          </w:p>
          <w:p>
            <w:pPr>
              <w:ind w:firstLine="440"/>
              <w:spacing w:line="400" w:lineRule="exact"/>
              <w:rPr>
                <w:color w:val="000000" w:themeColor="text1"/>
                <w:szCs w:val="21"/>
                <w14:textFill>
                  <w14:solidFill>
                    <w14:schemeClr w14:val="tx1"/>
                  </w14:solidFill>
                </w14:textFill>
              </w:rPr>
            </w:pPr>
            <w:r>
              <w:rPr>
                <w:color w:val="000000" w:themeColor="text1"/>
                <w:szCs w:val="21"/>
                <w:lang w:val="en-US"/>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小样的材料质量和尺寸不符合招标文件要求或未提供样品或样品提供不全的，得0分。</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2、提供陶瓷台面样品（每种颜色一块），尺寸160mm*120mm(长X宽)，22mm厚，可见截面耐污，颜</w:t>
            </w:r>
            <w:r>
              <w:rPr>
                <w:rFonts w:hint="eastAsia"/>
                <w:color w:val="000000" w:themeColor="text1"/>
                <w:szCs w:val="21"/>
                <w:lang w:val="en-US"/>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色至少包含有黑色系、绿色系、蓝色系、白色系、灰色系、紫色系、斑点灰色系等7种颜色的样品以供评审。</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（1）投标样品材质及厚度符合采购要求，7种颜色样块齐全，四周倒角不小于R10的圆角，细节处理精细，手感细腻，颜色色泽均匀，尺寸规整表面无破损、无毛刺、无起泡、无刺激性异味，得3分；</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投标样品材质及厚度符合采购要求，只提供6种颜色样块，四周倒角小于R10的圆角，细节处理较精细，手感较细腻，颜色色泽较均匀，尺寸较规整并表面无明显破损、无明显毛刺、无明显起泡、无明显刺激性异味，得2分； </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投标样品材质及厚度符合采购要求，只提供5种或5种以下颜色样块。四周无倒圆角，细节处理粗糙，手感不够细腻，颜色色泽不够均匀，尺寸不够规整并表面少量破损，少量毛刺、少量起泡、有刺激性异味，部分满足采购需求的，得1分； </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（4）样品不满足招标文件技术要求等其他情况，或投标人未提供或不按采购文件要求提供的得0分。</w:t>
            </w:r>
            <w:r/>
          </w:p>
        </w:tc>
        <w:tc>
          <w:tcPr>
            <w:tcW w:w="487" w:type="pct"/>
            <w:vAlign w:val="center"/>
            <w:textDirection w:val="lrTb"/>
            <w:noWrap w:val="false"/>
          </w:tcPr>
          <w:p>
            <w:pPr>
              <w:ind w:left="17" w:hanging="17"/>
              <w:jc w:val="center"/>
              <w:spacing w:line="44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5</w:t>
            </w:r>
            <w:r/>
          </w:p>
        </w:tc>
      </w:tr>
      <w:tr>
        <w:trPr>
          <w:jc w:val="center"/>
        </w:trPr>
        <w:tc>
          <w:tcPr>
            <w:tcW w:w="371" w:type="pct"/>
            <w:vAlign w:val="center"/>
            <w:textDirection w:val="lrTb"/>
            <w:noWrap w:val="false"/>
          </w:tcPr>
          <w:p>
            <w:pPr>
              <w:jc w:val="center"/>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4</w:t>
            </w:r>
            <w:r/>
          </w:p>
        </w:tc>
        <w:tc>
          <w:tcPr>
            <w:tcW w:w="709" w:type="pct"/>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视频演示</w:t>
            </w:r>
            <w:r/>
          </w:p>
        </w:tc>
        <w:tc>
          <w:tcPr>
            <w:shd w:val="clear" w:color="auto" w:fill="auto"/>
            <w:tcW w:w="3433" w:type="pct"/>
            <w:vAlign w:val="center"/>
            <w:textDirection w:val="lrTb"/>
            <w:noWrap w:val="false"/>
          </w:tcPr>
          <w:p>
            <w:pPr>
              <w:ind w:firstLine="44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、投标人根据项目需求，对</w:t>
            </w:r>
            <w:r>
              <w:rPr>
                <w:rFonts w:hint="eastAsia"/>
                <w:color w:val="000000" w:themeColor="text1"/>
                <w:szCs w:val="21"/>
                <w:lang w:val="zh-TW"/>
                <w14:textFill>
                  <w14:solidFill>
                    <w14:schemeClr w14:val="tx1"/>
                  </w14:solidFill>
                </w14:textFill>
              </w:rPr>
              <w:t xml:space="preserve">排风柜烟雾泄露</w:t>
            </w:r>
            <w:r>
              <w:rPr>
                <w:rFonts w:hint="eastAsia"/>
                <w:color w:val="000000" w:themeColor="text1"/>
                <w:szCs w:val="21"/>
                <w14:textFill>
                  <w14:solidFill>
                    <w14:schemeClr w14:val="tx1"/>
                  </w14:solidFill>
                </w14:textFill>
              </w:rPr>
              <w:t xml:space="preserve">检测、</w:t>
            </w:r>
            <w:r>
              <w:rPr>
                <w:rFonts w:hint="eastAsia"/>
                <w:color w:val="000000" w:themeColor="text1"/>
                <w:szCs w:val="21"/>
                <w:lang w:val="zh-TW"/>
                <w14:textFill>
                  <w14:solidFill>
                    <w14:schemeClr w14:val="tx1"/>
                  </w14:solidFill>
                </w14:textFill>
              </w:rPr>
              <w:t xml:space="preserve">排风柜的液晶控制面板</w:t>
            </w:r>
            <w:r>
              <w:rPr>
                <w:rFonts w:hint="eastAsia"/>
                <w:color w:val="000000" w:themeColor="text1"/>
                <w:szCs w:val="21"/>
                <w14:textFill>
                  <w14:solidFill>
                    <w14:schemeClr w14:val="tx1"/>
                  </w14:solidFill>
                </w14:textFill>
              </w:rPr>
              <w:t xml:space="preserve">视频展示效果进行展示。按以下几个方面的要求进行真实系统演示：</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lang w:val="en-US"/>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（气流）可视化－大烟雾：无可见外溢或逃逸，烟雾能顺畅排尽；</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（气流）可视化－局部（小烟雾）：无可见外溢或逃逸，烟雾能顺畅排尽；</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lang w:val="en-US"/>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液晶控制面板必须满足远程和本地双控制；</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lang w:val="en-US"/>
                <w14:textFill>
                  <w14:solidFill>
                    <w14:schemeClr w14:val="tx1"/>
                  </w14:solidFill>
                </w14:textFill>
              </w:rPr>
              <w:t xml:space="preserve">（4）</w:t>
            </w:r>
            <w:r>
              <w:rPr>
                <w:rFonts w:hint="eastAsia"/>
                <w:color w:val="000000" w:themeColor="text1"/>
                <w:szCs w:val="21"/>
                <w14:textFill>
                  <w14:solidFill>
                    <w14:schemeClr w14:val="tx1"/>
                  </w14:solidFill>
                </w14:textFill>
              </w:rPr>
              <w:t xml:space="preserve">通过手机端使用微信小程序进行远程监测，可远程查看数据（实时温湿度显示、风阀开启角度、运行状态）；</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lang w:val="en-US"/>
                <w14:textFill>
                  <w14:solidFill>
                    <w14:schemeClr w14:val="tx1"/>
                  </w14:solidFill>
                </w14:textFill>
              </w:rPr>
              <w:t xml:space="preserve">（5）</w:t>
            </w:r>
            <w:r>
              <w:rPr>
                <w:rFonts w:hint="eastAsia"/>
                <w:color w:val="000000" w:themeColor="text1"/>
                <w:szCs w:val="21"/>
                <w14:textFill>
                  <w14:solidFill>
                    <w14:schemeClr w14:val="tx1"/>
                  </w14:solidFill>
                </w14:textFill>
              </w:rPr>
              <w:t xml:space="preserve">通过手机端使用微信小程序进行远程控制(照明开关，风机开关，风阀角度0-90度无级调节，一键紧急排风控制）。</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以上每一小项功能设计合理、演示清晰完整、操作精准完整且符合采购需求的得1分；设计较合理、演示清晰完整相对准确、操作精准相对完整较符合采购需求的得0.5分；未提供不得分。最高得5分。</w:t>
            </w:r>
            <w:r/>
          </w:p>
          <w:p>
            <w:pPr>
              <w:ind w:firstLine="440"/>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、投标人提供智能危化品管理系统移动端小程序（手机端操作）内容演示视频：</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（1）支持使用者手机端查询可申请的化学品信息；支持查询该瓶化学品轨迹动态，及对应</w:t>
            </w:r>
            <w:r>
              <w:rPr>
                <w:color w:val="000000" w:themeColor="text1"/>
                <w:szCs w:val="21"/>
                <w14:textFill>
                  <w14:solidFill>
                    <w14:schemeClr w14:val="tx1"/>
                  </w14:solidFill>
                </w14:textFill>
              </w:rPr>
              <w:t xml:space="preserve">SDS信息。 </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w:t>
            </w:r>
            <w:r>
              <w:rPr>
                <w:color w:val="000000" w:themeColor="text1"/>
                <w:szCs w:val="21"/>
                <w14:textFill>
                  <w14:solidFill>
                    <w14:schemeClr w14:val="tx1"/>
                  </w14:solidFill>
                </w14:textFill>
              </w:rPr>
              <w:t xml:space="preserve">申领模块</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支持手机端填写申领信息发起申领；管理员可在线进行多级审批并支持申领记录查询与撤销。</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w:t>
            </w:r>
            <w:r>
              <w:rPr>
                <w:color w:val="000000" w:themeColor="text1"/>
                <w:szCs w:val="21"/>
                <w14:textFill>
                  <w14:solidFill>
                    <w14:schemeClr w14:val="tx1"/>
                  </w14:solidFill>
                </w14:textFill>
              </w:rPr>
              <w:t xml:space="preserve">回收模块</w:t>
            </w:r>
            <w:r/>
          </w:p>
          <w:p>
            <w:pPr>
              <w:ind w:firstLine="440"/>
              <w:spacing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支持扫描瓶身二维码发起回收，填写剩余量；支持查看回收记录。以上每一小项功能设计合理、演示清晰完整、操作精准完整且符合采购需求的得1分；设计较合理、演示清晰完整相对准确、操作精准相对完整较符合采购需求的得0.5分；未提供不得分。最高得</w:t>
            </w:r>
            <w:r>
              <w:rPr>
                <w:color w:val="000000" w:themeColor="text1"/>
                <w:szCs w:val="21"/>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分。</w:t>
            </w:r>
            <w:r/>
          </w:p>
          <w:p>
            <w:pPr>
              <w:ind w:firstLine="442"/>
              <w:spacing w:line="400" w:lineRule="exact"/>
              <w:rPr>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注：</w:t>
            </w:r>
            <w:r>
              <w:rPr>
                <w:rFonts w:hint="eastAsia"/>
                <w:color w:val="000000" w:themeColor="text1"/>
                <w:szCs w:val="21"/>
                <w14:textFill>
                  <w14:solidFill>
                    <w14:schemeClr w14:val="tx1"/>
                  </w14:solidFill>
                </w14:textFill>
              </w:rPr>
              <w:t xml:space="preserve">视频文件格式为</w:t>
            </w:r>
            <w:r>
              <w:rPr>
                <w:color w:val="000000" w:themeColor="text1"/>
                <w:szCs w:val="21"/>
                <w14:textFill>
                  <w14:solidFill>
                    <w14:schemeClr w14:val="tx1"/>
                  </w14:solidFill>
                </w14:textFill>
              </w:rPr>
              <w:t xml:space="preserve">*.mp4 或*.avi。上传的演示视频将作为投标文件的组成部分。视频时长总计不超过10分钟。</w:t>
            </w:r>
            <w:r>
              <w:rPr>
                <w:rFonts w:hint="eastAsia"/>
                <w:color w:val="000000" w:themeColor="text1"/>
                <w:szCs w:val="21"/>
                <w14:textFill>
                  <w14:solidFill>
                    <w14:schemeClr w14:val="tx1"/>
                  </w14:solidFill>
                </w14:textFill>
              </w:rPr>
              <w:t xml:space="preserve">需用现场实拍视频或</w:t>
            </w:r>
            <w:r>
              <w:rPr>
                <w:color w:val="000000" w:themeColor="text1"/>
                <w:szCs w:val="21"/>
                <w14:textFill>
                  <w14:solidFill>
                    <w14:schemeClr w14:val="tx1"/>
                  </w14:solidFill>
                </w14:textFill>
              </w:rPr>
              <w:t xml:space="preserve">DEMO进行演示，仅提供PPT演示的，本项得0分此演示视频须通过苏采云系统上传。</w:t>
            </w:r>
            <w:r/>
          </w:p>
        </w:tc>
        <w:tc>
          <w:tcPr>
            <w:tcW w:w="487" w:type="pct"/>
            <w:vAlign w:val="center"/>
            <w:textDirection w:val="lrTb"/>
            <w:noWrap w:val="false"/>
          </w:tcPr>
          <w:p>
            <w:pPr>
              <w:ind w:left="17" w:hanging="17"/>
              <w:jc w:val="center"/>
              <w:spacing w:line="44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8</w:t>
            </w:r>
            <w:r/>
          </w:p>
        </w:tc>
      </w:tr>
      <w:tr>
        <w:trPr>
          <w:jc w:val="center"/>
        </w:trPr>
        <w:tc>
          <w:tcPr>
            <w:tcW w:w="371"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5</w:t>
            </w:r>
            <w:r/>
          </w:p>
        </w:tc>
        <w:tc>
          <w:tcPr>
            <w:tcW w:w="709"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业绩</w:t>
            </w:r>
            <w:r/>
          </w:p>
        </w:tc>
        <w:tc>
          <w:tcPr>
            <w:shd w:val="clear" w:color="auto" w:fill="auto"/>
            <w:tcW w:w="3433" w:type="pct"/>
            <w:vAlign w:val="center"/>
            <w:textDirection w:val="lrTb"/>
            <w:noWrap w:val="false"/>
          </w:tcPr>
          <w:p>
            <w:pPr>
              <w:ind w:firstLine="440"/>
              <w:spacing w:line="400" w:lineRule="exact"/>
              <w:rPr>
                <w:color w:val="000000" w:themeColor="text1"/>
                <w:szCs w:val="21"/>
                <w:lang w:val="en-US"/>
                <w14:textFill>
                  <w14:solidFill>
                    <w14:schemeClr w14:val="tx1"/>
                  </w14:solidFill>
                </w14:textFill>
              </w:rPr>
            </w:pPr>
            <w:r>
              <w:rPr>
                <w:rFonts w:hint="eastAsia"/>
                <w:color w:val="ff0000"/>
                <w:szCs w:val="21"/>
                <w:lang w:val="en-US"/>
              </w:rPr>
              <w:t xml:space="preserve">提供2021年</w:t>
            </w:r>
            <w:r>
              <w:rPr>
                <w:color w:val="ff0000"/>
                <w:szCs w:val="21"/>
                <w:lang w:val="en-US"/>
              </w:rPr>
              <w:t xml:space="preserve">4</w:t>
            </w:r>
            <w:r>
              <w:rPr>
                <w:rFonts w:hint="eastAsia"/>
                <w:color w:val="ff0000"/>
                <w:szCs w:val="21"/>
                <w:lang w:val="en-US"/>
              </w:rPr>
              <w:t xml:space="preserve">月1日（含）以来，供应商承担过类似项目业绩，有一个业绩得2分；最多得10分。</w:t>
            </w:r>
            <w:r>
              <w:rPr>
                <w:rFonts w:hint="eastAsia"/>
                <w:color w:val="000000" w:themeColor="text1"/>
                <w:szCs w:val="21"/>
                <w:lang w:val="en-US"/>
                <w14:textFill>
                  <w14:solidFill>
                    <w14:schemeClr w14:val="tx1"/>
                  </w14:solidFill>
                </w14:textFill>
              </w:rPr>
              <w:t xml:space="preserve">提供中标通知书、合同协议书、项目验收单或该合同销项发票等相关证明材料。时间以合同为准，提供的证明材料须能反映相关数据和内容，否则视为未提供，证明材料原件扫描上传至电子投标文件中。（同一业绩不可重复得分）</w:t>
            </w:r>
            <w:r/>
          </w:p>
        </w:tc>
        <w:tc>
          <w:tcPr>
            <w:tcW w:w="487"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10</w:t>
            </w:r>
            <w:r/>
          </w:p>
        </w:tc>
      </w:tr>
      <w:tr>
        <w:trPr>
          <w:jc w:val="center"/>
        </w:trPr>
        <w:tc>
          <w:tcPr>
            <w:tcW w:w="371"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6</w:t>
            </w:r>
            <w:r/>
          </w:p>
        </w:tc>
        <w:tc>
          <w:tcPr>
            <w:tcW w:w="709" w:type="pct"/>
            <w:vAlign w:val="center"/>
            <w:textDirection w:val="lrTb"/>
            <w:noWrap w:val="false"/>
          </w:tcPr>
          <w:p>
            <w:pPr>
              <w:jc w:val="center"/>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设计方案及效果图</w:t>
            </w:r>
            <w:r/>
          </w:p>
        </w:tc>
        <w:tc>
          <w:tcPr>
            <w:shd w:val="clear" w:color="auto" w:fill="auto"/>
            <w:tcW w:w="3433" w:type="pct"/>
            <w:vAlign w:val="center"/>
            <w:textDirection w:val="lrTb"/>
            <w:noWrap w:val="false"/>
          </w:tcPr>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1、评委根据投标人提供的深化设计方案综合评分：提供此次供货实验室的深化图纸：包括平面布置图、水电点位图、通风系统图纸、通风控制系统图纸、通风管道三维透视图。</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（1）提供的图纸齐全、内容详细、科学合理、可行性强的，得</w:t>
            </w:r>
            <w:r>
              <w:rPr>
                <w:color w:val="000000" w:themeColor="text1"/>
                <w:szCs w:val="21"/>
                <w:lang w:val="en-US"/>
                <w14:textFill>
                  <w14:solidFill>
                    <w14:schemeClr w14:val="tx1"/>
                  </w14:solidFill>
                </w14:textFill>
              </w:rPr>
              <w:t xml:space="preserve">4</w:t>
            </w:r>
            <w:r>
              <w:rPr>
                <w:rFonts w:hint="eastAsia"/>
                <w:color w:val="000000" w:themeColor="text1"/>
                <w:szCs w:val="21"/>
                <w:lang w:val="en-US"/>
                <w14:textFill>
                  <w14:solidFill>
                    <w14:schemeClr w14:val="tx1"/>
                  </w14:solidFill>
                </w14:textFill>
              </w:rPr>
              <w:t xml:space="preserve">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（2）提供的图纸齐全，内容较详细、较科学合理、可行性较强的，得</w:t>
            </w:r>
            <w:r>
              <w:rPr>
                <w:color w:val="000000" w:themeColor="text1"/>
                <w:szCs w:val="21"/>
                <w:lang w:val="en-US"/>
                <w14:textFill>
                  <w14:solidFill>
                    <w14:schemeClr w14:val="tx1"/>
                  </w14:solidFill>
                </w14:textFill>
              </w:rPr>
              <w:t xml:space="preserve">2</w:t>
            </w:r>
            <w:r>
              <w:rPr>
                <w:rFonts w:hint="eastAsia"/>
                <w:color w:val="000000" w:themeColor="text1"/>
                <w:szCs w:val="21"/>
                <w:lang w:val="en-US"/>
                <w14:textFill>
                  <w14:solidFill>
                    <w14:schemeClr w14:val="tx1"/>
                  </w14:solidFill>
                </w14:textFill>
              </w:rPr>
              <w:t xml:space="preserve">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（3）提供的图纸不齐全，内容不可行或未提供方案的不得分。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2、提供针对本项目所有涉及实验台、通风柜的主要实验室，不少于10间的家具布局效果图：</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效果图提供齐全，规格统一，清晰准确，满足项目要求，得4分；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效果图基本齐全，规格较统一，较清晰准确，基本满足项目要求，得2分；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效果图缺失较多或未提供的，不得分。</w:t>
            </w:r>
            <w:r/>
          </w:p>
        </w:tc>
        <w:tc>
          <w:tcPr>
            <w:tcW w:w="487"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8</w:t>
            </w:r>
            <w:r/>
          </w:p>
        </w:tc>
      </w:tr>
      <w:tr>
        <w:trPr>
          <w:jc w:val="center"/>
        </w:trPr>
        <w:tc>
          <w:tcPr>
            <w:tcW w:w="371"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8</w:t>
            </w:r>
            <w:r/>
          </w:p>
        </w:tc>
        <w:tc>
          <w:tcPr>
            <w:tcW w:w="709" w:type="pct"/>
            <w:vAlign w:val="center"/>
            <w:textDirection w:val="lrTb"/>
            <w:noWrap w:val="false"/>
          </w:tcPr>
          <w:p>
            <w:pPr>
              <w:jc w:val="center"/>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项目设施管理方案</w:t>
            </w:r>
            <w:r/>
          </w:p>
        </w:tc>
        <w:tc>
          <w:tcPr>
            <w:shd w:val="clear" w:color="auto" w:fill="auto"/>
            <w:tcW w:w="3433" w:type="pct"/>
            <w:textDirection w:val="lrTb"/>
            <w:noWrap w:val="false"/>
          </w:tcPr>
          <w:p>
            <w:pPr>
              <w:ind w:firstLine="440"/>
              <w:spacing w:line="400" w:lineRule="exact"/>
              <w:rPr>
                <w:color w:val="000000" w:themeColor="text1"/>
                <w:szCs w:val="21"/>
                <w:lang w:val="en-US"/>
                <w14:textFill>
                  <w14:solidFill>
                    <w14:schemeClr w14:val="tx1"/>
                  </w14:solidFill>
                </w14:textFill>
              </w:rPr>
            </w:pPr>
            <w:r>
              <w:rPr>
                <w:rFonts w:hint="eastAsia"/>
                <w:color w:val="ff0000"/>
                <w:szCs w:val="21"/>
                <w:lang w:val="en-US"/>
              </w:rPr>
              <w:t xml:space="preserve">投标人应提供针对本项目的项目实施管理方案，包括但不限于施工组织计划及人员配置，设备制造、供货、安装、调试等全过程实施方案，工程质量及进度保证措施。</w:t>
            </w:r>
            <w:r/>
          </w:p>
          <w:p>
            <w:pPr>
              <w:ind w:firstLine="440"/>
              <w:spacing w:line="40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(1)</w:t>
            </w:r>
            <w:r>
              <w:rPr>
                <w:rFonts w:hint="eastAsia"/>
                <w:color w:val="000000" w:themeColor="text1"/>
                <w:szCs w:val="21"/>
                <w:lang w:val="en-US"/>
                <w14:textFill>
                  <w14:solidFill>
                    <w14:schemeClr w14:val="tx1"/>
                  </w14:solidFill>
                </w14:textFill>
              </w:rPr>
              <w:t xml:space="preserve">投标人提供的项目实施管理方案内容完整、阐述详细、合理可行，能够完全满足采购要求及目标的得4分；</w:t>
            </w:r>
            <w:r/>
          </w:p>
          <w:p>
            <w:pPr>
              <w:ind w:firstLine="440"/>
              <w:spacing w:line="40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(2)</w:t>
            </w:r>
            <w:r>
              <w:rPr>
                <w:rFonts w:hint="eastAsia"/>
                <w:color w:val="000000" w:themeColor="text1"/>
                <w:szCs w:val="21"/>
                <w:lang w:val="en-US"/>
                <w14:textFill>
                  <w14:solidFill>
                    <w14:schemeClr w14:val="tx1"/>
                  </w14:solidFill>
                </w14:textFill>
              </w:rPr>
              <w:t xml:space="preserve">投标人提供的项目实施管理方案内容有缺漏，方案存在不合理或不适用于本项目，仅能基本满足采购要求及目标的得2分；</w:t>
            </w:r>
            <w:r/>
          </w:p>
          <w:p>
            <w:pPr>
              <w:ind w:firstLine="440"/>
              <w:spacing w:line="40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(3)</w:t>
            </w:r>
            <w:r>
              <w:rPr>
                <w:rFonts w:hint="eastAsia"/>
                <w:color w:val="000000" w:themeColor="text1"/>
                <w:szCs w:val="21"/>
                <w:lang w:val="en-US"/>
                <w14:textFill>
                  <w14:solidFill>
                    <w14:schemeClr w14:val="tx1"/>
                  </w14:solidFill>
                </w14:textFill>
              </w:rPr>
              <w:t xml:space="preserve">只是在招标要求基础上进行了承诺响应等简单声明得1分；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未提供项目实施管理方案的不得分。</w:t>
            </w:r>
            <w:r/>
          </w:p>
        </w:tc>
        <w:tc>
          <w:tcPr>
            <w:tcW w:w="487"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4</w:t>
            </w:r>
            <w:r/>
          </w:p>
        </w:tc>
      </w:tr>
      <w:tr>
        <w:trPr>
          <w:jc w:val="center"/>
        </w:trPr>
        <w:tc>
          <w:tcPr>
            <w:tcW w:w="371"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9</w:t>
            </w:r>
            <w:r/>
          </w:p>
        </w:tc>
        <w:tc>
          <w:tcPr>
            <w:tcW w:w="709" w:type="pct"/>
            <w:vAlign w:val="center"/>
            <w:textDirection w:val="lrTb"/>
            <w:noWrap w:val="false"/>
          </w:tcPr>
          <w:p>
            <w:pPr>
              <w:jc w:val="center"/>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进度计划</w:t>
            </w:r>
            <w:r/>
          </w:p>
        </w:tc>
        <w:tc>
          <w:tcPr>
            <w:shd w:val="clear" w:color="auto" w:fill="auto"/>
            <w:tcW w:w="3433" w:type="pct"/>
            <w:textDirection w:val="lrTb"/>
            <w:noWrap w:val="false"/>
          </w:tcPr>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评标委员会根据供应商提供的关于本项目的进度计划（包含供货计划、安装计划等）进行综合评分：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进度计划全面具体，科学性与实际可操作性强的得</w:t>
            </w:r>
            <w:r>
              <w:rPr>
                <w:color w:val="000000" w:themeColor="text1"/>
                <w:szCs w:val="21"/>
                <w:lang w:val="en-US"/>
                <w14:textFill>
                  <w14:solidFill>
                    <w14:schemeClr w14:val="tx1"/>
                  </w14:solidFill>
                </w14:textFill>
              </w:rPr>
              <w:t xml:space="preserve">3分；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进度计划全面具体，科学性与实际可操作性较强的得</w:t>
            </w:r>
            <w:r>
              <w:rPr>
                <w:color w:val="000000" w:themeColor="text1"/>
                <w:szCs w:val="21"/>
                <w:lang w:val="en-US"/>
                <w14:textFill>
                  <w14:solidFill>
                    <w14:schemeClr w14:val="tx1"/>
                  </w14:solidFill>
                </w14:textFill>
              </w:rPr>
              <w:t xml:space="preserve">2分；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进度计划具有一定的全面性、科学性与实际可操作性的得</w:t>
            </w:r>
            <w:r>
              <w:rPr>
                <w:color w:val="000000" w:themeColor="text1"/>
                <w:szCs w:val="21"/>
                <w:lang w:val="en-US"/>
                <w14:textFill>
                  <w14:solidFill>
                    <w14:schemeClr w14:val="tx1"/>
                  </w14:solidFill>
                </w14:textFill>
              </w:rPr>
              <w:t xml:space="preserve">1分；未提供的不得分。</w:t>
            </w:r>
            <w:r/>
          </w:p>
        </w:tc>
        <w:tc>
          <w:tcPr>
            <w:tcW w:w="487"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3</w:t>
            </w:r>
            <w:r/>
          </w:p>
        </w:tc>
      </w:tr>
      <w:tr>
        <w:trPr>
          <w:jc w:val="center"/>
        </w:trPr>
        <w:tc>
          <w:tcPr>
            <w:tcW w:w="371"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9</w:t>
            </w:r>
            <w:r/>
          </w:p>
        </w:tc>
        <w:tc>
          <w:tcPr>
            <w:tcW w:w="709"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售后服务</w:t>
            </w:r>
            <w:r/>
          </w:p>
        </w:tc>
        <w:tc>
          <w:tcPr>
            <w:shd w:val="clear" w:color="auto" w:fill="auto"/>
            <w:tcW w:w="3433" w:type="pct"/>
            <w:vAlign w:val="center"/>
            <w:textDirection w:val="lrTb"/>
            <w:noWrap w:val="false"/>
          </w:tcPr>
          <w:p>
            <w:pPr>
              <w:numPr>
                <w:ilvl w:val="0"/>
                <w:numId w:val="18"/>
              </w:num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评标委员会根据投标人针对本项目的售后服务（包含但不限于保证措施、维修方案、质保期内外的服务计划）进行综合评审：</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保证措施科学合理，方案内容全面完善，服务计划合理的，得</w:t>
            </w:r>
            <w:r>
              <w:rPr>
                <w:color w:val="000000" w:themeColor="text1"/>
                <w:szCs w:val="21"/>
                <w:lang w:val="en-US"/>
                <w14:textFill>
                  <w14:solidFill>
                    <w14:schemeClr w14:val="tx1"/>
                  </w14:solidFill>
                </w14:textFill>
              </w:rPr>
              <w:t xml:space="preserve">4</w:t>
            </w:r>
            <w:r>
              <w:rPr>
                <w:rFonts w:hint="eastAsia"/>
                <w:color w:val="000000" w:themeColor="text1"/>
                <w:szCs w:val="21"/>
                <w:lang w:val="en-US"/>
                <w14:textFill>
                  <w14:solidFill>
                    <w14:schemeClr w14:val="tx1"/>
                  </w14:solidFill>
                </w14:textFill>
              </w:rPr>
              <w:t xml:space="preserve">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保证措施基本可行，方案内容基本完善，服务计划基本合理的，得</w:t>
            </w:r>
            <w:r>
              <w:rPr>
                <w:color w:val="000000" w:themeColor="text1"/>
                <w:szCs w:val="21"/>
                <w:lang w:val="en-US"/>
                <w14:textFill>
                  <w14:solidFill>
                    <w14:schemeClr w14:val="tx1"/>
                  </w14:solidFill>
                </w14:textFill>
              </w:rPr>
              <w:t xml:space="preserve">2</w:t>
            </w:r>
            <w:r>
              <w:rPr>
                <w:rFonts w:hint="eastAsia"/>
                <w:color w:val="000000" w:themeColor="text1"/>
                <w:szCs w:val="21"/>
                <w:lang w:val="en-US"/>
                <w14:textFill>
                  <w14:solidFill>
                    <w14:schemeClr w14:val="tx1"/>
                  </w14:solidFill>
                </w14:textFill>
              </w:rPr>
              <w:t xml:space="preserve">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保证措施有所欠缺，服务计划不太合理的，得</w:t>
            </w:r>
            <w:r>
              <w:rPr>
                <w:color w:val="000000" w:themeColor="text1"/>
                <w:szCs w:val="21"/>
                <w:lang w:val="en-US"/>
                <w14:textFill>
                  <w14:solidFill>
                    <w14:schemeClr w14:val="tx1"/>
                  </w14:solidFill>
                </w14:textFill>
              </w:rPr>
              <w:t xml:space="preserve">1</w:t>
            </w:r>
            <w:r>
              <w:rPr>
                <w:rFonts w:hint="eastAsia"/>
                <w:color w:val="000000" w:themeColor="text1"/>
                <w:szCs w:val="21"/>
                <w:lang w:val="en-US"/>
                <w14:textFill>
                  <w14:solidFill>
                    <w14:schemeClr w14:val="tx1"/>
                  </w14:solidFill>
                </w14:textFill>
              </w:rPr>
              <w:t xml:space="preserve">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未提供的不得分。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2、评标委员会根据供应商提供的关于本项目的培训方案进行综合评分：培训方案体系完善，方案内容完整、科学合理的，得</w:t>
            </w:r>
            <w:r>
              <w:rPr>
                <w:color w:val="000000" w:themeColor="text1"/>
                <w:szCs w:val="21"/>
                <w:lang w:val="en-US"/>
                <w14:textFill>
                  <w14:solidFill>
                    <w14:schemeClr w14:val="tx1"/>
                  </w14:solidFill>
                </w14:textFill>
              </w:rPr>
              <w:t xml:space="preserve">4分；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培训方案体系较为完善，方案内容较为完整、较科学合理的，得</w:t>
            </w:r>
            <w:r>
              <w:rPr>
                <w:color w:val="000000" w:themeColor="text1"/>
                <w:szCs w:val="21"/>
                <w:lang w:val="en-US"/>
                <w14:textFill>
                  <w14:solidFill>
                    <w14:schemeClr w14:val="tx1"/>
                  </w14:solidFill>
                </w14:textFill>
              </w:rPr>
              <w:t xml:space="preserve">2分；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培训方案体系一般，方案内容有所欠缺、科学性合理性一般的，得</w:t>
            </w:r>
            <w:r>
              <w:rPr>
                <w:color w:val="000000" w:themeColor="text1"/>
                <w:szCs w:val="21"/>
                <w:lang w:val="en-US"/>
                <w14:textFill>
                  <w14:solidFill>
                    <w14:schemeClr w14:val="tx1"/>
                  </w14:solidFill>
                </w14:textFill>
              </w:rPr>
              <w:t xml:space="preserve">1分；</w:t>
            </w:r>
            <w:r/>
          </w:p>
          <w:p>
            <w:pPr>
              <w:ind w:firstLine="440"/>
              <w:spacing w:line="40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未提供的不得分。</w:t>
            </w:r>
            <w:r/>
          </w:p>
          <w:p>
            <w:pPr>
              <w:ind w:firstLine="440"/>
              <w:spacing w:line="40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3</w:t>
            </w:r>
            <w:r>
              <w:rPr>
                <w:rFonts w:hint="eastAsia"/>
                <w:color w:val="000000" w:themeColor="text1"/>
                <w:szCs w:val="21"/>
                <w:lang w:val="en-US"/>
                <w14:textFill>
                  <w14:solidFill>
                    <w14:schemeClr w14:val="tx1"/>
                  </w14:solidFill>
                </w14:textFill>
              </w:rPr>
              <w:t xml:space="preserve">、在满足招标文件要求的质保期基础上，提供质保期延长承诺书，并明确延长质保期的服务内容和费用计算方式，投标人对项目每增加一年质保期服务(承诺增加的质保期费用包含在本次报价中)，得1分，最高得2分。(投标文件中提供加盖投标人公章的承诺函，格式自拟，未提供不得分。)</w:t>
            </w:r>
            <w:r/>
          </w:p>
        </w:tc>
        <w:tc>
          <w:tcPr>
            <w:tcW w:w="487"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color w:val="000000" w:themeColor="text1"/>
                <w:szCs w:val="21"/>
                <w:lang w:val="en-US"/>
                <w14:textFill>
                  <w14:solidFill>
                    <w14:schemeClr w14:val="tx1"/>
                  </w14:solidFill>
                </w14:textFill>
              </w:rPr>
              <w:t xml:space="preserve">10</w:t>
            </w:r>
            <w:r/>
          </w:p>
        </w:tc>
      </w:tr>
      <w:tr>
        <w:trPr>
          <w:jc w:val="center"/>
        </w:trPr>
        <w:tc>
          <w:tcPr>
            <w:tcW w:w="371"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 xml:space="preserve">1</w:t>
            </w:r>
            <w:r>
              <w:rPr>
                <w:color w:val="000000" w:themeColor="text1"/>
                <w:szCs w:val="21"/>
                <w:lang w:val="en-US"/>
                <w14:textFill>
                  <w14:solidFill>
                    <w14:schemeClr w14:val="tx1"/>
                  </w14:solidFill>
                </w14:textFill>
              </w:rPr>
              <w:t xml:space="preserve">0</w:t>
            </w:r>
            <w:r/>
          </w:p>
        </w:tc>
        <w:tc>
          <w:tcPr>
            <w:tcW w:w="709" w:type="pct"/>
            <w:vAlign w:val="center"/>
            <w:textDirection w:val="lrTb"/>
            <w:noWrap w:val="false"/>
          </w:tcPr>
          <w:p>
            <w:pPr>
              <w:jc w:val="center"/>
              <w:spacing w:line="460" w:lineRule="exact"/>
              <w:rPr>
                <w:color w:val="000000" w:themeColor="text1"/>
                <w:szCs w:val="21"/>
                <w:lang w:val="en-US"/>
                <w14:textFill>
                  <w14:solidFill>
                    <w14:schemeClr w14:val="tx1"/>
                  </w14:solidFill>
                </w14:textFill>
              </w:rPr>
            </w:pPr>
            <w:r>
              <w:rPr>
                <w:rFonts w:hint="eastAsia"/>
                <w:color w:val="000000" w:themeColor="text1"/>
                <w:szCs w:val="21"/>
                <w14:textFill>
                  <w14:solidFill>
                    <w14:schemeClr w14:val="tx1"/>
                  </w14:solidFill>
                </w14:textFill>
              </w:rPr>
              <w:t xml:space="preserve">节能环保</w:t>
            </w:r>
            <w:r/>
          </w:p>
        </w:tc>
        <w:tc>
          <w:tcPr>
            <w:shd w:val="clear" w:color="auto" w:fill="auto"/>
            <w:tcW w:w="3433" w:type="pct"/>
            <w:vAlign w:val="center"/>
            <w:textDirection w:val="lrTb"/>
            <w:noWrap w:val="false"/>
          </w:tcPr>
          <w:p>
            <w:pPr>
              <w:ind w:firstLine="44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p>
          <w:p>
            <w:pPr>
              <w:numPr>
                <w:ilvl w:val="0"/>
                <w:numId w:val="18"/>
              </w:numPr>
              <w:ind w:firstLine="440"/>
              <w:spacing w:line="400" w:lineRule="exact"/>
              <w:rPr>
                <w:color w:val="000000" w:themeColor="text1"/>
                <w:szCs w:val="21"/>
                <w:lang w:val="en-US"/>
                <w14:textFill>
                  <w14:solidFill>
                    <w14:schemeClr w14:val="tx1"/>
                  </w14:solidFill>
                </w14:textFill>
              </w:rPr>
            </w:pPr>
            <w:r>
              <w:rPr>
                <w:color w:val="000000" w:themeColor="text1"/>
                <w:szCs w:val="21"/>
                <w14:textFill>
                  <w14:solidFill>
                    <w14:schemeClr w14:val="tx1"/>
                  </w14:solidFill>
                </w14:textFill>
              </w:rPr>
              <w:t xml:space="preserve">投标产品属于财政部、生态环境部公布的“环境标志产品品目清单”范围内的，投标人提供国家确定的认证机构出具的、处于有效期内的该投标产品环境标志产品认证证书复印件的得 1分。</w:t>
            </w:r>
            <w:r/>
          </w:p>
        </w:tc>
        <w:tc>
          <w:tcPr>
            <w:tcW w:w="487" w:type="pct"/>
            <w:vAlign w:val="center"/>
            <w:textDirection w:val="lrTb"/>
            <w:noWrap w:val="false"/>
          </w:tcPr>
          <w:p>
            <w:pPr>
              <w:spacing w:line="288" w:lineRule="auto"/>
              <w:rPr>
                <w:strike/>
                <w:color w:val="000000" w:themeColor="text1"/>
                <w:szCs w:val="21"/>
                <w14:textFill>
                  <w14:solidFill>
                    <w14:schemeClr w14:val="tx1"/>
                  </w14:solidFill>
                </w14:textFill>
              </w:rPr>
            </w:pPr>
            <w:r>
              <w:rPr>
                <w:strike/>
                <w:color w:val="000000" w:themeColor="text1"/>
                <w:szCs w:val="21"/>
                <w14:textFill>
                  <w14:solidFill>
                    <w14:schemeClr w14:val="tx1"/>
                  </w14:solidFill>
                </w14:textFill>
              </w:rPr>
            </w:r>
            <w:r/>
          </w:p>
          <w:p>
            <w:pPr>
              <w:jc w:val="center"/>
              <w:spacing w:line="460" w:lineRule="exact"/>
              <w:rPr>
                <w:color w:val="000000" w:themeColor="text1"/>
                <w:szCs w:val="21"/>
                <w:lang w:val="en-US"/>
                <w14:textFill>
                  <w14:solidFill>
                    <w14:schemeClr w14:val="tx1"/>
                  </w14:solidFill>
                </w14:textFill>
              </w:rPr>
            </w:pPr>
            <w:r>
              <w:rPr>
                <w:color w:val="000000" w:themeColor="text1"/>
                <w:szCs w:val="21"/>
                <w14:textFill>
                  <w14:solidFill>
                    <w14:schemeClr w14:val="tx1"/>
                  </w14:solidFill>
                </w14:textFill>
              </w:rPr>
              <w:t xml:space="preserve">2</w:t>
            </w:r>
            <w:r/>
          </w:p>
        </w:tc>
      </w:tr>
    </w:tbl>
    <w:p>
      <w:pPr>
        <w:rPr>
          <w:b/>
          <w:color w:val="000000" w:themeColor="text1"/>
          <w14:textFill>
            <w14:solidFill>
              <w14:schemeClr w14:val="tx1"/>
            </w14:solidFill>
          </w14:textFill>
        </w:rPr>
      </w:pPr>
      <w:r>
        <w:rPr>
          <w:rStyle w:val="1075"/>
          <w:rFonts w:hint="eastAsia" w:ascii="宋体" w:hAnsi="宋体" w:cs="宋体"/>
          <w:b/>
          <w:color w:val="000000" w:themeColor="text1"/>
          <w:szCs w:val="21"/>
          <w:lang w:bidi="ar"/>
          <w14:textFill>
            <w14:solidFill>
              <w14:schemeClr w14:val="tx1"/>
            </w14:solidFill>
          </w14:textFill>
        </w:rPr>
        <w:t xml:space="preserve">说明：</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1、小微企业的价格扣除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（1）对于非专门面向中小企业的采购项目，给予小微企业报价10%的价格扣除，用扣除后的价格参与评审。</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（2）对于非专门面向中小企业的</w:t>
      </w:r>
      <w:r>
        <w:rPr>
          <w:rFonts w:hint="eastAsia"/>
          <w:bCs/>
          <w:color w:val="000000" w:themeColor="text1"/>
          <w:szCs w:val="21"/>
          <w:lang w:bidi="ar"/>
          <w14:textFill>
            <w14:solidFill>
              <w14:schemeClr w14:val="tx1"/>
            </w14:solidFill>
          </w14:textFill>
        </w:rPr>
        <w:t xml:space="preserve">货物</w:t>
      </w:r>
      <w:r>
        <w:rPr>
          <w:rFonts w:hint="eastAsia"/>
          <w:color w:val="000000" w:themeColor="text1"/>
          <w:szCs w:val="21"/>
          <w:lang w:bidi="ar"/>
          <w14:textFill>
            <w14:solidFill>
              <w14:schemeClr w14:val="tx1"/>
            </w14:solidFill>
          </w14:textFill>
        </w:rPr>
        <w:t xml:space="preserve">采购项目</w:t>
      </w:r>
      <w:r>
        <w:rPr>
          <w:rFonts w:hint="eastAsia"/>
          <w:bCs/>
          <w:color w:val="000000" w:themeColor="text1"/>
          <w:szCs w:val="21"/>
          <w:lang w:bidi="ar"/>
          <w14:textFill>
            <w14:solidFill>
              <w14:schemeClr w14:val="tx1"/>
            </w14:solidFill>
          </w14:textFill>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000000" w:themeColor="text1"/>
          <w14:textFill>
            <w14:solidFill>
              <w14:schemeClr w14:val="tx1"/>
            </w14:solidFill>
          </w14:textFill>
        </w:rPr>
      </w:pPr>
      <w:r>
        <w:rPr>
          <w:rStyle w:val="1075"/>
          <w:rFonts w:hint="eastAsia" w:ascii="宋体" w:hAnsi="宋体" w:cs="宋体"/>
          <w:color w:val="000000" w:themeColor="text1"/>
          <w:szCs w:val="21"/>
          <w:lang w:bidi="ar"/>
          <w14:textFill>
            <w14:solidFill>
              <w14:schemeClr w14:val="tx1"/>
            </w14:solidFill>
          </w14:textFill>
        </w:rPr>
        <w:t xml:space="preserve">（3）供应商需按照采购文件的要求提供相应的《中小企业声明函》。</w:t>
      </w:r>
      <w:r/>
    </w:p>
    <w:p>
      <w:pPr>
        <w:ind w:firstLine="440"/>
        <w:spacing w:line="360" w:lineRule="auto"/>
        <w:rPr>
          <w:color w:val="000000" w:themeColor="text1"/>
          <w14:textFill>
            <w14:solidFill>
              <w14:schemeClr w14:val="tx1"/>
            </w14:solidFill>
          </w14:textFill>
        </w:rPr>
      </w:pPr>
      <w:r>
        <w:rPr>
          <w:rStyle w:val="1075"/>
          <w:rFonts w:hint="eastAsia" w:ascii="宋体" w:hAnsi="宋体" w:cs="宋体"/>
          <w:color w:val="000000" w:themeColor="text1"/>
          <w:szCs w:val="21"/>
          <w:lang w:bidi="ar"/>
          <w14:textFill>
            <w14:solidFill>
              <w14:schemeClr w14:val="tx1"/>
            </w14:solidFill>
          </w14:textFill>
        </w:rPr>
        <w:t xml:space="preserve">（4）企业标准请参照《关于印发中小企业划型标准规定的通知》（工信部联企业[2011]300</w:t>
      </w:r>
      <w:r>
        <w:rPr>
          <w:rStyle w:val="1075"/>
          <w:color w:val="000000" w:themeColor="text1"/>
          <w:szCs w:val="21"/>
          <w:lang w:bidi="ar"/>
          <w14:textFill>
            <w14:solidFill>
              <w14:schemeClr w14:val="tx1"/>
            </w14:solidFill>
          </w14:textFill>
        </w:rPr>
        <w:t xml:space="preserve"> </w:t>
      </w:r>
      <w:r>
        <w:rPr>
          <w:rStyle w:val="1075"/>
          <w:rFonts w:hint="eastAsia" w:ascii="宋体" w:hAnsi="宋体" w:cs="宋体"/>
          <w:color w:val="000000" w:themeColor="text1"/>
          <w:szCs w:val="21"/>
          <w:lang w:bidi="ar"/>
          <w14:textFill>
            <w14:solidFill>
              <w14:schemeClr w14:val="tx1"/>
            </w14:solidFill>
          </w14:textFill>
        </w:rPr>
        <w:t xml:space="preserve">号）文件规定自行填写。</w:t>
      </w:r>
      <w:r/>
    </w:p>
    <w:p>
      <w:pPr>
        <w:ind w:firstLine="421"/>
        <w:spacing w:line="360" w:lineRule="auto"/>
        <w:rPr>
          <w:b/>
          <w:color w:val="000000" w:themeColor="text1"/>
          <w:szCs w:val="21"/>
          <w14:textFill>
            <w14:solidFill>
              <w14:schemeClr w14:val="tx1"/>
            </w14:solidFill>
          </w14:textFill>
        </w:rPr>
      </w:pPr>
      <w:r>
        <w:rPr>
          <w:rFonts w:hint="eastAsia"/>
          <w:b/>
          <w:color w:val="000000" w:themeColor="text1"/>
          <w:szCs w:val="21"/>
          <w:lang w:bidi="ar"/>
          <w14:textFill>
            <w14:solidFill>
              <w14:schemeClr w14:val="tx1"/>
            </w14:solidFill>
          </w14:textFill>
        </w:rPr>
        <w:t xml:space="preserve">2、监狱和戒毒企业的价格扣除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（1）本项目对监狱和戒毒企业（简称监狱企业），给予报价10%的价格扣除，用扣除后的价格参与评审。</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（2）监狱企业需提供由省级以上监狱管理局、戒毒管理局（含新疆生产建设兵团）出具的属于监狱企业的证明文件。</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（3）监狱企业标准请参照《关于政府采购支持监狱企业发展有关问题的通知》（财库〔2014〕68号）。</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3、残疾人福利性单位的价格扣除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（1）本项目对残疾人福利性单位，给予报价10%的价格扣除，用扣除后的价格参与评审。</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（2）残疾人福利单位需按照采购文件的要求提供《残疾人福利性单位声明函》。</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 xml:space="preserve">（3）残疾人福利单位标准请参照《关于促进残疾人就业政府采购政策的通知》（财库〔2017〕141号）。</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4、监狱企业、残疾人福利性单位属于小微企业的，不重复享受政策。</w:t>
      </w:r>
      <w:r/>
    </w:p>
    <w:p>
      <w:pPr>
        <w:ind w:firstLine="442"/>
        <w:spacing w:line="360" w:lineRule="auto"/>
        <w:rPr>
          <w:b/>
          <w:color w:val="000000" w:themeColor="text1"/>
          <w:szCs w:val="21"/>
          <w:lang w:bidi="ar"/>
          <w14:textFill>
            <w14:solidFill>
              <w14:schemeClr w14:val="tx1"/>
            </w14:solidFill>
          </w14:textFill>
        </w:rPr>
      </w:pPr>
      <w:r>
        <w:rPr>
          <w:b/>
          <w:color w:val="000000" w:themeColor="text1"/>
          <w:szCs w:val="21"/>
          <w:lang w:bidi="ar"/>
          <w14:textFill>
            <w14:solidFill>
              <w14:schemeClr w14:val="tx1"/>
            </w14:solidFill>
          </w14:textFill>
        </w:rPr>
        <w:t xml:space="preserve">5</w:t>
      </w:r>
      <w:r>
        <w:rPr>
          <w:rFonts w:hint="eastAsia"/>
          <w:b/>
          <w:color w:val="000000" w:themeColor="text1"/>
          <w:szCs w:val="21"/>
          <w:lang w:bidi="ar"/>
          <w14:textFill>
            <w14:solidFill>
              <w14:schemeClr w14:val="tx1"/>
            </w14:solidFill>
          </w14:textFill>
        </w:rPr>
        <w:t xml:space="preserve">、采购本国产品的支持政策</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（1）</w:t>
      </w:r>
      <w:r>
        <w:rPr>
          <w:color w:val="000000" w:themeColor="text1"/>
          <w:szCs w:val="21"/>
          <w:lang w:bidi="ar"/>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（2）</w:t>
      </w:r>
      <w:r>
        <w:rPr>
          <w:color w:val="000000" w:themeColor="text1"/>
          <w:szCs w:val="21"/>
          <w:lang w:bidi="ar"/>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（3）</w:t>
      </w:r>
      <w:r>
        <w:rPr>
          <w:color w:val="000000" w:themeColor="text1"/>
          <w:szCs w:val="21"/>
          <w:lang w:bidi="ar"/>
          <w14:textFill>
            <w14:solidFill>
              <w14:schemeClr w14:val="tx1"/>
            </w14:solidFill>
          </w14:textFill>
        </w:rPr>
        <w:t xml:space="preserve">供应商需按照招标文件的要求提供《关于符合本国产品标准的声明函》，如不提供将不享受本国产品价格评审优惠。</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（4）</w:t>
      </w:r>
      <w:r>
        <w:rPr>
          <w:color w:val="000000" w:themeColor="text1"/>
          <w:szCs w:val="21"/>
          <w:lang w:bidi="ar"/>
          <w14:textFill>
            <w14:solidFill>
              <w14:schemeClr w14:val="tx1"/>
            </w14:solidFill>
          </w14:textFill>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000000" w:themeColor="text1"/>
          <w:szCs w:val="21"/>
          <w:lang w:bidi="ar"/>
          <w14:textFill>
            <w14:solidFill>
              <w14:schemeClr w14:val="tx1"/>
            </w14:solidFill>
          </w14:textFill>
        </w:rPr>
      </w:pPr>
      <w:r>
        <w:rPr>
          <w:rFonts w:hint="eastAsia"/>
          <w:color w:val="000000" w:themeColor="text1"/>
          <w:szCs w:val="21"/>
          <w:lang w:bidi="ar"/>
          <w14:textFill>
            <w14:solidFill>
              <w14:schemeClr w14:val="tx1"/>
            </w14:solidFill>
          </w14:textFill>
        </w:rPr>
        <w:t xml:space="preserve">（5）</w:t>
      </w:r>
      <w:r>
        <w:rPr>
          <w:color w:val="000000" w:themeColor="text1"/>
          <w:szCs w:val="21"/>
          <w:lang w:bidi="ar"/>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000000" w:themeColor="text1"/>
          <w:szCs w:val="21"/>
          <w:lang w:bidi="ar"/>
          <w14:textFill>
            <w14:solidFill>
              <w14:schemeClr w14:val="tx1"/>
            </w14:solidFill>
          </w14:textFill>
        </w:rPr>
      </w:pPr>
      <w:r>
        <w:rPr>
          <w:color w:val="000000" w:themeColor="text1"/>
          <w:szCs w:val="21"/>
          <w:lang w:bidi="ar"/>
          <w14:textFill>
            <w14:solidFill>
              <w14:schemeClr w14:val="tx1"/>
            </w14:solidFill>
          </w14:textFill>
        </w:rPr>
        <w:br w:type="page" w:clear="all"/>
      </w:r>
      <w:r/>
    </w:p>
    <w:p>
      <w:pPr>
        <w:contextualSpacing/>
        <w:jc w:val="center"/>
        <w:spacing w:line="360" w:lineRule="auto"/>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第四章 招标项目的技术规格、要求和数量等</w:t>
      </w:r>
      <w:bookmarkEnd w:id="20"/>
      <w:r/>
      <w:r/>
    </w:p>
    <w:p>
      <w:pPr>
        <w:spacing w:line="360" w:lineRule="auto"/>
        <w:rPr>
          <w:b/>
          <w:color w:val="000000" w:themeColor="text1"/>
          <w:sz w:val="24"/>
          <w:szCs w:val="32"/>
          <w14:textFill>
            <w14:solidFill>
              <w14:schemeClr w14:val="tx1"/>
            </w14:solidFill>
          </w14:textFill>
        </w:rPr>
      </w:pPr>
      <w:r/>
      <w:bookmarkStart w:id="21" w:name="_Toc17931"/>
      <w:r>
        <w:rPr>
          <w:rFonts w:hint="eastAsia" w:ascii="Times New Roman" w:hAnsi="Times New Roman" w:cs="Times New Roman"/>
          <w:b/>
          <w:color w:val="000000" w:themeColor="text1"/>
          <w:sz w:val="24"/>
          <w:szCs w:val="32"/>
          <w:lang w:val="en-US" w:bidi="ar-SA"/>
          <w14:textFill>
            <w14:solidFill>
              <w14:schemeClr w14:val="tx1"/>
            </w14:solidFill>
          </w14:textFill>
        </w:rPr>
        <w:t xml:space="preserve">一、</w:t>
      </w:r>
      <w:r>
        <w:rPr>
          <w:b/>
          <w:color w:val="000000" w:themeColor="text1"/>
          <w:sz w:val="24"/>
          <w:szCs w:val="32"/>
          <w14:textFill>
            <w14:solidFill>
              <w14:schemeClr w14:val="tx1"/>
            </w14:solidFill>
          </w14:textFill>
        </w:rPr>
        <w:t xml:space="preserve">项目</w:t>
      </w:r>
      <w:r>
        <w:rPr>
          <w:rFonts w:hint="eastAsia"/>
          <w:b/>
          <w:color w:val="000000" w:themeColor="text1"/>
          <w:sz w:val="24"/>
          <w:szCs w:val="32"/>
          <w:lang w:val="en-US"/>
          <w14:textFill>
            <w14:solidFill>
              <w14:schemeClr w14:val="tx1"/>
            </w14:solidFill>
          </w14:textFill>
        </w:rPr>
        <w:t xml:space="preserve">概况</w:t>
      </w:r>
      <w:r/>
    </w:p>
    <w:p>
      <w:pPr>
        <w:ind w:firstLine="480"/>
        <w:spacing w:line="440" w:lineRule="exact"/>
        <w:rPr>
          <w:b/>
          <w:color w:val="000000" w:themeColor="text1"/>
          <w:sz w:val="24"/>
          <w:szCs w:val="32"/>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1、项目名称：江苏开放大学环境生态学院实验室建设及安装项目</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2、项目预算：367万元。</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3、采购期限：自合同签订之日起75个工作日内完成交付、安装调试并验收合格。</w:t>
      </w:r>
      <w:r/>
    </w:p>
    <w:p>
      <w:pPr>
        <w:ind w:firstLine="480"/>
        <w:spacing w:line="440" w:lineRule="exact"/>
        <w:rPr>
          <w:color w:val="000000" w:themeColor="text1"/>
          <w:sz w:val="24"/>
          <w:szCs w:val="32"/>
          <w:lang w:val="en-US"/>
          <w14:textFill>
            <w14:solidFill>
              <w14:schemeClr w14:val="tx1"/>
            </w14:solidFill>
          </w14:textFill>
        </w:rPr>
      </w:pPr>
      <w:r>
        <w:rPr>
          <w:rFonts w:hint="eastAsia"/>
          <w:color w:val="000000" w:themeColor="text1"/>
          <w:sz w:val="24"/>
          <w:szCs w:val="32"/>
          <w:lang w:val="en-US"/>
          <w14:textFill>
            <w14:solidFill>
              <w14:schemeClr w14:val="tx1"/>
            </w14:solidFill>
          </w14:textFill>
        </w:rPr>
        <w:t xml:space="preserve">4、交货地点：采购人指定地点。</w:t>
      </w:r>
      <w:r/>
    </w:p>
    <w:p>
      <w:pPr>
        <w:pStyle w:val="1080"/>
        <w:ind w:firstLine="0"/>
        <w:spacing w:line="440" w:lineRule="exact"/>
        <w:rPr>
          <w:rFonts w:cs="Times New Roman"/>
          <w:b/>
          <w:color w:val="000000" w:themeColor="text1"/>
          <w:sz w:val="24"/>
          <w:szCs w:val="32"/>
          <w:lang w:val="en-US" w:bidi="ar-SA"/>
          <w14:textFill>
            <w14:solidFill>
              <w14:schemeClr w14:val="tx1"/>
            </w14:solidFill>
          </w14:textFill>
        </w:rPr>
      </w:pPr>
      <w:r>
        <w:rPr>
          <w:rFonts w:hint="eastAsia" w:cs="Times New Roman"/>
          <w:b/>
          <w:color w:val="000000" w:themeColor="text1"/>
          <w:sz w:val="24"/>
          <w:szCs w:val="32"/>
          <w:lang w:val="en-US" w:bidi="ar-SA"/>
          <w14:textFill>
            <w14:solidFill>
              <w14:schemeClr w14:val="tx1"/>
            </w14:solidFill>
          </w14:textFill>
        </w:rPr>
        <w:t xml:space="preserve">二</w:t>
      </w:r>
      <w:r>
        <w:rPr>
          <w:rFonts w:hint="eastAsia" w:ascii="Times New Roman" w:hAnsi="Times New Roman" w:cs="Times New Roman"/>
          <w:b/>
          <w:color w:val="000000" w:themeColor="text1"/>
          <w:sz w:val="24"/>
          <w:szCs w:val="32"/>
          <w:lang w:val="en-US" w:bidi="ar-SA"/>
          <w14:textFill>
            <w14:solidFill>
              <w14:schemeClr w14:val="tx1"/>
            </w14:solidFill>
          </w14:textFill>
        </w:rPr>
        <w:t xml:space="preserve">、</w:t>
      </w:r>
      <w:r>
        <w:rPr>
          <w:rFonts w:hint="eastAsia" w:cs="Times New Roman"/>
          <w:b/>
          <w:color w:val="000000" w:themeColor="text1"/>
          <w:sz w:val="24"/>
          <w:szCs w:val="32"/>
          <w:lang w:val="en-US" w:bidi="ar-SA"/>
          <w14:textFill>
            <w14:solidFill>
              <w14:schemeClr w14:val="tx1"/>
            </w14:solidFill>
          </w14:textFill>
        </w:rPr>
        <w:t xml:space="preserve">采购清单及技术指标</w:t>
      </w:r>
      <w:r/>
    </w:p>
    <w:p>
      <w:pPr>
        <w:pStyle w:val="1080"/>
        <w:ind w:firstLine="663"/>
        <w:spacing w:line="440" w:lineRule="exact"/>
        <w:rPr>
          <w:rFonts w:cs="Times New Roman"/>
          <w:b/>
          <w:color w:val="000000" w:themeColor="text1"/>
          <w:sz w:val="24"/>
          <w:szCs w:val="32"/>
          <w:lang w:val="en-US" w:bidi="ar-SA"/>
          <w14:textFill>
            <w14:solidFill>
              <w14:schemeClr w14:val="tx1"/>
            </w14:solidFill>
          </w14:textFill>
        </w:rPr>
      </w:pPr>
      <w:r>
        <w:rPr>
          <w:rFonts w:hint="eastAsia" w:ascii="Times New Roman" w:hAnsi="Times New Roman"/>
          <w:b/>
          <w:bCs/>
          <w:color w:val="000000" w:themeColor="text1"/>
          <w:lang w:val="en-US" w:bidi="ar"/>
          <w14:textFill>
            <w14:solidFill>
              <w14:schemeClr w14:val="tx1"/>
            </w14:solidFill>
          </w14:textFill>
        </w:rPr>
        <w:t xml:space="preserve">本次采购核心产品为：中央实验台</w:t>
      </w:r>
      <w:r>
        <w:rPr>
          <w:rFonts w:ascii="Times New Roman" w:hAnsi="Times New Roman"/>
          <w:b/>
          <w:bCs/>
          <w:color w:val="000000" w:themeColor="text1"/>
          <w:lang w:val="en-US" w:bidi="ar"/>
          <w14:textFill>
            <w14:solidFill>
              <w14:schemeClr w14:val="tx1"/>
            </w14:solidFill>
          </w14:textFill>
        </w:rPr>
        <w:t xml:space="preserve"> 1</w:t>
      </w:r>
      <w:r/>
    </w:p>
    <w:p>
      <w:pPr>
        <w:ind w:firstLine="442"/>
        <w:rPr>
          <w:rFonts w:ascii="Times New Roman" w:hAnsi="Times New Roman"/>
          <w:color w:val="000000" w:themeColor="text1"/>
          <w:lang w:val="en-US" w:bidi="ar"/>
          <w14:textFill>
            <w14:solidFill>
              <w14:schemeClr w14:val="tx1"/>
            </w14:solidFill>
          </w14:textFill>
        </w:rPr>
      </w:pPr>
      <w:r>
        <w:rPr>
          <w:rFonts w:hint="eastAsia" w:ascii="Times New Roman" w:hAnsi="Times New Roman"/>
          <w:b/>
          <w:bCs/>
          <w:color w:val="000000" w:themeColor="text1"/>
          <w:lang w:val="en-US" w:bidi="ar"/>
          <w14:textFill>
            <w14:solidFill>
              <w14:schemeClr w14:val="tx1"/>
            </w14:solidFill>
          </w14:textFill>
        </w:rPr>
        <w:t xml:space="preserve">（一）采购清单</w:t>
      </w:r>
      <w:r/>
    </w:p>
    <w:p>
      <w:pPr>
        <w:ind w:firstLine="440"/>
        <w:rPr>
          <w:rFonts w:ascii="Times New Roman" w:hAnsi="Times New Roman"/>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1、危化品暂存间（15.8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rPr>
          <w:rFonts w:hint="eastAsia" w:ascii="Times New Roman" w:hAnsi="Times New Roman"/>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64"/>
        <w:gridCol w:w="5259"/>
        <w:gridCol w:w="1134"/>
        <w:gridCol w:w="1134"/>
      </w:tblGrid>
      <w:tr>
        <w:trPr>
          <w:trHeight w:val="423"/>
        </w:trPr>
        <w:tc>
          <w:tcPr>
            <w:shd w:val="clear" w:color="auto" w:fill="auto"/>
            <w:tcBorders>
              <w:top w:val="single" w:color="auto"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b/>
                <w:bCs/>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b/>
                <w:bCs/>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入侵报警探测器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手按报警按钮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防区报警模块</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报警主机及配套软件</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8TB监控级硬盘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人脸识别门禁一体机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门磁开关</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门禁专用电源控制器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门窗改造(加装防盗窗)</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防静电接地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人体静电消除器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防爆型管道排风机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防盗报警控制器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应急物资柜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防爆监控及联网交换机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智能管控终端云控台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危化品安全柜智能副柜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弱酸碱化学品智能副柜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259"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应急喷淋装置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2、危废暂存间（20.5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62"/>
        <w:gridCol w:w="5274"/>
        <w:gridCol w:w="1134"/>
        <w:gridCol w:w="113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墙面处理(防腐涂料)</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bottom"/>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门窗改造(防腐蚀窗户)</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防渗处理(地面防渗层)</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bottom"/>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接地系统</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静电消除器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bottom"/>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防渗托盘</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防爆监控及联网交换机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bottom"/>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8TB监控级硬盘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防爆型管道排风机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台</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3、普通化学药品室（34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62"/>
        <w:gridCol w:w="5274"/>
        <w:gridCol w:w="1134"/>
        <w:gridCol w:w="113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防爆排风系统</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项</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4、环境类耗材设备间（96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62"/>
        <w:gridCol w:w="5274"/>
        <w:gridCol w:w="1134"/>
        <w:gridCol w:w="113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ind w:firstLine="420"/>
              <w:jc w:val="center"/>
              <w:widowControl/>
              <w:rPr>
                <w:color w:val="000000" w:themeColor="text1"/>
                <w:lang w:val="en-US" w:bidi="ar-SA"/>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吊顶2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5、仪器分析实训室（30.7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62"/>
        <w:gridCol w:w="5274"/>
        <w:gridCol w:w="1134"/>
        <w:gridCol w:w="1134"/>
      </w:tblGrid>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862"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b/>
                <w:bCs/>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实验边台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天平台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配电箱1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电缆1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6、化学实训室（132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66"/>
        <w:gridCol w:w="5270"/>
        <w:gridCol w:w="1134"/>
        <w:gridCol w:w="1134"/>
      </w:tblGrid>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866"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5270"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bl>
    <w:tbl>
      <w:tblPr>
        <w:tblStyle w:val="858"/>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5274"/>
        <w:gridCol w:w="1134"/>
        <w:gridCol w:w="1134"/>
      </w:tblGrid>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中央实验台1</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17.25</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双盆水槽台</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单盆水槽台</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实验边台</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15.6</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实验边台(带水槽)</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3.7</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台上单层试剂架</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17.25</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桌面通风橱</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通风柜</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76"/>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应急喷淋装置</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配电箱2</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PPR给水管</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HDPE排水管1</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W w:w="862"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HDPE排水管2</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14</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电缆2</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15</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1</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1500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16</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2</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17</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18</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19</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20</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tcW w:w="862" w:type="dxa"/>
            <w:vAlign w:val="center"/>
            <w:textDirection w:val="lrTb"/>
            <w:noWrap w:val="false"/>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21</w:t>
            </w:r>
            <w:r/>
          </w:p>
        </w:tc>
        <w:tc>
          <w:tcPr>
            <w:shd w:val="clear" w:color="auto" w:fill="auto"/>
            <w:tcW w:w="527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楼板开洞</w:t>
            </w:r>
            <w:r/>
          </w:p>
        </w:tc>
        <w:tc>
          <w:tcPr>
            <w:shd w:val="clear" w:color="auto" w:fill="auto"/>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tcW w:w="1134"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7、环境监测实训室（130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113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中央实验台1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双盆水槽台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单盆水槽台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实验边台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实验边台(带水槽)</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台上单层试剂架</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桌面通风橱</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应急喷淋装置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配电箱2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PPR给水管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电缆2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楼板开洞</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8、固废实训室（104.7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1134"/>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中央实验台（钢架台）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单盆水槽台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高温台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应急喷淋装置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配电箱2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PPR给水管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385"/>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电缆2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水磨石地面</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9、大气污染控制实训室（105.4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实验边台(带水槽)</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带书写板活动椅</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张</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配电箱2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PPR给水管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HDPE排水管1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HDPE排水管2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电缆2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10、园林工程实训室（131.5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展示设备1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墙面展示装修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灯光</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间</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吊顶1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楼板开洞</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设备间隔断（门墙）</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11、风景园林设计实训室（97.8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展示设备2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bidi="ar-SA"/>
                <w14:textFill>
                  <w14:solidFill>
                    <w14:schemeClr w14:val="tx1"/>
                  </w14:solidFill>
                </w14:textFill>
              </w:rPr>
              <w:t xml:space="preserve">墙面展示设施2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灯光</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间</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吊顶1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楼板开洞</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12、园林制图实训室（92.3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墙面展示设施1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灯光</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吊顶1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楼板开洞</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13、园林标本室（69.2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吊顶1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实验台(双面操作)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bl>
    <w:p>
      <w:pPr>
        <w:rPr>
          <w:rFonts w:ascii="Times New Roman" w:hAnsi="Times New Roman"/>
          <w:color w:val="000000" w:themeColor="text1"/>
          <w:lang w:val="en-US" w:bidi="ar"/>
          <w14:textFill>
            <w14:solidFill>
              <w14:schemeClr w14:val="tx1"/>
            </w14:solidFill>
          </w14:textFill>
        </w:rPr>
      </w:pPr>
      <w:r>
        <w:rPr>
          <w:rFonts w:ascii="Times New Roman" w:hAnsi="Times New Roman"/>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14、园林养护实训室（66.1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吊顶2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中央实验台2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钢制组合收纳柜1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钢制组合收纳柜2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钢制组合收纳柜3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组</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配电箱1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PPR给水管</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HDPE排水管1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HDPE排水管2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电缆1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电线</w:t>
            </w:r>
            <w:r>
              <w:rPr>
                <w:rStyle w:val="864"/>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楼板开洞</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15、园林类专业设备及耗材房（47.8 m</w:t>
      </w:r>
      <w:r>
        <w:rPr>
          <w:rFonts w:hint="eastAsia"/>
          <w:color w:val="000000" w:themeColor="text1"/>
          <w:vertAlign w:val="superscript"/>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吊顶2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16、公共部分</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顶部机电设施升级</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张</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环境生态学院实验室废水收集及配套</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项</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实验室原顶顶面处理（无吊顶实验室）</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17、排风系统、排风控制系统</w:t>
      </w:r>
      <w:r/>
    </w:p>
    <w:tbl>
      <w:tblPr>
        <w:tblStyle w:val="828"/>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859"/>
        <w:gridCol w:w="5277"/>
        <w:gridCol w:w="1134"/>
        <w:gridCol w:w="993"/>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b/>
                <w:bCs/>
                <w:color w:val="000000" w:themeColor="text1"/>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lang w:bidi="ar"/>
                <w14:textFill>
                  <w14:solidFill>
                    <w14:schemeClr w14:val="tx1"/>
                  </w14:solidFill>
                </w14:textFill>
              </w:rPr>
              <w:t xml:space="preserve">★</w:t>
            </w:r>
            <w:r>
              <w:rPr>
                <w:rFonts w:hint="eastAsia"/>
                <w:color w:val="000000" w:themeColor="text1"/>
                <w:lang w:bidi="ar"/>
                <w14:textFill>
                  <w14:solidFill>
                    <w14:schemeClr w14:val="tx1"/>
                  </w14:solidFill>
                </w14:textFill>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SA"/>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玻璃钢离心风机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检测口</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风机附件</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风帽制作</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活性炭处理装置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立式水洗塔</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除雾装置</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w:t>
            </w:r>
            <w:r>
              <w:rPr>
                <w:rStyle w:val="864"/>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电动风阀阀体</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手动调节阀1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手动调节阀2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手动调节阀3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手动调节阀4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B1级PP排风管1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B1级PP排风管2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B1级PP排风管3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风管、风阀保温</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室外风管铝板保护</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排风系统调试</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管井拆除及修复</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平方米</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kg</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施工措施费</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项</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排风柜变风量控制系统</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一体化触摸式显示控制面板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电动调节阀</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排风定风量阀1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排风定风量阀2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排风定风量阀3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718"/>
        </w:trPr>
        <w:tc>
          <w:tcPr>
            <w:shd w:val="clear" w:color="auto" w:fill="auto"/>
            <w:tcBorders>
              <w:top w:val="single" w:color="000000" w:sz="4" w:space="0"/>
              <w:left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35</w:t>
            </w:r>
            <w:r/>
          </w:p>
        </w:tc>
        <w:tc>
          <w:tcPr>
            <w:shd w:val="clear" w:color="auto" w:fill="auto"/>
            <w:tcBorders>
              <w:top w:val="single" w:color="000000" w:sz="4" w:space="0"/>
              <w:left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排风机控制柜</w:t>
            </w:r>
            <w:r/>
          </w:p>
        </w:tc>
        <w:tc>
          <w:tcPr>
            <w:shd w:val="clear" w:color="auto" w:fill="auto"/>
            <w:tcBorders>
              <w:top w:val="single" w:color="000000" w:sz="4" w:space="0"/>
              <w:left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7寸排风机监控面板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压差开关</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开关型电动风阀执行器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控制开关（复位型）</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管道静压传感器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VOCs传感器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液位开关</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防冻开关</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套</w:t>
            </w:r>
            <w:r/>
          </w:p>
        </w:tc>
      </w:tr>
    </w:tbl>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r>
      <w:r/>
    </w:p>
    <w:p>
      <w:pPr>
        <w:ind w:firstLine="442"/>
        <w:rPr>
          <w:color w:val="000000" w:themeColor="text1"/>
          <w:sz w:val="24"/>
          <w:szCs w:val="24"/>
          <w14:textFill>
            <w14:solidFill>
              <w14:schemeClr w14:val="tx1"/>
            </w14:solidFill>
          </w14:textFill>
        </w:rPr>
      </w:pPr>
      <w:r>
        <w:rPr>
          <w:rFonts w:hint="eastAsia"/>
          <w:b/>
          <w:bCs/>
          <w:color w:val="000000" w:themeColor="text1"/>
          <w:lang w:val="en-US" w:bidi="ar"/>
          <w14:textFill>
            <w14:solidFill>
              <w14:schemeClr w14:val="tx1"/>
            </w14:solidFill>
          </w14:textFill>
        </w:rPr>
        <w:t xml:space="preserve">（二）采购设备详细参数</w:t>
      </w:r>
      <w:r/>
    </w:p>
    <w:tbl>
      <w:tblPr>
        <w:tblStyle w:val="828"/>
        <w:tblW w:w="9776" w:type="dxa"/>
        <w:jc w:val="center"/>
        <w:tblLayout w:type="fixed"/>
        <w:tblCellMar>
          <w:left w:w="108" w:type="dxa"/>
          <w:top w:w="0" w:type="dxa"/>
          <w:right w:w="108" w:type="dxa"/>
          <w:bottom w:w="0" w:type="dxa"/>
        </w:tblCellMar>
        <w:tblLook w:val="04A0" w:firstRow="1" w:lastRow="0" w:firstColumn="1" w:lastColumn="0" w:noHBand="0" w:noVBand="1"/>
      </w:tblPr>
      <w:tblGrid>
        <w:gridCol w:w="696"/>
        <w:gridCol w:w="1130"/>
        <w:gridCol w:w="7950"/>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b/>
                <w:bCs/>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设备</w:t>
            </w:r>
            <w:r/>
          </w:p>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tcPr>
          <w:p>
            <w:pPr>
              <w:jc w:val="center"/>
              <w:widowControl/>
              <w:rPr>
                <w:b/>
                <w:bCs/>
                <w:color w:val="000000" w:themeColor="text1"/>
                <w14:textFill>
                  <w14:solidFill>
                    <w14:schemeClr w14:val="tx1"/>
                  </w14:solidFill>
                </w14:textFill>
              </w:rPr>
            </w:pPr>
            <w:r>
              <w:rPr>
                <w:rFonts w:hint="eastAsia"/>
                <w:b/>
                <w:bCs/>
                <w:color w:val="000000" w:themeColor="text1"/>
                <w:lang w:bidi="ar"/>
                <w14:textFill>
                  <w14:solidFill>
                    <w14:schemeClr w14:val="tx1"/>
                  </w14:solidFill>
                </w14:textFill>
              </w:rPr>
              <w:t xml:space="preserve">技术性能要求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入侵报警探测器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1、设备类型：壁挂式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2、使用环境：室内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3、探测距离：≥12米</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4、探测角度：≥85°</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5、探测速度：0.3-2m/s</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6、无线通讯：传输距离(空旷)：1200m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7、安装方式：墙装，支架安装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8、工作温度：-10 °C 至 55 °C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9、工作湿度：10% 至 90%</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0、灵敏度配置：支持通过无线主机配置探测灵敏度</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11、光学密封设计：防飞虫或爬虫进入探测器引起误报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12、信号强度指示：支持在探测器端展示信号强度，便于安装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13、环境温度指示：支持实时检测探测器安装环境的温度</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14、防拆报警：探测器被打开或移开安装墙面会触发防拆报警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22" w:name="OLE_LINK38"/>
            <w:r/>
            <w:bookmarkStart w:id="23" w:name="OLE_LINK37"/>
            <w:r>
              <w:rPr>
                <w:rFonts w:hint="eastAsia"/>
                <w:color w:val="000000" w:themeColor="text1"/>
                <w:lang w:val="en-US" w:bidi="ar"/>
                <w14:textFill>
                  <w14:solidFill>
                    <w14:schemeClr w14:val="tx1"/>
                  </w14:solidFill>
                </w14:textFill>
              </w:rPr>
              <w:t xml:space="preserve">手按报警按钮</w:t>
            </w:r>
            <w:bookmarkEnd w:id="22"/>
            <w:r/>
            <w:bookmarkEnd w:id="23"/>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1、设备类型：紧急按钮（86盒）</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2、工作电源：无需供电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3、工作温度：-10 °C 至 55 °C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4、工作湿度：10% 至 90%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5、报警功能：按钮触发报警（按钮内嵌设计，防止误触发）</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6、自锁设计：报警触发后，必须通过专用钥匙人工复位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1、设备类型：声光警号（声光报警器）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2、警灯颜色：红色</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3、报警音量：</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105dB</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4、硬件接口：红/黑线</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5、使用环境：室内</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6、安装方式：壁挂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7、工作温度：-20 °C 至 60 °C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8、工作湿度：10% 至 90%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9、声光报警：提供警灯闪烁和报警音频输出，用于提示警情处置</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0、模式切换：支持关闭报警音频输出，仅提供警灯闪烁模式输出</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1、内置水平仪：可通过内置水平仪调节安装角度，方便调试安装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防区报警模块</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1、设备类型：总线2防区扩展模块</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2、防区数量：2个</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3、通讯接口：M-BUS</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4、通讯线材：RVV2*1.5</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5、通讯协议：M-BUS协议</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6、外壳材质：塑料</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7、使用环境：室内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8、工作电源：DC36V/1mA（主机总线供电）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9、工作温度：-10 °C 至 55 °C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10、工作湿度：10% 至 90%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报警主机及配套软件</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1、防区数量：板载8路（探测器100m以内），可通过防区模块扩展至256路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2、继电器数量：板载4路（距离50m以内），可通过继电器模块扩展至256路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3、日志容量：</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4万条</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4、传输距离：双总线，每条总线最长支持2.4Km（每条总线可增加2个中继器扩展至7.2km，总共支持14.4km）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6、硬件接口：RS485*1、MBUS*2、RJ45*1，PSTN*1（板载包含），4G*1，RS232*1（可接报警打印机）</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7、安装方式：壁挂安装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8、供电方式：AC220V（自带电源适配器）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9、设备功耗：裸机功耗≤5W，满载功耗≤60W</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10、工作温度：–10℃～+55℃</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11、工作湿度：10％--90％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12、使用环境：室内</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3、防区报警：支持探测器/紧急报警装置触发信号接收，进行入侵/紧急报警事件管理</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4、断电报警：当市电断电时，设备可通过蓄电池正常工作（需选配蓄电池），并将断电事件进行通知上报</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5、外接键盘：支持32个报警键盘接入，包括1个全局键盘和31个子系统键盘</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24" w:name="OLE_LINK40"/>
            <w:r/>
            <w:bookmarkStart w:id="25" w:name="OLE_LINK39"/>
            <w:r>
              <w:rPr>
                <w:rFonts w:hint="eastAsia"/>
                <w:color w:val="000000" w:themeColor="text1"/>
                <w:lang w:val="en-US" w:bidi="ar"/>
                <w14:textFill>
                  <w14:solidFill>
                    <w14:schemeClr w14:val="tx1"/>
                  </w14:solidFill>
                </w14:textFill>
              </w:rPr>
              <w:t xml:space="preserve">报警键盘</w:t>
            </w:r>
            <w:bookmarkEnd w:id="24"/>
            <w:r/>
            <w:bookmarkEnd w:id="2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1、设备类型：控制键盘</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2、通讯协议：RS485</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3、传输距离：</w:t>
            </w:r>
            <w:bookmarkStart w:id="26" w:name="OLE_LINK30"/>
            <w:r>
              <w:rPr>
                <w:rFonts w:hint="eastAsia"/>
                <w:color w:val="000000" w:themeColor="text1"/>
                <w14:textFill>
                  <w14:solidFill>
                    <w14:schemeClr w14:val="tx1"/>
                  </w14:solidFill>
                </w14:textFill>
              </w:rPr>
              <w:t xml:space="preserve">≥</w:t>
            </w:r>
            <w:bookmarkEnd w:id="26"/>
            <w:r>
              <w:rPr>
                <w:rFonts w:hint="eastAsia"/>
                <w:color w:val="000000" w:themeColor="text1"/>
                <w:lang w:val="en-US" w:bidi="ar"/>
                <w14:textFill>
                  <w14:solidFill>
                    <w14:schemeClr w14:val="tx1"/>
                  </w14:solidFill>
                </w14:textFill>
              </w:rPr>
              <w:t xml:space="preserve">800m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4、使用环境：室内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5、蜂鸣器：支持</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6、安装方式：壁挂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7、工作电源：DC12V/150mA（宽压9-16V DC）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8、工作温度：-10 °C 至 55 °C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9、工作湿度：10% 至 90%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10、操作指令接收：支持对报警系统进行布防、撤防、消警、旁路、旁路恢复、紧急求助等操作</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1、操作方式管理：支持密码、遥控器、刷卡方式对报警系统进行操作指令交互</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2、报警状态指示：支持对报警系统防区报警状态进行实时指示，包括指示灯变化，提示音变化，文字内容变化等</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3、系统状态展示：支持对报警系统运行状态进行展示，包括主电源状态、蓄电池状态、防拆状态、子系统布撤防状态，防区状态、扩展模块状态等</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4、胁迫码功能：支持通过胁迫密码进行布撤防管理，并将警情进行中心上报</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5、防区名称自定义：支持防区名称自定义配置，在键盘屏幕中展示对应文字内容</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16、配置管理：支持通过键盘对报警主机进行参数配置，包括密码修改、防区类型配置、上报中心参数配置等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工业级嵌入式微控制器；网络协议IPv4、IPv6、HTTP、NTP、DNS、ONVIF；网络视频接入8路；8个POE网口。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8TB监控级硬盘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8TB3.5英寸-SATA接口。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人脸识别门禁一体机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1、屏幕参数： </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7英寸触摸显示屏，屏幕比例9:16，屏幕分辨率</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600*1024；</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2、摄像头参数：采用宽动态200万双目摄像头；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3、认证方式：支持人脸、刷卡（IC卡、手机NFC卡、CPU卡(含加密内容)、身份证卡序列号）、密码等方式，可外接身份证、社保卡功能模块；</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4、人脸验证：采用深度学习算法，支持照片、视频防假；1:N人脸比对速度≤0.2s，人脸验证准确率≥99%；</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5、存储容量：本地支持2万人脸库、5万张卡，15万条事件记录；</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6、硬件接口：LAN*1、RS485*1、Wiegand * 1(支持双向)、typeA类型USB接口*1、门锁*1、门磁*1、报警输入*2、报警输出*1、开门按钮*1、SD卡槽*1（预留）；</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7、通信方式：有线网络；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8、使用环境：</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IP65，室内外环境（室外使用必须搭配遮阳罩）；</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9、安装方式：壁挂安装（标配挂板，适配86底盒）/桌面摆放/闸机安装/地面支架；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10、电源输入： DC12V/2A（电源需另配）；</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11、可视对讲：支持和平台、室内机、管理机进行可视对讲；支持配置一键呼叫室内机或管理机；支持副门口机或围墙机模式；</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2、视频预览：支持管理中心远程视频预览，支持接入NVR设备，实现视频监控录像，编码格式H.264或H.265；</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3、口罩检测：支持口罩检测模式，可配置提醒戴口罩模式、强制戴口罩模式，关联门禁控制；</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4、提醒戴口罩模式：未带口罩可做身份验证，身份验证通过后提醒佩戴口罩；</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5、强制戴口罩模式：未带口罩无法做身份验证，提醒佩戴口罩；</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6、识别界面可配：识别主界面的“呼叫”、“密码”的按键图标可分别配置是否显示；</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7、认证结果显示可配：支持认证成功界面的“照片”、“姓名”、“工号”信息可配置是否显示；</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8、认证结果语音自定义：集成文字转语音（TTS）和语音合成技术，认证成功和认证失败的语音可以分别配置4个时间段进行自定义播报，同时认证成功的语音可叠加播报姓名；</w:t>
            </w:r>
            <w:r>
              <w:rPr>
                <w:rFonts w:hint="eastAsia"/>
                <w:color w:val="000000" w:themeColor="text1"/>
                <w:lang w:val="en-US" w:bidi="ar"/>
                <w14:textFill>
                  <w14:solidFill>
                    <w14:schemeClr w14:val="tx1"/>
                  </w14:solidFill>
                </w14:textFill>
              </w:rPr>
              <w:br/>
            </w:r>
            <w:r>
              <w:rPr>
                <w:rStyle w:val="864"/>
                <w:rFonts w:hint="eastAsia"/>
                <w:color w:val="000000" w:themeColor="text1"/>
                <w:lang w:val="en-US"/>
                <w14:textFill>
                  <w14:solidFill>
                    <w14:schemeClr w14:val="tx1"/>
                  </w14:solidFill>
                </w14:textFill>
              </w:rPr>
              <w:t xml:space="preserve">19</w:t>
            </w:r>
            <w:r>
              <w:rPr>
                <w:rFonts w:hint="eastAsia"/>
                <w:color w:val="000000" w:themeColor="text1"/>
                <w:lang w:val="en-US" w:bidi="ar"/>
                <w14:textFill>
                  <w14:solidFill>
                    <w14:schemeClr w14:val="tx1"/>
                  </w14:solidFill>
                </w14:textFill>
              </w:rPr>
              <w:t xml:space="preserve">、外接安全模块：支持通过RS485接入门控安全模块，防止主机被恶意破坏的情况下，门锁被打开；</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0、外接读卡器：支持通过RS485或韦根（W26/W34）接口外接1个读卡器，同时可实现单门反潜回功能；</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1、读卡器模式：支持通过RS485或韦根（W26/W34）接入门禁控制器，作为读卡器模式使用；</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2、门禁计划模板：支持计划模板管理，支持常开、常闭时段管理；</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3、组合认证：刷卡+密码、刷卡+人脸、人脸+密码等组合认证方式；</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4、多重认证：支持多个人员认证（人脸、刷卡等）通过后才开门；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25、报警功能：设备支持防拆报警、门被外力开起报警、胁迫卡和胁迫密码报警等；</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6、事件上传：在线状态下将设备认证结果及联动抓拍照片实时上传给平台，支持断网续传功能，设备离线状态下产生事件在与平台连接后会重新上传；</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27、单机使用：设备可进行本地管理，支持本地注册人脸、查询、设置、管理设备参数等；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28、WEB管理：支持Web端管理，可进行人员管理、参数配置、事件查询、系统维护等操作。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1、拉力≥280kg，工作电压采用DC12V/DC24V可选；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2、设备开锁通电时间能自动控制，且不大于2S;</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3、额定电压下，设备连续通电7S不应损坏;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4、额定电压下，设备应能够正常使用≥50000次;</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5、设备在启闭和使用时，在距锁具中心1m处所产生的噪声声级值应小于等于60dB（A）;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6、设备在工作状态下，结果频率10～55Hz、振幅0.35mm，3轴向，每一轴向循环扫频3次，每次5min的振动后能正常工作。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27" w:name="OLE_LINK41"/>
            <w:r>
              <w:rPr>
                <w:rFonts w:hint="eastAsia"/>
                <w:color w:val="000000" w:themeColor="text1"/>
                <w:lang w:val="en-US" w:bidi="ar"/>
                <w14:textFill>
                  <w14:solidFill>
                    <w14:schemeClr w14:val="tx1"/>
                  </w14:solidFill>
                </w14:textFill>
              </w:rPr>
              <w:t xml:space="preserve">门磁开关</w:t>
            </w:r>
            <w:bookmarkEnd w:id="27"/>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1、感应距离：20-30mm；</w:t>
            </w:r>
            <w:r/>
          </w:p>
          <w:p>
            <w:pP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2、安装方式：螺丝安装；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28" w:name="OLE_LINK43"/>
            <w:r/>
            <w:bookmarkStart w:id="29" w:name="OLE_LINK42"/>
            <w:r>
              <w:rPr>
                <w:rFonts w:hint="eastAsia"/>
                <w:color w:val="000000" w:themeColor="text1"/>
                <w:lang w:val="en-US" w:bidi="ar"/>
                <w14:textFill>
                  <w14:solidFill>
                    <w14:schemeClr w14:val="tx1"/>
                  </w14:solidFill>
                </w14:textFill>
              </w:rPr>
              <w:t xml:space="preserve">开门按钮</w:t>
            </w:r>
            <w:bookmarkEnd w:id="28"/>
            <w:r/>
            <w:bookmarkEnd w:id="29"/>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1、设备类型：门磁探测器（明装）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2、耐压耐流：耐压:100VDC、耐流:500mA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3、报警输出：IO输出（常闭NC）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4、使用环境：室内</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5、安装方式：螺丝固定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6、工作电源：无需供电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7、工作温度：-10 °C 至 55 °C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8、工作湿度：10% 至 90%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9、报警功能：成对门磁被门分开，实现开门报警（采用防铁门磁性干扰设计）</w:t>
            </w:r>
            <w:r>
              <w:rPr>
                <w:rFonts w:hint="eastAsia"/>
                <w:color w:val="000000" w:themeColor="text1"/>
                <w:lang w:val="en-US" w:bidi="ar"/>
                <w14:textFill>
                  <w14:solidFill>
                    <w14:schemeClr w14:val="tx1"/>
                  </w14:solidFill>
                </w14:textFill>
              </w:rPr>
              <w:br/>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0、动作距离：开门距离35mm以上触发报警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30" w:name="OLE_LINK45"/>
            <w:r/>
            <w:bookmarkStart w:id="31" w:name="OLE_LINK44"/>
            <w:r>
              <w:rPr>
                <w:rFonts w:hint="eastAsia"/>
                <w:color w:val="000000" w:themeColor="text1"/>
                <w:lang w:val="en-US" w:bidi="ar"/>
                <w14:textFill>
                  <w14:solidFill>
                    <w14:schemeClr w14:val="tx1"/>
                  </w14:solidFill>
                </w14:textFill>
              </w:rPr>
              <w:t xml:space="preserve">门禁专用电源控制器</w:t>
            </w:r>
            <w:bookmarkEnd w:id="30"/>
            <w:r/>
            <w:bookmarkEnd w:id="31"/>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1、输入电压：100-240VAC；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2、输出电压：12VDC；</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3、输出电流：4A；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4、输出功率：50W；</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5、工作温度：-10℃-+50℃；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6、工作湿度：＜95%；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1KVA 800W</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32" w:name="OLE_LINK48"/>
            <w:r/>
            <w:bookmarkStart w:id="33" w:name="OLE_LINK49"/>
            <w:r>
              <w:rPr>
                <w:rFonts w:hint="eastAsia"/>
                <w:color w:val="000000" w:themeColor="text1"/>
                <w:lang w:val="en-US" w:bidi="ar"/>
                <w14:textFill>
                  <w14:solidFill>
                    <w14:schemeClr w14:val="tx1"/>
                  </w14:solidFill>
                </w14:textFill>
              </w:rPr>
              <w:t xml:space="preserve">门窗改造</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(加装防盗窗)</w:t>
            </w:r>
            <w:bookmarkEnd w:id="32"/>
            <w:r/>
            <w:bookmarkEnd w:id="33"/>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制作标准参照GA 1511—2018，第7.10条要求</w:t>
            </w:r>
            <w:r>
              <w:rPr>
                <w:rFonts w:hint="eastAsia"/>
                <w:color w:val="000000" w:themeColor="text1"/>
                <w14:textFill>
                  <w14:solidFill>
                    <w14:schemeClr w14:val="tx1"/>
                  </w14:solidFill>
                </w14:textFill>
              </w:rPr>
              <w:t xml:space="preserve">：</w:t>
            </w:r>
            <w:r>
              <w:rPr>
                <w:rFonts w:hint="eastAsia"/>
                <w:color w:val="000000" w:themeColor="text1"/>
                <w:lang w:val="en-US"/>
                <w14:textFill>
                  <w14:solidFill>
                    <w14:schemeClr w14:val="tx1"/>
                  </w14:solidFill>
                </w14:textFill>
              </w:rPr>
              <w:t xml:space="preserve">满足</w:t>
            </w:r>
            <w:r>
              <w:rPr>
                <w:rFonts w:hint="eastAsia"/>
                <w:color w:val="000000" w:themeColor="text1"/>
                <w:sz w:val="24"/>
                <w:szCs w:val="24"/>
                <w14:textFill>
                  <w14:solidFill>
                    <w14:schemeClr w14:val="tx1"/>
                  </w14:solidFill>
                </w14:textFill>
              </w:rPr>
              <w:t xml:space="preserve">钢筋栅栏：应采用直径≥12mm的实心钢筋。钢管栅栏：应采用直径≥20mm、壁厚≥2mm的钢管。钢板栅栏：应采用单根横截面≥8mm×20mm的钢筋（钢管、钢板）</w:t>
            </w:r>
            <w:r>
              <w:rPr>
                <w:rFonts w:hint="eastAsia"/>
                <w:color w:val="000000" w:themeColor="text1"/>
                <w:sz w:val="24"/>
                <w:szCs w:val="24"/>
                <w:lang w:val="en-US"/>
                <w14:textFill>
                  <w14:solidFill>
                    <w14:schemeClr w14:val="tx1"/>
                  </w14:solidFill>
                </w14:textFill>
              </w:rPr>
              <w:t xml:space="preserve">等要求。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防静电接地</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1、铜质接地线，接地电阻≤4Ω，符合安全标准；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34" w:name="OLE_LINK50"/>
            <w:r/>
            <w:bookmarkStart w:id="35" w:name="OLE_LINK51"/>
            <w:r>
              <w:rPr>
                <w:rFonts w:hint="eastAsia"/>
                <w:color w:val="000000" w:themeColor="text1"/>
                <w:lang w:val="en-US" w:bidi="ar"/>
                <w14:textFill>
                  <w14:solidFill>
                    <w14:schemeClr w14:val="tx1"/>
                  </w14:solidFill>
                </w14:textFill>
              </w:rPr>
              <w:t xml:space="preserve">人体静电消除器</w:t>
            </w:r>
            <w:bookmarkEnd w:id="34"/>
            <w:r/>
            <w:bookmarkEnd w:id="3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防爆型，自动感应，防爆等级</w:t>
            </w:r>
            <w:bookmarkStart w:id="36" w:name="OLE_LINK33"/>
            <w:r/>
            <w:bookmarkStart w:id="37" w:name="OLE_LINK32"/>
            <w:r>
              <w:rPr>
                <w:rFonts w:hint="eastAsia"/>
                <w:color w:val="000000" w:themeColor="text1"/>
                <w14:textFill>
                  <w14:solidFill>
                    <w14:schemeClr w14:val="tx1"/>
                  </w14:solidFill>
                </w14:textFill>
              </w:rPr>
              <w:t xml:space="preserve">≥</w:t>
            </w:r>
            <w:bookmarkEnd w:id="36"/>
            <w:r/>
            <w:bookmarkEnd w:id="37"/>
            <w:r>
              <w:rPr>
                <w:rFonts w:hint="eastAsia"/>
                <w:color w:val="000000" w:themeColor="text1"/>
                <w:lang w:val="en-US" w:bidi="ar"/>
                <w14:textFill>
                  <w14:solidFill>
                    <w14:schemeClr w14:val="tx1"/>
                  </w14:solidFill>
                </w14:textFill>
              </w:rPr>
              <w:t xml:space="preserve">ExdIIBT4，适用危险环境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防爆型管道排风机</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防爆等级</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ExdIIBT4，风量</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1500m³/h，噪声≤65dB</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38" w:name="_Hlk226636990"/>
            <w:r>
              <w:rPr>
                <w:rFonts w:hint="eastAsia"/>
                <w:color w:val="000000" w:themeColor="text1"/>
                <w:lang w:val="en-US"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防盗报警控制器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16路报警输入，支持远程监控，手机APP推送</w:t>
            </w:r>
            <w:bookmarkEnd w:id="38"/>
            <w:r/>
            <w:r/>
          </w:p>
        </w:tc>
      </w:tr>
      <w:tr>
        <w:trPr>
          <w:jc w:val="center"/>
          <w:trHeight w:val="1742"/>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39" w:name="OLE_LINK55"/>
            <w:r/>
            <w:bookmarkStart w:id="40" w:name="OLE_LINK54"/>
            <w:r>
              <w:rPr>
                <w:rFonts w:hint="eastAsia"/>
                <w:color w:val="000000" w:themeColor="text1"/>
                <w:lang w:val="en-US" w:bidi="ar"/>
                <w14:textFill>
                  <w14:solidFill>
                    <w14:schemeClr w14:val="tx1"/>
                  </w14:solidFill>
                </w14:textFill>
              </w:rPr>
              <w:t xml:space="preserve">应急物资柜</w:t>
            </w:r>
            <w:bookmarkEnd w:id="39"/>
            <w:r/>
            <w:bookmarkEnd w:id="40"/>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900×460×1800mm</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柜体：主体采用1.0mm优质冷轧钢板，表面环氧树脂喷涂，喷涂厚度≥75μm；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柜门：采用环氧树脂喷涂优质冷轧钢板质，柜门内侧装有防撞贴，带锁；</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合页：304不锈钢合页；</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包含急救用品（防护服两套、橡胶手套两双、防护眼罩两副、胶鞋两双、防毒面罩两个、护目镜两个、吸油棉条两条），≥5kg干粉灭火器1件，灭火毯1件，≥30kg干沙箱(黄沙)，应急照明手电筒1件。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防爆监控及联网交换机</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1、防爆监控：≥200万像素，红外夜视，≥IP68防护，防爆护罩；</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2、交换机：4路POE供电，千兆交换机，防爆设计，≥IP68防护。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智能管控终端云控台</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b/>
                <w:bCs/>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1、设备硬件及功能</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（1）尺寸:≤410mm*400mm*510mm(H*W*D)，含推车尺寸:≤1350mm*470mm*550mm(H*W*D)</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（2）硬盘:固态硬盘，容量≥8GB，满足化学品数据存储需求;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（3）内存:≥2GB</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（4）天平:设备集成智能电子天平，量程≥5kg，精度不低于0.1g;</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（5）屏幕:尺寸≥13英寸，电容式触摸显示屏；分辨率≥1920*1080，亮度≥450cd/m²；</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（6）通信方式:支持 WIFI、网络线缆、蓝牙等多种方式;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（7）配置分布式管控柜智能中控台下的小推车。</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（8）AI智能:设备支持人脸识别、刷卡等技术，自动识别用户权限和操作指令;</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（9）数据采集：通过扫描二维码电子标签，能够快速识别并记录试剂的信息，包括试剂的名称、浓度、有效期等关键数据，自动采集数据。</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（10）远程监管:系统可通过PC电脑端或手机 APP 远程查看与控制智能管控柜;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（11）系统搭载:主控设备还可搭载化学品全流程管理系统，从化学品入库、领用、归还、废弃等过程进行全流程动态管理，实现事前预警与事后追溯功能。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（12）设备功能:每台主控设备具有危化品管理功能，实现危化品库存列表管理，包含入库台账、出库台账、实时库存台账。台账字段包含:化学品品名、CAS 号、分类纯度、重量、采购人、操作时间、SDS 等信息。在设备端可完成人脸识别、入库、称重、出库等操作。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（13）后台管理系统功能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      校区管理：校区增删改，支持单个新增和批量导入。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      实验室管理：房间增删改，支持单个新增和批量导入。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      人员管理：人员增删改，支持单个新增和批量导入。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      角色管理：支持人员分配按角色分配不同权限。</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2、参数配置</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（1）预警管理：用于设定在各数据节点的预警阀值，如：超量预警、低库存预警、保质期预警、回库预警、传感器预警等。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（2）通知方式：设置通知对象，支持短信通知、微信通知。</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3、移动端小程序手机端操作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（1）我的试剂模块：支持使用者手机端查询可申请的化学品信息。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（2）轨迹查询：手机端扫描标签二维码，支持查询该瓶化学品轨迹动态，及对应SDS信息。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（3）申领模块：支持手机小程序申领试剂，支持填写申领用途、领用时间、领用去向（地点）、采购人、试剂种类等信息；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（4）管理员支持在线审批申领单，支持多级审批、多管理员审批等功能，支持手写签名审批功能；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（5）支持查询申领记录，申领单内容需与提交申领单一致，并支持申领撤销功能。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（6）回收模块：支持扫描试剂瓶身二维码发起回收功能，支持填写试剂剩余量；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（7）支持回收记录查看功能，回收记录包含回收人、回收时间、回收试剂、回收量等信息。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危化品安全柜智能副柜</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numPr>
                <w:ilvl w:val="0"/>
                <w:numId w:val="19"/>
              </w:num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双门柜尺寸:≥1660mmx1090mmx460mm(高*长*宽)；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2.材质：主柜体采用厚度≥1.2mm冷轧钢板，38mm中空双层防火结构设计，内外表面均经环氧树脂粉末静电喷涂处理。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3.可调层板挂钩设计：内部挂钩设计对层板的放置无方向要求，安装操作简单便捷。</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4.漏液收集:柜体底部配有PP(聚丙烯)材质漏液收集托盘，防止柜体底部被酸碱性漏液腐蚀。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5.静电接地:柜体设计静电接地接口，连接接地线后可消除柜体静电。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6.1设备硬件及功能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（1）警示标语：反光材质，夜间可视距离达50米，配警示标语。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（2）锁具:双锁管理模式，符合公安部双人双锁管控要求。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（3）柜门:柜门采用厚度</w:t>
            </w:r>
            <w:r>
              <w:rPr>
                <w:rFonts w:hint="eastAsia"/>
                <w:color w:val="000000" w:themeColor="text1"/>
                <w:lang w:val="en-US"/>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1.2mm 的一级冷轧钢板加工而成,采用 38m 中空双层防火防爆结构设计，内部加强筋设计，提高整体承重及抗冲击能力。</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（4）漏液收集:柜体底部配有PP(聚丙烯)材质漏液收集托盘，防止柜体底部被酸碱性漏液腐蚀。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（5）静电接地:柜体设计静电接地接口，连接接地线后可消除柜体静电。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6.2系统参数：</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（1）系统具备的功能：双人脸识别、异常情况报警、二维码生成器、二维码扫描、通过主控设备集成的天平称获取试剂使用量并自动录入云端系统内 ，实现入库、出库、回库、查库、统计报表自动化管理，形成完整的试剂领用信息数据库。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主机设置：①用户管理：管理员可通过触摸屏完成用户新增、修改、删除等操作，操作内容包括人脸录入/工号/姓名等信息；②打印机管理：可以对标签打印机进行配对绑定操作；③电子称校准：系统可完成对电子称进行内部校准操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入库管理：双人脸识别、主控设备生成唯一二维码标签、主控设备自动称重、打印二维码标签（标签内容包含：试剂名称、规格、重量等数据信息）。（投标文件需提供入库操作界面系统截图，并包含以上标签内容信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（4）出库管理：双人脸识别后，取出化学品，扫描化学品二维码，将化学品放置主控设备上，读取重量后，完成出库。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（5）回库管理：双人脸识别后，扫描化学品二维码，将化学品放置主控设备上，读取重量后，放入副柜中，完成回库。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废弃管理：双人脸识别认证通过后，扫描化学品二维码，将需要废弃的化学品试剂放置在主控设备上称重，随后用户可将废弃的化学品试剂转移至统一的废弃物存放处，后台系统会自动记录本次废弃流程所有的化学品试剂信息，废弃流程即可结束。</w:t>
            </w:r>
            <w:r>
              <w:rPr>
                <w:rFonts w:hint="eastAsia"/>
                <w:strike/>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补码管理：本功能仅针对管理员开放，用户在主界面点击补码按钮后，需要输入管理员密码，方可进入补码操作界面，在密码认证成功后，补码界面包含品名/CAS号以及试剂编号查询，管理员可将受损、污染的标签进行重新补码录入，点击查询按钮，可在对应化学品试剂下方点击补码按钮，并将受损标签撕下，张贴补码标签，并进行重新入库。（需提供入库操作界面系统截图，并包含以上标签内容信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▲（8）数据展示：支持查看库存台账，包含了出库、入库、作废、领用、回库、作废、回收、使用记录，并支持导出EXCEL表格。（投标文件需提供台账数据界面系统截图）。</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（9）后台管理：支持化学品配伍禁忌分类目录，目录条目至少包含3700条常见化学品配伍。系统须涵盖化学品安全技术说明书（SDS），至少涵盖 3700 条主要 SDS 标准库，须有国际编号、CAS 号、中文名称、英文名称、别名、分子式、分子量、熔点、密 度、危险标记、对环境影响、健康危害、毒理学资料与环境行为、现场应急检测方法、实验室检测方法、环境标准、应急处理处置方法。</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（10）组织架构管理：支持按校区、学院、实验室、人员的管理，可以单个新增或删除，也可批量导入；角色的管理，支持人员按角色分配不同权限。</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（11）预警管理：用于设定在各数据节点的预警阀值，如：超量预警、保质期预警、未称重预警、柜门长时间未关闭预警、混放预警、传感器预警等。（投标文件需提供界面系统截图，并包含以上内容信息）。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分类管理：系统支持将化学品按不同维度进行分类，系统集成并识别数量≥49000条化学品分类数据，其中包括《危险化学品目录》(2015)、《麻醉药品品种目录》、《精神药品品种目录》等。满足公安部门对危化品的管理要求，分类名称为：爆炸品、剧毒品、易制爆、易制毒（一类、二类、三类）、精麻品、一般危化品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（13）设备的防护等级≥IP56。</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（14）主体采用厚度≥1.2mm冷轧钢板，38mm中空双层防火结构设计，内外表面均经环氧树脂粉末静电喷涂处理，按照GB/T 10125-2021标准进行中性盐雾试验，在试验温度35℃时，将板材放进浓度为5%，pH值为6.8的氯化钠环境中存放72h，试验后，板材未出现明显变化。保护评级 Rp为10级。</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（15）承重测试/重载级别：柜子</w:t>
            </w:r>
            <w:r>
              <w:rPr>
                <w:rFonts w:hint="eastAsia"/>
                <w:color w:val="000000" w:themeColor="text1"/>
                <w:lang w:val="en-US"/>
                <w14:textFill>
                  <w14:solidFill>
                    <w14:schemeClr w14:val="tx1"/>
                  </w14:solidFill>
                </w14:textFill>
              </w:rPr>
              <w:t xml:space="preserve">层板均布载荷不低于180kg</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（19）弯曲试验：依据GB/T 10357.5家具力学性能试验第5部分:柜类强度和耐久性标准，搁板的最大变形量不应超过搁板跨度(L)的0.55%(或者L/180)隔板均布载荷1.0kg/dm2，加载时间7d，加载时隔板挠度≤跨距/200,卸载后隔板挠度≤跨距/1000。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41" w:name="OLE_LINK57"/>
            <w:r/>
            <w:bookmarkStart w:id="42" w:name="OLE_LINK56"/>
            <w:r>
              <w:rPr>
                <w:rFonts w:hint="eastAsia"/>
                <w:color w:val="000000" w:themeColor="text1"/>
                <w:lang w:val="en-US" w:bidi="ar"/>
                <w14:textFill>
                  <w14:solidFill>
                    <w14:schemeClr w14:val="tx1"/>
                  </w14:solidFill>
                </w14:textFill>
              </w:rPr>
              <w:t xml:space="preserve">弱酸碱化学品智能副柜</w:t>
            </w:r>
            <w:bookmarkEnd w:id="41"/>
            <w:r/>
            <w:bookmarkEnd w:id="42"/>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numPr>
                <w:ilvl w:val="0"/>
                <w:numId w:val="20"/>
              </w:num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双门柜尺寸:≥1660mmx1090mmx460mm(高*长*宽)；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2.材质：主柜体采用厚度≥1.2mm冷轧钢板，38mm中空双层防火结构设计，内外表面均经环氧树脂粉末静电喷涂处理。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3.可调层板挂钩设计：内部挂钩设计对层板的放置无方向要求，安装操作简单便捷。</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4.漏液收集:柜体底部配有PP(聚丙烯)材质漏液收集托盘，防止柜体底部被酸碱性漏液腐蚀。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5.静电接地:柜体设计静电接地接口，连接接地线后可消除柜体静电。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6.内衬PP板。</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7.1设备硬件及功能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（1）警示标语：反光材质，夜间可视距离达50米，配警示标语。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（2）锁具:双锁管理模式，符合公安部双人双锁管控要求;</w:t>
            </w:r>
            <w:r/>
          </w:p>
          <w:p>
            <w:pPr>
              <w:numPr>
                <w:ilvl w:val="0"/>
                <w:numId w:val="15"/>
              </w:numPr>
              <w:ind w:firstLine="420"/>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柜门:柜门采用厚度</w:t>
            </w:r>
            <w:r>
              <w:rPr>
                <w:rFonts w:hint="eastAsia"/>
                <w:color w:val="000000" w:themeColor="text1"/>
                <w:lang w:val="en-US"/>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1.2mm 的一级冷轧钢板加工而成,采用 38m 中空双层防火防爆结构设计，内部加强筋设计，提高整体承重及抗冲击能力。</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7.2系统参数：</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（1）系统具备的功能：双人脸识别、异常情况报警、二维码生成器、二维码扫描、通过主控设备集成的天平称获取试剂使用量并自动录入云端系统内 ，实现入库、出库、回库、查库、统计报表自动化管理，形成完整的试剂领用信息数据库。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主机设置：①用户管理：管理员可通过触摸屏完成用户新增、修改、删除等操作，操作内容包括人脸录入/工号/姓名等信息；②打印机管理：可以对标签打印机进行配对绑定操作；③电子称校准：系统可完成对电子称进行内部校准操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入库管理：双人脸识别、主控设备生成唯一二维码标签、主控设备自动称重、打印二维码标签（标签内容包含：试剂名称、规格、重量等数据信息）。（投标文件需提供入库操作界面系统截图，并包含以上标签内容信息）。</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（4）出库管理：双人脸识别后，取出化学品，扫描化学品二维码，将化学品放置主控设备上，读取重量后，完成出库。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（5）回库管理：双人脸识别后，扫描化学品二维码，将化学品放置主控设备上，读取重量后，放入副柜中，完成回库。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废弃管理：双人脸识别认证通过后，扫描化学品二维码，将需要废弃的化学品试剂放置在主控设备上称重，随后用户可将废弃的化学品试剂转移至统一的废弃物存放处，后台系统会自动记录本次废弃流程所有的化学品试剂信息，废弃流程即可结束。</w:t>
            </w:r>
            <w:r>
              <w:rPr>
                <w:rFonts w:hint="eastAsia"/>
                <w:strike/>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补码管理：本功能仅针对管理员开放，用户在主界面点击补码按钮后，需要输入管理员密码，方可进入补码操作界面，在密码认证成功后，补码界面包含品名/CAS号以及试剂编号查询，管理员可将受损、污染的标签进行重新补码录入，点击查询按钮，可在对应化学品试剂下方点击补码按钮，并将受损标签撕下，张贴补码标签，并进行重新入库。</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▲（8）数据展示：支持查看库存台账，包含了出库、入库、作废、领用、回库、作废、回收、使用记录，并支持导出EXCEL表格。（需提供台账数据界面系统截图）。</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（9）后台管理：支持化学品配伍禁忌分类目录，目录条目至少包含3700条常见化学品配伍。系统须涵盖化学品安全技术说明书（SDS），至少涵盖 3700 条主要 SDS 标准库，须有国际编号、CAS 号、中文名称、英文名称、别名、分子式、分子量、熔点、密 度、危险标记、对环境影响、健康危害、毒理学资料与环境行为、现场应急检测方法、实验室检测方法、环境标准、应急处理处置方法。</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（10）组织架构管理：支持按校区、学院、实验室、人员的管理，可以单个新增或删除，也可批量导入；角色的管理，支持人员按角色分配不同权限。</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（11）预警管理：用于设定在各数据节点的预警阀值，如：超量预警、保质期预警、未称重预警、柜门长时间未关闭预警、混放预警、传感器预警等。</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12）分类管理：系统支持将化学品按不同维度进行分类，系统集成并识别数量≥49000条化学品分类数据，其中包括《危险化学品目录》(2015)、《麻醉药品品种目录》、《精神药品品种目录》等。满足公安部门对危化品的管理要求，分类名称为：爆炸品、剧毒品、易制爆、易制毒（一类、二类、三类）、精麻品、一般危化品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柜体内部内衬PP板，耐腐蚀性能优异。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43" w:name="_Hlk226564255"/>
            <w:r>
              <w:rPr>
                <w:rFonts w:hint="eastAsia"/>
                <w:color w:val="000000" w:themeColor="text1"/>
                <w:lang w:val="en-US"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44" w:name="OLE_LINK58"/>
            <w:r/>
            <w:bookmarkStart w:id="45" w:name="OLE_LINK59"/>
            <w:r>
              <w:rPr>
                <w:rFonts w:hint="eastAsia"/>
                <w:color w:val="000000" w:themeColor="text1"/>
                <w:lang w:val="en-US" w:bidi="ar"/>
                <w14:textFill>
                  <w14:solidFill>
                    <w14:schemeClr w14:val="tx1"/>
                  </w14:solidFill>
                </w14:textFill>
              </w:rPr>
              <w:t xml:space="preserve">应急喷淋装置</w:t>
            </w:r>
            <w:bookmarkEnd w:id="44"/>
            <w:r/>
            <w:bookmarkEnd w:id="4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1、≥304 不锈钢材质，工作压力 0.2-0.6MPa；</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2、洗眼流量≥12-18L/min，喷淋流量≥75-180L/min，支持 1 秒手动快速开启；</w:t>
            </w:r>
            <w:r/>
          </w:p>
          <w:p>
            <w:pPr>
              <w:widowControl/>
              <w:rPr>
                <w:color w:val="000000" w:themeColor="text1"/>
                <w:lang w:val="en-US" w:bidi="ar"/>
                <w14:textFill>
                  <w14:solidFill>
                    <w14:schemeClr w14:val="tx1"/>
                  </w14:solidFill>
                </w14:textFill>
              </w:rPr>
            </w:pPr>
            <w:r>
              <w:rPr>
                <w:rFonts w:hint="eastAsia"/>
                <w:color w:val="000000" w:themeColor="text1"/>
                <w:lang w:val="en-US"/>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含施工；</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4、尺寸：</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（1）全高：2190-2350mm。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（2）冲淋器高度：2080-2150mm。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（3）洗眼器高度：1000-1050mm。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5、结构及材质：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（1）主体：SUS304不锈钢，Ni含量大于8%。外层高亮度环氧树脂涂层，耐腐蚀、耐热、耐紫外线。</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（2）管径：入水管和排水管均为不锈钢管制作，主管直径为45mm。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（3）冲淋器：不锈钢入水管（前端设置优质不锈钢三角阀）、不锈钢球阀开关（1秒内开启）、不锈钢拉杆（单向拉动）、不锈钢冲淋脚踏、不锈钢冲淋头，不锈钢洗眼盘。</w:t>
            </w:r>
            <w:r>
              <w:rPr>
                <w:rFonts w:hint="eastAsia"/>
                <w:strike/>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洗眼器：不锈钢入水管、不锈钢球阀开关（1秒内开启）、不锈钢洗眼盘；洗眼喷头为高密度PP（或优质铜质外加软性橡胶），内置不锈钢过滤网，可过滤水中杂物，出水经缓压处理呈泡沫状水柱，防止冲伤眼睛；洗眼器防尘盖为PP材质，使用时自动被水冲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（5）水流锁定开关：水流开启、水流锁定功能一次完成，方便使用。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6、性能参数要求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（1）管道耐压性能：冲淋管道按照GB/T 241-2025试验方法做液压测试，耐压</w:t>
            </w:r>
            <w:bookmarkStart w:id="46" w:name="OLE_LINK34"/>
            <w:r/>
            <w:bookmarkStart w:id="47" w:name="OLE_LINK35"/>
            <w:r>
              <w:rPr>
                <w:rFonts w:hint="eastAsia"/>
                <w:color w:val="000000" w:themeColor="text1"/>
                <w:lang w:val="en-US" w:bidi="ar"/>
                <w14:textFill>
                  <w14:solidFill>
                    <w14:schemeClr w14:val="tx1"/>
                  </w14:solidFill>
                </w14:textFill>
              </w:rPr>
              <w:t xml:space="preserve">≥</w:t>
            </w:r>
            <w:bookmarkEnd w:id="46"/>
            <w:r/>
            <w:bookmarkEnd w:id="47"/>
            <w:r>
              <w:rPr>
                <w:rFonts w:hint="eastAsia"/>
                <w:color w:val="000000" w:themeColor="text1"/>
                <w:lang w:val="en-US" w:bidi="ar"/>
                <w14:textFill>
                  <w14:solidFill>
                    <w14:schemeClr w14:val="tx1"/>
                  </w14:solidFill>
                </w14:textFill>
              </w:rPr>
              <w:t xml:space="preserve">18.3MPa。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（2）冲淋洗眼器材质不含汞、六价铬等有害物质。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▲（3）紧急冲淋洗眼器满足GB/T 38144.1-2019 标准的要求。（提供具有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48" w:name="OLE_LINK61"/>
            <w:r/>
            <w:bookmarkStart w:id="49" w:name="OLE_LINK60"/>
            <w:r>
              <w:rPr>
                <w:rFonts w:hint="eastAsia"/>
                <w:color w:val="000000" w:themeColor="text1"/>
                <w:lang w:val="en-US" w:bidi="ar"/>
                <w14:textFill>
                  <w14:solidFill>
                    <w14:schemeClr w14:val="tx1"/>
                  </w14:solidFill>
                </w14:textFill>
              </w:rPr>
              <w:t xml:space="preserve">墙面处理(防腐涂料)</w:t>
            </w:r>
            <w:bookmarkEnd w:id="48"/>
            <w:r/>
            <w:bookmarkEnd w:id="49"/>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环氧树脂防腐涂料，耐酸碱，防霉，附着力强，高度3.5米，两遍涂刷。</w:t>
            </w:r>
            <w:bookmarkEnd w:id="43"/>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门窗改造(防腐蚀窗户)</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HDPE材质，防腐蚀，6+12A+6mm钢化中空玻璃，密封性能好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50" w:name="OLE_LINK62"/>
            <w:r/>
            <w:bookmarkStart w:id="51" w:name="OLE_LINK63"/>
            <w:r>
              <w:rPr>
                <w:rFonts w:hint="eastAsia"/>
                <w:color w:val="000000" w:themeColor="text1"/>
                <w:lang w:val="en-US" w:bidi="ar"/>
                <w14:textFill>
                  <w14:solidFill>
                    <w14:schemeClr w14:val="tx1"/>
                  </w14:solidFill>
                </w14:textFill>
              </w:rPr>
              <w:t xml:space="preserve">防渗处理(地面防渗层)</w:t>
            </w:r>
            <w:bookmarkEnd w:id="50"/>
            <w:r/>
            <w:bookmarkEnd w:id="51"/>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高密度聚乙烯防渗膜，厚度1.5mm，防渗漏设计，焊接施工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防渗托盘</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高密度聚乙烯材质，防渗漏，承重≥200kg</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防爆排风系统</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14:textFill>
                  <w14:solidFill>
                    <w14:schemeClr w14:val="tx1"/>
                  </w14:solidFill>
                </w14:textFill>
              </w:rPr>
            </w:pPr>
            <w:r>
              <w:rPr>
                <w:rFonts w:hint="eastAsia"/>
                <w:color w:val="000000" w:themeColor="text1"/>
                <w:lang w:val="en-US" w:bidi="ar"/>
                <w14:textFill>
                  <w14:solidFill>
                    <w14:schemeClr w14:val="tx1"/>
                  </w14:solidFill>
                </w14:textFill>
              </w:rPr>
              <w:t xml:space="preserve">防爆风机(功率0.75kW)，PP管道，风量1200m³/h，含止回阀，电气系统(防腐蚀灯具、防爆开关)。</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52" w:name="OLE_LINK65"/>
            <w:r/>
            <w:bookmarkStart w:id="53" w:name="OLE_LINK64"/>
            <w:r>
              <w:rPr>
                <w:rFonts w:hint="eastAsia"/>
                <w:color w:val="000000" w:themeColor="text1"/>
                <w:lang w:val="en-US" w:bidi="ar"/>
                <w14:textFill>
                  <w14:solidFill>
                    <w14:schemeClr w14:val="tx1"/>
                  </w14:solidFill>
                </w14:textFill>
              </w:rPr>
              <w:t xml:space="preserve">吊顶</w:t>
            </w:r>
            <w:bookmarkEnd w:id="52"/>
            <w:r/>
            <w:bookmarkEnd w:id="53"/>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采用环保材料，防火防潮，尺寸600*600mm，1.0mm厚铝扣板吊顶，含龙骨，龙骨吊杆长度＞1.5米时须设置转换层，转换层采用镀锌角钢，配置600*600LED平板灯，嵌入式，使房间内平均照度不低于450lux。</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54" w:name="OLE_LINK66"/>
            <w:r/>
            <w:bookmarkStart w:id="55" w:name="OLE_LINK67"/>
            <w:r>
              <w:rPr>
                <w:rFonts w:hint="eastAsia"/>
                <w:color w:val="000000" w:themeColor="text1"/>
                <w:lang w:val="en-US" w:bidi="ar"/>
                <w14:textFill>
                  <w14:solidFill>
                    <w14:schemeClr w14:val="tx1"/>
                  </w14:solidFill>
                </w14:textFill>
              </w:rPr>
              <w:t xml:space="preserve">实验边台</w:t>
            </w:r>
            <w:bookmarkEnd w:id="54"/>
            <w:r/>
            <w:bookmarkEnd w:id="5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一、基础参数</w:t>
            </w:r>
            <w:r/>
          </w:p>
          <w:p>
            <w:pPr>
              <w:widowControl/>
              <w:rPr>
                <w:b/>
                <w:bCs/>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1、L*750*850mm；全钢落地柜结构；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4、柜门和抽屉面板：采用环氧树脂喷涂优质冷轧钢板质，柜门内侧装有防撞贴；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6、拉手：一体折弯式拉手；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8、导轨：采用三节静音阻尼导轨。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天平台</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1、规格：900*600*850mm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2、全钢结构，表面环氧树脂喷涂，40mm厚大理石台面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3、技术要求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（1）天平台需采用完整独立的落地型全钢制框架结构设计，主框架需采用厚度≥2.0mm，截面尺寸≥40mm×60mm的矩形钢管整体焊接成型制作，整体喷涂进行防腐处理。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（2）具有三级减震、双重调节水平功能。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（3）台面采用厚度≥40mm的整块优质黑金沙天然大理石或花岗岩制作，不得有裂纹、明显色差等缺陷，不得采用染色、修补、拼接、层叠加厚等方式加工。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（4）各天平台钢架四角与台面之间需安装厚度≥10mm的防震橡胶。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（5）台下背板配两组86型单相220V/10A双极/三极错位组合插座。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56" w:name="OLE_LINK68"/>
            <w:r/>
            <w:bookmarkStart w:id="57" w:name="OLE_LINK69"/>
            <w:r>
              <w:rPr>
                <w:rFonts w:hint="eastAsia"/>
                <w:color w:val="000000" w:themeColor="text1"/>
                <w:lang w:val="en-US" w:bidi="ar"/>
                <w14:textFill>
                  <w14:solidFill>
                    <w14:schemeClr w14:val="tx1"/>
                  </w14:solidFill>
                </w14:textFill>
              </w:rPr>
              <w:t xml:space="preserve">配电箱1</w:t>
            </w:r>
            <w:bookmarkEnd w:id="56"/>
            <w:r/>
            <w:bookmarkEnd w:id="57"/>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1.名称:配电箱10KW</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2.规格:含箱体、箱内元器件、接地等配套设备。</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3.安装方式:暗装，含墙体开洞、封堵及墙面修复。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58" w:name="OLE_LINK71"/>
            <w:r/>
            <w:bookmarkStart w:id="59" w:name="OLE_LINK70"/>
            <w:r>
              <w:rPr>
                <w:rFonts w:hint="eastAsia"/>
                <w:color w:val="000000" w:themeColor="text1"/>
                <w:lang w:val="en-US" w:bidi="ar"/>
                <w14:textFill>
                  <w14:solidFill>
                    <w14:schemeClr w14:val="tx1"/>
                  </w14:solidFill>
                </w14:textFill>
              </w:rPr>
              <w:t xml:space="preserve">电缆</w:t>
            </w:r>
            <w:bookmarkEnd w:id="58"/>
            <w:r/>
            <w:bookmarkEnd w:id="59"/>
            <w:r>
              <w:rPr>
                <w:rStyle w:val="864"/>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YJV-3*4²+1*4²电缆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60" w:name="OLE_LINK73"/>
            <w:r/>
            <w:bookmarkStart w:id="61" w:name="OLE_LINK72"/>
            <w:r>
              <w:rPr>
                <w:rFonts w:hint="eastAsia"/>
                <w:color w:val="000000" w:themeColor="text1"/>
                <w:lang w:val="en-US" w:bidi="ar"/>
                <w14:textFill>
                  <w14:solidFill>
                    <w14:schemeClr w14:val="tx1"/>
                  </w14:solidFill>
                </w14:textFill>
              </w:rPr>
              <w:t xml:space="preserve">电线</w:t>
            </w:r>
            <w:bookmarkEnd w:id="60"/>
            <w:r/>
            <w:bookmarkEnd w:id="61"/>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BV-4²</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电线2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BV-2.5²</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62" w:name="OLE_LINK74"/>
            <w:r/>
            <w:bookmarkStart w:id="63" w:name="OLE_LINK75"/>
            <w:r>
              <w:rPr>
                <w:rFonts w:hint="eastAsia"/>
                <w:color w:val="000000" w:themeColor="text1"/>
                <w:lang w:val="en-US" w:bidi="ar"/>
                <w14:textFill>
                  <w14:solidFill>
                    <w14:schemeClr w14:val="tx1"/>
                  </w14:solidFill>
                </w14:textFill>
              </w:rPr>
              <w:t xml:space="preserve">线管</w:t>
            </w:r>
            <w:bookmarkEnd w:id="62"/>
            <w:r/>
            <w:bookmarkEnd w:id="63"/>
            <w:r>
              <w:rPr>
                <w:rFonts w:hint="eastAsia"/>
                <w:color w:val="000000" w:themeColor="text1"/>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JDG-DN20，含墙面开槽及修复，无机涂料墙面。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JDG-DN25，含墙面开槽及修复，无机涂料墙面。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中央实验台1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一、基础参数</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1、L*1400*850mm；全钢落地柜结构；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4、柜门：采用环氧树脂喷涂冷轧钢板质，柜门内侧装有防撞贴；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6、拉手：一体折弯式拉手；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7、地脚：采用实验室专用调节脚；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8、抽屉：导轨：采用三节静音阻尼导轨。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9、五孔插座*4，含插座盒。</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二、总体技术要求</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（一）尺寸规格要求</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w:t>
            </w: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、产品符合《GB/T24820-2024》《实验室家具通用技术条件》的检测要求。（提供具有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（二）台面技术要求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1、实验台台面采用22mm厚一体实芯灰色胚体实验室专用陶瓷台面，技术参数满足以下所有指标。</w:t>
            </w:r>
            <w:r>
              <w:rPr>
                <w:rFonts w:hint="eastAsia"/>
                <w:strike/>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▲（1）工艺要求：检测结果必须符合：五面胚体，无空洞，无杂色，须提供检测机构出具的22mm厚样品检测报告。（提供具有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▲（2）耐污染性能：台面可见截面，参照GB/T 17657-2022检测依据，污染物接触时间不少于48小时，试件正面和截面的测试对象为同一块样品，至少5种试剂检测符合5级无明显变化。（提供具有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color w:val="ff0000"/>
                <w:lang w:val="en-US" w:bidi="ar"/>
              </w:rPr>
              <w:t xml:space="preserve">▲（3）断裂模数:参照GB/T 3810.4-2016的检测依据，检测结果符合，单个值≥34N/mm²，平均值≥</w:t>
            </w:r>
            <w:r>
              <w:rPr>
                <w:rFonts w:hint="eastAsia"/>
                <w:color w:val="ff0000"/>
                <w:lang w:val="en-US" w:eastAsia="zh-CN" w:bidi="ar"/>
              </w:rPr>
              <w:t xml:space="preserve">44</w:t>
            </w:r>
            <w:r>
              <w:rPr>
                <w:rFonts w:hint="eastAsia"/>
                <w:color w:val="ff0000"/>
                <w:lang w:val="en-US" w:bidi="ar"/>
              </w:rPr>
              <w:t xml:space="preserve">N/mm²。（提供具有</w:t>
            </w:r>
            <w:r>
              <w:rPr>
                <w:color w:val="ff0000"/>
                <w:lang w:val="en-US" w:bidi="ar"/>
              </w:rPr>
              <w:t xml:space="preserve">CMA标识的第三方检测机构出具的检测报告复印件并加盖公章</w:t>
            </w:r>
            <w:r>
              <w:rPr>
                <w:rFonts w:hint="eastAsia"/>
                <w:color w:val="ff0000"/>
                <w:lang w:val="en-US" w:bidi="ar"/>
              </w:rPr>
              <w:t xml:space="preserve">）。</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（4）承载性能:经载重400kg，保载1008h，检测结果符合未被破坏。（提供具有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（三）实验台柜体要求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▲1实验台依据《GB/T 3325-2024 金属家具通用技术条件》，投标文件中须提供带有CNAS或CMA标识的第三方检测机构出具的检测/检验报告复印件，加盖投标人公章）：</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①符合硬度检测≥2H：</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②冲击强度：冲击高度检测400m,无剥落、裂纹、皱纹：</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③耐腐蚀检测：100h 内，观察在溶液中样板上划道两侧 3mm 以外，无鼓泡产生。100h后，检查划道两侧 3mm 外，无锈迹、剥落、起皱变色和失光等现象：</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2涂漆钢板≥49种化学试剂痕迹试验，结果等级3级（涂层出现起坑、四陷、凸起或侵蚀等明显和剧烈的损害）的情况不大于4个。</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w:t>
            </w:r>
            <w:r>
              <w:rPr>
                <w:rFonts w:hint="eastAsia"/>
                <w:b/>
                <w:bCs/>
                <w:color w:val="000000" w:themeColor="text1"/>
                <w:lang w:val="en-US" w:bidi="ar"/>
                <w14:textFill>
                  <w14:solidFill>
                    <w14:schemeClr w14:val="tx1"/>
                  </w14:solidFill>
                </w14:textFill>
              </w:rPr>
              <w:t xml:space="preserve">四）、五金配件要求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（1）滑轨：采用三节承重钢珠自动回位滑轨，开合平稳、承重力强、耐磨。带阻尼回弹功能；材料厚度≥1.2mm，表面采用电镀工艺；需符合QB/T2454-2013使用寿命循环抽拉≥8万次</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（2）合页：采用不锈钢材质，耐腐蚀铰链，开启≥110 度。需符合QB/T 2189-2013开合耐久性≥8万次。</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（3）把手：门板及抽屉拉手均采用一体成型拉手，造型美观。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（4）防撞胶垫：装于抽屉及门板内侧，减缓碰撞，保护柜体。</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64" w:name="OLE_LINK77"/>
            <w:r/>
            <w:bookmarkStart w:id="65" w:name="OLE_LINK76"/>
            <w:r>
              <w:rPr>
                <w:rFonts w:hint="eastAsia"/>
                <w:color w:val="000000" w:themeColor="text1"/>
                <w:lang w:val="en-US" w:bidi="ar"/>
                <w14:textFill>
                  <w14:solidFill>
                    <w14:schemeClr w14:val="tx1"/>
                  </w14:solidFill>
                </w14:textFill>
              </w:rPr>
              <w:t xml:space="preserve">双盆水槽台</w:t>
            </w:r>
            <w:bookmarkEnd w:id="64"/>
            <w:r/>
            <w:bookmarkEnd w:id="6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b/>
                <w:bCs/>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一、基础参数</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1、规格：1400*750*850mm；全钢落地柜结构；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2、台面：25mm蝶形陶瓷台面；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3、柜体：主体采用1.0mm优质冷轧钢板，表面环氧树脂喷涂，喷涂厚度≥75μm；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4、柜门：采用环氧树脂喷涂优质冷轧钢板质，柜门内侧装有防撞贴；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6、拉手：一体折弯式拉手；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8、含三口水龙头*2，中水槽*2，滴水架*2，洗眼器*2。</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二、实验台配件技术要求</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1、台式三口鹅颈水龙头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采用台面安装型三嘴鹅颈水龙头，冷水专用，具有三个各自独立的调节阀体，三出水口设计；高位一只鹅颈式出水口可360°旋转，低位两只固定式出水口左右距离≥200mm；具可拆卸式尖嘴型锯齿多节状出水口，便于连接软管并保证紧密衔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1.2全黄铜合金材质管体，表面经环氧树酯粉末静电喷涂处理。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1.3精密耐用耐腐陶瓷阀芯，开闭可靠顺畅，可90°旋转，使用寿命开关＞50万次，静态最大耐压≥20bar。</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1.4性能参数要求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（1）密封性能：</w:t>
            </w:r>
            <w:r>
              <w:rPr>
                <w:rFonts w:hint="eastAsia"/>
                <w:bCs/>
                <w:color w:val="000000" w:themeColor="text1"/>
                <w:spacing w:val="-2"/>
                <w14:textFill>
                  <w14:solidFill>
                    <w14:schemeClr w14:val="tx1"/>
                  </w14:solidFill>
                </w14:textFill>
              </w:rPr>
              <w:t xml:space="preserve">符合 GB/T 18145-2014 要求。阀芯关闭、出水口开启，在静压 (1.6±0.05)MPa 下保压 (60±5)s，阀芯及上游过水通道无渗漏；阀芯开启、出水口封堵，在静压 (0.4±0.02)MPa 下保压 (60±5)s，再减压至 (0.05±0.01)MPa 保压 (60±5)s，阀芯下游密封部位无渗漏。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w:t>
            </w:r>
            <w:r>
              <w:rPr>
                <w:rFonts w:hint="eastAsia"/>
                <w:bCs/>
                <w:color w:val="000000" w:themeColor="text1"/>
                <w:spacing w:val="-2"/>
                <w14:textFill>
                  <w14:solidFill>
                    <w14:schemeClr w14:val="tx1"/>
                  </w14:solidFill>
                </w14:textFill>
              </w:rPr>
              <w:t xml:space="preserve">产品坚固耐用，产品按照GB/T 230.1-2018测试方法，洛氏硬度平均值达到39。</w:t>
            </w:r>
            <w:r>
              <w:rPr>
                <w:rFonts w:hint="eastAsia"/>
                <w:color w:val="000000" w:themeColor="text1"/>
                <w:lang w:val="en-US" w:bidi="ar"/>
                <w14:textFill>
                  <w14:solidFill>
                    <w14:schemeClr w14:val="tx1"/>
                  </w14:solidFill>
                </w14:textFill>
              </w:rPr>
              <w:t xml:space="preserve">（提供具有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2、PP水槽技术要求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1.2.1采用高密度PP一体成型耐强腐蚀实验室专用水槽，壁厚≥7mm，内外表光滑平整无缺陷，不变形。槽沿表面处理为皮纹，耐刻。槽底部具有泄水坡度及提笼式落水头，保证排水完全，不积水。下水管安装PP防虹吸瓶式存水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1.2.2性能参数要求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（1）▲耐液体化学试剂性能：测试依据GB/T 11547-2008，将切好的样块浸泡72小时，样品外观无可见变化。（提供具有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（2）承重性能：样品可承重56L水，将水槽装满56升水，静置48小时，样品完好，未变形。</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3、滴水架技术要求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3.1</w:t>
            </w:r>
            <w:r>
              <w:rPr>
                <w:color w:val="000000" w:themeColor="text1"/>
                <w:lang w:val="en-US" w:bidi="ar"/>
                <w14:textFill>
                  <w14:solidFill>
                    <w14:schemeClr w14:val="tx1"/>
                  </w14:solidFill>
                </w14:textFill>
              </w:rPr>
              <w:t xml:space="preserve"> </w:t>
            </w:r>
            <w:r>
              <w:rPr>
                <w:rFonts w:hint="eastAsia"/>
                <w:color w:val="000000" w:themeColor="text1"/>
                <w:lang w:val="en-US" w:bidi="ar"/>
                <w14:textFill>
                  <w14:solidFill>
                    <w14:schemeClr w14:val="tx1"/>
                  </w14:solidFill>
                </w14:textFill>
              </w:rPr>
              <w:t xml:space="preserve">PP材质经一体模具注塑成型，高强度，易组装和拆卸，可放在水槽边，滴水棒呈竖直30度至45度角倾斜设计，用于置放各种实验室玻璃器皿，并能使器皿内液体快捷排出。</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3.2提供至少26个滴水棒以及安装孔，且便于徒手拆装；滴水棒可以由使用者调整安装数量和位置，闲置的安装孔应由孔塞盖住以保持美观。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3.3滴水棒安装孔内应具止水设计，以防止水滴向后方渗漏；滴水架底部应有向排水孔倾斜的排水槽设计以方便集水，迅速排水。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3.4滴水棒底部卡扣与滴水板卡槽既拆卸方便又紧密契合，保证每一根滴水棒不会松动。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▲3.5耐化学试剂性能：按照GB/T 11547-2008标准，将样块浸在：30%硫酸，30%氢氧化钠的试剂中48小时，样块无可见变化。（提供具有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4、洗眼器技术要求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4.1采用台式单口洗眼器，必须按照GB/T 38144.1-2019标准生产并获得第三方的检测认证，用于在紧急情况下冲洗眼睛和面部，防止大量实验试剂进入眼睛造成伤害。</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（1）洗眼喷头：铜质，外加软性橡胶，出水经缓压处理避免二次伤害。</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（2）水流锁定开关：水流开启、锁定功能一次完成，手释放后持续供水。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（3）控水阀：为限流型止逆阀门，防止管道里可能存在的污水回流到洗眼器管件里，造成污水污染眼睛的二次伤害。</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（4）防尘盖：PP材质，使用时自动被水冲开。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（5）供水软管：长1.5米的软性PVC管，外覆304不锈钢编织网，最外层包裹PE管，耐强腐蚀同时也不会因为水压过高导致软管破裂、漏水。软管瞬间耐压可达到1.8Mpa。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4.2根据用户单位不同的水压和进水流量情况，匹配合适的洗眼头，以保证洗眼出水达到GB/T 38144.1-2019 标准的要求流量及出水高度。</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4.3洗眼/洗脸器主要组成结构包括控制阀，洗眼盆，洗眼喷头，阀门驱动装置，符合GB/T 38144.1-2019 《眼面部防护应急喷淋和洗眼设备第1 部分：技术要求》。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4.4洗眼流量：应以至少11.4L/min的流量提供冲洗液，保持洗眼至少15min。</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4.5当洗眼/洗脸器正确地连接到冲洗液的供应源头并关闭阀门时，连接部位无可见泄露。喷头受到保护，防止接触空气中的污染物。在实施保护喷头的措施时，确保当开启洗眼器时，不需要使用者将防护装置取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4.6性能参数要求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▲（1）符合GB/T 38144.1-2019的测试要求（提供具有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strike/>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（2）中性盐雾试验：经72h盐雾试验检测结果，表面无明显变色，无明显腐蚀现象，外观评级RA为10级。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66" w:name="OLE_LINK79"/>
            <w:r/>
            <w:bookmarkStart w:id="67" w:name="OLE_LINK78"/>
            <w:r>
              <w:rPr>
                <w:rFonts w:hint="eastAsia"/>
                <w:color w:val="000000" w:themeColor="text1"/>
                <w:lang w:val="en-US" w:bidi="ar"/>
                <w14:textFill>
                  <w14:solidFill>
                    <w14:schemeClr w14:val="tx1"/>
                  </w14:solidFill>
                </w14:textFill>
              </w:rPr>
              <w:t xml:space="preserve">单盆水槽台</w:t>
            </w:r>
            <w:bookmarkEnd w:id="66"/>
            <w:r/>
            <w:bookmarkEnd w:id="67"/>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1、规格：1400*750*850mm；全钢落地柜结构；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2、台面:25mm蝶形陶瓷台面；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3、柜体：主体采用1.0mm优质冷轧钢板，表面环氧树脂喷涂，喷涂厚度≥75μm；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4、柜门：采用环氧树脂喷涂优质冷轧钢板质，柜门内侧装有防撞贴；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6、拉手：304不锈钢拉手；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8、含三口水龙头*1，中水槽*1，滴水架*1，洗眼器*1。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68" w:name="OLE_LINK81"/>
            <w:r/>
            <w:bookmarkStart w:id="69" w:name="OLE_LINK80"/>
            <w:r>
              <w:rPr>
                <w:rFonts w:hint="eastAsia"/>
                <w:color w:val="000000" w:themeColor="text1"/>
                <w:lang w:val="en-US" w:bidi="ar"/>
                <w14:textFill>
                  <w14:solidFill>
                    <w14:schemeClr w14:val="tx1"/>
                  </w14:solidFill>
                </w14:textFill>
              </w:rPr>
              <w:t xml:space="preserve">实验边台</w:t>
            </w:r>
            <w:bookmarkEnd w:id="68"/>
            <w:r/>
            <w:bookmarkEnd w:id="69"/>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L*600*850mm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3.柜门和抽屉面板：采用环氧树脂喷涂优质冷轧钢板质，柜门内侧装有防撞贴；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5.拉手：一体折弯式拉手；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6.地脚：采用实验室专用调节脚；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7.导轨：采用三节静音阻尼导轨。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8.五孔插座*2，含插座盒。</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70" w:name="OLE_LINK83"/>
            <w:r/>
            <w:bookmarkStart w:id="71" w:name="OLE_LINK82"/>
            <w:r>
              <w:rPr>
                <w:rFonts w:hint="eastAsia"/>
                <w:color w:val="000000" w:themeColor="text1"/>
                <w:lang w:val="en-US" w:bidi="ar"/>
                <w14:textFill>
                  <w14:solidFill>
                    <w14:schemeClr w14:val="tx1"/>
                  </w14:solidFill>
                </w14:textFill>
              </w:rPr>
              <w:t xml:space="preserve">实验边台(带水槽)</w:t>
            </w:r>
            <w:bookmarkEnd w:id="70"/>
            <w:r/>
            <w:bookmarkEnd w:id="71"/>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L*750*850mm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3.柜门和抽屉面板：采用环氧树脂喷涂优质冷轧钢板质，柜门内侧装有防撞贴；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5.拉手：一体折弯式拉手；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6.地脚：采用实验室专用调节脚；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7.导轨：采用三节静音阻尼导轨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8.含三口水龙头*1，中水槽*1，滴水架*1。</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9.五孔插座*2，含插座盒。</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72" w:name="OLE_LINK85"/>
            <w:r/>
            <w:bookmarkStart w:id="73" w:name="OLE_LINK84"/>
            <w:r>
              <w:rPr>
                <w:rFonts w:hint="eastAsia"/>
                <w:color w:val="000000" w:themeColor="text1"/>
                <w:lang w:val="en-US" w:bidi="ar"/>
                <w14:textFill>
                  <w14:solidFill>
                    <w14:schemeClr w14:val="tx1"/>
                  </w14:solidFill>
                </w14:textFill>
              </w:rPr>
              <w:t xml:space="preserve">台上单层试剂架</w:t>
            </w:r>
            <w:bookmarkEnd w:id="72"/>
            <w:r/>
            <w:bookmarkEnd w:id="73"/>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L*350*450mm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1、三角形立柱：采用不低于1.0mm厚冷轧钢板，经过磷化处理，再经环氧粉体喷涂；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2、层板：单层层板，10mm厚磨砂钢化玻璃，φ16mm不锈钢档杆；可上下调节高度。</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▲3、试剂架要求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试剂架支柱、固定片、调节架支撑翼、后挡板、钢制层板等钢制材质和制作工艺要求安全性能符合GB/T 24820-2024要求。（提供具有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strike/>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（1）试剂架须为三角形结构；试剂架采用台面安装式以方便配置增减拆装；立柱内侧须按要求配置电源插座安装孔，电源插座须安装在试剂架立柱上，立柱内夹层须有足够的空间供插座配线隐藏铺设。</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（2）试剂架层板采用钢化玻璃（厚度≥8mm）制作，高低可调活动式；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（3）不锈钢护栏，直径≥12mm。</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桌面通风橱</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b/>
                <w:bCs/>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一、基础参数</w:t>
            </w:r>
            <w:r/>
          </w:p>
          <w:p>
            <w:pPr>
              <w:widowControl/>
              <w:rPr>
                <w:b/>
                <w:bCs/>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1、规格：1400*1400*1350mm；整体结构采用冷轧钢板</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2、外壳:采用1.2mm冷轧钢板按模折压而成，经过酸洗、磷化、静电喷涂环氧树脂粉末固化，表面光洁、耐腐蚀性能好，涂层厚度为&gt;75um；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3、LED灯: LED灯密封安装，平均照度不应小于800lx，不与排毒柜内气流接触，易更换；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4、视窗、移门:不低于2+2mm厚的安全夹层玻璃；</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5、传动装置:传动装置采用尼龙包塑钢丝同步带，滑轨采用专用型材，移门开启/关闭轻便灵活，无卡阻，并可在任意位置停止留。</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二、总体技术要求</w:t>
            </w:r>
            <w:r/>
          </w:p>
          <w:p>
            <w:pPr>
              <w:widowControl/>
              <w:rPr>
                <w:b/>
                <w:bCs/>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（一）排风柜总体要求</w:t>
            </w:r>
            <w:r/>
          </w:p>
          <w:p>
            <w:pPr>
              <w:pStyle w:val="832"/>
              <w:rPr>
                <w:color w:val="000000" w:themeColor="text1"/>
                <w14:textFill>
                  <w14:solidFill>
                    <w14:schemeClr w14:val="tx1"/>
                  </w14:solidFill>
                </w14:textFill>
              </w:rPr>
            </w:pP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、产品参照标准及规范</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（1）《排风柜》JB/T6412-1999；</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（2）《实验室变风量排风柜》JGT222-2007；</w:t>
            </w:r>
            <w:r>
              <w:rPr>
                <w:rFonts w:hint="eastAsia"/>
                <w:strike/>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（3）为方便后期产品维修维护便捷，产品上面板具备可快速拆卸结构，方便检修维护等。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（4）所有金属表面必须喷涂处理，涂层厚度≥</w:t>
            </w:r>
            <w:r>
              <w:rPr>
                <w:color w:val="000000" w:themeColor="text1"/>
                <w:lang w:val="en-US" w:bidi="ar"/>
                <w14:textFill>
                  <w14:solidFill>
                    <w14:schemeClr w14:val="tx1"/>
                  </w14:solidFill>
                </w14:textFill>
              </w:rPr>
              <w:t xml:space="preserve">75</w:t>
            </w:r>
            <w:r>
              <w:rPr>
                <w:rFonts w:hint="eastAsia"/>
                <w:color w:val="000000" w:themeColor="text1"/>
                <w:lang w:val="en-US" w:bidi="ar"/>
                <w14:textFill>
                  <w14:solidFill>
                    <w14:schemeClr w14:val="tx1"/>
                  </w14:solidFill>
                </w14:textFill>
              </w:rPr>
              <w:t xml:space="preserve">μm，平整光滑，不允许有喷涂层脱落、鼓泡、凹陷、压痕以及表面划伤、麻点、裂痕、崩角和刃口等。</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（二）桌面排风柜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1、规格：参照清单规格定制。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2、面风速0.5m/s±10%；示踪气体泄漏≤0.05ppm；内衬板≥5mm氟纤板；调节门为双门独立升降、安全夹层玻璃、带防坠落同步带；阻力≤70Pa；LED照明、泄压口、防腐集气罩、4个插座。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74" w:name="OLE_LINK86"/>
            <w:r/>
            <w:bookmarkStart w:id="75" w:name="OLE_LINK87"/>
            <w:r>
              <w:rPr>
                <w:rFonts w:hint="eastAsia"/>
                <w:color w:val="000000" w:themeColor="text1"/>
                <w:lang w:val="en-US" w:bidi="ar"/>
                <w14:textFill>
                  <w14:solidFill>
                    <w14:schemeClr w14:val="tx1"/>
                  </w14:solidFill>
                </w14:textFill>
              </w:rPr>
              <w:t xml:space="preserve">通风柜</w:t>
            </w:r>
            <w:bookmarkEnd w:id="74"/>
            <w:r/>
            <w:bookmarkEnd w:id="7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b/>
                <w:bCs/>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一、基础参数</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1、规格：1800*850*2350mm；整体结构采用优质冷轧钢板及优质工业铝合金型材制作；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2、外壳：采用1.2mm冷轧钢板按模折压而成，经过酸洗、磷化、静电喷涂环氧树脂粉末固化，表面光洁、耐腐蚀性能好，涂层厚度为&gt;75um；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3、台面:25mm蝶形陶瓷台面；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4、内衬导流板:采用氟纤板内衬，设计合理，排风流畅无死角；</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5、LED灯: LED灯密封安装，平均照度不应小于800lx，不与排毒柜内气流接触，易更换；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6、视窗、移门:不低于2+2mm厚的安全夹层玻璃；</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7、传动装置:传动装置采用尼龙包塑钢丝同步带，滑轨采用专用型材，移门开启/关闭轻便灵活，无卡阻，并可在任意位置停止留；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8、合页:304/316不锈钢合页；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9、PP水杯*1，遥控水阀*1。</w:t>
            </w:r>
            <w:r>
              <w:rPr>
                <w:rFonts w:hint="eastAsia"/>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二、总体技术要求</w:t>
            </w:r>
            <w:r/>
          </w:p>
          <w:p>
            <w:pPr>
              <w:widowControl/>
              <w:rPr>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（一）排风柜总体要求</w:t>
            </w:r>
            <w:r/>
          </w:p>
          <w:p>
            <w:pPr>
              <w:widowControl/>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t xml:space="preserve">1</w:t>
            </w:r>
            <w:r>
              <w:rPr>
                <w:rFonts w:hint="eastAsia"/>
                <w:color w:val="000000" w:themeColor="text1"/>
                <w:lang w:val="en-US" w:bidi="ar"/>
                <w14:textFill>
                  <w14:solidFill>
                    <w14:schemeClr w14:val="tx1"/>
                  </w14:solidFill>
                </w14:textFill>
              </w:rPr>
              <w:t xml:space="preserve">、产品参照标准及规范</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（1）《排风柜》JB/T6412-1999；</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（2）《实验室变风量排风柜》JGT222-2007；</w:t>
            </w:r>
            <w:r>
              <w:rPr>
                <w:rFonts w:hint="eastAsia"/>
                <w:strike/>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（3）所有金属表面必须喷涂处理，涂层厚度≥</w:t>
            </w:r>
            <w:r>
              <w:rPr>
                <w:color w:val="000000" w:themeColor="text1"/>
                <w:lang w:val="en-US" w:bidi="ar"/>
                <w14:textFill>
                  <w14:solidFill>
                    <w14:schemeClr w14:val="tx1"/>
                  </w14:solidFill>
                </w14:textFill>
              </w:rPr>
              <w:t xml:space="preserve">75</w:t>
            </w:r>
            <w:r>
              <w:rPr>
                <w:rFonts w:hint="eastAsia"/>
                <w:color w:val="000000" w:themeColor="text1"/>
                <w:lang w:val="en-US" w:bidi="ar"/>
                <w14:textFill>
                  <w14:solidFill>
                    <w14:schemeClr w14:val="tx1"/>
                  </w14:solidFill>
                </w14:textFill>
              </w:rPr>
              <w:t xml:space="preserve">μm，平整光滑，不允许有喷涂层脱落、鼓泡、凹陷、压痕以及表面划伤、麻点、裂痕、崩角和刃口等。</w:t>
            </w:r>
            <w:r>
              <w:rPr>
                <w:rFonts w:hint="eastAsia"/>
                <w:strike/>
                <w:color w:val="000000" w:themeColor="text1"/>
                <w:lang w:val="en-US" w:bidi="ar"/>
                <w14:textFill>
                  <w14:solidFill>
                    <w14:schemeClr w14:val="tx1"/>
                  </w14:solidFill>
                </w14:textFill>
              </w:rPr>
              <w:br/>
            </w:r>
            <w:r>
              <w:rPr>
                <w:rFonts w:hint="eastAsia"/>
                <w:b/>
                <w:bCs/>
                <w:color w:val="000000" w:themeColor="text1"/>
                <w:lang w:val="en-US" w:bidi="ar"/>
                <w14:textFill>
                  <w14:solidFill>
                    <w14:schemeClr w14:val="tx1"/>
                  </w14:solidFill>
                </w14:textFill>
              </w:rPr>
              <w:t xml:space="preserve">（二）台式排风柜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1、排风柜整体包含上柜与支撑两部分。上柜用于实验开展，下柜用于物品的储存。上柜包含可视调节门，服务水气阀，插座，工作台面等。下柜包含柜体,门板,可调隔板等，坚固耐用,具有耐腐蚀功能,方便维护。</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2、规格：整体尺寸W宽度1500/1800mm，D深度≥900mm，H高度≥2350mm。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3、调节门打开至操作开度或机械限位开度并满足要求的技术指标：</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（1）平均面风速：0.5m/s±10%；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（2）可视化－小烟雾：无可见外溢或逃逸；</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（3）可视化－大烟雾：无可见外溢或逃逸；</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（4）示踪气体浓度：泄漏浓度平均值不应大于0.01ppm；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（5）视窗移动影响：泄漏浓度平均值不应大于0.01ppm；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（6）周边扫描：泄漏浓度平均值不应大于0.01ppm；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（7）阻力：不应大于50Pa。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4、采用25mm厚一体实芯黑色胚体实验室专用陶瓷碟型台面，技术参数满足以下所有指标。</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（1）质量稳定性：产品规格至少包括6种品类陶瓷板供项目上使用选择。</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（2）耐酸碱腐蚀性：有不少于49种检测种类,且检测结果等级为0级无可见变化的不少于48项，抽检样品包括：碟型陶瓷板（总厚度：25MM）。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（3）尺寸要求：</w:t>
            </w:r>
            <w:r>
              <w:rPr>
                <w:color w:val="000000" w:themeColor="text1"/>
                <w14:textFill>
                  <w14:solidFill>
                    <w14:schemeClr w14:val="tx1"/>
                  </w14:solidFill>
                </w14:textFill>
              </w:rPr>
              <w:t xml:space="preserve">长度、宽度按照 </w:t>
            </w:r>
            <w:r>
              <w:rPr>
                <w:rStyle w:val="859"/>
                <w:b w:val="0"/>
                <w:color w:val="000000" w:themeColor="text1"/>
                <w14:textFill>
                  <w14:solidFill>
                    <w14:schemeClr w14:val="tx1"/>
                  </w14:solidFill>
                </w14:textFill>
              </w:rPr>
              <w:t xml:space="preserve">GB/T 3810.2-2016《陶瓷砖试验方法 第 2 部分：尺寸和表面质量的检验》</w:t>
            </w:r>
            <w:r>
              <w:rPr>
                <w:color w:val="000000" w:themeColor="text1"/>
                <w14:textFill>
                  <w14:solidFill>
                    <w14:schemeClr w14:val="tx1"/>
                  </w14:solidFill>
                </w14:textFill>
              </w:rPr>
              <w:t xml:space="preserve"> 规定的方法进行检测；每批次随机抽取 10 块样品检验，</w:t>
            </w:r>
            <w:r>
              <w:rPr>
                <w:rStyle w:val="859"/>
                <w:b w:val="0"/>
                <w:color w:val="000000" w:themeColor="text1"/>
                <w14:textFill>
                  <w14:solidFill>
                    <w14:schemeClr w14:val="tx1"/>
                  </w14:solidFill>
                </w14:textFill>
              </w:rPr>
              <w:t xml:space="preserve">长度允许偏差 ±0.1%，宽度允许偏差 ±0.1%</w:t>
            </w:r>
            <w:r>
              <w:rPr>
                <w:color w:val="000000" w:themeColor="text1"/>
                <w14:textFill>
                  <w14:solidFill>
                    <w14:schemeClr w14:val="tx1"/>
                  </w14:solidFill>
                </w14:textFill>
              </w:rPr>
              <w:t xml:space="preserve">，检验结果均应满足要求。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（4）耐冲击韧性：参照JC/T259标准,检测结果符合：标准差≤0.25KJ/</w:t>
            </w:r>
            <w:r>
              <w:rPr>
                <w:color w:val="000000" w:themeColor="text1"/>
                <w:sz w:val="20"/>
                <w:szCs w:val="20"/>
                <w14:textFill>
                  <w14:solidFill>
                    <w14:schemeClr w14:val="tx1"/>
                  </w14:solidFill>
                </w14:textFill>
              </w:rPr>
              <w:t xml:space="preserve">m²</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5、导流板采用5mm厚白色玻纤内衬板，具有阻燃、自动熄火、耐高温，不易染色发黄，易清洁等性能，技术参数满足以下所有指标。</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（1）耐高温性能：</w:t>
            </w:r>
            <w:r>
              <w:rPr>
                <w:color w:val="000000" w:themeColor="text1"/>
                <w14:textFill>
                  <w14:solidFill>
                    <w14:schemeClr w14:val="tx1"/>
                  </w14:solidFill>
                </w14:textFill>
              </w:rPr>
              <w:t xml:space="preserve">提供依据 GB/T 17657 标准的检测报告，检测结果为试件 1、试件 2、试件 3 表面均未产生裂纹。</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（2）耐水蒸气性能：提供参照GB/T 17657标准的测试报告，检测结果符合：5级。</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6、柜内顶板上面装有LED节能灯，灯光光线柔和，无频闪、快速启动类型，照明光源有塑料面板与柜内空间隔开。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7、柜内工作空间顶部应有泄压口设计，当工作空间实验装置发生意外爆炸时，泄压口可以分担柜内压力并释放，以减少对调节门玻璃的冲击力，最大化保护操作人员。</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排风柜的前部是安全调节门，调节门玻璃采用不低于2+2mm厚的安全夹层玻璃，可保证万一破碎时不会伤及人员，移门最大开启高度不得低于720mm，调节门最高和最低位置有限位装置；调节门拉手和调节门同宽，为减小进风阻力，使气流顺畅进入排风柜内，拉手结构应为弧形设计，门框及拉手整体使用工业铝合金型材，经环氧树脂喷涂制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9、调节门滑槽应使用防腐蚀的塑料材质，增加耐腐性。</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▲10、平衡系统使用同步带传动结构，可以保证调节门不倾斜，并且可用一只手轻松操控升、降调节门，采用高强度钢丝芯聚氨酯同步带，具有低噪声高性能和足够的承重能力并保证防腐蚀。以全行程(往返)6 次/min的频次,操作25000次，试验结束后,调节门及传动系统无功能性或结构性损坏,开关行程范围内应顺畅无卡阻。再次验证拉力，柜体宽度1.5 m及以下,不大于23N,柜体宽度大于1.5m,每增加0.3m,施力增加4.5N（提供具有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11、同步带能达到如下性能：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（1）拉伸强度≥160N/mm；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（2）齿体剪切强度≥50N/mm；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w:t>
            </w:r>
            <w:r>
              <w:rPr>
                <w:color w:val="000000" w:themeColor="text1"/>
                <w14:textFill>
                  <w14:solidFill>
                    <w14:schemeClr w14:val="tx1"/>
                  </w14:solidFill>
                </w14:textFill>
              </w:rPr>
              <w:t xml:space="preserve">经 100℃×70h 耐油性试验后，齿体剪切强度保留率满足≥50 N/mm；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w:t>
            </w:r>
            <w:r>
              <w:rPr>
                <w:color w:val="000000" w:themeColor="text1"/>
                <w14:textFill>
                  <w14:solidFill>
                    <w14:schemeClr w14:val="tx1"/>
                  </w14:solidFill>
                </w14:textFill>
              </w:rPr>
              <w:t xml:space="preserve">经 100℃沸水浸泡 3h、(25±5)℃水浸泡 30min 耐水性试验后，拉伸强度保留率满足≥160 N/mm。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12、排风柜的调节门启动、关闭应轻便灵活，在开关行程范围内无卡阻，并可在任意位置停留。</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13、调节门向上推至设计高度时，必须有限位装置，如需更大开度时，可单手解除限位，再将调节门打开至最大，关闭调节门时限位装置无需手动操作。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▲14、调节门配置防坠落功能，即一侧同步带突然断开，调节门也会停留在最初位置附近，下落距离不大于25mm。防止调节门急速坠落发生意外事故。（提供具有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15、调节门同时配置防喷溅功能，飞溅或凝结在调节门内表面上的液体会被调节门把手底部的液体收集槽收集，并导流到调节门的一侧滴落到工作台面上。</w:t>
            </w:r>
            <w:r>
              <w:rPr>
                <w:rFonts w:hint="eastAsia"/>
                <w:color w:val="000000" w:themeColor="text1"/>
                <w:lang w:val="en-US" w:bidi="ar"/>
                <w14:textFill>
                  <w14:solidFill>
                    <w14:schemeClr w14:val="tx1"/>
                  </w14:solidFill>
                </w14:textFill>
              </w:rPr>
              <w:br/>
            </w:r>
            <w:bookmarkStart w:id="76" w:name="OLE_LINK11"/>
            <w:r/>
            <w:bookmarkStart w:id="77" w:name="OLE_LINK13"/>
            <w:r>
              <w:rPr>
                <w:rFonts w:hint="eastAsia"/>
                <w:color w:val="000000" w:themeColor="text1"/>
                <w:lang w:val="en-US" w:bidi="ar"/>
                <w14:textFill>
                  <w14:solidFill>
                    <w14:schemeClr w14:val="tx1"/>
                  </w14:solidFill>
                </w14:textFill>
              </w:rPr>
              <w:t xml:space="preserve">▲</w:t>
            </w:r>
            <w:bookmarkEnd w:id="76"/>
            <w:r/>
            <w:bookmarkEnd w:id="77"/>
            <w:r>
              <w:rPr>
                <w:rFonts w:hint="eastAsia"/>
                <w:color w:val="000000" w:themeColor="text1"/>
                <w:lang w:val="en-US" w:bidi="ar"/>
                <w14:textFill>
                  <w14:solidFill>
                    <w14:schemeClr w14:val="tx1"/>
                  </w14:solidFill>
                </w14:textFill>
              </w:rPr>
              <w:t xml:space="preserve">16、气翼（下导流翼）整体使用工业铝合金型材，结构符合空气动力学设计，表面</w:t>
            </w:r>
            <w:bookmarkStart w:id="78" w:name="OLE_LINK27"/>
            <w:r/>
            <w:bookmarkStart w:id="79" w:name="OLE_LINK28"/>
            <w:r>
              <w:rPr>
                <w:rFonts w:hint="eastAsia"/>
                <w:color w:val="000000" w:themeColor="text1"/>
                <w:lang w:val="en-US" w:bidi="ar"/>
                <w14:textFill>
                  <w14:solidFill>
                    <w14:schemeClr w14:val="tx1"/>
                  </w14:solidFill>
                </w14:textFill>
              </w:rPr>
              <w:t xml:space="preserve">涂层</w:t>
            </w:r>
            <w:bookmarkEnd w:id="78"/>
            <w:r/>
            <w:bookmarkEnd w:id="79"/>
            <w:r>
              <w:rPr>
                <w:rFonts w:hint="eastAsia"/>
                <w:color w:val="000000" w:themeColor="text1"/>
                <w:lang w:val="en-US" w:bidi="ar"/>
                <w14:textFill>
                  <w14:solidFill>
                    <w14:schemeClr w14:val="tx1"/>
                  </w14:solidFill>
                </w14:textFill>
              </w:rPr>
              <w:t xml:space="preserve">可抵抗强酸强碱。表面涂层性能试验、耐化学性能试验，能达到如下性能：（提供具有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（1）化学试剂痕迹试验：</w:t>
            </w:r>
            <w:r>
              <w:rPr>
                <w:color w:val="000000" w:themeColor="text1"/>
                <w:lang w:val="en-US" w:bidi="ar"/>
                <w14:textFill>
                  <w14:solidFill>
                    <w14:schemeClr w14:val="tx1"/>
                  </w14:solidFill>
                </w14:textFill>
              </w:rPr>
              <w:t xml:space="preserve">采用 49 种化学试剂进行测试，涂层等级为 3 的数量不超过 1 个。</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（2）热水试验：</w:t>
            </w:r>
            <w:r>
              <w:rPr>
                <w:color w:val="000000" w:themeColor="text1"/>
                <w:lang w:val="en-US" w:bidi="ar"/>
                <w14:textFill>
                  <w14:solidFill>
                    <w14:schemeClr w14:val="tx1"/>
                  </w14:solidFill>
                </w14:textFill>
              </w:rPr>
              <w:t xml:space="preserve">经 88℃～</w:t>
            </w:r>
            <w:r>
              <w:rPr>
                <w:color w:val="000000" w:themeColor="text1"/>
                <w14:textFill>
                  <w14:solidFill>
                    <w14:schemeClr w14:val="tx1"/>
                  </w14:solidFill>
                </w14:textFill>
              </w:rPr>
              <w:t xml:space="preserve">96℃热水试验 5min，涂层无可见影响。</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（3）冲击试验：</w:t>
            </w:r>
            <w:r>
              <w:rPr>
                <w:color w:val="000000" w:themeColor="text1"/>
                <w14:textFill>
                  <w14:solidFill>
                    <w14:schemeClr w14:val="tx1"/>
                  </w14:solidFill>
                </w14:textFill>
              </w:rPr>
              <w:t xml:space="preserve">经规定重量钢球冲击试验，涂层无裂缝、龟裂。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（4）油漆附着力：</w:t>
            </w:r>
            <w:r>
              <w:rPr>
                <w:color w:val="000000" w:themeColor="text1"/>
                <w14:textFill>
                  <w14:solidFill>
                    <w14:schemeClr w14:val="tx1"/>
                  </w14:solidFill>
                </w14:textFill>
              </w:rPr>
              <w:t xml:space="preserve">划格法测试，附着力等级不低于 4B。</w:t>
            </w:r>
            <w:r>
              <w:rPr>
                <w:rFonts w:hint="eastAsia"/>
                <w:color w:val="000000" w:themeColor="text1"/>
                <w:lang w:val="en-US" w:bidi="ar"/>
                <w14:textFill>
                  <w14:solidFill>
                    <w14:schemeClr w14:val="tx1"/>
                  </w14:solidFill>
                </w14:textFill>
              </w:rPr>
              <w:t xml:space="preserve">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（5）油漆硬度：</w:t>
            </w:r>
            <w:r>
              <w:rPr>
                <w:color w:val="000000" w:themeColor="text1"/>
                <w14:textFill>
                  <w14:solidFill>
                    <w14:schemeClr w14:val="tx1"/>
                  </w14:solidFill>
                </w14:textFill>
              </w:rPr>
              <w:t xml:space="preserve">铅笔硬度≥4H，不穿透基材。</w:t>
            </w:r>
            <w:r>
              <w:rPr>
                <w:rFonts w:hint="eastAsia"/>
                <w:color w:val="000000" w:themeColor="text1"/>
                <w:lang w:val="en-US" w:bidi="ar"/>
                <w14:textFill>
                  <w14:solidFill>
                    <w14:schemeClr w14:val="tx1"/>
                  </w14:solidFill>
                </w14:textFill>
              </w:rPr>
              <w:t xml:space="preserve">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（6）防潮性能：</w:t>
            </w:r>
            <w:r>
              <w:rPr>
                <w:color w:val="000000" w:themeColor="text1"/>
                <w14:textFill>
                  <w14:solidFill>
                    <w14:schemeClr w14:val="tx1"/>
                  </w14:solidFill>
                </w14:textFill>
              </w:rPr>
              <w:t xml:space="preserve">在 100℉条件下试验 2000h，涂层无明显变化。</w:t>
            </w:r>
            <w:r>
              <w:rPr>
                <w:rFonts w:hint="eastAsia"/>
                <w:color w:val="000000" w:themeColor="text1"/>
                <w:lang w:val="en-US" w:bidi="ar"/>
                <w14:textFill>
                  <w14:solidFill>
                    <w14:schemeClr w14:val="tx1"/>
                  </w14:solidFill>
                </w14:textFill>
              </w:rPr>
              <w:t xml:space="preserve">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（7）盐雾试验：</w:t>
            </w:r>
            <w:r>
              <w:rPr>
                <w:color w:val="000000" w:themeColor="text1"/>
                <w14:textFill>
                  <w14:solidFill>
                    <w14:schemeClr w14:val="tx1"/>
                  </w14:solidFill>
                </w14:textFill>
              </w:rPr>
              <w:t xml:space="preserve">中性盐雾试验 600h，涂层外观无明显变化。</w:t>
            </w:r>
            <w:r>
              <w:rPr>
                <w:rFonts w:hint="eastAsia"/>
                <w:color w:val="000000" w:themeColor="text1"/>
                <w:lang w:val="en-US" w:bidi="ar"/>
                <w14:textFill>
                  <w14:solidFill>
                    <w14:schemeClr w14:val="tx1"/>
                  </w14:solidFill>
                </w14:textFill>
              </w:rPr>
              <w:t xml:space="preserve">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（8）耐磨试验：</w:t>
            </w:r>
            <w:r>
              <w:rPr>
                <w:color w:val="000000" w:themeColor="text1"/>
                <w14:textFill>
                  <w14:solidFill>
                    <w14:schemeClr w14:val="tx1"/>
                  </w14:solidFill>
                </w14:textFill>
              </w:rPr>
              <w:t xml:space="preserve">耐磨试验质量损失≤5mg。</w:t>
            </w:r>
            <w:r>
              <w:rPr>
                <w:rFonts w:hint="eastAsia"/>
                <w:color w:val="000000" w:themeColor="text1"/>
                <w:lang w:val="en-US" w:bidi="ar"/>
                <w14:textFill>
                  <w14:solidFill>
                    <w14:schemeClr w14:val="tx1"/>
                  </w14:solidFill>
                </w14:textFill>
              </w:rPr>
              <w:t xml:space="preserve">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17、集气罩要求防腐蚀塑料材质，锥形缩口设计，应具良好的锥形集气角度及圆滑度，保证低噪音，气流均匀，以获得良好集气平均性及低压损。</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18、电气设施安装在排风柜的功能面板上，功能面板必须具备灵活的拆卸结构，方便后期功能调整，灵活性强。同时安装有漏电保护装置，不少于4个三孔防尘插座，220V，10A，方便设备使用。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19、电器设施必须配置接线底盒，可以同时起到连接电线，保障各种电气线路的过渡和保护线路安全的作用。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20、排风柜立柱/气翼（下导流翼）向柜内方向设计有辅助气流系统，可为两侧立柱/气翼边缘提供向柜内的稳定气流，气流分布均匀，提高排风柜安全性能和抗干扰性能。辅助气流应预留启停控制点位，方便排风柜配套的变风量控制系统接入联动启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21、前框两侧立柱整体使用工业铝合金型材，经环氧树脂喷涂制作。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22、底柜柜体与实验台柜体制作要求同。每个柜体均应为完整独立的全钢制柜体设计，除有特别说明外，每台排风柜配置两只双开门款式底柜单元，底柜后方应具备容易拆装的活动背板，顶部必须封有顶板将柜体密封，根据需要可对接排风。</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23、根据需要也可配置框架支撑结构，框架内底柜可选配安全柜或废液收集柜(废液收集柜应配置有PP托盘，托盘并可轻易拉出)。</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24、排风柜阻力应小于30Pa。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25、供水/供气考克：根据清单要求配置壁式遥控水阀（气嘴）、水嘴（气阀），主体为加厚铜质，表面高亮度环氧树脂涂层，耐腐蚀、耐热；陶瓷阀芯，90°旋转，使用寿命开关50万次，静态最大耐压20巴；开关旋钮为高密度PP制作，符合人体工学设计，手感舒适。考克安装在排风柜的功能面板上，功能面板必须具备灵活的拆卸结构，方便后期功能调整，灵活性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配电箱2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1.名称:配电箱30KW</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2.规格:含箱体、箱内元器件、接地等配套设备。</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3.安装方式:暗装，含墙体开洞、封堵及墙面修复。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PPR给水管</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DN20，含墙面开槽及修复，无机涂料墙面。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80" w:name="OLE_LINK89"/>
            <w:r/>
            <w:bookmarkStart w:id="81" w:name="OLE_LINK88"/>
            <w:r>
              <w:rPr>
                <w:rFonts w:hint="eastAsia"/>
                <w:color w:val="000000" w:themeColor="text1"/>
                <w:lang w:val="en-US" w:bidi="ar"/>
                <w14:textFill>
                  <w14:solidFill>
                    <w14:schemeClr w14:val="tx1"/>
                  </w14:solidFill>
                </w14:textFill>
              </w:rPr>
              <w:t xml:space="preserve">HDPE排水管</w:t>
            </w:r>
            <w:bookmarkEnd w:id="80"/>
            <w:r/>
            <w:bookmarkEnd w:id="81"/>
            <w:r>
              <w:rPr>
                <w:rFonts w:hint="eastAsia"/>
                <w:color w:val="000000" w:themeColor="text1"/>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DN75，含墙面开槽及修复，无机涂料墙面。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HDPE排水管2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DN50，含墙面开槽及修复，无机涂料墙面。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82" w:name="OLE_LINK91"/>
            <w:r/>
            <w:bookmarkStart w:id="83" w:name="OLE_LINK90"/>
            <w:r>
              <w:rPr>
                <w:rFonts w:hint="eastAsia"/>
                <w:color w:val="000000" w:themeColor="text1"/>
                <w:lang w:val="en-US" w:bidi="ar"/>
                <w14:textFill>
                  <w14:solidFill>
                    <w14:schemeClr w14:val="tx1"/>
                  </w14:solidFill>
                </w14:textFill>
              </w:rPr>
              <w:t xml:space="preserve">电缆</w:t>
            </w:r>
            <w:bookmarkEnd w:id="82"/>
            <w:r/>
            <w:bookmarkEnd w:id="83"/>
            <w:r>
              <w:rPr>
                <w:rStyle w:val="864"/>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YJV-3*16²+1*10²电缆</w:t>
            </w:r>
            <w:r/>
          </w:p>
        </w:tc>
      </w:tr>
      <w:tr>
        <w:trPr>
          <w:jc w:val="center"/>
          <w:trHeight w:val="244"/>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84" w:name="OLE_LINK93"/>
            <w:r/>
            <w:bookmarkStart w:id="85" w:name="OLE_LINK92"/>
            <w:r>
              <w:rPr>
                <w:rFonts w:hint="eastAsia"/>
                <w:color w:val="000000" w:themeColor="text1"/>
                <w:lang w:val="en-US" w:bidi="ar"/>
                <w14:textFill>
                  <w14:solidFill>
                    <w14:schemeClr w14:val="tx1"/>
                  </w14:solidFill>
                </w14:textFill>
              </w:rPr>
              <w:t xml:space="preserve">高清线</w:t>
            </w:r>
            <w:bookmarkEnd w:id="84"/>
            <w:r/>
            <w:bookmarkEnd w:id="85"/>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HDMI</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86" w:name="OLE_LINK94"/>
            <w:r/>
            <w:bookmarkStart w:id="87" w:name="OLE_LINK95"/>
            <w:r>
              <w:rPr>
                <w:rFonts w:hint="eastAsia"/>
                <w:color w:val="000000" w:themeColor="text1"/>
                <w:lang w:val="en-US" w:bidi="ar"/>
                <w14:textFill>
                  <w14:solidFill>
                    <w14:schemeClr w14:val="tx1"/>
                  </w14:solidFill>
                </w14:textFill>
              </w:rPr>
              <w:t xml:space="preserve">网线</w:t>
            </w:r>
            <w:bookmarkEnd w:id="86"/>
            <w:r/>
            <w:bookmarkEnd w:id="87"/>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六类线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88" w:name="OLE_LINK96"/>
            <w:r/>
            <w:bookmarkStart w:id="89" w:name="OLE_LINK97"/>
            <w:r>
              <w:rPr>
                <w:rFonts w:hint="eastAsia"/>
                <w:color w:val="000000" w:themeColor="text1"/>
                <w:lang w:val="en-US" w:bidi="ar"/>
                <w14:textFill>
                  <w14:solidFill>
                    <w14:schemeClr w14:val="tx1"/>
                  </w14:solidFill>
                </w14:textFill>
              </w:rPr>
              <w:t xml:space="preserve">楼板开洞</w:t>
            </w:r>
            <w:bookmarkEnd w:id="88"/>
            <w:r/>
            <w:bookmarkEnd w:id="89"/>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排水管，实验台及讲台配电所需楼板开洞，直径50-80mm。含洞口封堵、防水处理及地面修复。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中央实验台</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（钢架台）</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L*1400*850mm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钢架台结构；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2.柜体：≥60*40*1.2mm矩形方管，表面环氧树脂喷涂，喷涂厚度≥75μm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4.五孔插座*4，含插座盒</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90" w:name="OLE_LINK99"/>
            <w:r/>
            <w:bookmarkStart w:id="91" w:name="OLE_LINK98"/>
            <w:r>
              <w:rPr>
                <w:rFonts w:hint="eastAsia"/>
                <w:color w:val="000000" w:themeColor="text1"/>
                <w:lang w:val="en-US" w:bidi="ar"/>
                <w14:textFill>
                  <w14:solidFill>
                    <w14:schemeClr w14:val="tx1"/>
                  </w14:solidFill>
                </w14:textFill>
              </w:rPr>
              <w:t xml:space="preserve">高温台</w:t>
            </w:r>
            <w:bookmarkEnd w:id="90"/>
            <w:r/>
            <w:bookmarkEnd w:id="91"/>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L*900*600mm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2.支架：40*60*1.5mm冷轧钢管焊接打磨，表面环氧树脂喷涂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4.五孔插座*2，含插座盒</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水磨石地面</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原水磨石地面开槽无法修复，拆除重做。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1、基层打磨处理，界面剂封底</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2、铺设环氧水磨石层，厚度按现场实际情况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3、整体无缝研磨抛光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4、密封固化处理，耐磨抗渗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92" w:name="OLE_LINK101"/>
            <w:r/>
            <w:bookmarkStart w:id="93" w:name="OLE_LINK100"/>
            <w:r>
              <w:rPr>
                <w:rFonts w:hint="eastAsia"/>
                <w:color w:val="000000" w:themeColor="text1"/>
                <w:lang w:val="en-US" w:bidi="ar"/>
                <w14:textFill>
                  <w14:solidFill>
                    <w14:schemeClr w14:val="tx1"/>
                  </w14:solidFill>
                </w14:textFill>
              </w:rPr>
              <w:t xml:space="preserve">带书写板活动椅</w:t>
            </w:r>
            <w:bookmarkEnd w:id="92"/>
            <w:r/>
            <w:bookmarkEnd w:id="93"/>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1、椅架：圆方管32*18*1.5mm厚，采用静电喷粉高温塑化而成，椅架有黑、白2种颜色可选。</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2、胶壳：胶壳采用PP工程塑料、质地轻、抗裂性强、椅背拉力测试最大承重可达150KG                                                                                                                                                          3、网背：双层网布是达曼系列，防磨防污性好，超透气舒适。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4，座垫：采用定型海棉、经久耐用，布料采用阻燃绦纶面料，防磨防污性好，色度牢，耐光性好，抗皱免烫，舒适坐感。</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5、脚轮：活动万向轮，保护地板，移动时减少噪音。</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6、写字板：黑色实心支架+黑色PP面板，带人性化设计的笔槽和隐藏式水杯架，可侧放收纳。</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7、尺寸：530*570*815mm</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L*400*2800mm（封板至吊顶）尺寸根据现场定制（配密码锁）；</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1、采用E0级18mm厚实木多层板；</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2、表面处理工艺：经过防火、抗磨、防水浸泡处理，硬度大，耐磨，耐热性好。</w:t>
            </w:r>
            <w:r/>
          </w:p>
          <w:p>
            <w:pPr>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en-US" w:bidi="ar"/>
                <w14:textFill>
                  <w14:solidFill>
                    <w14:schemeClr w14:val="tx1"/>
                  </w14:solidFill>
                </w14:textFill>
              </w:rPr>
              <w:t xml:space="preserve">封边：2mmHDPE封边，表面平滑、无起泡、无拉纹。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展示设备1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包括教学展示用园林工程基础材料（市面常规尺寸）:</w:t>
            </w:r>
            <w:r/>
          </w:p>
          <w:p>
            <w:pP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砖：红砖 青砖 荷兰砖 空心砖 多孔砖 屋面瓦、筒瓦、琉璃瓦各1-3种，市面常规尺寸;</w:t>
            </w:r>
            <w:r/>
          </w:p>
          <w:p>
            <w:pP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石：各种花色大理石不少于15种（包括不同表面加工方式：抛光、亚光等）;</w:t>
            </w:r>
            <w:r/>
          </w:p>
          <w:p>
            <w:pPr>
              <w:ind w:left="44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各种花色花岗岩不少于15种（包括不同表面加工方式：抛光、亚光、机刨纹理、烧毛、剁斧等）;</w:t>
            </w:r>
            <w:r/>
          </w:p>
          <w:p>
            <w:pPr>
              <w:ind w:firstLine="42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卵石不少于5种（不同色、不同大小）;砂岩、页岩各不少于5种;</w:t>
            </w:r>
            <w:r/>
          </w:p>
          <w:p>
            <w:pPr>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陶瓷：各种花色瓷砖不少于15种（包括不同表面加工方式：抛光、亚光、仿各种纹理等）、马赛克样片展示一板；</w:t>
            </w:r>
            <w:r/>
          </w:p>
          <w:p>
            <w:pPr>
              <w:ind w:left="660" w:hanging="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玻璃：各种玻璃，包括：平板玻璃、各色彩色玻璃（3种以上颜色）、磨砂玻璃、花纹玻璃、镭射玻璃、冰花玻璃、钢化玻璃、夹丝玻璃、夹层玻璃、</w:t>
            </w:r>
            <w:r/>
          </w:p>
          <w:p>
            <w:pPr>
              <w:ind w:left="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玻璃马赛克2-3板；玻璃空心砖2-3块；</w:t>
            </w:r>
            <w:r/>
          </w:p>
          <w:p>
            <w:pPr>
              <w:ind w:left="660" w:hanging="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金属：各类钢筋（如光圆钢筋、带肋钢筋各1）、型钢（圆钢、方钢、六角钢、角钢、槽钢、工字钢各1） 长度30-50cm；</w:t>
            </w:r>
            <w:r/>
          </w:p>
          <w:p>
            <w:pPr>
              <w:ind w:left="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不锈钢样品1板、铝合金线条样品1板</w:t>
            </w:r>
            <w:r>
              <w:rPr>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t xml:space="preserve">铜板、耐候钢板各3块（不同纹理） 30cm×30cm左右；</w:t>
            </w:r>
            <w:r/>
          </w:p>
          <w:p>
            <w:pPr>
              <w:ind w:left="660" w:hanging="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木材：原木条、防腐木各3条 50cm以内长度；原木板不少于5种 木料样品即可 20cm×20cm左右；人造板材不少于3种（胶合板、纤维板、刨花板、细木工板各1） 20cm×20cm左右、木地板样品一板；</w:t>
            </w:r>
            <w:r/>
          </w:p>
          <w:p>
            <w:pPr>
              <w:ind w:left="660" w:hanging="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塑料：pvc塑料地板样品一板、铝塑板样品一板；</w:t>
            </w:r>
            <w:r/>
          </w:p>
          <w:p>
            <w:pPr>
              <w:ind w:left="660" w:hanging="660"/>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假山：小尺寸太湖石、英德石、黄石、黄蜡石、青石各1；</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以上均为小尺寸样品即可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94" w:name="OLE_LINK103"/>
            <w:r/>
            <w:bookmarkStart w:id="95" w:name="OLE_LINK102"/>
            <w:r>
              <w:rPr>
                <w:rFonts w:hint="eastAsia"/>
                <w:color w:val="000000" w:themeColor="text1"/>
                <w:lang w:val="en-US" w:bidi="ar"/>
                <w14:textFill>
                  <w14:solidFill>
                    <w14:schemeClr w14:val="tx1"/>
                  </w14:solidFill>
                </w14:textFill>
              </w:rPr>
              <w:t xml:space="preserve">墙面展示</w:t>
            </w:r>
            <w:bookmarkEnd w:id="94"/>
            <w:r/>
            <w:bookmarkEnd w:id="95"/>
            <w:r>
              <w:rPr>
                <w:rFonts w:hint="eastAsia"/>
                <w:color w:val="000000" w:themeColor="text1"/>
                <w:lang w:val="en-US" w:bidi="ar"/>
                <w14:textFill>
                  <w14:solidFill>
                    <w14:schemeClr w14:val="tx1"/>
                  </w14:solidFill>
                </w14:textFill>
              </w:rPr>
              <w:t xml:space="preserve">设施1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≥18mm厚天然木材（柚木/白橡/松木/胡桃）洞洞板展示墙面，≥5mm厚毛毡展示墙面，环保材料。</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灯光</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1、内嵌式铝合金LED条行灯带</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2、额定电压：220V</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3、色温：4700-5300k</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4、频率：50/60Hz</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5、功率因数≥0.90显色指数：≥90(R9≥50）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吊顶</w:t>
            </w:r>
            <w:r>
              <w:rPr>
                <w:rStyle w:val="864"/>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1、采用环保材料，防火防潮</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2、尺寸600*600mm，1.0mm厚铝扣板吊顶，含龙骨，龙骨吊杆尺寸＞1.5米时须设置转换层，转换层采用镀锌角钢制作，教室四周采用石膏板吊顶。</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3、600*600mmLED平板灯，灯具的布置需满足平均照度≥450lux。</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设备间隔断（门墙）</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120mm厚轻钢龙骨双面双层石膏板隔墙，75型轻钢龙骨，内填隔音棉(容重80KG/m³)，表面无机涂料，环保材料，钢制成品门（1000*2300mm），带不锈钢执手锁。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展示设备2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包括园林小品模型（如亭、廊、轩、榭等小品）以下模型各1件。</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1、彩绘版全木绿漪亭成品模型，尺寸：20*20*20cm左右； </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2、彩绘版爱晚亭 成品模型，尺寸：20*20*25cm左右；</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3、彩绘版雅轩阁 成品模型，尺寸：30*20*20c左右m；</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4、叠山观水-详见尺寸图-赠李白小摆件，尺寸：15*15*10cm左右；</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5、华阳轩+小飞虹+静心亭，尺寸：20*10*5cm左右；</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6、假山：山丘石长40*25*40cm左右；</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96" w:name="OLE_LINK105"/>
            <w:r/>
            <w:bookmarkStart w:id="97" w:name="OLE_LINK104"/>
            <w:r>
              <w:rPr>
                <w:rFonts w:hint="eastAsia"/>
                <w:color w:val="000000" w:themeColor="text1"/>
                <w:lang w:val="en-US" w:bidi="ar"/>
                <w14:textFill>
                  <w14:solidFill>
                    <w14:schemeClr w14:val="tx1"/>
                  </w14:solidFill>
                </w14:textFill>
              </w:rPr>
              <w:t xml:space="preserve">墙面展示</w:t>
            </w:r>
            <w:bookmarkEnd w:id="96"/>
            <w:r/>
            <w:bookmarkEnd w:id="97"/>
            <w:r>
              <w:rPr>
                <w:rFonts w:hint="eastAsia"/>
                <w:color w:val="000000" w:themeColor="text1"/>
                <w:lang w:val="en-US" w:bidi="ar"/>
                <w14:textFill>
                  <w14:solidFill>
                    <w14:schemeClr w14:val="tx1"/>
                  </w14:solidFill>
                </w14:textFill>
              </w:rPr>
              <w:t xml:space="preserve">设施2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展示软木持图板厚度≥15mm，≥5mm厚毛毡展示墙，尺寸定制；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实验台(双面操作)</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b/>
                <w:bCs/>
                <w:color w:val="000000" w:themeColor="text1"/>
                <w:lang w:val="en-US" w:bidi="ar"/>
                <w14:textFill>
                  <w14:solidFill>
                    <w14:schemeClr w14:val="tx1"/>
                  </w14:solidFill>
                </w14:textFill>
              </w:rPr>
              <w:t xml:space="preserve">一、基础参数</w:t>
            </w:r>
            <w:r/>
          </w:p>
          <w:p>
            <w:pPr>
              <w:widowControl/>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1、规格：</w:t>
            </w:r>
            <w:r>
              <w:rPr>
                <w:rFonts w:hint="eastAsia"/>
                <w:color w:val="000000" w:themeColor="text1"/>
                <w:lang w:val="en-US" w:bidi="ar"/>
                <w14:textFill>
                  <w14:solidFill>
                    <w14:schemeClr w14:val="tx1"/>
                  </w14:solidFill>
                </w14:textFill>
              </w:rPr>
              <w:t xml:space="preserve">4000*900*850mm；全钢落地柜结构，双面操作，双面柜门；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3、柜体：主体采用1.0mm冷轧钢板，表面环氧树脂喷涂，喷涂厚度≥75μm（柜体做内凹处理，坐时方便腿部摆放）</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4、柜门：采用环氧树脂喷涂优质冷轧钢板质，柜门内侧装有防撞贴；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6、拉手： 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7、地脚：采用实验室专用调节脚；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98" w:name="OLE_LINK106"/>
            <w:r/>
            <w:bookmarkStart w:id="99" w:name="OLE_LINK107"/>
            <w:r>
              <w:rPr>
                <w:rFonts w:hint="eastAsia"/>
                <w:color w:val="000000" w:themeColor="text1"/>
                <w:lang w:val="en-US" w:bidi="ar"/>
                <w14:textFill>
                  <w14:solidFill>
                    <w14:schemeClr w14:val="tx1"/>
                  </w14:solidFill>
                </w14:textFill>
              </w:rPr>
              <w:t xml:space="preserve">中央实验台</w:t>
            </w:r>
            <w:bookmarkEnd w:id="98"/>
            <w:r/>
            <w:bookmarkEnd w:id="99"/>
            <w:r>
              <w:rPr>
                <w:rStyle w:val="864"/>
                <w:rFonts w:hint="eastAsia"/>
                <w:color w:val="000000" w:themeColor="text1"/>
                <w:lang w:val="en-US"/>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L*1200*850mm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1.台面:采用22mm工业陶瓷台面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2.柜体：主体采用1.0mm冷轧钢板，表面环氧树脂喷涂，喷涂厚度≥75μm（柜体做内凹处理，坐时方便腿部摆放）</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3.柜门：采用环氧树脂喷涂冷轧钢板质，柜门内侧装有防撞贴；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5.拉手： 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7.含五孔插座及插座盒*3（每米3个）</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1、规格：3000*600*850mm*1组；全钢落地柜结构；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2、台面：25mm蝶形陶瓷台面；</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4、柜门：采用环氧树脂喷涂冷轧钢板质，柜门内侧装有防撞贴；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6、拉手：一体折弯式拉手；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8、含单口水龙头*4，中水槽*4</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9、配角阀*4。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钢制组合收纳柜1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5300*400*2600mm（封板至吊顶）；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柜门：采用环氧树脂喷涂冷轧钢板质，柜门内侧装有防撞贴；柜门配锁；</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拉手： 304不锈钢拉手；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地脚：采用实验室专用调节脚；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钢制组合收纳柜2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850*400*2600mm（封板至吊顶）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柜门：采用环氧树脂喷涂冷轧钢板质，柜门内侧装有防撞贴；柜门配锁；</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拉手： 304不锈钢拉手；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地脚：采用实验室专用调节脚；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钢制组合收纳柜3</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2400*500*2600（封板至吊顶）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柜体：主体采用1.0mm冷轧钢板，表面环氧树脂喷涂，喷涂厚度≥75μm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柜门：采用环氧树脂喷涂冷轧钢板质，柜门内侧装有防撞贴；柜门配锁；</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合页：304不锈钢合页；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拉手： 304不锈钢拉手；</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地脚：采用实验室专用调节脚；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含五孔插座及插座盒*6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顶部机电设施升级</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原无吊顶，现增设吊顶的房间，包含消防喷头、烟感等设施改造至吊顶面安装。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1、坐垫尺寸：直径 34cm 厚度 4cm2、防静电指数：5-9 次方；</w:t>
            </w:r>
            <w:r/>
          </w:p>
          <w:p>
            <w:pPr>
              <w:widowControl/>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t xml:space="preserve">2</w:t>
            </w:r>
            <w:r>
              <w:rPr>
                <w:rFonts w:hint="eastAsia"/>
                <w:color w:val="000000" w:themeColor="text1"/>
                <w:lang w:val="en-US" w:bidi="ar"/>
                <w14:textFill>
                  <w14:solidFill>
                    <w14:schemeClr w14:val="tx1"/>
                  </w14:solidFill>
                </w14:textFill>
              </w:rPr>
              <w:t xml:space="preserve">、整体高度：40-54 厘米（四级气杆）；</w:t>
            </w:r>
            <w:r/>
          </w:p>
          <w:p>
            <w:pPr>
              <w:widowControl/>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t xml:space="preserve">3</w:t>
            </w:r>
            <w:r>
              <w:rPr>
                <w:rFonts w:hint="eastAsia"/>
                <w:color w:val="000000" w:themeColor="text1"/>
                <w:lang w:val="en-US" w:bidi="ar"/>
                <w14:textFill>
                  <w14:solidFill>
                    <w14:schemeClr w14:val="tx1"/>
                  </w14:solidFill>
                </w14:textFill>
              </w:rPr>
              <w:t xml:space="preserve">、坐垫材质：防静电聚氨酯 PU 发泡；</w:t>
            </w:r>
            <w:r/>
          </w:p>
          <w:p>
            <w:pPr>
              <w:widowControl/>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t xml:space="preserve">4</w:t>
            </w:r>
            <w:r>
              <w:rPr>
                <w:rFonts w:hint="eastAsia"/>
                <w:color w:val="000000" w:themeColor="text1"/>
                <w:lang w:val="en-US" w:bidi="ar"/>
                <w14:textFill>
                  <w14:solidFill>
                    <w14:schemeClr w14:val="tx1"/>
                  </w14:solidFill>
                </w14:textFill>
              </w:rPr>
              <w:t xml:space="preserve">、托盘材质：黑色喷涂冷扎钢；</w:t>
            </w:r>
            <w:r/>
          </w:p>
          <w:p>
            <w:pPr>
              <w:widowControl/>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t xml:space="preserve">5</w:t>
            </w:r>
            <w:r>
              <w:rPr>
                <w:rFonts w:hint="eastAsia"/>
                <w:color w:val="000000" w:themeColor="text1"/>
                <w:lang w:val="en-US" w:bidi="ar"/>
                <w14:textFill>
                  <w14:solidFill>
                    <w14:schemeClr w14:val="tx1"/>
                  </w14:solidFill>
                </w14:textFill>
              </w:rPr>
              <w:t xml:space="preserve">、气杆材质：电镀冷扎钢；</w:t>
            </w:r>
            <w:r/>
          </w:p>
          <w:p>
            <w:pPr>
              <w:widowControl/>
              <w:rPr>
                <w:color w:val="000000" w:themeColor="text1"/>
                <w:lang w:val="en-US" w:bidi="ar"/>
                <w14:textFill>
                  <w14:solidFill>
                    <w14:schemeClr w14:val="tx1"/>
                  </w14:solidFill>
                </w14:textFill>
              </w:rPr>
            </w:pPr>
            <w:r>
              <w:rPr>
                <w:color w:val="000000" w:themeColor="text1"/>
                <w:lang w:val="en-US" w:bidi="ar"/>
                <w14:textFill>
                  <w14:solidFill>
                    <w14:schemeClr w14:val="tx1"/>
                  </w14:solidFill>
                </w14:textFill>
              </w:rPr>
              <w:t xml:space="preserve">6</w:t>
            </w:r>
            <w:r>
              <w:rPr>
                <w:rFonts w:hint="eastAsia"/>
                <w:color w:val="000000" w:themeColor="text1"/>
                <w:lang w:val="en-US" w:bidi="ar"/>
                <w14:textFill>
                  <w14:solidFill>
                    <w14:schemeClr w14:val="tx1"/>
                  </w14:solidFill>
                </w14:textFill>
              </w:rPr>
              <w:t xml:space="preserve">、凳脚材质：240mm，半径铝合金脚；</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7、脚杯材质：PP 导电塑</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玻璃钢离心风机</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numPr>
                <w:ilvl w:val="0"/>
                <w:numId w:val="21"/>
              </w:num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风量：≥11000CMH，机外静压：2500Pa，功率：15KW/380V，强制冷变频电机</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2.风机含底座及固定架.弹簧减震器。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3.性能参数：</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1)风量风压需满足设计风量风压，且为正偏差，偏差范围不得超过3%；</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2)风机叶轮为悬臂闭式后倾离心式结构；</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3)传动方式为皮带式传动；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4)外壳及叶轮材质：FRP耐酸碱VinylEster(乙烯基脂树脂+无碱玻璃纤维)制作；</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5)叶轮不得采用钢制叶轮包覆玻璃钢形式；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6)轴心材质：45#钢(PTFE套筒)；机架材质：Q235+EPOXY(环氧树脂喷涂)；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7)所有紧固件需采用不锈钢316L做预埋防止腐蚀，外部裸露部分采用塑料帽套，以防止松动；</w:t>
            </w:r>
            <w:r>
              <w:rPr>
                <w:rFonts w:hint="eastAsia"/>
                <w:color w:val="000000" w:themeColor="text1"/>
                <w:lang w:val="en-US" w:bidi="ar"/>
                <w14:textFill>
                  <w14:solidFill>
                    <w14:schemeClr w14:val="tx1"/>
                  </w14:solidFill>
                </w14:textFill>
              </w:rPr>
              <w:br/>
            </w:r>
            <w:r>
              <w:rPr>
                <w:rFonts w:hint="eastAsia"/>
                <w:color w:val="ff0000"/>
                <w:lang w:val="en-US" w:bidi="ar"/>
              </w:rPr>
              <w:t xml:space="preserve">8)电机需电源380V、3相、50HZ、IP55、F级绝缘、B级温升考核；</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9)电机表面油漆亮度为半亚光，漆膜厚度60-115</w:t>
            </w:r>
            <w:r>
              <w:rPr>
                <w:rFonts w:hint="eastAsia"/>
                <w:color w:val="000000" w:themeColor="text1"/>
                <w:lang w:val="en-US"/>
                <w14:textFill>
                  <w14:solidFill>
                    <w14:schemeClr w14:val="tx1"/>
                  </w14:solidFill>
                </w14:textFill>
              </w:rPr>
              <w:t xml:space="preserve">μm</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10)风机外壳需配置清洁孔，以便利于风机叶轮的日常清理；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11)风机需配备弹簧避震器，为防止撞击与腐蚀，避震器外部需采用玻璃钢保护套；</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12)风机底部需配备相对底座及排水清理装置（PVC排水孔）；风机的转子要便于检查清理；</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13)隔振效率应≥85％。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14)风机需加装消音箱，采用玻璃钢面板，铝合金边框，面板内需填充玻璃纤维消音棉，内部采用PP冲孔板固定，进出口配备透明PVC软接。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检测口</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尾气检测口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风机附件</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HDPE软连接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风帽制作</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1.锥形风帽，出口设不锈钢材质防虫网。</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活性炭处理装置</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1.处理风量：≥11000CMH</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2.箱板材质:抗紫外线PP材质，壁厚10mm，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3.颗粒活性炭，碳层厚度150mm，碘吸附值≥800mg/g，风速不高于0.6m/s。</w:t>
            </w:r>
            <w:r>
              <w:rPr>
                <w:rFonts w:hint="eastAsia"/>
                <w:color w:val="000000" w:themeColor="text1"/>
                <w:lang w:val="en-US" w:bidi="ar"/>
                <w14:textFill>
                  <w14:solidFill>
                    <w14:schemeClr w14:val="tx1"/>
                  </w14:solidFill>
                </w14:textFill>
              </w:rPr>
              <w:br/>
            </w:r>
            <w:r>
              <w:rPr>
                <w:rFonts w:hint="eastAsia"/>
                <w:color w:val="ff0000"/>
                <w:lang w:val="en-US" w:bidi="ar"/>
              </w:rPr>
              <w:t xml:space="preserve">4.性能参数：</w:t>
            </w:r>
            <w:r>
              <w:rPr>
                <w:rFonts w:hint="eastAsia"/>
                <w:color w:val="000000" w:themeColor="text1"/>
                <w:lang w:val="en-US" w:bidi="ar"/>
                <w14:textFill>
                  <w14:solidFill>
                    <w14:schemeClr w14:val="tx1"/>
                  </w14:solidFill>
                </w14:textFill>
              </w:rPr>
              <w:br/>
            </w:r>
            <w:r>
              <w:rPr>
                <w:rFonts w:hint="eastAsia"/>
                <w:color w:val="ff0000"/>
                <w:lang w:val="en-US" w:bidi="ar"/>
              </w:rPr>
              <w:t xml:space="preserve">1)本项目实验废气包括材料试验、催化剂试验等，主要污染物为颗粒物、非甲烷总烃，执行《大气污染物综合排放标准》（DB32/4041-2021）中排放限值。</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2)设备正常使用寿命大于15年；</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3)活性炭吸附装置上需要设置温度计、压力表以及超限报警装置，入口应设防火阀，同时活性炭吸附装置上需要设置泄压设施以及与温控联锁的喷淋装置。</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4)活性炭吸附装置两端应装设压差计，当过滤器的阻力超过规定值必需时应及时清理或更换过滤材料。</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5)在吸附操作周期内，吸附了有机废气后吸附床内的温度应低于 83°C当废气处理装置内的温度超过 83℃时应能自动报警并立即启动降温装置。</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6)处理后尾气排放口距离地面20m，且需按照《固定污染源排气中颗粒物测定与气态污染物采样方法》(GB/T 16157-1996)设置检测取样口及检测平台。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立式水洗塔</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1.处理风量：11000CMH</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2.箱板材质:抗紫外线PP材质，壁厚≥10mm，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3.含连体循环水箱，循环水泵，补水管带自动浮球阀。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4.喷淋水洗塔，用于实验室酸雾、碱雾、无机可溶性尾气净化， 结构合理、耐腐蚀、运行稳定、维护方便、噪音低。所有材料、配件满足长期连续运行要求。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1)箱体材质为抗紫外线PP材质，外壳厚度不低于8毫米；焊接牢固、无渗漏、无虚焊。填料采用 PP 多面空心球或鲍尔环，耐酸碱腐蚀、比表面积大、不易堵塞。喷淋管道及管件采用 PP 或 UPVC 耐腐蚀材质，喷嘴为 PP 螺旋喷嘴，雾化均匀、防堵塞。循环水泵采用氟塑料或 PP 耐腐蚀离心泵，除雾装置采用 PP 折流板式除雾器，法兰及密封件耐酸碱腐蚀、密封性良好。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2)循环水泵运行平稳，无异常振动、噪音及泄漏现象。水箱具备低液位保护功能，防止水泵空转。系统可与实验室通风系统联动启停，整体密封可靠，无废气泄漏及喷淋液滴漏。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3)设备正常使用寿命大于15年；</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除雾装置</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1.处理风量：11000CMH</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2.箱板材质:抗紫外线PP材质，壁厚10mm，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3.除雾层厚度不低于300mm。</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w:t>
            </w:r>
            <w:r>
              <w:rPr>
                <w:rStyle w:val="864"/>
                <w:rFonts w:hint="eastAsia"/>
                <w:color w:val="000000" w:themeColor="text1"/>
                <w:lang w:val="en-US"/>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1.规格：320*160，70℃自动关闭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1.规格：320*320，70℃自动关闭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70℃防火调节阀3</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1.规格：400*320，70℃自动关闭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70℃防火调节阀4</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1.规格：500*320，70℃自动关闭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70℃防火调节阀5</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1.规格：630*320，70℃自动关闭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70℃防火调节阀6</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1.规格：630*400，70℃自动关闭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70℃防火调节阀7</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1.规格：800*320，70℃自动关闭</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2.304不锈钢材质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电动风阀阀体</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1.规格：320X200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2.PP材质阀体，不含风阀执行器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手动调节阀1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1.规格：DN110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2.PP材质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手动调节阀2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1.规格：DN160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2.PP材质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手动调节阀3</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1.规格：500*250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2.PP材质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手动调节阀4</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1.规格：500*320</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2.PP材质</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3.含支架制作安装，除锈刷油按设计及规范要求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B1级PP排风管1</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1.规格：直径或长边尺寸≤320mm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2.板材厚度：4mm，B1难燃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3.角铁或C型钢支吊架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4.除锈刷油按设计及规范要求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5.性能要求：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1)化学实验室排风风管采用B1级难燃PP环保防腐风管，风管厚度4~10mm，高强度螺柱法兰连接，内衬密封垫。</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2)风管尺寸需根据图纸设计进行加工，如风管尺寸变更需与业主方确认后方可进行。</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3)在排风主管路预留风量测定孔等，以便于风管系统进行测试和维护。</w:t>
            </w:r>
            <w:r>
              <w:rPr>
                <w:rFonts w:hint="eastAsia"/>
                <w:color w:val="000000" w:themeColor="text1"/>
                <w:lang w:val="en-US" w:bidi="ar"/>
                <w14:textFill>
                  <w14:solidFill>
                    <w14:schemeClr w14:val="tx1"/>
                  </w14:solidFill>
                </w14:textFill>
              </w:rPr>
              <w:br/>
            </w:r>
            <w:r>
              <w:rPr>
                <w:rFonts w:hint="eastAsia"/>
                <w:strike/>
                <w:color w:val="ff0000"/>
                <w:lang w:val="en-US" w:bidi="ar"/>
              </w:rPr>
              <w:t xml:space="preserve">4)风管的制作，应符合通风与空调施工质量验收规范GB50243-2016要求。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5)通风及空调设备与风管连接处均设软接管，软接管材料采用双面涂塑帆布或涂胶帆布，用于空调系统的软接管应采取防结露措施。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6)风量调节阀应安装在便于操作的位置上，并注明开关位置。保温风管的风量调节阀采用保温型，净化系统的风量调节阀，其活动件、固定件、紧固件以及内表面等，应做镀锌或喷塑处理。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B1级PP排风管2</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1.规格：直径或长边尺寸≤500mm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2.板材厚度：5mm，B1难燃</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3.角铁或C型钢支吊架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4.除锈刷油按设计及规范要求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5.性能要求：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1)化学实验室排风风管采用B1级难燃PP环保防腐风管，风管厚度4~10mm，高强度螺柱法兰连接，内衬密封垫。</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2)风管尺寸需根据图纸设计进行加工，如风管尺寸变更需与业主方确认后方可进行。</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3)在排风主管路预留风量测定孔等，以便于风管系统进行测试和维护。</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4)风管的制作，应符合通风与空调施工质量验收规范GB50243-2016要求。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5)通风及空调设备与风管连接处均设软接管，软接管材料采用双面涂塑帆布或涂胶帆布，用于空调系统的软接管应采取防结露措施。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6)风量调节阀应安装在便于操作的位置上，并注明开关位置。保温风管的风量调节阀采用保温型，净化系统的风量调节阀，其活动件、固定件、紧固件以及内表面等，应做镀锌或喷塑处理。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B1级PP排风管3</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1.规格：直径或长边尺寸≤800mm</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2.板材厚度：6mm，B1难燃</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3.角铁或C型钢支吊架                                                 </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4.除锈刷油按设计及规范要求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5.性能要求：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1)化学实验室排风风管采用B1级难燃PP环保防腐风管，风管厚度4~10mm，高强度螺柱法兰连接，内衬密封垫。</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2)风管尺寸需根据图纸设计进行加工，如风管尺寸变更需与业主方确认后方可进行。</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3)在排风主管路预留风量测定孔等，以便于风管系统进行测试和维护。</w:t>
            </w:r>
            <w:r>
              <w:rPr>
                <w:rFonts w:hint="eastAsia"/>
                <w:color w:val="000000" w:themeColor="text1"/>
                <w:lang w:val="en-US" w:bidi="ar"/>
                <w14:textFill>
                  <w14:solidFill>
                    <w14:schemeClr w14:val="tx1"/>
                  </w14:solidFill>
                </w14:textFill>
              </w:rPr>
              <w:br/>
            </w:r>
            <w:r>
              <w:rPr>
                <w:rFonts w:hint="eastAsia"/>
                <w:strike/>
                <w:color w:val="ff0000"/>
                <w:lang w:val="en-US" w:bidi="ar"/>
              </w:rPr>
              <w:t xml:space="preserve">4)风管的制作，应符合通风与空调施工质量验收规范GB50243-2016要求。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5)通风及空调设备与风管连接处均设软接管，软接管材料采用双面涂塑帆布或涂胶帆布，用于空调系统的软接管应采取防结露措施。</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6)风量调节阀应安装在便于操作的位置上，并注明开关位置。保温风管的风量调节阀采用保温型，净化系统的风量调节阀，其活动件、固定件、紧固件以及内表面等，应做镀锌或喷塑处理。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风管、风阀保温</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1.难燃B1级闭孔橡塑保温材料</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2.容重不小于 48kg/m3。</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3.绝热厚度:20mm</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室外风管铝板保护</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1.明露风管保温外保护层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2.采用0.5mm铝板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排风系统调试</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1.1.1风管安装调试</w:t>
            </w:r>
            <w:r>
              <w:rPr>
                <w:rFonts w:hint="eastAsia"/>
                <w:color w:val="000000" w:themeColor="text1"/>
                <w:lang w:val="en-US" w:bidi="ar"/>
                <w14:textFill>
                  <w14:solidFill>
                    <w14:schemeClr w14:val="tx1"/>
                  </w14:solidFill>
                </w14:textFill>
              </w:rPr>
              <w:br/>
            </w:r>
            <w:r>
              <w:rPr>
                <w:rFonts w:hint="eastAsia"/>
                <w:strike/>
                <w:color w:val="ff0000"/>
                <w:lang w:val="en-US" w:bidi="ar"/>
              </w:rPr>
              <w:t xml:space="preserve">1)风管系统的安装，应符合GB50243-2016要求。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2)在风管穿过需要封闭的防火、防爆的墙体或楼板时，应设预埋管或防护套管，其钢板厚度不应小于 1.6mm；风管与防护套管之间，应采用不燃且对人体无危害的柔性材料封堵。</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3)风管在穿过防火、防爆的墙体或楼板等防火分隔物时，应在穿过处设置防火阀。防火分区两侧的防火阀，距离墙表面不应大于200mm，且防火阀设置单独的吊、支架。</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4)风管穿越屋面处应进行防水处理。露天设置的风机电机应加设防雨罩。</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5)风管支吊架采用膨胀螺栓固定。</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6)风管系统安装完毕后，在管道保温工序以前，应按系统类别进行严密性检验。</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1.1.2手动阀、调节阀、防火阀</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1)要求密闭，耐腐蚀，开启灵活。并且符合国家相关规范要求；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2)有阀位指示，定位牢靠，指示牌不易脱落或移位；</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3)风阀叶片和风阀应采用镀锌板制作，转轴两端应有轴密，密封严密；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4)进、排风均应有手动风阀可进行调节；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1.1.3防腐与刷漆</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a.所有通风与空调系统的内外壁均不刷漆，支架、螺栓等刷环氧防腐漆一道。</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b.明露于室外的PP风管的外壁，表面包覆0.5mm铝板，防紫外线照射。</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管井拆除及修复</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建筑砖墙拆除。100mm厚加砌块砖修复，表面无机涂料。</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排风机与尾气处理设备槽钢基础，风管架空钢架工程（钢材是镀锌钢、方管、角钢和槽钢等）。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排风柜变风量控制系统</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显示面板：5寸触摸屏，暗装，用户及系统参数设置（密码保护）；含界面设计及编程，显示面风速、温度、视窗高度、阀门开度、运行状态，独立设置紧急排风按钮、报警消音按钮，风机启停按钮，照明控制按钮，视窗控制按钮；</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2、控制器及电源：面风速设定、控制及报警；紧急排风；风机、照明控制；门高显示及超限报警；485通信接口输入：220VAC，输出24VDC，电源防水IP65；</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3、PP变风量碟阀：直径φ315mm，模压一体成型确保高强度及耐用性，PP材质高耐腐蚀性，带气密环，带流量检测段精确测量排风量；4、变风量风阀执行器：风阀快速执行器；模拟量控制；全程时间2.5S；</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5、流量传感器：量程100-2000M3/h；精度±1%FS；</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6、台式排风柜位移传感器：量程1100mm 精度±1mm 0.6mm包塑不锈钢拉索，自动校准；</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7、区域存在传感器：幕帘式，红外感应，无人时自动将面风速控制在0.3m/s，安全节能；</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8、自动视窗系：1）.无人时自动关闭视窗，安全节能 2）.随动升降 3）.智能自动限高 4）.手动升降 5）.防夹功能；</w:t>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▲对所提供的排风柜变风量阀在400CMH，800CMH和1200CMH的设定风量下，阀前静压设定为-100Pa，-200Pa，-300Pa，-400Pa以及-500Pa，风量偏差小于3.5%的。（提供具有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p>
          <w:p>
            <w:pPr>
              <w:contextualSpacing/>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变风量监控面板，变风量控制器，位移传感器和带风量测量管变风量阀在温度为0℃和50℃的试验检测中，均能正常工作，样品在温度为0℃的试验箱中持续工作2小时。试验中，样品能正常工作。样品在温度为50℃的试验箱中持续工作2小时。试验中，样品能正常工作。（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提供排风柜自动门高控制系统在温度为0℃和50℃的试验检测中，均能正常工作。样品在温度为0℃的试验箱中持续工作2小时。试验中，样品能正常工作。样品在温度为50℃的试验箱中持续工作2小时。试验中，样品能正常工作。（提供具有</w:t>
            </w:r>
            <w:r>
              <w:rPr>
                <w:color w:val="000000" w:themeColor="text1"/>
                <w:lang w:val="en-US" w:bidi="ar"/>
                <w14:textFill>
                  <w14:solidFill>
                    <w14:schemeClr w14:val="tx1"/>
                  </w14:solidFill>
                </w14:textFill>
              </w:rPr>
              <w:t xml:space="preserve">CMA标识的第三方检测机构出具的检测报告复印件并加盖公章</w:t>
            </w:r>
            <w:r>
              <w:rPr>
                <w:rFonts w:hint="eastAsia"/>
                <w:color w:val="000000" w:themeColor="text1"/>
                <w:lang w:val="en-US" w:bidi="ar"/>
                <w14:textFill>
                  <w14:solidFill>
                    <w14:schemeClr w14:val="tx1"/>
                  </w14:solidFill>
                </w14:textFill>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一体化触摸式显示控制面板</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一体触摸面板，二段风阀角度设定、控制；风机、照明控制；风阀开度、照明状态显示；延时关机；输入：220VAC</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电动调节阀</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直径φ315mm，PP材质，安装在风管上，符合管道尺寸；执行器：开关量，3线制2位控制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排风定风量阀</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1.规格：320*200，材质：镀锌钢板，防腐喷涂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2.压力无关型风量调节阀。工作压差范围从50Pa到1000Pa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3.安装时不受位置限制，阀片机构免维护。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排风定风量阀</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1.规格：320*320，材质：镀锌钢板，防腐喷涂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2.压力无关型风量调节阀。工作压差范围从50Pa到1000Pa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3.安装时不受位置限制，阀片机构免维护。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排风定风量阀</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1.规格：320*160，材质：镀锌钢板，防腐喷涂</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2.压力无关型风量调节阀。工作压差范围从50Pa到1000Pa</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3.安装时不受位置限制，阀片机构免维护。</w:t>
            </w:r>
            <w:r/>
          </w:p>
        </w:tc>
      </w:tr>
      <w:tr>
        <w:trPr>
          <w:jc w:val="center"/>
          <w:trHeight w:val="3470"/>
        </w:trPr>
        <w:tc>
          <w:tcPr>
            <w:shd w:val="clear" w:color="auto" w:fill="auto"/>
            <w:tcBorders>
              <w:top w:val="single" w:color="000000" w:sz="4" w:space="0"/>
              <w:left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排风机控制柜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1.柜体：尺寸约800*500*450(W*H*D)，冷轧钢板喷涂，柜内采用九折型材框架，四周可拆卸式封板，室外防雨型，防水等级IP54。</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2.控制器：可编程控制器，包含控制器及扩展模块，AI、AO、DI、DO满足当前控制系统点位需求；支持上位机及触摸屏对接。</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3.编程及调试：按机组控制需求编辑程序，调试系统。</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4.触摸屏：7寸人机界面，带RJ45接口支持以太网通信协议，就地监控排风机组所有状态，如：过滤器堵塞报警，风机频率、运行状况等机组数据采集（密码保护）；含界面设计及编程。</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5.变频器：15kW/380V</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6.网络交换机：以太网,ISO及TCP/IP协议，5口。</w:t>
            </w:r>
            <w:r/>
          </w:p>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7.电气元器件：含指示灯、断路器、开关电源、热继电器、交流接触器、散热风扇、中继、接线端子、柜内部接线等：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7寸排风机监控面板</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带RJ45接口支持以太网通信协议，就地监控排风机组所有状态，如：过滤器堵塞报警，风机频率、运行状况等机组数据采集（密码保护）；含界面设计及编程</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压差开关</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0-500Pa,检测排风活性炭阻塞报警状态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开关型电动风阀执行器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风阀执行器：开关量，3线制2位控制，全程时间35S。</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控制开关（复位型）</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启停排风设备控制，联锁启停风机，开关量，3线制2位控制。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管道静压传感器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可实时测量风管管道静压，并以此作为控制信号完成风机变频调节，0-1000Pa,4-20mA,24VDC</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VOCs传感器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实时检测：VOCs；当超过设定值后触发报警信号</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液位开关</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水位检测，水泵运转防烧干保护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防冻开关</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防冻检测，防止冬季水冻住，水泵运转防烧干保护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水箱PH值监测</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按图施工，排风控制系统线缆敷设，JDG穿管.安装辅材，包括控制线缆及控制箱出线端至设备的动力电缆布置，控制箱搬运到位并固定安装，含材料综合费用；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环境生态学院实验室废水收集及装修改造</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污水处理站位于实验室1楼，地面掩埋式。</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实验室污水收集管道到污水处理站的土建、布管及施工：</w:t>
            </w:r>
            <w:r>
              <w:rPr>
                <w:rFonts w:hint="eastAsia"/>
                <w:color w:val="000000" w:themeColor="text1"/>
                <w:lang w:val="en-US" w:bidi="ar"/>
                <w14:textFill>
                  <w14:solidFill>
                    <w14:schemeClr w14:val="tx1"/>
                  </w14:solidFill>
                </w14:textFill>
              </w:rPr>
              <w:br/>
            </w:r>
            <w:r>
              <w:rPr>
                <w:rFonts w:hint="eastAsia"/>
                <w:color w:val="000000" w:themeColor="text1"/>
                <w:lang w:val="en-US" w:bidi="ar"/>
                <w14:textFill>
                  <w14:solidFill>
                    <w14:schemeClr w14:val="tx1"/>
                  </w14:solidFill>
                </w14:textFill>
              </w:rPr>
              <w:t xml:space="preserve">主要工程量包括：废水干管敷设约100m以内，立管2根共50m左右，实验室支管约50m左右；局部管沟开挖约40m左右，土方量约20m³左右；预留封堵孔洞30处左右，安装阀门附件10套左右；完成系统通水与闭水调试，确保废水稳定接入污水处理站进水口，包含地面修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color w:val="000000" w:themeColor="text1"/>
                <w:lang w:val="en-US" w:bidi="ar"/>
                <w14:textFill>
                  <w14:solidFill>
                    <w14:schemeClr w14:val="tx1"/>
                  </w14:solidFill>
                </w14:textFill>
              </w:rPr>
            </w:pPr>
            <w:r/>
            <w:bookmarkStart w:id="100" w:name="_Toc25538"/>
            <w:r>
              <w:rPr>
                <w:rFonts w:hint="eastAsia"/>
                <w:color w:val="000000" w:themeColor="text1"/>
                <w:lang w:val="en-US"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实验室原顶顶面处理</w:t>
            </w:r>
            <w:r/>
          </w:p>
        </w:tc>
        <w:tc>
          <w:tcPr>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1、吊顶上方墙面、楼板及机电管线采用环氧树脂喷漆，颜色可选。</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2、局部装饰铝板，表面冲孔。铝板覆盖率≥30%。</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3、龙骨采用钢型材，现场喷环氧树脂漆。</w:t>
            </w:r>
            <w:r/>
          </w:p>
          <w:p>
            <w:pPr>
              <w:widowControl/>
              <w:rPr>
                <w:color w:val="000000" w:themeColor="text1"/>
                <w:lang w:val="en-US" w:bidi="ar"/>
                <w14:textFill>
                  <w14:solidFill>
                    <w14:schemeClr w14:val="tx1"/>
                  </w14:solidFill>
                </w14:textFill>
              </w:rPr>
            </w:pPr>
            <w:r>
              <w:rPr>
                <w:rFonts w:hint="eastAsia"/>
                <w:color w:val="000000" w:themeColor="text1"/>
                <w:lang w:val="en-US" w:bidi="ar"/>
                <w14:textFill>
                  <w14:solidFill>
                    <w14:schemeClr w14:val="tx1"/>
                  </w14:solidFill>
                </w14:textFill>
              </w:rPr>
              <w:t xml:space="preserve">4、灯具采用LED条形灯，灯具布置满足房间平均照度≥400lux。</w:t>
            </w:r>
            <w:r/>
          </w:p>
        </w:tc>
      </w:tr>
    </w:tbl>
    <w:p>
      <w:pPr>
        <w:contextualSpacing/>
        <w:ind w:left="482"/>
        <w:jc w:val="both"/>
        <w:spacing w:line="360" w:lineRule="auto"/>
        <w:rPr>
          <w:b/>
          <w:color w:val="000000" w:themeColor="text1"/>
          <w:sz w:val="24"/>
          <w:szCs w:val="32"/>
          <w:lang w:val="en-US"/>
          <w14:textFill>
            <w14:solidFill>
              <w14:schemeClr w14:val="tx1"/>
            </w14:solidFill>
          </w14:textFill>
        </w:rPr>
        <w:outlineLvl w:val="0"/>
      </w:pPr>
      <w:r>
        <w:rPr>
          <w:b/>
          <w:color w:val="000000" w:themeColor="text1"/>
          <w:sz w:val="24"/>
          <w:szCs w:val="32"/>
          <w:lang w:val="en-US"/>
          <w14:textFill>
            <w14:solidFill>
              <w14:schemeClr w14:val="tx1"/>
            </w14:solidFill>
          </w14:textFill>
        </w:rPr>
      </w:r>
      <w:r/>
    </w:p>
    <w:p>
      <w:pPr>
        <w:contextualSpacing/>
        <w:ind w:left="482"/>
        <w:jc w:val="both"/>
        <w:spacing w:line="360" w:lineRule="auto"/>
        <w:rPr>
          <w:b/>
          <w:color w:val="000000" w:themeColor="text1"/>
          <w:sz w:val="24"/>
          <w:szCs w:val="32"/>
          <w:lang w:val="en-US"/>
          <w14:textFill>
            <w14:solidFill>
              <w14:schemeClr w14:val="tx1"/>
            </w14:solidFill>
          </w14:textFill>
        </w:rPr>
        <w:outlineLvl w:val="0"/>
      </w:pPr>
      <w:r>
        <w:rPr>
          <w:rFonts w:hint="eastAsia"/>
          <w:b/>
          <w:color w:val="000000" w:themeColor="text1"/>
          <w:sz w:val="24"/>
          <w:szCs w:val="32"/>
          <w:lang w:val="en-US"/>
          <w14:textFill>
            <w14:solidFill>
              <w14:schemeClr w14:val="tx1"/>
            </w14:solidFill>
          </w14:textFill>
        </w:rPr>
        <w:t xml:space="preserve">三、技术标准与规范要求</w:t>
      </w:r>
      <w:bookmarkEnd w:id="100"/>
      <w:r/>
      <w:r/>
    </w:p>
    <w:p>
      <w:pPr>
        <w:contextualSpacing/>
        <w:ind w:firstLine="480"/>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安装、施工及验收均应符合以下标准：</w:t>
      </w:r>
      <w:r/>
    </w:p>
    <w:p>
      <w:pPr>
        <w:numPr>
          <w:ilvl w:val="0"/>
          <w:numId w:val="0"/>
        </w:numPr>
        <w:contextualSpacing/>
        <w:ind w:left="0" w:firstLine="480"/>
        <w:jc w:val="both"/>
        <w:spacing w:line="360" w:lineRule="auto"/>
        <w:rPr>
          <w:sz w:val="24"/>
          <w:szCs w:val="32"/>
          <w:lang w:val="en-US" w:bidi="ar-SA"/>
        </w:rPr>
      </w:pPr>
      <w:r>
        <w:rPr>
          <w:rFonts w:ascii="宋体" w:hAnsi="宋体" w:eastAsia="宋体" w:cs="宋体"/>
          <w:sz w:val="24"/>
          <w:szCs w:val="32"/>
          <w:lang w:val="en-US" w:eastAsia="zh-CN" w:bidi="ar-SA"/>
        </w:rPr>
        <w:t xml:space="preserve">1)</w:t>
      </w:r>
      <w:r>
        <w:rPr>
          <w:rFonts w:hint="eastAsia"/>
          <w:sz w:val="24"/>
          <w:szCs w:val="32"/>
          <w:lang w:val="en-US" w:bidi="ar-SA"/>
        </w:rPr>
        <w:t xml:space="preserve">《建筑装饰装修工程质量验收</w:t>
      </w:r>
      <w:r>
        <w:rPr>
          <w:rFonts w:hint="eastAsia"/>
          <w:color w:val="ff0000"/>
          <w:sz w:val="24"/>
          <w:szCs w:val="32"/>
          <w:lang w:val="en-US" w:bidi="ar-SA"/>
        </w:rPr>
        <w:t xml:space="preserve">标准</w:t>
      </w:r>
      <w:r>
        <w:rPr>
          <w:rFonts w:hint="eastAsia"/>
          <w:sz w:val="24"/>
          <w:szCs w:val="32"/>
          <w:lang w:val="en-US" w:bidi="ar-SA"/>
        </w:rPr>
        <w:t xml:space="preserve">》GB50210-2018；</w:t>
      </w:r>
      <w:r/>
    </w:p>
    <w:p>
      <w:pPr>
        <w:numPr>
          <w:ilvl w:val="0"/>
          <w:numId w:val="0"/>
        </w:numPr>
        <w:contextualSpacing/>
        <w:ind w:left="0" w:firstLine="480"/>
        <w:jc w:val="both"/>
        <w:spacing w:line="360" w:lineRule="auto"/>
        <w:rPr>
          <w:sz w:val="24"/>
          <w:szCs w:val="32"/>
          <w:lang w:val="en-US" w:bidi="ar-SA"/>
        </w:rPr>
      </w:pPr>
      <w:r>
        <w:rPr>
          <w:rFonts w:ascii="宋体" w:hAnsi="宋体" w:eastAsia="宋体" w:cs="宋体"/>
          <w:sz w:val="24"/>
          <w:szCs w:val="32"/>
          <w:lang w:val="en-US" w:eastAsia="zh-CN" w:bidi="ar-SA"/>
        </w:rPr>
        <w:t xml:space="preserve">2)</w:t>
      </w:r>
      <w:r>
        <w:rPr>
          <w:rFonts w:hint="eastAsia"/>
          <w:sz w:val="24"/>
          <w:szCs w:val="32"/>
          <w:lang w:val="en-US" w:bidi="ar-SA"/>
        </w:rPr>
        <w:t xml:space="preserve">《建筑设计防火规范》GB50016-2025；</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3)</w:t>
      </w:r>
      <w:r>
        <w:rPr>
          <w:rFonts w:hint="eastAsia"/>
          <w:color w:val="000000" w:themeColor="text1"/>
          <w:sz w:val="24"/>
          <w:szCs w:val="32"/>
          <w:lang w:val="en-US" w:bidi="ar-SA"/>
          <w14:textFill>
            <w14:solidFill>
              <w14:schemeClr w14:val="tx1"/>
            </w14:solidFill>
          </w14:textFill>
        </w:rPr>
        <w:t xml:space="preserve">《建筑内部装修设计防火规范》GB50222-2017；</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4)</w:t>
      </w:r>
      <w:r>
        <w:rPr>
          <w:rFonts w:hint="eastAsia"/>
          <w:color w:val="000000" w:themeColor="text1"/>
          <w:sz w:val="24"/>
          <w:szCs w:val="32"/>
          <w:lang w:val="en-US" w:bidi="ar-SA"/>
          <w14:textFill>
            <w14:solidFill>
              <w14:schemeClr w14:val="tx1"/>
            </w14:solidFill>
          </w14:textFill>
        </w:rPr>
        <w:t xml:space="preserve">《供配电系统设计规范》GB50052-2009；</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5)</w:t>
      </w:r>
      <w:r>
        <w:rPr>
          <w:rFonts w:hint="eastAsia"/>
          <w:color w:val="000000" w:themeColor="text1"/>
          <w:sz w:val="24"/>
          <w:szCs w:val="32"/>
          <w:lang w:val="en-US" w:bidi="ar-SA"/>
          <w14:textFill>
            <w14:solidFill>
              <w14:schemeClr w14:val="tx1"/>
            </w14:solidFill>
          </w14:textFill>
        </w:rPr>
        <w:t xml:space="preserve">《低压配电设计规范》GB50054-2011；</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6)</w:t>
      </w:r>
      <w:r>
        <w:rPr>
          <w:rFonts w:hint="eastAsia"/>
          <w:color w:val="000000" w:themeColor="text1"/>
          <w:sz w:val="24"/>
          <w:szCs w:val="32"/>
          <w:lang w:val="en-US" w:bidi="ar-SA"/>
          <w14:textFill>
            <w14:solidFill>
              <w14:schemeClr w14:val="tx1"/>
            </w14:solidFill>
          </w14:textFill>
        </w:rPr>
        <w:t xml:space="preserve">《民用建筑电气设计标准》GB51348-2019；</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7)</w:t>
      </w:r>
      <w:r>
        <w:rPr>
          <w:rFonts w:hint="eastAsia"/>
          <w:color w:val="000000" w:themeColor="text1"/>
          <w:sz w:val="24"/>
          <w:szCs w:val="32"/>
          <w:lang w:val="en-US" w:bidi="ar-SA"/>
          <w14:textFill>
            <w14:solidFill>
              <w14:schemeClr w14:val="tx1"/>
            </w14:solidFill>
          </w14:textFill>
        </w:rPr>
        <w:t xml:space="preserve">《建筑电气与智能化通用规范》GB55024-2022</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8)</w:t>
      </w:r>
      <w:r>
        <w:rPr>
          <w:rFonts w:hint="eastAsia"/>
          <w:color w:val="000000" w:themeColor="text1"/>
          <w:sz w:val="24"/>
          <w:szCs w:val="32"/>
          <w:lang w:val="en-US" w:bidi="ar-SA"/>
          <w14:textFill>
            <w14:solidFill>
              <w14:schemeClr w14:val="tx1"/>
            </w14:solidFill>
          </w14:textFill>
        </w:rPr>
        <w:t xml:space="preserve">《国家</w:t>
      </w:r>
      <w:r>
        <w:rPr>
          <w:rFonts w:hint="eastAsia"/>
          <w:color w:val="ff0000"/>
          <w:sz w:val="24"/>
          <w:szCs w:val="32"/>
          <w:lang w:val="en-US" w:bidi="ar-SA"/>
        </w:rPr>
        <w:t xml:space="preserve">电气</w:t>
      </w:r>
      <w:r>
        <w:rPr>
          <w:rFonts w:hint="eastAsia"/>
          <w:color w:val="000000" w:themeColor="text1"/>
          <w:sz w:val="24"/>
          <w:szCs w:val="32"/>
          <w:lang w:val="en-US" w:bidi="ar-SA"/>
          <w14:textFill>
            <w14:solidFill>
              <w14:schemeClr w14:val="tx1"/>
            </w14:solidFill>
          </w14:textFill>
        </w:rPr>
        <w:t xml:space="preserve">设备安全技术规范》GB19517-2023；</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9)</w:t>
      </w:r>
      <w:r>
        <w:rPr>
          <w:rFonts w:hint="eastAsia"/>
          <w:color w:val="000000" w:themeColor="text1"/>
          <w:sz w:val="24"/>
          <w:szCs w:val="32"/>
          <w:lang w:val="en-US" w:bidi="ar-SA"/>
          <w14:textFill>
            <w14:solidFill>
              <w14:schemeClr w14:val="tx1"/>
            </w14:solidFill>
          </w14:textFill>
        </w:rPr>
        <w:t xml:space="preserve">《通用用电设备配电设计规范》GB50055-2011；</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10)</w:t>
      </w:r>
      <w:r>
        <w:rPr>
          <w:rFonts w:hint="eastAsia"/>
          <w:color w:val="000000" w:themeColor="text1"/>
          <w:sz w:val="24"/>
          <w:szCs w:val="32"/>
          <w:lang w:val="en-US" w:bidi="ar-SA"/>
          <w14:textFill>
            <w14:solidFill>
              <w14:schemeClr w14:val="tx1"/>
            </w14:solidFill>
          </w14:textFill>
        </w:rPr>
        <w:t xml:space="preserve">《建筑电气工程施工质量验收规范》GB50303-2015；</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11)</w:t>
      </w:r>
      <w:r>
        <w:rPr>
          <w:rFonts w:hint="eastAsia"/>
          <w:color w:val="000000" w:themeColor="text1"/>
          <w:sz w:val="24"/>
          <w:szCs w:val="32"/>
          <w:lang w:val="en-US" w:bidi="ar-SA"/>
          <w14:textFill>
            <w14:solidFill>
              <w14:schemeClr w14:val="tx1"/>
            </w14:solidFill>
          </w14:textFill>
        </w:rPr>
        <w:t xml:space="preserve">《建筑给水排水设计</w:t>
      </w:r>
      <w:r>
        <w:rPr>
          <w:rFonts w:hint="eastAsia"/>
          <w:color w:val="ff0000"/>
          <w:sz w:val="24"/>
          <w:szCs w:val="32"/>
          <w:lang w:val="en-US" w:bidi="ar-SA"/>
        </w:rPr>
        <w:t xml:space="preserve">标准</w:t>
      </w:r>
      <w:r>
        <w:rPr>
          <w:rFonts w:hint="eastAsia"/>
          <w:color w:val="000000" w:themeColor="text1"/>
          <w:sz w:val="24"/>
          <w:szCs w:val="32"/>
          <w:lang w:val="en-US" w:bidi="ar-SA"/>
          <w14:textFill>
            <w14:solidFill>
              <w14:schemeClr w14:val="tx1"/>
            </w14:solidFill>
          </w14:textFill>
        </w:rPr>
        <w:t xml:space="preserve">》GB50015-2019；</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12)</w:t>
      </w:r>
      <w:r>
        <w:rPr>
          <w:rFonts w:hint="eastAsia"/>
          <w:color w:val="000000" w:themeColor="text1"/>
          <w:sz w:val="24"/>
          <w:szCs w:val="32"/>
          <w:lang w:val="en-US" w:bidi="ar-SA"/>
          <w14:textFill>
            <w14:solidFill>
              <w14:schemeClr w14:val="tx1"/>
            </w14:solidFill>
          </w14:textFill>
        </w:rPr>
        <w:t xml:space="preserve">《建筑给水排水与节水通用规范》(GB55020-2021)</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13)</w:t>
      </w:r>
      <w:r>
        <w:rPr>
          <w:rFonts w:hint="eastAsia"/>
          <w:color w:val="000000" w:themeColor="text1"/>
          <w:sz w:val="24"/>
          <w:szCs w:val="32"/>
          <w:lang w:val="en-US" w:bidi="ar-SA"/>
          <w14:textFill>
            <w14:solidFill>
              <w14:schemeClr w14:val="tx1"/>
            </w14:solidFill>
          </w14:textFill>
        </w:rPr>
        <w:t xml:space="preserve">《建筑给水排水及采暖工程施工质量验收规范》GB50242-2002</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14)</w:t>
      </w:r>
      <w:r>
        <w:rPr>
          <w:rFonts w:hint="eastAsia"/>
          <w:color w:val="000000" w:themeColor="text1"/>
          <w:sz w:val="24"/>
          <w:szCs w:val="32"/>
          <w:lang w:val="en-US" w:bidi="ar-SA"/>
          <w14:textFill>
            <w14:solidFill>
              <w14:schemeClr w14:val="tx1"/>
            </w14:solidFill>
          </w14:textFill>
        </w:rPr>
        <w:t xml:space="preserve">《建筑给水聚丙烯管道</w:t>
      </w:r>
      <w:r>
        <w:rPr>
          <w:color w:val="ff0000"/>
          <w:sz w:val="24"/>
          <w:szCs w:val="24"/>
        </w:rPr>
        <w:t xml:space="preserve">工程技术标准</w:t>
      </w:r>
      <w:r>
        <w:rPr>
          <w:rFonts w:hint="eastAsia"/>
          <w:color w:val="000000" w:themeColor="text1"/>
          <w:sz w:val="24"/>
          <w:szCs w:val="32"/>
          <w:lang w:val="en-US" w:bidi="ar-SA"/>
          <w14:textFill>
            <w14:solidFill>
              <w14:schemeClr w14:val="tx1"/>
            </w14:solidFill>
          </w14:textFill>
        </w:rPr>
        <w:t xml:space="preserve">》GB/T50349-2020；</w:t>
      </w:r>
      <w:r>
        <w:rPr>
          <w:rFonts w:hint="eastAsia"/>
          <w:color w:val="ff0000"/>
          <w:sz w:val="24"/>
          <w:szCs w:val="32"/>
          <w:lang w:val="en-US" w:bidi="ar-SA"/>
        </w:rPr>
        <w:t xml:space="preserve"> </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15)</w:t>
      </w:r>
      <w:r>
        <w:rPr>
          <w:rFonts w:hint="eastAsia"/>
          <w:color w:val="000000" w:themeColor="text1"/>
          <w:sz w:val="24"/>
          <w:szCs w:val="32"/>
          <w:lang w:val="en-US" w:bidi="ar-SA"/>
          <w14:textFill>
            <w14:solidFill>
              <w14:schemeClr w14:val="tx1"/>
            </w14:solidFill>
          </w14:textFill>
        </w:rPr>
        <w:t xml:space="preserve">《建筑材料及制品燃烧性能分级》GB8624-2012；</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16)</w:t>
      </w:r>
      <w:r>
        <w:rPr>
          <w:rFonts w:hint="eastAsia"/>
          <w:color w:val="000000" w:themeColor="text1"/>
          <w:sz w:val="24"/>
          <w:szCs w:val="32"/>
          <w:lang w:val="en-US" w:bidi="ar-SA"/>
          <w14:textFill>
            <w14:solidFill>
              <w14:schemeClr w14:val="tx1"/>
            </w14:solidFill>
          </w14:textFill>
        </w:rPr>
        <w:t xml:space="preserve">《建筑材料放射性核素限量》GB6566-2020；</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17)</w:t>
      </w:r>
      <w:r>
        <w:rPr>
          <w:rFonts w:hint="eastAsia"/>
          <w:color w:val="000000" w:themeColor="text1"/>
          <w:sz w:val="24"/>
          <w:szCs w:val="32"/>
          <w:lang w:val="en-US" w:bidi="ar-SA"/>
          <w14:textFill>
            <w14:solidFill>
              <w14:schemeClr w14:val="tx1"/>
            </w14:solidFill>
          </w14:textFill>
        </w:rPr>
        <w:t xml:space="preserve">《科研建筑设计标准》JGJ91-2019；</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18)</w:t>
      </w:r>
      <w:r>
        <w:rPr>
          <w:rFonts w:hint="eastAsia"/>
          <w:color w:val="000000" w:themeColor="text1"/>
          <w:sz w:val="24"/>
          <w:szCs w:val="32"/>
          <w:lang w:val="en-US" w:bidi="ar-SA"/>
          <w14:textFill>
            <w14:solidFill>
              <w14:schemeClr w14:val="tx1"/>
            </w14:solidFill>
          </w14:textFill>
        </w:rPr>
        <w:t xml:space="preserve">《实验室家具通用技术条件》GB/T 24820-2024；</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19)</w:t>
      </w:r>
      <w:r>
        <w:rPr>
          <w:rFonts w:hint="eastAsia"/>
          <w:color w:val="000000" w:themeColor="text1"/>
          <w:sz w:val="24"/>
          <w:szCs w:val="32"/>
          <w:lang w:val="en-US" w:bidi="ar-SA"/>
          <w14:textFill>
            <w14:solidFill>
              <w14:schemeClr w14:val="tx1"/>
            </w14:solidFill>
          </w14:textFill>
        </w:rPr>
        <w:t xml:space="preserve">《金属家具通用技术条件》GB/T3325-2024 ；</w:t>
      </w:r>
      <w:r/>
    </w:p>
    <w:p>
      <w:pPr>
        <w:numPr>
          <w:ilvl w:val="0"/>
          <w:numId w:val="0"/>
        </w:numPr>
        <w:contextualSpacing/>
        <w:ind w:left="0" w:firstLine="480"/>
        <w:jc w:val="both"/>
        <w:spacing w:line="360" w:lineRule="auto"/>
        <w:rPr>
          <w:color w:val="ff0000"/>
          <w:sz w:val="24"/>
          <w:szCs w:val="32"/>
          <w:lang w:val="en-US" w:bidi="ar-SA"/>
        </w:rPr>
      </w:pPr>
      <w:r>
        <w:rPr>
          <w:rFonts w:ascii="宋体" w:hAnsi="宋体" w:eastAsia="宋体" w:cs="宋体"/>
          <w:color w:val="ff0000"/>
          <w:sz w:val="24"/>
          <w:szCs w:val="32"/>
          <w:lang w:val="en-US" w:eastAsia="zh-CN" w:bidi="ar-SA"/>
        </w:rPr>
        <w:t xml:space="preserve">20)</w:t>
      </w:r>
      <w:r>
        <w:rPr>
          <w:rFonts w:hint="eastAsia"/>
          <w:color w:val="ff0000"/>
          <w:sz w:val="24"/>
          <w:szCs w:val="32"/>
          <w:lang w:val="en-US" w:bidi="ar-SA"/>
        </w:rPr>
        <w:t xml:space="preserve">《人造板及饰面人造板理化性能试验方法》GB/T17657-2022；</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21)</w:t>
      </w:r>
      <w:r>
        <w:rPr>
          <w:rFonts w:hint="eastAsia"/>
          <w:color w:val="000000" w:themeColor="text1"/>
          <w:sz w:val="24"/>
          <w:szCs w:val="32"/>
          <w:lang w:val="en-US" w:bidi="ar-SA"/>
          <w14:textFill>
            <w14:solidFill>
              <w14:schemeClr w14:val="tx1"/>
            </w14:solidFill>
          </w14:textFill>
        </w:rPr>
        <w:t xml:space="preserve">《室内装饰装修材料人造板及其制品中甲醛释放限量》GB/T18580-2017；</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22)</w:t>
      </w:r>
      <w:r>
        <w:rPr>
          <w:rFonts w:hint="eastAsia"/>
          <w:color w:val="000000" w:themeColor="text1"/>
          <w:sz w:val="24"/>
          <w:szCs w:val="32"/>
          <w:lang w:val="en-US" w:bidi="ar-SA"/>
          <w14:textFill>
            <w14:solidFill>
              <w14:schemeClr w14:val="tx1"/>
            </w14:solidFill>
          </w14:textFill>
        </w:rPr>
        <w:t xml:space="preserve">《家具中有害物质限量》GB18584-2024；</w:t>
      </w:r>
      <w:r/>
    </w:p>
    <w:p>
      <w:pPr>
        <w:numPr>
          <w:ilvl w:val="0"/>
          <w:numId w:val="0"/>
        </w:numPr>
        <w:contextualSpacing/>
        <w:ind w:left="0" w:firstLine="480"/>
        <w:jc w:val="both"/>
        <w:spacing w:line="360" w:lineRule="auto"/>
        <w:rPr>
          <w:color w:val="000000" w:themeColor="text1"/>
          <w:sz w:val="24"/>
          <w:szCs w:val="32"/>
          <w:lang w:val="en-US" w:bidi="ar-SA"/>
          <w14:textFill>
            <w14:solidFill>
              <w14:schemeClr w14:val="tx1"/>
            </w14:solidFill>
          </w14:textFill>
        </w:rPr>
      </w:pPr>
      <w:r>
        <w:rPr>
          <w:rFonts w:ascii="宋体" w:hAnsi="宋体" w:eastAsia="宋体" w:cs="宋体"/>
          <w:color w:val="000000" w:themeColor="text1"/>
          <w:sz w:val="24"/>
          <w:szCs w:val="32"/>
          <w:lang w:val="en-US" w:eastAsia="zh-CN" w:bidi="ar-SA"/>
          <w14:textFill>
            <w14:solidFill>
              <w14:schemeClr w14:val="tx1"/>
            </w14:solidFill>
          </w14:textFill>
        </w:rPr>
        <w:t xml:space="preserve">23)</w:t>
      </w:r>
      <w:r>
        <w:rPr>
          <w:rFonts w:hint="eastAsia"/>
          <w:color w:val="000000" w:themeColor="text1"/>
          <w:sz w:val="24"/>
          <w:szCs w:val="32"/>
          <w:lang w:val="en-US" w:bidi="ar-SA"/>
          <w14:textFill>
            <w14:solidFill>
              <w14:schemeClr w14:val="tx1"/>
            </w14:solidFill>
          </w14:textFill>
        </w:rPr>
        <w:t xml:space="preserve">实验室现有条件要求及其它相应标准规范。</w:t>
      </w:r>
      <w:r/>
    </w:p>
    <w:p>
      <w:pPr>
        <w:contextualSpacing/>
        <w:ind w:firstLine="480"/>
        <w:spacing w:line="360" w:lineRule="auto"/>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本项目所采购的产品及产品主要材料均执行国家、行业最新标准，本项目招标文件技术要求及参数与上述最新国家标准、行业标准相悖的，以最新国家标准、行业标准为准。</w:t>
      </w:r>
      <w:r/>
    </w:p>
    <w:p>
      <w:pPr>
        <w:contextualSpacing/>
        <w:spacing w:line="360" w:lineRule="auto"/>
        <w:rPr>
          <w:b/>
          <w:color w:val="000000" w:themeColor="text1"/>
          <w:sz w:val="24"/>
          <w:szCs w:val="32"/>
          <w:lang w:val="en-US"/>
          <w14:textFill>
            <w14:solidFill>
              <w14:schemeClr w14:val="tx1"/>
            </w14:solidFill>
          </w14:textFill>
        </w:rPr>
      </w:pPr>
      <w:r>
        <w:rPr>
          <w:rFonts w:hint="eastAsia"/>
          <w:b/>
          <w:color w:val="000000" w:themeColor="text1"/>
          <w:sz w:val="24"/>
          <w:szCs w:val="32"/>
          <w14:textFill>
            <w14:solidFill>
              <w14:schemeClr w14:val="tx1"/>
            </w14:solidFill>
          </w14:textFill>
        </w:rPr>
        <w:t xml:space="preserve">四、</w:t>
      </w:r>
      <w:r>
        <w:rPr>
          <w:rFonts w:hint="eastAsia"/>
          <w:b/>
          <w:color w:val="000000" w:themeColor="text1"/>
          <w:sz w:val="24"/>
          <w:szCs w:val="32"/>
          <w:lang w:val="en-US"/>
          <w14:textFill>
            <w14:solidFill>
              <w14:schemeClr w14:val="tx1"/>
            </w14:solidFill>
          </w14:textFill>
        </w:rPr>
        <w:t xml:space="preserve">商务要求：</w:t>
      </w:r>
      <w:r/>
    </w:p>
    <w:p>
      <w:pPr>
        <w:ind w:firstLine="480"/>
        <w:spacing w:line="360" w:lineRule="auto"/>
        <w:rPr>
          <w:color w:val="000000" w:themeColor="text1"/>
          <w:sz w:val="24"/>
          <w:szCs w:val="32"/>
          <w:lang w:val="en-US" w:bidi="ar-SA"/>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1、交付时间：自合同签订之日起75个工作日。</w:t>
      </w:r>
      <w:r/>
    </w:p>
    <w:p>
      <w:pPr>
        <w:pStyle w:val="1080"/>
        <w:ind w:firstLine="480"/>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2、交付地点：采购人指定地点。</w:t>
      </w:r>
      <w:r/>
    </w:p>
    <w:p>
      <w:pPr>
        <w:pStyle w:val="1080"/>
        <w:ind w:firstLine="480"/>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3、项目验收：项目涉及所有软硬件设备需安全调试满足正常使用。</w:t>
      </w:r>
      <w:r/>
    </w:p>
    <w:p>
      <w:pPr>
        <w:pStyle w:val="1080"/>
        <w:ind w:firstLine="480"/>
        <w:rPr>
          <w:color w:val="000000" w:themeColor="text1"/>
          <w:sz w:val="24"/>
          <w:szCs w:val="32"/>
          <w:lang w:val="en-US" w:bidi="ar-SA"/>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（1）项目验收需提供但不限于设计图、水电图等项目建设所需的材料；</w:t>
      </w:r>
      <w:r/>
    </w:p>
    <w:p>
      <w:pPr>
        <w:pStyle w:val="1080"/>
        <w:ind w:firstLine="480"/>
        <w:rPr>
          <w:color w:val="000000" w:themeColor="text1"/>
          <w:sz w:val="24"/>
          <w:szCs w:val="32"/>
          <w14:textFill>
            <w14:solidFill>
              <w14:schemeClr w14:val="tx1"/>
            </w14:solidFill>
          </w14:textFill>
        </w:rPr>
      </w:pPr>
      <w:r>
        <w:rPr>
          <w:rFonts w:hint="eastAsia"/>
          <w:color w:val="000000" w:themeColor="text1"/>
          <w:sz w:val="24"/>
          <w:szCs w:val="32"/>
          <w:lang w:val="en-US" w:bidi="ar-SA"/>
          <w14:textFill>
            <w14:solidFill>
              <w14:schemeClr w14:val="tx1"/>
            </w14:solidFill>
          </w14:textFill>
        </w:rPr>
        <w:t xml:space="preserve">（2）项目涉及所有软硬件设备需安全调试满足正常使用，所有涉及基地装修改造的需提供有相关资质的第三方验收报告（费用由中标方承担）后方可申请验收。</w:t>
      </w:r>
      <w:r/>
    </w:p>
    <w:p>
      <w:pPr>
        <w:spacing w:line="360" w:lineRule="auto"/>
        <w:rPr>
          <w:b/>
          <w:color w:val="000000" w:themeColor="text1"/>
          <w:sz w:val="24"/>
          <w:szCs w:val="32"/>
          <w:lang w:val="en-US"/>
          <w14:textFill>
            <w14:solidFill>
              <w14:schemeClr w14:val="tx1"/>
            </w14:solidFill>
          </w14:textFill>
        </w:rPr>
      </w:pPr>
      <w:r>
        <w:rPr>
          <w:rFonts w:hint="eastAsia"/>
          <w:b/>
          <w:color w:val="000000" w:themeColor="text1"/>
          <w:sz w:val="24"/>
          <w:szCs w:val="32"/>
          <w:lang w:val="en-US"/>
          <w14:textFill>
            <w14:solidFill>
              <w14:schemeClr w14:val="tx1"/>
            </w14:solidFill>
          </w14:textFill>
        </w:rPr>
        <w:t xml:space="preserve">四、样品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1、供应商需提交以下样品：</w:t>
      </w:r>
      <w:r/>
    </w:p>
    <w:p>
      <w:pPr>
        <w:ind w:firstLine="480"/>
        <w:spacing w:line="360" w:lineRule="auto"/>
        <w:widowControl/>
        <w:rPr>
          <w:color w:val="000000" w:themeColor="text1"/>
          <w:sz w:val="24"/>
          <w:szCs w:val="24"/>
          <w:lang w:val="en-US"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（1）样品清单</w:t>
      </w:r>
      <w:r>
        <w:rPr>
          <w:rStyle w:val="864"/>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bidi="ar"/>
          <w14:textFill>
            <w14:solidFill>
              <w14:schemeClr w14:val="tx1"/>
            </w14:solidFill>
          </w14:textFill>
        </w:rPr>
        <w:t xml:space="preserve"> </w:t>
      </w:r>
      <w:r/>
    </w:p>
    <w:p>
      <w:pPr>
        <w:pStyle w:val="819"/>
        <w:ind w:firstLine="240"/>
        <w:spacing w:line="360" w:lineRule="auto"/>
        <w:rPr>
          <w:b w:val="0"/>
          <w:bCs w:val="0"/>
          <w:color w:val="000000" w:themeColor="text1"/>
          <w:sz w:val="24"/>
          <w:szCs w:val="24"/>
          <w:lang w:val="en-US" w:bidi="ar"/>
          <w14:textFill>
            <w14:solidFill>
              <w14:schemeClr w14:val="tx1"/>
            </w14:solidFill>
          </w14:textFill>
        </w:rPr>
      </w:pPr>
      <w:r>
        <w:rPr>
          <w:rFonts w:hint="eastAsia"/>
          <w:b w:val="0"/>
          <w:bCs w:val="0"/>
          <w:color w:val="000000" w:themeColor="text1"/>
          <w:sz w:val="24"/>
          <w:szCs w:val="24"/>
          <w:lang w:val="en-US" w:bidi="ar"/>
          <w14:textFill>
            <w14:solidFill>
              <w14:schemeClr w14:val="tx1"/>
            </w14:solidFill>
          </w14:textFill>
        </w:rPr>
        <w:t xml:space="preserve">1）清单中“中央实验台</w:t>
      </w:r>
      <w:r>
        <w:rPr>
          <w:b w:val="0"/>
          <w:bCs w:val="0"/>
          <w:color w:val="000000" w:themeColor="text1"/>
          <w:sz w:val="24"/>
          <w:szCs w:val="24"/>
          <w:lang w:val="en-US" w:bidi="ar"/>
          <w14:textFill>
            <w14:solidFill>
              <w14:schemeClr w14:val="tx1"/>
            </w14:solidFill>
          </w14:textFill>
        </w:rPr>
        <w:t xml:space="preserve"> 1</w:t>
      </w:r>
      <w:r>
        <w:rPr>
          <w:rFonts w:hint="eastAsia"/>
          <w:b w:val="0"/>
          <w:bCs w:val="0"/>
          <w:color w:val="000000" w:themeColor="text1"/>
          <w:sz w:val="24"/>
          <w:szCs w:val="24"/>
          <w:lang w:val="en-US" w:bidi="ar"/>
          <w14:textFill>
            <w14:solidFill>
              <w14:schemeClr w14:val="tx1"/>
            </w14:solidFill>
          </w14:textFill>
        </w:rPr>
        <w:t xml:space="preserve">”所用钢板小样(带表面喷涂)一块：尺寸</w:t>
      </w:r>
      <w:r>
        <w:rPr>
          <w:b w:val="0"/>
          <w:bCs w:val="0"/>
          <w:color w:val="000000" w:themeColor="text1"/>
          <w:sz w:val="24"/>
          <w:szCs w:val="24"/>
          <w:lang w:val="en-US" w:bidi="ar"/>
          <w14:textFill>
            <w14:solidFill>
              <w14:schemeClr w14:val="tx1"/>
            </w14:solidFill>
          </w14:textFill>
        </w:rPr>
        <w:t xml:space="preserve">215mm×150mm×1.2mm</w:t>
      </w:r>
      <w:r>
        <w:rPr>
          <w:rFonts w:hint="eastAsia"/>
          <w:b w:val="0"/>
          <w:bCs w:val="0"/>
          <w:color w:val="000000" w:themeColor="text1"/>
          <w:sz w:val="24"/>
          <w:szCs w:val="24"/>
          <w:lang w:val="en-US" w:bidi="ar"/>
          <w14:textFill>
            <w14:solidFill>
              <w14:schemeClr w14:val="tx1"/>
            </w14:solidFill>
          </w14:textFill>
        </w:rPr>
        <w:t xml:space="preserve"> </w:t>
      </w:r>
      <w:r/>
    </w:p>
    <w:p>
      <w:pPr>
        <w:pStyle w:val="819"/>
        <w:ind w:firstLine="240"/>
        <w:spacing w:line="360" w:lineRule="auto"/>
        <w:rPr>
          <w:b w:val="0"/>
          <w:bCs w:val="0"/>
          <w:color w:val="000000" w:themeColor="text1"/>
          <w:sz w:val="24"/>
          <w:szCs w:val="24"/>
          <w:lang w:val="en-US" w:bidi="ar"/>
          <w14:textFill>
            <w14:solidFill>
              <w14:schemeClr w14:val="tx1"/>
            </w14:solidFill>
          </w14:textFill>
        </w:rPr>
      </w:pPr>
      <w:r>
        <w:rPr>
          <w:rFonts w:hint="eastAsia"/>
          <w:b w:val="0"/>
          <w:bCs w:val="0"/>
          <w:color w:val="000000" w:themeColor="text1"/>
          <w:sz w:val="24"/>
          <w:szCs w:val="24"/>
          <w:lang w:val="en-US" w:bidi="ar"/>
          <w14:textFill>
            <w14:solidFill>
              <w14:schemeClr w14:val="tx1"/>
            </w14:solidFill>
          </w14:textFill>
        </w:rPr>
        <w:t xml:space="preserve">2）提供“中央实验台</w:t>
      </w:r>
      <w:r>
        <w:rPr>
          <w:b w:val="0"/>
          <w:bCs w:val="0"/>
          <w:color w:val="000000" w:themeColor="text1"/>
          <w:sz w:val="24"/>
          <w:szCs w:val="24"/>
          <w:lang w:val="en-US" w:bidi="ar"/>
          <w14:textFill>
            <w14:solidFill>
              <w14:schemeClr w14:val="tx1"/>
            </w14:solidFill>
          </w14:textFill>
        </w:rPr>
        <w:t xml:space="preserve"> 1</w:t>
      </w:r>
      <w:r>
        <w:rPr>
          <w:rFonts w:hint="eastAsia"/>
          <w:b w:val="0"/>
          <w:bCs w:val="0"/>
          <w:color w:val="000000" w:themeColor="text1"/>
          <w:sz w:val="24"/>
          <w:szCs w:val="24"/>
          <w:lang w:val="en-US" w:bidi="ar"/>
          <w14:textFill>
            <w14:solidFill>
              <w14:schemeClr w14:val="tx1"/>
            </w14:solidFill>
          </w14:textFill>
        </w:rPr>
        <w:t xml:space="preserve">”陶瓷台面样品（每种颜色一块），尺寸</w:t>
      </w:r>
      <w:r>
        <w:rPr>
          <w:b w:val="0"/>
          <w:bCs w:val="0"/>
          <w:color w:val="000000" w:themeColor="text1"/>
          <w:sz w:val="24"/>
          <w:szCs w:val="24"/>
          <w:lang w:val="en-US" w:bidi="ar"/>
          <w14:textFill>
            <w14:solidFill>
              <w14:schemeClr w14:val="tx1"/>
            </w14:solidFill>
          </w14:textFill>
        </w:rPr>
        <w:t xml:space="preserve">160mm*120mm(长X宽)，22mm厚</w:t>
      </w:r>
      <w:r/>
    </w:p>
    <w:p>
      <w:pPr>
        <w:ind w:firstLine="480"/>
        <w:spacing w:line="360" w:lineRule="auto"/>
        <w:widowControl/>
        <w:rPr>
          <w:color w:val="000000" w:themeColor="text1"/>
          <w:sz w:val="24"/>
          <w:szCs w:val="24"/>
          <w:lang w:val="en-US"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lang w:val="en-US" w:bidi="ar"/>
          <w14:textFill>
            <w14:solidFill>
              <w14:schemeClr w14:val="tx1"/>
            </w14:solidFill>
          </w14:textFill>
        </w:rPr>
        <w:t xml:space="preserve">（2）样品要求：</w:t>
      </w:r>
      <w:r>
        <w:rPr>
          <w:color w:val="000000" w:themeColor="text1"/>
          <w:sz w:val="24"/>
          <w:szCs w:val="24"/>
          <w:lang w:val="en-US" w:bidi="ar"/>
          <w14:textFill>
            <w14:solidFill>
              <w14:schemeClr w14:val="tx1"/>
            </w14:solidFill>
          </w14:textFill>
        </w:rPr>
        <w:t xml:space="preserve"> </w:t>
      </w:r>
      <w:r/>
    </w:p>
    <w:p>
      <w:pPr>
        <w:pStyle w:val="819"/>
        <w:ind w:firstLine="240"/>
        <w:spacing w:line="360" w:lineRule="auto"/>
        <w:rPr>
          <w:b w:val="0"/>
          <w:bCs w:val="0"/>
          <w:color w:val="000000" w:themeColor="text1"/>
          <w:sz w:val="24"/>
          <w:szCs w:val="24"/>
          <w:lang w:val="en-US" w:bidi="ar"/>
          <w14:textFill>
            <w14:solidFill>
              <w14:schemeClr w14:val="tx1"/>
            </w14:solidFill>
          </w14:textFill>
        </w:rPr>
      </w:pPr>
      <w:r>
        <w:rPr>
          <w:rFonts w:hint="eastAsia"/>
          <w:b w:val="0"/>
          <w:bCs w:val="0"/>
          <w:color w:val="000000" w:themeColor="text1"/>
          <w:sz w:val="24"/>
          <w:szCs w:val="24"/>
          <w:lang w:val="en-US" w:bidi="ar"/>
          <w14:textFill>
            <w14:solidFill>
              <w14:schemeClr w14:val="tx1"/>
            </w14:solidFill>
          </w14:textFill>
        </w:rPr>
        <w:t xml:space="preserve">1）实验台所用钢材小样一块： 小样的材料质量和尺寸符合招标文件技术要求和样品要求；小样的喷涂层均匀无色差、无斑点、无流疤等缺陷</w:t>
      </w:r>
      <w:r/>
    </w:p>
    <w:p>
      <w:pPr>
        <w:pStyle w:val="819"/>
        <w:ind w:firstLine="240"/>
        <w:spacing w:line="360" w:lineRule="auto"/>
        <w:rPr>
          <w:b w:val="0"/>
          <w:bCs w:val="0"/>
          <w:color w:val="000000" w:themeColor="text1"/>
          <w:sz w:val="24"/>
          <w:szCs w:val="24"/>
          <w:lang w:val="en-US" w:bidi="ar"/>
          <w14:textFill>
            <w14:solidFill>
              <w14:schemeClr w14:val="tx1"/>
            </w14:solidFill>
          </w14:textFill>
        </w:rPr>
      </w:pPr>
      <w:r>
        <w:rPr>
          <w:rFonts w:hint="eastAsia"/>
          <w:b w:val="0"/>
          <w:bCs w:val="0"/>
          <w:color w:val="000000" w:themeColor="text1"/>
          <w:sz w:val="24"/>
          <w:szCs w:val="24"/>
          <w:lang w:val="en-US" w:bidi="ar"/>
          <w14:textFill>
            <w14:solidFill>
              <w14:schemeClr w14:val="tx1"/>
            </w14:solidFill>
          </w14:textFill>
        </w:rPr>
        <w:t xml:space="preserve">2）提供陶瓷台面样品（每种颜色一块）:</w:t>
      </w:r>
      <w:r>
        <w:rPr>
          <w:rFonts w:hint="eastAsia"/>
          <w:color w:val="000000" w:themeColor="text1"/>
          <w14:textFill>
            <w14:solidFill>
              <w14:schemeClr w14:val="tx1"/>
            </w14:solidFill>
          </w14:textFill>
        </w:rPr>
        <w:t xml:space="preserve"> </w:t>
      </w:r>
      <w:r>
        <w:rPr>
          <w:rFonts w:hint="eastAsia"/>
          <w:b w:val="0"/>
          <w:bCs w:val="0"/>
          <w:color w:val="000000" w:themeColor="text1"/>
          <w:sz w:val="24"/>
          <w:szCs w:val="24"/>
          <w:lang w:val="en-US" w:bidi="ar"/>
          <w14:textFill>
            <w14:solidFill>
              <w14:schemeClr w14:val="tx1"/>
            </w14:solidFill>
          </w14:textFill>
        </w:rPr>
        <w:t xml:space="preserve">可见截面耐污，颜色至少包含有黑色系、绿色系、蓝色系、白色系、灰色系、紫色系、斑点灰色系等</w:t>
      </w:r>
      <w:r>
        <w:rPr>
          <w:b w:val="0"/>
          <w:bCs w:val="0"/>
          <w:color w:val="000000" w:themeColor="text1"/>
          <w:sz w:val="24"/>
          <w:szCs w:val="24"/>
          <w:lang w:val="en-US" w:bidi="ar"/>
          <w14:textFill>
            <w14:solidFill>
              <w14:schemeClr w14:val="tx1"/>
            </w14:solidFill>
          </w14:textFill>
        </w:rPr>
        <w:t xml:space="preserve">7种颜色</w:t>
      </w:r>
      <w:r>
        <w:rPr>
          <w:rFonts w:hint="eastAsia"/>
          <w:b w:val="0"/>
          <w:bCs w:val="0"/>
          <w:color w:val="000000" w:themeColor="text1"/>
          <w:sz w:val="24"/>
          <w:szCs w:val="24"/>
          <w:lang w:val="en-US" w:bidi="ar"/>
          <w14:textFill>
            <w14:solidFill>
              <w14:schemeClr w14:val="tx1"/>
            </w14:solidFill>
          </w14:textFill>
        </w:rPr>
        <w:t xml:space="preserve">;</w:t>
      </w:r>
      <w:r>
        <w:rPr>
          <w:rFonts w:hint="eastAsia"/>
          <w:color w:val="000000" w:themeColor="text1"/>
          <w14:textFill>
            <w14:solidFill>
              <w14:schemeClr w14:val="tx1"/>
            </w14:solidFill>
          </w14:textFill>
        </w:rPr>
        <w:t xml:space="preserve"> </w:t>
      </w:r>
      <w:r>
        <w:rPr>
          <w:rFonts w:hint="eastAsia"/>
          <w:b w:val="0"/>
          <w:bCs w:val="0"/>
          <w:color w:val="000000" w:themeColor="text1"/>
          <w:sz w:val="24"/>
          <w:szCs w:val="24"/>
          <w:lang w:val="en-US" w:bidi="ar"/>
          <w14:textFill>
            <w14:solidFill>
              <w14:schemeClr w14:val="tx1"/>
            </w14:solidFill>
          </w14:textFill>
        </w:rPr>
        <w:t xml:space="preserve">四周倒角不小于</w:t>
      </w:r>
      <w:r>
        <w:rPr>
          <w:b w:val="0"/>
          <w:bCs w:val="0"/>
          <w:color w:val="000000" w:themeColor="text1"/>
          <w:sz w:val="24"/>
          <w:szCs w:val="24"/>
          <w:lang w:val="en-US" w:bidi="ar"/>
          <w14:textFill>
            <w14:solidFill>
              <w14:schemeClr w14:val="tx1"/>
            </w14:solidFill>
          </w14:textFill>
        </w:rPr>
        <w:t xml:space="preserve">R10的圆角，细节处理精细，手感细腻，颜色色泽均匀，尺寸规整表面无破损、无毛刺、无起泡、无刺激性异味</w:t>
      </w:r>
      <w:r>
        <w:rPr>
          <w:rFonts w:hint="eastAsia"/>
          <w:b w:val="0"/>
          <w:bCs w:val="0"/>
          <w:color w:val="000000" w:themeColor="text1"/>
          <w:sz w:val="24"/>
          <w:szCs w:val="24"/>
          <w:lang w:val="en-US" w:bidi="ar"/>
          <w14:textFill>
            <w14:solidFill>
              <w14:schemeClr w14:val="tx1"/>
            </w14:solidFill>
          </w14:textFill>
        </w:rPr>
        <w:t xml:space="preserve">。</w:t>
      </w:r>
      <w:r/>
    </w:p>
    <w:p>
      <w:pPr>
        <w:ind w:firstLine="72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样品递交时间及相关注意事项：</w:t>
      </w:r>
      <w:r/>
    </w:p>
    <w:p>
      <w:pPr>
        <w:ind w:firstLine="48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1）样品递交时间：</w:t>
      </w:r>
      <w:r>
        <w:rPr>
          <w:rFonts w:hint="eastAsia"/>
          <w:color w:val="ff0000"/>
          <w:sz w:val="24"/>
          <w:szCs w:val="24"/>
          <w:lang w:eastAsia="zh-CN"/>
        </w:rPr>
        <w:t xml:space="preserve">2026年5月25日</w:t>
      </w:r>
      <w:r>
        <w:rPr>
          <w:rFonts w:hint="eastAsia"/>
          <w:color w:val="ff0000"/>
          <w:sz w:val="24"/>
          <w:szCs w:val="24"/>
          <w:lang w:val="en-US" w:eastAsia="zh-CN"/>
        </w:rPr>
        <w:t xml:space="preserve">上午9</w:t>
      </w:r>
      <w:r>
        <w:rPr>
          <w:color w:val="ff0000"/>
          <w:sz w:val="24"/>
          <w:szCs w:val="24"/>
        </w:rPr>
        <w:t xml:space="preserve">:00起至</w:t>
      </w:r>
      <w:r>
        <w:rPr>
          <w:rFonts w:hint="eastAsia"/>
          <w:color w:val="ff0000"/>
          <w:sz w:val="24"/>
          <w:szCs w:val="24"/>
          <w:lang w:val="en-US" w:eastAsia="zh-CN"/>
        </w:rPr>
        <w:t xml:space="preserve">9</w:t>
      </w:r>
      <w:r>
        <w:rPr>
          <w:color w:val="ff0000"/>
          <w:sz w:val="24"/>
          <w:szCs w:val="24"/>
        </w:rPr>
        <w:t xml:space="preserve">:</w:t>
      </w:r>
      <w:r>
        <w:rPr>
          <w:rFonts w:hint="eastAsia"/>
          <w:color w:val="ff0000"/>
          <w:sz w:val="24"/>
          <w:szCs w:val="24"/>
          <w:lang w:val="en-US" w:eastAsia="zh-CN"/>
        </w:rPr>
        <w:t xml:space="preserve">30</w:t>
      </w:r>
      <w:r>
        <w:rPr>
          <w:color w:val="ff0000"/>
          <w:sz w:val="24"/>
          <w:szCs w:val="24"/>
        </w:rPr>
        <w:t xml:space="preserve">止</w:t>
      </w:r>
      <w:r>
        <w:rPr>
          <w:color w:val="000000" w:themeColor="text1"/>
          <w:sz w:val="24"/>
          <w:szCs w:val="24"/>
          <w14:textFill>
            <w14:solidFill>
              <w14:schemeClr w14:val="tx1"/>
            </w14:solidFill>
          </w14:textFill>
        </w:rPr>
        <w:t xml:space="preserve">，在此期间样品由投标人自行保管。采</w:t>
      </w:r>
      <w:r>
        <w:rPr>
          <w:rFonts w:hint="eastAsia"/>
          <w:color w:val="000000" w:themeColor="text1"/>
          <w:sz w:val="24"/>
          <w:szCs w:val="24"/>
          <w14:textFill>
            <w14:solidFill>
              <w14:schemeClr w14:val="tx1"/>
            </w14:solidFill>
          </w14:textFill>
        </w:rPr>
        <w:t xml:space="preserve">代理机构</w:t>
      </w:r>
      <w:r>
        <w:rPr>
          <w:color w:val="000000" w:themeColor="text1"/>
          <w:sz w:val="24"/>
          <w:szCs w:val="24"/>
          <w14:textFill>
            <w14:solidFill>
              <w14:schemeClr w14:val="tx1"/>
            </w14:solidFill>
          </w14:textFill>
        </w:rPr>
        <w:t xml:space="preserve">不接收在样品递交截止时间后递交的样品。</w:t>
      </w:r>
      <w:r/>
    </w:p>
    <w:p>
      <w:pPr>
        <w:ind w:firstLine="48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2）样品递交地点：</w:t>
      </w:r>
      <w:r>
        <w:rPr>
          <w:rFonts w:hint="eastAsia"/>
          <w:color w:val="000000" w:themeColor="text1"/>
          <w:sz w:val="24"/>
          <w:szCs w:val="24"/>
          <w14:textFill>
            <w14:solidFill>
              <w14:schemeClr w14:val="tx1"/>
            </w14:solidFill>
          </w14:textFill>
        </w:rPr>
        <w:t xml:space="preserve">南京鼓楼区中山路</w:t>
      </w:r>
      <w:r>
        <w:rPr>
          <w:color w:val="000000" w:themeColor="text1"/>
          <w:sz w:val="24"/>
          <w:szCs w:val="24"/>
          <w14:textFill>
            <w14:solidFill>
              <w14:schemeClr w14:val="tx1"/>
            </w14:solidFill>
          </w14:textFill>
        </w:rPr>
        <w:t xml:space="preserve">99</w:t>
      </w:r>
      <w:r>
        <w:rPr>
          <w:rFonts w:hint="eastAsia"/>
          <w:color w:val="000000" w:themeColor="text1"/>
          <w:sz w:val="24"/>
          <w:szCs w:val="24"/>
          <w14:textFill>
            <w14:solidFill>
              <w14:schemeClr w14:val="tx1"/>
            </w14:solidFill>
          </w14:textFill>
        </w:rPr>
        <w:t xml:space="preserve">号1</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楼1</w:t>
      </w:r>
      <w:r>
        <w:rPr>
          <w:color w:val="000000" w:themeColor="text1"/>
          <w:sz w:val="24"/>
          <w:szCs w:val="24"/>
          <w14:textFill>
            <w14:solidFill>
              <w14:schemeClr w14:val="tx1"/>
            </w14:solidFill>
          </w14:textFill>
        </w:rPr>
        <w:t xml:space="preserve">212</w:t>
      </w:r>
      <w:r>
        <w:rPr>
          <w:rFonts w:hint="eastAsia"/>
          <w:color w:val="000000" w:themeColor="text1"/>
          <w:sz w:val="24"/>
          <w:szCs w:val="24"/>
          <w14:textFill>
            <w14:solidFill>
              <w14:schemeClr w14:val="tx1"/>
            </w14:solidFill>
          </w14:textFill>
        </w:rPr>
        <w:t xml:space="preserve">室</w:t>
      </w:r>
      <w:r>
        <w:rPr>
          <w:color w:val="000000" w:themeColor="text1"/>
          <w:sz w:val="24"/>
          <w:szCs w:val="24"/>
          <w14:textFill>
            <w14:solidFill>
              <w14:schemeClr w14:val="tx1"/>
            </w14:solidFill>
          </w14:textFill>
        </w:rPr>
        <w:t xml:space="preserve">。联系人：</w:t>
      </w:r>
      <w:r>
        <w:rPr>
          <w:rFonts w:hint="eastAsia"/>
          <w:color w:val="000000" w:themeColor="text1"/>
          <w:sz w:val="24"/>
          <w:szCs w:val="24"/>
          <w14:textFill>
            <w14:solidFill>
              <w14:schemeClr w14:val="tx1"/>
            </w14:solidFill>
          </w14:textFill>
        </w:rPr>
        <w:t xml:space="preserve">南京苏宁工程咨询有限公司</w:t>
      </w:r>
      <w:r>
        <w:rPr>
          <w:color w:val="000000" w:themeColor="text1"/>
          <w:sz w:val="24"/>
          <w:szCs w:val="24"/>
          <w14:textFill>
            <w14:solidFill>
              <w14:schemeClr w14:val="tx1"/>
            </w14:solidFill>
          </w14:textFill>
        </w:rPr>
        <w:t xml:space="preserve">  电话：025-84200819  </w:t>
      </w:r>
      <w:r/>
    </w:p>
    <w:p>
      <w:pPr>
        <w:ind w:firstLine="48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3）投标人递交样品时应服从现场工作人员要求，按要求递交样品并签到，不得翻看他人样品及进行拍照，投标人如出现违法违规行为的，视为未提交样品并按照相应法律追究责任。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w:t>
      </w:r>
      <w:bookmarkStart w:id="106" w:name="_GoBack"/>
      <w:r/>
      <w:bookmarkEnd w:id="106"/>
      <w:r>
        <w:rPr>
          <w:color w:val="000000" w:themeColor="text1"/>
          <w:sz w:val="24"/>
          <w:szCs w:val="24"/>
          <w14:textFill>
            <w14:solidFill>
              <w14:schemeClr w14:val="tx1"/>
            </w14:solidFill>
          </w14:textFill>
        </w:rPr>
        <w:t xml:space="preserve">别投标人的标识的，一律视为未提交样品。各供应商应同时准备相应大小的塑料布等对自身递交的样品进行遮盖。</w:t>
      </w:r>
      <w:r/>
    </w:p>
    <w:p>
      <w:pPr>
        <w:ind w:firstLine="48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4）供应商不得破坏或损毁其他供应商的样品，也不得对其他供应商的样品拍照、录像。</w:t>
      </w:r>
      <w:r/>
    </w:p>
    <w:p>
      <w:pPr>
        <w:ind w:firstLine="48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5）中标供应商递交的样品由采购人负责保管、封存并作为履约验收的依据，不再退还中标供应商。未中标供应商递交的样品在采购结果公告期结束后3个工作日内，通知未中标供应商自行取回，逾期未取回，视同供应商放弃样品所有权，由采购人自行处置。</w:t>
      </w:r>
      <w:r/>
    </w:p>
    <w:p>
      <w:pPr>
        <w:ind w:firstLine="480"/>
        <w:spacing w:line="360" w:lineRule="auto"/>
        <w:widowControl/>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6）所有样品的制作、包装、运输等费用</w:t>
      </w:r>
      <w:r>
        <w:rPr>
          <w:rFonts w:hint="eastAsia"/>
          <w:color w:val="000000" w:themeColor="text1"/>
          <w:sz w:val="24"/>
          <w:szCs w:val="24"/>
          <w14:textFill>
            <w14:solidFill>
              <w14:schemeClr w14:val="tx1"/>
            </w14:solidFill>
          </w14:textFill>
        </w:rPr>
        <w:t xml:space="preserve">供应商</w:t>
      </w:r>
      <w:r>
        <w:rPr>
          <w:color w:val="000000" w:themeColor="text1"/>
          <w:sz w:val="24"/>
          <w:szCs w:val="24"/>
          <w14:textFill>
            <w14:solidFill>
              <w14:schemeClr w14:val="tx1"/>
            </w14:solidFill>
          </w14:textFill>
        </w:rPr>
        <w:t xml:space="preserve">自行承担。</w:t>
      </w:r>
      <w:r/>
    </w:p>
    <w:p>
      <w:pPr>
        <w:spacing w:line="360" w:lineRule="auto"/>
        <w:rPr>
          <w:color w:val="000000" w:themeColor="text1"/>
          <w:sz w:val="24"/>
          <w:szCs w:val="32"/>
          <w14:textFill>
            <w14:solidFill>
              <w14:schemeClr w14:val="tx1"/>
            </w14:solidFill>
          </w14:textFill>
        </w:rPr>
      </w:pPr>
      <w:r>
        <w:rPr>
          <w:rFonts w:hint="eastAsia"/>
          <w:b/>
          <w:color w:val="000000" w:themeColor="text1"/>
          <w:sz w:val="24"/>
          <w:szCs w:val="32"/>
          <w14:textFill>
            <w14:solidFill>
              <w14:schemeClr w14:val="tx1"/>
            </w14:solidFill>
          </w14:textFill>
        </w:rPr>
        <w:t xml:space="preserve">六</w:t>
      </w:r>
      <w:r>
        <w:rPr>
          <w:b/>
          <w:color w:val="000000" w:themeColor="text1"/>
          <w:sz w:val="24"/>
          <w:szCs w:val="32"/>
          <w14:textFill>
            <w14:solidFill>
              <w14:schemeClr w14:val="tx1"/>
            </w14:solidFill>
          </w14:textFill>
        </w:rPr>
        <w:t xml:space="preserve">、</w:t>
      </w:r>
      <w:r>
        <w:rPr>
          <w:rFonts w:hint="eastAsia"/>
          <w:b/>
          <w:color w:val="000000" w:themeColor="text1"/>
          <w:sz w:val="24"/>
          <w:szCs w:val="32"/>
          <w:lang w:val="en-US"/>
          <w14:textFill>
            <w14:solidFill>
              <w14:schemeClr w14:val="tx1"/>
            </w14:solidFill>
          </w14:textFill>
        </w:rPr>
        <w:t xml:space="preserve">其他</w:t>
      </w:r>
      <w:r>
        <w:rPr>
          <w:b/>
          <w:color w:val="000000" w:themeColor="text1"/>
          <w:sz w:val="24"/>
          <w:szCs w:val="32"/>
          <w14:textFill>
            <w14:solidFill>
              <w14:schemeClr w14:val="tx1"/>
            </w14:solidFill>
          </w14:textFill>
        </w:rPr>
        <w:t xml:space="preserve">要求</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1、项目方案</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本项目供应商应根据招标文件项目需求和本项目特点，进行项目重点和难点分析，制订项目实施方案，实施方案应做到完整全面、科学可行，并有针对性的实施方案。</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提供本项目货物采购的保障方案：组织上应成立专项项目组，配备持相关资质证书的项目管理师、技术专家及现场监理人员，明确岗位职责及协作流程；为保证软硬件采购渠道合规且质量可控，需提供主要设备原厂授权及质保；在项目实施期间，供应该商应制定详细的安全管理措施，确保施工过程中的安全无事故，如发生安全事故，由供应商全权承担。</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针对本项目的要求做出设备采购周期表和流程：制定合理的项目实施计划，明确各阶段的时间节点，确保项目按时交付使用；需建立有效的沟通协调机制，及时解决施工过程中出现的问题，确保项目顺利进行。</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项目售后维保服务要求：售后服务方案需包含但不限于售后服务内容、应急故障响应、售后维修人员配置，定期巡检回访机制等。</w:t>
      </w:r>
      <w:r/>
    </w:p>
    <w:p>
      <w:pPr>
        <w:ind w:firstLine="420"/>
        <w:spacing w:line="360" w:lineRule="auto"/>
        <w:rPr>
          <w:color w:val="000000" w:themeColor="text1"/>
          <w:sz w:val="24"/>
          <w:szCs w:val="32"/>
          <w:lang w:val="en-US" w:bidi="ar-SA"/>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bCs/>
          <w:color w:val="000000" w:themeColor="text1"/>
          <w:sz w:val="24"/>
          <w:szCs w:val="32"/>
          <w:lang w:val="en-US"/>
          <w14:textFill>
            <w14:solidFill>
              <w14:schemeClr w14:val="tx1"/>
            </w14:solidFill>
          </w14:textFill>
        </w:rPr>
        <w:t xml:space="preserve">投标方须承诺所有设备质保期不少于2年，承诺7×24小时远程技术支持响应，提供本项目后期维保人员名单。</w:t>
      </w:r>
      <w:r>
        <w:rPr>
          <w:rFonts w:hint="eastAsia"/>
          <w:b/>
          <w:bCs/>
          <w:color w:val="000000" w:themeColor="text1"/>
          <w:szCs w:val="21"/>
          <w:u w:val="single"/>
          <w14:textFill>
            <w14:solidFill>
              <w14:schemeClr w14:val="tx1"/>
            </w14:solidFill>
          </w14:textFill>
        </w:rPr>
        <w:t xml:space="preserve">（投标人需提供书面盖章承诺书）</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2、付款方式</w:t>
      </w:r>
      <w:r/>
    </w:p>
    <w:p>
      <w:pPr>
        <w:ind w:firstLine="480"/>
        <w:spacing w:line="360" w:lineRule="auto"/>
        <w:rPr>
          <w:color w:val="000000" w:themeColor="text1"/>
          <w:sz w:val="24"/>
          <w:szCs w:val="32"/>
          <w:lang w:val="en-US" w:bidi="ar-SA"/>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本项目不要求履约保证金，合同签订后，中标供应商实施完成项目并通过采购人组织的验收后10个工作日，凭对应金额正式发票采购人支付合同总价的95％给中标人；项目验收合格后一年后付款5%。</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3、报价要求</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1）厂家应充分考虑所有可能影响到报价的价格及政策等风险因素，一旦中标，服务总价将包定，一律不予调整。在服务过程中，如发现有漏项，卖方应无条件服务，所发生的一切费用，视为已包含在卖方的投标报价之中。</w:t>
      </w:r>
      <w:r/>
    </w:p>
    <w:p>
      <w:pPr>
        <w:ind w:firstLine="480"/>
        <w:spacing w:line="360" w:lineRule="auto"/>
        <w:rPr>
          <w:bCs/>
          <w:color w:val="000000" w:themeColor="text1"/>
          <w:sz w:val="24"/>
          <w:szCs w:val="32"/>
          <w:lang w:val="en-US"/>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（2）厂家的任何错漏、优惠、竞争性报价不得作为减轻责任、减少服务、增加收费、降低质量的理由。</w:t>
      </w:r>
      <w:r/>
    </w:p>
    <w:p>
      <w:pPr>
        <w:ind w:firstLine="480"/>
        <w:spacing w:line="360" w:lineRule="auto"/>
        <w:rPr>
          <w:color w:val="000000" w:themeColor="text1"/>
          <w:sz w:val="24"/>
          <w:szCs w:val="32"/>
          <w:lang w:val="en-US" w:bidi="ar-SA"/>
          <w14:textFill>
            <w14:solidFill>
              <w14:schemeClr w14:val="tx1"/>
            </w14:solidFill>
          </w14:textFill>
        </w:rPr>
      </w:pPr>
      <w:r>
        <w:rPr>
          <w:rFonts w:hint="eastAsia"/>
          <w:bCs/>
          <w:color w:val="000000" w:themeColor="text1"/>
          <w:sz w:val="24"/>
          <w:szCs w:val="32"/>
          <w:lang w:val="en-US"/>
          <w14:textFill>
            <w14:solidFill>
              <w14:schemeClr w14:val="tx1"/>
            </w14:solidFill>
          </w14:textFill>
        </w:rPr>
        <w:t xml:space="preserve">（3）中标人必须按照招标文件要求、投标文件中的承诺以及采购合同内容严格履行本项目。</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br w:type="page" w:clear="all"/>
      </w:r>
      <w:r/>
    </w:p>
    <w:p>
      <w:pPr>
        <w:pStyle w:val="903"/>
        <w:rPr>
          <w:color w:val="000000" w:themeColor="text1"/>
          <w14:textFill>
            <w14:solidFill>
              <w14:schemeClr w14:val="tx1"/>
            </w14:solidFill>
          </w14:textFill>
        </w:rPr>
      </w:pPr>
      <w:r>
        <w:rPr>
          <w:color w:val="000000" w:themeColor="text1"/>
          <w14:textFill>
            <w14:solidFill>
              <w14:schemeClr w14:val="tx1"/>
            </w14:solidFill>
          </w14:textFill>
        </w:rPr>
      </w:r>
      <w:r/>
    </w:p>
    <w:p>
      <w:pPr>
        <w:ind w:right="40"/>
        <w:jc w:val="center"/>
        <w:spacing w:before="29"/>
        <w:tabs>
          <w:tab w:val="left" w:pos="1439" w:leader="none"/>
        </w:tabs>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第五章</w:t>
      </w:r>
      <w:bookmarkEnd w:id="21"/>
      <w:r/>
      <w:bookmarkStart w:id="101" w:name="_Toc11634"/>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合同主要条款及格式</w:t>
      </w:r>
      <w:r/>
    </w:p>
    <w:p>
      <w:pPr>
        <w:ind w:right="396"/>
        <w:jc w:val="center"/>
        <w:spacing w:before="261"/>
        <w:rPr>
          <w:rFonts w:ascii="微软雅黑" w:eastAsia="微软雅黑"/>
          <w:b/>
          <w:color w:val="000000" w:themeColor="text1"/>
          <w:sz w:val="48"/>
          <w14:textFill>
            <w14:solidFill>
              <w14:schemeClr w14:val="tx1"/>
            </w14:solidFill>
          </w14:textFill>
        </w:rPr>
      </w:pPr>
      <w:r>
        <w:rPr>
          <w:rFonts w:ascii="微软雅黑"/>
          <w:b/>
          <w:color w:val="000000" w:themeColor="text1"/>
          <w:sz w:val="21"/>
          <w:szCs w:val="24"/>
          <w14:textFill>
            <w14:solidFill>
              <w14:schemeClr w14:val="tx1"/>
            </w14:solidFill>
          </w14:textFill>
        </w:rPr>
        <w:t xml:space="preserve">（仅供参考，供应商可在采购人的要求下就合同文本做相应调整）</w:t>
      </w:r>
      <w:r/>
    </w:p>
    <w:p>
      <w:pPr>
        <w:spacing w:after="145" w:line="360" w:lineRule="auto"/>
        <w:widowControl/>
        <w:rPr>
          <w:rFonts w:ascii="Calibri" w:hAnsi="Calibri"/>
          <w:color w:val="000000" w:themeColor="text1"/>
          <w:sz w:val="24"/>
          <w14:textFill>
            <w14:solidFill>
              <w14:schemeClr w14:val="tx1"/>
            </w14:solidFill>
          </w14:textFill>
        </w:rPr>
      </w:pPr>
      <w:r>
        <w:rPr>
          <w:rFonts w:hint="eastAsia" w:ascii="黑体" w:hAnsi="Calibri" w:eastAsia="黑体"/>
          <w:b/>
          <w:color w:val="000000" w:themeColor="text1"/>
          <w:sz w:val="24"/>
          <w14:textFill>
            <w14:solidFill>
              <w14:schemeClr w14:val="tx1"/>
            </w14:solidFill>
          </w14:textFill>
        </w:rPr>
        <w:t xml:space="preserve">合同编号：</w:t>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spacing w:line="360" w:lineRule="auto"/>
        <w:widowControl/>
        <w:rPr>
          <w:rFonts w:ascii="Calibri" w:hAnsi="Calibri"/>
          <w:color w:val="000000" w:themeColor="text1"/>
          <w14:textFill>
            <w14:solidFill>
              <w14:schemeClr w14:val="tx1"/>
            </w14:solidFill>
          </w14:textFill>
        </w:rPr>
      </w:pPr>
      <w:r>
        <w:rPr>
          <w:rFonts w:ascii="Calibri" w:hAnsi="Calibri"/>
          <w:color w:val="000000" w:themeColor="text1"/>
          <w14:textFill>
            <w14:solidFill>
              <w14:schemeClr w14:val="tx1"/>
            </w14:solidFill>
          </w14:textFill>
        </w:rPr>
      </w:r>
      <w:r/>
    </w:p>
    <w:p>
      <w:pPr>
        <w:jc w:val="center"/>
        <w:spacing w:line="360" w:lineRule="auto"/>
        <w:widowControl/>
        <w:tabs>
          <w:tab w:val="left" w:pos="360" w:leader="none"/>
          <w:tab w:val="left" w:pos="540" w:leader="none"/>
        </w:tabs>
        <w:rPr>
          <w:rFonts w:ascii="黑体" w:hAnsi="Calibri" w:eastAsia="黑体"/>
          <w:color w:val="000000" w:themeColor="text1"/>
          <w:sz w:val="52"/>
          <w14:textFill>
            <w14:solidFill>
              <w14:schemeClr w14:val="tx1"/>
            </w14:solidFill>
          </w14:textFill>
        </w:rPr>
      </w:pPr>
      <w:r>
        <w:rPr>
          <w:rFonts w:hint="eastAsia" w:ascii="黑体" w:hAnsi="Calibri" w:eastAsia="黑体"/>
          <w:color w:val="000000" w:themeColor="text1"/>
          <w:sz w:val="52"/>
          <w14:textFill>
            <w14:solidFill>
              <w14:schemeClr w14:val="tx1"/>
            </w14:solidFill>
          </w14:textFill>
        </w:rPr>
        <w:t xml:space="preserve">    政府采购合同（货物类）</w:t>
      </w:r>
      <w:r/>
    </w:p>
    <w:p>
      <w:pPr>
        <w:jc w:val="center"/>
        <w:spacing w:line="360" w:lineRule="auto"/>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jc w:val="center"/>
        <w:spacing w:line="360" w:lineRule="auto"/>
        <w:widowControl/>
        <w:rPr>
          <w:rFonts w:ascii="黑体" w:hAnsi="Calibri" w:eastAsia="黑体"/>
          <w:b/>
          <w:color w:val="000000" w:themeColor="text1"/>
          <w:sz w:val="28"/>
          <w:szCs w:val="28"/>
          <w14:textFill>
            <w14:solidFill>
              <w14:schemeClr w14:val="tx1"/>
            </w14:solidFill>
          </w14:textFill>
        </w:rPr>
      </w:pPr>
      <w:r>
        <w:rPr>
          <w:rFonts w:ascii="黑体" w:hAnsi="Calibri" w:eastAsia="黑体"/>
          <w:b/>
          <w:color w:val="000000" w:themeColor="text1"/>
          <w:sz w:val="28"/>
          <w:szCs w:val="28"/>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spacing w:line="360" w:lineRule="auto"/>
        <w:widowControl/>
        <w:rPr>
          <w:rFonts w:ascii="黑体" w:hAnsi="Calibri" w:eastAsia="黑体"/>
          <w:color w:val="000000" w:themeColor="text1"/>
          <w:sz w:val="32"/>
          <w14:textFill>
            <w14:solidFill>
              <w14:schemeClr w14:val="tx1"/>
            </w14:solidFill>
          </w14:textFill>
        </w:rPr>
      </w:pPr>
      <w:r>
        <w:rPr>
          <w:rFonts w:ascii="黑体" w:hAnsi="Calibri" w:eastAsia="黑体"/>
          <w:color w:val="000000" w:themeColor="text1"/>
          <w:sz w:val="32"/>
          <w14:textFill>
            <w14:solidFill>
              <w14:schemeClr w14:val="tx1"/>
            </w14:solidFill>
          </w14:textFill>
        </w:rPr>
      </w:r>
      <w:r/>
    </w:p>
    <w:p>
      <w:pPr>
        <w:ind w:left="40" w:firstLine="800"/>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项目名称：</w:t>
      </w:r>
      <w:r>
        <w:rPr>
          <w:rFonts w:hint="eastAsia" w:ascii="黑体" w:eastAsia="黑体"/>
          <w:color w:val="000000" w:themeColor="text1"/>
          <w:sz w:val="32"/>
          <w:szCs w:val="32"/>
          <w:u w:val="single"/>
          <w14:textFill>
            <w14:solidFill>
              <w14:schemeClr w14:val="tx1"/>
            </w14:solidFill>
          </w14:textFill>
        </w:rPr>
        <w:t xml:space="preserve">                                     </w:t>
      </w:r>
      <w:r/>
    </w:p>
    <w:p>
      <w:pPr>
        <w:ind w:left="40" w:firstLine="800"/>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ind w:left="40" w:firstLine="800"/>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甲    方：</w:t>
      </w:r>
      <w:r>
        <w:rPr>
          <w:rFonts w:hint="eastAsia" w:ascii="黑体" w:eastAsia="黑体"/>
          <w:color w:val="000000" w:themeColor="text1"/>
          <w:sz w:val="32"/>
          <w:szCs w:val="32"/>
          <w:u w:val="single"/>
          <w14:textFill>
            <w14:solidFill>
              <w14:schemeClr w14:val="tx1"/>
            </w14:solidFill>
          </w14:textFill>
        </w:rPr>
        <w:t xml:space="preserve">      </w:t>
      </w:r>
      <w:r>
        <w:rPr>
          <w:rFonts w:ascii="黑体" w:eastAsia="黑体"/>
          <w:color w:val="000000" w:themeColor="text1"/>
          <w:sz w:val="32"/>
          <w:szCs w:val="32"/>
          <w:u w:val="single"/>
          <w14:textFill>
            <w14:solidFill>
              <w14:schemeClr w14:val="tx1"/>
            </w14:solidFill>
          </w14:textFill>
        </w:rPr>
        <w:t xml:space="preserve">      </w:t>
      </w:r>
      <w:r>
        <w:rPr>
          <w:rFonts w:hint="eastAsia" w:ascii="黑体" w:eastAsia="黑体"/>
          <w:color w:val="000000" w:themeColor="text1"/>
          <w:sz w:val="32"/>
          <w:szCs w:val="32"/>
          <w:u w:val="single"/>
          <w14:textFill>
            <w14:solidFill>
              <w14:schemeClr w14:val="tx1"/>
            </w14:solidFill>
          </w14:textFill>
        </w:rPr>
        <w:t xml:space="preserve">江苏开放大学             </w:t>
      </w:r>
      <w:r/>
    </w:p>
    <w:p>
      <w:pPr>
        <w:ind w:left="40" w:firstLine="800"/>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360" w:lineRule="auto"/>
        <w:widowControl/>
        <w:rPr>
          <w:rFonts w:ascii="黑体"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eastAsia="黑体"/>
          <w:color w:val="000000" w:themeColor="text1"/>
          <w:sz w:val="32"/>
          <w:szCs w:val="32"/>
          <w14:textFill>
            <w14:solidFill>
              <w14:schemeClr w14:val="tx1"/>
            </w14:solidFill>
          </w14:textFill>
        </w:rPr>
        <w:t xml:space="preserve">乙    方：</w:t>
      </w:r>
      <w:r>
        <w:rPr>
          <w:rFonts w:hint="eastAsia" w:ascii="黑体" w:eastAsia="黑体"/>
          <w:color w:val="000000" w:themeColor="text1"/>
          <w:sz w:val="32"/>
          <w:szCs w:val="32"/>
          <w:u w:val="single"/>
          <w14:textFill>
            <w14:solidFill>
              <w14:schemeClr w14:val="tx1"/>
            </w14:solidFill>
          </w14:textFill>
        </w:rPr>
        <w:t xml:space="preserve">         </w:t>
      </w:r>
      <w:r>
        <w:rPr>
          <w:rFonts w:ascii="黑体" w:eastAsia="黑体"/>
          <w:color w:val="000000" w:themeColor="text1"/>
          <w:sz w:val="32"/>
          <w:szCs w:val="32"/>
          <w:u w:val="single"/>
          <w14:textFill>
            <w14:solidFill>
              <w14:schemeClr w14:val="tx1"/>
            </w14:solidFill>
          </w14:textFill>
        </w:rPr>
        <w:t xml:space="preserve">      </w:t>
      </w:r>
      <w:r>
        <w:rPr>
          <w:rFonts w:hint="eastAsia" w:ascii="黑体" w:eastAsia="黑体"/>
          <w:color w:val="000000" w:themeColor="text1"/>
          <w:sz w:val="32"/>
          <w:szCs w:val="32"/>
          <w:u w:val="single"/>
          <w14:textFill>
            <w14:solidFill>
              <w14:schemeClr w14:val="tx1"/>
            </w14:solidFill>
          </w14:textFill>
        </w:rPr>
        <w:t xml:space="preserve">                      </w:t>
      </w:r>
      <w:r/>
    </w:p>
    <w:p>
      <w:pPr>
        <w:spacing w:line="360" w:lineRule="auto"/>
        <w:widowControl/>
        <w:rPr>
          <w:rFonts w:ascii="黑体" w:hAnsi="Calibri" w:eastAsia="黑体"/>
          <w:color w:val="000000" w:themeColor="text1"/>
          <w:sz w:val="32"/>
          <w:szCs w:val="32"/>
          <w:u w:val="single"/>
          <w14:textFill>
            <w14:solidFill>
              <w14:schemeClr w14:val="tx1"/>
            </w14:solidFill>
          </w14:textFill>
        </w:rPr>
      </w:pPr>
      <w:r>
        <w:rPr>
          <w:rFonts w:ascii="黑体" w:hAnsi="Calibri" w:eastAsia="黑体"/>
          <w:color w:val="000000" w:themeColor="text1"/>
          <w:sz w:val="32"/>
          <w:szCs w:val="32"/>
          <w:u w:val="single"/>
          <w14:textFill>
            <w14:solidFill>
              <w14:schemeClr w14:val="tx1"/>
            </w14:solidFill>
          </w14:textFill>
        </w:rPr>
      </w:r>
      <w:r/>
    </w:p>
    <w:p>
      <w:pPr>
        <w:spacing w:line="360" w:lineRule="auto"/>
        <w:widowControl/>
        <w:rPr>
          <w:rFonts w:ascii="黑体" w:hAnsi="Calibri" w:eastAsia="黑体"/>
          <w:color w:val="000000" w:themeColor="text1"/>
          <w:sz w:val="32"/>
          <w:szCs w:val="32"/>
          <w:u w:val="single"/>
          <w14:textFill>
            <w14:solidFill>
              <w14:schemeClr w14:val="tx1"/>
            </w14:solidFill>
          </w14:textFill>
        </w:rPr>
      </w:pPr>
      <w:r>
        <w:rPr>
          <w:rFonts w:hint="eastAsia" w:ascii="黑体" w:hAnsi="Calibri" w:eastAsia="黑体"/>
          <w:color w:val="000000" w:themeColor="text1"/>
          <w:sz w:val="32"/>
          <w:szCs w:val="32"/>
          <w14:textFill>
            <w14:solidFill>
              <w14:schemeClr w14:val="tx1"/>
            </w14:solidFill>
          </w14:textFill>
        </w:rPr>
        <w:tab/>
      </w:r>
      <w:r>
        <w:rPr>
          <w:rFonts w:hint="eastAsia" w:ascii="黑体" w:eastAsia="黑体"/>
          <w:color w:val="000000" w:themeColor="text1"/>
          <w:sz w:val="32"/>
          <w:szCs w:val="32"/>
          <w14:textFill>
            <w14:solidFill>
              <w14:schemeClr w14:val="tx1"/>
            </w14:solidFill>
          </w14:textFill>
        </w:rPr>
        <w:t xml:space="preserve">签订时间：</w:t>
      </w:r>
      <w:r>
        <w:rPr>
          <w:rFonts w:hint="eastAsia" w:ascii="黑体" w:eastAsia="黑体"/>
          <w:color w:val="000000" w:themeColor="text1"/>
          <w:sz w:val="32"/>
          <w:szCs w:val="32"/>
          <w:u w:val="single"/>
          <w14:textFill>
            <w14:solidFill>
              <w14:schemeClr w14:val="tx1"/>
            </w14:solidFill>
          </w14:textFill>
        </w:rPr>
        <w:t xml:space="preserve">                                     </w:t>
      </w:r>
      <w:r/>
    </w:p>
    <w:p>
      <w:pPr>
        <w:pStyle w:val="840"/>
        <w:ind w:firstLine="495"/>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40"/>
        <w:ind w:firstLine="495"/>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40"/>
        <w:spacing w:before="120" w:after="120"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840"/>
        <w:ind w:firstLine="49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江苏开放大学环境生态学院实验室建设及安装项目</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合同</w:t>
      </w:r>
      <w:r/>
    </w:p>
    <w:p>
      <w:pPr>
        <w:pStyle w:val="840"/>
        <w:ind w:firstLine="495"/>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根据《中华人民共和国政府采购法》《中华人民共和国民法典》等法律、法规规定，按照江苏开放大学</w:t>
      </w:r>
      <w:r>
        <w:rPr>
          <w:rFonts w:hint="eastAsia" w:asciiTheme="minorEastAsia" w:hAnsiTheme="minorEastAsia" w:eastAsiaTheme="minorEastAsia"/>
          <w:color w:val="000000" w:themeColor="text1"/>
          <w:szCs w:val="21"/>
          <w:u w:val="single"/>
          <w14:textFill>
            <w14:solidFill>
              <w14:schemeClr w14:val="tx1"/>
            </w14:solidFill>
          </w14:textFill>
        </w:rPr>
        <w:t xml:space="preserve"> 江苏开放大学环境生态学院实验室建设及安装项目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（项目编号）</w:t>
      </w:r>
      <w:r>
        <w:rPr>
          <w:rFonts w:hint="eastAsia" w:asciiTheme="minorEastAsia" w:hAnsiTheme="minorEastAsia" w:eastAsiaTheme="minorEastAsia"/>
          <w:color w:val="000000" w:themeColor="text1"/>
          <w:szCs w:val="21"/>
          <w14:textFill>
            <w14:solidFill>
              <w14:schemeClr w14:val="tx1"/>
            </w14:solidFill>
          </w14:textFill>
        </w:rPr>
        <w:t xml:space="preserve">招标</w:t>
      </w:r>
      <w:r>
        <w:rPr>
          <w:rFonts w:hint="eastAsia" w:hAnsi="宋体"/>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采购）文件、乙方投标（响应）文件条款和中标（成交）人承诺等，</w:t>
      </w:r>
      <w:r>
        <w:rPr>
          <w:rFonts w:hint="eastAsia" w:hAnsi="宋体"/>
          <w:color w:val="000000" w:themeColor="text1"/>
          <w:szCs w:val="21"/>
          <w14:textFill>
            <w14:solidFill>
              <w14:schemeClr w14:val="tx1"/>
            </w14:solidFill>
          </w14:textFill>
        </w:rPr>
        <w:t xml:space="preserve">甲方向乙方购置相关货物，</w:t>
      </w:r>
      <w:r>
        <w:rPr>
          <w:rFonts w:asciiTheme="minorEastAsia" w:hAnsiTheme="minorEastAsia" w:eastAsiaTheme="minorEastAsia"/>
          <w:color w:val="000000" w:themeColor="text1"/>
          <w:szCs w:val="21"/>
          <w14:textFill>
            <w14:solidFill>
              <w14:schemeClr w14:val="tx1"/>
            </w14:solidFill>
          </w14:textFill>
        </w:rPr>
        <w:t xml:space="preserve">双方</w:t>
      </w:r>
      <w:r>
        <w:rPr>
          <w:rFonts w:hint="eastAsia" w:asciiTheme="minorEastAsia" w:hAnsiTheme="minorEastAsia" w:eastAsiaTheme="minorEastAsia"/>
          <w:color w:val="000000" w:themeColor="text1"/>
          <w:szCs w:val="21"/>
          <w14:textFill>
            <w14:solidFill>
              <w14:schemeClr w14:val="tx1"/>
            </w14:solidFill>
          </w14:textFill>
        </w:rPr>
        <w:t xml:space="preserve">同意按下述条款</w:t>
      </w:r>
      <w:r>
        <w:rPr>
          <w:rFonts w:asciiTheme="minorEastAsia" w:hAnsiTheme="minorEastAsia" w:eastAsiaTheme="minorEastAsia"/>
          <w:color w:val="000000" w:themeColor="text1"/>
          <w:szCs w:val="21"/>
          <w14:textFill>
            <w14:solidFill>
              <w14:schemeClr w14:val="tx1"/>
            </w14:solidFill>
          </w14:textFill>
        </w:rPr>
        <w:t xml:space="preserve">签</w:t>
      </w:r>
      <w:r>
        <w:rPr>
          <w:rFonts w:hint="eastAsia" w:asciiTheme="minorEastAsia" w:hAnsiTheme="minorEastAsia" w:eastAsiaTheme="minorEastAsia"/>
          <w:color w:val="000000" w:themeColor="text1"/>
          <w:szCs w:val="21"/>
          <w14:textFill>
            <w14:solidFill>
              <w14:schemeClr w14:val="tx1"/>
            </w14:solidFill>
          </w14:textFill>
        </w:rPr>
        <w:t xml:space="preserve">订</w:t>
      </w:r>
      <w:r>
        <w:rPr>
          <w:rFonts w:asciiTheme="minorEastAsia" w:hAnsiTheme="minorEastAsia" w:eastAsiaTheme="minorEastAsia"/>
          <w:color w:val="000000" w:themeColor="text1"/>
          <w:szCs w:val="21"/>
          <w14:textFill>
            <w14:solidFill>
              <w14:schemeClr w14:val="tx1"/>
            </w14:solidFill>
          </w14:textFill>
        </w:rPr>
        <w:t xml:space="preserve">本合同</w:t>
      </w:r>
      <w:r>
        <w:rPr>
          <w:rFonts w:hint="eastAsia" w:asciiTheme="minorEastAsia" w:hAnsiTheme="minorEastAsia" w:eastAsiaTheme="minorEastAsia"/>
          <w:color w:val="000000" w:themeColor="text1"/>
          <w:szCs w:val="21"/>
          <w14:textFill>
            <w14:solidFill>
              <w14:schemeClr w14:val="tx1"/>
            </w14:solidFill>
          </w14:textFill>
        </w:rPr>
        <w:t xml:space="preserve">，并共同遵守</w:t>
      </w:r>
      <w:r>
        <w:rPr>
          <w:rFonts w:asciiTheme="minorEastAsia" w:hAnsiTheme="minorEastAsia" w:eastAsiaTheme="minorEastAsia"/>
          <w:color w:val="000000" w:themeColor="text1"/>
          <w:szCs w:val="21"/>
          <w14:textFill>
            <w14:solidFill>
              <w14:schemeClr w14:val="tx1"/>
            </w14:solidFill>
          </w14:textFill>
        </w:rPr>
        <w:t xml:space="preserve">。</w:t>
      </w:r>
      <w:r/>
    </w:p>
    <w:p>
      <w:pPr>
        <w:pStyle w:val="840"/>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一、</w:t>
      </w:r>
      <w:r>
        <w:rPr>
          <w:rFonts w:hint="eastAsia" w:asciiTheme="minorEastAsia" w:hAnsiTheme="minorEastAsia" w:eastAsiaTheme="minorEastAsia"/>
          <w:b/>
          <w:color w:val="000000" w:themeColor="text1"/>
          <w:szCs w:val="21"/>
          <w14:textFill>
            <w14:solidFill>
              <w14:schemeClr w14:val="tx1"/>
            </w14:solidFill>
          </w14:textFill>
        </w:rPr>
        <w:t xml:space="preserve">货物明细</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乙方负责向甲方提供以下货物：</w:t>
      </w:r>
      <w:r/>
    </w:p>
    <w:tbl>
      <w:tblPr>
        <w:tblStyle w:val="828"/>
        <w:tblW w:w="9354"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766"/>
        <w:gridCol w:w="2203"/>
        <w:gridCol w:w="851"/>
        <w:gridCol w:w="1417"/>
        <w:gridCol w:w="1134"/>
        <w:gridCol w:w="1259"/>
      </w:tblGrid>
      <w:tr>
        <w:trPr>
          <w:trHeight w:val="435"/>
        </w:trPr>
        <w:tc>
          <w:tcPr>
            <w:tcW w:w="724"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序号</w:t>
            </w:r>
            <w:r/>
          </w:p>
        </w:tc>
        <w:tc>
          <w:tcPr>
            <w:tcW w:w="1766"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品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名</w:t>
            </w:r>
            <w:r/>
          </w:p>
        </w:tc>
        <w:tc>
          <w:tcPr>
            <w:tcW w:w="2203"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型号规格</w:t>
            </w:r>
            <w:r/>
          </w:p>
        </w:tc>
        <w:tc>
          <w:tcPr>
            <w:tcW w:w="851"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数量</w:t>
            </w:r>
            <w:r/>
          </w:p>
        </w:tc>
        <w:tc>
          <w:tcPr>
            <w:tcW w:w="1417"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单 价</w:t>
            </w:r>
            <w:r/>
          </w:p>
        </w:tc>
        <w:tc>
          <w:tcPr>
            <w:tcW w:w="1134"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总 价</w:t>
            </w:r>
            <w:r/>
          </w:p>
        </w:tc>
        <w:tc>
          <w:tcPr>
            <w:tcW w:w="1259"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免费质保期</w:t>
            </w:r>
            <w:r/>
          </w:p>
        </w:tc>
      </w:tr>
      <w:tr>
        <w:trPr>
          <w:trHeight w:val="555"/>
        </w:trPr>
        <w:tc>
          <w:tcPr>
            <w:tcW w:w="724"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p>
        </w:tc>
        <w:tc>
          <w:tcPr>
            <w:tcW w:w="1766"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2203"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851"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417"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134"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259"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r>
        <w:trPr>
          <w:trHeight w:val="537"/>
        </w:trPr>
        <w:tc>
          <w:tcPr>
            <w:tcW w:w="724"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p>
        </w:tc>
        <w:tc>
          <w:tcPr>
            <w:tcW w:w="1766"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2203"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851"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417"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134"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259"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r>
        <w:trPr>
          <w:trHeight w:val="615"/>
        </w:trPr>
        <w:tc>
          <w:tcPr>
            <w:tcW w:w="724"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合计</w:t>
            </w:r>
            <w:r/>
          </w:p>
        </w:tc>
        <w:tc>
          <w:tcPr>
            <w:tcW w:w="1766"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2203"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851"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417"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134"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c>
          <w:tcPr>
            <w:tcW w:w="1259" w:type="dxa"/>
            <w:textDirection w:val="lrTb"/>
            <w:noWrap w:val="false"/>
          </w:tcPr>
          <w:p>
            <w:pPr>
              <w:pStyle w:val="840"/>
              <w:ind w:left="15"/>
              <w:jc w:val="center"/>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bl>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（注：表格可视情况增加）</w:t>
      </w:r>
      <w:r/>
    </w:p>
    <w:p>
      <w:pPr>
        <w:pStyle w:val="840"/>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二、金额</w:t>
      </w:r>
      <w:r>
        <w:rPr>
          <w:rFonts w:hint="eastAsia" w:asciiTheme="minorEastAsia" w:hAnsiTheme="minorEastAsia" w:eastAsiaTheme="minorEastAsia"/>
          <w:b/>
          <w:color w:val="000000" w:themeColor="text1"/>
          <w:szCs w:val="21"/>
          <w14:textFill>
            <w14:solidFill>
              <w14:schemeClr w14:val="tx1"/>
            </w14:solidFill>
          </w14:textFill>
        </w:rPr>
        <w:t xml:space="preserve">与支付</w:t>
      </w:r>
      <w:r/>
    </w:p>
    <w:p>
      <w:pPr>
        <w:pStyle w:val="840"/>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1.本合同</w:t>
      </w:r>
      <w:r>
        <w:rPr>
          <w:rFonts w:hint="eastAsia" w:asciiTheme="minorEastAsia" w:hAnsiTheme="minorEastAsia" w:eastAsiaTheme="minorEastAsia"/>
          <w:color w:val="000000" w:themeColor="text1"/>
          <w:szCs w:val="21"/>
          <w14:textFill>
            <w14:solidFill>
              <w14:schemeClr w14:val="tx1"/>
            </w14:solidFill>
          </w14:textFill>
        </w:rPr>
        <w:t xml:space="preserve">总</w:t>
      </w:r>
      <w:r>
        <w:rPr>
          <w:rFonts w:asciiTheme="minorEastAsia" w:hAnsiTheme="minorEastAsia" w:eastAsiaTheme="minorEastAsia"/>
          <w:color w:val="000000" w:themeColor="text1"/>
          <w:szCs w:val="21"/>
          <w14:textFill>
            <w14:solidFill>
              <w14:schemeClr w14:val="tx1"/>
            </w14:solidFill>
          </w14:textFill>
        </w:rPr>
        <w:t xml:space="preserve">金额为</w:t>
      </w:r>
      <w:r>
        <w:rPr>
          <w:rFonts w:hint="eastAsia" w:asciiTheme="minorEastAsia" w:hAnsiTheme="minorEastAsia" w:eastAsiaTheme="minorEastAsia"/>
          <w:color w:val="000000" w:themeColor="text1"/>
          <w:szCs w:val="21"/>
          <w14:textFill>
            <w14:solidFill>
              <w14:schemeClr w14:val="tx1"/>
            </w14:solidFill>
          </w14:textFill>
        </w:rPr>
        <w:t xml:space="preserve">人民币</w:t>
      </w:r>
      <w:r>
        <w:rPr>
          <w:rFonts w:asciiTheme="minorEastAsia" w:hAnsiTheme="minorEastAsia" w:eastAsiaTheme="minorEastAsia"/>
          <w:color w:val="000000" w:themeColor="text1"/>
          <w:szCs w:val="21"/>
          <w14:textFill>
            <w14:solidFill>
              <w14:schemeClr w14:val="tx1"/>
            </w14:solidFill>
          </w14:textFill>
        </w:rPr>
        <w:t xml:space="preserve">（大写）：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元（小写：</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元</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903"/>
        <w:ind w:left="0" w:firstLine="440"/>
        <w:spacing w:line="360" w:lineRule="auto"/>
        <w:rPr>
          <w:color w:val="000000" w:themeColor="text1"/>
          <w:lang w:val="en-US"/>
          <w14:textFill>
            <w14:solidFill>
              <w14:schemeClr w14:val="tx1"/>
            </w14:solidFill>
          </w14:textFill>
        </w:rPr>
      </w:pPr>
      <w:r>
        <w:rPr>
          <w:rFonts w:hint="eastAsia" w:asciiTheme="minorEastAsia" w:hAnsiTheme="minorEastAsia" w:eastAsiaTheme="minorEastAsia"/>
          <w:color w:val="000000" w:themeColor="text1"/>
          <w:szCs w:val="21"/>
          <w:lang w:val="en-US"/>
          <w14:textFill>
            <w14:solidFill>
              <w14:schemeClr w14:val="tx1"/>
            </w14:solidFill>
          </w14:textFill>
        </w:rPr>
        <w:t xml:space="preserve">3</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由甲方按照下列程序付款：</w:t>
      </w:r>
      <w:r>
        <w:rPr>
          <w:rFonts w:hint="eastAsia"/>
          <w:color w:val="000000" w:themeColor="text1"/>
          <w:lang w:val="en-US"/>
          <w14:textFill>
            <w14:solidFill>
              <w14:schemeClr w14:val="tx1"/>
            </w14:solidFill>
          </w14:textFill>
        </w:rPr>
        <w:t xml:space="preserve">本项目不要求履约保证金，合同签订后，中标供应商实施完成项目并通过采购人组织的验收后10个工作日，凭对应金额正式发票采购人支付合同总价的95％给中标人；项目验收合格后一年后付款5%。</w:t>
      </w:r>
      <w:r/>
    </w:p>
    <w:p>
      <w:pPr>
        <w:pStyle w:val="903"/>
        <w:ind w:left="0" w:firstLine="442"/>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三</w:t>
      </w:r>
      <w:r>
        <w:rPr>
          <w:rFonts w:asciiTheme="minorEastAsia" w:hAnsiTheme="minorEastAsia" w:eastAsiaTheme="minorEastAsia"/>
          <w:b/>
          <w:color w:val="000000" w:themeColor="text1"/>
          <w:szCs w:val="21"/>
          <w14:textFill>
            <w14:solidFill>
              <w14:schemeClr w14:val="tx1"/>
            </w14:solidFill>
          </w14:textFill>
        </w:rPr>
        <w:t xml:space="preserve">、履约保证金</w:t>
      </w:r>
      <w:r/>
    </w:p>
    <w:p>
      <w:pPr>
        <w:pStyle w:val="832"/>
        <w:ind w:firstLine="440"/>
        <w:jc w:val="both"/>
        <w:spacing w:before="120" w:after="120" w:line="360" w:lineRule="auto"/>
        <w:rPr>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lang w:val="en-US"/>
          <w14:textFill>
            <w14:solidFill>
              <w14:schemeClr w14:val="tx1"/>
            </w14:solidFill>
          </w14:textFill>
        </w:rPr>
        <w:t xml:space="preserve">本项目不要求履约保证金。</w:t>
      </w:r>
      <w:r/>
    </w:p>
    <w:p>
      <w:pPr>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四、转包或分包</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本合同范围的货物应由乙方直接供应，不得转让他人供应。</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除非得到甲方的书面同意，乙方不得部分分包给他人供应。</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如有转让和未经甲方同意的分包行为，甲方有权终止合同。</w:t>
      </w:r>
      <w:r/>
    </w:p>
    <w:p>
      <w:pPr>
        <w:pStyle w:val="840"/>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五</w:t>
      </w:r>
      <w:r>
        <w:rPr>
          <w:rFonts w:asciiTheme="minorEastAsia" w:hAnsiTheme="minorEastAsia" w:eastAsiaTheme="minorEastAsia"/>
          <w:b/>
          <w:color w:val="000000" w:themeColor="text1"/>
          <w:szCs w:val="21"/>
          <w14:textFill>
            <w14:solidFill>
              <w14:schemeClr w14:val="tx1"/>
            </w14:solidFill>
          </w14:textFill>
        </w:rPr>
        <w:t xml:space="preserve">、技术资料</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1.乙方应按招标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文件规定的时间向甲方提供有关使用货物</w:t>
      </w:r>
      <w:r>
        <w:rPr>
          <w:rFonts w:hint="eastAsia" w:asciiTheme="minorEastAsia" w:hAnsiTheme="minorEastAsia" w:eastAsiaTheme="minorEastAsia"/>
          <w:color w:val="000000" w:themeColor="text1"/>
          <w:szCs w:val="21"/>
          <w14:textFill>
            <w14:solidFill>
              <w14:schemeClr w14:val="tx1"/>
            </w14:solidFill>
          </w14:textFill>
        </w:rPr>
        <w:t xml:space="preserve">的</w:t>
      </w:r>
      <w:r>
        <w:rPr>
          <w:rFonts w:asciiTheme="minorEastAsia" w:hAnsiTheme="minorEastAsia" w:eastAsiaTheme="minorEastAsia"/>
          <w:color w:val="000000" w:themeColor="text1"/>
          <w:szCs w:val="21"/>
          <w14:textFill>
            <w14:solidFill>
              <w14:schemeClr w14:val="tx1"/>
            </w14:solidFill>
          </w14:textFill>
        </w:rPr>
        <w:t xml:space="preserve">技术资料。</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40"/>
        <w:ind w:firstLine="378"/>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六</w:t>
      </w:r>
      <w:r>
        <w:rPr>
          <w:rFonts w:asciiTheme="minorEastAsia" w:hAnsiTheme="minorEastAsia" w:eastAsiaTheme="minorEastAsia"/>
          <w:b/>
          <w:color w:val="000000" w:themeColor="text1"/>
          <w:szCs w:val="21"/>
          <w14:textFill>
            <w14:solidFill>
              <w14:schemeClr w14:val="tx1"/>
            </w14:solidFill>
          </w14:textFill>
        </w:rPr>
        <w:t xml:space="preserve">、知识产权</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乙</w:t>
      </w:r>
      <w:r>
        <w:rPr>
          <w:rFonts w:hint="eastAsia" w:asciiTheme="minorEastAsia" w:hAnsiTheme="minorEastAsia" w:eastAsiaTheme="minorEastAsia"/>
          <w:color w:val="000000" w:themeColor="text1"/>
          <w:szCs w:val="21"/>
          <w14:textFill>
            <w14:solidFill>
              <w14:schemeClr w14:val="tx1"/>
            </w14:solidFill>
          </w14:textFill>
        </w:rPr>
        <w:t xml:space="preserve">方应保证甲方在使用、接受本合同货物或其任何一部分时不受第三方提出侵犯其专利权、版权、商标权和工业设计权等知识产权的起诉。如发生侵权等争议，乙方负责处理并承担由此引发的全部责任。</w:t>
      </w:r>
      <w:r/>
    </w:p>
    <w:p>
      <w:pPr>
        <w:pStyle w:val="840"/>
        <w:ind w:firstLine="442"/>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七</w:t>
      </w:r>
      <w:r>
        <w:rPr>
          <w:rFonts w:asciiTheme="minorEastAsia" w:hAnsiTheme="minorEastAsia" w:eastAsiaTheme="minorEastAsia"/>
          <w:b/>
          <w:color w:val="000000" w:themeColor="text1"/>
          <w:szCs w:val="21"/>
          <w14:textFill>
            <w14:solidFill>
              <w14:schemeClr w14:val="tx1"/>
            </w14:solidFill>
          </w14:textFill>
        </w:rPr>
        <w:t xml:space="preserve">、产权担保</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乙方保证所交付的货物的所有权完全属于乙方且无任何抵押、查封等产权瑕疵。</w:t>
      </w:r>
      <w:r/>
    </w:p>
    <w:p>
      <w:pPr>
        <w:pStyle w:val="840"/>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八</w:t>
      </w:r>
      <w:r>
        <w:rPr>
          <w:rFonts w:asciiTheme="minorEastAsia" w:hAnsiTheme="minorEastAsia" w:eastAsiaTheme="minorEastAsia"/>
          <w:b/>
          <w:color w:val="000000" w:themeColor="text1"/>
          <w:szCs w:val="21"/>
          <w14:textFill>
            <w14:solidFill>
              <w14:schemeClr w14:val="tx1"/>
            </w14:solidFill>
          </w14:textFill>
        </w:rPr>
        <w:t xml:space="preserve">、交货期、交货方式及交货地点</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乙方交付的货物应当完全符合本合同或招标（采购）文件所规定的货物数量和规格要求。乙方不得少交或者多交货物。乙方提供的货物不符合招标（采购）文件、投标（响应）文件和合同规定的，甲方有权拒收货物，由此产生的一切损失，由乙方承担。</w:t>
      </w:r>
      <w:r/>
    </w:p>
    <w:p>
      <w:pPr>
        <w:pStyle w:val="840"/>
        <w:ind w:firstLine="440"/>
        <w:spacing w:before="120" w:after="120"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w:t>
      </w:r>
      <w:r>
        <w:rPr>
          <w:rFonts w:asciiTheme="minorEastAsia" w:hAnsiTheme="minorEastAsia" w:eastAsiaTheme="minorEastAsia"/>
          <w:bCs/>
          <w:color w:val="000000" w:themeColor="text1"/>
          <w:szCs w:val="21"/>
          <w14:textFill>
            <w14:solidFill>
              <w14:schemeClr w14:val="tx1"/>
            </w14:solidFill>
          </w14:textFill>
        </w:rPr>
        <w:t xml:space="preserve">交货期：</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40"/>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w:t>
      </w:r>
      <w:r>
        <w:rPr>
          <w:rFonts w:asciiTheme="minorEastAsia" w:hAnsiTheme="minorEastAsia" w:eastAsiaTheme="minorEastAsia"/>
          <w:bCs/>
          <w:color w:val="000000" w:themeColor="text1"/>
          <w:szCs w:val="21"/>
          <w14:textFill>
            <w14:solidFill>
              <w14:schemeClr w14:val="tx1"/>
            </w14:solidFill>
          </w14:textFill>
        </w:rPr>
        <w:t xml:space="preserve">交货方式：</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40"/>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w:t>
      </w:r>
      <w:r>
        <w:rPr>
          <w:rFonts w:asciiTheme="minorEastAsia" w:hAnsiTheme="minorEastAsia" w:eastAsiaTheme="minorEastAsia"/>
          <w:bCs/>
          <w:color w:val="000000" w:themeColor="text1"/>
          <w:szCs w:val="21"/>
          <w14:textFill>
            <w14:solidFill>
              <w14:schemeClr w14:val="tx1"/>
            </w14:solidFill>
          </w14:textFill>
        </w:rPr>
        <w:t xml:space="preserve">交货地点：</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40"/>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5.甲方联系人：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电话：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40"/>
        <w:ind w:firstLine="66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乙方联系人：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电话：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p>
    <w:p>
      <w:pPr>
        <w:pStyle w:val="840"/>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九</w:t>
      </w:r>
      <w:r>
        <w:rPr>
          <w:rFonts w:asciiTheme="minorEastAsia" w:hAnsiTheme="minorEastAsia" w:eastAsiaTheme="minorEastAsia"/>
          <w:b/>
          <w:color w:val="000000" w:themeColor="text1"/>
          <w:szCs w:val="21"/>
          <w14:textFill>
            <w14:solidFill>
              <w14:schemeClr w14:val="tx1"/>
            </w14:solidFill>
          </w14:textFill>
        </w:rPr>
        <w:t xml:space="preserve">、货物包装、发运及运输</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1.乙方应在货物发运前对其进行满足运输距离、防潮、防震、防锈和防破损装卸等要求</w:t>
      </w:r>
      <w:r>
        <w:rPr>
          <w:rFonts w:hint="eastAsia" w:asciiTheme="minorEastAsia" w:hAnsiTheme="minorEastAsia" w:eastAsiaTheme="minorEastAsia"/>
          <w:color w:val="000000" w:themeColor="text1"/>
          <w:szCs w:val="21"/>
          <w14:textFill>
            <w14:solidFill>
              <w14:schemeClr w14:val="tx1"/>
            </w14:solidFill>
          </w14:textFill>
        </w:rPr>
        <w:t xml:space="preserve">的</w:t>
      </w:r>
      <w:r>
        <w:rPr>
          <w:rFonts w:asciiTheme="minorEastAsia" w:hAnsiTheme="minorEastAsia" w:eastAsiaTheme="minorEastAsia"/>
          <w:color w:val="000000" w:themeColor="text1"/>
          <w:szCs w:val="21"/>
          <w14:textFill>
            <w14:solidFill>
              <w14:schemeClr w14:val="tx1"/>
            </w14:solidFill>
          </w14:textFill>
        </w:rPr>
        <w:t xml:space="preserve">包装，以保证货物安全运达甲方指定地点。</w:t>
      </w:r>
      <w:r>
        <w:rPr>
          <w:rFonts w:hint="eastAsia" w:asciiTheme="minorEastAsia" w:hAnsiTheme="minorEastAsia" w:eastAsiaTheme="minorEastAsia"/>
          <w:color w:val="000000" w:themeColor="text1"/>
          <w:szCs w:val="21"/>
          <w14:textFill>
            <w14:solidFill>
              <w14:schemeClr w14:val="tx1"/>
            </w14:solidFill>
          </w14:textFill>
        </w:rPr>
        <w:t xml:space="preserve">由于包装不善引起的货物损失均由乙方承担。</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2.使用说明书、质量检验证明书、随配附件和工具及清单一并附于货物内</w:t>
      </w:r>
      <w:r>
        <w:rPr>
          <w:rFonts w:hint="eastAsia" w:asciiTheme="minorEastAsia" w:hAnsiTheme="minorEastAsia" w:eastAsiaTheme="minorEastAsia"/>
          <w:color w:val="000000" w:themeColor="text1"/>
          <w:szCs w:val="21"/>
          <w14:textFill>
            <w14:solidFill>
              <w14:schemeClr w14:val="tx1"/>
            </w14:solidFill>
          </w14:textFill>
        </w:rPr>
        <w:t xml:space="preserve">，且每一包装单元内应附详细的装箱单和质量合格凭证；乙方不能完整交付货物及本款规定的单证和工具的，视为未按合同约定交货，乙方负责补齐，因此导致逾期交货的，由乙方承担相应责任。</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3.乙方在货物发运手续办理完毕后24小时内或货到甲方48小时前通知甲方，以准备接货。</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4.货物</w:t>
      </w:r>
      <w:r>
        <w:rPr>
          <w:rFonts w:hint="eastAsia" w:asciiTheme="minorEastAsia" w:hAnsiTheme="minorEastAsia" w:eastAsiaTheme="minorEastAsia"/>
          <w:color w:val="000000" w:themeColor="text1"/>
          <w:szCs w:val="21"/>
          <w14:textFill>
            <w14:solidFill>
              <w14:schemeClr w14:val="tx1"/>
            </w14:solidFill>
          </w14:textFill>
        </w:rPr>
        <w:t xml:space="preserve">须</w:t>
      </w:r>
      <w:r>
        <w:rPr>
          <w:rFonts w:asciiTheme="minorEastAsia" w:hAnsiTheme="minorEastAsia" w:eastAsiaTheme="minorEastAsia"/>
          <w:color w:val="000000" w:themeColor="text1"/>
          <w:szCs w:val="21"/>
          <w14:textFill>
            <w14:solidFill>
              <w14:schemeClr w14:val="tx1"/>
            </w14:solidFill>
          </w14:textFill>
        </w:rPr>
        <w:t xml:space="preserve">在规定的交</w:t>
      </w:r>
      <w:r>
        <w:rPr>
          <w:rFonts w:hint="eastAsia" w:asciiTheme="minorEastAsia" w:hAnsiTheme="minorEastAsia" w:eastAsiaTheme="minorEastAsia"/>
          <w:color w:val="000000" w:themeColor="text1"/>
          <w:szCs w:val="21"/>
          <w14:textFill>
            <w14:solidFill>
              <w14:schemeClr w14:val="tx1"/>
            </w14:solidFill>
          </w14:textFill>
        </w:rPr>
        <w:t xml:space="preserve">货</w:t>
      </w:r>
      <w:r>
        <w:rPr>
          <w:rFonts w:asciiTheme="minorEastAsia" w:hAnsiTheme="minorEastAsia" w:eastAsiaTheme="minorEastAsia"/>
          <w:color w:val="000000" w:themeColor="text1"/>
          <w:szCs w:val="21"/>
          <w14:textFill>
            <w14:solidFill>
              <w14:schemeClr w14:val="tx1"/>
            </w14:solidFill>
          </w14:textFill>
        </w:rPr>
        <w:t xml:space="preserve">期限内由乙方送达甲方指定的地点，乙方</w:t>
      </w:r>
      <w:r>
        <w:rPr>
          <w:rFonts w:hint="eastAsia" w:asciiTheme="minorEastAsia" w:hAnsiTheme="minorEastAsia" w:eastAsiaTheme="minorEastAsia"/>
          <w:color w:val="000000" w:themeColor="text1"/>
          <w:szCs w:val="21"/>
          <w14:textFill>
            <w14:solidFill>
              <w14:schemeClr w14:val="tx1"/>
            </w14:solidFill>
          </w14:textFill>
        </w:rPr>
        <w:t xml:space="preserve">须</w:t>
      </w:r>
      <w:r>
        <w:rPr>
          <w:rFonts w:asciiTheme="minorEastAsia" w:hAnsiTheme="minorEastAsia" w:eastAsiaTheme="minorEastAsia"/>
          <w:color w:val="000000" w:themeColor="text1"/>
          <w:szCs w:val="21"/>
          <w14:textFill>
            <w14:solidFill>
              <w14:schemeClr w14:val="tx1"/>
            </w14:solidFill>
          </w14:textFill>
        </w:rPr>
        <w:t xml:space="preserve">同时通知甲方货物已送达。</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乙方将货物运送至甲方指定地点并经甲方验收合格之前，货物的所有权、一切风险责任及由此产生的一切相关费用均由乙方承担。</w:t>
      </w:r>
      <w:r/>
    </w:p>
    <w:p>
      <w:pPr>
        <w:pStyle w:val="840"/>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十、调试和验收</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1.乙方交货前应对产品</w:t>
      </w:r>
      <w:r>
        <w:rPr>
          <w:rFonts w:hint="eastAsia" w:asciiTheme="minorEastAsia" w:hAnsiTheme="minorEastAsia" w:eastAsiaTheme="minorEastAsia"/>
          <w:color w:val="000000" w:themeColor="text1"/>
          <w:szCs w:val="21"/>
          <w14:textFill>
            <w14:solidFill>
              <w14:schemeClr w14:val="tx1"/>
            </w14:solidFill>
          </w14:textFill>
        </w:rPr>
        <w:t xml:space="preserve">做出</w:t>
      </w:r>
      <w:r>
        <w:rPr>
          <w:rFonts w:asciiTheme="minorEastAsia" w:hAnsiTheme="minorEastAsia" w:eastAsiaTheme="minorEastAsia"/>
          <w:color w:val="000000" w:themeColor="text1"/>
          <w:szCs w:val="21"/>
          <w14:textFill>
            <w14:solidFill>
              <w14:schemeClr w14:val="tx1"/>
            </w14:solidFill>
          </w14:textFill>
        </w:rPr>
        <w:t xml:space="preserve">全面检查和对验收文件进行整理，并列出清单，作为甲方收货验收和使用的技术条件依据，检验的结果应随货物交甲方。</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2.甲方依据招标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文件上的技术规格要求和国家有关质量标准对乙方提交的货物进行现场初步验收，外观、说明书符合招标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文件技术要求的，给予签收，初步验收不合格的不予签收。甲方在货到后五个工作日内验收。</w:t>
      </w:r>
      <w:r/>
    </w:p>
    <w:p>
      <w:pPr>
        <w:pStyle w:val="840"/>
        <w:ind w:firstLine="440"/>
        <w:spacing w:before="120" w:after="120"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3.甲方在使用前对乙方提供的货物进行调试时，乙方</w:t>
      </w:r>
      <w:r>
        <w:rPr>
          <w:rFonts w:hint="eastAsia" w:asciiTheme="minorEastAsia" w:hAnsiTheme="minorEastAsia" w:eastAsiaTheme="minorEastAsia"/>
          <w:color w:val="000000" w:themeColor="text1"/>
          <w:szCs w:val="21"/>
          <w14:textFill>
            <w14:solidFill>
              <w14:schemeClr w14:val="tx1"/>
            </w14:solidFill>
          </w14:textFill>
        </w:rPr>
        <w:t xml:space="preserve">须</w:t>
      </w:r>
      <w:r>
        <w:rPr>
          <w:rFonts w:asciiTheme="minorEastAsia" w:hAnsiTheme="minorEastAsia" w:eastAsiaTheme="minorEastAsia"/>
          <w:color w:val="000000" w:themeColor="text1"/>
          <w:szCs w:val="21"/>
          <w14:textFill>
            <w14:solidFill>
              <w14:schemeClr w14:val="tx1"/>
            </w14:solidFill>
          </w14:textFill>
        </w:rPr>
        <w:t xml:space="preserve">负责安装，并</w:t>
      </w:r>
      <w:r>
        <w:rPr>
          <w:rFonts w:hint="eastAsia" w:asciiTheme="minorEastAsia" w:hAnsiTheme="minorEastAsia" w:eastAsiaTheme="minorEastAsia"/>
          <w:color w:val="000000" w:themeColor="text1"/>
          <w:szCs w:val="21"/>
          <w14:textFill>
            <w14:solidFill>
              <w14:schemeClr w14:val="tx1"/>
            </w14:solidFill>
          </w14:textFill>
        </w:rPr>
        <w:t xml:space="preserve">负责培训甲方使用操作</w:t>
      </w:r>
      <w:r>
        <w:rPr>
          <w:rFonts w:asciiTheme="minorEastAsia" w:hAnsiTheme="minorEastAsia" w:eastAsiaTheme="minorEastAsia"/>
          <w:color w:val="000000" w:themeColor="text1"/>
          <w:szCs w:val="21"/>
          <w14:textFill>
            <w14:solidFill>
              <w14:schemeClr w14:val="tx1"/>
            </w14:solidFill>
          </w14:textFill>
        </w:rPr>
        <w:t xml:space="preserve">，直到符合</w:t>
      </w:r>
      <w:r>
        <w:rPr>
          <w:rFonts w:hint="eastAsia" w:asciiTheme="minorEastAsia" w:hAnsiTheme="minorEastAsia" w:eastAsiaTheme="minorEastAsia"/>
          <w:color w:val="000000" w:themeColor="text1"/>
          <w:szCs w:val="21"/>
          <w14:textFill>
            <w14:solidFill>
              <w14:schemeClr w14:val="tx1"/>
            </w14:solidFill>
          </w14:textFill>
        </w:rPr>
        <w:t xml:space="preserve">相关</w:t>
      </w:r>
      <w:r>
        <w:rPr>
          <w:rFonts w:asciiTheme="minorEastAsia" w:hAnsiTheme="minorEastAsia" w:eastAsiaTheme="minorEastAsia"/>
          <w:color w:val="000000" w:themeColor="text1"/>
          <w:szCs w:val="21"/>
          <w14:textFill>
            <w14:solidFill>
              <w14:schemeClr w14:val="tx1"/>
            </w14:solidFill>
          </w14:textFill>
        </w:rPr>
        <w:t xml:space="preserve">要求，甲方</w:t>
      </w:r>
      <w:r>
        <w:rPr>
          <w:rFonts w:hint="eastAsia" w:asciiTheme="minorEastAsia" w:hAnsiTheme="minorEastAsia" w:eastAsiaTheme="minorEastAsia"/>
          <w:color w:val="000000" w:themeColor="text1"/>
          <w:szCs w:val="21"/>
          <w14:textFill>
            <w14:solidFill>
              <w14:schemeClr w14:val="tx1"/>
            </w14:solidFill>
          </w14:textFill>
        </w:rPr>
        <w:t xml:space="preserve">予以</w:t>
      </w:r>
      <w:r>
        <w:rPr>
          <w:rFonts w:asciiTheme="minorEastAsia" w:hAnsiTheme="minorEastAsia" w:eastAsiaTheme="minorEastAsia"/>
          <w:color w:val="000000" w:themeColor="text1"/>
          <w:szCs w:val="21"/>
          <w14:textFill>
            <w14:solidFill>
              <w14:schemeClr w14:val="tx1"/>
            </w14:solidFill>
          </w14:textFill>
        </w:rPr>
        <w:t xml:space="preserve">最终验收。</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4.对技术复杂的货物，甲方</w:t>
      </w:r>
      <w:r>
        <w:rPr>
          <w:rFonts w:hint="eastAsia" w:asciiTheme="minorEastAsia" w:hAnsiTheme="minorEastAsia" w:eastAsiaTheme="minorEastAsia"/>
          <w:color w:val="000000" w:themeColor="text1"/>
          <w:szCs w:val="21"/>
          <w14:textFill>
            <w14:solidFill>
              <w14:schemeClr w14:val="tx1"/>
            </w14:solidFill>
          </w14:textFill>
        </w:rPr>
        <w:t xml:space="preserve">可</w:t>
      </w:r>
      <w:r>
        <w:rPr>
          <w:rFonts w:asciiTheme="minorEastAsia" w:hAnsiTheme="minorEastAsia" w:eastAsiaTheme="minorEastAsia"/>
          <w:color w:val="000000" w:themeColor="text1"/>
          <w:szCs w:val="21"/>
          <w14:textFill>
            <w14:solidFill>
              <w14:schemeClr w14:val="tx1"/>
            </w14:solidFill>
          </w14:textFill>
        </w:rPr>
        <w:t xml:space="preserve">请国家认可的专业检测机构参与初步验收及最终验收，并由其出具质量检测报告。</w:t>
      </w:r>
      <w:r/>
    </w:p>
    <w:p>
      <w:pPr>
        <w:pStyle w:val="840"/>
        <w:ind w:firstLine="440"/>
        <w:spacing w:before="120" w:after="120" w:line="360" w:lineRule="auto"/>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5.验收时乙方须在现场，验收完毕后</w:t>
      </w:r>
      <w:r>
        <w:rPr>
          <w:rFonts w:hint="eastAsia" w:asciiTheme="minorEastAsia" w:hAnsiTheme="minorEastAsia" w:eastAsiaTheme="minorEastAsia"/>
          <w:color w:val="000000" w:themeColor="text1"/>
          <w:szCs w:val="21"/>
          <w14:textFill>
            <w14:solidFill>
              <w14:schemeClr w14:val="tx1"/>
            </w14:solidFill>
          </w14:textFill>
        </w:rPr>
        <w:t xml:space="preserve">形成</w:t>
      </w:r>
      <w:r>
        <w:rPr>
          <w:rFonts w:asciiTheme="minorEastAsia" w:hAnsiTheme="minorEastAsia" w:eastAsiaTheme="minorEastAsia"/>
          <w:color w:val="000000" w:themeColor="text1"/>
          <w:szCs w:val="21"/>
          <w14:textFill>
            <w14:solidFill>
              <w14:schemeClr w14:val="tx1"/>
            </w14:solidFill>
          </w14:textFill>
        </w:rPr>
        <w:t xml:space="preserve">验收结果报告</w:t>
      </w:r>
      <w:r>
        <w:rPr>
          <w:rFonts w:hint="eastAsia" w:asciiTheme="minorEastAsia" w:hAnsiTheme="minorEastAsia" w:eastAsiaTheme="minorEastAsia"/>
          <w:color w:val="000000" w:themeColor="text1"/>
          <w:szCs w:val="21"/>
          <w14:textFill>
            <w14:solidFill>
              <w14:schemeClr w14:val="tx1"/>
            </w14:solidFill>
          </w14:textFill>
        </w:rPr>
        <w:t xml:space="preserve">。因委托</w:t>
      </w:r>
      <w:r>
        <w:rPr>
          <w:rFonts w:asciiTheme="minorEastAsia" w:hAnsiTheme="minorEastAsia" w:eastAsiaTheme="minorEastAsia"/>
          <w:color w:val="000000" w:themeColor="text1"/>
          <w:szCs w:val="21"/>
          <w14:textFill>
            <w14:solidFill>
              <w14:schemeClr w14:val="tx1"/>
            </w14:solidFill>
          </w14:textFill>
        </w:rPr>
        <w:t xml:space="preserve">验收</w:t>
      </w:r>
      <w:r>
        <w:rPr>
          <w:rFonts w:hint="eastAsia" w:asciiTheme="minorEastAsia" w:hAnsiTheme="minorEastAsia" w:eastAsiaTheme="minorEastAsia"/>
          <w:color w:val="000000" w:themeColor="text1"/>
          <w:szCs w:val="21"/>
          <w14:textFill>
            <w14:solidFill>
              <w14:schemeClr w14:val="tx1"/>
            </w14:solidFill>
          </w14:textFill>
        </w:rPr>
        <w:t xml:space="preserve">产生的</w:t>
      </w:r>
      <w:r>
        <w:rPr>
          <w:rFonts w:asciiTheme="minorEastAsia" w:hAnsiTheme="minorEastAsia" w:eastAsiaTheme="minorEastAsia"/>
          <w:color w:val="000000" w:themeColor="text1"/>
          <w:szCs w:val="21"/>
          <w14:textFill>
            <w14:solidFill>
              <w14:schemeClr w14:val="tx1"/>
            </w14:solidFill>
          </w14:textFill>
        </w:rPr>
        <w:t xml:space="preserve">费用由</w:t>
      </w:r>
      <w:r>
        <w:rPr>
          <w:rFonts w:hint="eastAsia" w:asciiTheme="minorEastAsia" w:hAnsiTheme="minorEastAsia" w:eastAsiaTheme="minorEastAsia"/>
          <w:color w:val="000000" w:themeColor="text1"/>
          <w:szCs w:val="21"/>
          <w14:textFill>
            <w14:solidFill>
              <w14:schemeClr w14:val="tx1"/>
            </w14:solidFill>
          </w14:textFill>
        </w:rPr>
        <w:t xml:space="preserve">甲</w:t>
      </w:r>
      <w:r>
        <w:rPr>
          <w:rFonts w:asciiTheme="minorEastAsia" w:hAnsiTheme="minorEastAsia" w:eastAsiaTheme="minorEastAsia"/>
          <w:color w:val="000000" w:themeColor="text1"/>
          <w:szCs w:val="21"/>
          <w14:textFill>
            <w14:solidFill>
              <w14:schemeClr w14:val="tx1"/>
            </w14:solidFill>
          </w14:textFill>
        </w:rPr>
        <w:t xml:space="preserve">乙</w:t>
      </w:r>
      <w:r>
        <w:rPr>
          <w:rFonts w:hint="eastAsia" w:asciiTheme="minorEastAsia" w:hAnsiTheme="minorEastAsia" w:eastAsiaTheme="minorEastAsia"/>
          <w:color w:val="000000" w:themeColor="text1"/>
          <w:szCs w:val="21"/>
          <w14:textFill>
            <w14:solidFill>
              <w14:schemeClr w14:val="tx1"/>
            </w14:solidFill>
          </w14:textFill>
        </w:rPr>
        <w:t xml:space="preserve">双</w:t>
      </w:r>
      <w:r>
        <w:rPr>
          <w:rFonts w:asciiTheme="minorEastAsia" w:hAnsiTheme="minorEastAsia" w:eastAsiaTheme="minorEastAsia"/>
          <w:color w:val="000000" w:themeColor="text1"/>
          <w:szCs w:val="21"/>
          <w14:textFill>
            <w14:solidFill>
              <w14:schemeClr w14:val="tx1"/>
            </w14:solidFill>
          </w14:textFill>
        </w:rPr>
        <w:t xml:space="preserve">方</w:t>
      </w:r>
      <w:r>
        <w:rPr>
          <w:rFonts w:hint="eastAsia" w:asciiTheme="minorEastAsia" w:hAnsiTheme="minorEastAsia" w:eastAsiaTheme="minorEastAsia"/>
          <w:color w:val="000000" w:themeColor="text1"/>
          <w:szCs w:val="21"/>
          <w14:textFill>
            <w14:solidFill>
              <w14:schemeClr w14:val="tx1"/>
            </w14:solidFill>
          </w14:textFill>
        </w:rPr>
        <w:t xml:space="preserve">协商解决</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Cs/>
          <w:color w:val="000000" w:themeColor="text1"/>
          <w:szCs w:val="21"/>
          <w14:textFill>
            <w14:solidFill>
              <w14:schemeClr w14:val="tx1"/>
            </w14:solidFill>
          </w14:textFill>
        </w:rPr>
        <w:t xml:space="preserve">若货物经验收不符合技术标准或质量要求，由乙方承担验收费用。</w:t>
      </w:r>
      <w:r/>
    </w:p>
    <w:p>
      <w:pPr>
        <w:pStyle w:val="840"/>
        <w:ind w:firstLine="442"/>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十一</w:t>
      </w:r>
      <w:r>
        <w:rPr>
          <w:rFonts w:asciiTheme="minorEastAsia" w:hAnsiTheme="minorEastAsia" w:eastAsiaTheme="minorEastAsia"/>
          <w:b/>
          <w:color w:val="000000" w:themeColor="text1"/>
          <w:szCs w:val="21"/>
          <w14:textFill>
            <w14:solidFill>
              <w14:schemeClr w14:val="tx1"/>
            </w14:solidFill>
          </w14:textFill>
        </w:rPr>
        <w:t xml:space="preserve">、质保期</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质保期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年。（自交货验收合格之日起</w:t>
      </w:r>
      <w:r>
        <w:rPr>
          <w:rFonts w:hint="eastAsia" w:asciiTheme="minorEastAsia" w:hAnsiTheme="minorEastAsia" w:eastAsiaTheme="minorEastAsia"/>
          <w:color w:val="000000" w:themeColor="text1"/>
          <w:szCs w:val="21"/>
          <w14:textFill>
            <w14:solidFill>
              <w14:schemeClr w14:val="tx1"/>
            </w14:solidFill>
          </w14:textFill>
        </w:rPr>
        <w:t xml:space="preserve">计算</w:t>
      </w:r>
      <w:r>
        <w:rPr>
          <w:rFonts w:asciiTheme="minorEastAsia" w:hAnsiTheme="minorEastAsia" w:eastAsiaTheme="minorEastAsia"/>
          <w:color w:val="000000" w:themeColor="text1"/>
          <w:szCs w:val="21"/>
          <w14:textFill>
            <w14:solidFill>
              <w14:schemeClr w14:val="tx1"/>
            </w14:solidFill>
          </w14:textFill>
        </w:rPr>
        <w:t xml:space="preserve">）</w:t>
      </w:r>
      <w:r/>
    </w:p>
    <w:p>
      <w:pPr>
        <w:pStyle w:val="840"/>
        <w:ind w:firstLine="442"/>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二</w:t>
      </w:r>
      <w:r>
        <w:rPr>
          <w:rFonts w:asciiTheme="minorEastAsia" w:hAnsiTheme="minorEastAsia" w:eastAsiaTheme="minorEastAsia"/>
          <w:b/>
          <w:color w:val="000000" w:themeColor="text1"/>
          <w:szCs w:val="21"/>
          <w14:textFill>
            <w14:solidFill>
              <w14:schemeClr w14:val="tx1"/>
            </w14:solidFill>
          </w14:textFill>
        </w:rPr>
        <w:t xml:space="preserve">、质量保证及售后服务</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1.乙方应按招标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文件规定的货物性能、技术要求、质量标准向甲方提供未经使用的全新产品。</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2.乙方提供的货物在质</w:t>
      </w:r>
      <w:r>
        <w:rPr>
          <w:rFonts w:hint="eastAsia" w:asciiTheme="minorEastAsia" w:hAnsiTheme="minorEastAsia" w:eastAsiaTheme="minorEastAsia"/>
          <w:color w:val="000000" w:themeColor="text1"/>
          <w:szCs w:val="21"/>
          <w14:textFill>
            <w14:solidFill>
              <w14:schemeClr w14:val="tx1"/>
            </w14:solidFill>
          </w14:textFill>
        </w:rPr>
        <w:t xml:space="preserve">保</w:t>
      </w:r>
      <w:r>
        <w:rPr>
          <w:rFonts w:asciiTheme="minorEastAsia" w:hAnsiTheme="minorEastAsia" w:eastAsiaTheme="minorEastAsia"/>
          <w:color w:val="000000" w:themeColor="text1"/>
          <w:szCs w:val="21"/>
          <w14:textFill>
            <w14:solidFill>
              <w14:schemeClr w14:val="tx1"/>
            </w14:solidFill>
          </w14:textFill>
        </w:rPr>
        <w:t xml:space="preserve">期内因货物本身质量问题发生故障的，乙方应负责免费更换。对达不到技术要求</w:t>
      </w:r>
      <w:r>
        <w:rPr>
          <w:rFonts w:hint="eastAsia" w:asciiTheme="minorEastAsia" w:hAnsiTheme="minorEastAsia" w:eastAsiaTheme="minorEastAsia"/>
          <w:color w:val="000000" w:themeColor="text1"/>
          <w:szCs w:val="21"/>
          <w14:textFill>
            <w14:solidFill>
              <w14:schemeClr w14:val="tx1"/>
            </w14:solidFill>
          </w14:textFill>
        </w:rPr>
        <w:t xml:space="preserve">的</w:t>
      </w:r>
      <w:r>
        <w:rPr>
          <w:rFonts w:asciiTheme="minorEastAsia" w:hAnsiTheme="minorEastAsia" w:eastAsiaTheme="minorEastAsia"/>
          <w:color w:val="000000" w:themeColor="text1"/>
          <w:szCs w:val="21"/>
          <w14:textFill>
            <w14:solidFill>
              <w14:schemeClr w14:val="tx1"/>
            </w14:solidFill>
          </w14:textFill>
        </w:rPr>
        <w:t xml:space="preserve">，根据实际情况，经双方协商，可按以下办法处理：</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asciiTheme="minorEastAsia" w:hAnsiTheme="minorEastAsia" w:eastAsiaTheme="minorEastAsia"/>
          <w:color w:val="000000" w:themeColor="text1"/>
          <w:szCs w:val="21"/>
          <w14:textFill>
            <w14:solidFill>
              <w14:schemeClr w14:val="tx1"/>
            </w14:solidFill>
          </w14:textFill>
        </w:rPr>
        <w:t xml:space="preserve">更换：由乙方承担所发生的全部费用。</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（2）退</w:t>
      </w:r>
      <w:r>
        <w:rPr>
          <w:rFonts w:asciiTheme="minorEastAsia" w:hAnsiTheme="minorEastAsia" w:eastAsiaTheme="minorEastAsia"/>
          <w:color w:val="000000" w:themeColor="text1"/>
          <w:szCs w:val="21"/>
          <w14:textFill>
            <w14:solidFill>
              <w14:schemeClr w14:val="tx1"/>
            </w14:solidFill>
          </w14:textFill>
        </w:rPr>
        <w:t xml:space="preserve">货处理：乙方退还甲方支付的合同款，同时承担该货物的直接费用（运输、保险、检验、货款利息及银行手续费等）。</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3.在质保期内，乙方应对货物出现的质量及安全问题负责处理解决并承担</w:t>
      </w:r>
      <w:r>
        <w:rPr>
          <w:rFonts w:hint="eastAsia" w:asciiTheme="minorEastAsia" w:hAnsiTheme="minorEastAsia" w:eastAsiaTheme="minorEastAsia"/>
          <w:color w:val="000000" w:themeColor="text1"/>
          <w:szCs w:val="21"/>
          <w14:textFill>
            <w14:solidFill>
              <w14:schemeClr w14:val="tx1"/>
            </w14:solidFill>
          </w14:textFill>
        </w:rPr>
        <w:t xml:space="preserve">全部</w:t>
      </w:r>
      <w:r>
        <w:rPr>
          <w:rFonts w:asciiTheme="minorEastAsia" w:hAnsiTheme="minorEastAsia" w:eastAsiaTheme="minorEastAsia"/>
          <w:color w:val="000000" w:themeColor="text1"/>
          <w:szCs w:val="21"/>
          <w14:textFill>
            <w14:solidFill>
              <w14:schemeClr w14:val="tx1"/>
            </w14:solidFill>
          </w14:textFill>
        </w:rPr>
        <w:t xml:space="preserve">费用。</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4.上述的货物免费保修期为</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年，</w:t>
      </w:r>
      <w:r>
        <w:rPr>
          <w:rFonts w:hint="eastAsia" w:asciiTheme="minorEastAsia" w:hAnsiTheme="minorEastAsia" w:eastAsiaTheme="minorEastAsia"/>
          <w:color w:val="000000" w:themeColor="text1"/>
          <w:szCs w:val="21"/>
          <w14:textFill>
            <w14:solidFill>
              <w14:schemeClr w14:val="tx1"/>
            </w14:solidFill>
          </w14:textFill>
        </w:rPr>
        <w:t xml:space="preserve">所有货物保修服务方式为乙方上门保修，即由乙方派员到货物使用现场维修。</w:t>
      </w:r>
      <w:r>
        <w:rPr>
          <w:rFonts w:asciiTheme="minorEastAsia" w:hAnsiTheme="minorEastAsia" w:eastAsiaTheme="minorEastAsia"/>
          <w:color w:val="000000" w:themeColor="text1"/>
          <w:szCs w:val="21"/>
          <w14:textFill>
            <w14:solidFill>
              <w14:schemeClr w14:val="tx1"/>
            </w14:solidFill>
          </w14:textFill>
        </w:rPr>
        <w:t xml:space="preserve">因人为因素出现的故障不在免费保修范围内。超过保修期的机器设备，终生维修，维修时</w:t>
      </w:r>
      <w:r>
        <w:rPr>
          <w:rFonts w:hint="eastAsia" w:asciiTheme="minorEastAsia" w:hAnsiTheme="minorEastAsia" w:eastAsiaTheme="minorEastAsia"/>
          <w:color w:val="000000" w:themeColor="text1"/>
          <w:szCs w:val="21"/>
          <w14:textFill>
            <w14:solidFill>
              <w14:schemeClr w14:val="tx1"/>
            </w14:solidFill>
          </w14:textFill>
        </w:rPr>
        <w:t xml:space="preserve">按</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价格</w:t>
      </w:r>
      <w:r>
        <w:rPr>
          <w:rFonts w:asciiTheme="minorEastAsia" w:hAnsiTheme="minorEastAsia" w:eastAsiaTheme="minorEastAsia"/>
          <w:color w:val="000000" w:themeColor="text1"/>
          <w:szCs w:val="21"/>
          <w14:textFill>
            <w14:solidFill>
              <w14:schemeClr w14:val="tx1"/>
            </w14:solidFill>
          </w14:textFill>
        </w:rPr>
        <w:t xml:space="preserve">收</w:t>
      </w:r>
      <w:r>
        <w:rPr>
          <w:rFonts w:hint="eastAsia" w:asciiTheme="minorEastAsia" w:hAnsiTheme="minorEastAsia" w:eastAsiaTheme="minorEastAsia"/>
          <w:color w:val="000000" w:themeColor="text1"/>
          <w:szCs w:val="21"/>
          <w14:textFill>
            <w14:solidFill>
              <w14:schemeClr w14:val="tx1"/>
            </w14:solidFill>
          </w14:textFill>
        </w:rPr>
        <w:t xml:space="preserve">取</w:t>
      </w:r>
      <w:r>
        <w:rPr>
          <w:rFonts w:asciiTheme="minorEastAsia" w:hAnsiTheme="minorEastAsia" w:eastAsiaTheme="minorEastAsia"/>
          <w:color w:val="000000" w:themeColor="text1"/>
          <w:szCs w:val="21"/>
          <w14:textFill>
            <w14:solidFill>
              <w14:schemeClr w14:val="tx1"/>
            </w14:solidFill>
          </w14:textFill>
        </w:rPr>
        <w:t xml:space="preserve">部件</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成本费。</w:t>
      </w:r>
      <w:r>
        <w:rPr>
          <w:rFonts w:hint="eastAsia" w:asciiTheme="minorEastAsia" w:hAnsiTheme="minorEastAsia" w:eastAsiaTheme="minorEastAsia"/>
          <w:color w:val="000000" w:themeColor="text1"/>
          <w:szCs w:val="21"/>
          <w14:textFill>
            <w14:solidFill>
              <w14:schemeClr w14:val="tx1"/>
            </w14:solidFill>
          </w14:textFill>
        </w:rPr>
        <w:t xml:space="preserve">（可根据实际情况调整）</w:t>
      </w:r>
      <w:r/>
    </w:p>
    <w:p>
      <w:pPr>
        <w:pStyle w:val="840"/>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三</w:t>
      </w:r>
      <w:r>
        <w:rPr>
          <w:rFonts w:asciiTheme="minorEastAsia" w:hAnsiTheme="minorEastAsia" w:eastAsiaTheme="minorEastAsia"/>
          <w:b/>
          <w:color w:val="000000" w:themeColor="text1"/>
          <w:szCs w:val="21"/>
          <w14:textFill>
            <w14:solidFill>
              <w14:schemeClr w14:val="tx1"/>
            </w14:solidFill>
          </w14:textFill>
        </w:rPr>
        <w:t xml:space="preserve">、违约责任</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w:t>
      </w:r>
      <w:r>
        <w:rPr>
          <w:rFonts w:hint="eastAsia" w:asciiTheme="minorEastAsia" w:hAnsiTheme="minorEastAsia" w:eastAsiaTheme="minorEastAsia"/>
          <w:color w:val="000000" w:themeColor="text1"/>
          <w:szCs w:val="21"/>
          <w14:textFill>
            <w14:solidFill>
              <w14:schemeClr w14:val="tx1"/>
            </w14:solidFill>
          </w14:textFill>
        </w:rPr>
        <w:t xml:space="preserve">不得</w:t>
      </w:r>
      <w:r>
        <w:rPr>
          <w:rFonts w:asciiTheme="minorEastAsia" w:hAnsiTheme="minorEastAsia" w:eastAsiaTheme="minorEastAsia"/>
          <w:color w:val="000000" w:themeColor="text1"/>
          <w:szCs w:val="21"/>
          <w14:textFill>
            <w14:solidFill>
              <w14:schemeClr w14:val="tx1"/>
            </w14:solidFill>
          </w14:textFill>
        </w:rPr>
        <w:t xml:space="preserve">无正当理由拒收货物，</w:t>
      </w:r>
      <w:r>
        <w:rPr>
          <w:rFonts w:hint="eastAsia" w:asciiTheme="minorEastAsia" w:hAnsiTheme="minorEastAsia" w:eastAsiaTheme="minorEastAsia"/>
          <w:color w:val="000000" w:themeColor="text1"/>
          <w:szCs w:val="21"/>
          <w14:textFill>
            <w14:solidFill>
              <w14:schemeClr w14:val="tx1"/>
            </w14:solidFill>
          </w14:textFill>
        </w:rPr>
        <w:t xml:space="preserve">否则由此所造成的损失须由甲方承担赔偿责任。</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2.乙方所交的货物品种、型号、规格、技术参数、质量不符合合同规定及招标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文件规定标准的，甲方有权拒收该货物，乙方愿意更换货物但逾期交货的，按乙方逾期交货处理。乙方拒绝更换货物的，甲方可单方面解除合同。</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乙方不得逾期交付货物，否则，乙方须对由此造成的甲方损失承担赔偿责任。</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4.乙方逾期交付货物的，乙方应按逾期交货总</w:t>
      </w:r>
      <w:r>
        <w:rPr>
          <w:rFonts w:hint="eastAsia" w:asciiTheme="minorEastAsia" w:hAnsiTheme="minorEastAsia" w:eastAsiaTheme="minorEastAsia"/>
          <w:color w:val="000000" w:themeColor="text1"/>
          <w:szCs w:val="21"/>
          <w14:textFill>
            <w14:solidFill>
              <w14:schemeClr w14:val="tx1"/>
            </w14:solidFill>
          </w14:textFill>
        </w:rPr>
        <w:t xml:space="preserve">额</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向甲方支付违约金，由甲方从待付货款中扣除。逾期超过约定日期</w:t>
      </w:r>
      <w:r>
        <w:rPr>
          <w:rFonts w:hint="eastAsia" w:asciiTheme="minorEastAsia" w:hAnsiTheme="minorEastAsia" w:eastAsiaTheme="minorEastAsia"/>
          <w:color w:val="000000" w:themeColor="text1"/>
          <w:szCs w:val="21"/>
          <w14:textFill>
            <w14:solidFill>
              <w14:schemeClr w14:val="tx1"/>
            </w14:solidFill>
          </w14:textFill>
        </w:rPr>
        <w:t xml:space="preserve">10</w:t>
      </w:r>
      <w:r>
        <w:rPr>
          <w:rFonts w:asciiTheme="minorEastAsia" w:hAnsiTheme="minorEastAsia" w:eastAsiaTheme="minorEastAsia"/>
          <w:color w:val="000000" w:themeColor="text1"/>
          <w:szCs w:val="21"/>
          <w14:textFill>
            <w14:solidFill>
              <w14:schemeClr w14:val="tx1"/>
            </w14:solidFill>
          </w14:textFill>
        </w:rPr>
        <w:t xml:space="preserve">个工作日不能交货的，甲方可解除本合同。乙方因逾期交货或因其</w:t>
      </w:r>
      <w:r>
        <w:rPr>
          <w:rFonts w:hint="eastAsia" w:asciiTheme="minorEastAsia" w:hAnsiTheme="minorEastAsia" w:eastAsiaTheme="minorEastAsia"/>
          <w:color w:val="000000" w:themeColor="text1"/>
          <w:szCs w:val="21"/>
          <w14:textFill>
            <w14:solidFill>
              <w14:schemeClr w14:val="tx1"/>
            </w14:solidFill>
          </w14:textFill>
        </w:rPr>
        <w:t xml:space="preserve">它</w:t>
      </w:r>
      <w:r>
        <w:rPr>
          <w:rFonts w:asciiTheme="minorEastAsia" w:hAnsiTheme="minorEastAsia" w:eastAsiaTheme="minorEastAsia"/>
          <w:color w:val="000000" w:themeColor="text1"/>
          <w:szCs w:val="21"/>
          <w14:textFill>
            <w14:solidFill>
              <w14:schemeClr w14:val="tx1"/>
            </w14:solidFill>
          </w14:textFill>
        </w:rPr>
        <w:t xml:space="preserve">违约行为导致甲方解除合同的，乙方应向甲方支付合同总</w:t>
      </w:r>
      <w:r>
        <w:rPr>
          <w:rFonts w:hint="eastAsia" w:asciiTheme="minorEastAsia" w:hAnsiTheme="minorEastAsia" w:eastAsiaTheme="minorEastAsia"/>
          <w:color w:val="000000" w:themeColor="text1"/>
          <w:szCs w:val="21"/>
          <w14:textFill>
            <w14:solidFill>
              <w14:schemeClr w14:val="tx1"/>
            </w14:solidFill>
          </w14:textFill>
        </w:rPr>
        <w:t xml:space="preserve">额</w:t>
      </w:r>
      <w:r>
        <w:rPr>
          <w:rFonts w:asciiTheme="minorEastAsia" w:hAnsiTheme="minorEastAsia" w:eastAsiaTheme="minorEastAsia"/>
          <w:color w:val="000000" w:themeColor="text1"/>
          <w:szCs w:val="21"/>
          <w14:textFill>
            <w14:solidFill>
              <w14:schemeClr w14:val="tx1"/>
            </w14:solidFill>
          </w14:textFill>
        </w:rPr>
        <w:t xml:space="preserve">5%的违约金，如造成甲方损失超过违约金的，超出部分由乙方继续承担赔偿责任。</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乙方未按本合同规定提供售后服务的，应承担违约责任，按合同总价款的</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%向甲方支付违约金。</w:t>
      </w:r>
      <w:r/>
    </w:p>
    <w:p>
      <w:pPr>
        <w:pStyle w:val="840"/>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四</w:t>
      </w:r>
      <w:r>
        <w:rPr>
          <w:rFonts w:asciiTheme="minorEastAsia" w:hAnsiTheme="minorEastAsia" w:eastAsiaTheme="minorEastAsia"/>
          <w:b/>
          <w:color w:val="000000" w:themeColor="text1"/>
          <w:szCs w:val="21"/>
          <w14:textFill>
            <w14:solidFill>
              <w14:schemeClr w14:val="tx1"/>
            </w14:solidFill>
          </w14:textFill>
        </w:rPr>
        <w:t xml:space="preserve">、不可抗力事件处理</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因</w:t>
      </w:r>
      <w:r>
        <w:rPr>
          <w:rFonts w:asciiTheme="minorEastAsia" w:hAnsiTheme="minorEastAsia" w:eastAsiaTheme="minorEastAsia"/>
          <w:color w:val="000000" w:themeColor="text1"/>
          <w:szCs w:val="21"/>
          <w14:textFill>
            <w14:solidFill>
              <w14:schemeClr w14:val="tx1"/>
            </w14:solidFill>
          </w14:textFill>
        </w:rPr>
        <w:t xml:space="preserve">不可抗力不能履行合同</w:t>
      </w:r>
      <w:r>
        <w:rPr>
          <w:rFonts w:hint="eastAsia" w:asciiTheme="minorEastAsia" w:hAnsiTheme="minorEastAsia" w:eastAsiaTheme="minorEastAsia"/>
          <w:color w:val="000000" w:themeColor="text1"/>
          <w:szCs w:val="21"/>
          <w14:textFill>
            <w14:solidFill>
              <w14:schemeClr w14:val="tx1"/>
            </w14:solidFill>
          </w14:textFill>
        </w:rPr>
        <w:t xml:space="preserve">的</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根据不可抗力的影响，</w:t>
      </w:r>
      <w:r>
        <w:rPr>
          <w:rFonts w:asciiTheme="minorEastAsia" w:hAnsiTheme="minorEastAsia" w:eastAsiaTheme="minorEastAsia"/>
          <w:color w:val="000000" w:themeColor="text1"/>
          <w:szCs w:val="21"/>
          <w14:textFill>
            <w14:solidFill>
              <w14:schemeClr w14:val="tx1"/>
            </w14:solidFill>
          </w14:textFill>
        </w:rPr>
        <w:t xml:space="preserve">双方协商是否</w:t>
      </w:r>
      <w:r>
        <w:rPr>
          <w:rFonts w:hint="eastAsia" w:asciiTheme="minorEastAsia" w:hAnsiTheme="minorEastAsia" w:eastAsiaTheme="minorEastAsia"/>
          <w:color w:val="000000" w:themeColor="text1"/>
          <w:szCs w:val="21"/>
          <w14:textFill>
            <w14:solidFill>
              <w14:schemeClr w14:val="tx1"/>
            </w14:solidFill>
          </w14:textFill>
        </w:rPr>
        <w:t xml:space="preserve">继续履行与责任承担。但合同一方延迟履行后发生严重后果的，不能免除责任。</w:t>
      </w:r>
      <w:r/>
    </w:p>
    <w:p>
      <w:pPr>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合同一方因不可抗力不能履行合同的，</w:t>
      </w:r>
      <w:r>
        <w:rPr>
          <w:rFonts w:asciiTheme="minorEastAsia" w:hAnsiTheme="minorEastAsia" w:eastAsiaTheme="minorEastAsia"/>
          <w:color w:val="000000" w:themeColor="text1"/>
          <w:szCs w:val="21"/>
          <w14:textFill>
            <w14:solidFill>
              <w14:schemeClr w14:val="tx1"/>
            </w14:solidFill>
          </w14:textFill>
        </w:rPr>
        <w:t xml:space="preserve">应及时通知</w:t>
      </w:r>
      <w:r>
        <w:rPr>
          <w:rFonts w:hint="eastAsia" w:asciiTheme="minorEastAsia" w:hAnsiTheme="minorEastAsia" w:eastAsiaTheme="minorEastAsia"/>
          <w:color w:val="000000" w:themeColor="text1"/>
          <w:szCs w:val="21"/>
          <w14:textFill>
            <w14:solidFill>
              <w14:schemeClr w14:val="tx1"/>
            </w14:solidFill>
          </w14:textFill>
        </w:rPr>
        <w:t xml:space="preserve">对</w:t>
      </w:r>
      <w:r>
        <w:rPr>
          <w:rFonts w:asciiTheme="minorEastAsia" w:hAnsiTheme="minorEastAsia" w:eastAsiaTheme="minorEastAsia"/>
          <w:color w:val="000000" w:themeColor="text1"/>
          <w:szCs w:val="21"/>
          <w14:textFill>
            <w14:solidFill>
              <w14:schemeClr w14:val="tx1"/>
            </w14:solidFill>
          </w14:textFill>
        </w:rPr>
        <w:t xml:space="preserve">方</w:t>
      </w:r>
      <w:r>
        <w:rPr>
          <w:rFonts w:hint="eastAsia" w:asciiTheme="minorEastAsia" w:hAnsiTheme="minorEastAsia" w:eastAsiaTheme="minorEastAsia"/>
          <w:color w:val="000000" w:themeColor="text1"/>
          <w:szCs w:val="21"/>
          <w14:textFill>
            <w14:solidFill>
              <w14:schemeClr w14:val="tx1"/>
            </w14:solidFill>
          </w14:textFill>
        </w:rPr>
        <w:t xml:space="preserve">，以减轻可能给对方造成的损失</w:t>
      </w:r>
      <w:r>
        <w:rPr>
          <w:rFonts w:asciiTheme="minorEastAsia" w:hAnsiTheme="minorEastAsia" w:eastAsiaTheme="minorEastAsia"/>
          <w:color w:val="000000" w:themeColor="text1"/>
          <w:szCs w:val="21"/>
          <w14:textFill>
            <w14:solidFill>
              <w14:schemeClr w14:val="tx1"/>
            </w14:solidFill>
          </w14:textFill>
        </w:rPr>
        <w:t xml:space="preserve">，并应</w:t>
      </w:r>
      <w:r>
        <w:rPr>
          <w:rFonts w:hint="eastAsia" w:asciiTheme="minorEastAsia" w:hAnsiTheme="minorEastAsia" w:eastAsiaTheme="minorEastAsia"/>
          <w:color w:val="000000" w:themeColor="text1"/>
          <w:szCs w:val="21"/>
          <w14:textFill>
            <w14:solidFill>
              <w14:schemeClr w14:val="tx1"/>
            </w14:solidFill>
          </w14:textFill>
        </w:rPr>
        <w:t xml:space="preserve">在合理期限内</w:t>
      </w:r>
      <w:r>
        <w:rPr>
          <w:rFonts w:asciiTheme="minorEastAsia" w:hAnsiTheme="minorEastAsia" w:eastAsiaTheme="minorEastAsia"/>
          <w:color w:val="000000" w:themeColor="text1"/>
          <w:szCs w:val="21"/>
          <w14:textFill>
            <w14:solidFill>
              <w14:schemeClr w14:val="tx1"/>
            </w14:solidFill>
          </w14:textFill>
        </w:rPr>
        <w:t xml:space="preserve">提供证明</w:t>
      </w:r>
      <w:r>
        <w:rPr>
          <w:rFonts w:hint="eastAsia" w:asciiTheme="minorEastAsia" w:hAnsiTheme="minorEastAsia" w:eastAsiaTheme="minorEastAsia"/>
          <w:color w:val="000000" w:themeColor="text1"/>
          <w:szCs w:val="21"/>
          <w14:textFill>
            <w14:solidFill>
              <w14:schemeClr w14:val="tx1"/>
            </w14:solidFill>
          </w14:textFill>
        </w:rPr>
        <w:t xml:space="preserve">，按事件对本合同的影响程度，双方协商是否终止本合同，或部分免除本合同的义务。</w:t>
      </w:r>
      <w:r/>
    </w:p>
    <w:p>
      <w:pPr>
        <w:pStyle w:val="840"/>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五</w:t>
      </w:r>
      <w:r>
        <w:rPr>
          <w:rFonts w:asciiTheme="minorEastAsia" w:hAnsiTheme="minorEastAsia" w:eastAsiaTheme="minorEastAsia"/>
          <w:b/>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争议解决</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双方在</w:t>
      </w:r>
      <w:r>
        <w:rPr>
          <w:rFonts w:hint="eastAsia" w:asciiTheme="minorEastAsia" w:hAnsiTheme="minorEastAsia" w:eastAsiaTheme="minorEastAsia"/>
          <w:color w:val="000000" w:themeColor="text1"/>
          <w:szCs w:val="21"/>
          <w14:textFill>
            <w14:solidFill>
              <w14:schemeClr w14:val="tx1"/>
            </w14:solidFill>
          </w14:textFill>
        </w:rPr>
        <w:t xml:space="preserve">履行</w:t>
      </w:r>
      <w:r>
        <w:rPr>
          <w:rFonts w:asciiTheme="minorEastAsia" w:hAnsiTheme="minorEastAsia" w:eastAsiaTheme="minorEastAsia"/>
          <w:color w:val="000000" w:themeColor="text1"/>
          <w:szCs w:val="21"/>
          <w14:textFill>
            <w14:solidFill>
              <w14:schemeClr w14:val="tx1"/>
            </w14:solidFill>
          </w14:textFill>
        </w:rPr>
        <w:t xml:space="preserve">合同中发生的一切争议，应通过协商解决。如协商不成，可向合同签订地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法院</w:t>
      </w:r>
      <w:r>
        <w:rPr>
          <w:rFonts w:hint="eastAsia" w:asciiTheme="minorEastAsia" w:hAnsiTheme="minorEastAsia" w:eastAsiaTheme="minorEastAsia"/>
          <w:color w:val="000000" w:themeColor="text1"/>
          <w:szCs w:val="21"/>
          <w14:textFill>
            <w14:solidFill>
              <w14:schemeClr w14:val="tx1"/>
            </w14:solidFill>
          </w14:textFill>
        </w:rPr>
        <w:t xml:space="preserve">提起诉讼</w:t>
      </w:r>
      <w:r>
        <w:rPr>
          <w:rFonts w:asciiTheme="minorEastAsia" w:hAnsiTheme="minorEastAsia" w:eastAsiaTheme="minorEastAsia"/>
          <w:color w:val="000000" w:themeColor="text1"/>
          <w:szCs w:val="21"/>
          <w14:textFill>
            <w14:solidFill>
              <w14:schemeClr w14:val="tx1"/>
            </w14:solidFill>
          </w14:textFill>
        </w:rPr>
        <w:t xml:space="preserve">，合同签订地在此约定为南京市。</w:t>
      </w:r>
      <w:r/>
    </w:p>
    <w:p>
      <w:pPr>
        <w:pStyle w:val="840"/>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十六、组成本合同的文件</w:t>
      </w:r>
      <w:r/>
    </w:p>
    <w:p>
      <w:pPr>
        <w:pStyle w:val="840"/>
        <w:ind w:left="440"/>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下列文件为本合同不可分割部分，与本合同具有同等法律效力：（1）中标（成交）通知书；</w:t>
      </w:r>
      <w:r/>
    </w:p>
    <w:p>
      <w:pPr>
        <w:pStyle w:val="840"/>
        <w:ind w:left="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（2）甲方的招标（采购）文件及其它补充文件；</w:t>
      </w:r>
      <w:r/>
    </w:p>
    <w:p>
      <w:pPr>
        <w:pStyle w:val="840"/>
        <w:ind w:left="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（3）乙方的投标（响应）文件及其它补充文件；</w:t>
      </w:r>
      <w:r/>
    </w:p>
    <w:p>
      <w:pPr>
        <w:pStyle w:val="840"/>
        <w:ind w:left="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（4）乙方在采购过程中所作的其它书面承诺、声明、澄清等。</w:t>
      </w:r>
      <w:r/>
    </w:p>
    <w:p>
      <w:pPr>
        <w:pStyle w:val="840"/>
        <w:ind w:firstLine="442"/>
        <w:spacing w:before="120" w:after="120"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十</w:t>
      </w:r>
      <w:r>
        <w:rPr>
          <w:rFonts w:hint="eastAsia" w:asciiTheme="minorEastAsia" w:hAnsiTheme="minorEastAsia" w:eastAsiaTheme="minorEastAsia"/>
          <w:b/>
          <w:color w:val="000000" w:themeColor="text1"/>
          <w:szCs w:val="21"/>
          <w14:textFill>
            <w14:solidFill>
              <w14:schemeClr w14:val="tx1"/>
            </w14:solidFill>
          </w14:textFill>
        </w:rPr>
        <w:t xml:space="preserve">七</w:t>
      </w:r>
      <w:r>
        <w:rPr>
          <w:rFonts w:asciiTheme="minorEastAsia" w:hAnsiTheme="minorEastAsia" w:eastAsiaTheme="minorEastAsia"/>
          <w:b/>
          <w:color w:val="000000" w:themeColor="text1"/>
          <w:szCs w:val="21"/>
          <w14:textFill>
            <w14:solidFill>
              <w14:schemeClr w14:val="tx1"/>
            </w14:solidFill>
          </w14:textFill>
        </w:rPr>
        <w:t xml:space="preserve">、合同生效及其它</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1.合同经双方法定代表人或授权代</w:t>
      </w:r>
      <w:r>
        <w:rPr>
          <w:rFonts w:hint="eastAsia" w:asciiTheme="minorEastAsia" w:hAnsiTheme="minorEastAsia" w:eastAsiaTheme="minorEastAsia"/>
          <w:color w:val="000000" w:themeColor="text1"/>
          <w:szCs w:val="21"/>
          <w14:textFill>
            <w14:solidFill>
              <w14:schemeClr w14:val="tx1"/>
            </w14:solidFill>
          </w14:textFill>
        </w:rPr>
        <w:t xml:space="preserve">表</w:t>
      </w:r>
      <w:r>
        <w:rPr>
          <w:rFonts w:asciiTheme="minorEastAsia" w:hAnsiTheme="minorEastAsia" w:eastAsiaTheme="minorEastAsia"/>
          <w:color w:val="000000" w:themeColor="text1"/>
          <w:szCs w:val="21"/>
          <w14:textFill>
            <w14:solidFill>
              <w14:schemeClr w14:val="tx1"/>
            </w14:solidFill>
          </w14:textFill>
        </w:rPr>
        <w:t xml:space="preserve">人签字并加盖单位</w:t>
      </w:r>
      <w:r>
        <w:rPr>
          <w:rFonts w:hint="eastAsia" w:asciiTheme="minorEastAsia" w:hAnsiTheme="minorEastAsia" w:eastAsiaTheme="minorEastAsia"/>
          <w:color w:val="000000" w:themeColor="text1"/>
          <w:szCs w:val="21"/>
          <w14:textFill>
            <w14:solidFill>
              <w14:schemeClr w14:val="tx1"/>
            </w14:solidFill>
          </w14:textFill>
        </w:rPr>
        <w:t xml:space="preserve">公</w:t>
      </w:r>
      <w:r>
        <w:rPr>
          <w:rFonts w:asciiTheme="minorEastAsia" w:hAnsiTheme="minorEastAsia" w:eastAsiaTheme="minorEastAsia"/>
          <w:color w:val="000000" w:themeColor="text1"/>
          <w:szCs w:val="2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（合同专用章）</w:t>
      </w:r>
      <w:r>
        <w:rPr>
          <w:rFonts w:asciiTheme="minorEastAsia" w:hAnsiTheme="minorEastAsia" w:eastAsiaTheme="minorEastAsia"/>
          <w:color w:val="000000" w:themeColor="text1"/>
          <w:szCs w:val="21"/>
          <w14:textFill>
            <w14:solidFill>
              <w14:schemeClr w14:val="tx1"/>
            </w14:solidFill>
          </w14:textFill>
        </w:rPr>
        <w:t xml:space="preserve">后生效。</w:t>
      </w:r>
      <w:r/>
    </w:p>
    <w:p>
      <w:pPr>
        <w:ind w:left="2"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2.本合同未尽事宜</w:t>
      </w:r>
      <w:r>
        <w:rPr>
          <w:rFonts w:hint="eastAsia" w:asciiTheme="minorEastAsia" w:hAnsiTheme="minorEastAsia" w:eastAsiaTheme="minorEastAsia"/>
          <w:color w:val="000000" w:themeColor="text1"/>
          <w:szCs w:val="21"/>
          <w14:textFill>
            <w14:solidFill>
              <w14:schemeClr w14:val="tx1"/>
            </w14:solidFill>
          </w14:textFill>
        </w:rPr>
        <w:t xml:space="preserve">遵照</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中华人民共和国民法典</w:t>
      </w:r>
      <w:r>
        <w:rPr>
          <w:rFonts w:asciiTheme="minorEastAsia" w:hAnsiTheme="minorEastAsia" w:eastAsiaTheme="minorEastAsia"/>
          <w:color w:val="000000" w:themeColor="text1"/>
          <w:szCs w:val="21"/>
          <w14:textFill>
            <w14:solidFill>
              <w14:schemeClr w14:val="tx1"/>
            </w14:solidFill>
          </w14:textFill>
        </w:rPr>
        <w:t xml:space="preserve">》有关条文执行。</w:t>
      </w:r>
      <w:r>
        <w:rPr>
          <w:rFonts w:hint="eastAsia" w:asciiTheme="minorEastAsia" w:hAnsiTheme="minorEastAsia" w:eastAsiaTheme="minorEastAsia"/>
          <w:color w:val="000000" w:themeColor="text1"/>
          <w:szCs w:val="21"/>
          <w14:textFill>
            <w14:solidFill>
              <w14:schemeClr w14:val="tx1"/>
            </w14:solidFill>
          </w14:textFill>
        </w:rPr>
        <w:t xml:space="preserve">对本合同内容的任何修改和变更由甲乙双方协商后达成书面补充协议，并经双方签字且加盖单位公章或合同专用章后生效，补充协议与本合同具有同等法律效力。</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3.本合同正本一式</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份，具有同等法律效力</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甲</w:t>
      </w:r>
      <w:r>
        <w:rPr>
          <w:rFonts w:hint="eastAsia" w:asciiTheme="minorEastAsia" w:hAnsiTheme="minorEastAsia" w:eastAsiaTheme="minorEastAsia"/>
          <w:color w:val="000000" w:themeColor="text1"/>
          <w:szCs w:val="21"/>
          <w14:textFill>
            <w14:solidFill>
              <w14:schemeClr w14:val="tx1"/>
            </w14:solidFill>
          </w14:textFill>
        </w:rPr>
        <w:t xml:space="preserve">方</w:t>
      </w:r>
      <w:r>
        <w:rPr>
          <w:rFonts w:asciiTheme="minorEastAsia" w:hAnsiTheme="minorEastAsia" w:eastAsiaTheme="minorEastAsia"/>
          <w:color w:val="000000" w:themeColor="text1"/>
          <w:szCs w:val="21"/>
          <w14:textFill>
            <w14:solidFill>
              <w14:schemeClr w14:val="tx1"/>
            </w14:solidFill>
          </w14:textFill>
        </w:rPr>
        <w:t xml:space="preserve">执</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份</w:t>
      </w:r>
      <w:r>
        <w:rPr>
          <w:rFonts w:hint="eastAsia" w:asciiTheme="minorEastAsia" w:hAnsiTheme="minorEastAsia" w:eastAsiaTheme="minorEastAsia"/>
          <w:color w:val="000000" w:themeColor="text1"/>
          <w:szCs w:val="21"/>
          <w14:textFill>
            <w14:solidFill>
              <w14:schemeClr w14:val="tx1"/>
            </w14:solidFill>
          </w14:textFill>
        </w:rPr>
        <w:t xml:space="preserve">，乙方执</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份</w:t>
      </w:r>
      <w:r>
        <w:rPr>
          <w:rFonts w:asciiTheme="minorEastAsia" w:hAnsiTheme="minorEastAsia" w:eastAsiaTheme="minorEastAsia"/>
          <w:color w:val="000000" w:themeColor="text1"/>
          <w:szCs w:val="21"/>
          <w14:textFill>
            <w14:solidFill>
              <w14:schemeClr w14:val="tx1"/>
            </w14:solidFill>
          </w14:textFill>
        </w:rPr>
        <w:t xml:space="preserve">。</w:t>
      </w:r>
      <w:r/>
    </w:p>
    <w:p>
      <w:pPr>
        <w:pStyle w:val="840"/>
        <w:ind w:firstLine="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4.其它约定：</w:t>
      </w:r>
      <w:r/>
    </w:p>
    <w:p>
      <w:pPr>
        <w:pStyle w:val="8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840"/>
        <w:ind w:left="420" w:hanging="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甲方（盖章）：</w:t>
      </w:r>
      <w:r>
        <w:rPr>
          <w:rFonts w:hint="eastAsia" w:asciiTheme="minorEastAsia" w:hAnsiTheme="minorEastAsia" w:eastAsiaTheme="minorEastAsia"/>
          <w:color w:val="000000" w:themeColor="text1"/>
          <w:szCs w:val="21"/>
          <w:lang w:val="en-US"/>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乙方（盖章）：</w:t>
      </w:r>
      <w:r/>
    </w:p>
    <w:p>
      <w:pPr>
        <w:pStyle w:val="840"/>
        <w:ind w:left="420" w:hanging="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地址：</w:t>
      </w:r>
      <w:r>
        <w:rPr>
          <w:rFonts w:hint="eastAsia" w:asciiTheme="minorEastAsia" w:hAnsiTheme="minorEastAsia" w:eastAsiaTheme="minorEastAsia"/>
          <w:color w:val="000000" w:themeColor="text1"/>
          <w:szCs w:val="21"/>
          <w:lang w:val="en-US"/>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地址：</w:t>
      </w:r>
      <w:r/>
    </w:p>
    <w:p>
      <w:pPr>
        <w:pStyle w:val="840"/>
        <w:ind w:left="420" w:hanging="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法定</w:t>
      </w:r>
      <w:r>
        <w:rPr>
          <w:rFonts w:hint="eastAsia" w:asciiTheme="minorEastAsia" w:hAnsiTheme="minorEastAsia" w:eastAsiaTheme="minorEastAsia"/>
          <w:color w:val="000000" w:themeColor="text1"/>
          <w:szCs w:val="21"/>
          <w14:textFill>
            <w14:solidFill>
              <w14:schemeClr w14:val="tx1"/>
            </w14:solidFill>
          </w14:textFill>
        </w:rPr>
        <w:t xml:space="preserve">（授权）</w:t>
      </w:r>
      <w:r>
        <w:rPr>
          <w:rFonts w:asciiTheme="minorEastAsia" w:hAnsiTheme="minorEastAsia" w:eastAsiaTheme="minorEastAsia"/>
          <w:color w:val="000000" w:themeColor="text1"/>
          <w:szCs w:val="21"/>
          <w14:textFill>
            <w14:solidFill>
              <w14:schemeClr w14:val="tx1"/>
            </w14:solidFill>
          </w14:textFill>
        </w:rPr>
        <w:t xml:space="preserve">代表人</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法定（授权）代表人 ：    </w:t>
      </w:r>
      <w:r>
        <w:rPr>
          <w:rFonts w:asciiTheme="minorEastAsia" w:hAnsiTheme="minorEastAsia" w:eastAsiaTheme="minorEastAsia"/>
          <w:color w:val="000000" w:themeColor="text1"/>
          <w:szCs w:val="21"/>
          <w14:textFill>
            <w14:solidFill>
              <w14:schemeClr w14:val="tx1"/>
            </w14:solidFill>
          </w14:textFill>
        </w:rPr>
        <w:t xml:space="preserve"> </w:t>
      </w:r>
      <w:r/>
    </w:p>
    <w:p>
      <w:pPr>
        <w:pStyle w:val="840"/>
        <w:ind w:left="420" w:hanging="44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开户银行：</w:t>
      </w:r>
      <w:r/>
    </w:p>
    <w:p>
      <w:pPr>
        <w:pStyle w:val="840"/>
        <w:ind w:left="440" w:firstLine="3520"/>
        <w:spacing w:before="120" w:after="12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账    号：</w:t>
      </w:r>
      <w:r>
        <w:rPr>
          <w:rFonts w:asciiTheme="minorEastAsia" w:hAnsiTheme="minorEastAsia" w:eastAsiaTheme="minorEastAsia"/>
          <w:color w:val="000000" w:themeColor="text1"/>
          <w:szCs w:val="21"/>
          <w14:textFill>
            <w14:solidFill>
              <w14:schemeClr w14:val="tx1"/>
            </w14:solidFill>
          </w14:textFill>
        </w:rPr>
        <w:t xml:space="preserve">                        </w:t>
      </w:r>
      <w:r/>
    </w:p>
    <w:p>
      <w:pPr>
        <w:pStyle w:val="840"/>
        <w:spacing w:line="360" w:lineRule="auto"/>
        <w:rPr>
          <w:rFonts w:ascii="Times New Roman" w:hAnsi="Times New Roman"/>
          <w:color w:val="000000" w:themeColor="text1"/>
          <w:szCs w:val="21"/>
          <w14:textFill>
            <w14:solidFill>
              <w14:schemeClr w14:val="tx1"/>
            </w14:solidFill>
          </w14:textFill>
        </w:rPr>
        <w:sectPr>
          <w:footerReference w:type="default" r:id="rId11"/>
          <w:footnotePr/>
          <w:endnotePr/>
          <w:type w:val="nextPage"/>
          <w:pgSz w:w="11906" w:h="16838" w:orient="portrait"/>
          <w:pgMar w:top="1440" w:right="1080" w:bottom="1440" w:left="1080" w:header="850" w:footer="850" w:gutter="0"/>
          <w:cols w:num="1" w:sep="0" w:space="720" w:equalWidth="1"/>
          <w:docGrid w:linePitch="360"/>
        </w:sectPr>
      </w:pPr>
      <w:r>
        <w:rPr>
          <w:rFonts w:hint="eastAsia" w:asciiTheme="minorEastAsia" w:hAnsiTheme="minorEastAsia" w:eastAsiaTheme="minorEastAsia"/>
          <w:color w:val="000000" w:themeColor="text1"/>
          <w:szCs w:val="21"/>
          <w14:textFill>
            <w14:solidFill>
              <w14:schemeClr w14:val="tx1"/>
            </w14:solidFill>
          </w14:textFill>
        </w:rPr>
        <w:t xml:space="preserve">签约时间：  年   月   日           签约时间：  年   月   日          </w:t>
      </w:r>
      <w:r/>
    </w:p>
    <w:p>
      <w:pPr>
        <w:ind w:right="85"/>
        <w:jc w:val="center"/>
        <w:spacing w:line="360" w:lineRule="auto"/>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第六章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投标文件格式及附件</w:t>
      </w:r>
      <w:bookmarkEnd w:id="101"/>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ind w:right="87"/>
        <w:jc w:val="center"/>
        <w:spacing w:line="360" w:lineRule="auto"/>
        <w:rPr>
          <w:b/>
          <w:color w:val="000000" w:themeColor="text1"/>
          <w:sz w:val="72"/>
          <w14:textFill>
            <w14:solidFill>
              <w14:schemeClr w14:val="tx1"/>
            </w14:solidFill>
          </w14:textFill>
        </w:rPr>
      </w:pPr>
      <w:r>
        <w:rPr>
          <w:b/>
          <w:color w:val="000000" w:themeColor="text1"/>
          <w:sz w:val="72"/>
          <w14:textFill>
            <w14:solidFill>
              <w14:schemeClr w14:val="tx1"/>
            </w14:solidFill>
          </w14:textFill>
        </w:rPr>
        <w:t xml:space="preserve">投标文件</w:t>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项目编号： </w:t>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项目名称：</w:t>
      </w:r>
      <w:r/>
    </w:p>
    <w:p>
      <w:pPr>
        <w:ind w:left="223" w:right="52" w:firstLine="1084"/>
        <w:spacing w:line="360" w:lineRule="auto"/>
        <w:rPr>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t xml:space="preserve">投标人</w:t>
      </w:r>
      <w:r>
        <w:rPr>
          <w:b/>
          <w:color w:val="000000" w:themeColor="text1"/>
          <w:sz w:val="36"/>
          <w14:textFill>
            <w14:solidFill>
              <w14:schemeClr w14:val="tx1"/>
            </w14:solidFill>
          </w14:textFill>
        </w:rPr>
        <w:t xml:space="preserve">名称： </w:t>
      </w:r>
      <w:r/>
    </w:p>
    <w:p>
      <w:pPr>
        <w:ind w:left="223" w:right="52" w:firstLine="1084"/>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日期：</w:t>
      </w:r>
      <w:r/>
    </w:p>
    <w:p>
      <w:pPr>
        <w:spacing w:line="360" w:lineRule="auto"/>
        <w:rPr>
          <w:color w:val="000000" w:themeColor="text1"/>
          <w:sz w:val="36"/>
          <w14:textFill>
            <w14:solidFill>
              <w14:schemeClr w14:val="tx1"/>
            </w14:solidFill>
          </w14:textFill>
        </w:rPr>
        <w:sectPr>
          <w:headerReference w:type="default" r:id="rId9"/>
          <w:footerReference w:type="default" r:id="rId12"/>
          <w:footnotePr/>
          <w:endnotePr/>
          <w:type w:val="nextPage"/>
          <w:pgSz w:w="11910" w:h="16840" w:orient="portrait"/>
          <w:pgMar w:top="1134" w:right="1134" w:bottom="1134" w:left="1134" w:header="567" w:footer="567" w:gutter="0"/>
          <w:cols w:num="1" w:sep="0" w:space="720" w:equalWidth="1"/>
          <w:docGrid w:linePitch="360"/>
        </w:sectPr>
      </w:pPr>
      <w:r>
        <w:rPr>
          <w:color w:val="000000" w:themeColor="text1"/>
          <w:sz w:val="36"/>
          <w14:textFill>
            <w14:solidFill>
              <w14:schemeClr w14:val="tx1"/>
            </w14:solidFill>
          </w14:textFill>
        </w:rPr>
      </w:r>
      <w:r/>
    </w:p>
    <w:p>
      <w:pPr>
        <w:spacing w:line="360" w:lineRule="auto"/>
        <w:rPr>
          <w:b/>
          <w:color w:val="000000" w:themeColor="text1"/>
          <w:sz w:val="17"/>
          <w:szCs w:val="21"/>
          <w14:textFill>
            <w14:solidFill>
              <w14:schemeClr w14:val="tx1"/>
            </w14:solidFill>
          </w14:textFill>
        </w:rPr>
      </w:pPr>
      <w:r>
        <w:rPr>
          <w:b/>
          <w:color w:val="000000" w:themeColor="text1"/>
          <w:sz w:val="17"/>
          <w:szCs w:val="21"/>
          <w14:textFill>
            <w14:solidFill>
              <w14:schemeClr w14:val="tx1"/>
            </w14:solidFill>
          </w14:textFill>
        </w:rPr>
      </w:r>
      <w:r/>
    </w:p>
    <w:p>
      <w:pPr>
        <w:jc w:val="center"/>
        <w:rPr>
          <w:b/>
          <w:bCs/>
          <w:color w:val="000000" w:themeColor="text1"/>
          <w:sz w:val="28"/>
          <w:szCs w:val="28"/>
          <w14:textFill>
            <w14:solidFill>
              <w14:schemeClr w14:val="tx1"/>
            </w14:solidFill>
          </w14:textFill>
        </w:rPr>
        <w:outlineLvl w:val="1"/>
      </w:pPr>
      <w:r/>
      <w:bookmarkStart w:id="102" w:name="_Toc489655320"/>
      <w:r>
        <w:rPr>
          <w:rFonts w:hint="eastAsia"/>
          <w:b/>
          <w:bCs/>
          <w:color w:val="000000" w:themeColor="text1"/>
          <w:sz w:val="28"/>
          <w:szCs w:val="28"/>
          <w14:textFill>
            <w14:solidFill>
              <w14:schemeClr w14:val="tx1"/>
            </w14:solidFill>
          </w14:textFill>
        </w:rPr>
        <w:t xml:space="preserve">投标文件主要目录</w:t>
      </w:r>
      <w:bookmarkEnd w:id="102"/>
      <w:r>
        <w:rPr>
          <w:rFonts w:hint="eastAsia"/>
          <w:b/>
          <w:bCs/>
          <w:color w:val="000000" w:themeColor="text1"/>
          <w:sz w:val="28"/>
          <w:szCs w:val="28"/>
          <w14:textFill>
            <w14:solidFill>
              <w14:schemeClr w14:val="tx1"/>
            </w14:solidFill>
          </w14:textFill>
        </w:rPr>
        <w:t xml:space="preserve">及相关证明材料格式、附件</w:t>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一、</w:t>
      </w:r>
      <w:r>
        <w:rPr>
          <w:rFonts w:hint="eastAsia"/>
          <w:color w:val="000000" w:themeColor="text1"/>
          <w:sz w:val="28"/>
          <w:szCs w:val="28"/>
          <w14:textFill>
            <w14:solidFill>
              <w14:schemeClr w14:val="tx1"/>
            </w14:solidFill>
          </w14:textFill>
        </w:rPr>
        <w:t xml:space="preserve">投标申请及声明</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二、</w:t>
      </w:r>
      <w:r>
        <w:rPr>
          <w:rFonts w:hint="eastAsia"/>
          <w:color w:val="000000" w:themeColor="text1"/>
          <w:sz w:val="28"/>
          <w:szCs w:val="28"/>
          <w14:textFill>
            <w14:solidFill>
              <w14:schemeClr w14:val="tx1"/>
            </w14:solidFill>
          </w14:textFill>
        </w:rPr>
        <w:t xml:space="preserve">法定代表人授权书</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三、</w:t>
      </w:r>
      <w:r>
        <w:rPr>
          <w:rFonts w:hint="eastAsia"/>
          <w:color w:val="000000" w:themeColor="text1"/>
          <w:sz w:val="28"/>
          <w:szCs w:val="28"/>
          <w14:textFill>
            <w14:solidFill>
              <w14:schemeClr w14:val="tx1"/>
            </w14:solidFill>
          </w14:textFill>
        </w:rPr>
        <w:t xml:space="preserve">开标一览表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四、</w:t>
      </w:r>
      <w:r>
        <w:rPr>
          <w:rFonts w:hint="eastAsia"/>
          <w:color w:val="000000" w:themeColor="text1"/>
          <w:sz w:val="28"/>
          <w:szCs w:val="28"/>
          <w14:textFill>
            <w14:solidFill>
              <w14:schemeClr w14:val="tx1"/>
            </w14:solidFill>
          </w14:textFill>
        </w:rPr>
        <w:t xml:space="preserve">分项报价表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五、</w:t>
      </w:r>
      <w:r>
        <w:rPr>
          <w:rFonts w:hint="eastAsia"/>
          <w:color w:val="000000" w:themeColor="text1"/>
          <w:sz w:val="28"/>
          <w:szCs w:val="28"/>
          <w14:textFill>
            <w14:solidFill>
              <w14:schemeClr w14:val="tx1"/>
            </w14:solidFill>
          </w14:textFill>
        </w:rPr>
        <w:t xml:space="preserve">技术条款偏离表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六、</w:t>
      </w:r>
      <w:r>
        <w:rPr>
          <w:rFonts w:hint="eastAsia"/>
          <w:color w:val="000000" w:themeColor="text1"/>
          <w:sz w:val="28"/>
          <w:szCs w:val="28"/>
          <w14:textFill>
            <w14:solidFill>
              <w14:schemeClr w14:val="tx1"/>
            </w14:solidFill>
          </w14:textFill>
        </w:rPr>
        <w:t xml:space="preserve">商务条款偏离表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七、</w:t>
      </w:r>
      <w:r>
        <w:rPr>
          <w:rFonts w:hint="eastAsia"/>
          <w:color w:val="000000" w:themeColor="text1"/>
          <w:sz w:val="28"/>
          <w:szCs w:val="28"/>
          <w14:textFill>
            <w14:solidFill>
              <w14:schemeClr w14:val="tx1"/>
            </w14:solidFill>
          </w14:textFill>
        </w:rPr>
        <w:t xml:space="preserve">技术说明或服务方案</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八、</w:t>
      </w:r>
      <w:r>
        <w:rPr>
          <w:rFonts w:hint="eastAsia"/>
          <w:color w:val="000000" w:themeColor="text1"/>
          <w:sz w:val="28"/>
          <w:szCs w:val="28"/>
          <w14:textFill>
            <w14:solidFill>
              <w14:schemeClr w14:val="tx1"/>
            </w14:solidFill>
          </w14:textFill>
        </w:rPr>
        <w:t xml:space="preserve">拟参与本项目服务人员一览表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九、</w:t>
      </w:r>
      <w:r>
        <w:rPr>
          <w:rFonts w:hint="eastAsia"/>
          <w:color w:val="000000" w:themeColor="text1"/>
          <w:sz w:val="28"/>
          <w:szCs w:val="28"/>
          <w14:textFill>
            <w14:solidFill>
              <w14:schemeClr w14:val="tx1"/>
            </w14:solidFill>
          </w14:textFill>
        </w:rPr>
        <w:t xml:space="preserve">投标人类似业绩情况</w:t>
      </w:r>
      <w:r/>
    </w:p>
    <w:p>
      <w:pPr>
        <w:ind w:left="425"/>
        <w:spacing w:line="360" w:lineRule="auto"/>
        <w:tabs>
          <w:tab w:val="left" w:pos="1145" w:leader="none"/>
        </w:tabs>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十、投标需要的其他证明文件及材料（若有）</w:t>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附件一、中小企业声明函格式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附件二、无重大违法记录声明格式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附件三、具备履行合同所必需的设备和专业技术能力的声明格式及证明材料</w:t>
      </w:r>
      <w:r/>
    </w:p>
    <w:p>
      <w:pPr>
        <w:pStyle w:val="1086"/>
        <w:spacing w:after="0"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附件四、残疾人福利性单位声明函格式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附件五、属于监狱企业的证明文件</w:t>
      </w:r>
      <w:r/>
    </w:p>
    <w:p>
      <w:pPr>
        <w:spacing w:line="360" w:lineRule="auto"/>
        <w:rPr>
          <w:rFonts w:ascii="Times New Roman"/>
          <w:color w:val="000000" w:themeColor="text1"/>
          <w:sz w:val="20"/>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000000" w:themeColor="text1"/>
          <w:sz w:val="28"/>
          <w:szCs w:val="28"/>
          <w14:textFill>
            <w14:solidFill>
              <w14:schemeClr w14:val="tx1"/>
            </w14:solidFill>
          </w14:textFill>
        </w:rPr>
        <w:t xml:space="preserve">附件六、关于符合本国产品标准的声明函</w:t>
      </w:r>
      <w:r/>
    </w:p>
    <w:p>
      <w:pPr>
        <w:spacing w:line="360" w:lineRule="auto"/>
        <w:rPr>
          <w:b/>
          <w:color w:val="000000" w:themeColor="text1"/>
          <w:sz w:val="39"/>
          <w14:textFill>
            <w14:solidFill>
              <w14:schemeClr w14:val="tx1"/>
            </w14:solidFill>
          </w14:textFill>
        </w:rPr>
      </w:pPr>
      <w:r>
        <w:rPr>
          <w:b/>
          <w:color w:val="000000" w:themeColor="text1"/>
          <w:sz w:val="21"/>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投标申请及声明</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rFonts w:ascii="黑体"/>
          <w:color w:val="000000" w:themeColor="text1"/>
          <w:sz w:val="8"/>
          <w:szCs w:val="21"/>
          <w14:textFill>
            <w14:solidFill>
              <w14:schemeClr w14:val="tx1"/>
            </w14:solidFill>
          </w14:textFill>
        </w:rPr>
      </w:pPr>
      <w:r>
        <w:rPr>
          <w:rFonts w:ascii="黑体"/>
          <w:color w:val="000000" w:themeColor="text1"/>
          <w:sz w:val="8"/>
          <w:szCs w:val="21"/>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致：</w:t>
      </w:r>
      <w:r>
        <w:rPr>
          <w:rFonts w:hint="eastAsia"/>
          <w:color w:val="000000" w:themeColor="text1"/>
          <w:sz w:val="21"/>
          <w:szCs w:val="21"/>
          <w14:textFill>
            <w14:solidFill>
              <w14:schemeClr w14:val="tx1"/>
            </w14:solidFill>
          </w14:textFill>
        </w:rPr>
        <w:t xml:space="preserve">江苏开放大学</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据此函，签字人兹宣布声明和承诺如下：</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1.我方的资格条件符合政府采购法和本次招标要求，我方同意并向贵方提供了与投标有关的所有证据和资料。</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2.按招标要求，我方投标的报价总价为人民币（小写）</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元，（大写）</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3.合同履行期限：自合同签订之日起</w:t>
      </w:r>
      <w:r>
        <w:rPr>
          <w:color w:val="000000" w:themeColor="text1"/>
          <w:sz w:val="21"/>
          <w:szCs w:val="21"/>
          <w:u w:val="single"/>
          <w14:textFill>
            <w14:solidFill>
              <w14:schemeClr w14:val="tx1"/>
            </w14:solidFill>
          </w14:textFill>
        </w:rPr>
        <w:t xml:space="preserve">  </w:t>
      </w:r>
      <w:r>
        <w:rPr>
          <w:color w:val="000000" w:themeColor="text1"/>
          <w:sz w:val="21"/>
          <w:szCs w:val="21"/>
          <w14:textFill>
            <w14:solidFill>
              <w14:schemeClr w14:val="tx1"/>
            </w14:solidFill>
          </w14:textFill>
        </w:rPr>
        <w:t xml:space="preserve">个工作日内完成交付、安装调试并验收合格。</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4.我方参加本次采购活动前三年内，在经营活动中没有重大违法记录。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6.我方在全国范围内未受过财政部门禁止参加政府采购活动的处罚，或禁止参加政府采购活动的处罚期限已满。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7.我方没有为本采购项目提供整体设计、规范编制，以及项目管理、监理、检测等服务。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9.我方与参与本次采购活动的其他供应商的法定代表人或委托代理人无夫妻、直系血亲关系。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10.我方与参与本次采购活动的其他供应商的负责人不是同一人，也不存在直接控股、管理关系。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12.我方同意从规定的开标日期起遵循本投标文件，并在规定的投标有效期期满之前均具有约束力。</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13.一旦我方中标，将根据招标文件的规定严格履行合同，并保证按承诺的时间完成服务的启动/集成、调试等服务，交付采购人验收、使用。</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15</w:t>
      </w:r>
      <w:r>
        <w:rPr>
          <w:color w:val="000000" w:themeColor="text1"/>
          <w:sz w:val="21"/>
          <w:szCs w:val="21"/>
          <w14:textFill>
            <w14:solidFill>
              <w14:schemeClr w14:val="tx1"/>
            </w14:solidFill>
          </w14:textFill>
        </w:rPr>
        <w:t xml:space="preserve">、与本投标有关的正式联系方式为：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地址：</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电话：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传真：</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开户银行：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银行账号：</w:t>
      </w:r>
      <w:r/>
    </w:p>
    <w:p>
      <w:pPr>
        <w:ind w:firstLine="420"/>
        <w:spacing w:line="360" w:lineRule="auto"/>
        <w:tabs>
          <w:tab w:val="left" w:pos="968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供应商授权代表姓名（签</w:t>
      </w:r>
      <w:r>
        <w:rPr>
          <w:rFonts w:hint="eastAsia"/>
          <w:color w:val="000000" w:themeColor="text1"/>
          <w:sz w:val="21"/>
          <w:szCs w:val="21"/>
          <w14:textFill>
            <w14:solidFill>
              <w14:schemeClr w14:val="tx1"/>
            </w14:solidFill>
          </w14:textFill>
        </w:rPr>
        <w:t xml:space="preserve">字</w:t>
      </w:r>
      <w:r>
        <w:rPr>
          <w:color w:val="000000" w:themeColor="text1"/>
          <w:sz w:val="21"/>
          <w:szCs w:val="21"/>
          <w14:textFill>
            <w14:solidFill>
              <w14:schemeClr w14:val="tx1"/>
            </w14:solidFill>
          </w14:textFill>
        </w:rPr>
        <w:t xml:space="preserve">）：</w:t>
      </w:r>
      <w:r/>
    </w:p>
    <w:p>
      <w:pPr>
        <w:ind w:firstLine="420"/>
        <w:spacing w:line="360" w:lineRule="auto"/>
        <w:tabs>
          <w:tab w:val="left" w:pos="352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供应商名称（盖章）：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目录二、法定代表人授权书</w:t>
      </w:r>
      <w:r>
        <w:rPr>
          <w:rFonts w:hint="eastAsia"/>
          <w:b/>
          <w:color w:val="000000" w:themeColor="text1"/>
          <w:sz w:val="21"/>
          <w:lang w:val="en-US"/>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法定代表人授权委托书</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本授权书于年月 日签字生效，特此声明。</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法定代表人签字：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授权委托人签字：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投标人：（盖章）</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日期：年月 日</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20"/>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被授权人身份证正反面：</w:t>
      </w:r>
      <w:r/>
    </w:p>
    <w:p>
      <w:pPr>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br w:type="page" w:clear="all"/>
      </w:r>
      <w:r/>
    </w:p>
    <w:p>
      <w:pPr>
        <w:ind w:firstLine="420"/>
        <w:spacing w:line="360" w:lineRule="auto"/>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widowControl/>
        <w:rPr>
          <w:b/>
          <w:color w:val="000000" w:themeColor="text1"/>
          <w:sz w:val="21"/>
          <w:szCs w:val="21"/>
          <w14:textFill>
            <w14:solidFill>
              <w14:schemeClr w14:val="tx1"/>
            </w14:solidFill>
          </w14:textFill>
        </w:rPr>
        <w:outlineLvl w:val="1"/>
      </w:pPr>
      <w:r>
        <w:rPr>
          <w:rFonts w:hint="eastAsia"/>
          <w:b/>
          <w:color w:val="000000" w:themeColor="text1"/>
          <w:sz w:val="21"/>
          <w:szCs w:val="21"/>
          <w:lang w:val="en-US"/>
          <w14:textFill>
            <w14:solidFill>
              <w14:schemeClr w14:val="tx1"/>
            </w14:solidFill>
          </w14:textFill>
        </w:rPr>
        <w:t xml:space="preserve">目录</w:t>
      </w:r>
      <w:r>
        <w:rPr>
          <w:rFonts w:hint="eastAsia"/>
          <w:b/>
          <w:color w:val="000000" w:themeColor="text1"/>
          <w:sz w:val="21"/>
          <w:szCs w:val="21"/>
          <w14:textFill>
            <w14:solidFill>
              <w14:schemeClr w14:val="tx1"/>
            </w14:solidFill>
          </w14:textFill>
        </w:rPr>
        <w:t xml:space="preserve">三、开标一览表</w:t>
      </w:r>
      <w:r/>
    </w:p>
    <w:p>
      <w:pPr>
        <w:pStyle w:val="1087"/>
        <w:jc w:val="center"/>
        <w:keepLines w:val="0"/>
        <w:keepNext w:val="0"/>
        <w:widowControl/>
        <w:rPr>
          <w:color w:val="000000" w:themeColor="text1"/>
          <w14:textFill>
            <w14:solidFill>
              <w14:schemeClr w14:val="tx1"/>
            </w14:solidFill>
          </w14:textFill>
        </w:rPr>
      </w:pPr>
      <w:r>
        <w:rPr>
          <w:rStyle w:val="1088"/>
          <w:rFonts w:hint="eastAsia" w:cs="宋体"/>
          <w:b/>
          <w:bCs w:val="0"/>
          <w:color w:val="000000" w:themeColor="text1"/>
          <w:sz w:val="36"/>
          <w:szCs w:val="36"/>
          <w14:textFill>
            <w14:solidFill>
              <w14:schemeClr w14:val="tx1"/>
            </w14:solidFill>
          </w14:textFill>
        </w:rPr>
        <w:t xml:space="preserve">开标一览表（总价）</w:t>
      </w:r>
      <w:r/>
    </w:p>
    <w:p>
      <w:pPr>
        <w:pStyle w:val="1090"/>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投标人全称（CA公章）：供应商名称 </w:t>
      </w:r>
      <w:r/>
    </w:p>
    <w:p>
      <w:pPr>
        <w:pStyle w:val="1090"/>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项目名称：</w:t>
      </w:r>
      <w:r/>
    </w:p>
    <w:p>
      <w:pPr>
        <w:pStyle w:val="1090"/>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项目编号：</w:t>
      </w:r>
      <w:r/>
    </w:p>
    <w:p>
      <w:pPr>
        <w:pStyle w:val="1090"/>
        <w:rPr>
          <w:color w:val="000000" w:themeColor="text1"/>
          <w14:textFill>
            <w14:solidFill>
              <w14:schemeClr w14:val="tx1"/>
            </w14:solidFill>
          </w14:textFill>
        </w:rPr>
      </w:pPr>
      <w:r>
        <w:rPr>
          <w:rFonts w:hint="eastAsia"/>
          <w:color w:val="000000" w:themeColor="text1"/>
          <w:sz w:val="21"/>
          <w:szCs w:val="20"/>
          <w14:textFill>
            <w14:solidFill>
              <w14:schemeClr w14:val="tx1"/>
            </w14:solidFill>
          </w14:textFill>
        </w:rPr>
        <w:t xml:space="preserve">分包号：</w:t>
      </w:r>
      <w:r/>
    </w:p>
    <w:tbl>
      <w:tblPr>
        <w:tblStyle w:val="828"/>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09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投标项目名称</w:t>
            </w:r>
            <w:r/>
          </w:p>
        </w:tc>
        <w:tc>
          <w:tcPr>
            <w:tcW w:w="2416" w:type="dxa"/>
            <w:vAlign w:val="center"/>
            <w:textDirection w:val="lrTb"/>
            <w:noWrap w:val="false"/>
          </w:tcPr>
          <w:p>
            <w:pPr>
              <w:pStyle w:val="109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总价（小写）</w:t>
            </w:r>
            <w:r/>
          </w:p>
        </w:tc>
      </w:tr>
      <w:tr>
        <w:trPr>
          <w:tblCellSpacing w:w="15" w:type="dxa"/>
          <w:trHeight w:val="825"/>
        </w:trPr>
        <w:tc>
          <w:tcPr>
            <w:tcW w:w="898"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 投标项目名称 </w:t>
            </w:r>
            <w:r/>
          </w:p>
        </w:tc>
        <w:tc>
          <w:tcPr>
            <w:tcW w:w="2416" w:type="dxa"/>
            <w:vAlign w:val="center"/>
            <w:textDirection w:val="lrTb"/>
            <w:noWrap w:val="false"/>
          </w:tcPr>
          <w:p>
            <w:pPr>
              <w:pStyle w:val="109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r>
              <w:rPr>
                <w:rFonts w:hint="eastAsia"/>
                <w:color w:val="000000" w:themeColor="text1"/>
                <w:sz w:val="21"/>
                <w:szCs w:val="21"/>
                <w14:textFill>
                  <w14:solidFill>
                    <w14:schemeClr w14:val="tx1"/>
                  </w14:solidFill>
                </w14:textFill>
              </w:rPr>
              <w:fldChar w:fldCharType="begin"/>
            </w:r>
            <w:r>
              <w:rPr>
                <w:rFonts w:hint="eastAsia"/>
                <w:color w:val="000000" w:themeColor="text1"/>
                <w:sz w:val="21"/>
                <w:szCs w:val="21"/>
                <w14:textFill>
                  <w14:solidFill>
                    <w14:schemeClr w14:val="tx1"/>
                  </w14:solidFill>
                </w14:textFill>
              </w:rPr>
              <w:instrText xml:space="preserve"> CONTROL Forms.HTML:Text.1 \s </w:instrText>
            </w:r>
            <w:r>
              <w:rPr>
                <w:rFonts w:hint="eastAsia"/>
                <w:color w:val="000000" w:themeColor="text1"/>
                <w:sz w:val="21"/>
                <w:szCs w:val="21"/>
                <w14:textFill>
                  <w14:solidFill>
                    <w14:schemeClr w14:val="tx1"/>
                  </w14:solidFill>
                </w14:textFill>
              </w:rPr>
              <w:fldChar w:fldCharType="separate"/>
            </w:r>
            <w:r>
              <w:rPr>
                <w:rFonts w:hint="eastAsia"/>
                <w:color w:val="000000" w:themeColor="text1"/>
                <w:sz w:val="21"/>
                <w:szCs w:val="2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themeColor="text1"/>
                <w:sz w:val="21"/>
                <w:szCs w:val="21"/>
                <w14:textFill>
                  <w14:solidFill>
                    <w14:schemeClr w14:val="tx1"/>
                  </w14:solidFill>
                </w14:textFill>
              </w:rPr>
              <w:fldChar w:fldCharType="end"/>
            </w:r>
            <w:r>
              <w:rPr>
                <w:rFonts w:hint="eastAsia"/>
                <w:color w:val="000000" w:themeColor="text1"/>
                <w:sz w:val="21"/>
                <w:szCs w:val="21"/>
                <w14:textFill>
                  <w14:solidFill>
                    <w14:schemeClr w14:val="tx1"/>
                  </w14:solidFill>
                </w14:textFill>
              </w:rPr>
              <w:t xml:space="preserve"> 元</w:t>
            </w:r>
            <w:r/>
          </w:p>
        </w:tc>
      </w:tr>
    </w:tbl>
    <w:p>
      <w:pPr>
        <w:ind w:firstLine="420"/>
        <w:spacing w:line="360" w:lineRule="auto"/>
        <w:rPr>
          <w:color w:val="000000" w:themeColor="text1"/>
          <w:sz w:val="21"/>
          <w:szCs w:val="21"/>
          <w14:textFill>
            <w14:solidFill>
              <w14:schemeClr w14:val="tx1"/>
            </w14:solidFill>
          </w14:textFill>
        </w:rPr>
      </w:pPr>
      <w:r>
        <w:rPr>
          <w:rFonts w:hint="eastAsia"/>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7" name="图片 3"/>
                <wp:cNvGraphicFramePr/>
                <a:graphic xmlns:a="http://schemas.openxmlformats.org/drawingml/2006/main">
                  <a:graphicData uri="http://schemas.openxmlformats.org/drawingml/2006/picture">
                    <pic:pic xmlns:pic="http://schemas.openxmlformats.org/drawingml/2006/picture">
                      <pic:nvPicPr>
                        <pic:cNvPr id="7" name="图片 3"/>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年</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8"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16"/>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月</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9"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16"/>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日</w:t>
      </w:r>
      <w:r/>
    </w:p>
    <w:p>
      <w:pPr>
        <w:ind w:firstLine="440"/>
        <w:spacing w:line="360" w:lineRule="auto"/>
        <w:rPr>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lang w:val="en-US"/>
          <w14:textFill>
            <w14:solidFill>
              <w14:schemeClr w14:val="tx1"/>
            </w14:solidFill>
          </w14:textFill>
        </w:rPr>
      </w:r>
      <w:r/>
    </w:p>
    <w:p>
      <w:pPr>
        <w:ind w:firstLine="422"/>
        <w:spacing w:line="360" w:lineRule="auto"/>
        <w:rPr>
          <w:b/>
          <w:color w:val="000000" w:themeColor="text1"/>
          <w:sz w:val="21"/>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b/>
          <w:color w:val="000000" w:themeColor="text1"/>
          <w:sz w:val="21"/>
          <w14:textFill>
            <w14:solidFill>
              <w14:schemeClr w14:val="tx1"/>
            </w14:solidFill>
          </w14:textFill>
        </w:rPr>
        <w:br w:type="page" w:clear="all"/>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目录四、分项报价表格式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分项报价表</w:t>
      </w:r>
      <w:r/>
    </w:p>
    <w:p>
      <w:pPr>
        <w:ind w:firstLine="420"/>
        <w:spacing w:line="360" w:lineRule="auto"/>
        <w:tabs>
          <w:tab w:val="left" w:pos="6952"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项目名称：</w:t>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 xml:space="preserve">项目编号：</w:t>
      </w:r>
      <w:r/>
    </w:p>
    <w:p>
      <w:pPr>
        <w:jc w:val="center"/>
        <w:spacing w:line="360" w:lineRule="auto"/>
        <w:widowControl/>
        <w:rPr>
          <w:rFonts w:hAnsi="Times New Roman"/>
          <w:bCs/>
          <w:color w:val="000000" w:themeColor="text1"/>
          <w:sz w:val="21"/>
          <w:szCs w:val="21"/>
          <w:lang w:bidi="ar-SA"/>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000000" w:themeColor="text1"/>
          <w:sz w:val="21"/>
          <w:szCs w:val="21"/>
          <w:lang w:bidi="ar-SA"/>
          <w14:textFill>
            <w14:solidFill>
              <w14:schemeClr w14:val="tx1"/>
            </w14:solidFill>
          </w14:textFill>
        </w:rPr>
      </w:r>
      <w:r/>
    </w:p>
    <w:tbl>
      <w:tblPr>
        <w:tblStyle w:val="828"/>
        <w:tblW w:w="10348"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0"/>
        <w:gridCol w:w="1701"/>
        <w:gridCol w:w="1560"/>
        <w:gridCol w:w="1275"/>
      </w:tblGrid>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品牌/规格/型号/产地 </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数量 </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交付时间</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备注</w:t>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本表仅供参考，</w:t>
      </w:r>
      <w:r>
        <w:rPr>
          <w:color w:val="000000" w:themeColor="text1"/>
          <w:sz w:val="21"/>
          <w:szCs w:val="21"/>
          <w14:textFill>
            <w14:solidFill>
              <w14:schemeClr w14:val="tx1"/>
            </w14:solidFill>
          </w14:textFill>
        </w:rPr>
        <w:t xml:space="preserve">供应商可以根据实际情况自行罗列相关子项目，并将相关报价罗列于上述“分项报价表”中；行数不够，自行添加。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lang w:val="en-US"/>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color w:val="000000" w:themeColor="text1"/>
          <w:sz w:val="21"/>
          <w:szCs w:val="21"/>
          <w:lang w:val="en-US"/>
          <w14:textFill>
            <w14:solidFill>
              <w14:schemeClr w14:val="tx1"/>
            </w14:solidFill>
          </w14:textFill>
        </w:rPr>
      </w:r>
      <w:r/>
    </w:p>
    <w:p>
      <w:pPr>
        <w:spacing w:line="360" w:lineRule="auto"/>
        <w:rPr>
          <w:color w:val="000000" w:themeColor="text1"/>
          <w:sz w:val="19"/>
          <w:szCs w:val="21"/>
          <w14:textFill>
            <w14:solidFill>
              <w14:schemeClr w14:val="tx1"/>
            </w14:solidFill>
          </w14:textFill>
        </w:rPr>
      </w:pPr>
      <w:r>
        <w:rPr>
          <w:color w:val="000000" w:themeColor="text1"/>
          <w:sz w:val="19"/>
          <w:szCs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、技术条款偏离表格式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技术条款偏离表</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000000" w:themeColor="text1"/>
          <w:sz w:val="36"/>
          <w14:textFill>
            <w14:solidFill>
              <w14:schemeClr w14:val="tx1"/>
            </w14:solidFill>
          </w14:textFill>
        </w:rPr>
      </w:r>
      <w:r/>
    </w:p>
    <w:p>
      <w:pPr>
        <w:ind w:left="240"/>
        <w:spacing w:line="360" w:lineRule="auto"/>
        <w:tabs>
          <w:tab w:val="left" w:pos="6736"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项目名称：</w:t>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 xml:space="preserve">项目编号：</w:t>
      </w:r>
      <w:r/>
    </w:p>
    <w:tbl>
      <w:tblPr>
        <w:tblStyle w:val="8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招标要求条款</w:t>
            </w:r>
            <w:r/>
          </w:p>
        </w:tc>
        <w:tc>
          <w:tcPr>
            <w:tcW w:w="324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11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110" w:type="dxa"/>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8"/>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bl>
    <w:p>
      <w:pPr>
        <w:spacing w:line="360" w:lineRule="auto"/>
        <w:rPr>
          <w:color w:val="000000" w:themeColor="text1"/>
          <w:sz w:val="10"/>
          <w:szCs w:val="21"/>
          <w14:textFill>
            <w14:solidFill>
              <w14:schemeClr w14:val="tx1"/>
            </w14:solidFill>
          </w14:textFill>
        </w:rPr>
      </w:pPr>
      <w:r>
        <w:rPr>
          <w:color w:val="000000" w:themeColor="text1"/>
          <w:sz w:val="10"/>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说明：1、如果行数不够，请自行增加</w:t>
      </w:r>
      <w:r>
        <w:rPr>
          <w:rFonts w:hint="eastAsia"/>
          <w:color w:val="000000" w:themeColor="text1"/>
          <w:sz w:val="21"/>
          <w:szCs w:val="21"/>
          <w14:textFill>
            <w14:solidFill>
              <w14:schemeClr w14:val="tx1"/>
            </w14:solidFill>
          </w14:textFill>
        </w:rPr>
        <w:t xml:space="preserve">。</w:t>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color w:val="000000" w:themeColor="text1"/>
          <w:sz w:val="2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六</w:t>
      </w:r>
      <w:r>
        <w:rPr>
          <w:b/>
          <w:color w:val="000000" w:themeColor="text1"/>
          <w:sz w:val="21"/>
          <w14:textFill>
            <w14:solidFill>
              <w14:schemeClr w14:val="tx1"/>
            </w14:solidFill>
          </w14:textFill>
        </w:rPr>
        <w:t xml:space="preserve">、商务条款偏离表</w:t>
      </w:r>
      <w:r>
        <w:rPr>
          <w:rFonts w:hint="eastAsia"/>
          <w:b/>
          <w:color w:val="000000" w:themeColor="text1"/>
          <w:sz w:val="21"/>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商务条款偏离表</w:t>
      </w:r>
      <w:r/>
    </w:p>
    <w:p>
      <w:pP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ind w:firstLine="420"/>
        <w:spacing w:line="360" w:lineRule="auto"/>
        <w:rPr>
          <w:color w:val="000000" w:themeColor="text1"/>
          <w:sz w:val="6"/>
          <w:szCs w:val="21"/>
          <w14:textFill>
            <w14:solidFill>
              <w14:schemeClr w14:val="tx1"/>
            </w14:solidFill>
          </w14:textFill>
        </w:rPr>
      </w:pPr>
      <w:r>
        <w:rPr>
          <w:color w:val="000000" w:themeColor="text1"/>
          <w:sz w:val="21"/>
          <w:szCs w:val="21"/>
          <w14:textFill>
            <w14:solidFill>
              <w14:schemeClr w14:val="tx1"/>
            </w14:solidFill>
          </w14:textFill>
        </w:rPr>
        <w:t xml:space="preserve">项目名称：项目编号：</w:t>
      </w:r>
      <w:r/>
    </w:p>
    <w:tbl>
      <w:tblPr>
        <w:tblStyle w:val="8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招标文件要求的商务条款</w:t>
            </w:r>
            <w:r/>
          </w:p>
        </w:tc>
        <w:tc>
          <w:tcPr>
            <w:tcW w:w="2873"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519" w:type="dxa"/>
            <w:vAlign w:val="center"/>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519" w:type="dxa"/>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bl>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ind w:firstLine="300"/>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说明：如果行数不够，请自行增加。</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七</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技术</w:t>
      </w:r>
      <w:r>
        <w:rPr>
          <w:b/>
          <w:color w:val="000000" w:themeColor="text1"/>
          <w:sz w:val="21"/>
          <w14:textFill>
            <w14:solidFill>
              <w14:schemeClr w14:val="tx1"/>
            </w14:solidFill>
          </w14:textFill>
        </w:rPr>
        <w:t xml:space="preserve">方案</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技术</w:t>
      </w:r>
      <w:r>
        <w:rPr>
          <w:rFonts w:asciiTheme="minorEastAsia" w:hAnsiTheme="minorEastAsia" w:eastAsiaTheme="minorEastAsia"/>
          <w:b/>
          <w:color w:val="000000" w:themeColor="text1"/>
          <w:sz w:val="36"/>
          <w14:textFill>
            <w14:solidFill>
              <w14:schemeClr w14:val="tx1"/>
            </w14:solidFill>
          </w14:textFill>
        </w:rPr>
        <w:t xml:space="preserve">方案（</w:t>
      </w:r>
      <w:r>
        <w:rPr>
          <w:rFonts w:hint="eastAsia" w:asciiTheme="minorEastAsia" w:hAnsiTheme="minorEastAsia" w:eastAsiaTheme="minorEastAsia"/>
          <w:b/>
          <w:color w:val="000000" w:themeColor="text1"/>
          <w:sz w:val="36"/>
          <w14:textFill>
            <w14:solidFill>
              <w14:schemeClr w14:val="tx1"/>
            </w14:solidFill>
          </w14:textFill>
        </w:rPr>
        <w:t xml:space="preserve">内容自拟</w:t>
      </w:r>
      <w:r>
        <w:rPr>
          <w:rFonts w:asciiTheme="minorEastAsia" w:hAnsiTheme="minorEastAsia" w:eastAsiaTheme="minorEastAsia"/>
          <w:b/>
          <w:color w:val="000000" w:themeColor="text1"/>
          <w:sz w:val="36"/>
          <w14:textFill>
            <w14:solidFill>
              <w14:schemeClr w14:val="tx1"/>
            </w14:solidFill>
          </w14:textFill>
        </w:rPr>
        <w:t xml:space="preserve">）</w:t>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八</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拟参与本项目供货人员一览表</w:t>
      </w:r>
      <w:r/>
    </w:p>
    <w:p>
      <w:pPr>
        <w:contextualSpacing/>
        <w:ind w:firstLine="360"/>
        <w:jc w:val="cente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拟参与本项目供货人员一览表</w:t>
      </w:r>
      <w:r/>
    </w:p>
    <w:p>
      <w:pPr>
        <w:spacing w:line="360" w:lineRule="auto"/>
        <w:rPr>
          <w:color w:val="000000" w:themeColor="text1"/>
          <w:sz w:val="21"/>
          <w:szCs w:val="21"/>
          <w14:textFill>
            <w14:solidFill>
              <w14:schemeClr w14:val="tx1"/>
            </w14:solidFill>
          </w14:textFill>
        </w:rPr>
        <w:sectPr>
          <w:footnotePr/>
          <w:endnotePr/>
          <w:type w:val="continuous"/>
          <w:pgSz w:w="11910" w:h="16840" w:orient="portrait"/>
          <w:pgMar w:top="1134" w:right="1134" w:bottom="1134" w:left="1134" w:header="567" w:footer="720" w:gutter="0"/>
          <w:cols w:num="1" w:sep="0" w:space="720" w:equalWidth="1"/>
          <w:docGrid w:linePitch="360"/>
        </w:sectPr>
      </w:pPr>
      <w:r>
        <w:rPr>
          <w:color w:val="000000" w:themeColor="text1"/>
          <w:sz w:val="21"/>
          <w:szCs w:val="21"/>
          <w14:textFill>
            <w14:solidFill>
              <w14:schemeClr w14:val="tx1"/>
            </w14:solidFill>
          </w14:textFill>
        </w:rPr>
      </w:r>
      <w:r/>
    </w:p>
    <w:tbl>
      <w:tblPr>
        <w:tblStyle w:val="828"/>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ind w:firstLine="21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供应商名称：（盖章）</w:t>
      </w:r>
      <w:r/>
    </w:p>
    <w:p>
      <w:pPr>
        <w:ind w:firstLine="210"/>
        <w:spacing w:line="360" w:lineRule="auto"/>
        <w:rPr>
          <w:bCs/>
          <w:color w:val="000000" w:themeColor="text1"/>
          <w:sz w:val="21"/>
          <w14:textFill>
            <w14:solidFill>
              <w14:schemeClr w14:val="tx1"/>
            </w14:solidFill>
          </w14:textFill>
        </w:rPr>
      </w:pPr>
      <w:r>
        <w:rPr>
          <w:bCs/>
          <w:color w:val="000000" w:themeColor="text1"/>
          <w:sz w:val="21"/>
          <w14:textFill>
            <w14:solidFill>
              <w14:schemeClr w14:val="tx1"/>
            </w14:solidFill>
          </w14:textFill>
        </w:rPr>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说明：</w:t>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lang w:val="en-US"/>
          <w14:textFill>
            <w14:solidFill>
              <w14:schemeClr w14:val="tx1"/>
            </w14:solidFill>
          </w14:textFill>
        </w:rPr>
        <w:t xml:space="preserve">1、</w:t>
      </w:r>
      <w:r>
        <w:rPr>
          <w:rFonts w:hint="eastAsia"/>
          <w:bCs/>
          <w:color w:val="000000" w:themeColor="text1"/>
          <w:sz w:val="21"/>
          <w14:textFill>
            <w14:solidFill>
              <w14:schemeClr w14:val="tx1"/>
            </w14:solidFill>
          </w14:textFill>
        </w:rPr>
        <w:t xml:space="preserve">如果行数不够，请自行增加。</w:t>
      </w:r>
      <w:r/>
    </w:p>
    <w:p>
      <w:pPr>
        <w:spacing w:line="360" w:lineRule="auto"/>
        <w:rPr>
          <w:bCs/>
          <w:color w:val="000000" w:themeColor="text1"/>
          <w:sz w:val="21"/>
          <w:lang w:val="en-US"/>
          <w14:textFill>
            <w14:solidFill>
              <w14:schemeClr w14:val="tx1"/>
            </w14:solidFill>
          </w14:textFill>
        </w:rPr>
      </w:pPr>
      <w:r>
        <w:rPr>
          <w:bCs/>
          <w:color w:val="000000" w:themeColor="text1"/>
          <w:sz w:val="2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九</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相关承诺</w:t>
      </w:r>
      <w:r/>
    </w:p>
    <w:p>
      <w:pPr>
        <w:jc w:val="center"/>
        <w:spacing w:line="360" w:lineRule="auto"/>
        <w:rPr>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相关承诺</w:t>
      </w:r>
      <w:r>
        <w:rPr>
          <w:rFonts w:asciiTheme="minorEastAsia" w:hAnsiTheme="minorEastAsia" w:eastAsiaTheme="minorEastAsia"/>
          <w:b/>
          <w:color w:val="000000" w:themeColor="text1"/>
          <w:sz w:val="36"/>
          <w14:textFill>
            <w14:solidFill>
              <w14:schemeClr w14:val="tx1"/>
            </w14:solidFill>
          </w14:textFill>
        </w:rPr>
        <w:t xml:space="preserve">（若有</w:t>
      </w:r>
      <w:r>
        <w:rPr>
          <w:color w:val="000000" w:themeColor="text1"/>
          <w:sz w:val="36"/>
          <w14:textFill>
            <w14:solidFill>
              <w14:schemeClr w14:val="tx1"/>
            </w14:solidFill>
          </w14:textFill>
        </w:rPr>
        <w:t xml:space="preserve">）</w:t>
      </w:r>
      <w:r/>
    </w:p>
    <w:p>
      <w:pPr>
        <w:pStyle w:val="833"/>
        <w:rPr>
          <w:color w:val="000000" w:themeColor="text1"/>
          <w14:textFill>
            <w14:solidFill>
              <w14:schemeClr w14:val="tx1"/>
            </w14:solidFill>
          </w14:textFill>
        </w:r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目录十、投标需要的其他证明文件及材料</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投标需要的其他证明文件及材料（若有）</w:t>
      </w:r>
      <w:r/>
    </w:p>
    <w:p>
      <w:pPr>
        <w:pStyle w:val="833"/>
        <w:rPr>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附件一、中小企业声明函格式</w:t>
      </w:r>
      <w:r/>
    </w:p>
    <w:p>
      <w:pPr>
        <w:ind w:firstLine="482"/>
        <w:jc w:val="center"/>
        <w:spacing w:line="360" w:lineRule="auto"/>
        <w:rPr>
          <w:rFonts w:asciiTheme="majorEastAsia" w:hAnsiTheme="majorEastAsia" w:eastAsiaTheme="majorEastAsia" w:cstheme="minorBidi"/>
          <w:b/>
          <w:color w:val="000000" w:themeColor="text1"/>
          <w:sz w:val="24"/>
          <w:szCs w:val="24"/>
          <w14:textFill>
            <w14:solidFill>
              <w14:schemeClr w14:val="tx1"/>
            </w14:solidFill>
          </w14:textFill>
        </w:rPr>
      </w:pPr>
      <w:r>
        <w:rPr>
          <w:rFonts w:hint="eastAsia" w:asciiTheme="majorEastAsia" w:hAnsiTheme="majorEastAsia" w:eastAsiaTheme="majorEastAsia" w:cstheme="minorBidi"/>
          <w:b/>
          <w:color w:val="000000" w:themeColor="text1"/>
          <w:sz w:val="24"/>
          <w:szCs w:val="24"/>
          <w14:textFill>
            <w14:solidFill>
              <w14:schemeClr w14:val="tx1"/>
            </w14:solidFill>
          </w14:textFill>
        </w:rPr>
        <w:t xml:space="preserve">中小企业声明函（货物）</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1、（标的名称），属于（工业）行业；制造商为（企业名称），从业人员人，营业收入为万元，资产总额为万元，属于（中型企业、小型 企业、微型企业）；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2、（标的名称），属于（工业）行业；制造商为（企业名称），从业人员人，营业收入为万元，资产总额为万元，属于（中型企业、小型 企业、微型企业）；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本企业对上述声明内容的真实性负责。如有虚假，将依法承担相应责任。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企业名称（盖章）：</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日期：</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注2：从业人员、营业收入、资产总额填报上一年度数据，无上一年度数据的新成立企业可不填报。</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注3：供应商如不提供此声明函，价格将不做相应扣除。</w:t>
      </w:r>
      <w:r/>
    </w:p>
    <w:p>
      <w:pPr>
        <w:ind w:firstLine="420"/>
        <w:spacing w:line="480" w:lineRule="auto"/>
        <w:tabs>
          <w:tab w:val="left" w:pos="610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00"/>
        <w:spacing w:line="48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firstLine="400"/>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附件二、无重大违法记录声明格式</w:t>
      </w:r>
      <w:r/>
    </w:p>
    <w:p>
      <w:pPr>
        <w:ind w:right="87"/>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无重大违法记录声明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参加政府采购活动前 3 年内在经营活动中（在下划线上如实填写：有或没有）重大违法记录。</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tabs>
          <w:tab w:val="left" w:pos="589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三</w:t>
      </w:r>
      <w:r>
        <w:rPr>
          <w:b/>
          <w:color w:val="000000" w:themeColor="text1"/>
          <w:sz w:val="21"/>
          <w14:textFill>
            <w14:solidFill>
              <w14:schemeClr w14:val="tx1"/>
            </w14:solidFill>
          </w14:textFill>
        </w:rPr>
        <w:t xml:space="preserve">、具备履行合同所必需的设备和专业技术能力的声明格式及证明材料</w:t>
      </w:r>
      <w:r/>
    </w:p>
    <w:p>
      <w:pPr>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具备履行合同所必需的设备和专业技术能力的声明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江苏开放大学</w:t>
      </w:r>
      <w:r>
        <w:rPr>
          <w:color w:val="000000" w:themeColor="text1"/>
          <w:sz w:val="21"/>
          <w:szCs w:val="21"/>
          <w14:textFill>
            <w14:solidFill>
              <w14:schemeClr w14:val="tx1"/>
            </w14:solidFill>
          </w14:textFill>
        </w:rPr>
        <w:t xml:space="preserve">：</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我公司具备履行本项采购合同所必需的设备和专业技术能力，为履行本项采购合同我单位具备如下主要设备和主要专业技术能力：</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主要设备有：。(若有)</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主要专业技术能力有：。(若有)</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ind w:right="330"/>
        <w:spacing w:line="360" w:lineRule="auto"/>
        <w:tabs>
          <w:tab w:val="left" w:pos="5940" w:leader="none"/>
        </w:tabs>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四</w:t>
      </w:r>
      <w:r>
        <w:rPr>
          <w:b/>
          <w:color w:val="000000" w:themeColor="text1"/>
          <w:sz w:val="21"/>
          <w14:textFill>
            <w14:solidFill>
              <w14:schemeClr w14:val="tx1"/>
            </w14:solidFill>
          </w14:textFill>
        </w:rPr>
        <w:t xml:space="preserve">、残疾人福利性单位声明函格式</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jc w:val="center"/>
        <w:spacing w:line="360" w:lineRule="auto"/>
        <w:rPr>
          <w:b/>
          <w:color w:val="000000" w:themeColor="text1"/>
          <w:sz w:val="24"/>
          <w14:textFill>
            <w14:solidFill>
              <w14:schemeClr w14:val="tx1"/>
            </w14:solidFill>
          </w14:textFill>
        </w:rPr>
      </w:pPr>
      <w:r/>
      <w:bookmarkStart w:id="103" w:name="残疾人福利性单位声明函"/>
      <w:r/>
      <w:bookmarkEnd w:id="103"/>
      <w:r>
        <w:rPr>
          <w:b/>
          <w:color w:val="000000" w:themeColor="text1"/>
          <w:sz w:val="24"/>
          <w14:textFill>
            <w14:solidFill>
              <w14:schemeClr w14:val="tx1"/>
            </w14:solidFill>
          </w14:textFill>
        </w:rPr>
        <w:t xml:space="preserve">残疾人福利性单位声明函</w:t>
      </w:r>
      <w:r/>
    </w:p>
    <w:p>
      <w:pPr>
        <w:spacing w:line="360" w:lineRule="auto"/>
        <w:rPr>
          <w:b/>
          <w:color w:val="000000" w:themeColor="text1"/>
          <w:sz w:val="24"/>
          <w:szCs w:val="21"/>
          <w14:textFill>
            <w14:solidFill>
              <w14:schemeClr w14:val="tx1"/>
            </w14:solidFill>
          </w14:textFill>
        </w:rPr>
      </w:pPr>
      <w:r>
        <w:rPr>
          <w:b/>
          <w:color w:val="000000" w:themeColor="text1"/>
          <w:sz w:val="24"/>
          <w:szCs w:val="21"/>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本单位对上述声明的真实性负责。如有虚假，将依法承担相应责任。</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单位名称（盖章）：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w:t>
      </w:r>
      <w:bookmarkStart w:id="104" w:name="附件五、属于监狱企业的证明文件"/>
      <w:r/>
      <w:bookmarkEnd w:id="104"/>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、属于监狱企业的证明文件</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spacing w:line="360" w:lineRule="auto"/>
        <w:rPr>
          <w:rFonts w:ascii="黑体" w:eastAsia="黑体"/>
          <w:color w:val="000000" w:themeColor="text1"/>
          <w:sz w:val="36"/>
          <w14:textFill>
            <w14:solidFill>
              <w14:schemeClr w14:val="tx1"/>
            </w14:solidFill>
          </w14:textFill>
        </w:rPr>
      </w:pPr>
      <w:r>
        <w:rPr>
          <w:color w:val="000000" w:themeColor="text1"/>
          <w:sz w:val="21"/>
          <w:szCs w:val="21"/>
          <w14:textFill>
            <w14:solidFill>
              <w14:schemeClr w14:val="tx1"/>
            </w14:solidFill>
          </w14:textFill>
        </w:rPr>
        <w:t xml:space="preserve">提供由省级以上监狱管理局、戒毒管理局(含新疆生产建设兵团)出具的属于监狱企业的证明文件。</w:t>
      </w:r>
      <w:bookmarkEnd w:id="0"/>
      <w:r/>
      <w:bookmarkEnd w:id="1"/>
      <w:r/>
      <w:r/>
    </w:p>
    <w:p>
      <w:pPr>
        <w:spacing w:line="360" w:lineRule="auto"/>
        <w:rPr>
          <w:b/>
          <w:bCs/>
          <w:color w:val="000000" w:themeColor="text1"/>
          <w:sz w:val="28"/>
          <w:szCs w:val="28"/>
          <w14:textFill>
            <w14:solidFill>
              <w14:schemeClr w14:val="tx1"/>
            </w14:solidFill>
          </w14:textFill>
        </w:rPr>
      </w:pPr>
      <w:r/>
      <w:bookmarkStart w:id="105" w:name="OLE_LINK31"/>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pStyle w:val="837"/>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7"/>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7"/>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7"/>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7"/>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7"/>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7"/>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7"/>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7"/>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37"/>
        <w:ind w:left="1320"/>
        <w:rPr>
          <w:color w:val="000000" w:themeColor="text1"/>
          <w14:textFill>
            <w14:solidFill>
              <w14:schemeClr w14:val="tx1"/>
            </w14:solidFill>
          </w14:textFill>
        </w:rPr>
      </w:pPr>
      <w:r>
        <w:rPr>
          <w:color w:val="000000" w:themeColor="text1"/>
          <w14:textFill>
            <w14:solidFill>
              <w14:schemeClr w14:val="tx1"/>
            </w14:solidFill>
          </w14:textFill>
        </w:rPr>
      </w:r>
      <w:r/>
    </w:p>
    <w:p>
      <w:pPr>
        <w:pStyle w:val="837"/>
        <w:ind w:left="1320"/>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rFonts w:hint="eastAsia"/>
          <w:b/>
          <w:color w:val="000000" w:themeColor="text1"/>
          <w:sz w:val="21"/>
          <w14:textFill>
            <w14:solidFill>
              <w14:schemeClr w14:val="tx1"/>
            </w14:solidFill>
          </w14:textFill>
        </w:rPr>
        <w:t xml:space="preserve">附件六、</w:t>
      </w:r>
      <w:r>
        <w:rPr>
          <w:rFonts w:hint="eastAsia"/>
          <w:b/>
          <w:color w:val="000000" w:themeColor="text1"/>
          <w:sz w:val="21"/>
          <w:lang w:val="en-US"/>
          <w14:textFill>
            <w14:solidFill>
              <w14:schemeClr w14:val="tx1"/>
            </w14:solidFill>
          </w14:textFill>
        </w:rPr>
        <w:t xml:space="preserve">关于</w:t>
      </w:r>
      <w:r>
        <w:rPr>
          <w:rFonts w:hint="eastAsia"/>
          <w:b/>
          <w:color w:val="000000" w:themeColor="text1"/>
          <w:sz w:val="21"/>
          <w14:textFill>
            <w14:solidFill>
              <w14:schemeClr w14:val="tx1"/>
            </w14:solidFill>
          </w14:textFill>
        </w:rPr>
        <w:t xml:space="preserve">符合本国产品标准的声明函</w:t>
      </w:r>
      <w:r/>
    </w:p>
    <w:p>
      <w:pPr>
        <w:jc w:val="center"/>
        <w:spacing w:line="360" w:lineRule="auto"/>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关于符合本国产品标准的声明函（采购包号：</w:t>
      </w:r>
      <w:r>
        <w:rPr>
          <w:b/>
          <w:bCs/>
          <w:color w:val="000000" w:themeColor="text1"/>
          <w:sz w:val="28"/>
          <w:szCs w:val="28"/>
          <w14:textFill>
            <w14:solidFill>
              <w14:schemeClr w14:val="tx1"/>
            </w14:solidFill>
          </w14:textFill>
        </w:rPr>
        <w:t xml:space="preserve">**）</w:t>
      </w:r>
      <w:r/>
    </w:p>
    <w:p>
      <w:pPr>
        <w:pStyle w:val="854"/>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2025</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34</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号）的规定，本公司（单位）提供的以下产品属于本国产品。具体情况如下：</w:t>
      </w:r>
      <w:r/>
    </w:p>
    <w:p>
      <w:pPr>
        <w:pStyle w:val="854"/>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1.</w:t>
      </w:r>
      <w:r>
        <w:rPr>
          <w:rStyle w:val="862"/>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（产品名称</w:t>
      </w:r>
      <w:r>
        <w:rPr>
          <w:rStyle w:val="862"/>
          <w:rFonts w:hint="eastAsia" w:asciiTheme="minorEastAsia" w:hAnsiTheme="minorEastAsia" w:eastAsiaTheme="minorEastAsia"/>
          <w:color w:val="000000" w:themeColor="text1"/>
          <w:u w:val="single"/>
          <w:shd w:val="clear" w:color="auto" w:fill="ffffff"/>
          <w14:textFill>
            <w14:solidFill>
              <w14:schemeClr w14:val="tx1"/>
            </w14:solidFill>
          </w14:textFill>
        </w:rPr>
        <w:t xml:space="preserve">1</w:t>
      </w:r>
      <w:r>
        <w:rPr>
          <w:rStyle w:val="862"/>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w:t>
      </w:r>
      <w:r>
        <w:rPr>
          <w:rStyle w:val="862"/>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1</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生产厂为</w:t>
      </w:r>
      <w:r>
        <w:rPr>
          <w:rStyle w:val="862"/>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（厂名）</w:t>
      </w:r>
      <w:r>
        <w:rPr>
          <w:rStyle w:val="862"/>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2</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862"/>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（生产厂址）</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62"/>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1</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的中国境内生产的组件成本占比</w:t>
      </w:r>
      <w:r>
        <w:rPr>
          <w:rFonts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（规定比例）</w:t>
      </w:r>
      <w:r>
        <w:rPr>
          <w:rStyle w:val="862"/>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3</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62"/>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1</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（关键组件）</w:t>
      </w:r>
      <w:r>
        <w:rPr>
          <w:rStyle w:val="862"/>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4</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在中国境内生产。</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62"/>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1</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（关键工序）</w:t>
      </w:r>
      <w:r>
        <w:rPr>
          <w:rStyle w:val="862"/>
          <w:rFonts w:hint="eastAsia" w:asciiTheme="minorEastAsia" w:hAnsiTheme="minorEastAsia" w:eastAsiaTheme="minorEastAsia"/>
          <w:color w:val="000000" w:themeColor="text1"/>
          <w:shd w:val="clear" w:color="auto" w:fill="ffffff"/>
          <w:vertAlign w:val="superscript"/>
          <w14:textFill>
            <w14:solidFill>
              <w14:schemeClr w14:val="tx1"/>
            </w14:solidFill>
          </w14:textFill>
        </w:rPr>
        <w:t xml:space="preserve">5</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在中国境内完成。</w:t>
      </w:r>
      <w:r/>
    </w:p>
    <w:p>
      <w:pPr>
        <w:pStyle w:val="854"/>
        <w:ind w:firstLine="420"/>
        <w:spacing w:before="24" w:beforeAutospacing="0" w:after="24" w:afterAutospacing="0" w:line="360" w:lineRule="auto"/>
        <w:shd w:val="clear" w:color="auto" w:fill="ffffff"/>
        <w:rPr>
          <w:rFonts w:asciiTheme="minorEastAsia" w:hAnsiTheme="minorEastAsia" w:eastAsiaTheme="minorEastAsia"/>
          <w:strike/>
          <w:color w:val="000000" w:themeColor="text1"/>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2.</w:t>
      </w:r>
      <w:r>
        <w:rPr>
          <w:rStyle w:val="862"/>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（产品名称</w:t>
      </w:r>
      <w:r>
        <w:rPr>
          <w:rStyle w:val="862"/>
          <w:rFonts w:hint="eastAsia" w:asciiTheme="minorEastAsia" w:hAnsiTheme="minorEastAsia" w:eastAsiaTheme="minorEastAsia"/>
          <w:color w:val="000000" w:themeColor="text1"/>
          <w:u w:val="single"/>
          <w:shd w:val="clear" w:color="auto" w:fill="ffffff"/>
          <w14:textFill>
            <w14:solidFill>
              <w14:schemeClr w14:val="tx1"/>
            </w14:solidFill>
          </w14:textFill>
        </w:rPr>
        <w:t xml:space="preserve">2</w:t>
      </w:r>
      <w:r>
        <w:rPr>
          <w:rStyle w:val="862"/>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，生产厂为</w:t>
      </w:r>
      <w:r>
        <w:rPr>
          <w:rStyle w:val="862"/>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（厂名）</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862"/>
          <w:rFonts w:hint="eastAsia" w:cs="微软雅黑" w:asciiTheme="minorEastAsia" w:hAnsiTheme="minorEastAsia" w:eastAsiaTheme="minorEastAsia"/>
          <w:color w:val="000000" w:themeColor="text1"/>
          <w:u w:val="single"/>
          <w:shd w:val="clear" w:color="auto" w:fill="ffffff"/>
          <w14:textFill>
            <w14:solidFill>
              <w14:schemeClr w14:val="tx1"/>
            </w14:solidFill>
          </w14:textFill>
        </w:rPr>
        <w:t xml:space="preserve">（生产厂址）</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62"/>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2</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的中国境内生产的组件成本占比</w:t>
      </w:r>
      <w:r>
        <w:rPr>
          <w:rFonts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（规定比例）</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62"/>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2</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（关键组件）</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在中国境内生产。</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（产品名称</w:t>
      </w:r>
      <w:r>
        <w:rPr>
          <w:rStyle w:val="862"/>
          <w:rFonts w:hint="eastAsia" w:asciiTheme="minorEastAsia" w:hAnsiTheme="minorEastAsia" w:eastAsiaTheme="minorEastAsia"/>
          <w:strike/>
          <w:color w:val="000000" w:themeColor="text1"/>
          <w:u w:val="single"/>
          <w:shd w:val="clear" w:color="auto" w:fill="ffffff"/>
          <w14:textFill>
            <w14:solidFill>
              <w14:schemeClr w14:val="tx1"/>
            </w14:solidFill>
          </w14:textFill>
        </w:rPr>
        <w:t xml:space="preserve">2</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的</w:t>
      </w:r>
      <w:r>
        <w:rPr>
          <w:rStyle w:val="862"/>
          <w:rFonts w:hint="eastAsia" w:cs="微软雅黑" w:asciiTheme="minorEastAsia" w:hAnsiTheme="minorEastAsia" w:eastAsiaTheme="minorEastAsia"/>
          <w:strike/>
          <w:color w:val="000000" w:themeColor="text1"/>
          <w:u w:val="single"/>
          <w:shd w:val="clear" w:color="auto" w:fill="ffffff"/>
          <w14:textFill>
            <w14:solidFill>
              <w14:schemeClr w14:val="tx1"/>
            </w14:solidFill>
          </w14:textFill>
        </w:rPr>
        <w:t xml:space="preserve">（关键工序）</w:t>
      </w:r>
      <w:r>
        <w:rPr>
          <w:rFonts w:hint="eastAsia" w:cs="微软雅黑" w:asciiTheme="minorEastAsia" w:hAnsiTheme="minorEastAsia" w:eastAsiaTheme="minorEastAsia"/>
          <w:strike/>
          <w:color w:val="000000" w:themeColor="text1"/>
          <w:shd w:val="clear" w:color="auto" w:fill="ffffff"/>
          <w14:textFill>
            <w14:solidFill>
              <w14:schemeClr w14:val="tx1"/>
            </w14:solidFill>
          </w14:textFill>
        </w:rPr>
        <w:t xml:space="preserve">在中国境内完成。</w:t>
      </w:r>
      <w:r/>
    </w:p>
    <w:p>
      <w:pPr>
        <w:pStyle w:val="854"/>
        <w:ind w:firstLine="420"/>
        <w:spacing w:before="24" w:beforeAutospacing="0" w:after="24" w:afterAutospacing="0" w:line="360" w:lineRule="auto"/>
        <w:shd w:val="clear" w:color="auto" w:fill="ffffff"/>
        <w:rPr>
          <w:rFonts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854"/>
        <w:ind w:firstLine="420"/>
        <w:spacing w:before="24" w:beforeAutospacing="0" w:after="24" w:afterAutospacing="0" w:line="360" w:lineRule="auto"/>
        <w:shd w:val="clear" w:color="auto" w:fill="ffffff"/>
        <w:rPr>
          <w:rFonts w:asciiTheme="minorEastAsia" w:hAnsiTheme="minorEastAsia" w:eastAsiaTheme="minorEastAsia"/>
          <w:color w:val="000000" w:themeColor="text1"/>
          <w:shd w:val="clear" w:color="auto" w:fill="ffffff"/>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Theme="minorEastAsia" w:hAnsiTheme="minorEastAsia" w:eastAsiaTheme="minorEastAsia"/>
          <w:color w:val="000000" w:themeColor="text1"/>
          <w:u w:val="single"/>
          <w:shd w:val="clear" w:color="auto" w:fill="ffffff"/>
          <w14:textFill>
            <w14:solidFill>
              <w14:schemeClr w14:val="tx1"/>
            </w14:solidFill>
          </w14:textFill>
        </w:rPr>
        <w:t xml:space="preserve">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854"/>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854"/>
        <w:jc w:val="right"/>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公司（单位）名称（盖章）：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p>
    <w:p>
      <w:pPr>
        <w:pStyle w:val="854"/>
        <w:jc w:val="right"/>
        <w:spacing w:before="24" w:beforeAutospacing="0" w:after="24" w:afterAutospacing="0" w:line="360" w:lineRule="auto"/>
        <w:shd w:val="clear" w:color="auto" w:fill="ffffff"/>
        <w:rPr>
          <w:rFonts w:asciiTheme="minorEastAsia" w:hAnsiTheme="minorEastAsia" w:eastAsiaTheme="minorEastAsia"/>
          <w:color w:val="000000" w:themeColor="text1"/>
          <w:sz w:val="28"/>
          <w:szCs w:val="28"/>
          <w14:textFill>
            <w14:solidFill>
              <w14:schemeClr w14:val="tx1"/>
            </w14:solidFill>
          </w14:textFill>
        </w:rPr>
      </w:pP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日期：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年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月　</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cs="微软雅黑" w:asciiTheme="minorEastAsia" w:hAnsiTheme="minorEastAsia" w:eastAsiaTheme="minorEastAsia"/>
          <w:color w:val="000000" w:themeColor="text1"/>
          <w:shd w:val="clear" w:color="auto" w:fill="ffffff"/>
          <w14:textFill>
            <w14:solidFill>
              <w14:schemeClr w14:val="tx1"/>
            </w14:solidFill>
          </w14:textFill>
        </w:rPr>
        <w:t xml:space="preserve">日</w:t>
      </w:r>
      <w:r>
        <w:rPr>
          <w:rFonts w:hint="eastAsia" w:asciiTheme="minorEastAsia" w:hAnsiTheme="minorEastAsia" w:eastAsiaTheme="minorEastAsia"/>
          <w:color w:val="000000" w:themeColor="text1"/>
          <w:shd w:val="clear" w:color="auto" w:fill="ffffff"/>
          <w14:textFill>
            <w14:solidFill>
              <w14:schemeClr w14:val="tx1"/>
            </w14:solidFill>
          </w14:textFill>
        </w:rPr>
        <w:t xml:space="preserve">    </w:t>
      </w:r>
      <w:r>
        <w:rPr>
          <w:rFonts w:hint="eastAsia" w:asciiTheme="minorEastAsia" w:hAnsiTheme="minorEastAsia" w:eastAsiaTheme="minorEastAsia"/>
          <w:color w:val="000000" w:themeColor="text1"/>
          <w:sz w:val="28"/>
          <w:szCs w:val="28"/>
          <w:shd w:val="clear" w:color="auto" w:fill="ffffff"/>
          <w14:textFill>
            <w14:solidFill>
              <w14:schemeClr w14:val="tx1"/>
            </w14:solidFill>
          </w14:textFill>
        </w:rPr>
        <w:t xml:space="preserve">     </w:t>
      </w:r>
      <w:r/>
    </w:p>
    <w:p>
      <w:pPr>
        <w:pStyle w:val="854"/>
        <w:spacing w:before="24" w:beforeAutospacing="0" w:after="24" w:afterAutospacing="0" w:line="360" w:lineRule="auto"/>
        <w:shd w:val="clear" w:color="auto" w:fill="ffffff"/>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shd w:val="clear" w:color="auto" w:fill="ffffff"/>
          <w14:textFill>
            <w14:solidFill>
              <w14:schemeClr w14:val="tx1"/>
            </w14:solidFill>
          </w14:textFill>
        </w:rPr>
        <w:t xml:space="preserve">__________________</w:t>
      </w:r>
      <w:r/>
    </w:p>
    <w:p>
      <w:pPr>
        <w:pStyle w:val="854"/>
        <w:ind w:firstLine="420"/>
        <w:spacing w:before="24" w:beforeAutospacing="0" w:after="24" w:afterAutospacing="0" w:line="360" w:lineRule="auto"/>
        <w:shd w:val="clear" w:color="auto" w:fill="ffffff"/>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1.</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产品如有型号，请在</w:t>
      </w:r>
      <w:r>
        <w:rPr>
          <w:rFonts w:asciiTheme="minorEastAsia" w:hAnsiTheme="minorEastAsia" w:eastAsiaTheme="minorEastAsia"/>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产品名称</w:t>
      </w:r>
      <w:r>
        <w:rPr>
          <w:rFonts w:asciiTheme="minorEastAsia" w:hAnsiTheme="minorEastAsia" w:eastAsiaTheme="minorEastAsia"/>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栏一并填写。</w:t>
      </w:r>
      <w:r/>
    </w:p>
    <w:p>
      <w:pPr>
        <w:pStyle w:val="854"/>
        <w:ind w:firstLine="420"/>
        <w:spacing w:before="24" w:beforeAutospacing="0" w:after="24" w:afterAutospacing="0" w:line="360" w:lineRule="auto"/>
        <w:shd w:val="clear" w:color="auto" w:fill="ffffff"/>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2.</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生产厂名与厂址应与生产厂营业执照载明的相关信息保持一致。</w:t>
      </w:r>
      <w:r/>
    </w:p>
    <w:p>
      <w:pPr>
        <w:pStyle w:val="854"/>
        <w:ind w:firstLine="420"/>
        <w:spacing w:before="24" w:beforeAutospacing="0" w:after="24" w:afterAutospacing="0" w:line="360" w:lineRule="auto"/>
        <w:shd w:val="clear" w:color="auto" w:fill="ffffff"/>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3.</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该产品的中国境内生产的组件成本占比相关要求实施前，</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规定比例</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栏可不填。</w:t>
      </w:r>
      <w:r/>
    </w:p>
    <w:p>
      <w:pPr>
        <w:pStyle w:val="854"/>
        <w:ind w:firstLine="420"/>
        <w:spacing w:before="24" w:beforeAutospacing="0" w:after="24" w:afterAutospacing="0" w:line="360" w:lineRule="auto"/>
        <w:shd w:val="clear" w:color="auto" w:fill="ffffff"/>
        <w:rPr>
          <w:rFonts w:asciiTheme="minorEastAsia" w:hAnsiTheme="minorEastAsia" w:eastAsiaTheme="minorEastAsia"/>
          <w:b/>
          <w:bCs/>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4.</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该产品的关键组件要求实施前，</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关键组件</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栏可不填。</w:t>
      </w:r>
      <w:r/>
    </w:p>
    <w:p>
      <w:pPr>
        <w:pStyle w:val="854"/>
        <w:ind w:firstLine="420"/>
        <w:spacing w:before="24" w:beforeAutospacing="0" w:after="24" w:afterAutospacing="0" w:line="360" w:lineRule="auto"/>
        <w:shd w:val="clear" w:color="auto" w:fill="ffffff"/>
        <w:rPr>
          <w:rFonts w:asciiTheme="minorEastAsia" w:hAnsiTheme="minorEastAsia" w:eastAsiaTheme="minorEastAsia"/>
          <w:b/>
          <w:bCs/>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5.</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该产品的关键工序要求实施前，</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关键工序</w:t>
      </w:r>
      <w:r>
        <w:rPr>
          <w:rFonts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w:t>
      </w:r>
      <w:r>
        <w:rPr>
          <w:rFonts w:hint="eastAsia" w:cs="微软雅黑" w:asciiTheme="minorEastAsia" w:hAnsiTheme="minorEastAsia" w:eastAsiaTheme="minorEastAsia"/>
          <w:b/>
          <w:bCs/>
          <w:color w:val="000000" w:themeColor="text1"/>
          <w:sz w:val="21"/>
          <w:szCs w:val="21"/>
          <w:shd w:val="clear" w:color="auto" w:fill="ffffff"/>
          <w14:textFill>
            <w14:solidFill>
              <w14:schemeClr w14:val="tx1"/>
            </w14:solidFill>
          </w14:textFill>
        </w:rPr>
        <w:t xml:space="preserve">栏可不填。</w:t>
      </w:r>
      <w:r/>
    </w:p>
    <w:p>
      <w:pPr>
        <w:pStyle w:val="854"/>
        <w:ind w:firstLine="420"/>
        <w:spacing w:before="24" w:beforeAutospacing="0" w:after="24" w:afterAutospacing="0" w:line="360" w:lineRule="auto"/>
        <w:shd w:val="clear" w:color="auto" w:fill="ffffff"/>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6.</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80%</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20%</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的价格扣除，用扣除后的价格参与评审。供应商未填写比例数值，或比例数值未达到</w:t>
      </w:r>
      <w:r>
        <w:rPr>
          <w:rFonts w:hint="eastAsia" w:asciiTheme="minorEastAsia" w:hAnsiTheme="minorEastAsia" w:eastAsiaTheme="minorEastAsia"/>
          <w:color w:val="000000" w:themeColor="text1"/>
          <w:sz w:val="21"/>
          <w:szCs w:val="21"/>
          <w:shd w:val="clear" w:color="auto" w:fill="ffffff"/>
          <w14:textFill>
            <w14:solidFill>
              <w14:schemeClr w14:val="tx1"/>
            </w14:solidFill>
          </w14:textFill>
        </w:rPr>
        <w:t xml:space="preserve">80%</w:t>
      </w:r>
      <w:r>
        <w:rPr>
          <w:rFonts w:hint="eastAsia" w:cs="微软雅黑" w:asciiTheme="minorEastAsia" w:hAnsiTheme="minorEastAsia" w:eastAsiaTheme="minorEastAsia"/>
          <w:color w:val="000000" w:themeColor="text1"/>
          <w:sz w:val="21"/>
          <w:szCs w:val="21"/>
          <w:shd w:val="clear" w:color="auto" w:fill="ffffff"/>
          <w14:textFill>
            <w14:solidFill>
              <w14:schemeClr w14:val="tx1"/>
            </w14:solidFill>
          </w14:textFill>
        </w:rPr>
        <w:t xml:space="preserve">的，将不享受本国产品价格评审优惠。</w:t>
      </w:r>
      <w:bookmarkEnd w:id="105"/>
      <w:r/>
      <w:r/>
    </w:p>
    <w:p>
      <w:pPr>
        <w:pStyle w:val="1079"/>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spacing w:line="360" w:lineRule="auto"/>
        <w:rPr>
          <w:rFonts w:ascii="黑体" w:eastAsia="黑体"/>
          <w:color w:val="000000" w:themeColor="text1"/>
          <w:sz w:val="36"/>
          <w:lang w:val="en-US"/>
          <w14:textFill>
            <w14:solidFill>
              <w14:schemeClr w14:val="tx1"/>
            </w14:solidFill>
          </w14:textFill>
        </w:rPr>
      </w:pPr>
      <w:r>
        <w:rPr>
          <w:rFonts w:ascii="黑体" w:eastAsia="黑体"/>
          <w:color w:val="000000" w:themeColor="text1"/>
          <w:sz w:val="36"/>
          <w:lang w:val="en-US"/>
          <w14:textFill>
            <w14:solidFill>
              <w14:schemeClr w14:val="tx1"/>
            </w14:solidFill>
          </w14:textFill>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ZHTK--GBK1-0">
    <w:panose1 w:val="020B0503020202020204"/>
  </w:font>
  <w:font w:name="Symbol">
    <w:panose1 w:val="05050102010706020507"/>
  </w:font>
  <w:font w:name="Wingdings">
    <w:panose1 w:val="05000000000000000000"/>
  </w:font>
  <w:font w:name="微软雅黑">
    <w:panose1 w:val="020B0503020204020204"/>
  </w:font>
  <w:font w:name="Calibri">
    <w:panose1 w:val="020F0502020204030204"/>
  </w:font>
  <w:font w:name="黑体">
    <w:panose1 w:val="02010609060101010101"/>
  </w:font>
  <w:font w:name="方正仿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80</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80</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67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80</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67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80</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4">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5">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6">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7">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10">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3">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14">
    <w:multiLevelType w:val="hybridMultilevel"/>
    <w:lvl w:ilvl="0">
      <w:start w:val="1"/>
      <w:numFmt w:val="bullet"/>
      <w:pStyle w:val="108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5">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6">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7">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18">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9">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20">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num w:numId="1">
    <w:abstractNumId w:val="14"/>
  </w:num>
  <w:num w:numId="2">
    <w:abstractNumId w:val="9"/>
  </w:num>
  <w:num w:numId="3">
    <w:abstractNumId w:val="3"/>
  </w:num>
  <w:num w:numId="4">
    <w:abstractNumId w:val="17"/>
  </w:num>
  <w:num w:numId="5">
    <w:abstractNumId w:val="20"/>
  </w:num>
  <w:num w:numId="6">
    <w:abstractNumId w:val="10"/>
  </w:num>
  <w:num w:numId="7">
    <w:abstractNumId w:val="7"/>
  </w:num>
  <w:num w:numId="8">
    <w:abstractNumId w:val="4"/>
  </w:num>
  <w:num w:numId="9">
    <w:abstractNumId w:val="16"/>
  </w:num>
  <w:num w:numId="10">
    <w:abstractNumId w:val="18"/>
  </w:num>
  <w:num w:numId="11">
    <w:abstractNumId w:val="0"/>
  </w:num>
  <w:num w:numId="12">
    <w:abstractNumId w:val="15"/>
  </w:num>
  <w:num w:numId="13">
    <w:abstractNumId w:val="6"/>
  </w:num>
  <w:num w:numId="14">
    <w:abstractNumId w:val="12"/>
  </w:num>
  <w:num w:numId="15">
    <w:abstractNumId w:val="19"/>
  </w:num>
  <w:num w:numId="16">
    <w:abstractNumId w:val="5"/>
  </w:num>
  <w:num w:numId="17">
    <w:abstractNumId w:val="13"/>
  </w:num>
  <w:num w:numId="18">
    <w:abstractNumId w:val="8"/>
  </w:num>
  <w:num w:numId="19">
    <w:abstractNumId w:val="1"/>
  </w:num>
  <w:num w:numId="20">
    <w:abstractNumId w:val="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uiPriority w:val="1"/>
    <w:qFormat/>
    <w:pPr>
      <w:widowControl w:val="off"/>
    </w:pPr>
    <w:rPr>
      <w:rFonts w:hint="default" w:ascii="宋体" w:hAnsi="宋体" w:eastAsia="宋体" w:cs="宋体"/>
      <w:sz w:val="22"/>
      <w:szCs w:val="22"/>
      <w:lang w:val="zh-CN" w:eastAsia="zh-CN" w:bidi="zh-CN"/>
    </w:rPr>
  </w:style>
  <w:style w:type="paragraph" w:styleId="818">
    <w:name w:val="Heading 1"/>
    <w:basedOn w:val="817"/>
    <w:next w:val="817"/>
    <w:link w:val="904"/>
    <w:uiPriority w:val="1"/>
    <w:qFormat/>
    <w:pPr>
      <w:ind w:right="35"/>
      <w:jc w:val="center"/>
      <w:outlineLvl w:val="0"/>
    </w:pPr>
    <w:rPr>
      <w:b/>
      <w:bCs/>
      <w:sz w:val="72"/>
      <w:szCs w:val="72"/>
    </w:rPr>
  </w:style>
  <w:style w:type="paragraph" w:styleId="819">
    <w:name w:val="Heading 2"/>
    <w:basedOn w:val="817"/>
    <w:next w:val="817"/>
    <w:link w:val="905"/>
    <w:uiPriority w:val="0"/>
    <w:qFormat/>
    <w:pPr>
      <w:ind w:left="218"/>
      <w:outlineLvl w:val="1"/>
    </w:pPr>
    <w:rPr>
      <w:b/>
      <w:bCs/>
      <w:sz w:val="32"/>
      <w:szCs w:val="32"/>
    </w:rPr>
  </w:style>
  <w:style w:type="paragraph" w:styleId="820">
    <w:name w:val="Heading 3"/>
    <w:basedOn w:val="817"/>
    <w:next w:val="817"/>
    <w:link w:val="906"/>
    <w:uiPriority w:val="1"/>
    <w:qFormat/>
    <w:pPr>
      <w:ind w:left="218"/>
      <w:outlineLvl w:val="2"/>
    </w:pPr>
    <w:rPr>
      <w:sz w:val="28"/>
      <w:szCs w:val="28"/>
    </w:rPr>
  </w:style>
  <w:style w:type="paragraph" w:styleId="821">
    <w:name w:val="Heading 4"/>
    <w:basedOn w:val="817"/>
    <w:next w:val="817"/>
    <w:link w:val="907"/>
    <w:uiPriority w:val="1"/>
    <w:qFormat/>
    <w:pPr>
      <w:ind w:left="218"/>
      <w:outlineLvl w:val="3"/>
    </w:pPr>
    <w:rPr>
      <w:sz w:val="24"/>
      <w:szCs w:val="24"/>
    </w:rPr>
  </w:style>
  <w:style w:type="paragraph" w:styleId="822">
    <w:name w:val="Heading 5"/>
    <w:basedOn w:val="817"/>
    <w:next w:val="817"/>
    <w:link w:val="908"/>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link w:val="909"/>
    <w:uiPriority w:val="9"/>
    <w:unhideWhenUsed/>
    <w:qFormat/>
    <w:pPr>
      <w:keepLines/>
      <w:keepNext/>
      <w:spacing w:before="320" w:after="200"/>
      <w:outlineLvl w:val="5"/>
    </w:pPr>
    <w:rPr>
      <w:rFonts w:ascii="Arial" w:hAnsi="Arial" w:eastAsia="Arial" w:cs="Arial"/>
      <w:b/>
      <w:bCs/>
    </w:rPr>
  </w:style>
  <w:style w:type="paragraph" w:styleId="824">
    <w:name w:val="Heading 7"/>
    <w:basedOn w:val="817"/>
    <w:next w:val="817"/>
    <w:link w:val="910"/>
    <w:uiPriority w:val="9"/>
    <w:unhideWhenUsed/>
    <w:qFormat/>
    <w:pPr>
      <w:keepLines/>
      <w:keepNext/>
      <w:spacing w:before="320" w:after="200"/>
      <w:outlineLvl w:val="6"/>
    </w:pPr>
    <w:rPr>
      <w:rFonts w:ascii="Arial" w:hAnsi="Arial" w:eastAsia="Arial" w:cs="Arial"/>
      <w:b/>
      <w:bCs/>
      <w:i/>
      <w:iCs/>
    </w:rPr>
  </w:style>
  <w:style w:type="paragraph" w:styleId="825">
    <w:name w:val="Heading 8"/>
    <w:basedOn w:val="817"/>
    <w:next w:val="817"/>
    <w:link w:val="911"/>
    <w:uiPriority w:val="9"/>
    <w:unhideWhenUsed/>
    <w:qFormat/>
    <w:pPr>
      <w:keepLines/>
      <w:keepNext/>
      <w:spacing w:before="320" w:after="200"/>
      <w:outlineLvl w:val="7"/>
    </w:pPr>
    <w:rPr>
      <w:rFonts w:ascii="Arial" w:hAnsi="Arial" w:eastAsia="Arial" w:cs="Arial"/>
      <w:i/>
      <w:iCs/>
    </w:rPr>
  </w:style>
  <w:style w:type="paragraph" w:styleId="826">
    <w:name w:val="Heading 9"/>
    <w:basedOn w:val="817"/>
    <w:next w:val="817"/>
    <w:link w:val="912"/>
    <w:uiPriority w:val="9"/>
    <w:unhideWhenUsed/>
    <w:qFormat/>
    <w:pPr>
      <w:keepLines/>
      <w:keepNext/>
      <w:spacing w:before="320" w:after="200"/>
      <w:outlineLvl w:val="8"/>
    </w:pPr>
    <w:rPr>
      <w:rFonts w:ascii="Arial" w:hAnsi="Arial" w:eastAsia="Arial" w:cs="Arial"/>
      <w:i/>
      <w:iCs/>
      <w:sz w:val="21"/>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unhideWhenUsed/>
    <w:qFormat/>
    <w:pPr>
      <w:ind w:left="1701"/>
      <w:spacing w:after="57"/>
    </w:pPr>
  </w:style>
  <w:style w:type="paragraph" w:styleId="830">
    <w:name w:val="Normal Indent"/>
    <w:basedOn w:val="817"/>
    <w:uiPriority w:val="0"/>
    <w:qFormat/>
    <w:pPr>
      <w:ind w:firstLine="420"/>
      <w:spacing w:line="360" w:lineRule="auto"/>
    </w:pPr>
    <w:rPr>
      <w:rFonts w:ascii="Times New Roman" w:hAnsi="Times New Roman"/>
      <w:sz w:val="24"/>
      <w:szCs w:val="21"/>
    </w:rPr>
  </w:style>
  <w:style w:type="paragraph" w:styleId="831">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annotation text"/>
    <w:basedOn w:val="817"/>
    <w:link w:val="1068"/>
    <w:uiPriority w:val="0"/>
    <w:qFormat/>
  </w:style>
  <w:style w:type="paragraph" w:styleId="833">
    <w:name w:val="Body Text"/>
    <w:basedOn w:val="817"/>
    <w:next w:val="834"/>
    <w:link w:val="1093"/>
    <w:uiPriority w:val="0"/>
    <w:qFormat/>
    <w:rPr>
      <w:sz w:val="21"/>
      <w:szCs w:val="21"/>
    </w:rPr>
  </w:style>
  <w:style w:type="paragraph" w:styleId="834">
    <w:name w:val="Date"/>
    <w:basedOn w:val="817"/>
    <w:next w:val="817"/>
    <w:uiPriority w:val="0"/>
    <w:qFormat/>
    <w:pPr>
      <w:ind w:left="100"/>
    </w:pPr>
    <w:rPr>
      <w:rFonts w:ascii="Times New Roman" w:hAnsi="Times New Roman" w:cs="Times New Roman"/>
      <w:sz w:val="28"/>
    </w:rPr>
  </w:style>
  <w:style w:type="paragraph" w:styleId="835">
    <w:name w:val="Body Text Indent"/>
    <w:basedOn w:val="817"/>
    <w:uiPriority w:val="0"/>
    <w:qFormat/>
    <w:pPr>
      <w:ind w:firstLine="301"/>
      <w:spacing w:line="200" w:lineRule="exact"/>
    </w:pPr>
    <w:rPr>
      <w:rFonts w:hAnsi="Courier New"/>
      <w:spacing w:val="-4"/>
      <w:sz w:val="18"/>
      <w:szCs w:val="20"/>
    </w:rPr>
  </w:style>
  <w:style w:type="paragraph" w:styleId="836">
    <w:name w:val="Block Text"/>
    <w:basedOn w:val="817"/>
    <w:uiPriority w:val="99"/>
    <w:unhideWhenUsed/>
    <w:qFormat/>
    <w:pPr>
      <w:ind w:left="1440" w:right="1440"/>
      <w:spacing w:after="120"/>
    </w:pPr>
  </w:style>
  <w:style w:type="paragraph" w:styleId="837">
    <w:name w:val="index 4"/>
    <w:basedOn w:val="817"/>
    <w:next w:val="817"/>
    <w:uiPriority w:val="0"/>
    <w:unhideWhenUsed/>
    <w:qFormat/>
    <w:pPr>
      <w:ind w:left="600"/>
    </w:pPr>
    <w:rPr>
      <w:b/>
      <w:position w:val="-10"/>
      <w:sz w:val="24"/>
      <w:szCs w:val="20"/>
    </w:rPr>
  </w:style>
  <w:style w:type="paragraph" w:styleId="838">
    <w:name w:val="toc 5"/>
    <w:basedOn w:val="817"/>
    <w:next w:val="817"/>
    <w:uiPriority w:val="39"/>
    <w:unhideWhenUsed/>
    <w:qFormat/>
    <w:pPr>
      <w:ind w:left="1134"/>
      <w:spacing w:after="57"/>
    </w:pPr>
  </w:style>
  <w:style w:type="paragraph" w:styleId="839">
    <w:name w:val="toc 3"/>
    <w:basedOn w:val="817"/>
    <w:next w:val="817"/>
    <w:uiPriority w:val="39"/>
    <w:unhideWhenUsed/>
    <w:qFormat/>
    <w:pPr>
      <w:ind w:left="567"/>
      <w:spacing w:after="57"/>
    </w:pPr>
  </w:style>
  <w:style w:type="paragraph" w:styleId="840">
    <w:name w:val="Plain Text"/>
    <w:basedOn w:val="817"/>
    <w:link w:val="1072"/>
    <w:uiPriority w:val="0"/>
    <w:unhideWhenUsed/>
    <w:qFormat/>
    <w:rPr>
      <w:rFonts w:hAnsi="Courier New"/>
    </w:rPr>
  </w:style>
  <w:style w:type="paragraph" w:styleId="841">
    <w:name w:val="toc 8"/>
    <w:basedOn w:val="817"/>
    <w:next w:val="817"/>
    <w:uiPriority w:val="39"/>
    <w:unhideWhenUsed/>
    <w:qFormat/>
    <w:pPr>
      <w:ind w:left="1984"/>
      <w:spacing w:after="57"/>
    </w:pPr>
  </w:style>
  <w:style w:type="paragraph" w:styleId="842">
    <w:name w:val="endnote text"/>
    <w:basedOn w:val="817"/>
    <w:link w:val="1049"/>
    <w:uiPriority w:val="99"/>
    <w:semiHidden/>
    <w:unhideWhenUsed/>
    <w:qFormat/>
    <w:rPr>
      <w:sz w:val="20"/>
    </w:rPr>
  </w:style>
  <w:style w:type="paragraph" w:styleId="843">
    <w:name w:val="Balloon Text"/>
    <w:basedOn w:val="817"/>
    <w:link w:val="1056"/>
    <w:uiPriority w:val="0"/>
    <w:qFormat/>
    <w:rPr>
      <w:sz w:val="18"/>
      <w:szCs w:val="18"/>
    </w:rPr>
  </w:style>
  <w:style w:type="paragraph" w:styleId="844">
    <w:name w:val="Footer"/>
    <w:basedOn w:val="817"/>
    <w:link w:val="922"/>
    <w:uiPriority w:val="0"/>
    <w:qFormat/>
    <w:pPr>
      <w:tabs>
        <w:tab w:val="center" w:pos="4153" w:leader="none"/>
        <w:tab w:val="right" w:pos="8306" w:leader="none"/>
      </w:tabs>
    </w:pPr>
    <w:rPr>
      <w:sz w:val="18"/>
    </w:rPr>
  </w:style>
  <w:style w:type="paragraph" w:styleId="845">
    <w:name w:val="Header"/>
    <w:basedOn w:val="817"/>
    <w:link w:val="920"/>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46">
    <w:name w:val="toc 1"/>
    <w:basedOn w:val="817"/>
    <w:next w:val="817"/>
    <w:uiPriority w:val="0"/>
    <w:qFormat/>
  </w:style>
  <w:style w:type="paragraph" w:styleId="847">
    <w:name w:val="toc 4"/>
    <w:basedOn w:val="817"/>
    <w:next w:val="817"/>
    <w:uiPriority w:val="39"/>
    <w:unhideWhenUsed/>
    <w:qFormat/>
    <w:pPr>
      <w:ind w:left="850"/>
      <w:spacing w:after="57"/>
    </w:pPr>
  </w:style>
  <w:style w:type="paragraph" w:styleId="848">
    <w:name w:val="Subtitle"/>
    <w:basedOn w:val="817"/>
    <w:next w:val="817"/>
    <w:link w:val="915"/>
    <w:uiPriority w:val="11"/>
    <w:qFormat/>
    <w:pPr>
      <w:spacing w:before="200" w:after="200"/>
    </w:pPr>
    <w:rPr>
      <w:sz w:val="24"/>
      <w:szCs w:val="24"/>
    </w:rPr>
  </w:style>
  <w:style w:type="paragraph" w:styleId="849">
    <w:name w:val="footnote text"/>
    <w:basedOn w:val="817"/>
    <w:link w:val="1048"/>
    <w:uiPriority w:val="99"/>
    <w:semiHidden/>
    <w:unhideWhenUsed/>
    <w:qFormat/>
    <w:pPr>
      <w:spacing w:after="40"/>
    </w:pPr>
    <w:rPr>
      <w:sz w:val="18"/>
    </w:rPr>
  </w:style>
  <w:style w:type="paragraph" w:styleId="850">
    <w:name w:val="toc 6"/>
    <w:basedOn w:val="817"/>
    <w:next w:val="817"/>
    <w:uiPriority w:val="39"/>
    <w:unhideWhenUsed/>
    <w:qFormat/>
    <w:pPr>
      <w:ind w:left="1417"/>
      <w:spacing w:after="57"/>
    </w:pPr>
  </w:style>
  <w:style w:type="paragraph" w:styleId="851">
    <w:name w:val="table of figures"/>
    <w:basedOn w:val="817"/>
    <w:next w:val="817"/>
    <w:uiPriority w:val="99"/>
    <w:unhideWhenUsed/>
    <w:qFormat/>
  </w:style>
  <w:style w:type="paragraph" w:styleId="852">
    <w:name w:val="toc 2"/>
    <w:basedOn w:val="817"/>
    <w:next w:val="817"/>
    <w:uiPriority w:val="39"/>
    <w:unhideWhenUsed/>
    <w:qFormat/>
    <w:pPr>
      <w:ind w:left="283"/>
      <w:spacing w:after="57"/>
    </w:pPr>
  </w:style>
  <w:style w:type="paragraph" w:styleId="853">
    <w:name w:val="toc 9"/>
    <w:basedOn w:val="817"/>
    <w:next w:val="817"/>
    <w:uiPriority w:val="39"/>
    <w:unhideWhenUsed/>
    <w:qFormat/>
    <w:pPr>
      <w:ind w:left="2268"/>
      <w:spacing w:after="57"/>
    </w:pPr>
  </w:style>
  <w:style w:type="paragraph" w:styleId="854">
    <w:name w:val="Normal (Web)"/>
    <w:basedOn w:val="817"/>
    <w:uiPriority w:val="99"/>
    <w:qFormat/>
    <w:pPr>
      <w:spacing w:before="100" w:beforeAutospacing="1" w:after="100" w:afterAutospacing="1"/>
      <w:widowControl/>
    </w:pPr>
    <w:rPr>
      <w:sz w:val="24"/>
      <w:szCs w:val="24"/>
    </w:rPr>
  </w:style>
  <w:style w:type="paragraph" w:styleId="855">
    <w:name w:val="Title"/>
    <w:basedOn w:val="817"/>
    <w:next w:val="817"/>
    <w:link w:val="914"/>
    <w:uiPriority w:val="10"/>
    <w:qFormat/>
    <w:pPr>
      <w:contextualSpacing/>
      <w:spacing w:before="300" w:after="200"/>
    </w:pPr>
    <w:rPr>
      <w:sz w:val="48"/>
      <w:szCs w:val="48"/>
    </w:rPr>
  </w:style>
  <w:style w:type="paragraph" w:styleId="856">
    <w:name w:val="annotation subject"/>
    <w:basedOn w:val="832"/>
    <w:next w:val="832"/>
    <w:link w:val="1069"/>
    <w:uiPriority w:val="0"/>
    <w:qFormat/>
    <w:rPr>
      <w:b/>
      <w:bCs/>
    </w:rPr>
  </w:style>
  <w:style w:type="paragraph" w:styleId="857">
    <w:name w:val="Body Text First Indent 2"/>
    <w:basedOn w:val="835"/>
    <w:uiPriority w:val="0"/>
    <w:unhideWhenUsed/>
    <w:qFormat/>
    <w:pPr>
      <w:ind w:left="420" w:firstLine="420"/>
      <w:spacing w:after="120" w:line="360" w:lineRule="auto"/>
    </w:pPr>
    <w:rPr>
      <w:sz w:val="24"/>
    </w:rPr>
  </w:style>
  <w:style w:type="table" w:styleId="858">
    <w:name w:val="Table Grid"/>
    <w:basedOn w:val="8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basedOn w:val="827"/>
    <w:uiPriority w:val="0"/>
    <w:qFormat/>
    <w:rPr>
      <w:b/>
    </w:rPr>
  </w:style>
  <w:style w:type="character" w:styleId="860">
    <w:name w:val="endnote reference"/>
    <w:basedOn w:val="827"/>
    <w:uiPriority w:val="99"/>
    <w:semiHidden/>
    <w:unhideWhenUsed/>
    <w:qFormat/>
    <w:rPr>
      <w:vertAlign w:val="superscript"/>
    </w:rPr>
  </w:style>
  <w:style w:type="character" w:styleId="861">
    <w:name w:val="FollowedHyperlink"/>
    <w:basedOn w:val="827"/>
    <w:uiPriority w:val="99"/>
    <w:semiHidden/>
    <w:unhideWhenUsed/>
    <w:qFormat/>
    <w:rPr>
      <w:color w:val="800080"/>
      <w:u w:val="single"/>
    </w:rPr>
  </w:style>
  <w:style w:type="character" w:styleId="862">
    <w:name w:val="Emphasis"/>
    <w:basedOn w:val="827"/>
    <w:uiPriority w:val="0"/>
    <w:qFormat/>
    <w:rPr>
      <w:i/>
    </w:rPr>
  </w:style>
  <w:style w:type="character" w:styleId="863">
    <w:name w:val="Hyperlink"/>
    <w:basedOn w:val="827"/>
    <w:uiPriority w:val="0"/>
    <w:unhideWhenUsed/>
    <w:qFormat/>
    <w:rPr>
      <w:color w:val="0000ff" w:themeColor="hyperlink"/>
      <w:u w:val="single"/>
      <w14:textFill>
        <w14:solidFill>
          <w14:schemeClr w14:val="hlink"/>
        </w14:solidFill>
      </w14:textFill>
    </w:rPr>
  </w:style>
  <w:style w:type="character" w:styleId="864">
    <w:name w:val="annotation reference"/>
    <w:basedOn w:val="827"/>
    <w:uiPriority w:val="0"/>
    <w:qFormat/>
    <w:rPr>
      <w:sz w:val="21"/>
      <w:szCs w:val="21"/>
    </w:rPr>
  </w:style>
  <w:style w:type="character" w:styleId="865">
    <w:name w:val="footnote reference"/>
    <w:basedOn w:val="827"/>
    <w:uiPriority w:val="99"/>
    <w:unhideWhenUsed/>
    <w:qFormat/>
    <w:rPr>
      <w:vertAlign w:val="superscript"/>
    </w:rPr>
  </w:style>
  <w:style w:type="character" w:styleId="866" w:customStyle="1">
    <w:name w:val="Heading 1 Char"/>
    <w:basedOn w:val="827"/>
    <w:uiPriority w:val="9"/>
    <w:qFormat/>
    <w:rPr>
      <w:rFonts w:ascii="Arial" w:hAnsi="Arial" w:eastAsia="Arial" w:cs="Arial"/>
      <w:sz w:val="40"/>
      <w:szCs w:val="40"/>
    </w:rPr>
  </w:style>
  <w:style w:type="character" w:styleId="867" w:customStyle="1">
    <w:name w:val="Heading 2 Char"/>
    <w:basedOn w:val="827"/>
    <w:uiPriority w:val="9"/>
    <w:qFormat/>
    <w:rPr>
      <w:rFonts w:ascii="Arial" w:hAnsi="Arial" w:eastAsia="Arial" w:cs="Arial"/>
      <w:sz w:val="34"/>
    </w:rPr>
  </w:style>
  <w:style w:type="character" w:styleId="868" w:customStyle="1">
    <w:name w:val="Heading 3 Char"/>
    <w:basedOn w:val="827"/>
    <w:uiPriority w:val="9"/>
    <w:qFormat/>
    <w:rPr>
      <w:rFonts w:ascii="Arial" w:hAnsi="Arial" w:eastAsia="Arial" w:cs="Arial"/>
      <w:sz w:val="30"/>
      <w:szCs w:val="30"/>
    </w:rPr>
  </w:style>
  <w:style w:type="character" w:styleId="869" w:customStyle="1">
    <w:name w:val="Heading 4 Char"/>
    <w:basedOn w:val="827"/>
    <w:uiPriority w:val="9"/>
    <w:qFormat/>
    <w:rPr>
      <w:rFonts w:ascii="Arial" w:hAnsi="Arial" w:eastAsia="Arial" w:cs="Arial"/>
      <w:b/>
      <w:bCs/>
      <w:sz w:val="26"/>
      <w:szCs w:val="26"/>
    </w:rPr>
  </w:style>
  <w:style w:type="character" w:styleId="870" w:customStyle="1">
    <w:name w:val="Heading 5 Char"/>
    <w:basedOn w:val="827"/>
    <w:uiPriority w:val="9"/>
    <w:qFormat/>
    <w:rPr>
      <w:rFonts w:ascii="Arial" w:hAnsi="Arial" w:eastAsia="Arial" w:cs="Arial"/>
      <w:b/>
      <w:bCs/>
      <w:sz w:val="24"/>
      <w:szCs w:val="24"/>
    </w:rPr>
  </w:style>
  <w:style w:type="character" w:styleId="871" w:customStyle="1">
    <w:name w:val="Heading 6 Char"/>
    <w:basedOn w:val="827"/>
    <w:uiPriority w:val="9"/>
    <w:qFormat/>
    <w:rPr>
      <w:rFonts w:ascii="Arial" w:hAnsi="Arial" w:eastAsia="Arial" w:cs="Arial"/>
      <w:b/>
      <w:bCs/>
      <w:sz w:val="22"/>
      <w:szCs w:val="22"/>
    </w:rPr>
  </w:style>
  <w:style w:type="character" w:styleId="872" w:customStyle="1">
    <w:name w:val="Heading 7 Char"/>
    <w:basedOn w:val="827"/>
    <w:uiPriority w:val="9"/>
    <w:qFormat/>
    <w:rPr>
      <w:rFonts w:ascii="Arial" w:hAnsi="Arial" w:eastAsia="Arial" w:cs="Arial"/>
      <w:b/>
      <w:bCs/>
      <w:i/>
      <w:iCs/>
      <w:sz w:val="22"/>
      <w:szCs w:val="22"/>
    </w:rPr>
  </w:style>
  <w:style w:type="character" w:styleId="873" w:customStyle="1">
    <w:name w:val="Heading 8 Char"/>
    <w:basedOn w:val="827"/>
    <w:uiPriority w:val="9"/>
    <w:qFormat/>
    <w:rPr>
      <w:rFonts w:ascii="Arial" w:hAnsi="Arial" w:eastAsia="Arial" w:cs="Arial"/>
      <w:i/>
      <w:iCs/>
      <w:sz w:val="22"/>
      <w:szCs w:val="22"/>
    </w:rPr>
  </w:style>
  <w:style w:type="character" w:styleId="874" w:customStyle="1">
    <w:name w:val="Heading 9 Char"/>
    <w:basedOn w:val="827"/>
    <w:uiPriority w:val="9"/>
    <w:qFormat/>
    <w:rPr>
      <w:rFonts w:ascii="Arial" w:hAnsi="Arial" w:eastAsia="Arial" w:cs="Arial"/>
      <w:i/>
      <w:iCs/>
      <w:sz w:val="21"/>
      <w:szCs w:val="21"/>
    </w:rPr>
  </w:style>
  <w:style w:type="character" w:styleId="875" w:customStyle="1">
    <w:name w:val="Title Char"/>
    <w:basedOn w:val="827"/>
    <w:uiPriority w:val="10"/>
    <w:qFormat/>
    <w:rPr>
      <w:sz w:val="48"/>
      <w:szCs w:val="48"/>
    </w:rPr>
  </w:style>
  <w:style w:type="character" w:styleId="876" w:customStyle="1">
    <w:name w:val="Subtitle Char"/>
    <w:basedOn w:val="827"/>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Header Char"/>
    <w:basedOn w:val="827"/>
    <w:uiPriority w:val="99"/>
    <w:qFormat/>
  </w:style>
  <w:style w:type="character" w:styleId="880" w:customStyle="1">
    <w:name w:val="Caption Char"/>
    <w:uiPriority w:val="99"/>
    <w:qFormat/>
  </w:style>
  <w:style w:type="table" w:styleId="881" w:customStyle="1">
    <w:name w:val="Plain Table 1"/>
    <w:basedOn w:val="8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2"/>
    <w:basedOn w:val="8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3"/>
    <w:basedOn w:val="8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Plain Table 4"/>
    <w:basedOn w:val="8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Plain Table 5"/>
    <w:basedOn w:val="8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Grid Table 1 Light"/>
    <w:basedOn w:val="8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2"/>
    <w:basedOn w:val="8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3"/>
    <w:basedOn w:val="8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8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5 Dark"/>
    <w:basedOn w:val="8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6 Colorful"/>
    <w:basedOn w:val="8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7 Colorful"/>
    <w:basedOn w:val="8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1 Light"/>
    <w:basedOn w:val="8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2"/>
    <w:basedOn w:val="8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3"/>
    <w:basedOn w:val="8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w:basedOn w:val="8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5 Dark"/>
    <w:basedOn w:val="8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basedOn w:val="8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7 Colorful"/>
    <w:basedOn w:val="8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0" w:customStyle="1">
    <w:name w:val="Footnote Text Char"/>
    <w:uiPriority w:val="99"/>
    <w:qFormat/>
    <w:rPr>
      <w:sz w:val="18"/>
    </w:rPr>
  </w:style>
  <w:style w:type="character" w:styleId="901" w:customStyle="1">
    <w:name w:val="Endnote Text Char"/>
    <w:uiPriority w:val="99"/>
    <w:qFormat/>
    <w:rPr>
      <w:sz w:val="20"/>
    </w:rPr>
  </w:style>
  <w:style w:type="paragraph" w:styleId="902" w:customStyle="1">
    <w:name w:val="TOC Heading"/>
    <w:uiPriority w:val="39"/>
    <w:unhideWhenUsed/>
    <w:qFormat/>
    <w:rPr>
      <w:rFonts w:hint="default" w:ascii="Times New Roman" w:hAnsi="Times New Roman" w:eastAsia="宋体" w:cs="Times New Roman"/>
    </w:rPr>
  </w:style>
  <w:style w:type="paragraph" w:styleId="903">
    <w:name w:val="List Paragraph"/>
    <w:basedOn w:val="817"/>
    <w:uiPriority w:val="0"/>
    <w:qFormat/>
    <w:pPr>
      <w:ind w:left="218" w:firstLine="420"/>
    </w:pPr>
  </w:style>
  <w:style w:type="character" w:styleId="904" w:customStyle="1">
    <w:name w:val="标题 1 字符"/>
    <w:basedOn w:val="827"/>
    <w:link w:val="818"/>
    <w:uiPriority w:val="9"/>
    <w:qFormat/>
    <w:rPr>
      <w:rFonts w:ascii="Arial" w:hAnsi="Arial" w:eastAsia="Arial" w:cs="Arial"/>
      <w:sz w:val="40"/>
      <w:szCs w:val="40"/>
    </w:rPr>
  </w:style>
  <w:style w:type="character" w:styleId="905" w:customStyle="1">
    <w:name w:val="标题 2 字符"/>
    <w:basedOn w:val="827"/>
    <w:link w:val="819"/>
    <w:uiPriority w:val="0"/>
    <w:qFormat/>
    <w:rPr>
      <w:rFonts w:ascii="Arial" w:hAnsi="Arial" w:eastAsia="Arial" w:cs="Arial"/>
      <w:sz w:val="34"/>
    </w:rPr>
  </w:style>
  <w:style w:type="character" w:styleId="906" w:customStyle="1">
    <w:name w:val="标题 3 字符"/>
    <w:basedOn w:val="827"/>
    <w:link w:val="820"/>
    <w:uiPriority w:val="9"/>
    <w:qFormat/>
    <w:rPr>
      <w:rFonts w:ascii="Arial" w:hAnsi="Arial" w:eastAsia="Arial" w:cs="Arial"/>
      <w:sz w:val="30"/>
      <w:szCs w:val="30"/>
    </w:rPr>
  </w:style>
  <w:style w:type="character" w:styleId="907" w:customStyle="1">
    <w:name w:val="标题 4 字符"/>
    <w:basedOn w:val="827"/>
    <w:link w:val="821"/>
    <w:uiPriority w:val="9"/>
    <w:qFormat/>
    <w:rPr>
      <w:rFonts w:ascii="Arial" w:hAnsi="Arial" w:eastAsia="Arial" w:cs="Arial"/>
      <w:b/>
      <w:bCs/>
      <w:sz w:val="26"/>
      <w:szCs w:val="26"/>
    </w:rPr>
  </w:style>
  <w:style w:type="character" w:styleId="908" w:customStyle="1">
    <w:name w:val="标题 5 字符"/>
    <w:basedOn w:val="827"/>
    <w:link w:val="822"/>
    <w:uiPriority w:val="9"/>
    <w:qFormat/>
    <w:rPr>
      <w:rFonts w:ascii="Arial" w:hAnsi="Arial" w:eastAsia="Arial" w:cs="Arial"/>
      <w:b/>
      <w:bCs/>
      <w:sz w:val="24"/>
      <w:szCs w:val="24"/>
    </w:rPr>
  </w:style>
  <w:style w:type="character" w:styleId="909" w:customStyle="1">
    <w:name w:val="标题 6 字符"/>
    <w:basedOn w:val="827"/>
    <w:link w:val="823"/>
    <w:uiPriority w:val="9"/>
    <w:qFormat/>
    <w:rPr>
      <w:rFonts w:ascii="Arial" w:hAnsi="Arial" w:eastAsia="Arial" w:cs="Arial"/>
      <w:b/>
      <w:bCs/>
      <w:sz w:val="22"/>
      <w:szCs w:val="22"/>
    </w:rPr>
  </w:style>
  <w:style w:type="character" w:styleId="910" w:customStyle="1">
    <w:name w:val="标题 7 字符"/>
    <w:basedOn w:val="827"/>
    <w:link w:val="824"/>
    <w:uiPriority w:val="9"/>
    <w:qFormat/>
    <w:rPr>
      <w:rFonts w:ascii="Arial" w:hAnsi="Arial" w:eastAsia="Arial" w:cs="Arial"/>
      <w:b/>
      <w:bCs/>
      <w:i/>
      <w:iCs/>
      <w:sz w:val="22"/>
      <w:szCs w:val="22"/>
    </w:rPr>
  </w:style>
  <w:style w:type="character" w:styleId="911" w:customStyle="1">
    <w:name w:val="标题 8 字符"/>
    <w:basedOn w:val="827"/>
    <w:link w:val="825"/>
    <w:uiPriority w:val="9"/>
    <w:qFormat/>
    <w:rPr>
      <w:rFonts w:ascii="Arial" w:hAnsi="Arial" w:eastAsia="Arial" w:cs="Arial"/>
      <w:i/>
      <w:iCs/>
      <w:sz w:val="22"/>
      <w:szCs w:val="22"/>
    </w:rPr>
  </w:style>
  <w:style w:type="character" w:styleId="912" w:customStyle="1">
    <w:name w:val="标题 9 字符"/>
    <w:basedOn w:val="827"/>
    <w:link w:val="826"/>
    <w:uiPriority w:val="9"/>
    <w:qFormat/>
    <w:rPr>
      <w:rFonts w:ascii="Arial" w:hAnsi="Arial" w:eastAsia="Arial" w:cs="Arial"/>
      <w:i/>
      <w:iCs/>
      <w:sz w:val="21"/>
      <w:szCs w:val="21"/>
    </w:rPr>
  </w:style>
  <w:style w:type="paragraph" w:styleId="913">
    <w:name w:val="No Spacing"/>
    <w:uiPriority w:val="1"/>
    <w:qFormat/>
    <w:rPr>
      <w:rFonts w:hint="default" w:ascii="Times New Roman" w:hAnsi="Times New Roman" w:eastAsia="宋体" w:cs="Times New Roman"/>
      <w:lang w:val="en-US" w:eastAsia="zh-CN" w:bidi="ar-SA"/>
    </w:rPr>
  </w:style>
  <w:style w:type="character" w:styleId="914" w:customStyle="1">
    <w:name w:val="标题 字符"/>
    <w:basedOn w:val="827"/>
    <w:link w:val="855"/>
    <w:uiPriority w:val="10"/>
    <w:qFormat/>
    <w:rPr>
      <w:sz w:val="48"/>
      <w:szCs w:val="48"/>
    </w:rPr>
  </w:style>
  <w:style w:type="character" w:styleId="915" w:customStyle="1">
    <w:name w:val="副标题 字符"/>
    <w:basedOn w:val="827"/>
    <w:link w:val="848"/>
    <w:uiPriority w:val="11"/>
    <w:qFormat/>
    <w:rPr>
      <w:sz w:val="24"/>
      <w:szCs w:val="24"/>
    </w:rPr>
  </w:style>
  <w:style w:type="paragraph" w:styleId="916">
    <w:name w:val="Quote"/>
    <w:basedOn w:val="817"/>
    <w:next w:val="817"/>
    <w:link w:val="917"/>
    <w:uiPriority w:val="29"/>
    <w:qFormat/>
    <w:pPr>
      <w:ind w:left="720" w:right="720"/>
    </w:pPr>
    <w:rPr>
      <w:i/>
    </w:rPr>
  </w:style>
  <w:style w:type="character" w:styleId="917" w:customStyle="1">
    <w:name w:val="引用 字符"/>
    <w:link w:val="916"/>
    <w:uiPriority w:val="29"/>
    <w:qFormat/>
    <w:rPr>
      <w:i/>
    </w:rPr>
  </w:style>
  <w:style w:type="paragraph" w:styleId="918">
    <w:name w:val="Intense Quote"/>
    <w:basedOn w:val="817"/>
    <w:next w:val="817"/>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字符"/>
    <w:link w:val="918"/>
    <w:uiPriority w:val="30"/>
    <w:qFormat/>
    <w:rPr>
      <w:i/>
    </w:rPr>
  </w:style>
  <w:style w:type="character" w:styleId="920" w:customStyle="1">
    <w:name w:val="页眉 字符"/>
    <w:basedOn w:val="827"/>
    <w:link w:val="845"/>
    <w:uiPriority w:val="99"/>
    <w:qFormat/>
  </w:style>
  <w:style w:type="character" w:styleId="921" w:customStyle="1">
    <w:name w:val="Footer Char"/>
    <w:basedOn w:val="827"/>
    <w:uiPriority w:val="99"/>
    <w:qFormat/>
  </w:style>
  <w:style w:type="character" w:styleId="922" w:customStyle="1">
    <w:name w:val="页脚 字符"/>
    <w:link w:val="844"/>
    <w:uiPriority w:val="99"/>
    <w:qFormat/>
  </w:style>
  <w:style w:type="table" w:styleId="923" w:customStyle="1">
    <w:name w:val="Table Grid Light"/>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4" w:customStyle="1">
    <w:name w:val="无格式表格 11"/>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21"/>
    <w:basedOn w:val="8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3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无格式表格 4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无格式表格 5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网格表 1 浅色1"/>
    <w:basedOn w:val="8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1"/>
    <w:basedOn w:val="82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2"/>
    <w:basedOn w:val="82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3"/>
    <w:basedOn w:val="82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4"/>
    <w:basedOn w:val="82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5"/>
    <w:basedOn w:val="82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6"/>
    <w:basedOn w:val="82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6" w:customStyle="1">
    <w:name w:val="网格表 2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7" w:customStyle="1">
    <w:name w:val="Grid Table 2 - Accent 1"/>
    <w:basedOn w:val="82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8" w:customStyle="1">
    <w:name w:val="Grid Table 2 - Accent 2"/>
    <w:basedOn w:val="82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2 - Accent 3"/>
    <w:basedOn w:val="82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2 - Accent 4"/>
    <w:basedOn w:val="82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2 - Accent 5"/>
    <w:basedOn w:val="82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Grid Table 2 - Accent 6"/>
    <w:basedOn w:val="82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网格表 3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1"/>
    <w:basedOn w:val="82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2"/>
    <w:basedOn w:val="82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3"/>
    <w:basedOn w:val="82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4"/>
    <w:basedOn w:val="82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5"/>
    <w:basedOn w:val="82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6"/>
    <w:basedOn w:val="82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网格表 41"/>
    <w:basedOn w:val="8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4 - Accent 1"/>
    <w:basedOn w:val="82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2" w:customStyle="1">
    <w:name w:val="Grid Table 4 - Accent 2"/>
    <w:basedOn w:val="82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3" w:customStyle="1">
    <w:name w:val="Grid Table 4 - Accent 3"/>
    <w:basedOn w:val="82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4" w:customStyle="1">
    <w:name w:val="Grid Table 4 - Accent 4"/>
    <w:basedOn w:val="82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5" w:customStyle="1">
    <w:name w:val="Grid Table 4 - Accent 5"/>
    <w:basedOn w:val="82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6" w:customStyle="1">
    <w:name w:val="Grid Table 4 - Accent 6"/>
    <w:basedOn w:val="82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7" w:customStyle="1">
    <w:name w:val="网格表 5 深色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5 Dark- Accent 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9" w:customStyle="1">
    <w:name w:val="Grid Table 5 Dark - Accent 2"/>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0" w:customStyle="1">
    <w:name w:val="Grid Table 5 Dark - Accent 3"/>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1" w:customStyle="1">
    <w:name w:val="Grid Table 5 Dark- Accent 4"/>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2" w:customStyle="1">
    <w:name w:val="Grid Table 5 Dark - Accent 5"/>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3" w:customStyle="1">
    <w:name w:val="Grid Table 5 Dark - Accent 6"/>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4" w:customStyle="1">
    <w:name w:val="网格表 6 彩色1"/>
    <w:basedOn w:val="8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5" w:customStyle="1">
    <w:name w:val="Grid Table 6 Colorful - Accent 1"/>
    <w:basedOn w:val="82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6" w:customStyle="1">
    <w:name w:val="Grid Table 6 Colorful - Accent 2"/>
    <w:basedOn w:val="82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7" w:customStyle="1">
    <w:name w:val="Grid Table 6 Colorful - Accent 3"/>
    <w:basedOn w:val="82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8" w:customStyle="1">
    <w:name w:val="Grid Table 6 Colorful - Accent 4"/>
    <w:basedOn w:val="82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9" w:customStyle="1">
    <w:name w:val="Grid Table 6 Colorful - Accent 5"/>
    <w:basedOn w:val="82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6 Colorful - Accent 6"/>
    <w:basedOn w:val="82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网格表 7 彩色1"/>
    <w:basedOn w:val="8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Grid Table 7 Colorful - Accent 1"/>
    <w:basedOn w:val="82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basedOn w:val="82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basedOn w:val="82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basedOn w:val="82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basedOn w:val="82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basedOn w:val="82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8" w:customStyle="1">
    <w:name w:val="清单表 1 浅色1"/>
    <w:basedOn w:val="82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1 Light - Accent 1"/>
    <w:basedOn w:val="82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1 Light - Accent 2"/>
    <w:basedOn w:val="82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1" w:customStyle="1">
    <w:name w:val="List Table 1 Light - Accent 3"/>
    <w:basedOn w:val="82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2" w:customStyle="1">
    <w:name w:val="List Table 1 Light - Accent 4"/>
    <w:basedOn w:val="82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3" w:customStyle="1">
    <w:name w:val="List Table 1 Light - Accent 5"/>
    <w:basedOn w:val="82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List Table 1 Light - Accent 6"/>
    <w:basedOn w:val="82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清单表 21"/>
    <w:basedOn w:val="8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List Table 2 - Accent 1"/>
    <w:basedOn w:val="82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7" w:customStyle="1">
    <w:name w:val="List Table 2 - Accent 2"/>
    <w:basedOn w:val="82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8" w:customStyle="1">
    <w:name w:val="List Table 2 - Accent 3"/>
    <w:basedOn w:val="82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9" w:customStyle="1">
    <w:name w:val="List Table 2 - Accent 4"/>
    <w:basedOn w:val="82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0" w:customStyle="1">
    <w:name w:val="List Table 2 - Accent 5"/>
    <w:basedOn w:val="82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1" w:customStyle="1">
    <w:name w:val="List Table 2 - Accent 6"/>
    <w:basedOn w:val="82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2" w:customStyle="1">
    <w:name w:val="清单表 3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3 - Accent 1"/>
    <w:basedOn w:val="82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3 - Accent 2"/>
    <w:basedOn w:val="82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5" w:customStyle="1">
    <w:name w:val="List Table 3 - Accent 3"/>
    <w:basedOn w:val="82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6" w:customStyle="1">
    <w:name w:val="List Table 3 - Accent 4"/>
    <w:basedOn w:val="82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7" w:customStyle="1">
    <w:name w:val="List Table 3 - Accent 5"/>
    <w:basedOn w:val="82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8" w:customStyle="1">
    <w:name w:val="List Table 3 - Accent 6"/>
    <w:basedOn w:val="82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9" w:customStyle="1">
    <w:name w:val="清单表 4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 Accent 1"/>
    <w:basedOn w:val="82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4 - Accent 2"/>
    <w:basedOn w:val="82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2" w:customStyle="1">
    <w:name w:val="List Table 4 - Accent 3"/>
    <w:basedOn w:val="82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3" w:customStyle="1">
    <w:name w:val="List Table 4 - Accent 4"/>
    <w:basedOn w:val="82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4" w:customStyle="1">
    <w:name w:val="List Table 4 - Accent 5"/>
    <w:basedOn w:val="82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5" w:customStyle="1">
    <w:name w:val="List Table 4 - Accent 6"/>
    <w:basedOn w:val="82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6" w:customStyle="1">
    <w:name w:val="清单表 5 深色1"/>
    <w:basedOn w:val="8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1"/>
    <w:basedOn w:val="82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2"/>
    <w:basedOn w:val="82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3"/>
    <w:basedOn w:val="82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4"/>
    <w:basedOn w:val="82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5"/>
    <w:basedOn w:val="82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6"/>
    <w:basedOn w:val="82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清单表 6 彩色1"/>
    <w:basedOn w:val="82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4" w:customStyle="1">
    <w:name w:val="List Table 6 Colorful - Accent 1"/>
    <w:basedOn w:val="82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5" w:customStyle="1">
    <w:name w:val="List Table 6 Colorful - Accent 2"/>
    <w:basedOn w:val="82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6" w:customStyle="1">
    <w:name w:val="List Table 6 Colorful - Accent 3"/>
    <w:basedOn w:val="82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7" w:customStyle="1">
    <w:name w:val="List Table 6 Colorful - Accent 4"/>
    <w:basedOn w:val="82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8" w:customStyle="1">
    <w:name w:val="List Table 6 Colorful - Accent 5"/>
    <w:basedOn w:val="82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9" w:customStyle="1">
    <w:name w:val="List Table 6 Colorful - Accent 6"/>
    <w:basedOn w:val="82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0" w:customStyle="1">
    <w:name w:val="清单表 7 彩色1"/>
    <w:basedOn w:val="82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List Table 7 Colorful - Accent 1"/>
    <w:basedOn w:val="82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basedOn w:val="82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basedOn w:val="82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basedOn w:val="82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basedOn w:val="82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basedOn w:val="82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7" w:customStyle="1">
    <w:name w:val="Lined - Accent"/>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Lined - Accent 1"/>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Lined - Accent 2"/>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Lined - Accent 3"/>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Lined - Accent 4"/>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Lined - Accent 5"/>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Lined - Accent 6"/>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amp; Lined - Accent"/>
    <w:basedOn w:val="8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Bordered &amp; Lined - Accent 1"/>
    <w:basedOn w:val="82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Bordered &amp; Lined - Accent 2"/>
    <w:basedOn w:val="82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Bordered &amp; Lined - Accent 3"/>
    <w:basedOn w:val="82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Bordered &amp; Lined - Accent 4"/>
    <w:basedOn w:val="82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Bordered &amp; Lined - Accent 5"/>
    <w:basedOn w:val="82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Bordered &amp; Lined - Accent 6"/>
    <w:basedOn w:val="82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w:basedOn w:val="8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2" w:customStyle="1">
    <w:name w:val="Bordered - Accent 1"/>
    <w:basedOn w:val="82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3" w:customStyle="1">
    <w:name w:val="Bordered - Accent 2"/>
    <w:basedOn w:val="82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4" w:customStyle="1">
    <w:name w:val="Bordered - Accent 3"/>
    <w:basedOn w:val="82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5" w:customStyle="1">
    <w:name w:val="Bordered - Accent 4"/>
    <w:basedOn w:val="82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6" w:customStyle="1">
    <w:name w:val="Bordered - Accent 5"/>
    <w:basedOn w:val="82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7" w:customStyle="1">
    <w:name w:val="Bordered - Accent 6"/>
    <w:basedOn w:val="82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8" w:customStyle="1">
    <w:name w:val="脚注文本 字符"/>
    <w:link w:val="849"/>
    <w:uiPriority w:val="99"/>
    <w:qFormat/>
    <w:rPr>
      <w:sz w:val="18"/>
    </w:rPr>
  </w:style>
  <w:style w:type="character" w:styleId="1049" w:customStyle="1">
    <w:name w:val="尾注文本 字符"/>
    <w:link w:val="842"/>
    <w:uiPriority w:val="99"/>
    <w:qFormat/>
    <w:rPr>
      <w:sz w:val="20"/>
    </w:rPr>
  </w:style>
  <w:style w:type="paragraph" w:styleId="1050" w:customStyle="1">
    <w:name w:val="TOC 标题1"/>
    <w:uiPriority w:val="39"/>
    <w:unhideWhenUsed/>
    <w:qFormat/>
    <w:rPr>
      <w:rFonts w:hint="default" w:ascii="Times New Roman" w:hAnsi="Times New Roman" w:eastAsia="宋体" w:cs="Times New Roman"/>
      <w:lang w:val="en-US" w:eastAsia="zh-CN" w:bidi="ar-SA"/>
    </w:rPr>
  </w:style>
  <w:style w:type="table" w:styleId="1051" w:customStyle="1">
    <w:name w:val="Table Normal"/>
    <w:uiPriority w:val="0"/>
    <w:semiHidden/>
    <w:unhideWhenUsed/>
    <w:qFormat/>
    <w:tblPr>
      <w:tblCellMar>
        <w:left w:w="0" w:type="dxa"/>
        <w:top w:w="0" w:type="dxa"/>
        <w:right w:w="0" w:type="dxa"/>
        <w:bottom w:w="0" w:type="dxa"/>
      </w:tblCellMar>
    </w:tblPr>
  </w:style>
  <w:style w:type="paragraph" w:styleId="1052" w:customStyle="1">
    <w:name w:val="Table Paragraph"/>
    <w:basedOn w:val="817"/>
    <w:uiPriority w:val="1"/>
    <w:qFormat/>
  </w:style>
  <w:style w:type="character" w:styleId="1053" w:customStyle="1">
    <w:name w:val="font31"/>
    <w:basedOn w:val="827"/>
    <w:uiPriority w:val="0"/>
    <w:qFormat/>
    <w:rPr>
      <w:rFonts w:hint="default" w:ascii="Times New Roman" w:hAnsi="Times New Roman" w:cs="Times New Roman"/>
      <w:color w:val="000000"/>
      <w:sz w:val="20"/>
      <w:szCs w:val="20"/>
      <w:u w:val="none"/>
    </w:rPr>
  </w:style>
  <w:style w:type="character" w:styleId="1054" w:customStyle="1">
    <w:name w:val="font41"/>
    <w:basedOn w:val="827"/>
    <w:uiPriority w:val="0"/>
    <w:qFormat/>
    <w:rPr>
      <w:rFonts w:hint="default" w:ascii="方正仿宋简体" w:hAnsi="方正仿宋简体" w:eastAsia="方正仿宋简体" w:cs="方正仿宋简体"/>
      <w:color w:val="000000"/>
      <w:sz w:val="20"/>
      <w:szCs w:val="20"/>
      <w:u w:val="none"/>
    </w:rPr>
  </w:style>
  <w:style w:type="character" w:styleId="1055" w:customStyle="1">
    <w:name w:val="font11"/>
    <w:basedOn w:val="827"/>
    <w:uiPriority w:val="0"/>
    <w:qFormat/>
    <w:rPr>
      <w:rFonts w:hint="eastAsia" w:ascii="宋体" w:hAnsi="宋体" w:eastAsia="宋体" w:cs="宋体"/>
      <w:color w:val="000000"/>
      <w:sz w:val="20"/>
      <w:szCs w:val="20"/>
      <w:u w:val="none"/>
    </w:rPr>
  </w:style>
  <w:style w:type="character" w:styleId="1056" w:customStyle="1">
    <w:name w:val="批注框文本 字符"/>
    <w:basedOn w:val="827"/>
    <w:link w:val="843"/>
    <w:uiPriority w:val="0"/>
    <w:qFormat/>
    <w:rPr>
      <w:rFonts w:ascii="宋体" w:hAnsi="宋体" w:cs="宋体"/>
      <w:sz w:val="18"/>
      <w:szCs w:val="18"/>
      <w:lang w:val="zh-CN" w:bidi="zh-CN"/>
    </w:rPr>
  </w:style>
  <w:style w:type="paragraph" w:styleId="1057" w:customStyle="1">
    <w:name w:val="列出段落1"/>
    <w:basedOn w:val="817"/>
    <w:uiPriority w:val="99"/>
    <w:qFormat/>
    <w:pPr>
      <w:ind w:firstLine="420"/>
    </w:pPr>
  </w:style>
  <w:style w:type="paragraph" w:styleId="1058" w:customStyle="1">
    <w:name w:val="标题 21"/>
    <w:basedOn w:val="817"/>
    <w:uiPriority w:val="1"/>
    <w:qFormat/>
    <w:pPr>
      <w:outlineLvl w:val="2"/>
    </w:pPr>
    <w:rPr>
      <w:rFonts w:ascii="黑体" w:hAnsi="黑体" w:eastAsia="黑体" w:cs="黑体"/>
      <w:sz w:val="36"/>
      <w:szCs w:val="36"/>
    </w:rPr>
  </w:style>
  <w:style w:type="paragraph" w:styleId="1059" w:customStyle="1">
    <w:name w:val="标题 51"/>
    <w:basedOn w:val="817"/>
    <w:uiPriority w:val="1"/>
    <w:qFormat/>
    <w:pPr>
      <w:ind w:left="638"/>
      <w:outlineLvl w:val="5"/>
    </w:pPr>
    <w:rPr>
      <w:b/>
      <w:bCs/>
      <w:sz w:val="21"/>
      <w:szCs w:val="21"/>
    </w:rPr>
  </w:style>
  <w:style w:type="paragraph" w:styleId="1060" w:customStyle="1">
    <w:name w:val="Body text|1"/>
    <w:basedOn w:val="817"/>
    <w:uiPriority w:val="0"/>
    <w:qFormat/>
    <w:pPr>
      <w:ind w:firstLine="400"/>
      <w:spacing w:after="180" w:line="410" w:lineRule="auto"/>
    </w:pPr>
    <w:rPr>
      <w:color w:val="1b1626"/>
      <w:sz w:val="30"/>
      <w:szCs w:val="30"/>
      <w:lang w:val="zh-TW" w:eastAsia="zh-TW" w:bidi="zh-TW"/>
    </w:rPr>
  </w:style>
  <w:style w:type="paragraph" w:styleId="1061" w:customStyle="1">
    <w:name w:val="Heading #2|1"/>
    <w:basedOn w:val="817"/>
    <w:uiPriority w:val="0"/>
    <w:qFormat/>
    <w:pPr>
      <w:ind w:firstLine="700"/>
      <w:spacing w:after="180" w:line="584" w:lineRule="exact"/>
      <w:outlineLvl w:val="1"/>
    </w:pPr>
    <w:rPr>
      <w:b/>
      <w:bCs/>
      <w:color w:val="1b1626"/>
      <w:sz w:val="30"/>
      <w:szCs w:val="30"/>
      <w:lang w:val="zh-TW" w:eastAsia="zh-TW" w:bidi="zh-TW"/>
    </w:rPr>
  </w:style>
  <w:style w:type="paragraph" w:styleId="1062" w:customStyle="1">
    <w:name w:val="表内文字居左"/>
    <w:basedOn w:val="817"/>
    <w:uiPriority w:val="0"/>
    <w:qFormat/>
    <w:rPr>
      <w:sz w:val="24"/>
      <w:szCs w:val="24"/>
    </w:rPr>
  </w:style>
  <w:style w:type="paragraph" w:styleId="1063" w:customStyle="1">
    <w:name w:val="正文-首缩2"/>
    <w:basedOn w:val="817"/>
    <w:uiPriority w:val="0"/>
    <w:qFormat/>
    <w:pPr>
      <w:ind w:firstLine="200"/>
      <w:spacing w:line="360" w:lineRule="auto"/>
    </w:pPr>
    <w:rPr>
      <w:rFonts w:ascii="Times New Roman" w:hAnsi="Times New Roman" w:cs="Times New Roman"/>
      <w:sz w:val="28"/>
      <w:szCs w:val="28"/>
    </w:rPr>
  </w:style>
  <w:style w:type="paragraph" w:styleId="1064" w:customStyle="1">
    <w:name w:val="正文首行缩进 211"/>
    <w:basedOn w:val="835"/>
    <w:uiPriority w:val="0"/>
    <w:qFormat/>
    <w:pPr>
      <w:ind w:firstLine="420"/>
      <w:spacing w:before="100" w:beforeAutospacing="1" w:line="360" w:lineRule="auto"/>
    </w:pPr>
    <w:rPr>
      <w:rFonts w:hAnsi="宋体"/>
      <w:sz w:val="20"/>
    </w:rPr>
  </w:style>
  <w:style w:type="paragraph" w:styleId="1065" w:customStyle="1">
    <w:name w:val="正文首行缩进 21"/>
    <w:basedOn w:val="1066"/>
    <w:next w:val="817"/>
    <w:uiPriority w:val="0"/>
    <w:qFormat/>
    <w:pPr>
      <w:ind w:firstLine="420"/>
      <w:spacing w:before="100" w:beforeAutospacing="1" w:line="360" w:lineRule="auto"/>
    </w:pPr>
    <w:rPr>
      <w:sz w:val="20"/>
    </w:rPr>
  </w:style>
  <w:style w:type="paragraph" w:styleId="1066" w:customStyle="1">
    <w:name w:val="正文文本缩进11"/>
    <w:basedOn w:val="817"/>
    <w:next w:val="1067"/>
    <w:uiPriority w:val="0"/>
    <w:unhideWhenUsed/>
    <w:qFormat/>
    <w:pPr>
      <w:ind w:left="420"/>
      <w:spacing w:after="120"/>
    </w:pPr>
  </w:style>
  <w:style w:type="paragraph" w:styleId="1067" w:customStyle="1">
    <w:name w:val="寄信人地址1"/>
    <w:basedOn w:val="817"/>
    <w:uiPriority w:val="0"/>
    <w:qFormat/>
    <w:rPr>
      <w:rFonts w:ascii="Arial" w:hAnsi="Arial"/>
    </w:rPr>
  </w:style>
  <w:style w:type="character" w:styleId="1068" w:customStyle="1">
    <w:name w:val="批注文字 字符"/>
    <w:basedOn w:val="827"/>
    <w:link w:val="832"/>
    <w:uiPriority w:val="0"/>
    <w:qFormat/>
    <w:rPr>
      <w:rFonts w:ascii="宋体" w:hAnsi="宋体" w:cs="宋体"/>
      <w:sz w:val="22"/>
      <w:szCs w:val="22"/>
      <w:lang w:val="zh-CN" w:bidi="zh-CN"/>
    </w:rPr>
  </w:style>
  <w:style w:type="character" w:styleId="1069" w:customStyle="1">
    <w:name w:val="批注主题 字符"/>
    <w:basedOn w:val="1068"/>
    <w:link w:val="856"/>
    <w:uiPriority w:val="0"/>
    <w:qFormat/>
    <w:rPr>
      <w:rFonts w:ascii="宋体" w:hAnsi="宋体" w:cs="宋体"/>
      <w:b/>
      <w:bCs/>
      <w:sz w:val="22"/>
      <w:szCs w:val="22"/>
      <w:lang w:val="zh-CN" w:bidi="zh-CN"/>
    </w:rPr>
  </w:style>
  <w:style w:type="paragraph" w:styleId="1070" w:customStyle="1">
    <w:name w:val="WPSOffice手动目录 1"/>
    <w:uiPriority w:val="0"/>
    <w:qFormat/>
    <w:rPr>
      <w:rFonts w:hint="default" w:ascii="Times New Roman" w:hAnsi="Times New Roman" w:eastAsia="宋体" w:cs="Times New Roman"/>
      <w:lang w:val="en-US" w:eastAsia="zh-CN" w:bidi="ar-SA"/>
    </w:rPr>
  </w:style>
  <w:style w:type="paragraph" w:styleId="1071" w:customStyle="1">
    <w:name w:val="二级目录"/>
    <w:next w:val="817"/>
    <w:uiPriority w:val="0"/>
    <w:qFormat/>
    <w:pPr>
      <w:tabs>
        <w:tab w:val="left" w:pos="720" w:leader="none"/>
      </w:tabs>
      <w:outlineLvl w:val="1"/>
    </w:pPr>
    <w:rPr>
      <w:rFonts w:hint="default" w:ascii="Calibri" w:hAnsi="Calibri" w:eastAsia="宋体" w:cs="Times New Roman"/>
      <w:b/>
      <w:sz w:val="30"/>
      <w:szCs w:val="28"/>
      <w:lang w:val="en-US" w:eastAsia="zh-CN" w:bidi="ar-SA"/>
    </w:rPr>
  </w:style>
  <w:style w:type="character" w:styleId="1072" w:customStyle="1">
    <w:name w:val="纯文本 字符"/>
    <w:basedOn w:val="827"/>
    <w:link w:val="840"/>
    <w:uiPriority w:val="99"/>
    <w:qFormat/>
    <w:rPr>
      <w:rFonts w:ascii="宋体" w:hAnsi="Courier New" w:cs="宋体"/>
      <w:sz w:val="22"/>
      <w:szCs w:val="22"/>
      <w:lang w:val="zh-CN" w:bidi="zh-CN"/>
    </w:rPr>
  </w:style>
  <w:style w:type="character" w:styleId="1073" w:customStyle="1">
    <w:name w:val="font01"/>
    <w:basedOn w:val="827"/>
    <w:uiPriority w:val="0"/>
    <w:qFormat/>
    <w:rPr>
      <w:rFonts w:hint="eastAsia" w:ascii="宋体" w:hAnsi="宋体" w:eastAsia="宋体" w:cs="宋体"/>
      <w:color w:val="000000"/>
      <w:sz w:val="22"/>
      <w:szCs w:val="22"/>
      <w:u w:val="none"/>
    </w:rPr>
  </w:style>
  <w:style w:type="paragraph" w:styleId="1074" w:customStyle="1">
    <w:name w:val="彩色列表1"/>
    <w:basedOn w:val="817"/>
    <w:uiPriority w:val="0"/>
    <w:qFormat/>
    <w:pPr>
      <w:ind w:firstLine="420"/>
    </w:pPr>
    <w:rPr>
      <w:rFonts w:ascii="Times New Roman" w:hAnsi="Times New Roman" w:cs="Times New Roman"/>
      <w:szCs w:val="21"/>
    </w:rPr>
  </w:style>
  <w:style w:type="character" w:styleId="1075" w:customStyle="1">
    <w:name w:val="15"/>
    <w:basedOn w:val="827"/>
    <w:uiPriority w:val="0"/>
    <w:qFormat/>
    <w:rPr>
      <w:rFonts w:hint="default" w:ascii="Times New Roman" w:hAnsi="Times New Roman" w:cs="Times New Roman"/>
    </w:rPr>
  </w:style>
  <w:style w:type="paragraph" w:styleId="1076" w:customStyle="1">
    <w:name w:val="Table Text"/>
    <w:basedOn w:val="817"/>
    <w:uiPriority w:val="0"/>
    <w:semiHidden/>
    <w:qFormat/>
    <w:rPr>
      <w:rFonts w:ascii="Arial" w:hAnsi="Arial" w:eastAsia="Arial" w:cs="Arial"/>
      <w:sz w:val="21"/>
      <w:szCs w:val="21"/>
      <w:lang w:val="en-US" w:eastAsia="en-US" w:bidi="ar-SA"/>
    </w:rPr>
  </w:style>
  <w:style w:type="character" w:styleId="1077" w:customStyle="1">
    <w:name w:val="font61"/>
    <w:basedOn w:val="827"/>
    <w:uiPriority w:val="0"/>
    <w:qFormat/>
    <w:rPr>
      <w:rFonts w:hint="default" w:ascii="Times New Roman" w:hAnsi="Times New Roman" w:cs="Times New Roman"/>
      <w:color w:val="000000"/>
      <w:sz w:val="20"/>
      <w:szCs w:val="20"/>
      <w:u w:val="none"/>
    </w:rPr>
  </w:style>
  <w:style w:type="character" w:styleId="1078" w:customStyle="1">
    <w:name w:val="font51"/>
    <w:basedOn w:val="827"/>
    <w:uiPriority w:val="0"/>
    <w:qFormat/>
    <w:rPr>
      <w:rFonts w:hint="eastAsia" w:ascii="微软雅黑" w:hAnsi="微软雅黑" w:eastAsia="微软雅黑" w:cs="微软雅黑"/>
      <w:color w:val="000000"/>
      <w:sz w:val="20"/>
      <w:szCs w:val="20"/>
      <w:u w:val="none"/>
    </w:rPr>
  </w:style>
  <w:style w:type="paragraph" w:styleId="1079" w:customStyle="1">
    <w:name w:val="列表段落1"/>
    <w:basedOn w:val="817"/>
    <w:uiPriority w:val="99"/>
    <w:qFormat/>
    <w:pPr>
      <w:contextualSpacing/>
      <w:ind w:left="720"/>
      <w:widowControl/>
    </w:pPr>
    <w:rPr>
      <w:rFonts w:ascii="Arial" w:hAnsi="Arial" w:eastAsia="黑体" w:cs="Times New Roman"/>
      <w:sz w:val="24"/>
      <w:szCs w:val="24"/>
      <w:lang w:val="en-US" w:eastAsia="en-US" w:bidi="ar-SA"/>
    </w:rPr>
  </w:style>
  <w:style w:type="paragraph" w:styleId="1080" w:customStyle="1">
    <w:name w:val="正文首行缩进1"/>
    <w:basedOn w:val="817"/>
    <w:uiPriority w:val="0"/>
    <w:qFormat/>
    <w:pPr>
      <w:ind w:firstLine="420"/>
      <w:spacing w:after="120" w:line="360" w:lineRule="auto"/>
    </w:pPr>
    <w:rPr>
      <w:szCs w:val="21"/>
    </w:rPr>
  </w:style>
  <w:style w:type="paragraph" w:styleId="1081" w:customStyle="1">
    <w:name w:val="修订1"/>
    <w:hidden/>
    <w:uiPriority w:val="99"/>
    <w:semiHidden/>
    <w:qFormat/>
    <w:rPr>
      <w:rFonts w:hint="default" w:ascii="宋体" w:hAnsi="宋体" w:eastAsia="宋体" w:cs="宋体"/>
      <w:sz w:val="22"/>
      <w:szCs w:val="22"/>
      <w:lang w:val="zh-CN" w:eastAsia="zh-CN" w:bidi="zh-CN"/>
    </w:rPr>
  </w:style>
  <w:style w:type="paragraph" w:styleId="1082" w:customStyle="1">
    <w:name w:val="正文缩进1"/>
    <w:basedOn w:val="817"/>
    <w:uiPriority w:val="99"/>
    <w:qFormat/>
    <w:pPr>
      <w:ind w:firstLine="420"/>
    </w:pPr>
    <w:rPr>
      <w:szCs w:val="20"/>
    </w:rPr>
  </w:style>
  <w:style w:type="paragraph" w:styleId="1083" w:customStyle="1">
    <w:name w:val="LC主要特点"/>
    <w:basedOn w:val="817"/>
    <w:uiPriority w:val="0"/>
    <w:qFormat/>
    <w:pPr>
      <w:spacing w:before="20" w:after="20" w:line="288" w:lineRule="auto"/>
    </w:pPr>
    <w:rPr>
      <w:rFonts w:ascii="Arial" w:hAnsi="Arial" w:eastAsia="微软雅黑"/>
      <w:b/>
    </w:rPr>
  </w:style>
  <w:style w:type="paragraph" w:styleId="1084" w:customStyle="1">
    <w:name w:val="LC 文字内容 带符号编码"/>
    <w:next w:val="817"/>
    <w:uiPriority w:val="0"/>
    <w:qFormat/>
    <w:pPr>
      <w:numPr>
        <w:ilvl w:val="0"/>
        <w:numId w:val="1"/>
      </w:numPr>
      <w:ind w:left="840"/>
      <w:jc w:val="both"/>
    </w:pPr>
    <w:rPr>
      <w:rFonts w:hint="default" w:ascii="微软雅黑" w:hAnsi="微软雅黑" w:eastAsia="微软雅黑" w:cs="微软雅黑"/>
      <w:sz w:val="21"/>
      <w:lang w:val="en-US" w:eastAsia="zh-CN" w:bidi="ar-SA"/>
    </w:rPr>
  </w:style>
  <w:style w:type="paragraph" w:styleId="1085" w:customStyle="1">
    <w:name w:val="产品手册——表"/>
    <w:uiPriority w:val="0"/>
    <w:qFormat/>
    <w:pPr>
      <w:jc w:val="center"/>
      <w:spacing w:before="20" w:after="20"/>
    </w:pPr>
    <w:rPr>
      <w:rFonts w:hint="default" w:ascii="微软雅黑" w:hAnsi="微软雅黑" w:eastAsia="微软雅黑" w:cs="微软雅黑"/>
      <w:sz w:val="21"/>
      <w:szCs w:val="22"/>
      <w:lang w:val="en-US" w:eastAsia="zh-CN" w:bidi="ar-SA"/>
    </w:rPr>
  </w:style>
  <w:style w:type="paragraph" w:styleId="1086" w:customStyle="1">
    <w:name w:val="正文文本1"/>
    <w:basedOn w:val="817"/>
    <w:next w:val="817"/>
    <w:uiPriority w:val="99"/>
    <w:qFormat/>
    <w:pPr>
      <w:spacing w:after="120"/>
    </w:pPr>
    <w:rPr>
      <w:sz w:val="24"/>
    </w:rPr>
  </w:style>
  <w:style w:type="paragraph" w:styleId="1087" w:customStyle="1">
    <w:name w:val="标题 11"/>
    <w:basedOn w:val="817"/>
    <w:next w:val="817"/>
    <w:uiPriority w:val="99"/>
    <w:qFormat/>
    <w:pPr>
      <w:keepLines/>
      <w:keepNext/>
      <w:spacing w:before="340" w:after="330" w:line="576" w:lineRule="auto"/>
      <w:outlineLvl w:val="0"/>
    </w:pPr>
    <w:rPr>
      <w:b/>
      <w:bCs/>
      <w:sz w:val="44"/>
      <w:szCs w:val="44"/>
    </w:rPr>
  </w:style>
  <w:style w:type="character" w:styleId="1088" w:customStyle="1">
    <w:name w:val="要点1"/>
    <w:basedOn w:val="1089"/>
    <w:uiPriority w:val="99"/>
    <w:qFormat/>
    <w:rPr>
      <w:rFonts w:cs="Times New Roman"/>
      <w:b/>
    </w:rPr>
  </w:style>
  <w:style w:type="character" w:styleId="1089" w:customStyle="1">
    <w:name w:val="默认段落字体1"/>
    <w:uiPriority w:val="1"/>
    <w:unhideWhenUsed/>
    <w:qFormat/>
  </w:style>
  <w:style w:type="paragraph" w:styleId="1090" w:customStyle="1">
    <w:name w:val="普通(网站)1"/>
    <w:basedOn w:val="817"/>
    <w:uiPriority w:val="0"/>
    <w:qFormat/>
    <w:pPr>
      <w:spacing w:before="100" w:beforeAutospacing="1" w:after="100" w:afterAutospacing="1"/>
      <w:widowControl/>
    </w:pPr>
    <w:rPr>
      <w:sz w:val="24"/>
    </w:rPr>
  </w:style>
  <w:style w:type="character" w:styleId="1091" w:customStyle="1">
    <w:name w:val="NormalCharacter"/>
    <w:uiPriority w:val="0"/>
    <w:qFormat/>
    <w:rPr>
      <w:rFonts w:ascii="Times New Roman" w:hAnsi="Times New Roman" w:eastAsia="宋体" w:cs="Times New Roman"/>
      <w:sz w:val="21"/>
      <w:szCs w:val="22"/>
      <w:lang w:val="en-US" w:eastAsia="zh-CN" w:bidi="ar-SA"/>
    </w:rPr>
  </w:style>
  <w:style w:type="character" w:styleId="1092" w:customStyle="1">
    <w:name w:val="font21"/>
    <w:basedOn w:val="827"/>
    <w:uiPriority w:val="0"/>
    <w:qFormat/>
    <w:rPr>
      <w:rFonts w:hint="default" w:ascii="Times New Roman" w:hAnsi="Times New Roman" w:eastAsia="宋体" w:cs="Times New Roman"/>
      <w:color w:val="000000"/>
      <w:sz w:val="22"/>
      <w:szCs w:val="22"/>
      <w:u w:val="none"/>
      <w:vertAlign w:val="superscript"/>
    </w:rPr>
  </w:style>
  <w:style w:type="character" w:styleId="1093" w:customStyle="1">
    <w:name w:val="正文文本 字符"/>
    <w:basedOn w:val="827"/>
    <w:link w:val="833"/>
    <w:uiPriority w:val="0"/>
    <w:qFormat/>
    <w:rPr>
      <w:rFonts w:ascii="宋体" w:hAnsi="宋体" w:cs="宋体"/>
      <w:sz w:val="21"/>
      <w:szCs w:val="21"/>
      <w:lang w:val="zh-CN" w:bidi="zh-CN"/>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 Id="rId16"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B7FAF00-60D6-4EEE-9C60-AAC358D091B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229</cp:revision>
  <dcterms:created xsi:type="dcterms:W3CDTF">2025-06-16T07:37:00Z</dcterms:created>
  <dcterms:modified xsi:type="dcterms:W3CDTF">2026-05-07T08:25:54Z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2052-12.1.0.23542</vt:lpwstr>
  </property>
  <property fmtid="{D5CDD505-2E9C-101B-9397-08002B2CF9AE}" pid="6" name="ICV">
    <vt:lpwstr>0F0D8AFAB0354ECFB75A650EDA5FBDB5_13</vt:lpwstr>
  </property>
  <property fmtid="{D5CDD505-2E9C-101B-9397-08002B2CF9AE}" pid="7" name="KSOTemplateDocerSaveRecord">
    <vt:lpwstr>eyJoZGlkIjoiYTRhMDcwNGIxZTNiMzM5ZGI1NmM3MmZhMTMyY2I2NmMiLCJ1c2VySWQiOiIyNzM4NDU2NzMifQ==</vt:lpwstr>
  </property>
</Properties>
</file>