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20B593">
      <w:pPr>
        <w:jc w:val="center"/>
        <w:rPr>
          <w:rFonts w:ascii="宋体" w:hAnsi="宋体"/>
          <w:color w:val="auto"/>
          <w:sz w:val="52"/>
          <w:highlight w:val="none"/>
        </w:rPr>
      </w:pPr>
    </w:p>
    <w:p w14:paraId="5F2E0D3A">
      <w:pPr>
        <w:spacing w:line="360" w:lineRule="auto"/>
        <w:jc w:val="center"/>
        <w:rPr>
          <w:rFonts w:ascii="宋体" w:hAnsi="宋体"/>
          <w:b/>
          <w:color w:val="auto"/>
          <w:sz w:val="84"/>
          <w:szCs w:val="84"/>
          <w:highlight w:val="none"/>
        </w:rPr>
      </w:pPr>
      <w:r>
        <w:rPr>
          <w:rFonts w:hint="eastAsia" w:ascii="宋体" w:hAnsi="宋体"/>
          <w:b/>
          <w:color w:val="auto"/>
          <w:sz w:val="72"/>
          <w:szCs w:val="72"/>
          <w:highlight w:val="none"/>
        </w:rPr>
        <w:t>苏 州 市 政 府 采 购</w:t>
      </w:r>
    </w:p>
    <w:p w14:paraId="7440E3A5">
      <w:pPr>
        <w:jc w:val="center"/>
        <w:rPr>
          <w:rFonts w:ascii="宋体" w:hAnsi="宋体"/>
          <w:color w:val="auto"/>
          <w:sz w:val="52"/>
          <w:highlight w:val="none"/>
        </w:rPr>
      </w:pPr>
      <w:r>
        <w:rPr>
          <w:rFonts w:hint="eastAsia" w:ascii="宋体" w:hAnsi="宋体"/>
          <w:b/>
          <w:color w:val="auto"/>
          <w:sz w:val="72"/>
          <w:szCs w:val="72"/>
          <w:highlight w:val="none"/>
        </w:rPr>
        <w:t>磋 商 采 购 文 件</w:t>
      </w:r>
    </w:p>
    <w:p w14:paraId="29504641">
      <w:pPr>
        <w:jc w:val="center"/>
        <w:rPr>
          <w:rFonts w:ascii="宋体" w:hAnsi="宋体"/>
          <w:color w:val="auto"/>
          <w:sz w:val="52"/>
          <w:highlight w:val="none"/>
        </w:rPr>
      </w:pPr>
    </w:p>
    <w:p w14:paraId="594CBEEF">
      <w:pPr>
        <w:jc w:val="center"/>
        <w:rPr>
          <w:rFonts w:ascii="宋体" w:hAnsi="宋体"/>
          <w:color w:val="auto"/>
          <w:sz w:val="52"/>
          <w:highlight w:val="none"/>
        </w:rPr>
      </w:pPr>
    </w:p>
    <w:p w14:paraId="02CD4D54">
      <w:pPr>
        <w:jc w:val="center"/>
        <w:rPr>
          <w:rFonts w:ascii="宋体" w:hAnsi="宋体"/>
          <w:color w:val="auto"/>
          <w:sz w:val="52"/>
          <w:highlight w:val="none"/>
        </w:rPr>
      </w:pPr>
    </w:p>
    <w:p w14:paraId="29AA9C45">
      <w:pPr>
        <w:spacing w:line="360" w:lineRule="auto"/>
        <w:ind w:firstLine="964"/>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采购编号：</w:t>
      </w:r>
      <w:r>
        <w:rPr>
          <w:rFonts w:hint="eastAsia" w:ascii="宋体" w:hAnsi="宋体"/>
          <w:b/>
          <w:bCs/>
          <w:color w:val="auto"/>
          <w:sz w:val="32"/>
          <w:szCs w:val="32"/>
          <w:highlight w:val="none"/>
          <w:lang w:eastAsia="zh-CN"/>
        </w:rPr>
        <w:t>JSZC-320500-ZCZX-C2026-0034</w:t>
      </w:r>
    </w:p>
    <w:p w14:paraId="41696383">
      <w:pPr>
        <w:spacing w:line="360" w:lineRule="auto"/>
        <w:ind w:firstLine="964"/>
        <w:rPr>
          <w:rFonts w:hint="eastAsia" w:ascii="宋体" w:hAnsi="宋体" w:eastAsia="宋体"/>
          <w:b/>
          <w:bCs/>
          <w:color w:val="auto"/>
          <w:sz w:val="32"/>
          <w:szCs w:val="32"/>
          <w:highlight w:val="none"/>
          <w:lang w:eastAsia="zh-CN"/>
        </w:rPr>
      </w:pPr>
      <w:r>
        <w:rPr>
          <w:rFonts w:hint="eastAsia" w:ascii="宋体" w:hAnsi="宋体"/>
          <w:b/>
          <w:bCs/>
          <w:color w:val="auto"/>
          <w:sz w:val="32"/>
          <w:szCs w:val="32"/>
          <w:highlight w:val="none"/>
        </w:rPr>
        <w:t>采购内容：</w:t>
      </w:r>
      <w:r>
        <w:rPr>
          <w:rFonts w:hint="eastAsia" w:ascii="宋体" w:hAnsi="宋体"/>
          <w:b/>
          <w:bCs/>
          <w:color w:val="auto"/>
          <w:sz w:val="32"/>
          <w:szCs w:val="32"/>
          <w:highlight w:val="none"/>
          <w:lang w:eastAsia="zh-CN"/>
        </w:rPr>
        <w:t>苏州市公共文化中心既有建筑应急维修（第二期）</w:t>
      </w:r>
    </w:p>
    <w:p w14:paraId="7E1DC5B4">
      <w:pPr>
        <w:spacing w:line="360" w:lineRule="auto"/>
        <w:ind w:firstLine="964"/>
        <w:rPr>
          <w:rFonts w:hint="eastAsia" w:ascii="宋体" w:hAnsi="宋体" w:eastAsia="宋体"/>
          <w:b/>
          <w:bCs/>
          <w:color w:val="auto"/>
          <w:sz w:val="32"/>
          <w:szCs w:val="32"/>
          <w:highlight w:val="none"/>
          <w:lang w:eastAsia="zh-CN"/>
        </w:rPr>
      </w:pPr>
      <w:r>
        <w:rPr>
          <w:rFonts w:hint="eastAsia" w:ascii="宋体" w:hAnsi="宋体" w:cs="宋体"/>
          <w:b/>
          <w:bCs/>
          <w:color w:val="auto"/>
          <w:sz w:val="32"/>
          <w:szCs w:val="32"/>
          <w:highlight w:val="none"/>
        </w:rPr>
        <w:t>采 购 人</w:t>
      </w:r>
      <w:r>
        <w:rPr>
          <w:rFonts w:hint="eastAsia" w:ascii="宋体" w:hAnsi="宋体"/>
          <w:b/>
          <w:bCs/>
          <w:color w:val="auto"/>
          <w:sz w:val="32"/>
          <w:szCs w:val="32"/>
          <w:highlight w:val="none"/>
        </w:rPr>
        <w:t>：</w:t>
      </w:r>
      <w:r>
        <w:rPr>
          <w:rFonts w:hint="eastAsia" w:ascii="宋体" w:hAnsi="宋体"/>
          <w:b/>
          <w:bCs/>
          <w:color w:val="auto"/>
          <w:sz w:val="32"/>
          <w:szCs w:val="32"/>
          <w:highlight w:val="none"/>
          <w:lang w:eastAsia="zh-CN"/>
        </w:rPr>
        <w:t>苏州市公共文化中心</w:t>
      </w:r>
    </w:p>
    <w:p w14:paraId="51AAA2E1">
      <w:pPr>
        <w:spacing w:line="360" w:lineRule="auto"/>
        <w:ind w:firstLine="964"/>
        <w:rPr>
          <w:rFonts w:ascii="宋体" w:hAnsi="宋体"/>
          <w:b/>
          <w:bCs/>
          <w:color w:val="auto"/>
          <w:sz w:val="32"/>
          <w:szCs w:val="32"/>
          <w:highlight w:val="none"/>
        </w:rPr>
      </w:pPr>
      <w:r>
        <w:rPr>
          <w:rFonts w:hint="eastAsia" w:ascii="宋体" w:hAnsi="宋体"/>
          <w:b/>
          <w:bCs/>
          <w:color w:val="auto"/>
          <w:sz w:val="32"/>
          <w:szCs w:val="32"/>
          <w:highlight w:val="none"/>
        </w:rPr>
        <w:t>采购类别：工程类</w:t>
      </w:r>
    </w:p>
    <w:p w14:paraId="78ECABF3">
      <w:pPr>
        <w:jc w:val="center"/>
        <w:rPr>
          <w:rFonts w:ascii="宋体" w:hAnsi="宋体"/>
          <w:color w:val="auto"/>
          <w:sz w:val="52"/>
          <w:highlight w:val="none"/>
        </w:rPr>
      </w:pPr>
    </w:p>
    <w:p w14:paraId="64B83F59">
      <w:pPr>
        <w:jc w:val="center"/>
        <w:rPr>
          <w:rFonts w:ascii="宋体" w:hAnsi="宋体"/>
          <w:color w:val="auto"/>
          <w:sz w:val="52"/>
          <w:highlight w:val="none"/>
        </w:rPr>
      </w:pPr>
    </w:p>
    <w:p w14:paraId="481E4AD8">
      <w:pPr>
        <w:jc w:val="center"/>
        <w:rPr>
          <w:rFonts w:ascii="宋体" w:hAnsi="宋体"/>
          <w:color w:val="auto"/>
          <w:sz w:val="52"/>
          <w:highlight w:val="none"/>
        </w:rPr>
      </w:pPr>
    </w:p>
    <w:p w14:paraId="7CA5E31C">
      <w:pPr>
        <w:jc w:val="center"/>
        <w:rPr>
          <w:rFonts w:ascii="宋体" w:hAnsi="宋体"/>
          <w:color w:val="auto"/>
          <w:sz w:val="52"/>
          <w:highlight w:val="none"/>
        </w:rPr>
      </w:pPr>
    </w:p>
    <w:p w14:paraId="67085364">
      <w:pPr>
        <w:spacing w:line="360" w:lineRule="auto"/>
        <w:jc w:val="center"/>
        <w:rPr>
          <w:rFonts w:ascii="宋体" w:hAnsi="宋体"/>
          <w:b/>
          <w:bCs/>
          <w:color w:val="auto"/>
          <w:sz w:val="32"/>
          <w:szCs w:val="32"/>
          <w:highlight w:val="none"/>
        </w:rPr>
      </w:pPr>
      <w:r>
        <w:rPr>
          <w:rFonts w:hint="eastAsia" w:ascii="宋体" w:hAnsi="宋体"/>
          <w:b/>
          <w:bCs/>
          <w:color w:val="auto"/>
          <w:sz w:val="32"/>
          <w:szCs w:val="32"/>
          <w:highlight w:val="none"/>
        </w:rPr>
        <w:t>中诚智信工程咨询集团股份有限公司</w:t>
      </w:r>
    </w:p>
    <w:p w14:paraId="2B4EC747">
      <w:pPr>
        <w:jc w:val="center"/>
        <w:rPr>
          <w:rFonts w:ascii="宋体" w:hAnsi="宋体"/>
          <w:b/>
          <w:color w:val="auto"/>
          <w:sz w:val="32"/>
          <w:szCs w:val="32"/>
          <w:highlight w:val="none"/>
        </w:rPr>
      </w:pPr>
      <w:r>
        <w:rPr>
          <w:rFonts w:hint="eastAsia" w:ascii="宋体" w:hAnsi="宋体"/>
          <w:b/>
          <w:color w:val="auto"/>
          <w:sz w:val="32"/>
          <w:szCs w:val="32"/>
          <w:highlight w:val="none"/>
        </w:rPr>
        <w:t>二〇二</w:t>
      </w:r>
      <w:r>
        <w:rPr>
          <w:rFonts w:hint="eastAsia" w:ascii="宋体" w:hAnsi="宋体"/>
          <w:b/>
          <w:color w:val="auto"/>
          <w:sz w:val="32"/>
          <w:szCs w:val="32"/>
          <w:lang w:val="en-US" w:eastAsia="zh-CN"/>
        </w:rPr>
        <w:t>六</w:t>
      </w:r>
      <w:r>
        <w:rPr>
          <w:rFonts w:hint="eastAsia" w:ascii="宋体" w:hAnsi="宋体"/>
          <w:b/>
          <w:color w:val="auto"/>
          <w:sz w:val="32"/>
          <w:szCs w:val="32"/>
        </w:rPr>
        <w:t>年</w:t>
      </w:r>
      <w:r>
        <w:rPr>
          <w:rFonts w:hint="eastAsia" w:ascii="宋体" w:hAnsi="宋体"/>
          <w:b/>
          <w:color w:val="auto"/>
          <w:sz w:val="32"/>
          <w:szCs w:val="32"/>
          <w:lang w:val="en-US" w:eastAsia="zh-CN"/>
        </w:rPr>
        <w:t>四</w:t>
      </w:r>
      <w:r>
        <w:rPr>
          <w:rFonts w:ascii="宋体" w:hAnsi="宋体"/>
          <w:b/>
          <w:color w:val="auto"/>
          <w:sz w:val="32"/>
          <w:szCs w:val="32"/>
          <w:highlight w:val="none"/>
        </w:rPr>
        <w:t>月</w:t>
      </w:r>
    </w:p>
    <w:p w14:paraId="63BEEB8E">
      <w:pPr>
        <w:spacing w:line="360" w:lineRule="auto"/>
        <w:rPr>
          <w:rFonts w:ascii="宋体" w:hAnsi="宋体"/>
          <w:color w:val="auto"/>
          <w:sz w:val="32"/>
          <w:szCs w:val="32"/>
          <w:highlight w:val="none"/>
        </w:rPr>
      </w:pPr>
    </w:p>
    <w:p w14:paraId="6FE1FDFD">
      <w:pPr>
        <w:rPr>
          <w:rFonts w:ascii="宋体" w:hAnsi="宋体"/>
          <w:b/>
          <w:color w:val="auto"/>
          <w:sz w:val="32"/>
          <w:szCs w:val="32"/>
          <w:highlight w:val="none"/>
        </w:rPr>
        <w:sectPr>
          <w:headerReference r:id="rId3" w:type="default"/>
          <w:footerReference r:id="rId4" w:type="even"/>
          <w:pgSz w:w="11906" w:h="16838"/>
          <w:pgMar w:top="1440" w:right="1800" w:bottom="1440" w:left="1800" w:header="720" w:footer="720" w:gutter="0"/>
          <w:pgNumType w:start="0"/>
          <w:cols w:space="720" w:num="1"/>
          <w:titlePg/>
          <w:docGrid w:linePitch="360" w:charSpace="0"/>
        </w:sectPr>
      </w:pPr>
    </w:p>
    <w:p w14:paraId="3D821E98">
      <w:pPr>
        <w:tabs>
          <w:tab w:val="left" w:pos="315"/>
          <w:tab w:val="center" w:pos="4153"/>
        </w:tabs>
        <w:jc w:val="center"/>
        <w:rPr>
          <w:rFonts w:ascii="黑体" w:eastAsia="黑体"/>
          <w:b/>
          <w:color w:val="auto"/>
          <w:sz w:val="52"/>
          <w:szCs w:val="52"/>
          <w:highlight w:val="none"/>
        </w:rPr>
      </w:pPr>
    </w:p>
    <w:p w14:paraId="43DC803D">
      <w:pPr>
        <w:tabs>
          <w:tab w:val="left" w:pos="315"/>
          <w:tab w:val="center" w:pos="4153"/>
        </w:tabs>
        <w:jc w:val="center"/>
        <w:rPr>
          <w:rFonts w:ascii="黑体" w:eastAsia="黑体"/>
          <w:b/>
          <w:color w:val="auto"/>
          <w:sz w:val="52"/>
          <w:szCs w:val="52"/>
          <w:highlight w:val="none"/>
        </w:rPr>
      </w:pPr>
      <w:r>
        <w:rPr>
          <w:rFonts w:hint="eastAsia" w:ascii="黑体" w:eastAsia="黑体"/>
          <w:b/>
          <w:color w:val="auto"/>
          <w:sz w:val="52"/>
          <w:szCs w:val="52"/>
          <w:highlight w:val="none"/>
        </w:rPr>
        <w:t>目    录</w:t>
      </w:r>
    </w:p>
    <w:p w14:paraId="7D3087E3">
      <w:pPr>
        <w:tabs>
          <w:tab w:val="left" w:pos="315"/>
          <w:tab w:val="center" w:pos="4153"/>
        </w:tabs>
        <w:jc w:val="center"/>
        <w:rPr>
          <w:rFonts w:ascii="黑体" w:eastAsia="黑体"/>
          <w:b/>
          <w:color w:val="auto"/>
          <w:sz w:val="52"/>
          <w:szCs w:val="52"/>
          <w:highlight w:val="none"/>
        </w:rPr>
      </w:pPr>
    </w:p>
    <w:p w14:paraId="49DA069A">
      <w:pPr>
        <w:tabs>
          <w:tab w:val="left" w:pos="315"/>
          <w:tab w:val="center" w:pos="4153"/>
        </w:tabs>
        <w:rPr>
          <w:rFonts w:ascii="黑体" w:eastAsia="黑体"/>
          <w:color w:val="auto"/>
          <w:sz w:val="44"/>
          <w:szCs w:val="44"/>
          <w:highlight w:val="none"/>
        </w:rPr>
      </w:pPr>
      <w:r>
        <w:rPr>
          <w:rFonts w:hint="eastAsia" w:ascii="黑体" w:eastAsia="黑体"/>
          <w:color w:val="auto"/>
          <w:sz w:val="44"/>
          <w:szCs w:val="44"/>
          <w:highlight w:val="none"/>
        </w:rPr>
        <w:t>一、磋商公告</w:t>
      </w:r>
    </w:p>
    <w:p w14:paraId="4C3C1471">
      <w:pPr>
        <w:tabs>
          <w:tab w:val="left" w:pos="315"/>
          <w:tab w:val="center" w:pos="4153"/>
        </w:tabs>
        <w:rPr>
          <w:rFonts w:ascii="黑体" w:eastAsia="黑体"/>
          <w:color w:val="auto"/>
          <w:sz w:val="44"/>
          <w:szCs w:val="44"/>
          <w:highlight w:val="none"/>
        </w:rPr>
      </w:pPr>
      <w:r>
        <w:rPr>
          <w:rFonts w:hint="eastAsia" w:ascii="黑体" w:eastAsia="黑体"/>
          <w:color w:val="auto"/>
          <w:sz w:val="44"/>
          <w:szCs w:val="44"/>
          <w:highlight w:val="none"/>
        </w:rPr>
        <w:t>二、磋商须知</w:t>
      </w:r>
    </w:p>
    <w:p w14:paraId="37E90C5E">
      <w:pPr>
        <w:tabs>
          <w:tab w:val="left" w:pos="315"/>
          <w:tab w:val="center" w:pos="4153"/>
        </w:tabs>
        <w:rPr>
          <w:rFonts w:ascii="黑体" w:eastAsia="黑体"/>
          <w:color w:val="auto"/>
          <w:sz w:val="44"/>
          <w:szCs w:val="44"/>
          <w:highlight w:val="none"/>
        </w:rPr>
      </w:pPr>
      <w:r>
        <w:rPr>
          <w:rFonts w:hint="eastAsia" w:ascii="黑体" w:eastAsia="黑体"/>
          <w:color w:val="auto"/>
          <w:sz w:val="44"/>
          <w:szCs w:val="44"/>
          <w:highlight w:val="none"/>
        </w:rPr>
        <w:t>三、评审方法及评分标准</w:t>
      </w:r>
    </w:p>
    <w:p w14:paraId="028C3969">
      <w:pPr>
        <w:tabs>
          <w:tab w:val="left" w:pos="315"/>
          <w:tab w:val="center" w:pos="4153"/>
        </w:tabs>
        <w:rPr>
          <w:rFonts w:ascii="黑体" w:eastAsia="黑体"/>
          <w:color w:val="auto"/>
          <w:sz w:val="44"/>
          <w:szCs w:val="44"/>
          <w:highlight w:val="none"/>
        </w:rPr>
      </w:pPr>
      <w:r>
        <w:rPr>
          <w:rFonts w:hint="eastAsia" w:ascii="黑体" w:eastAsia="黑体"/>
          <w:color w:val="auto"/>
          <w:sz w:val="44"/>
          <w:szCs w:val="44"/>
          <w:highlight w:val="none"/>
        </w:rPr>
        <w:t>四、合同主要条款及格式</w:t>
      </w:r>
    </w:p>
    <w:p w14:paraId="58831AA7">
      <w:pPr>
        <w:tabs>
          <w:tab w:val="left" w:pos="315"/>
          <w:tab w:val="center" w:pos="4153"/>
        </w:tabs>
        <w:rPr>
          <w:rFonts w:ascii="黑体" w:eastAsia="黑体"/>
          <w:color w:val="auto"/>
          <w:sz w:val="44"/>
          <w:szCs w:val="44"/>
          <w:highlight w:val="none"/>
        </w:rPr>
      </w:pPr>
      <w:r>
        <w:rPr>
          <w:rFonts w:hint="eastAsia" w:ascii="黑体" w:eastAsia="黑体"/>
          <w:color w:val="auto"/>
          <w:sz w:val="44"/>
          <w:szCs w:val="44"/>
          <w:highlight w:val="none"/>
        </w:rPr>
        <w:t>五、磋商响应文件格式</w:t>
      </w:r>
    </w:p>
    <w:p w14:paraId="6C128D05">
      <w:pPr>
        <w:spacing w:line="360" w:lineRule="auto"/>
        <w:jc w:val="center"/>
        <w:rPr>
          <w:rFonts w:hint="eastAsia" w:ascii="宋体" w:hAnsi="宋体" w:eastAsia="宋体" w:cs="宋体"/>
          <w:b/>
          <w:color w:val="auto"/>
          <w:kern w:val="2"/>
          <w:sz w:val="44"/>
          <w:szCs w:val="44"/>
          <w:highlight w:val="none"/>
        </w:rPr>
      </w:pPr>
      <w:r>
        <w:rPr>
          <w:rFonts w:ascii="宋体" w:hAnsi="宋体"/>
          <w:b/>
          <w:color w:val="auto"/>
          <w:sz w:val="28"/>
          <w:szCs w:val="28"/>
          <w:highlight w:val="none"/>
        </w:rPr>
        <w:br w:type="page" w:clear="all"/>
      </w:r>
      <w:r>
        <w:rPr>
          <w:rFonts w:hint="eastAsia" w:ascii="宋体" w:hAnsi="宋体" w:cs="宋体"/>
          <w:b/>
          <w:color w:val="auto"/>
          <w:sz w:val="44"/>
          <w:szCs w:val="44"/>
          <w:highlight w:val="none"/>
        </w:rPr>
        <w:t>第一章 磋商公告</w:t>
      </w:r>
    </w:p>
    <w:tbl>
      <w:tblPr>
        <w:tblStyle w:val="4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745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1DE891F3">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项目概况</w:t>
            </w:r>
          </w:p>
          <w:p w14:paraId="68F089C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ascii="Times New Roman" w:eastAsia="宋体"/>
                <w:color w:val="auto"/>
                <w:highlight w:val="none"/>
              </w:rPr>
            </w:pPr>
            <w:r>
              <w:rPr>
                <w:rFonts w:hint="eastAsia" w:ascii="宋体" w:hAnsi="宋体" w:eastAsia="宋体" w:cs="宋体"/>
                <w:color w:val="auto"/>
                <w:sz w:val="21"/>
                <w:szCs w:val="21"/>
                <w:highlight w:val="none"/>
                <w:lang w:eastAsia="zh-CN"/>
              </w:rPr>
              <w:t>苏州市公共文化中心既有建筑应急维修（第二期）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JSZC-320500-ZCZX-C2026-0034</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采购项目的潜在供应商应在江苏省政府采购一体化平台“苏采云”系统自行免费下载 获取采购文件，并于</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lang w:eastAsia="zh-CN"/>
              </w:rPr>
              <w:t>年</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lang w:eastAsia="zh-CN"/>
              </w:rPr>
              <w:t>月</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lang w:eastAsia="zh-CN"/>
              </w:rPr>
              <w:t>日</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30</w:t>
            </w:r>
            <w:r>
              <w:rPr>
                <w:rFonts w:hint="eastAsia" w:ascii="宋体" w:hAnsi="宋体" w:eastAsia="宋体" w:cs="宋体"/>
                <w:color w:val="auto"/>
                <w:sz w:val="21"/>
                <w:szCs w:val="21"/>
                <w:highlight w:val="none"/>
                <w:lang w:eastAsia="zh-CN"/>
              </w:rPr>
              <w:t>（北京时间）前提交响应文件。</w:t>
            </w:r>
          </w:p>
        </w:tc>
      </w:tr>
    </w:tbl>
    <w:p w14:paraId="0AE2D4DB">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一、项目基本情况</w:t>
      </w:r>
    </w:p>
    <w:p w14:paraId="292F11B3">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w:t>
      </w:r>
      <w:r>
        <w:rPr>
          <w:rFonts w:hint="eastAsia" w:ascii="宋体" w:hAnsi="宋体" w:eastAsia="宋体" w:cs="宋体"/>
          <w:color w:val="auto"/>
          <w:sz w:val="21"/>
          <w:szCs w:val="21"/>
          <w:highlight w:val="none"/>
          <w:lang w:eastAsia="zh-CN"/>
        </w:rPr>
        <w:t>JSZC-320500-ZCZX-C2026-0034</w:t>
      </w:r>
      <w:r>
        <w:rPr>
          <w:rFonts w:hint="eastAsia" w:ascii="宋体" w:hAnsi="宋体" w:eastAsia="宋体" w:cs="宋体"/>
          <w:color w:val="auto"/>
          <w:sz w:val="21"/>
          <w:szCs w:val="21"/>
          <w:highlight w:val="none"/>
        </w:rPr>
        <w:t xml:space="preserve"> </w:t>
      </w:r>
    </w:p>
    <w:p w14:paraId="3DF486E7">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项目名称：</w:t>
      </w:r>
      <w:r>
        <w:rPr>
          <w:rFonts w:hint="eastAsia" w:ascii="宋体" w:hAnsi="宋体" w:eastAsia="宋体" w:cs="宋体"/>
          <w:color w:val="auto"/>
          <w:sz w:val="21"/>
          <w:szCs w:val="21"/>
          <w:highlight w:val="none"/>
          <w:lang w:eastAsia="zh-CN"/>
        </w:rPr>
        <w:t>苏州市公共文化中心既有建筑应急维修（第二期）</w:t>
      </w:r>
    </w:p>
    <w:p w14:paraId="1C97EE85">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采购方式：竞争性磋商</w:t>
      </w:r>
    </w:p>
    <w:p w14:paraId="17E76554">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323.170599万元</w:t>
      </w:r>
    </w:p>
    <w:p w14:paraId="6582CBC8">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最高限价（如有）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323.170599</w:t>
      </w:r>
      <w:r>
        <w:rPr>
          <w:rFonts w:hint="eastAsia" w:ascii="宋体" w:hAnsi="宋体" w:eastAsia="宋体" w:cs="宋体"/>
          <w:color w:val="auto"/>
          <w:sz w:val="21"/>
          <w:szCs w:val="21"/>
          <w:highlight w:val="none"/>
          <w:lang w:val="en-US" w:eastAsia="zh-CN"/>
        </w:rPr>
        <w:t>万元</w:t>
      </w:r>
    </w:p>
    <w:p w14:paraId="3A42A65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p w14:paraId="5C30CB86">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（1）施工现场平整情况：现有原状。</w:t>
      </w:r>
    </w:p>
    <w:p w14:paraId="5C2D60C9">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（2）场内外道路：自行解决。</w:t>
      </w:r>
    </w:p>
    <w:p w14:paraId="2FFFA666">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（3）施工用电：自行解决，费用由承包商承担，考虑在报价中。</w:t>
      </w:r>
    </w:p>
    <w:p w14:paraId="0BCB7D6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（4）承包方式：包工包料。</w:t>
      </w:r>
    </w:p>
    <w:p w14:paraId="4D62EABD">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（5）发包范围：</w:t>
      </w:r>
      <w:r>
        <w:rPr>
          <w:rFonts w:hint="eastAsia" w:ascii="宋体" w:hAnsi="宋体" w:eastAsia="宋体" w:cs="宋体"/>
          <w:color w:val="auto"/>
          <w:sz w:val="21"/>
          <w:szCs w:val="21"/>
          <w:lang w:eastAsia="zh-CN"/>
        </w:rPr>
        <w:t>苏州市公共文化中心既有建筑应急维修（第二期），</w:t>
      </w:r>
      <w:r>
        <w:rPr>
          <w:rFonts w:hint="eastAsia" w:ascii="宋体" w:hAnsi="宋体" w:eastAsia="宋体" w:cs="宋体"/>
          <w:color w:val="auto"/>
          <w:sz w:val="21"/>
          <w:szCs w:val="21"/>
          <w:lang w:val="en-US" w:eastAsia="zh-CN"/>
        </w:rPr>
        <w:t>包括屋面防水修缮、立面装饰板及门窗幕墙漏点修缮、室内装修局部修缮、地下室坡道修缮，局部排水管、雨水斗修缮等</w:t>
      </w:r>
      <w:r>
        <w:rPr>
          <w:rFonts w:hint="eastAsia" w:ascii="宋体" w:hAnsi="宋体" w:eastAsia="宋体" w:cs="宋体"/>
          <w:color w:val="auto"/>
          <w:sz w:val="21"/>
          <w:szCs w:val="21"/>
          <w:lang w:val="zh-CN" w:eastAsia="zh-CN"/>
        </w:rPr>
        <w:t>，</w:t>
      </w:r>
      <w:r>
        <w:rPr>
          <w:rFonts w:hint="eastAsia" w:ascii="宋体" w:hAnsi="宋体" w:eastAsia="宋体" w:cs="宋体"/>
          <w:color w:val="auto"/>
          <w:sz w:val="21"/>
          <w:szCs w:val="21"/>
          <w:lang w:val="en-US" w:eastAsia="zh-CN"/>
        </w:rPr>
        <w:t>详见工程量清单及图纸</w:t>
      </w:r>
      <w:r>
        <w:rPr>
          <w:rFonts w:hint="eastAsia" w:ascii="宋体" w:hAnsi="宋体" w:eastAsia="宋体" w:cs="宋体"/>
          <w:color w:val="auto"/>
          <w:sz w:val="21"/>
          <w:szCs w:val="21"/>
          <w:lang w:val="zh-CN" w:eastAsia="zh-CN"/>
        </w:rPr>
        <w:t>。</w:t>
      </w:r>
    </w:p>
    <w:p w14:paraId="7CD6679A">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（6）质量要求：合格。</w:t>
      </w:r>
    </w:p>
    <w:p w14:paraId="46920FDF">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合同履行期限：工期</w:t>
      </w:r>
      <w:r>
        <w:rPr>
          <w:rFonts w:hint="eastAsia" w:ascii="宋体" w:hAnsi="宋体" w:eastAsia="宋体" w:cs="宋体"/>
          <w:color w:val="auto"/>
          <w:sz w:val="21"/>
          <w:szCs w:val="21"/>
          <w:highlight w:val="none"/>
          <w:lang w:val="en-US" w:eastAsia="zh-CN"/>
        </w:rPr>
        <w:t>100</w:t>
      </w:r>
      <w:r>
        <w:rPr>
          <w:rFonts w:hint="eastAsia" w:ascii="宋体" w:hAnsi="宋体" w:eastAsia="宋体" w:cs="宋体"/>
          <w:color w:val="auto"/>
          <w:sz w:val="21"/>
          <w:szCs w:val="21"/>
          <w:highlight w:val="none"/>
        </w:rPr>
        <w:t>日历天（具体开工日期以采购人通知为准）。</w:t>
      </w:r>
    </w:p>
    <w:p w14:paraId="4CB82248">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本项目（是/否）接受联合体：否</w:t>
      </w:r>
    </w:p>
    <w:p w14:paraId="719D4301">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二、申请人的资格要求：</w:t>
      </w:r>
    </w:p>
    <w:p w14:paraId="4EB436CC">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（一）满足《中华人民共和国政府采购法》第二十二条规定：</w:t>
      </w:r>
    </w:p>
    <w:p w14:paraId="51E52C57">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1.具有独立承担民事责任的能力；</w:t>
      </w:r>
    </w:p>
    <w:p w14:paraId="5FE2E13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14:paraId="1DE7E6FC">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w:t>
      </w:r>
      <w:r>
        <w:rPr>
          <w:rFonts w:hint="eastAsia" w:ascii="宋体" w:hAnsi="宋体" w:eastAsia="宋体" w:cs="宋体"/>
          <w:color w:val="auto"/>
          <w:sz w:val="21"/>
          <w:szCs w:val="21"/>
          <w:highlight w:val="none"/>
          <w:lang w:val="en-US" w:eastAsia="zh-CN"/>
        </w:rPr>
        <w:t>必需</w:t>
      </w:r>
      <w:r>
        <w:rPr>
          <w:rFonts w:hint="eastAsia" w:ascii="宋体" w:hAnsi="宋体" w:eastAsia="宋体" w:cs="宋体"/>
          <w:color w:val="auto"/>
          <w:sz w:val="21"/>
          <w:szCs w:val="21"/>
          <w:highlight w:val="none"/>
        </w:rPr>
        <w:t>的设备和专业技术能力；</w:t>
      </w:r>
    </w:p>
    <w:p w14:paraId="649514C1">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14:paraId="464A2DB1">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5.参加政府采购活动前三年内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w:t>
      </w:r>
    </w:p>
    <w:p w14:paraId="26C7C9A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14:paraId="57C1485C">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（二）落实政府采购政策需满足的资格要求：</w:t>
      </w:r>
    </w:p>
    <w:p w14:paraId="2058A824">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本项目专门面向中小企业，所属行业为建筑业，供应商应为中小微企业或监狱企业或残疾人福利性单位。</w:t>
      </w:r>
    </w:p>
    <w:p w14:paraId="6DF6800B">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（三）本项目的特定资格要求：</w:t>
      </w:r>
    </w:p>
    <w:p w14:paraId="5487ACD9">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1.申请人资质类别和等级：具有[建筑工程施工总承包三级](含)以上资质；</w:t>
      </w:r>
    </w:p>
    <w:p w14:paraId="746FE659">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2.企业具备安全生产条件，并取得安全生产许可证；</w:t>
      </w:r>
    </w:p>
    <w:p w14:paraId="3E7C57A8">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3.拟选派项目经理资质等级：具有建筑工程二级注册建造师及以上资质并具有项目经理安全生产考核合格证（B类）</w:t>
      </w:r>
      <w:r>
        <w:rPr>
          <w:rFonts w:hint="eastAsia" w:ascii="宋体" w:hAnsi="宋体" w:eastAsia="宋体" w:cs="宋体"/>
          <w:color w:val="auto"/>
          <w:sz w:val="21"/>
          <w:szCs w:val="21"/>
          <w:highlight w:val="none"/>
          <w:lang w:val="en-US" w:eastAsia="zh-CN"/>
        </w:rPr>
        <w:t>且在</w:t>
      </w:r>
      <w:r>
        <w:rPr>
          <w:rFonts w:hint="eastAsia" w:ascii="宋体" w:hAnsi="宋体" w:eastAsia="宋体" w:cs="宋体"/>
          <w:color w:val="auto"/>
          <w:sz w:val="21"/>
          <w:szCs w:val="21"/>
          <w:highlight w:val="none"/>
        </w:rPr>
        <w:t>有效期内；</w:t>
      </w:r>
    </w:p>
    <w:p w14:paraId="067CB6B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4.项目经理必须满足下列条件：①项目经理不得同时在两个或者两个以上单位受聘或者执业。②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的工程属于同一工程项目、同一项目批文、同一施工地点分段发包或分期施工的情况且总的工程规模在项目经理执业范围之内。③项目经理无行贿犯罪行为记录；或者有行贿犯罪行为记录，但自记录之日起已超过5年的</w:t>
      </w:r>
      <w:r>
        <w:rPr>
          <w:rFonts w:hint="eastAsia" w:ascii="宋体" w:hAnsi="宋体" w:eastAsia="宋体" w:cs="宋体"/>
          <w:color w:val="auto"/>
          <w:sz w:val="21"/>
          <w:szCs w:val="21"/>
          <w:highlight w:val="none"/>
          <w:lang w:eastAsia="zh-CN"/>
        </w:rPr>
        <w:t>；</w:t>
      </w:r>
    </w:p>
    <w:p w14:paraId="74AD9835">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5.本项目不允许分包转包</w:t>
      </w:r>
      <w:r>
        <w:rPr>
          <w:rFonts w:hint="eastAsia" w:ascii="宋体" w:hAnsi="宋体" w:eastAsia="宋体" w:cs="宋体"/>
          <w:color w:val="auto"/>
          <w:sz w:val="21"/>
          <w:szCs w:val="21"/>
          <w:highlight w:val="none"/>
          <w:lang w:eastAsia="zh-CN"/>
        </w:rPr>
        <w:t>；</w:t>
      </w:r>
    </w:p>
    <w:p w14:paraId="5878E216">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6.单位负责人为同一人或者存在直接控股、管理关系的不同供应商，不得参加同一合同项下的政府采购活动。</w:t>
      </w:r>
    </w:p>
    <w:p w14:paraId="6B70203D">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三、获取采购文件</w:t>
      </w:r>
    </w:p>
    <w:p w14:paraId="0A2E34D3">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时间：自磋商文件公告发布之日起5个工作日</w:t>
      </w:r>
    </w:p>
    <w:p w14:paraId="7E99F59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地点：江苏省政府采购一体化平台“苏采云”系统自行免费下载 </w:t>
      </w:r>
    </w:p>
    <w:p w14:paraId="03A2E76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方式：江苏省政府采购一体化平台“苏采云”系统自行免费下载 </w:t>
      </w:r>
    </w:p>
    <w:p w14:paraId="4F5EF24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售价：0.00元 </w:t>
      </w:r>
    </w:p>
    <w:p w14:paraId="4EA2FEBC">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四、响应文件提交</w:t>
      </w:r>
    </w:p>
    <w:p w14:paraId="3F5834E4">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0（北京时间）</w:t>
      </w:r>
    </w:p>
    <w:p w14:paraId="3C729E23">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地点：“苏采云”系统 </w:t>
      </w:r>
    </w:p>
    <w:p w14:paraId="3724E98F">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五、开启</w:t>
      </w:r>
    </w:p>
    <w:p w14:paraId="79DEC311">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val="en-US" w:eastAsia="zh-CN"/>
        </w:rPr>
        <w:t>2026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05</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07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0（北京时间）</w:t>
      </w:r>
    </w:p>
    <w:p w14:paraId="1735B1C8">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w:t>
      </w:r>
      <w:r>
        <w:rPr>
          <w:rFonts w:ascii="宋体" w:hAnsi="宋体" w:eastAsia="宋体" w:cs="宋体"/>
          <w:color w:val="auto"/>
          <w:sz w:val="21"/>
          <w:highlight w:val="none"/>
        </w:rPr>
        <w:t>苏州市市辖区政府采购不见面虚拟开标室</w:t>
      </w:r>
    </w:p>
    <w:p w14:paraId="14256952">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六、公告期限</w:t>
      </w:r>
    </w:p>
    <w:p w14:paraId="226973C4">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自本公告发布之日起3个工作日。</w:t>
      </w:r>
    </w:p>
    <w:p w14:paraId="4A4D2615">
      <w:pPr>
        <w:pStyle w:val="222"/>
        <w:keepNext w:val="0"/>
        <w:keepLines w:val="0"/>
        <w:pageBreakBefore w:val="0"/>
        <w:widowControl w:val="0"/>
        <w:numPr>
          <w:ilvl w:val="0"/>
          <w:numId w:val="1"/>
        </w:numPr>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其他补充事宜</w:t>
      </w:r>
    </w:p>
    <w:p w14:paraId="6F06A2EF">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1.获取具体方式：</w:t>
      </w:r>
    </w:p>
    <w:p w14:paraId="42D33F30">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（1）CA证书办理</w:t>
      </w:r>
    </w:p>
    <w:p w14:paraId="3874A0FD">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p>
    <w:p w14:paraId="2CF1CCE9">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（2）依法获取采购文件</w:t>
      </w:r>
    </w:p>
    <w:p w14:paraId="2219646B">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p>
    <w:p w14:paraId="0ED2CB3F">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（3）电子投标准备</w:t>
      </w:r>
    </w:p>
    <w:p w14:paraId="7B551E03">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p>
    <w:p w14:paraId="01456DB9">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在系统操作过程中如有疑问，请按以下方式联系：</w:t>
      </w:r>
    </w:p>
    <w:p w14:paraId="14E1C97F">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注册咨询：</w:t>
      </w:r>
      <w:r>
        <w:rPr>
          <w:rFonts w:hint="eastAsia" w:ascii="宋体" w:hAnsi="宋体" w:eastAsia="宋体" w:cs="宋体"/>
          <w:color w:val="auto"/>
          <w:szCs w:val="22"/>
          <w:highlight w:val="none"/>
        </w:rPr>
        <w:t>18261002950</w:t>
      </w:r>
      <w:r>
        <w:rPr>
          <w:rFonts w:hint="eastAsia" w:ascii="宋体" w:hAnsi="宋体" w:eastAsia="宋体" w:cs="宋体"/>
          <w:color w:val="auto"/>
          <w:szCs w:val="22"/>
          <w:highlight w:val="none"/>
          <w:lang w:eastAsia="zh-CN"/>
        </w:rPr>
        <w:t>、</w:t>
      </w:r>
      <w:r>
        <w:rPr>
          <w:rFonts w:hint="eastAsia" w:ascii="宋体" w:hAnsi="宋体" w:eastAsia="宋体" w:cs="宋体"/>
          <w:color w:val="auto"/>
          <w:sz w:val="21"/>
          <w:szCs w:val="21"/>
          <w:highlight w:val="none"/>
          <w:lang w:val="en-US" w:eastAsia="zh-CN"/>
        </w:rPr>
        <w:t>13914088964；</w:t>
      </w:r>
    </w:p>
    <w:p w14:paraId="106C2647">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CA技术咨询电话：400-608-6099；</w:t>
      </w:r>
    </w:p>
    <w:p w14:paraId="50780133">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签章使用问题：025-83633811、025-83633812、15380932027、13675197356；</w:t>
      </w:r>
    </w:p>
    <w:p w14:paraId="5CC23145">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系统使用指导与咨询：联系电话：</w:t>
      </w:r>
      <w:r>
        <w:rPr>
          <w:rFonts w:hint="eastAsia" w:ascii="宋体" w:hAnsi="宋体" w:eastAsia="宋体" w:cs="宋体"/>
          <w:color w:val="auto"/>
          <w:szCs w:val="22"/>
          <w:highlight w:val="none"/>
        </w:rPr>
        <w:t>18261002950</w:t>
      </w:r>
      <w:r>
        <w:rPr>
          <w:rFonts w:hint="eastAsia" w:ascii="宋体" w:hAnsi="宋体" w:eastAsia="宋体" w:cs="宋体"/>
          <w:color w:val="auto"/>
          <w:szCs w:val="22"/>
          <w:highlight w:val="none"/>
          <w:lang w:eastAsia="zh-CN"/>
        </w:rPr>
        <w:t>、</w:t>
      </w:r>
      <w:r>
        <w:rPr>
          <w:rFonts w:hint="eastAsia" w:ascii="宋体" w:hAnsi="宋体" w:eastAsia="宋体" w:cs="宋体"/>
          <w:color w:val="auto"/>
          <w:sz w:val="21"/>
          <w:szCs w:val="21"/>
          <w:highlight w:val="none"/>
          <w:lang w:val="en-US" w:eastAsia="zh-CN"/>
        </w:rPr>
        <w:t>13914088964；智能客服：登录苏采云系统后，联系系统右下方智能客服图标进行咨询。</w:t>
      </w:r>
    </w:p>
    <w:p w14:paraId="02941ECB">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本项目采用电子招投标形式，请供应商按照《苏采云系统供应商操作手册》进行制作、上传电子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文件制作完成后请于</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文件递交截止时间前成功上传至“苏采云”系统，否则视为放弃参加该采购项目。供应商应充分考虑到网络环境、网络带宽等风险因素，如因供应商自身原因造成的电子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文件上传不成功由供应商自行承担全部责任。</w:t>
      </w:r>
    </w:p>
    <w:p w14:paraId="0675A3C3">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文件，如在系统规定的解密时间内未能完成解密的视为放弃参与本项目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p>
    <w:p w14:paraId="61CD1F13">
      <w:pPr>
        <w:pStyle w:val="233"/>
        <w:keepNext w:val="0"/>
        <w:keepLines w:val="0"/>
        <w:pageBreakBefore w:val="0"/>
        <w:widowControl w:val="0"/>
        <w:kinsoku/>
        <w:wordWrap/>
        <w:overflowPunct/>
        <w:topLinePunct w:val="0"/>
        <w:bidi w:val="0"/>
        <w:snapToGrid/>
        <w:spacing w:line="360" w:lineRule="auto"/>
        <w:ind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Cs w:val="22"/>
          <w:highlight w:val="none"/>
        </w:rPr>
        <w:t>本次采购的有关信息将在中国政府采购网、江苏省政府采购网、苏州政府采购网上发布，敬请留意；有关该采购项目的澄清、修正及成交等信息亦在以上网站发布，敬请留意。</w:t>
      </w:r>
    </w:p>
    <w:p w14:paraId="55EB7F76">
      <w:pPr>
        <w:keepNext w:val="0"/>
        <w:keepLines w:val="0"/>
        <w:pageBreakBefore w:val="0"/>
        <w:widowControl w:val="0"/>
        <w:kinsoku/>
        <w:wordWrap/>
        <w:overflowPunct/>
        <w:topLinePunct w:val="0"/>
        <w:bidi w:val="0"/>
        <w:snapToGrid/>
        <w:spacing w:line="360" w:lineRule="auto"/>
        <w:ind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r>
        <w:rPr>
          <w:rFonts w:hint="eastAsia" w:ascii="宋体" w:hAnsi="宋体" w:eastAsia="宋体" w:cs="宋体"/>
          <w:i w:val="0"/>
          <w:iCs w:val="0"/>
          <w:caps w:val="0"/>
          <w:color w:val="auto"/>
          <w:spacing w:val="0"/>
          <w:sz w:val="21"/>
          <w:szCs w:val="21"/>
          <w:highlight w:val="none"/>
        </w:rPr>
        <w:t>根据苏州市财政局《关于深入开展苏州市政府采购合同信用融资业务的通知》相关要求，本项目支持政府采购合同信用融资。</w:t>
      </w:r>
    </w:p>
    <w:p w14:paraId="2CE5CFD1">
      <w:pPr>
        <w:pStyle w:val="222"/>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政府采购监管部门监督电话：0512-68616651。</w:t>
      </w:r>
    </w:p>
    <w:p w14:paraId="71922659">
      <w:pPr>
        <w:pStyle w:val="222"/>
        <w:keepNext w:val="0"/>
        <w:keepLines w:val="0"/>
        <w:pageBreakBefore w:val="0"/>
        <w:widowControl w:val="0"/>
        <w:kinsoku/>
        <w:wordWrap/>
        <w:overflowPunct/>
        <w:topLinePunct w:val="0"/>
        <w:autoSpaceDE w:val="0"/>
        <w:autoSpaceDN w:val="0"/>
        <w:bidi w:val="0"/>
        <w:adjustRightInd w:val="0"/>
        <w:snapToGrid/>
        <w:spacing w:line="360" w:lineRule="auto"/>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八、凡对本次采购提出询问，请按以下方式联系。</w:t>
      </w:r>
    </w:p>
    <w:p w14:paraId="046ED993">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1.采购人信息</w:t>
      </w:r>
    </w:p>
    <w:p w14:paraId="024A4886">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单位名称：</w:t>
      </w:r>
      <w:r>
        <w:rPr>
          <w:rFonts w:hint="eastAsia" w:ascii="宋体" w:hAnsi="宋体" w:eastAsia="宋体" w:cs="宋体"/>
          <w:color w:val="auto"/>
          <w:sz w:val="21"/>
          <w:szCs w:val="21"/>
          <w:highlight w:val="none"/>
          <w:lang w:eastAsia="zh-CN"/>
        </w:rPr>
        <w:t>苏州市公共文化中心</w:t>
      </w:r>
    </w:p>
    <w:p w14:paraId="1F29C4C3">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单位地址：苏州市姑苏区人民路2075号</w:t>
      </w:r>
    </w:p>
    <w:p w14:paraId="7148EACE">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联系人：虞荟栋</w:t>
      </w:r>
    </w:p>
    <w:p w14:paraId="6E78B50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r>
        <w:rPr>
          <w:rFonts w:hint="eastAsia" w:ascii="宋体" w:hAnsi="宋体" w:eastAsia="宋体" w:cs="宋体"/>
          <w:color w:val="auto"/>
          <w:sz w:val="21"/>
          <w:szCs w:val="21"/>
        </w:rPr>
        <w:t>0512-67283268</w:t>
      </w:r>
    </w:p>
    <w:p w14:paraId="77694A58">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2.采购代理机构信息（如有）</w:t>
      </w:r>
    </w:p>
    <w:p w14:paraId="6C98FF7A">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单位名称：中诚智信工程咨询集团股份有限公司</w:t>
      </w:r>
    </w:p>
    <w:p w14:paraId="04D3D7D0">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单位地址：苏州高新区潇湘路99号诚来智研发大楼5楼</w:t>
      </w:r>
    </w:p>
    <w:p w14:paraId="3FB86F0D">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许若蕾、金欣楠</w:t>
      </w:r>
    </w:p>
    <w:p w14:paraId="4E64BD0C">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联系电话：0512-</w:t>
      </w:r>
      <w:r>
        <w:rPr>
          <w:rFonts w:hint="eastAsia" w:ascii="宋体" w:hAnsi="宋体" w:eastAsia="宋体" w:cs="宋体"/>
          <w:color w:val="auto"/>
          <w:sz w:val="21"/>
          <w:szCs w:val="21"/>
          <w:highlight w:val="none"/>
          <w:lang w:val="en-US" w:eastAsia="zh-CN"/>
        </w:rPr>
        <w:t>68303723</w:t>
      </w:r>
    </w:p>
    <w:p w14:paraId="7ACCFC94">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3.项目联系方式</w:t>
      </w:r>
    </w:p>
    <w:p w14:paraId="1BEF5F6C">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项目联系人：</w:t>
      </w:r>
      <w:r>
        <w:rPr>
          <w:rFonts w:hint="eastAsia" w:ascii="宋体" w:hAnsi="宋体" w:eastAsia="宋体" w:cs="宋体"/>
          <w:color w:val="auto"/>
          <w:sz w:val="21"/>
          <w:szCs w:val="21"/>
          <w:highlight w:val="none"/>
          <w:lang w:val="en-US" w:eastAsia="zh-CN"/>
        </w:rPr>
        <w:t>许若蕾、金欣楠</w:t>
      </w:r>
    </w:p>
    <w:p w14:paraId="492FB31B">
      <w:pPr>
        <w:pStyle w:val="222"/>
        <w:keepNext w:val="0"/>
        <w:keepLines w:val="0"/>
        <w:pageBreakBefore w:val="0"/>
        <w:widowControl w:val="0"/>
        <w:kinsoku/>
        <w:wordWrap/>
        <w:overflowPunct/>
        <w:topLinePunct w:val="0"/>
        <w:autoSpaceDE w:val="0"/>
        <w:autoSpaceDN w:val="0"/>
        <w:bidi w:val="0"/>
        <w:adjustRightInd w:val="0"/>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电话：0512-</w:t>
      </w:r>
      <w:r>
        <w:rPr>
          <w:rFonts w:hint="eastAsia" w:ascii="宋体" w:hAnsi="宋体" w:eastAsia="宋体" w:cs="宋体"/>
          <w:color w:val="auto"/>
          <w:sz w:val="21"/>
          <w:szCs w:val="21"/>
          <w:highlight w:val="none"/>
          <w:lang w:val="en-US" w:eastAsia="zh-CN"/>
        </w:rPr>
        <w:t>68303723</w:t>
      </w:r>
    </w:p>
    <w:p w14:paraId="188F22CA">
      <w:pPr>
        <w:keepNext w:val="0"/>
        <w:keepLines w:val="0"/>
        <w:pageBreakBefore w:val="0"/>
        <w:widowControl w:val="0"/>
        <w:kinsoku/>
        <w:wordWrap/>
        <w:overflowPunct/>
        <w:topLinePunct w:val="0"/>
        <w:bidi w:val="0"/>
        <w:snapToGrid/>
        <w:spacing w:line="360" w:lineRule="auto"/>
        <w:jc w:val="center"/>
        <w:textAlignment w:val="auto"/>
        <w:rPr>
          <w:rStyle w:val="46"/>
          <w:rFonts w:hint="eastAsia" w:ascii="宋体" w:hAnsi="宋体" w:eastAsia="宋体" w:cs="宋体"/>
          <w:color w:val="auto"/>
          <w:kern w:val="0"/>
          <w:sz w:val="43"/>
          <w:szCs w:val="43"/>
          <w:highlight w:val="none"/>
        </w:rPr>
      </w:pPr>
      <w:r>
        <w:rPr>
          <w:rStyle w:val="46"/>
          <w:rFonts w:hint="eastAsia" w:ascii="宋体" w:hAnsi="宋体" w:cs="宋体"/>
          <w:color w:val="auto"/>
          <w:sz w:val="43"/>
          <w:szCs w:val="43"/>
          <w:highlight w:val="none"/>
        </w:rPr>
        <w:br w:type="page" w:clear="all"/>
      </w:r>
      <w:r>
        <w:rPr>
          <w:rStyle w:val="46"/>
          <w:rFonts w:hint="eastAsia" w:ascii="宋体" w:hAnsi="宋体" w:eastAsia="宋体" w:cs="宋体"/>
          <w:color w:val="auto"/>
          <w:kern w:val="0"/>
          <w:sz w:val="43"/>
          <w:szCs w:val="43"/>
          <w:highlight w:val="none"/>
        </w:rPr>
        <w:t>第二章 磋商须知</w:t>
      </w:r>
    </w:p>
    <w:p w14:paraId="65EFC4A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一、响应文件的组成及要求（部分格式见附件）</w:t>
      </w:r>
    </w:p>
    <w:p w14:paraId="6BA5DDF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（一）资格性审查资料：</w:t>
      </w:r>
    </w:p>
    <w:p w14:paraId="6487054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1.供应商关于资格的声明函；</w:t>
      </w:r>
    </w:p>
    <w:p w14:paraId="2AE3830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2.供应商《营业执照》副本</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w:t>
      </w:r>
    </w:p>
    <w:p w14:paraId="7526DA3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3.法定代表人授权委托书（格式附后）、法定代表人及委托代理人身份证</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（如为委托）；</w:t>
      </w:r>
    </w:p>
    <w:p w14:paraId="6E8E6A09">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rPr>
        <w:t>4.磋商供应商证明其满足磋商供应商资格条件以及磋商文件中要求的证书、证明、文件等必须提供的实质性资料，包括但不限于：</w:t>
      </w:r>
    </w:p>
    <w:p w14:paraId="068F342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具有独立承担民事责任的能力证明：</w:t>
      </w:r>
      <w:r>
        <w:rPr>
          <w:rFonts w:hint="eastAsia" w:ascii="宋体" w:hAnsi="宋体" w:eastAsia="宋体" w:cs="宋体"/>
          <w:b/>
          <w:bCs/>
          <w:color w:val="auto"/>
          <w:sz w:val="21"/>
          <w:szCs w:val="21"/>
        </w:rPr>
        <w:t>包括法人或者其他组织的营业执照等证明文件，自然人的身份证明；</w:t>
      </w:r>
    </w:p>
    <w:p w14:paraId="7F70598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具有良好的商业信誉和健全的财务会计制度证明：</w:t>
      </w:r>
      <w:r>
        <w:rPr>
          <w:rFonts w:hint="eastAsia" w:ascii="宋体" w:hAnsi="宋体" w:eastAsia="宋体" w:cs="宋体"/>
          <w:b/>
          <w:bCs/>
          <w:color w:val="auto"/>
          <w:sz w:val="21"/>
          <w:szCs w:val="21"/>
        </w:rPr>
        <w:t>最近一期经审计的财务报告，或银行出具的资信证明，或财政部门认可的政府采购专业担保机构出具的投标担保函；</w:t>
      </w:r>
    </w:p>
    <w:p w14:paraId="7B709AD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具有履行合同所必需的设备和专业技术能力：</w:t>
      </w:r>
      <w:r>
        <w:rPr>
          <w:rFonts w:hint="eastAsia" w:ascii="宋体" w:hAnsi="宋体" w:eastAsia="宋体" w:cs="宋体"/>
          <w:b/>
          <w:bCs/>
          <w:color w:val="auto"/>
          <w:sz w:val="21"/>
          <w:szCs w:val="21"/>
        </w:rPr>
        <w:t>相关证明材料</w:t>
      </w:r>
      <w:r>
        <w:rPr>
          <w:rFonts w:hint="eastAsia" w:ascii="宋体" w:hAnsi="宋体" w:eastAsia="宋体" w:cs="宋体"/>
          <w:b/>
          <w:bCs/>
          <w:color w:val="auto"/>
          <w:sz w:val="21"/>
          <w:szCs w:val="21"/>
          <w:lang w:val="en-US" w:eastAsia="zh-CN"/>
        </w:rPr>
        <w:t>或承诺函</w:t>
      </w:r>
      <w:r>
        <w:rPr>
          <w:rFonts w:hint="eastAsia" w:ascii="宋体" w:hAnsi="宋体" w:eastAsia="宋体" w:cs="宋体"/>
          <w:b/>
          <w:bCs/>
          <w:color w:val="auto"/>
          <w:sz w:val="21"/>
          <w:szCs w:val="21"/>
        </w:rPr>
        <w:t>；</w:t>
      </w:r>
    </w:p>
    <w:p w14:paraId="26D906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有依法缴纳税收和社会保障资金的良好记录：</w:t>
      </w:r>
      <w:r>
        <w:rPr>
          <w:rFonts w:hint="eastAsia" w:ascii="宋体" w:hAnsi="宋体" w:eastAsia="宋体" w:cs="宋体"/>
          <w:b/>
          <w:bCs/>
          <w:color w:val="auto"/>
          <w:sz w:val="21"/>
          <w:szCs w:val="21"/>
        </w:rPr>
        <w:t>供应商参加本次政府采购活动前半年（至少一个月）依法缴纳税收和社会保险的凭据；依法免税或不需要缴纳社会保障资金的供应商，应</w:t>
      </w:r>
      <w:r>
        <w:rPr>
          <w:rFonts w:hint="eastAsia" w:ascii="宋体" w:hAnsi="宋体" w:eastAsia="宋体" w:cs="宋体"/>
          <w:b/>
          <w:bCs/>
          <w:color w:val="auto"/>
          <w:sz w:val="21"/>
          <w:szCs w:val="21"/>
          <w:lang w:val="en-US" w:eastAsia="zh-CN"/>
        </w:rPr>
        <w:t>提供相应证明资料证明其依法免税或不需要缴纳社会保障资金，否则不予认可；</w:t>
      </w:r>
    </w:p>
    <w:p w14:paraId="03BF81C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highlight w:val="none"/>
        </w:rPr>
        <w:t>参加政府采购活动前三年内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在经营活动中没有重大违法记录</w:t>
      </w:r>
      <w:r>
        <w:rPr>
          <w:rFonts w:hint="eastAsia" w:ascii="宋体" w:hAnsi="宋体" w:eastAsia="宋体" w:cs="宋体"/>
          <w:color w:val="auto"/>
          <w:sz w:val="21"/>
          <w:szCs w:val="21"/>
          <w:lang w:val="en-US" w:eastAsia="zh-CN"/>
        </w:rPr>
        <w:t>：</w:t>
      </w:r>
      <w:r>
        <w:rPr>
          <w:rFonts w:hint="eastAsia" w:ascii="宋体" w:hAnsi="宋体" w:eastAsia="宋体" w:cs="宋体"/>
          <w:b/>
          <w:bCs/>
          <w:color w:val="auto"/>
          <w:sz w:val="21"/>
          <w:szCs w:val="21"/>
          <w:highlight w:val="none"/>
        </w:rPr>
        <w:t>参加政府采购活动前三年内</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在经营活动中没有重大违法记录</w:t>
      </w:r>
      <w:r>
        <w:rPr>
          <w:rFonts w:hint="eastAsia" w:ascii="宋体" w:hAnsi="宋体" w:eastAsia="宋体" w:cs="宋体"/>
          <w:b/>
          <w:bCs/>
          <w:color w:val="auto"/>
          <w:sz w:val="21"/>
          <w:szCs w:val="21"/>
          <w:lang w:val="en-US" w:eastAsia="zh-CN"/>
        </w:rPr>
        <w:t>的书面声明函；</w:t>
      </w:r>
    </w:p>
    <w:p w14:paraId="0AECC76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（6）法律、行政法规规定的其他条件</w:t>
      </w:r>
      <w:r>
        <w:rPr>
          <w:rFonts w:hint="eastAsia" w:ascii="宋体" w:hAnsi="宋体" w:eastAsia="宋体" w:cs="宋体"/>
          <w:color w:val="auto"/>
          <w:sz w:val="21"/>
          <w:szCs w:val="21"/>
        </w:rPr>
        <w:t>：</w:t>
      </w:r>
      <w:r>
        <w:rPr>
          <w:rFonts w:hint="eastAsia" w:ascii="宋体" w:hAnsi="宋体" w:cs="宋体"/>
          <w:b/>
          <w:bCs/>
          <w:color w:val="auto"/>
          <w:sz w:val="21"/>
          <w:szCs w:val="21"/>
          <w:lang w:val="en-US" w:eastAsia="zh-CN"/>
        </w:rPr>
        <w:t>符合</w:t>
      </w:r>
      <w:r>
        <w:rPr>
          <w:rFonts w:hint="eastAsia" w:ascii="宋体" w:hAnsi="宋体" w:eastAsia="宋体" w:cs="宋体"/>
          <w:b/>
          <w:bCs/>
          <w:color w:val="auto"/>
          <w:sz w:val="21"/>
          <w:szCs w:val="21"/>
          <w:lang w:val="en-US" w:eastAsia="zh-CN"/>
        </w:rPr>
        <w:t>法律、行政法规规定的其他条件的相关证明材料或书面声明；</w:t>
      </w:r>
    </w:p>
    <w:p w14:paraId="25FD119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投标人与其他单位存在控股、管理关系情况表；</w:t>
      </w:r>
    </w:p>
    <w:p w14:paraId="59BA0DC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（8）供应商有效期内的</w:t>
      </w:r>
      <w:r>
        <w:rPr>
          <w:rFonts w:hint="eastAsia" w:ascii="宋体" w:hAnsi="宋体" w:eastAsia="宋体" w:cs="宋体"/>
          <w:color w:val="auto"/>
          <w:sz w:val="21"/>
          <w:szCs w:val="21"/>
        </w:rPr>
        <w:t>[建筑工程施工总承包三级](含)以上资质证书</w:t>
      </w:r>
      <w:r>
        <w:rPr>
          <w:rFonts w:hint="eastAsia" w:ascii="宋体" w:hAnsi="宋体" w:eastAsia="宋体" w:cs="宋体"/>
          <w:color w:val="auto"/>
          <w:sz w:val="21"/>
          <w:szCs w:val="21"/>
          <w:lang w:val="en-US" w:eastAsia="zh-CN"/>
        </w:rPr>
        <w:t xml:space="preserve">扫描件； </w:t>
      </w:r>
    </w:p>
    <w:p w14:paraId="51AEBA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9</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供应商有效期内的安全生产许可证</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w:t>
      </w:r>
    </w:p>
    <w:p w14:paraId="373381A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供应商拟投入本项目的项目经理的</w:t>
      </w:r>
      <w:r>
        <w:rPr>
          <w:rFonts w:hint="eastAsia" w:ascii="宋体" w:hAnsi="宋体" w:eastAsia="宋体" w:cs="宋体"/>
          <w:color w:val="auto"/>
          <w:sz w:val="21"/>
          <w:szCs w:val="21"/>
          <w:lang w:val="en-US" w:eastAsia="zh-CN"/>
        </w:rPr>
        <w:t>建筑</w:t>
      </w:r>
      <w:r>
        <w:rPr>
          <w:rFonts w:hint="eastAsia" w:ascii="宋体" w:hAnsi="宋体" w:eastAsia="宋体" w:cs="宋体"/>
          <w:color w:val="auto"/>
          <w:sz w:val="21"/>
          <w:szCs w:val="21"/>
        </w:rPr>
        <w:t>工程专业二级注册建造师及以上资质证书</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、安全生产考核合格证书（B类）证书</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（相关证书</w:t>
      </w:r>
      <w:r>
        <w:rPr>
          <w:rFonts w:hint="eastAsia" w:ascii="宋体" w:hAnsi="宋体" w:eastAsia="宋体" w:cs="宋体"/>
          <w:color w:val="auto"/>
          <w:sz w:val="21"/>
          <w:szCs w:val="21"/>
          <w:lang w:eastAsia="zh-CN"/>
        </w:rPr>
        <w:t>扫描件</w:t>
      </w:r>
      <w:r>
        <w:rPr>
          <w:rFonts w:hint="eastAsia" w:ascii="宋体" w:hAnsi="宋体" w:eastAsia="宋体" w:cs="宋体"/>
          <w:color w:val="auto"/>
          <w:sz w:val="21"/>
          <w:szCs w:val="21"/>
        </w:rPr>
        <w:t>内容须完整，须包含封面及内页）；</w:t>
      </w:r>
    </w:p>
    <w:p w14:paraId="4E00CBA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（11）</w:t>
      </w:r>
      <w:r>
        <w:rPr>
          <w:rFonts w:hint="eastAsia" w:ascii="宋体" w:hAnsi="宋体" w:eastAsia="宋体" w:cs="宋体"/>
          <w:color w:val="auto"/>
          <w:sz w:val="21"/>
          <w:szCs w:val="21"/>
        </w:rPr>
        <w:t>项目经理无在建工程的承诺书；</w:t>
      </w:r>
    </w:p>
    <w:p w14:paraId="0F91175E">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rPr>
      </w:pP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lang w:val="en-US" w:eastAsia="zh-CN"/>
        </w:rPr>
        <w:t>12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《中小企业声明函》或《残疾人福利性单位申明函》或省级以上监狱管理局、戒毒管理局（含新疆生产建设兵团）出具的监狱企业证明文件；</w:t>
      </w:r>
    </w:p>
    <w:p w14:paraId="540F62F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（13）证明其满足磋商供应商资格条件的其他材料（如有）。</w:t>
      </w:r>
    </w:p>
    <w:p w14:paraId="1C3374B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（二）符合性审查资料：</w:t>
      </w:r>
    </w:p>
    <w:p w14:paraId="1023A8B7">
      <w:pPr>
        <w:pStyle w:val="1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1.磋商响应承诺书；</w:t>
      </w:r>
    </w:p>
    <w:p w14:paraId="430C3871">
      <w:pPr>
        <w:pStyle w:val="1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2.磋商响应报价表（第一次报价）；</w:t>
      </w:r>
    </w:p>
    <w:p w14:paraId="46DE1739">
      <w:pPr>
        <w:pStyle w:val="1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3.工程量清单报价明细表；</w:t>
      </w:r>
    </w:p>
    <w:p w14:paraId="512DCD2F">
      <w:pPr>
        <w:pStyle w:val="1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eastAsia="zh-CN"/>
        </w:rPr>
        <w:t>4.供应商响应单位情况表；</w:t>
      </w:r>
    </w:p>
    <w:p w14:paraId="5644BD68">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商务要求偏离表</w:t>
      </w:r>
      <w:r>
        <w:rPr>
          <w:rFonts w:hint="eastAsia" w:ascii="宋体" w:hAnsi="宋体" w:eastAsia="宋体" w:cs="宋体"/>
          <w:color w:val="auto"/>
          <w:kern w:val="0"/>
          <w:sz w:val="21"/>
          <w:szCs w:val="21"/>
          <w:highlight w:val="none"/>
          <w:lang w:eastAsia="zh-CN"/>
        </w:rPr>
        <w:t>；</w:t>
      </w:r>
    </w:p>
    <w:p w14:paraId="244A5A0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技术要求偏离表</w:t>
      </w:r>
      <w:r>
        <w:rPr>
          <w:rFonts w:hint="eastAsia" w:ascii="宋体" w:hAnsi="宋体" w:eastAsia="宋体" w:cs="宋体"/>
          <w:color w:val="auto"/>
          <w:kern w:val="0"/>
          <w:sz w:val="21"/>
          <w:szCs w:val="21"/>
          <w:highlight w:val="none"/>
          <w:lang w:eastAsia="zh-CN"/>
        </w:rPr>
        <w:t>；</w:t>
      </w:r>
    </w:p>
    <w:p w14:paraId="453098A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7</w:t>
      </w:r>
      <w:r>
        <w:rPr>
          <w:rFonts w:hint="eastAsia" w:ascii="宋体" w:hAnsi="宋体" w:eastAsia="宋体" w:cs="宋体"/>
          <w:color w:val="auto"/>
          <w:sz w:val="21"/>
          <w:szCs w:val="21"/>
          <w:lang w:val="en-US" w:eastAsia="zh-CN"/>
        </w:rPr>
        <w:t>.清单内产品属于财政部、国家发展改革委、生态环境部、市场监管总局等部门发布的节能产品、环境标志产品政府强制采购品目清单范围内的产品的须提供认证机构出具的、处于有效期之内的节能产品、环境标志产品认证证书复印件或中国政府采购网节能产品、环境标志产品系统查询的页面截图（如涉及）；</w:t>
      </w:r>
    </w:p>
    <w:p w14:paraId="41FE1334">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（三）本项目实质性响应要求：</w:t>
      </w:r>
    </w:p>
    <w:p w14:paraId="460395A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1．工程量清单明细表（按《建设工程工程量清单计价规范》（GB50500-2013）提供）。</w:t>
      </w:r>
    </w:p>
    <w:p w14:paraId="3918ACA0">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2.合同履行期限（工期）。</w:t>
      </w:r>
    </w:p>
    <w:p w14:paraId="29D9CDB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3.工程质量。</w:t>
      </w:r>
    </w:p>
    <w:p w14:paraId="36C991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4.工程付款方式。</w:t>
      </w:r>
    </w:p>
    <w:p w14:paraId="12DF4AE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注：响应单位所提交的其它资料文件的完整与否，将直接影响对响应单位是否实质性响应采购文件要求的评判。</w:t>
      </w:r>
    </w:p>
    <w:p w14:paraId="28C6CCAF">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（四）非实质性响应内容：</w:t>
      </w:r>
    </w:p>
    <w:p w14:paraId="0B40495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1.施工组织设计；</w:t>
      </w:r>
    </w:p>
    <w:p w14:paraId="3C4B165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2.磋商响应单位综合实力；</w:t>
      </w:r>
    </w:p>
    <w:p w14:paraId="0DE32643">
      <w:pPr>
        <w:pStyle w:val="19"/>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lang w:eastAsia="zh-CN"/>
        </w:rPr>
        <w:t>.项目组织机构人员名单；</w:t>
      </w:r>
    </w:p>
    <w:p w14:paraId="27A562E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4</w:t>
      </w:r>
      <w:r>
        <w:rPr>
          <w:rFonts w:hint="eastAsia" w:ascii="宋体" w:hAnsi="宋体" w:eastAsia="宋体" w:cs="宋体"/>
          <w:color w:val="auto"/>
          <w:kern w:val="0"/>
          <w:sz w:val="21"/>
          <w:szCs w:val="21"/>
          <w:highlight w:val="none"/>
        </w:rPr>
        <w:t>.类似业绩一览表；</w:t>
      </w:r>
    </w:p>
    <w:p w14:paraId="0ED0C49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.材料品牌表（若有）；</w:t>
      </w:r>
    </w:p>
    <w:p w14:paraId="7A137C7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lang w:val="en-US" w:eastAsia="zh-CN"/>
        </w:rPr>
        <w:t>6</w:t>
      </w:r>
      <w:r>
        <w:rPr>
          <w:rFonts w:hint="eastAsia" w:ascii="宋体" w:hAnsi="宋体" w:eastAsia="宋体" w:cs="宋体"/>
          <w:color w:val="auto"/>
          <w:kern w:val="0"/>
          <w:sz w:val="21"/>
          <w:szCs w:val="21"/>
          <w:highlight w:val="none"/>
        </w:rPr>
        <w:t>.与本次磋商相关的其他材料。</w:t>
      </w:r>
    </w:p>
    <w:p w14:paraId="09538AC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（五）相关政策性要求：</w:t>
      </w:r>
    </w:p>
    <w:p w14:paraId="1A92D55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1.节能产品和环境标志产品</w:t>
      </w:r>
    </w:p>
    <w:p w14:paraId="1B66A89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本次采购的产品属于财政部、国家发展改革委、生态环境部、市场监管总局等部门发布的节能产品、环境标志产品政府强制采购品目清单范围内的产品的，则响应文件中须提供认证机构出具的、处于有效期之内的节能产品、环境标志产品认证证书复印件或中国政府采购网节能产品、环境标志产品查询的页面截图，否则视为非实质性响应。具体节能产品、环境标志产品政府优先采购和强制采购品目清单请通过中国政府采购网（www.ccgp.gov.cn）查询、了解国家确定的认证机构和获证产品相关情况。</w:t>
      </w:r>
    </w:p>
    <w:p w14:paraId="1CF3B4C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2.响应单位根据《政府采购促进中小企业发展管理办法》提供的“中小企业声明函”内容不实，属于提供虚假材料谋取中标、成交，依照《中华人民共和国政府采购法》等国家有关规定追究相应责任。</w:t>
      </w:r>
    </w:p>
    <w:p w14:paraId="59926C1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（六）电子化磋商要求：</w:t>
      </w:r>
    </w:p>
    <w:p w14:paraId="10F3281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p>
    <w:p w14:paraId="6FAA89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2.电子响应文件中的资料应按要求加盖电子印章或加盖响应单位公章上传。</w:t>
      </w:r>
    </w:p>
    <w:p w14:paraId="4E1B91CB">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3.不同供应商响应文件的制作机器码一致，均视为无效响应。</w:t>
      </w:r>
    </w:p>
    <w:p w14:paraId="18614C8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4.磋商过程中如有问题采购代理机构工作人员会及时通《投标供应商确认函》留存的手机号与供应商联系。请供应商确保该手机号磋商当日通讯畅通，否则导致的对供应商不利的后果由供应商自行承担。</w:t>
      </w:r>
    </w:p>
    <w:p w14:paraId="3A314390">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二、报价说明</w:t>
      </w:r>
    </w:p>
    <w:p w14:paraId="142E43D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（一）计价方式：本工程项目采用下列第</w:t>
      </w:r>
      <w:r>
        <w:rPr>
          <w:rFonts w:hint="eastAsia" w:ascii="宋体" w:hAnsi="宋体" w:eastAsia="宋体" w:cs="宋体"/>
          <w:color w:val="auto"/>
          <w:sz w:val="21"/>
          <w:szCs w:val="21"/>
          <w:highlight w:val="none"/>
          <w:u w:val="single"/>
        </w:rPr>
        <w:t xml:space="preserve">  1  </w:t>
      </w:r>
      <w:r>
        <w:rPr>
          <w:rFonts w:hint="eastAsia" w:ascii="宋体" w:hAnsi="宋体" w:eastAsia="宋体" w:cs="宋体"/>
          <w:color w:val="auto"/>
          <w:sz w:val="21"/>
          <w:szCs w:val="21"/>
          <w:highlight w:val="none"/>
        </w:rPr>
        <w:t>种计价方式。</w:t>
      </w:r>
    </w:p>
    <w:p w14:paraId="4670C2F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工程量清单计价方式</w:t>
      </w:r>
    </w:p>
    <w:p w14:paraId="708FFD1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计价表计价方式</w:t>
      </w:r>
    </w:p>
    <w:p w14:paraId="67DB960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（二）报价方式：本工程项目采用下列第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2  </w:t>
      </w:r>
      <w:r>
        <w:rPr>
          <w:rFonts w:hint="eastAsia" w:ascii="宋体" w:hAnsi="宋体" w:eastAsia="宋体" w:cs="宋体"/>
          <w:color w:val="auto"/>
          <w:sz w:val="21"/>
          <w:szCs w:val="21"/>
          <w:highlight w:val="none"/>
        </w:rPr>
        <w:t>种报价方式。</w:t>
      </w:r>
    </w:p>
    <w:p w14:paraId="256827D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固定总价报价。</w:t>
      </w:r>
    </w:p>
    <w:p w14:paraId="0F8F8B5C">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固定单价报价。磋商供应商应充分考虑施工期间各类建材的市场风险和国家政策性调整风险系数，具体按照国家和苏州市相关文件执行。本工程的具体结算方式在合同条款中约定。执行固定单价报价的基本规定，否则为非实质性响应：</w:t>
      </w:r>
    </w:p>
    <w:p w14:paraId="436E9C57">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①供应商报价时，必须按统一的工程量清单报价，成交后，本工程工程量清单各子目综合单价的确定方式为：以供应商首轮报价清单各子目综合单价为基准，按其成交价与首轮报价相比的下浮系数同比例下浮。</w:t>
      </w:r>
    </w:p>
    <w:p w14:paraId="587DD204">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②在履行合同过程中，由于设计变更或其他原因确需调整合同金额的，经财政局批准同意后，根据追加的采购计划签订补充合同，但全部补充合同的采购金额不得超过原合同金额的10%，超过部分财政部门不予安排资金。</w:t>
      </w:r>
    </w:p>
    <w:p w14:paraId="61F21036">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③原合同金额10%以内的追加费用，限于原合同内工程清单数量调整增加的工程费用，原合同外工程内容不得计入。</w:t>
      </w:r>
    </w:p>
    <w:p w14:paraId="5B248DC5">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④合同备案要求</w:t>
      </w:r>
    </w:p>
    <w:p w14:paraId="53A9F8C0">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t;1&gt;需办理施工许可证等相关工程监管手续的小额工程项目，除了需在财政局进行合同备案外，还需凭政府采购成交通知书至项目所在地的住建招标部门按要求进行项目登记、合同备案等工作，否则无法办理相关工程监管手续。</w:t>
      </w:r>
    </w:p>
    <w:p w14:paraId="46DFDD2D">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&lt;2&gt;无需办理施工许可证等相关工程监管手续的小额工程项目，只需在财政局进行合同备案即可。</w:t>
      </w:r>
    </w:p>
    <w:p w14:paraId="6EDB3D0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（三）报价时，不可竞争费用均按规定计算，不得让利或随意调整计算标准，否则报价无效。</w:t>
      </w:r>
    </w:p>
    <w:p w14:paraId="5A236BE8">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（四）计价格式中列明的所有需要填报的单价和合价，竞争人均需填报，未填报的单价和合价，视为此项费用已包含在工程量清单的其他单价和合价中。</w:t>
      </w:r>
    </w:p>
    <w:p w14:paraId="4857513C">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三、磋商程序</w:t>
      </w:r>
    </w:p>
    <w:p w14:paraId="36E44DD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1.采购代理机构按规定的时间、地点主持磋商采购活动开启响应文件。供应商应当按照《操作手册》规定，参加响应文件开启和在“苏采云”</w:t>
      </w:r>
      <w:r>
        <w:rPr>
          <w:rFonts w:hint="eastAsia" w:ascii="宋体" w:hAnsi="宋体" w:eastAsia="宋体" w:cs="宋体"/>
          <w:b/>
          <w:bCs/>
          <w:color w:val="auto"/>
          <w:sz w:val="21"/>
          <w:szCs w:val="21"/>
          <w:highlight w:val="none"/>
        </w:rPr>
        <w:t>系统规定的时间内</w:t>
      </w:r>
      <w:r>
        <w:rPr>
          <w:rFonts w:hint="eastAsia" w:ascii="宋体" w:hAnsi="宋体" w:eastAsia="宋体" w:cs="宋体"/>
          <w:color w:val="auto"/>
          <w:sz w:val="21"/>
          <w:szCs w:val="21"/>
          <w:highlight w:val="none"/>
        </w:rPr>
        <w:t>对电子响应文件进行解密。</w:t>
      </w:r>
    </w:p>
    <w:p w14:paraId="6AEF41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2.“苏采云”系统将自动开启各供应商的响应文件。</w:t>
      </w:r>
    </w:p>
    <w:p w14:paraId="40C33D0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3.供应商在响应文件开启过程中涉及到的响应文件解密、结果确认等工作，应按照《操作手册》规定执行。</w:t>
      </w:r>
    </w:p>
    <w:p w14:paraId="1E94494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4.供应商如果对响应文件开启过程和开启记录有疑义，应当根据《操作手册》规定提出，未提出的，视同认可开启结果。</w:t>
      </w:r>
    </w:p>
    <w:p w14:paraId="558CAEE0">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p>
    <w:p w14:paraId="51E7AA9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6.磋商小组要求磋商供应商澄清、说明或者更正响应文件，供应商在响应文件开启及项目评审全过程中应保持通讯畅通，及时登录“苏采云”系统查阅、答复相关信息。</w:t>
      </w:r>
    </w:p>
    <w:p w14:paraId="60DB543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11E5553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信用查询：根据政府采购法及相关法规，以及苏州市财政局《关于印发苏州市市级政府采购信用记录查询和使用工作试行办法的通知》（苏财购（2017）11号）文件的规定，采购人、采购代理机构对供应商进行信用查询。</w:t>
      </w:r>
    </w:p>
    <w:p w14:paraId="653F25B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7.1查询时间：在响应文件递交截止时间之后。</w:t>
      </w:r>
    </w:p>
    <w:p w14:paraId="52F0710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7.2查询渠道：通过“信用中国”网站、中国政府采购网查询相关主体信用记录。</w:t>
      </w:r>
    </w:p>
    <w:p w14:paraId="3C0926F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p>
    <w:p w14:paraId="2090715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（一）政府采购严重违法记录，即供应商被全国各级财政部门列入“政府采购严重违法失信行为记录名单”，且在处罚有效期内的。</w:t>
      </w:r>
    </w:p>
    <w:p w14:paraId="2F690F8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（二）财政部门与法院、工商、税务等部门联合惩戒的失信信息，包括：</w:t>
      </w:r>
    </w:p>
    <w:p w14:paraId="0E309FB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（1）被列入失信被执行人名单；</w:t>
      </w:r>
    </w:p>
    <w:p w14:paraId="4973C7E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（2）被列入重大税收违法案件当事人名单；</w:t>
      </w:r>
    </w:p>
    <w:p w14:paraId="2F657D8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p>
    <w:p w14:paraId="70477F3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7.4接受联合体的项目，两个以上的自然人、法人或者其他组织组成一个联合体，以一个投标人的身份共同参加政府采购活动的，联合体成员其中一名成员存在失信信息的，视同联合体存在失信信息。</w:t>
      </w:r>
    </w:p>
    <w:p w14:paraId="3716A729">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供应商若在经营活动中受到罚款的，请携带相关地方、部门对较大数额认定标准的证明材料，与响应文件一并提交。若无法提供，则可能承担响应无效等相应不利后果。</w:t>
      </w:r>
    </w:p>
    <w:p w14:paraId="3477347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证据留存具体方式：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p>
    <w:p w14:paraId="357B89D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7.6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p>
    <w:p w14:paraId="143834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3252999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07D7D80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10.磋商结束后，磋商小组将在“苏采云”系统向所有实质性响应的供应商发布“最后报价要求函”及最后报价格式表，要求所有实质性响应的供应商在规定时间内提交最后报价。</w:t>
      </w:r>
    </w:p>
    <w:p w14:paraId="2154DD97">
      <w:pPr>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11.供应商未在磋商小组规定的时间内在“苏采云”系统中提交最后报价的视为放弃磋商，其响应文件按无效响应处理，最后报价格式表须加盖CA电子公章,否则视为未提交最后报价。（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宋体"/>
          <w:b/>
          <w:bCs/>
          <w:color w:val="auto"/>
          <w:sz w:val="21"/>
          <w:szCs w:val="21"/>
          <w:highlight w:val="none"/>
          <w:u w:val="single"/>
        </w:rPr>
        <w:t>此处规定时间的计算以系统中的倒计时间为准，系统中的线上最后报价只有一次机会，提交后无法撤回，请供应商慎重提交</w:t>
      </w:r>
      <w:r>
        <w:rPr>
          <w:rFonts w:hint="eastAsia" w:ascii="宋体" w:hAnsi="宋体" w:eastAsia="宋体" w:cs="宋体"/>
          <w:b/>
          <w:bCs/>
          <w:color w:val="auto"/>
          <w:sz w:val="21"/>
          <w:szCs w:val="21"/>
          <w:highlight w:val="none"/>
        </w:rPr>
        <w:t>）。</w:t>
      </w:r>
    </w:p>
    <w:p w14:paraId="06FFBE9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已提交响应文件的供应商，在提交最后报价之前，可以根据磋商情况退出磋商，并在“苏采云”系统中提交“退出磋商函”并加盖CA电子公章。</w:t>
      </w:r>
    </w:p>
    <w:p w14:paraId="2386163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12.经磋商确定最终采购需求和提交最后报价的供应商后，由磋商小组采用综合评分法对提交最后报价的供应商的响应文件和最后报价进行综合评分，并编写评审报告。</w:t>
      </w:r>
    </w:p>
    <w:p w14:paraId="6859DD6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成交原则：响应第一次报价及最后报价（二次报价）不超过采购预算及最高限价，且响应内容的质量和服务均能满足磋商文件实质性响应要求的供应商（不少于三家）中，综合评分最高的供应商确定为成交供应商。由磋商小组根据磋商成交原则确定成交供应商,并将结果通知所有参加磋商的供应商。</w:t>
      </w:r>
    </w:p>
    <w:p w14:paraId="1FB9272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14.如磋商过程中出现本磋商采购文件及评标办法未尽事宜，由磋商小组根据有关法律、法规讨论决定。</w:t>
      </w:r>
    </w:p>
    <w:p w14:paraId="1E3BD008">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15.确定成交供应商的方式：由采购人授权磋商小组在候选供应商名单中直接确定成交供应商。</w:t>
      </w:r>
    </w:p>
    <w:p w14:paraId="75A75B9B">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16.项目经理为“注册建造师”时，</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公告中“不得同时在两个或者两个以上单位受聘或者执业”具体指：1、同时在两个及以上单位签订劳动合同或交纳社会保险；2、将本人执（职）业资格证书同时注册在两个及以上单位；3.同时在其他企业担任了法定代表人。为避免异议投诉对</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进程的阻滞，</w:t>
      </w:r>
      <w:r>
        <w:rPr>
          <w:rFonts w:hint="eastAsia" w:ascii="宋体" w:hAnsi="宋体" w:cs="宋体"/>
          <w:color w:val="auto"/>
          <w:sz w:val="21"/>
          <w:szCs w:val="21"/>
          <w:highlight w:val="none"/>
          <w:lang w:eastAsia="zh-CN"/>
        </w:rPr>
        <w:t>采购</w:t>
      </w:r>
      <w:r>
        <w:rPr>
          <w:rFonts w:hint="eastAsia" w:ascii="宋体" w:hAnsi="宋体" w:eastAsia="宋体" w:cs="宋体"/>
          <w:color w:val="auto"/>
          <w:sz w:val="21"/>
          <w:szCs w:val="21"/>
          <w:highlight w:val="none"/>
        </w:rPr>
        <w:t>时“不得同时在两个或者两个以上单位受聘或者执业”仅指以上情形不做扩大化解释。</w:t>
      </w:r>
    </w:p>
    <w:p w14:paraId="13AF1DAE">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四、综合说明</w:t>
      </w:r>
    </w:p>
    <w:p w14:paraId="34C597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磋商响应总报价</w:t>
      </w:r>
      <w:r>
        <w:rPr>
          <w:rFonts w:hint="eastAsia" w:ascii="宋体" w:hAnsi="宋体"/>
          <w:color w:val="auto"/>
          <w:sz w:val="21"/>
          <w:szCs w:val="21"/>
          <w:highlight w:val="none"/>
          <w:lang w:val="en-US" w:eastAsia="zh-CN"/>
        </w:rPr>
        <w:t>包括</w:t>
      </w:r>
      <w:r>
        <w:rPr>
          <w:rFonts w:hint="eastAsia" w:ascii="宋体" w:hAnsi="宋体" w:eastAsia="宋体" w:cs="宋体"/>
          <w:color w:val="auto"/>
          <w:sz w:val="21"/>
          <w:szCs w:val="21"/>
          <w:highlight w:val="none"/>
        </w:rPr>
        <w:t>完成该项目所需的</w:t>
      </w:r>
      <w:r>
        <w:rPr>
          <w:rFonts w:hint="eastAsia" w:ascii="宋体" w:hAnsi="宋体" w:eastAsia="宋体" w:cs="宋体"/>
          <w:color w:val="auto"/>
          <w:sz w:val="21"/>
          <w:szCs w:val="21"/>
          <w:highlight w:val="none"/>
          <w:lang w:val="zh-CN"/>
        </w:rPr>
        <w:t>全部人工费、材料费、机械使用费、管理费、利润、工程风险、规费、税金，以及所需</w:t>
      </w:r>
      <w:r>
        <w:rPr>
          <w:rFonts w:hint="eastAsia" w:ascii="宋体" w:hAnsi="宋体" w:eastAsia="宋体" w:cs="宋体"/>
          <w:color w:val="auto"/>
          <w:sz w:val="21"/>
          <w:szCs w:val="21"/>
          <w:highlight w:val="none"/>
        </w:rPr>
        <w:t>的深化设计、施工准备、施工过程、保修期等所需的供货、运输、人工、运杂保险、装卸、备品、备件、损耗、安装、调试、人员培训、售后服务、专利技术等一切费用。在合同实施期间，不增加任何费用。</w:t>
      </w:r>
    </w:p>
    <w:p w14:paraId="6CC90D0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供应商必须说明其是否响应采购文件中提出的全部服务内容与要求，如果对其中某些条款不响应时，应在文件中逐条列出，未列出的视同响应。</w:t>
      </w:r>
    </w:p>
    <w:p w14:paraId="619ABBF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工程施工期间涉及安全由成交单位全部负责，涉及安全所产生的相关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p>
    <w:p w14:paraId="62C5ADC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质量必须达到合格，凡非因采购方责任，经验收达不到合格要求，成交单位必须返工到合格并承担因返工引起的一切经济损失。</w:t>
      </w:r>
    </w:p>
    <w:p w14:paraId="061C5A4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伴随服务：</w:t>
      </w:r>
    </w:p>
    <w:p w14:paraId="1B5CEE8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成交单位除应履行按期按量交付合格的工程及设备、材料的义务之外，还应提供下列服务：</w:t>
      </w:r>
    </w:p>
    <w:p w14:paraId="28C3615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（1）设备的现场安装、启动、调试、监督（如果必须安装、调试的话）。</w:t>
      </w:r>
    </w:p>
    <w:p w14:paraId="7A4ECB8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（2）除合同另有约定之外，伴随服务的费用均已含在合同价款中，采购方不再另行进行支付。</w:t>
      </w:r>
    </w:p>
    <w:p w14:paraId="2C0D305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成交单位应当办理有关施工现场交通、环卫、施工噪声等管理手续，若发生费用由成交单位负责。</w:t>
      </w:r>
    </w:p>
    <w:p w14:paraId="5515E414">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工程未交付之前，成交单位应自始至终对成品进行保护和防止丢失。</w:t>
      </w:r>
    </w:p>
    <w:p w14:paraId="087D2F7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.响应单位需为本项目配备一名项目经理及专业的项目团队，所有</w:t>
      </w:r>
      <w:r>
        <w:rPr>
          <w:rFonts w:hint="eastAsia" w:ascii="宋体" w:hAnsi="宋体" w:eastAsia="宋体" w:cs="宋体"/>
          <w:color w:val="auto"/>
          <w:sz w:val="21"/>
          <w:szCs w:val="21"/>
          <w:highlight w:val="none"/>
        </w:rPr>
        <w:t>施工人员</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包括但不限于</w:t>
      </w:r>
      <w:r>
        <w:rPr>
          <w:rFonts w:hint="eastAsia" w:ascii="宋体" w:hAnsi="宋体" w:eastAsia="宋体" w:cs="宋体"/>
          <w:color w:val="auto"/>
          <w:sz w:val="21"/>
          <w:szCs w:val="21"/>
          <w:highlight w:val="none"/>
        </w:rPr>
        <w:t>施工员、质量员、材料员、资料员</w:t>
      </w:r>
      <w:r>
        <w:rPr>
          <w:rFonts w:hint="eastAsia" w:ascii="宋体" w:hAnsi="宋体" w:eastAsia="宋体" w:cs="宋体"/>
          <w:color w:val="auto"/>
          <w:sz w:val="21"/>
          <w:szCs w:val="21"/>
          <w:highlight w:val="none"/>
          <w:lang w:val="en-US" w:eastAsia="zh-CN"/>
        </w:rPr>
        <w:t>等</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均</w:t>
      </w:r>
      <w:r>
        <w:rPr>
          <w:rFonts w:hint="eastAsia" w:ascii="宋体" w:hAnsi="宋体" w:eastAsia="宋体" w:cs="宋体"/>
          <w:color w:val="auto"/>
          <w:sz w:val="21"/>
          <w:szCs w:val="21"/>
          <w:highlight w:val="none"/>
        </w:rPr>
        <w:t>需服从采购</w:t>
      </w:r>
      <w:r>
        <w:rPr>
          <w:rFonts w:hint="eastAsia" w:ascii="宋体" w:hAnsi="宋体" w:eastAsia="宋体" w:cs="宋体"/>
          <w:color w:val="auto"/>
          <w:sz w:val="21"/>
          <w:szCs w:val="21"/>
          <w:highlight w:val="none"/>
          <w:lang w:eastAsia="zh-CN"/>
        </w:rPr>
        <w:t>人</w:t>
      </w:r>
      <w:r>
        <w:rPr>
          <w:rFonts w:hint="eastAsia" w:ascii="宋体" w:hAnsi="宋体" w:eastAsia="宋体" w:cs="宋体"/>
          <w:color w:val="auto"/>
          <w:sz w:val="21"/>
          <w:szCs w:val="21"/>
          <w:highlight w:val="none"/>
        </w:rPr>
        <w:t>安全管理。</w:t>
      </w:r>
    </w:p>
    <w:p w14:paraId="7E68295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验收</w:t>
      </w:r>
    </w:p>
    <w:p w14:paraId="1FABD63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（1）验收标准：</w:t>
      </w:r>
      <w:r>
        <w:rPr>
          <w:rFonts w:hint="eastAsia" w:ascii="宋体" w:hAnsi="宋体" w:eastAsia="宋体" w:cs="宋体"/>
          <w:color w:val="auto"/>
          <w:sz w:val="21"/>
          <w:szCs w:val="21"/>
          <w:highlight w:val="none"/>
          <w:lang w:val="en-US" w:eastAsia="zh-CN"/>
        </w:rPr>
        <w:t>按采购需求要求、国家技术、施工及验收规范规程、最新行业标准、“</w:t>
      </w:r>
      <w:r>
        <w:rPr>
          <w:rFonts w:hint="eastAsia" w:ascii="宋体" w:hAnsi="宋体" w:eastAsia="宋体" w:cs="宋体"/>
          <w:color w:val="auto"/>
          <w:sz w:val="21"/>
          <w:szCs w:val="21"/>
          <w:highlight w:val="none"/>
        </w:rPr>
        <w:t>关于印发《江苏省政府采购履约验收管理办法》的通知（苏财规〔2024〕7号）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规定进行验收通过。</w:t>
      </w:r>
    </w:p>
    <w:p w14:paraId="2A0F251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（2）验收时间：</w:t>
      </w:r>
      <w:r>
        <w:rPr>
          <w:rFonts w:hint="eastAsia" w:ascii="宋体" w:hAnsi="宋体" w:eastAsia="宋体" w:cs="宋体"/>
          <w:bCs/>
          <w:color w:val="auto"/>
          <w:sz w:val="21"/>
          <w:szCs w:val="21"/>
          <w:highlight w:val="none"/>
          <w:lang w:val="en-US" w:eastAsia="zh-CN"/>
        </w:rPr>
        <w:t>完成本项目所有施工内容后</w:t>
      </w:r>
      <w:r>
        <w:rPr>
          <w:rFonts w:hint="eastAsia" w:ascii="宋体" w:hAnsi="宋体" w:eastAsia="宋体" w:cs="宋体"/>
          <w:bCs/>
          <w:color w:val="auto"/>
          <w:sz w:val="21"/>
          <w:szCs w:val="21"/>
          <w:highlight w:val="none"/>
        </w:rPr>
        <w:t>，</w:t>
      </w:r>
      <w:r>
        <w:rPr>
          <w:rFonts w:hint="eastAsia" w:ascii="宋体" w:hAnsi="宋体" w:cs="宋体"/>
          <w:bCs/>
          <w:color w:val="auto"/>
          <w:sz w:val="21"/>
          <w:szCs w:val="21"/>
          <w:highlight w:val="none"/>
          <w:lang w:val="en-US" w:eastAsia="zh-CN"/>
        </w:rPr>
        <w:t>采购</w:t>
      </w:r>
      <w:r>
        <w:rPr>
          <w:rFonts w:hint="eastAsia" w:ascii="宋体" w:hAnsi="宋体" w:eastAsia="宋体" w:cs="宋体"/>
          <w:bCs/>
          <w:color w:val="auto"/>
          <w:sz w:val="21"/>
          <w:szCs w:val="21"/>
          <w:highlight w:val="none"/>
          <w:lang w:val="en-US" w:eastAsia="zh-CN"/>
        </w:rPr>
        <w:t>人</w:t>
      </w:r>
      <w:r>
        <w:rPr>
          <w:rFonts w:hint="eastAsia" w:ascii="宋体" w:hAnsi="宋体" w:eastAsia="宋体" w:cs="宋体"/>
          <w:bCs/>
          <w:color w:val="auto"/>
          <w:sz w:val="21"/>
          <w:szCs w:val="21"/>
          <w:highlight w:val="none"/>
        </w:rPr>
        <w:t>应当在5个工作日内启动履约验收工作，并向</w:t>
      </w:r>
      <w:r>
        <w:rPr>
          <w:rFonts w:hint="eastAsia" w:ascii="宋体" w:hAnsi="宋体" w:eastAsia="宋体" w:cs="宋体"/>
          <w:bCs/>
          <w:color w:val="auto"/>
          <w:sz w:val="21"/>
          <w:szCs w:val="21"/>
          <w:highlight w:val="none"/>
          <w:lang w:val="en-US" w:eastAsia="zh-CN"/>
        </w:rPr>
        <w:t>承包人</w:t>
      </w:r>
      <w:r>
        <w:rPr>
          <w:rFonts w:hint="eastAsia" w:ascii="宋体" w:hAnsi="宋体" w:eastAsia="宋体" w:cs="宋体"/>
          <w:bCs/>
          <w:color w:val="auto"/>
          <w:sz w:val="21"/>
          <w:szCs w:val="21"/>
          <w:highlight w:val="none"/>
        </w:rPr>
        <w:t>发出《政府采购履约验收通知单》</w:t>
      </w:r>
      <w:r>
        <w:rPr>
          <w:rFonts w:hint="eastAsia" w:ascii="宋体" w:hAnsi="宋体" w:eastAsia="宋体" w:cs="宋体"/>
          <w:bCs/>
          <w:color w:val="auto"/>
          <w:sz w:val="21"/>
          <w:szCs w:val="21"/>
          <w:highlight w:val="none"/>
          <w:lang w:eastAsia="zh-CN"/>
        </w:rPr>
        <w:t>。</w:t>
      </w:r>
    </w:p>
    <w:p w14:paraId="6B77D06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ascii="宋体" w:hAnsi="宋体" w:cs="宋体"/>
          <w:color w:val="auto"/>
          <w:sz w:val="21"/>
          <w:szCs w:val="21"/>
          <w:highlight w:val="none"/>
          <w:u w:val="single"/>
          <w:lang w:eastAsia="zh-CN"/>
        </w:rPr>
        <w:t>（</w:t>
      </w:r>
      <w:r>
        <w:rPr>
          <w:rFonts w:hint="eastAsia" w:ascii="宋体" w:hAnsi="宋体" w:cs="宋体"/>
          <w:color w:val="auto"/>
          <w:sz w:val="21"/>
          <w:szCs w:val="21"/>
          <w:highlight w:val="none"/>
          <w:u w:val="single"/>
          <w:lang w:val="en-US" w:eastAsia="zh-CN"/>
        </w:rPr>
        <w:t>本项目不涉及，无需提供</w:t>
      </w:r>
      <w:r>
        <w:rPr>
          <w:rFonts w:hint="eastAsia" w:ascii="宋体" w:hAnsi="宋体" w:cs="宋体"/>
          <w:color w:val="auto"/>
          <w:sz w:val="21"/>
          <w:szCs w:val="21"/>
          <w:highlight w:val="none"/>
          <w:u w:val="single"/>
          <w:lang w:eastAsia="zh-CN"/>
        </w:rPr>
        <w:t>）</w:t>
      </w:r>
    </w:p>
    <w:p w14:paraId="5C13BBD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依据《政府采购促进中小企业发展管理办法》规定享受扶持政策获得政府采购合同的，小微企业不得将合同分包给大中型企业，中型企业不得将合同分包给大型企业。</w:t>
      </w:r>
    </w:p>
    <w:p w14:paraId="6885E05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12、根据《</w:t>
      </w:r>
      <w:r>
        <w:rPr>
          <w:rFonts w:hint="default" w:ascii="宋体" w:hAnsi="宋体" w:eastAsia="宋体" w:cs="宋体"/>
          <w:color w:val="auto"/>
          <w:sz w:val="21"/>
          <w:szCs w:val="21"/>
          <w:highlight w:val="none"/>
          <w:lang w:val="en-US" w:eastAsia="zh-CN"/>
        </w:rPr>
        <w:t>关于推动解决政府采购异常低价问题相关工作的通知</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w:t>
      </w:r>
    </w:p>
    <w:p w14:paraId="6D3BB00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评审过程中出现下列情形之一的，评审委员会应当启动异常低价投标（响应）审查程序：</w:t>
      </w:r>
    </w:p>
    <w:p w14:paraId="3234FB46">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1）投标（响应）报价低于采购项目预算50%的，即投标（响应）报价&lt;采购项目预算×50%；</w:t>
      </w:r>
    </w:p>
    <w:p w14:paraId="56396DFF">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2）投标（响应）报价低于采购项目最高限价45%的，即投标（响应）报价&lt;采购项目最高限价×45%；</w:t>
      </w:r>
    </w:p>
    <w:p w14:paraId="6B6FC1B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3）评审委员会认定的供应商报价过低、有可能影响产品质量或者不能诚信履约的其他情形。</w:t>
      </w:r>
    </w:p>
    <w:p w14:paraId="56C362B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2302C4C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13</w:t>
      </w:r>
      <w:r>
        <w:rPr>
          <w:rFonts w:hint="eastAsia" w:ascii="宋体" w:hAnsi="宋体" w:eastAsia="宋体" w:cs="宋体"/>
          <w:color w:val="auto"/>
          <w:sz w:val="21"/>
          <w:szCs w:val="21"/>
          <w:highlight w:val="none"/>
        </w:rPr>
        <w:t>.供应商出现下列情况，采购人或采购代理机构有权取消其成交资格：</w:t>
      </w:r>
    </w:p>
    <w:p w14:paraId="1735A06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（1）供应商在提交响应文件截止时间后撤回响应文件的；</w:t>
      </w:r>
    </w:p>
    <w:p w14:paraId="40FC9CD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（2）供应商在响应文件中提供虚假材料的；</w:t>
      </w:r>
    </w:p>
    <w:p w14:paraId="129F168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（3）除因不可抗力或磋商文件认可的情形以外，成交供应商不与采购人签订合同的；</w:t>
      </w:r>
    </w:p>
    <w:p w14:paraId="50AB67F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（4）供应商与采购人、其他供应商或者采购代理机构恶意串通的；</w:t>
      </w:r>
    </w:p>
    <w:p w14:paraId="1FF1DD4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（5）磋商文件规定的其他情形。</w:t>
      </w:r>
    </w:p>
    <w:p w14:paraId="2E41CCF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14.代理费用：本项目代理费用采购人已计入预算金额中，代理费用由成交单位支付，领取成交通知书时成交单位向采购代理机构支付代理费用，代理费用含在响应报价中。，根据苏州市级政府采购代理服务收费公告信息表第一批（苏财购告【2016】31号），</w:t>
      </w:r>
      <w:r>
        <w:rPr>
          <w:rFonts w:hint="eastAsia" w:ascii="宋体" w:hAnsi="宋体" w:eastAsia="宋体" w:cs="宋体"/>
          <w:color w:val="auto"/>
          <w:sz w:val="21"/>
          <w:szCs w:val="21"/>
          <w:highlight w:val="none"/>
        </w:rPr>
        <w:t>代理费用收取方式及标准</w:t>
      </w:r>
      <w:r>
        <w:rPr>
          <w:rFonts w:hint="eastAsia" w:ascii="宋体" w:hAnsi="宋体" w:eastAsia="宋体" w:cs="宋体"/>
          <w:color w:val="auto"/>
          <w:sz w:val="21"/>
          <w:szCs w:val="21"/>
          <w:highlight w:val="none"/>
          <w:lang w:val="en-US" w:eastAsia="zh-CN"/>
        </w:rPr>
        <w:t>如下</w:t>
      </w:r>
      <w:r>
        <w:rPr>
          <w:rFonts w:hint="eastAsia" w:ascii="宋体" w:hAnsi="宋体" w:eastAsia="宋体" w:cs="宋体"/>
          <w:color w:val="auto"/>
          <w:sz w:val="21"/>
          <w:szCs w:val="21"/>
          <w:highlight w:val="none"/>
        </w:rPr>
        <w:t>：</w:t>
      </w:r>
    </w:p>
    <w:p w14:paraId="6ACF5C2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以如下比例按差额定率累进法进行计算：</w:t>
      </w:r>
    </w:p>
    <w:p w14:paraId="0DBF34B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预算金额100万元以下部分按该部分预算金额的1.5%计算；</w:t>
      </w:r>
    </w:p>
    <w:p w14:paraId="01CE3CFC">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预算金额100（含）～500万元部分按该部分预算金额的1.1%计算；</w:t>
      </w:r>
    </w:p>
    <w:p w14:paraId="5AEC3A3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收款单位：</w:t>
      </w:r>
      <w:r>
        <w:rPr>
          <w:rFonts w:hint="eastAsia" w:ascii="宋体" w:hAnsi="宋体" w:eastAsia="宋体" w:cs="宋体"/>
          <w:color w:val="auto"/>
          <w:sz w:val="21"/>
          <w:szCs w:val="21"/>
          <w:highlight w:val="none"/>
          <w:lang w:val="zh-CN"/>
        </w:rPr>
        <w:t>中诚智信工程咨询集团股份有限公司姑苏区分公司</w:t>
      </w:r>
    </w:p>
    <w:p w14:paraId="6A39635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代理费用</w:t>
      </w:r>
      <w:r>
        <w:rPr>
          <w:rFonts w:hint="eastAsia" w:ascii="宋体" w:hAnsi="宋体" w:eastAsia="宋体" w:cs="宋体"/>
          <w:color w:val="auto"/>
          <w:sz w:val="21"/>
          <w:szCs w:val="21"/>
          <w:highlight w:val="none"/>
          <w:lang w:val="en-US" w:eastAsia="zh-CN"/>
        </w:rPr>
        <w:t>以转账等方式交纳，</w:t>
      </w:r>
      <w:r>
        <w:rPr>
          <w:rFonts w:hint="eastAsia" w:ascii="宋体" w:hAnsi="宋体" w:eastAsia="宋体" w:cs="宋体"/>
          <w:color w:val="auto"/>
          <w:sz w:val="21"/>
          <w:szCs w:val="21"/>
          <w:highlight w:val="none"/>
        </w:rPr>
        <w:t>交纳账户：</w:t>
      </w:r>
    </w:p>
    <w:p w14:paraId="0309960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银行账号：1102181009100067340</w:t>
      </w:r>
    </w:p>
    <w:p w14:paraId="785FC7B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开户银行：中国工商银行股份有限公司苏州科技城支行</w:t>
      </w:r>
    </w:p>
    <w:p w14:paraId="06EB389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.出现下列情形之一的，将终止磋商采购活动：</w:t>
      </w:r>
    </w:p>
    <w:p w14:paraId="46C0FA95">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（1）因情况变化，不再符合规定的竞争性磋商采购方式适用情形的；</w:t>
      </w:r>
    </w:p>
    <w:p w14:paraId="133ED17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（2）出现影响采购公正的违法、违规行为的；</w:t>
      </w:r>
    </w:p>
    <w:p w14:paraId="7F4B0D1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采购过程中符合竞争要求的供应商或者报价未超过采购预算及最高限价的供应商不足3家的；或如为政府购买服务项目（含政府和社会资本合作项目），在采购过程中符合竞争要求的供应商（社会资本）或者报价未超过采购预算及最高限价的供应商（社会资本）不足2家的。</w:t>
      </w:r>
    </w:p>
    <w:p w14:paraId="2FA58D7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（4）在采购活动中因重大变故，采购任务取消的。</w:t>
      </w:r>
    </w:p>
    <w:p w14:paraId="53A6523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rPr>
        <w:t>.技术要求、图纸</w:t>
      </w:r>
      <w:r>
        <w:rPr>
          <w:rFonts w:hint="eastAsia" w:ascii="宋体" w:hAnsi="宋体" w:eastAsia="宋体" w:cs="宋体"/>
          <w:color w:val="auto"/>
          <w:kern w:val="0"/>
          <w:sz w:val="21"/>
          <w:szCs w:val="21"/>
          <w:highlight w:val="none"/>
        </w:rPr>
        <w:t>（如有）</w:t>
      </w:r>
    </w:p>
    <w:p w14:paraId="47CB87BD">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（1）成交单位应组织成立施工项目组。</w:t>
      </w:r>
    </w:p>
    <w:p w14:paraId="662342A9">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（2）施工质量应符合现行国家技术、施工及验收规范规程，如有对施工工艺的特殊要求，按图纸及国家有关规定执行。</w:t>
      </w:r>
    </w:p>
    <w:p w14:paraId="71C147E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（3）工程质量要求：合格。</w:t>
      </w:r>
    </w:p>
    <w:p w14:paraId="1EF04216">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（4）项目组人员配置符合国家及行业相关规定。</w:t>
      </w:r>
    </w:p>
    <w:p w14:paraId="0223FF51">
      <w:pPr>
        <w:keepNext w:val="0"/>
        <w:keepLines w:val="0"/>
        <w:pageBreakBefore w:val="0"/>
        <w:widowControl w:val="0"/>
        <w:kinsoku/>
        <w:wordWrap/>
        <w:overflowPunct/>
        <w:topLinePunct w:val="0"/>
        <w:bidi w:val="0"/>
        <w:spacing w:line="360" w:lineRule="auto"/>
        <w:ind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（5）主要材料品牌表（如有）。</w:t>
      </w:r>
    </w:p>
    <w:p w14:paraId="3A06782E">
      <w:pPr>
        <w:keepNext w:val="0"/>
        <w:keepLines w:val="0"/>
        <w:pageBreakBefore w:val="0"/>
        <w:widowControl w:val="0"/>
        <w:kinsoku/>
        <w:wordWrap/>
        <w:overflowPunct/>
        <w:topLinePunct w:val="0"/>
        <w:bidi w:val="0"/>
        <w:spacing w:line="360" w:lineRule="auto"/>
        <w:ind w:firstLine="422" w:firstLineChars="200"/>
        <w:textAlignment w:val="auto"/>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（6）工程量清单</w:t>
      </w:r>
      <w:r>
        <w:rPr>
          <w:rFonts w:hint="eastAsia" w:ascii="宋体" w:hAnsi="宋体" w:cs="宋体"/>
          <w:b/>
          <w:bCs/>
          <w:color w:val="auto"/>
          <w:kern w:val="0"/>
          <w:sz w:val="21"/>
          <w:szCs w:val="21"/>
          <w:highlight w:val="none"/>
          <w:lang w:eastAsia="zh-CN"/>
        </w:rPr>
        <w:t>、</w:t>
      </w:r>
      <w:r>
        <w:rPr>
          <w:rFonts w:hint="eastAsia" w:ascii="宋体" w:hAnsi="宋体" w:cs="宋体"/>
          <w:b/>
          <w:bCs/>
          <w:color w:val="auto"/>
          <w:kern w:val="0"/>
          <w:sz w:val="21"/>
          <w:szCs w:val="21"/>
          <w:highlight w:val="none"/>
          <w:lang w:val="en-US" w:eastAsia="zh-CN"/>
        </w:rPr>
        <w:t>编制说明等材料</w:t>
      </w:r>
      <w:r>
        <w:rPr>
          <w:rFonts w:hint="eastAsia" w:ascii="宋体" w:hAnsi="宋体" w:eastAsia="宋体" w:cs="宋体"/>
          <w:b/>
          <w:bCs/>
          <w:color w:val="auto"/>
          <w:kern w:val="0"/>
          <w:sz w:val="21"/>
          <w:szCs w:val="21"/>
          <w:highlight w:val="none"/>
        </w:rPr>
        <w:t>（另附）</w:t>
      </w:r>
    </w:p>
    <w:p w14:paraId="4458DED9">
      <w:pPr>
        <w:keepNext w:val="0"/>
        <w:keepLines w:val="0"/>
        <w:pageBreakBefore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请通过百度网盘下载，链接</w:t>
      </w:r>
      <w:r>
        <w:rPr>
          <w:rFonts w:hint="eastAsia" w:ascii="宋体" w:hAnsi="宋体" w:eastAsia="宋体" w:cs="宋体"/>
          <w:b/>
          <w:bCs/>
          <w:color w:val="auto"/>
          <w:sz w:val="21"/>
          <w:szCs w:val="21"/>
          <w:highlight w:val="none"/>
          <w:lang w:eastAsia="zh-CN"/>
        </w:rPr>
        <w:t xml:space="preserve">：https://pan.baidu.com/s/1rSBl5UQ7Jc8Z8oEV22ZOZA </w:t>
      </w:r>
    </w:p>
    <w:p w14:paraId="7F2A2A4E">
      <w:pPr>
        <w:keepNext w:val="0"/>
        <w:keepLines w:val="0"/>
        <w:pageBreakBefore w:val="0"/>
        <w:kinsoku/>
        <w:wordWrap/>
        <w:overflowPunct/>
        <w:topLinePunct w:val="0"/>
        <w:autoSpaceDE/>
        <w:autoSpaceDN/>
        <w:bidi w:val="0"/>
        <w:adjustRightInd/>
        <w:snapToGrid/>
        <w:spacing w:line="360" w:lineRule="auto"/>
        <w:ind w:firstLine="482"/>
        <w:jc w:val="both"/>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提取码：2235 </w:t>
      </w:r>
    </w:p>
    <w:p w14:paraId="38E74D3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17</w:t>
      </w:r>
      <w:r>
        <w:rPr>
          <w:rFonts w:hint="eastAsia" w:ascii="宋体" w:hAnsi="宋体" w:eastAsia="宋体" w:cs="宋体"/>
          <w:color w:val="auto"/>
          <w:sz w:val="21"/>
          <w:szCs w:val="21"/>
          <w:highlight w:val="none"/>
        </w:rPr>
        <w:t>.资金来源：财政出资。</w:t>
      </w:r>
    </w:p>
    <w:p w14:paraId="5BEC023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.现场踏勘：自行踏勘（供应商由于未踏勘现场导致的报价失误或对工程量清单理解产生的歧义，后果自行承担）。</w:t>
      </w:r>
    </w:p>
    <w:p w14:paraId="4C863D81">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.采购文件及附件中若涉及品牌型号或导向的，不作为采购要求。</w:t>
      </w:r>
    </w:p>
    <w:p w14:paraId="5ECF7DC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rPr>
        <w:t>.供应商认为采购文件、采购过程和成交结果使自己的权益受到损害的，可以在知道或者应知其权益受到损害之日起七个工作日内，以书面形式通过现场递交等法定送达方式向代理机构提出质疑，并办理签收手续。针对同一采购程序环节的质疑应当一次性提出。供应商质疑应符合政府采购质疑和投诉办法（中华人民共和国财政部令第94号）。如供应商对采购文件提出质疑的，提交质疑时须提供报名确认单以及满足采购单位资格条件的证明材料。</w:t>
      </w:r>
    </w:p>
    <w:p w14:paraId="22D02967">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联系部门：中诚智信工程咨询集团股份有限公司代理部</w:t>
      </w:r>
    </w:p>
    <w:p w14:paraId="26D120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通讯地址：苏州高新区科技城潇湘路99号诚来智研发大楼5楼</w:t>
      </w:r>
    </w:p>
    <w:p w14:paraId="3FE302ED">
      <w:pPr>
        <w:keepNext w:val="0"/>
        <w:keepLines w:val="0"/>
        <w:pageBreakBefore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联系人：</w:t>
      </w:r>
      <w:r>
        <w:rPr>
          <w:rFonts w:hint="eastAsia" w:ascii="宋体" w:hAnsi="宋体" w:eastAsia="宋体" w:cs="宋体"/>
          <w:color w:val="auto"/>
          <w:sz w:val="21"/>
          <w:szCs w:val="21"/>
          <w:highlight w:val="none"/>
          <w:lang w:val="en-US" w:eastAsia="zh-CN"/>
        </w:rPr>
        <w:t>许若蕾、金欣楠</w:t>
      </w:r>
      <w:r>
        <w:rPr>
          <w:rFonts w:hint="eastAsia" w:ascii="宋体" w:hAnsi="宋体" w:eastAsia="宋体" w:cs="宋体"/>
          <w:color w:val="auto"/>
          <w:sz w:val="21"/>
          <w:szCs w:val="21"/>
          <w:highlight w:val="none"/>
        </w:rPr>
        <w:t>；联系方式：0512-6</w:t>
      </w:r>
      <w:r>
        <w:rPr>
          <w:rFonts w:hint="eastAsia" w:ascii="宋体" w:hAnsi="宋体" w:eastAsia="宋体" w:cs="宋体"/>
          <w:color w:val="auto"/>
          <w:sz w:val="21"/>
          <w:szCs w:val="21"/>
          <w:highlight w:val="none"/>
          <w:lang w:val="en-US" w:eastAsia="zh-CN"/>
        </w:rPr>
        <w:t>8303723</w:t>
      </w:r>
    </w:p>
    <w:p w14:paraId="2CFFE51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21</w:t>
      </w:r>
      <w:r>
        <w:rPr>
          <w:rFonts w:hint="eastAsia" w:ascii="宋体" w:hAnsi="宋体" w:eastAsia="宋体" w:cs="宋体"/>
          <w:color w:val="auto"/>
          <w:sz w:val="21"/>
          <w:szCs w:val="21"/>
          <w:highlight w:val="none"/>
        </w:rPr>
        <w:t>.通知书</w:t>
      </w:r>
    </w:p>
    <w:p w14:paraId="3CB1EF9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p>
    <w:p w14:paraId="4DF80604">
      <w:pPr>
        <w:keepNext w:val="0"/>
        <w:keepLines w:val="0"/>
        <w:pageBreakBefore w:val="0"/>
        <w:widowControl w:val="0"/>
        <w:kinsoku/>
        <w:wordWrap/>
        <w:overflowPunct/>
        <w:topLinePunct w:val="0"/>
        <w:bidi w:val="0"/>
        <w:snapToGrid/>
        <w:spacing w:line="360" w:lineRule="auto"/>
        <w:ind w:firstLine="420" w:firstLineChars="200"/>
        <w:jc w:val="left"/>
        <w:textAlignment w:val="auto"/>
        <w:rPr>
          <w:rFonts w:hint="eastAsia" w:ascii="宋体" w:hAnsi="宋体" w:eastAsia="宋体" w:cs="宋体"/>
          <w:color w:val="auto"/>
          <w:kern w:val="0"/>
          <w:sz w:val="21"/>
          <w:szCs w:val="21"/>
        </w:rPr>
      </w:pPr>
      <w:r>
        <w:rPr>
          <w:rFonts w:hint="eastAsia" w:ascii="宋体" w:hAnsi="宋体" w:eastAsia="宋体" w:cs="宋体"/>
          <w:color w:val="auto"/>
          <w:kern w:val="0"/>
          <w:sz w:val="21"/>
          <w:szCs w:val="21"/>
          <w:lang w:val="en-US" w:eastAsia="zh-CN"/>
        </w:rPr>
        <w:t>22</w:t>
      </w:r>
      <w:r>
        <w:rPr>
          <w:rFonts w:hint="eastAsia" w:ascii="宋体" w:hAnsi="宋体" w:eastAsia="宋体" w:cs="宋体"/>
          <w:color w:val="auto"/>
          <w:kern w:val="0"/>
          <w:sz w:val="21"/>
          <w:szCs w:val="21"/>
        </w:rPr>
        <w:t>.根据苏州市财政局《关于深入开展苏州市政府采购合同信用融资业务的通知》相关要求，本项目支持政府采购合同信用融资。</w:t>
      </w:r>
    </w:p>
    <w:p w14:paraId="149AB1AE">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4"/>
          <w:szCs w:val="22"/>
          <w:highlight w:val="none"/>
        </w:rPr>
      </w:pPr>
      <w:r>
        <w:rPr>
          <w:rFonts w:hint="eastAsia" w:ascii="宋体" w:hAnsi="宋体" w:cs="宋体"/>
          <w:color w:val="auto"/>
          <w:sz w:val="21"/>
          <w:szCs w:val="21"/>
          <w:highlight w:val="none"/>
          <w:lang w:val="en-US" w:eastAsia="zh-CN"/>
        </w:rPr>
        <w:t>23</w:t>
      </w:r>
      <w:r>
        <w:rPr>
          <w:rFonts w:hint="eastAsia" w:ascii="宋体" w:hAnsi="宋体" w:eastAsia="宋体" w:cs="宋体"/>
          <w:color w:val="auto"/>
          <w:sz w:val="21"/>
          <w:szCs w:val="21"/>
          <w:highlight w:val="none"/>
        </w:rPr>
        <w:t>.凡涉及磋商采购文件的补充说明和修改，均以</w:t>
      </w:r>
      <w:r>
        <w:rPr>
          <w:rFonts w:hint="eastAsia" w:ascii="宋体" w:hAnsi="宋体" w:cs="宋体"/>
          <w:color w:val="auto"/>
          <w:sz w:val="21"/>
          <w:szCs w:val="21"/>
          <w:highlight w:val="none"/>
          <w:lang w:val="en-US" w:eastAsia="zh-CN"/>
        </w:rPr>
        <w:t>苏州</w:t>
      </w:r>
      <w:r>
        <w:rPr>
          <w:rFonts w:hint="eastAsia" w:ascii="宋体" w:hAnsi="宋体" w:eastAsia="宋体" w:cs="宋体"/>
          <w:color w:val="auto"/>
          <w:sz w:val="21"/>
          <w:szCs w:val="21"/>
          <w:highlight w:val="none"/>
        </w:rPr>
        <w:t>政府采购网</w:t>
      </w:r>
      <w:r>
        <w:rPr>
          <w:rFonts w:hint="eastAsia" w:ascii="宋体" w:hAnsi="宋体" w:cs="宋体"/>
          <w:color w:val="auto"/>
          <w:sz w:val="21"/>
          <w:szCs w:val="21"/>
          <w:highlight w:val="none"/>
          <w:lang w:val="en-US" w:eastAsia="zh-CN"/>
        </w:rPr>
        <w:t>等</w:t>
      </w:r>
      <w:r>
        <w:rPr>
          <w:rFonts w:hint="eastAsia" w:ascii="宋体" w:hAnsi="宋体" w:eastAsia="宋体" w:cs="宋体"/>
          <w:color w:val="auto"/>
          <w:sz w:val="21"/>
          <w:szCs w:val="21"/>
          <w:highlight w:val="none"/>
        </w:rPr>
        <w:t>发布的通知为准。</w:t>
      </w:r>
    </w:p>
    <w:p w14:paraId="6AB843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Style w:val="46"/>
          <w:rFonts w:hint="eastAsia" w:ascii="宋体" w:hAnsi="宋体" w:eastAsia="宋体" w:cs="宋体"/>
          <w:color w:val="auto"/>
          <w:sz w:val="43"/>
          <w:szCs w:val="43"/>
          <w:highlight w:val="none"/>
        </w:rPr>
      </w:pPr>
      <w:r>
        <w:rPr>
          <w:rFonts w:hint="eastAsia" w:ascii="宋体" w:hAnsi="宋体"/>
          <w:b/>
          <w:color w:val="auto"/>
          <w:sz w:val="36"/>
          <w:szCs w:val="36"/>
          <w:highlight w:val="none"/>
        </w:rPr>
        <w:br w:type="page" w:clear="all"/>
      </w:r>
      <w:r>
        <w:rPr>
          <w:rStyle w:val="46"/>
          <w:rFonts w:hint="eastAsia" w:ascii="宋体" w:hAnsi="宋体" w:eastAsia="宋体" w:cs="宋体"/>
          <w:color w:val="auto"/>
          <w:sz w:val="43"/>
          <w:szCs w:val="43"/>
          <w:highlight w:val="none"/>
        </w:rPr>
        <w:t>第三章 评审方法及评分标准</w:t>
      </w:r>
    </w:p>
    <w:p w14:paraId="7B6EB078">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一、评审方法</w:t>
      </w:r>
    </w:p>
    <w:p w14:paraId="1A559F7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1.本次磋商采用综合评分法，即在响应文件满足磋商文件全部实质性要求且按评审因素的量化指标评审得分最高的供应商为成交候选供应商。采购人授权磋商小组直接确定成交供应商。</w:t>
      </w:r>
    </w:p>
    <w:p w14:paraId="4DED556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符合评审价格调整情形的，须先进行评审价格调整。评委评审得分和最后磋商报价得分相加为响应单位的综合评分。</w:t>
      </w:r>
    </w:p>
    <w:p w14:paraId="7644CEA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3、根据《</w:t>
      </w:r>
      <w:r>
        <w:rPr>
          <w:rFonts w:hint="default" w:ascii="宋体" w:hAnsi="宋体" w:eastAsia="宋体" w:cs="宋体"/>
          <w:color w:val="auto"/>
          <w:sz w:val="21"/>
          <w:szCs w:val="21"/>
          <w:highlight w:val="none"/>
          <w:lang w:val="en-US" w:eastAsia="zh-CN"/>
        </w:rPr>
        <w:t>关于推动解决政府采购异常低价问题相关工作的通知</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w:t>
      </w:r>
    </w:p>
    <w:p w14:paraId="4BE2F27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lang w:val="en-US" w:eastAsia="zh-CN"/>
        </w:rPr>
        <w:t>评审过程中出现下列情形之一的，评审委员会应当启动异常低价投标（响应）审查程序：</w:t>
      </w:r>
    </w:p>
    <w:p w14:paraId="5E78DC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1）投标（响应）报价低于采购项目预算50%的，即投标（响应）报价&lt;采购项目预算×50%；</w:t>
      </w:r>
    </w:p>
    <w:p w14:paraId="784C57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2）投标（响应）报价低于采购项目最高限价45%的，即投标（响应）报价&lt;采购项目最高限价×45%；</w:t>
      </w:r>
    </w:p>
    <w:p w14:paraId="4ECA88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3）评审委员会认定的供应商报价过低、有可能影响产品质量或者不能诚信履约的其他情形。</w:t>
      </w:r>
    </w:p>
    <w:p w14:paraId="1F26B4E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14:paraId="18944193">
      <w:pPr>
        <w:keepNext w:val="0"/>
        <w:keepLines w:val="0"/>
        <w:pageBreakBefore w:val="0"/>
        <w:widowControl w:val="0"/>
        <w:kinsoku/>
        <w:wordWrap/>
        <w:overflowPunct/>
        <w:topLinePunct w:val="0"/>
        <w:autoSpaceDE/>
        <w:autoSpaceDN/>
        <w:bidi w:val="0"/>
        <w:adjustRightInd/>
        <w:snapToGrid/>
        <w:spacing w:line="360" w:lineRule="auto"/>
        <w:ind w:left="0" w:firstLine="420" w:firstLineChars="200"/>
        <w:textAlignment w:val="auto"/>
        <w:rPr>
          <w:rFonts w:hint="eastAsia"/>
          <w:color w:val="auto"/>
        </w:rPr>
      </w:pPr>
      <w:r>
        <w:rPr>
          <w:rFonts w:hint="eastAsia" w:ascii="宋体" w:hAnsi="宋体" w:eastAsia="宋体" w:cs="宋体"/>
          <w:color w:val="auto"/>
          <w:sz w:val="21"/>
          <w:szCs w:val="21"/>
          <w:highlight w:val="none"/>
        </w:rPr>
        <w:t>4.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p>
    <w:p w14:paraId="6358F7A5">
      <w:pPr>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二、评分标准</w:t>
      </w:r>
    </w:p>
    <w:p w14:paraId="271A3D0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（一）报价得分（</w:t>
      </w:r>
      <w:r>
        <w:rPr>
          <w:rFonts w:hint="eastAsia" w:ascii="宋体" w:hAnsi="宋体" w:cs="宋体"/>
          <w:b/>
          <w:color w:val="auto"/>
          <w:sz w:val="21"/>
          <w:szCs w:val="21"/>
          <w:highlight w:val="none"/>
          <w:lang w:val="en-US" w:eastAsia="zh-CN"/>
        </w:rPr>
        <w:t>10</w:t>
      </w:r>
      <w:r>
        <w:rPr>
          <w:rFonts w:hint="eastAsia" w:ascii="宋体" w:hAnsi="宋体" w:eastAsia="宋体" w:cs="宋体"/>
          <w:b/>
          <w:color w:val="auto"/>
          <w:sz w:val="21"/>
          <w:szCs w:val="21"/>
          <w:highlight w:val="none"/>
        </w:rPr>
        <w:t>分）</w:t>
      </w:r>
    </w:p>
    <w:p w14:paraId="2A0C72E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第一步：第一次报价及最后报价（二次报价）在采购预算及最高限价以下的，为有效报价。最终总报价超采购预算及最高限价或者最终总报价超第一次报价的为无效报价。无效报价的磋商响应文件不成交。</w:t>
      </w:r>
    </w:p>
    <w:p w14:paraId="026BF18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第二步：价格分采用低价优先法计算，即所有有效最后评审报价中满足磋商文件要求且最后评审报价最低的为评标基准价，其价格分为满分。其他响应单位的价格分统一按照下列公式计算：</w:t>
      </w:r>
    </w:p>
    <w:p w14:paraId="4B4EE78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第三步：最后评审报价得分=（评标基准价/最后评审报价）*价格权值*100（本次采购价格权值为</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0%），小数点后四舍五入保留两位小数。</w:t>
      </w:r>
    </w:p>
    <w:p w14:paraId="5ED24EB9">
      <w:pPr>
        <w:pStyle w:val="36"/>
        <w:keepNext w:val="0"/>
        <w:keepLines w:val="0"/>
        <w:pageBreakBefore w:val="0"/>
        <w:kinsoku/>
        <w:wordWrap/>
        <w:overflowPunct/>
        <w:topLinePunct w:val="0"/>
        <w:autoSpaceDE/>
        <w:autoSpaceDN/>
        <w:bidi w:val="0"/>
        <w:adjustRightInd/>
        <w:snapToGrid/>
        <w:spacing w:line="360" w:lineRule="auto"/>
        <w:ind w:firstLine="422"/>
        <w:textAlignment w:val="auto"/>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（二）施工组织设计</w:t>
      </w:r>
      <w:r>
        <w:rPr>
          <w:rFonts w:hint="eastAsia" w:ascii="宋体" w:hAnsi="宋体" w:cs="宋体"/>
          <w:b/>
          <w:color w:val="auto"/>
          <w:sz w:val="21"/>
          <w:szCs w:val="21"/>
          <w:highlight w:val="none"/>
          <w:lang w:eastAsia="zh-CN"/>
        </w:rPr>
        <w:t>：</w:t>
      </w:r>
      <w:r>
        <w:rPr>
          <w:rFonts w:hint="eastAsia" w:ascii="宋体" w:hAnsi="宋体" w:cs="宋体"/>
          <w:b/>
          <w:color w:val="auto"/>
          <w:sz w:val="21"/>
          <w:szCs w:val="21"/>
          <w:highlight w:val="none"/>
          <w:lang w:val="en-US" w:eastAsia="zh-CN"/>
        </w:rPr>
        <w:t>64分</w:t>
      </w:r>
    </w:p>
    <w:p w14:paraId="76EEF896">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1、总体概述：</w:t>
      </w:r>
      <w:r>
        <w:rPr>
          <w:rFonts w:hint="eastAsia" w:ascii="宋体" w:hAnsi="宋体" w:cs="宋体"/>
          <w:color w:val="auto"/>
          <w:sz w:val="21"/>
          <w:szCs w:val="21"/>
          <w:highlight w:val="none"/>
          <w:lang w:val="en-US" w:eastAsia="zh-CN"/>
        </w:rPr>
        <w:t>8分</w:t>
      </w:r>
    </w:p>
    <w:p w14:paraId="0A0011ED">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工程概述、总体安排及施工部署等健全、合理、规范、高效。概述描述最完整、清晰明了，总体安排科学合理，临时设施位置选择合适，现场布置合理，可实施性强的得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分；概述描述</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完整、</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清晰明了，总体安排</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科学合理，临时设施位置选择</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合适，现场布置</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合理，可实施性</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分；概述描述</w:t>
      </w:r>
      <w:r>
        <w:rPr>
          <w:rFonts w:hint="eastAsia" w:ascii="宋体" w:hAnsi="宋体" w:cs="宋体"/>
          <w:color w:val="auto"/>
          <w:sz w:val="21"/>
          <w:szCs w:val="21"/>
          <w:highlight w:val="none"/>
          <w:lang w:val="en-US" w:eastAsia="zh-CN"/>
        </w:rPr>
        <w:t>较简单</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清晰，总体安排</w:t>
      </w:r>
      <w:r>
        <w:rPr>
          <w:rFonts w:hint="eastAsia" w:ascii="宋体" w:hAnsi="宋体" w:cs="宋体"/>
          <w:color w:val="auto"/>
          <w:sz w:val="21"/>
          <w:szCs w:val="21"/>
          <w:highlight w:val="none"/>
          <w:lang w:val="en-US" w:eastAsia="zh-CN"/>
        </w:rPr>
        <w:t>不够合理</w:t>
      </w:r>
      <w:r>
        <w:rPr>
          <w:rFonts w:hint="eastAsia" w:ascii="宋体" w:hAnsi="宋体" w:eastAsia="宋体" w:cs="宋体"/>
          <w:color w:val="auto"/>
          <w:sz w:val="21"/>
          <w:szCs w:val="21"/>
          <w:highlight w:val="none"/>
        </w:rPr>
        <w:t>，临时设施位置选择</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合适，现场布置</w:t>
      </w:r>
      <w:r>
        <w:rPr>
          <w:rFonts w:hint="eastAsia" w:ascii="宋体" w:hAnsi="宋体" w:cs="宋体"/>
          <w:color w:val="auto"/>
          <w:sz w:val="21"/>
          <w:szCs w:val="21"/>
          <w:highlight w:val="none"/>
          <w:lang w:val="en-US" w:eastAsia="zh-CN"/>
        </w:rPr>
        <w:t>较复杂</w:t>
      </w:r>
      <w:r>
        <w:rPr>
          <w:rFonts w:hint="eastAsia" w:ascii="宋体" w:hAnsi="宋体" w:eastAsia="宋体" w:cs="宋体"/>
          <w:color w:val="auto"/>
          <w:sz w:val="21"/>
          <w:szCs w:val="21"/>
          <w:highlight w:val="none"/>
        </w:rPr>
        <w:t>，可实施性尚可的得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内容简单提及的得1分；其他情况不得分。</w:t>
      </w:r>
    </w:p>
    <w:p w14:paraId="04B95214">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2、施工进度计划和各阶段进度的保证措施：</w:t>
      </w:r>
      <w:r>
        <w:rPr>
          <w:rFonts w:hint="eastAsia" w:ascii="宋体" w:hAnsi="宋体" w:cs="宋体"/>
          <w:color w:val="auto"/>
          <w:sz w:val="21"/>
          <w:szCs w:val="21"/>
          <w:highlight w:val="none"/>
          <w:lang w:val="en-US" w:eastAsia="zh-CN"/>
        </w:rPr>
        <w:t>8分</w:t>
      </w:r>
    </w:p>
    <w:p w14:paraId="4FB91B07">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关于本工程施工进度计划的描述，以及为完成该计划所制定措施比较。施工进度安排合理、进度控制保证措施到位、可实施性强的得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分；施工进度安排</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合理、进度控制保证措施</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到位、可实施性</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分；施工进度安排基本合理、进度控制保证措施基本到位但有缺陷、可实施性尚可的得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内容简单提及的得1分；其他情况不得分。</w:t>
      </w:r>
    </w:p>
    <w:p w14:paraId="195ADD39">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3、各分部分项工程的施工方案及保证措施：</w:t>
      </w:r>
      <w:r>
        <w:rPr>
          <w:rFonts w:hint="eastAsia" w:ascii="宋体" w:hAnsi="宋体" w:cs="宋体"/>
          <w:color w:val="auto"/>
          <w:sz w:val="21"/>
          <w:szCs w:val="21"/>
          <w:highlight w:val="none"/>
          <w:lang w:val="en-US" w:eastAsia="zh-CN"/>
        </w:rPr>
        <w:t>8分</w:t>
      </w:r>
    </w:p>
    <w:p w14:paraId="5E26BEE4">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该工程分部分项工程的施工方案、具体施工技术措施比较。工程分部分项工程的施工方案、具体施工技术措施科学合理、实施性强、规范、高效的得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分；工程分部分项工程的施工方案、具体施工技术措施</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合理、实施性</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强、</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规范、</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高效的得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分；工程分部分项工程的施工方案、具体施工技术措施基本合理、</w:t>
      </w:r>
      <w:r>
        <w:rPr>
          <w:rFonts w:hint="eastAsia" w:ascii="宋体" w:hAnsi="宋体" w:cs="宋体"/>
          <w:color w:val="auto"/>
          <w:sz w:val="21"/>
          <w:szCs w:val="21"/>
          <w:highlight w:val="none"/>
          <w:lang w:val="en-US" w:eastAsia="zh-CN"/>
        </w:rPr>
        <w:t>可</w:t>
      </w:r>
      <w:r>
        <w:rPr>
          <w:rFonts w:hint="eastAsia" w:ascii="宋体" w:hAnsi="宋体" w:eastAsia="宋体" w:cs="宋体"/>
          <w:color w:val="auto"/>
          <w:sz w:val="21"/>
          <w:szCs w:val="21"/>
          <w:highlight w:val="none"/>
        </w:rPr>
        <w:t>实施性尚可、或有缺陷的得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内容简单提及的得1分；其他情况不得分。</w:t>
      </w:r>
    </w:p>
    <w:p w14:paraId="4A8A3D7E">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4、安全文明施工及环境保护措施：</w:t>
      </w:r>
      <w:r>
        <w:rPr>
          <w:rFonts w:hint="eastAsia" w:ascii="宋体" w:hAnsi="宋体" w:cs="宋体"/>
          <w:color w:val="auto"/>
          <w:sz w:val="21"/>
          <w:szCs w:val="21"/>
          <w:highlight w:val="none"/>
          <w:lang w:val="en-US" w:eastAsia="zh-CN"/>
        </w:rPr>
        <w:t>8分</w:t>
      </w:r>
    </w:p>
    <w:p w14:paraId="6C2A27F3">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安全文明生产组织机构健全，各项施工规章制度完善，施工现场扬尘污染防治措施及环境保护方面的措施比较。制度、措施完善、科学、合理，可实施性强，内容描述详细的得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分；制度、措施较完善、较科学、较合理，可实施性较</w:t>
      </w:r>
      <w:r>
        <w:rPr>
          <w:rFonts w:hint="eastAsia" w:ascii="宋体" w:hAnsi="宋体" w:cs="宋体"/>
          <w:color w:val="auto"/>
          <w:sz w:val="21"/>
          <w:szCs w:val="21"/>
          <w:highlight w:val="none"/>
          <w:lang w:val="en-US" w:eastAsia="zh-CN"/>
        </w:rPr>
        <w:t>强</w:t>
      </w:r>
      <w:r>
        <w:rPr>
          <w:rFonts w:hint="eastAsia" w:ascii="宋体" w:hAnsi="宋体" w:eastAsia="宋体" w:cs="宋体"/>
          <w:color w:val="auto"/>
          <w:sz w:val="21"/>
          <w:szCs w:val="21"/>
          <w:highlight w:val="none"/>
        </w:rPr>
        <w:t>，内容描述</w:t>
      </w:r>
      <w:r>
        <w:rPr>
          <w:rFonts w:hint="eastAsia" w:ascii="宋体" w:hAnsi="宋体" w:cs="宋体"/>
          <w:color w:val="auto"/>
          <w:sz w:val="21"/>
          <w:szCs w:val="21"/>
          <w:highlight w:val="none"/>
          <w:lang w:val="en-US" w:eastAsia="zh-CN"/>
        </w:rPr>
        <w:t>较详细的得5分；</w:t>
      </w:r>
      <w:r>
        <w:rPr>
          <w:rFonts w:hint="eastAsia" w:ascii="宋体" w:hAnsi="宋体" w:eastAsia="宋体" w:cs="宋体"/>
          <w:color w:val="auto"/>
          <w:sz w:val="21"/>
          <w:szCs w:val="21"/>
          <w:highlight w:val="none"/>
        </w:rPr>
        <w:t>制度、措施较</w:t>
      </w:r>
      <w:r>
        <w:rPr>
          <w:rFonts w:hint="eastAsia" w:ascii="宋体" w:hAnsi="宋体" w:cs="宋体"/>
          <w:color w:val="auto"/>
          <w:sz w:val="21"/>
          <w:szCs w:val="21"/>
          <w:highlight w:val="none"/>
          <w:lang w:val="en-US" w:eastAsia="zh-CN"/>
        </w:rPr>
        <w:t>简单</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合理，可实施性尚可，内容描述</w:t>
      </w:r>
      <w:r>
        <w:rPr>
          <w:rFonts w:hint="eastAsia" w:ascii="宋体" w:hAnsi="宋体" w:cs="宋体"/>
          <w:color w:val="auto"/>
          <w:sz w:val="21"/>
          <w:szCs w:val="21"/>
          <w:highlight w:val="none"/>
          <w:lang w:val="en-US" w:eastAsia="zh-CN"/>
        </w:rPr>
        <w:t>较简单或有缺陷的得3分；内容简单提及的得1分；其他情况不得分。</w:t>
      </w:r>
    </w:p>
    <w:p w14:paraId="09343A58">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5、劳动力、材料、机械设备投入：</w:t>
      </w:r>
      <w:r>
        <w:rPr>
          <w:rFonts w:hint="eastAsia" w:ascii="宋体" w:hAnsi="宋体" w:cs="宋体"/>
          <w:color w:val="auto"/>
          <w:sz w:val="21"/>
          <w:szCs w:val="21"/>
          <w:highlight w:val="none"/>
          <w:lang w:val="en-US" w:eastAsia="zh-CN"/>
        </w:rPr>
        <w:t>8分</w:t>
      </w:r>
    </w:p>
    <w:p w14:paraId="68F9FE8D">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劳动力、材料、机械设备配置合理，与进度计划吻合、可实施性强的得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分；劳动力、材料、机械设备配置较合理，与进度计划较吻合、有微小缺陷、可实施性</w:t>
      </w:r>
      <w:r>
        <w:rPr>
          <w:rFonts w:hint="eastAsia" w:ascii="宋体" w:hAnsi="宋体" w:cs="宋体"/>
          <w:color w:val="auto"/>
          <w:sz w:val="21"/>
          <w:szCs w:val="21"/>
          <w:highlight w:val="none"/>
          <w:lang w:val="en-US" w:eastAsia="zh-CN"/>
        </w:rPr>
        <w:t>较强</w:t>
      </w:r>
      <w:r>
        <w:rPr>
          <w:rFonts w:hint="eastAsia" w:ascii="宋体" w:hAnsi="宋体" w:eastAsia="宋体" w:cs="宋体"/>
          <w:color w:val="auto"/>
          <w:sz w:val="21"/>
          <w:szCs w:val="21"/>
          <w:highlight w:val="none"/>
        </w:rPr>
        <w:t>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分；劳动力、材料、机械设备配置有较多不合理之处，与进度计划不太吻合、可实施性尚可的得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内容简单提及的得1分；其他情况不得分。</w:t>
      </w:r>
    </w:p>
    <w:p w14:paraId="176AA4A8">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6、质量保证措施：</w:t>
      </w:r>
      <w:r>
        <w:rPr>
          <w:rFonts w:hint="eastAsia" w:ascii="宋体" w:hAnsi="宋体" w:cs="宋体"/>
          <w:color w:val="auto"/>
          <w:sz w:val="21"/>
          <w:szCs w:val="21"/>
          <w:highlight w:val="none"/>
          <w:lang w:val="en-US" w:eastAsia="zh-CN"/>
        </w:rPr>
        <w:t>8分</w:t>
      </w:r>
    </w:p>
    <w:p w14:paraId="27A7D9BE">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措施内容科学完善、合理全面、可实施性强、实施便捷的得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分；措施内容</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完善、</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合理、可实施性</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强、实施</w:t>
      </w:r>
      <w:r>
        <w:rPr>
          <w:rFonts w:hint="eastAsia" w:ascii="宋体" w:hAnsi="宋体" w:cs="宋体"/>
          <w:color w:val="auto"/>
          <w:sz w:val="21"/>
          <w:szCs w:val="21"/>
          <w:highlight w:val="none"/>
          <w:lang w:val="en-US" w:eastAsia="zh-CN"/>
        </w:rPr>
        <w:t>较</w:t>
      </w:r>
      <w:r>
        <w:rPr>
          <w:rFonts w:hint="eastAsia" w:ascii="宋体" w:hAnsi="宋体" w:eastAsia="宋体" w:cs="宋体"/>
          <w:color w:val="auto"/>
          <w:sz w:val="21"/>
          <w:szCs w:val="21"/>
          <w:highlight w:val="none"/>
        </w:rPr>
        <w:t>便捷的得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措施不够完整、</w:t>
      </w:r>
      <w:r>
        <w:rPr>
          <w:rFonts w:hint="eastAsia" w:ascii="宋体" w:hAnsi="宋体" w:cs="宋体"/>
          <w:color w:val="auto"/>
          <w:sz w:val="21"/>
          <w:szCs w:val="21"/>
          <w:highlight w:val="none"/>
          <w:lang w:val="en-US" w:eastAsia="zh-CN"/>
        </w:rPr>
        <w:t>基本</w:t>
      </w:r>
      <w:r>
        <w:rPr>
          <w:rFonts w:hint="eastAsia" w:ascii="宋体" w:hAnsi="宋体" w:eastAsia="宋体" w:cs="宋体"/>
          <w:color w:val="auto"/>
          <w:sz w:val="21"/>
          <w:szCs w:val="21"/>
          <w:highlight w:val="none"/>
        </w:rPr>
        <w:t>合理、</w:t>
      </w:r>
      <w:r>
        <w:rPr>
          <w:rFonts w:hint="eastAsia" w:ascii="宋体" w:hAnsi="宋体" w:cs="宋体"/>
          <w:color w:val="auto"/>
          <w:sz w:val="21"/>
          <w:szCs w:val="21"/>
          <w:highlight w:val="none"/>
          <w:lang w:val="en-US" w:eastAsia="zh-CN"/>
        </w:rPr>
        <w:t>但有</w:t>
      </w:r>
      <w:r>
        <w:rPr>
          <w:rFonts w:hint="eastAsia" w:ascii="宋体" w:hAnsi="宋体" w:eastAsia="宋体" w:cs="宋体"/>
          <w:color w:val="auto"/>
          <w:sz w:val="21"/>
          <w:szCs w:val="21"/>
          <w:highlight w:val="none"/>
        </w:rPr>
        <w:t>缺陷的得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val="en-US" w:eastAsia="zh-CN"/>
        </w:rPr>
        <w:t>内容简单提及的得1分；其他情况不得分。</w:t>
      </w:r>
    </w:p>
    <w:p w14:paraId="74EC20C1">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rPr>
        <w:t>7、工程资料管理：</w:t>
      </w:r>
      <w:r>
        <w:rPr>
          <w:rFonts w:hint="eastAsia" w:ascii="宋体" w:hAnsi="宋体" w:cs="宋体"/>
          <w:color w:val="auto"/>
          <w:sz w:val="21"/>
          <w:szCs w:val="21"/>
          <w:highlight w:val="none"/>
          <w:lang w:val="en-US" w:eastAsia="zh-CN"/>
        </w:rPr>
        <w:t>8分</w:t>
      </w:r>
    </w:p>
    <w:p w14:paraId="5A491CB7">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工程资料有专人专职负责，工地档案室建设规范，设备配备齐全，资料管理方案描述详细，可实施性强的得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分；工程资料有专人专职负责，工地档案室建设</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规范，设备配备</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齐全，资料管理方案</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详细，可实施性</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强的得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资料管理方案描述较详细，可实施性尚可的得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内容简单提及的得1分；其他情况不得分。</w:t>
      </w:r>
    </w:p>
    <w:p w14:paraId="4A12436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highlight w:val="none"/>
          <w:lang w:val="en-US" w:eastAsia="zh-CN" w:bidi="ar-SA"/>
        </w:rPr>
        <w:t>8、</w:t>
      </w:r>
      <w:r>
        <w:rPr>
          <w:rFonts w:hint="eastAsia" w:ascii="宋体" w:hAnsi="宋体" w:eastAsia="宋体" w:cs="宋体"/>
          <w:color w:val="auto"/>
          <w:sz w:val="21"/>
          <w:szCs w:val="21"/>
          <w:highlight w:val="none"/>
          <w:lang w:eastAsia="zh-CN"/>
        </w:rPr>
        <w:t>突发事件的</w:t>
      </w:r>
      <w:r>
        <w:rPr>
          <w:rFonts w:hint="eastAsia" w:ascii="宋体" w:hAnsi="宋体" w:eastAsia="宋体" w:cs="宋体"/>
          <w:color w:val="auto"/>
          <w:sz w:val="21"/>
          <w:szCs w:val="21"/>
          <w:highlight w:val="none"/>
          <w:lang w:val="en-US" w:eastAsia="zh-CN"/>
        </w:rPr>
        <w:t>应对方案及</w:t>
      </w:r>
      <w:r>
        <w:rPr>
          <w:rFonts w:hint="eastAsia" w:ascii="宋体" w:hAnsi="宋体" w:eastAsia="宋体" w:cs="宋体"/>
          <w:color w:val="auto"/>
          <w:sz w:val="21"/>
          <w:szCs w:val="21"/>
          <w:highlight w:val="none"/>
          <w:lang w:eastAsia="zh-CN"/>
        </w:rPr>
        <w:t>应急</w:t>
      </w:r>
      <w:r>
        <w:rPr>
          <w:rFonts w:hint="eastAsia" w:ascii="宋体" w:hAnsi="宋体" w:eastAsia="宋体" w:cs="宋体"/>
          <w:color w:val="auto"/>
          <w:sz w:val="21"/>
          <w:szCs w:val="21"/>
          <w:highlight w:val="none"/>
          <w:lang w:val="en-US" w:eastAsia="zh-CN"/>
        </w:rPr>
        <w:t>措施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 xml:space="preserve">分  </w:t>
      </w:r>
    </w:p>
    <w:p w14:paraId="59B0A690">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方案具体全面、考虑周详、应急措施</w:t>
      </w:r>
      <w:r>
        <w:rPr>
          <w:rFonts w:hint="eastAsia" w:ascii="宋体" w:hAnsi="宋体" w:eastAsia="宋体" w:cs="宋体"/>
          <w:color w:val="auto"/>
          <w:sz w:val="21"/>
          <w:szCs w:val="21"/>
          <w:highlight w:val="none"/>
        </w:rPr>
        <w:t>可实施性强</w:t>
      </w:r>
      <w:r>
        <w:rPr>
          <w:rFonts w:hint="eastAsia" w:ascii="宋体" w:hAnsi="宋体" w:eastAsia="宋体" w:cs="宋体"/>
          <w:color w:val="auto"/>
          <w:sz w:val="21"/>
          <w:szCs w:val="21"/>
          <w:highlight w:val="none"/>
          <w:lang w:eastAsia="zh-CN"/>
        </w:rPr>
        <w:t>的得</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分；方案较全面、应急措施</w:t>
      </w:r>
      <w:r>
        <w:rPr>
          <w:rFonts w:hint="eastAsia" w:ascii="宋体" w:hAnsi="宋体" w:eastAsia="宋体" w:cs="宋体"/>
          <w:color w:val="auto"/>
          <w:sz w:val="21"/>
          <w:szCs w:val="21"/>
          <w:highlight w:val="none"/>
        </w:rPr>
        <w:t>可实施性</w:t>
      </w:r>
      <w:r>
        <w:rPr>
          <w:rFonts w:hint="eastAsia" w:ascii="宋体" w:hAnsi="宋体" w:eastAsia="宋体" w:cs="宋体"/>
          <w:color w:val="auto"/>
          <w:sz w:val="21"/>
          <w:szCs w:val="21"/>
          <w:highlight w:val="none"/>
          <w:lang w:val="en-US" w:eastAsia="zh-CN"/>
        </w:rPr>
        <w:t>较</w:t>
      </w:r>
      <w:r>
        <w:rPr>
          <w:rFonts w:hint="eastAsia" w:ascii="宋体" w:hAnsi="宋体" w:eastAsia="宋体" w:cs="宋体"/>
          <w:color w:val="auto"/>
          <w:sz w:val="21"/>
          <w:szCs w:val="21"/>
          <w:highlight w:val="none"/>
        </w:rPr>
        <w:t>强</w:t>
      </w:r>
      <w:r>
        <w:rPr>
          <w:rFonts w:hint="eastAsia" w:ascii="宋体" w:hAnsi="宋体" w:eastAsia="宋体" w:cs="宋体"/>
          <w:color w:val="auto"/>
          <w:sz w:val="21"/>
          <w:szCs w:val="21"/>
          <w:highlight w:val="none"/>
          <w:lang w:eastAsia="zh-CN"/>
        </w:rPr>
        <w:t>的得5分；方案相对简单笼统、应急措施</w:t>
      </w:r>
      <w:r>
        <w:rPr>
          <w:rFonts w:hint="eastAsia" w:ascii="宋体" w:hAnsi="宋体" w:eastAsia="宋体" w:cs="宋体"/>
          <w:color w:val="auto"/>
          <w:sz w:val="21"/>
          <w:szCs w:val="21"/>
          <w:highlight w:val="none"/>
          <w:lang w:val="en-US" w:eastAsia="zh-CN"/>
        </w:rPr>
        <w:t>不利于实施</w:t>
      </w:r>
      <w:r>
        <w:rPr>
          <w:rFonts w:hint="eastAsia" w:ascii="宋体" w:hAnsi="宋体" w:eastAsia="宋体" w:cs="宋体"/>
          <w:color w:val="auto"/>
          <w:sz w:val="21"/>
          <w:szCs w:val="21"/>
          <w:highlight w:val="none"/>
          <w:lang w:eastAsia="zh-CN"/>
        </w:rPr>
        <w:t>的得</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分；</w:t>
      </w:r>
      <w:r>
        <w:rPr>
          <w:rFonts w:hint="eastAsia" w:ascii="宋体" w:hAnsi="宋体" w:eastAsia="宋体" w:cs="宋体"/>
          <w:color w:val="auto"/>
          <w:sz w:val="21"/>
          <w:szCs w:val="21"/>
          <w:highlight w:val="none"/>
          <w:lang w:val="en-US" w:eastAsia="zh-CN"/>
        </w:rPr>
        <w:t>内容简单提及的得1分；其他情况不得分。</w:t>
      </w:r>
    </w:p>
    <w:p w14:paraId="1B38D68B">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（三）拟投入本项目人员情况</w:t>
      </w:r>
      <w:r>
        <w:rPr>
          <w:rFonts w:hint="eastAsia" w:ascii="宋体" w:hAnsi="宋体" w:cs="宋体"/>
          <w:b/>
          <w:bCs/>
          <w:color w:val="auto"/>
          <w:sz w:val="21"/>
          <w:szCs w:val="21"/>
          <w:highlight w:val="none"/>
          <w:lang w:eastAsia="zh-CN"/>
        </w:rPr>
        <w:t>：</w:t>
      </w:r>
      <w:r>
        <w:rPr>
          <w:rFonts w:hint="eastAsia" w:ascii="宋体" w:hAnsi="宋体" w:cs="宋体"/>
          <w:b/>
          <w:bCs/>
          <w:color w:val="auto"/>
          <w:sz w:val="21"/>
          <w:szCs w:val="21"/>
          <w:highlight w:val="none"/>
          <w:lang w:val="en-US" w:eastAsia="zh-CN"/>
        </w:rPr>
        <w:t>11分</w:t>
      </w:r>
    </w:p>
    <w:p w14:paraId="4CA92F4E">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r>
        <w:rPr>
          <w:rFonts w:hint="eastAsia" w:ascii="宋体" w:hAnsi="宋体" w:cs="宋体"/>
          <w:color w:val="auto"/>
          <w:sz w:val="21"/>
          <w:szCs w:val="21"/>
          <w:highlight w:val="none"/>
          <w:lang w:val="en-US" w:eastAsia="zh-CN"/>
        </w:rPr>
        <w:t>项目经理：3分</w:t>
      </w:r>
    </w:p>
    <w:p w14:paraId="36F73743">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拟投入本项目的项目经理具有</w:t>
      </w:r>
      <w:r>
        <w:rPr>
          <w:rFonts w:hint="eastAsia" w:ascii="宋体" w:hAnsi="宋体" w:cs="宋体"/>
          <w:color w:val="auto"/>
          <w:sz w:val="21"/>
          <w:szCs w:val="21"/>
          <w:highlight w:val="none"/>
          <w:lang w:val="en-US" w:eastAsia="zh-CN"/>
        </w:rPr>
        <w:t>工程类</w:t>
      </w:r>
      <w:r>
        <w:rPr>
          <w:rFonts w:hint="eastAsia" w:ascii="宋体" w:hAnsi="宋体" w:eastAsia="宋体" w:cs="宋体"/>
          <w:color w:val="auto"/>
          <w:sz w:val="21"/>
          <w:szCs w:val="21"/>
          <w:highlight w:val="none"/>
          <w:lang w:val="en-US" w:eastAsia="zh-CN"/>
        </w:rPr>
        <w:t>中级</w:t>
      </w:r>
      <w:r>
        <w:rPr>
          <w:rFonts w:hint="eastAsia" w:ascii="宋体" w:hAnsi="宋体" w:cs="宋体"/>
          <w:color w:val="auto"/>
          <w:sz w:val="21"/>
          <w:szCs w:val="21"/>
          <w:highlight w:val="none"/>
          <w:lang w:val="en-US" w:eastAsia="zh-CN"/>
        </w:rPr>
        <w:t>及以上</w:t>
      </w:r>
      <w:r>
        <w:rPr>
          <w:rFonts w:hint="eastAsia" w:ascii="宋体" w:hAnsi="宋体" w:eastAsia="宋体" w:cs="宋体"/>
          <w:color w:val="auto"/>
          <w:sz w:val="21"/>
          <w:szCs w:val="21"/>
          <w:highlight w:val="none"/>
          <w:lang w:val="en-US" w:eastAsia="zh-CN"/>
        </w:rPr>
        <w:t>工程师职称的得</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val="en-US" w:eastAsia="zh-CN"/>
        </w:rPr>
        <w:t>分。需在响应文件中提供项目经理职称证书扫描件</w:t>
      </w:r>
      <w:r>
        <w:rPr>
          <w:rFonts w:hint="eastAsia" w:ascii="宋体" w:hAnsi="宋体" w:eastAsia="宋体" w:cs="Times New Roman"/>
          <w:color w:val="auto"/>
          <w:sz w:val="21"/>
          <w:highlight w:val="none"/>
          <w:lang w:val="en-US" w:eastAsia="zh-CN"/>
        </w:rPr>
        <w:t>及响应单位为</w:t>
      </w:r>
      <w:r>
        <w:rPr>
          <w:rFonts w:hint="eastAsia" w:ascii="宋体" w:hAnsi="宋体" w:eastAsia="宋体" w:cs="Times New Roman"/>
          <w:color w:val="auto"/>
          <w:sz w:val="21"/>
          <w:highlight w:val="none"/>
          <w:lang w:val="zh-CN" w:eastAsia="zh-CN"/>
        </w:rPr>
        <w:t>其缴纳的开标前近3个月</w:t>
      </w:r>
      <w:r>
        <w:rPr>
          <w:rFonts w:hint="eastAsia" w:ascii="宋体" w:hAnsi="宋体" w:cs="Times New Roman"/>
          <w:color w:val="auto"/>
          <w:sz w:val="21"/>
          <w:highlight w:val="none"/>
          <w:lang w:val="en-US" w:eastAsia="zh-CN"/>
        </w:rPr>
        <w:t>中</w:t>
      </w:r>
      <w:r>
        <w:rPr>
          <w:rFonts w:hint="eastAsia" w:ascii="宋体" w:hAnsi="宋体" w:eastAsia="宋体" w:cs="Times New Roman"/>
          <w:color w:val="auto"/>
          <w:sz w:val="21"/>
          <w:highlight w:val="none"/>
          <w:lang w:val="zh-CN" w:eastAsia="zh-CN"/>
        </w:rPr>
        <w:t>（不含开标日当月）任意1个月的社保证明</w:t>
      </w:r>
      <w:r>
        <w:rPr>
          <w:rFonts w:hint="eastAsia" w:ascii="宋体" w:hAnsi="宋体" w:eastAsia="宋体" w:cs="Times New Roman"/>
          <w:color w:val="auto"/>
          <w:sz w:val="21"/>
          <w:highlight w:val="none"/>
          <w:lang w:val="en-US" w:eastAsia="zh-CN"/>
        </w:rPr>
        <w:t>材料扫描件</w:t>
      </w:r>
      <w:r>
        <w:rPr>
          <w:rFonts w:hint="eastAsia" w:ascii="宋体" w:hAnsi="宋体" w:eastAsia="宋体" w:cs="Times New Roman"/>
          <w:color w:val="auto"/>
          <w:sz w:val="21"/>
          <w:highlight w:val="none"/>
          <w:lang w:val="zh-CN" w:eastAsia="zh-CN"/>
        </w:rPr>
        <w:t>。</w:t>
      </w:r>
    </w:p>
    <w:p w14:paraId="208C5659">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2、项目组成员（项目经理除外）：8分</w:t>
      </w:r>
    </w:p>
    <w:p w14:paraId="1E7F1B62">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拟投入本项目的项目组成员（项目经理除外）中具有</w:t>
      </w:r>
      <w:r>
        <w:rPr>
          <w:rFonts w:hint="eastAsia" w:ascii="宋体" w:hAnsi="宋体" w:eastAsia="宋体" w:cs="宋体"/>
          <w:color w:val="auto"/>
          <w:sz w:val="21"/>
          <w:szCs w:val="21"/>
          <w:highlight w:val="none"/>
        </w:rPr>
        <w:t>施工员、质量员、材料员、资料员</w:t>
      </w:r>
      <w:r>
        <w:rPr>
          <w:rFonts w:hint="eastAsia" w:ascii="宋体" w:hAnsi="宋体" w:eastAsia="宋体" w:cs="宋体"/>
          <w:color w:val="auto"/>
          <w:sz w:val="21"/>
          <w:szCs w:val="21"/>
          <w:highlight w:val="none"/>
          <w:lang w:val="en-US" w:eastAsia="zh-CN"/>
        </w:rPr>
        <w:t>且具有</w:t>
      </w:r>
      <w:r>
        <w:rPr>
          <w:rFonts w:hint="eastAsia" w:ascii="宋体" w:hAnsi="宋体" w:eastAsia="宋体"/>
          <w:color w:val="auto"/>
          <w:sz w:val="21"/>
        </w:rPr>
        <w:t>相应建设领域专业人员岗位培训考核合格证书</w:t>
      </w:r>
      <w:r>
        <w:rPr>
          <w:rFonts w:hint="eastAsia" w:ascii="宋体" w:hAnsi="宋体" w:eastAsia="宋体" w:cs="宋体"/>
          <w:color w:val="auto"/>
          <w:sz w:val="21"/>
          <w:szCs w:val="21"/>
          <w:highlight w:val="none"/>
          <w:lang w:val="en-US" w:eastAsia="zh-CN"/>
        </w:rPr>
        <w:t>的，每提供一类得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分，人员不重复计分，本项最高</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分。需在响应文件中提供人员相应证书扫描件</w:t>
      </w:r>
      <w:r>
        <w:rPr>
          <w:rFonts w:hint="eastAsia" w:ascii="宋体" w:hAnsi="宋体" w:eastAsia="宋体" w:cs="Times New Roman"/>
          <w:color w:val="auto"/>
          <w:sz w:val="21"/>
          <w:highlight w:val="none"/>
          <w:lang w:val="en-US" w:eastAsia="zh-CN"/>
        </w:rPr>
        <w:t>及响应单位为</w:t>
      </w:r>
      <w:r>
        <w:rPr>
          <w:rFonts w:hint="eastAsia" w:ascii="宋体" w:hAnsi="宋体" w:eastAsia="宋体" w:cs="Times New Roman"/>
          <w:color w:val="auto"/>
          <w:sz w:val="21"/>
          <w:highlight w:val="none"/>
          <w:lang w:val="zh-CN" w:eastAsia="zh-CN"/>
        </w:rPr>
        <w:t>其缴纳的开标前近3个月</w:t>
      </w:r>
      <w:r>
        <w:rPr>
          <w:rFonts w:hint="eastAsia" w:ascii="宋体" w:hAnsi="宋体" w:cs="Times New Roman"/>
          <w:color w:val="auto"/>
          <w:sz w:val="21"/>
          <w:highlight w:val="none"/>
          <w:lang w:val="en-US" w:eastAsia="zh-CN"/>
        </w:rPr>
        <w:t>中</w:t>
      </w:r>
      <w:r>
        <w:rPr>
          <w:rFonts w:hint="eastAsia" w:ascii="宋体" w:hAnsi="宋体" w:eastAsia="宋体" w:cs="Times New Roman"/>
          <w:color w:val="auto"/>
          <w:sz w:val="21"/>
          <w:highlight w:val="none"/>
          <w:lang w:val="zh-CN" w:eastAsia="zh-CN"/>
        </w:rPr>
        <w:t>（不含开标日当月）任意1个月的社保证明</w:t>
      </w:r>
      <w:r>
        <w:rPr>
          <w:rFonts w:hint="eastAsia" w:ascii="宋体" w:hAnsi="宋体" w:eastAsia="宋体" w:cs="Times New Roman"/>
          <w:color w:val="auto"/>
          <w:sz w:val="21"/>
          <w:highlight w:val="none"/>
          <w:lang w:val="en-US" w:eastAsia="zh-CN"/>
        </w:rPr>
        <w:t>材料扫描件</w:t>
      </w:r>
      <w:r>
        <w:rPr>
          <w:rFonts w:hint="eastAsia" w:ascii="宋体" w:hAnsi="宋体" w:eastAsia="宋体" w:cs="Times New Roman"/>
          <w:color w:val="auto"/>
          <w:sz w:val="21"/>
          <w:highlight w:val="none"/>
          <w:lang w:val="zh-CN" w:eastAsia="zh-CN"/>
        </w:rPr>
        <w:t>。</w:t>
      </w:r>
    </w:p>
    <w:p w14:paraId="63897066">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（四）</w:t>
      </w:r>
      <w:r>
        <w:rPr>
          <w:rFonts w:hint="eastAsia" w:ascii="宋体" w:hAnsi="宋体" w:cs="宋体"/>
          <w:b/>
          <w:bCs/>
          <w:color w:val="auto"/>
          <w:sz w:val="21"/>
          <w:szCs w:val="21"/>
          <w:highlight w:val="none"/>
          <w:lang w:val="en-US" w:eastAsia="zh-CN"/>
        </w:rPr>
        <w:t>类似</w:t>
      </w:r>
      <w:r>
        <w:rPr>
          <w:rFonts w:hint="eastAsia" w:ascii="宋体" w:hAnsi="宋体" w:eastAsia="宋体" w:cs="宋体"/>
          <w:b/>
          <w:bCs/>
          <w:color w:val="auto"/>
          <w:sz w:val="21"/>
          <w:szCs w:val="21"/>
          <w:highlight w:val="none"/>
        </w:rPr>
        <w:t>业绩：</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rPr>
        <w:t>分</w:t>
      </w:r>
    </w:p>
    <w:p w14:paraId="687BCA7F">
      <w:pPr>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响应单位自</w:t>
      </w:r>
      <w:r>
        <w:rPr>
          <w:rFonts w:hint="eastAsia" w:ascii="宋体" w:hAnsi="宋体" w:eastAsia="宋体" w:cs="宋体"/>
          <w:color w:val="auto"/>
          <w:sz w:val="21"/>
          <w:szCs w:val="21"/>
          <w:highlight w:val="none"/>
          <w:lang w:val="en-US" w:eastAsia="zh-CN"/>
        </w:rPr>
        <w:t>2023</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月1日至今(以合同签订时间为准)</w:t>
      </w:r>
      <w:r>
        <w:rPr>
          <w:rFonts w:hint="eastAsia" w:ascii="宋体" w:hAnsi="宋体" w:eastAsia="宋体" w:cs="宋体"/>
          <w:color w:val="auto"/>
          <w:sz w:val="21"/>
          <w:szCs w:val="21"/>
          <w:highlight w:val="none"/>
          <w:lang w:val="en-US" w:eastAsia="zh-CN"/>
        </w:rPr>
        <w:t>承担过类似工程项目业绩的</w:t>
      </w:r>
      <w:r>
        <w:rPr>
          <w:rFonts w:hint="eastAsia" w:ascii="宋体" w:hAnsi="宋体" w:eastAsia="宋体" w:cs="宋体"/>
          <w:color w:val="auto"/>
          <w:sz w:val="21"/>
          <w:szCs w:val="21"/>
          <w:highlight w:val="none"/>
        </w:rPr>
        <w:t>，每提供一个得</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本项</w:t>
      </w:r>
      <w:r>
        <w:rPr>
          <w:rFonts w:hint="eastAsia" w:ascii="宋体" w:hAnsi="宋体" w:eastAsia="宋体" w:cs="宋体"/>
          <w:color w:val="auto"/>
          <w:sz w:val="21"/>
          <w:szCs w:val="21"/>
          <w:highlight w:val="none"/>
        </w:rPr>
        <w:t>最高</w:t>
      </w:r>
      <w:r>
        <w:rPr>
          <w:rFonts w:hint="eastAsia" w:ascii="宋体" w:hAnsi="宋体" w:cs="宋体"/>
          <w:color w:val="auto"/>
          <w:sz w:val="21"/>
          <w:szCs w:val="21"/>
          <w:highlight w:val="none"/>
          <w:lang w:val="en-US" w:eastAsia="zh-CN"/>
        </w:rPr>
        <w:t>15</w:t>
      </w:r>
      <w:r>
        <w:rPr>
          <w:rFonts w:hint="eastAsia" w:ascii="宋体" w:hAnsi="宋体" w:eastAsia="宋体" w:cs="宋体"/>
          <w:color w:val="auto"/>
          <w:sz w:val="21"/>
          <w:szCs w:val="21"/>
          <w:highlight w:val="none"/>
        </w:rPr>
        <w:t>分。</w:t>
      </w:r>
      <w:r>
        <w:rPr>
          <w:rFonts w:hint="eastAsia" w:ascii="宋体" w:hAnsi="宋体" w:eastAsia="宋体" w:cs="宋体"/>
          <w:color w:val="auto"/>
          <w:sz w:val="21"/>
          <w:szCs w:val="21"/>
          <w:highlight w:val="none"/>
          <w:lang w:val="en-US" w:eastAsia="zh-CN"/>
        </w:rPr>
        <w:t>需在响应文件</w:t>
      </w:r>
      <w:r>
        <w:rPr>
          <w:rFonts w:hint="eastAsia" w:ascii="宋体" w:hAnsi="宋体" w:eastAsia="宋体" w:cs="宋体"/>
          <w:color w:val="auto"/>
          <w:sz w:val="21"/>
          <w:szCs w:val="21"/>
          <w:highlight w:val="none"/>
        </w:rPr>
        <w:t>中提供</w:t>
      </w:r>
      <w:r>
        <w:rPr>
          <w:rFonts w:hint="eastAsia" w:ascii="宋体" w:hAnsi="宋体" w:eastAsia="宋体" w:cs="宋体"/>
          <w:color w:val="auto"/>
          <w:sz w:val="21"/>
          <w:szCs w:val="21"/>
          <w:highlight w:val="none"/>
          <w:lang w:val="en-US" w:eastAsia="zh-CN"/>
        </w:rPr>
        <w:t>业绩合同</w:t>
      </w:r>
      <w:r>
        <w:rPr>
          <w:rFonts w:hint="eastAsia" w:ascii="宋体" w:hAnsi="宋体" w:eastAsia="宋体" w:cs="宋体"/>
          <w:color w:val="auto"/>
          <w:sz w:val="21"/>
          <w:szCs w:val="21"/>
          <w:highlight w:val="none"/>
        </w:rPr>
        <w:t>复印件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包括但不限于</w:t>
      </w:r>
      <w:r>
        <w:rPr>
          <w:rFonts w:hint="eastAsia" w:ascii="宋体" w:hAnsi="宋体" w:eastAsia="宋体" w:cs="宋体"/>
          <w:color w:val="auto"/>
          <w:sz w:val="21"/>
          <w:szCs w:val="21"/>
          <w:highlight w:val="none"/>
        </w:rPr>
        <w:t>合同首页、合同内容页、签字盖章页等）</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合同未注明签订日期或签订日期早于2023年1月1日的不得分</w:t>
      </w:r>
      <w:r>
        <w:rPr>
          <w:rFonts w:hint="eastAsia" w:ascii="宋体" w:hAnsi="宋体" w:eastAsia="宋体" w:cs="宋体"/>
          <w:color w:val="auto"/>
          <w:sz w:val="21"/>
          <w:szCs w:val="21"/>
          <w:highlight w:val="none"/>
        </w:rPr>
        <w:t>。</w:t>
      </w:r>
    </w:p>
    <w:p w14:paraId="543EDF50">
      <w:pPr>
        <w:pStyle w:val="36"/>
        <w:keepNext w:val="0"/>
        <w:keepLines w:val="0"/>
        <w:pageBreakBefore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注：针对评分标准中评分的每一条，供应商在响应文件中均应提供相关资料并做出相应说明供评审委员会评判，不提供相关资料的视为不具备该项得分的条件。</w:t>
      </w:r>
    </w:p>
    <w:p w14:paraId="3ACA490B">
      <w:pPr>
        <w:spacing w:before="468" w:line="400" w:lineRule="exact"/>
        <w:jc w:val="center"/>
        <w:rPr>
          <w:rStyle w:val="46"/>
          <w:rFonts w:ascii="宋体" w:hAnsi="宋体" w:cs="宋体"/>
          <w:color w:val="auto"/>
          <w:sz w:val="43"/>
          <w:szCs w:val="43"/>
          <w:highlight w:val="none"/>
        </w:rPr>
      </w:pPr>
      <w:r>
        <w:rPr>
          <w:rFonts w:hint="eastAsia" w:ascii="宋体" w:hAnsi="宋体"/>
          <w:b/>
          <w:color w:val="auto"/>
          <w:sz w:val="36"/>
          <w:szCs w:val="36"/>
          <w:highlight w:val="none"/>
        </w:rPr>
        <w:br w:type="page" w:clear="all"/>
      </w:r>
      <w:r>
        <w:rPr>
          <w:rStyle w:val="46"/>
          <w:rFonts w:hint="eastAsia" w:ascii="宋体" w:hAnsi="宋体" w:cs="宋体"/>
          <w:color w:val="auto"/>
          <w:sz w:val="43"/>
          <w:szCs w:val="43"/>
          <w:highlight w:val="none"/>
        </w:rPr>
        <w:t>第四章 合同主要条款及格式</w:t>
      </w:r>
    </w:p>
    <w:p w14:paraId="65D338D2">
      <w:pPr>
        <w:widowControl/>
        <w:jc w:val="left"/>
        <w:rPr>
          <w:rFonts w:ascii="宋体" w:hAnsi="宋体" w:cs="宋体"/>
          <w:color w:val="auto"/>
          <w:sz w:val="24"/>
          <w:highlight w:val="none"/>
        </w:rPr>
      </w:pPr>
      <w:bookmarkStart w:id="0" w:name="_Hlk161668667"/>
    </w:p>
    <w:p w14:paraId="11C75E9C">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甲方： </w:t>
      </w:r>
    </w:p>
    <w:p w14:paraId="1D38E47B">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联系人： </w:t>
      </w:r>
    </w:p>
    <w:p w14:paraId="34808761">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联系电话： </w:t>
      </w:r>
    </w:p>
    <w:p w14:paraId="69376A06">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联系地址：  </w:t>
      </w:r>
    </w:p>
    <w:p w14:paraId="105BE6B9">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p>
    <w:p w14:paraId="17525B34">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乙方：</w:t>
      </w:r>
      <w:r>
        <w:rPr>
          <w:rFonts w:hint="eastAsia" w:ascii="宋体" w:hAnsi="宋体" w:eastAsia="宋体" w:cs="宋体"/>
          <w:b/>
          <w:color w:val="auto"/>
          <w:sz w:val="21"/>
          <w:szCs w:val="21"/>
          <w:highlight w:val="none"/>
          <w:shd w:val="clear" w:color="auto" w:fill="FFFFFF"/>
        </w:rPr>
        <w:t xml:space="preserve"> </w:t>
      </w:r>
      <w:r>
        <w:rPr>
          <w:rFonts w:hint="eastAsia" w:ascii="宋体" w:hAnsi="宋体" w:eastAsia="宋体" w:cs="宋体"/>
          <w:b/>
          <w:color w:val="auto"/>
          <w:sz w:val="21"/>
          <w:szCs w:val="21"/>
          <w:highlight w:val="none"/>
        </w:rPr>
        <w:t xml:space="preserve"> </w:t>
      </w:r>
    </w:p>
    <w:p w14:paraId="52F27FF5">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联系人： </w:t>
      </w:r>
    </w:p>
    <w:p w14:paraId="05D9E65B">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联系电话： </w:t>
      </w:r>
    </w:p>
    <w:p w14:paraId="0948BDF0">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联系地址：  </w:t>
      </w:r>
    </w:p>
    <w:p w14:paraId="1A41B591">
      <w:pPr>
        <w:keepNext w:val="0"/>
        <w:keepLines w:val="0"/>
        <w:pageBreakBefore w:val="0"/>
        <w:tabs>
          <w:tab w:val="left" w:pos="709"/>
        </w:tabs>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color w:val="auto"/>
          <w:sz w:val="21"/>
          <w:szCs w:val="21"/>
          <w:highlight w:val="none"/>
        </w:rPr>
      </w:pPr>
    </w:p>
    <w:p w14:paraId="0085E3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施工及有关事项协商一致，共同达成如下协议：</w:t>
      </w:r>
    </w:p>
    <w:p w14:paraId="4477DF56">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第1条 工程概况</w:t>
      </w:r>
    </w:p>
    <w:p w14:paraId="7D307CF4">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1.1工程名称：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434CB13D">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1.2工程地点：</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25A6731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1.3工期：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日历天                    ；</w:t>
      </w:r>
    </w:p>
    <w:p w14:paraId="1315ED12">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计划开竣工时间：</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年   月  日至</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年  月  日。</w:t>
      </w:r>
    </w:p>
    <w:p w14:paraId="4E969C0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1.4工程质量：</w:t>
      </w:r>
      <w:r>
        <w:rPr>
          <w:rFonts w:hint="eastAsia" w:ascii="宋体" w:hAnsi="宋体" w:eastAsia="宋体" w:cs="宋体"/>
          <w:color w:val="auto"/>
          <w:sz w:val="21"/>
          <w:szCs w:val="21"/>
          <w:highlight w:val="none"/>
          <w:u w:val="single"/>
        </w:rPr>
        <w:t xml:space="preserve"> 合格                       </w:t>
      </w:r>
      <w:r>
        <w:rPr>
          <w:rFonts w:hint="eastAsia" w:ascii="宋体" w:hAnsi="宋体" w:eastAsia="宋体" w:cs="宋体"/>
          <w:color w:val="auto"/>
          <w:sz w:val="21"/>
          <w:szCs w:val="21"/>
          <w:highlight w:val="none"/>
          <w:u w:val="none"/>
        </w:rPr>
        <w:t>；</w:t>
      </w:r>
    </w:p>
    <w:p w14:paraId="3F4074F3">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1.5承包方式：</w:t>
      </w:r>
      <w:r>
        <w:rPr>
          <w:rFonts w:hint="eastAsia" w:ascii="宋体" w:hAnsi="宋体" w:eastAsia="宋体" w:cs="宋体"/>
          <w:color w:val="auto"/>
          <w:sz w:val="21"/>
          <w:szCs w:val="21"/>
          <w:highlight w:val="none"/>
          <w:u w:val="single"/>
        </w:rPr>
        <w:t xml:space="preserve">包工包料                    </w:t>
      </w:r>
      <w:r>
        <w:rPr>
          <w:rFonts w:hint="eastAsia" w:ascii="宋体" w:hAnsi="宋体" w:eastAsia="宋体" w:cs="宋体"/>
          <w:color w:val="auto"/>
          <w:sz w:val="21"/>
          <w:szCs w:val="21"/>
          <w:highlight w:val="none"/>
          <w:u w:val="none"/>
        </w:rPr>
        <w:t>；</w:t>
      </w:r>
    </w:p>
    <w:p w14:paraId="33138321">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 工程量：</w:t>
      </w:r>
      <w:r>
        <w:rPr>
          <w:rFonts w:hint="eastAsia" w:ascii="宋体" w:hAnsi="宋体" w:eastAsia="宋体" w:cs="宋体"/>
          <w:color w:val="auto"/>
          <w:sz w:val="21"/>
          <w:szCs w:val="21"/>
          <w:highlight w:val="none"/>
          <w:u w:val="single"/>
        </w:rPr>
        <w:t xml:space="preserve">见工程量清单                 </w:t>
      </w:r>
      <w:r>
        <w:rPr>
          <w:rFonts w:hint="eastAsia" w:ascii="宋体" w:hAnsi="宋体" w:eastAsia="宋体" w:cs="宋体"/>
          <w:color w:val="auto"/>
          <w:sz w:val="21"/>
          <w:szCs w:val="21"/>
          <w:highlight w:val="none"/>
        </w:rPr>
        <w:t xml:space="preserve">； </w:t>
      </w:r>
    </w:p>
    <w:p w14:paraId="3AE4BC8D">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1.7合同价款（人民币大写）：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455E42FD">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（人民币小写）：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rPr>
        <w:t>；</w:t>
      </w:r>
    </w:p>
    <w:p w14:paraId="59939489">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合同价款包含完成该项目所需的</w:t>
      </w:r>
      <w:r>
        <w:rPr>
          <w:rFonts w:hint="eastAsia" w:ascii="宋体" w:hAnsi="宋体" w:eastAsia="宋体" w:cs="宋体"/>
          <w:color w:val="auto"/>
          <w:sz w:val="21"/>
          <w:szCs w:val="21"/>
          <w:highlight w:val="none"/>
          <w:lang w:val="zh-CN"/>
        </w:rPr>
        <w:t>全部人工费、材料费、机械使用费、管理费、利润、工程风险、规费、税金，以及所需</w:t>
      </w:r>
      <w:r>
        <w:rPr>
          <w:rFonts w:hint="eastAsia" w:ascii="宋体" w:hAnsi="宋体" w:eastAsia="宋体" w:cs="宋体"/>
          <w:color w:val="auto"/>
          <w:sz w:val="21"/>
          <w:szCs w:val="21"/>
          <w:highlight w:val="none"/>
        </w:rPr>
        <w:t>的深化设计、施工准备、施工过程、保修期等所需的供货、运输、人工、运杂保险、装卸、备品、备件、损耗、安装、调试、人员培训、售后服务、专利技术等一切费用。在合同实施期间，不增加任何费用。</w:t>
      </w:r>
    </w:p>
    <w:p w14:paraId="7A95B28D">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在履行合同过程中，由于设计变更或其他原因确需调整合同金额的，经财政局批准同意后，根据追加的采购计划签订补充合同，但全部补充合同的采购金额不得超过原合同金额的10%，超过部分财政部门不予安排资金。</w:t>
      </w:r>
    </w:p>
    <w:p w14:paraId="486FEF81">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（2）原合同金额10%以内的追加费用，限于原合同内工程清单数量调整增加的工程费用，原合同外工程内容不得计入。</w:t>
      </w:r>
    </w:p>
    <w:p w14:paraId="3818A95B">
      <w:pPr>
        <w:keepNext w:val="0"/>
        <w:keepLines w:val="0"/>
        <w:pageBreakBefore w:val="0"/>
        <w:kinsoku/>
        <w:wordWrap/>
        <w:overflowPunct/>
        <w:topLinePunct w:val="0"/>
        <w:autoSpaceDE/>
        <w:autoSpaceDN/>
        <w:bidi w:val="0"/>
        <w:adjustRightInd/>
        <w:snapToGrid/>
        <w:spacing w:line="360" w:lineRule="auto"/>
        <w:ind w:right="-154"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1.8合同履行方式：包括工程材料采购与工程施工等，合同双方应严格依照合同约定的方式履行合同。</w:t>
      </w:r>
    </w:p>
    <w:p w14:paraId="2FEB1888">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第2条 甲方</w:t>
      </w:r>
      <w:r>
        <w:rPr>
          <w:rFonts w:hint="eastAsia" w:ascii="宋体" w:hAnsi="宋体" w:eastAsia="宋体" w:cs="宋体"/>
          <w:b/>
          <w:color w:val="auto"/>
          <w:sz w:val="21"/>
          <w:szCs w:val="21"/>
          <w:highlight w:val="none"/>
          <w:lang w:val="zh-CN"/>
        </w:rPr>
        <w:t>权利与义务</w:t>
      </w:r>
    </w:p>
    <w:p w14:paraId="4B1807F2">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2.1开工前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天，向乙方提供经确认的施工图纸或作法说明</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份，并向乙方进行现场交底；向乙方提供施工所需的水、电（费用乙方自理），并说明使用注意事项；办理施工所涉及的各种申请、批件等手续。</w:t>
      </w:r>
    </w:p>
    <w:p w14:paraId="334AE3AF">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为甲方驻工地代表，负责合同履行。对工程质量、进度进行监督检查，办理验收、变更、登记手续和其他事宜。</w:t>
      </w:r>
    </w:p>
    <w:p w14:paraId="1027DB8D">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2.3如确实需要拆改原建筑物结构或设备管线，负责到有关部门办理相应审批手续。</w:t>
      </w:r>
    </w:p>
    <w:p w14:paraId="1654C77C">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第3条 乙方</w:t>
      </w:r>
      <w:r>
        <w:rPr>
          <w:rFonts w:hint="eastAsia" w:ascii="宋体" w:hAnsi="宋体" w:eastAsia="宋体" w:cs="宋体"/>
          <w:b/>
          <w:color w:val="auto"/>
          <w:sz w:val="21"/>
          <w:szCs w:val="21"/>
          <w:highlight w:val="none"/>
          <w:lang w:val="zh-CN"/>
        </w:rPr>
        <w:t>权利与义务</w:t>
      </w:r>
    </w:p>
    <w:p w14:paraId="560532E6">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3.1参加甲方组织的施工图纸或作法说明的现场交底，拟定施工方案和进度计划，交甲方审定。</w:t>
      </w:r>
    </w:p>
    <w:p w14:paraId="47C4EBF7">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3.2指派</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为乙方驻工地代表（项目负责人），负责合同履行。按要求组织施工，保质、保量、按期完成施工任务，解决由乙方负责的各项事宜，施工人员需服从甲方安全管理。</w:t>
      </w:r>
    </w:p>
    <w:p w14:paraId="4883FFD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3.3负责腾空或部分腾空房层，清除影响施工的障碍物，对只能部分腾空房屋中所滞留的家具、陈设等采取保护措施。</w:t>
      </w:r>
    </w:p>
    <w:p w14:paraId="60FB5B21">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3.4严格执行现行的施工规范、操作规程、安全规定、环境保护规定。严格按照图纸或</w:t>
      </w:r>
      <w:r>
        <w:rPr>
          <w:rFonts w:hint="eastAsia" w:ascii="宋体" w:hAnsi="宋体" w:eastAsia="宋体" w:cs="宋体"/>
          <w:color w:val="auto"/>
          <w:sz w:val="21"/>
          <w:szCs w:val="21"/>
          <w:highlight w:val="none"/>
          <w:lang w:eastAsia="zh-CN"/>
        </w:rPr>
        <w:t>做法</w:t>
      </w:r>
      <w:r>
        <w:rPr>
          <w:rFonts w:hint="eastAsia" w:ascii="宋体" w:hAnsi="宋体" w:eastAsia="宋体" w:cs="宋体"/>
          <w:color w:val="auto"/>
          <w:sz w:val="21"/>
          <w:szCs w:val="21"/>
          <w:highlight w:val="none"/>
        </w:rPr>
        <w:t>说明进行施工，做好各项质量检查记录。参加竣工验收，编制工程结算。</w:t>
      </w:r>
    </w:p>
    <w:p w14:paraId="0BF077F1">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3.5遵守国家或地方政府及有关部门对施工现场管理的规定，妥善保护好施工现场周围建筑物、设备管线、古树名木不受损坏。做好施工现场保卫和垃圾消纳等工作，</w:t>
      </w:r>
      <w:r>
        <w:rPr>
          <w:rFonts w:hint="eastAsia" w:ascii="宋体" w:hAnsi="宋体" w:eastAsia="宋体" w:cs="宋体"/>
          <w:color w:val="auto"/>
          <w:sz w:val="21"/>
          <w:szCs w:val="21"/>
          <w:highlight w:val="none"/>
          <w:lang w:eastAsia="zh-CN"/>
        </w:rPr>
        <w:t>治理</w:t>
      </w:r>
      <w:r>
        <w:rPr>
          <w:rFonts w:hint="eastAsia" w:ascii="宋体" w:hAnsi="宋体" w:eastAsia="宋体" w:cs="宋体"/>
          <w:color w:val="auto"/>
          <w:sz w:val="21"/>
          <w:szCs w:val="21"/>
          <w:highlight w:val="none"/>
        </w:rPr>
        <w:t>好由于施工带来的扰民问题及与周围单位（住户）的关系。</w:t>
      </w:r>
    </w:p>
    <w:p w14:paraId="7DA06C4E">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3.6施工中未经甲方同意或有关部门批准，不得随意拆改原建筑物结构及各种设备管线。</w:t>
      </w:r>
    </w:p>
    <w:p w14:paraId="08786D6C">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3.7工程竣工未移交甲方之前，负责对现场的一切设施和工程成品进行保护。</w:t>
      </w:r>
    </w:p>
    <w:p w14:paraId="62AFC73A">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3.8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p>
    <w:p w14:paraId="750EA90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3.9乙方应当办理有关施工现场交通、环卫、施工噪声等管理手续，若发生费用由乙方负责。</w:t>
      </w:r>
    </w:p>
    <w:p w14:paraId="5E2204A9">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3.10协调有关部门做好现场保卫、消防、垃圾</w:t>
      </w:r>
      <w:r>
        <w:rPr>
          <w:rFonts w:hint="eastAsia" w:ascii="宋体" w:hAnsi="宋体" w:eastAsia="宋体" w:cs="宋体"/>
          <w:color w:val="auto"/>
          <w:sz w:val="21"/>
          <w:szCs w:val="21"/>
          <w:highlight w:val="none"/>
          <w:lang w:eastAsia="zh-CN"/>
        </w:rPr>
        <w:t>治理</w:t>
      </w:r>
      <w:r>
        <w:rPr>
          <w:rFonts w:hint="eastAsia" w:ascii="宋体" w:hAnsi="宋体" w:eastAsia="宋体" w:cs="宋体"/>
          <w:color w:val="auto"/>
          <w:sz w:val="21"/>
          <w:szCs w:val="21"/>
          <w:highlight w:val="none"/>
        </w:rPr>
        <w:t>等工作，并承担相应费用。因突发事件及重大活动，乙方应无条件服从安排并予以配合，不得无故拖延工程实施进度。</w:t>
      </w:r>
    </w:p>
    <w:p w14:paraId="7A2FF0E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3.11乙方对本项目不得以任何形式对本项目进行分包或转包（乙方不得分包或转包给大型、中型企业，中型企业不得分包或转包给大型企业。</w:t>
      </w:r>
    </w:p>
    <w:p w14:paraId="3B27AD9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3.12包装和运输：本项目所涉及的包装和运输均由乙方负责。</w:t>
      </w:r>
    </w:p>
    <w:p w14:paraId="2D2A4393">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第4条 关于工期的约定</w:t>
      </w:r>
    </w:p>
    <w:p w14:paraId="7990CED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4.1甲方要求比合同约定的工期提前竣工时，应征得乙方同意，并支付乙方因赶工采取的措施费用。</w:t>
      </w:r>
    </w:p>
    <w:p w14:paraId="18E3633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4.2因甲方未按约定完成工作，影响工期，工期顺延。</w:t>
      </w:r>
    </w:p>
    <w:p w14:paraId="1E245EF2">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4.3因乙方责任，不能按期开工或中途无故停工，影响工期，工期不顺延。</w:t>
      </w:r>
    </w:p>
    <w:p w14:paraId="04CC9D8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4.4因设计变更或非乙方原因造成的停电、停水、停气及不可抗因素影响，导致停工8小时以上（一天内累计计算），工期相应顺延。</w:t>
      </w:r>
    </w:p>
    <w:p w14:paraId="11FB82AF">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第5条 关于工程质量及验收的约定</w:t>
      </w:r>
    </w:p>
    <w:p w14:paraId="61528D4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5.1本工程以施工图纸、</w:t>
      </w:r>
      <w:r>
        <w:rPr>
          <w:rFonts w:hint="eastAsia" w:ascii="宋体" w:hAnsi="宋体" w:eastAsia="宋体" w:cs="宋体"/>
          <w:color w:val="auto"/>
          <w:sz w:val="21"/>
          <w:szCs w:val="21"/>
          <w:highlight w:val="none"/>
          <w:lang w:eastAsia="zh-CN"/>
        </w:rPr>
        <w:t>做法</w:t>
      </w:r>
      <w:r>
        <w:rPr>
          <w:rFonts w:hint="eastAsia" w:ascii="宋体" w:hAnsi="宋体" w:eastAsia="宋体" w:cs="宋体"/>
          <w:color w:val="auto"/>
          <w:sz w:val="21"/>
          <w:szCs w:val="21"/>
          <w:highlight w:val="none"/>
        </w:rPr>
        <w:t>说明、设计变更、等现行的国家及行业施工验收规范为质量评定验收标准。</w:t>
      </w:r>
    </w:p>
    <w:p w14:paraId="23B8DBEE">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5.2本项目履约验收方案如下：验收分为检验批验收、分项工程验收、分部工程验收、单位工程竣工验收四个阶段。</w:t>
      </w:r>
    </w:p>
    <w:p w14:paraId="1BC7606F">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5.2.1检验批验收阶段：包括隐蔽，由专业监理工程师组织乙方专业质量员、专业工长等进行验收。</w:t>
      </w:r>
    </w:p>
    <w:p w14:paraId="1445F9D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检验批验收内容及验收合格应符合下列规定：</w:t>
      </w:r>
    </w:p>
    <w:p w14:paraId="324B26C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（1）主控项目的质量经抽样检验均应合格；</w:t>
      </w:r>
    </w:p>
    <w:p w14:paraId="1A95B3E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（2）一般项目质量经抽样检验合格；</w:t>
      </w:r>
    </w:p>
    <w:p w14:paraId="3015B3EB">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（3）具有完整的施工操作依据、质量验收记录。</w:t>
      </w:r>
    </w:p>
    <w:p w14:paraId="49518FE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5.2.2分项工程验收阶段：由专业监理工程师组织乙方项目专业技术负责人等进行验收。</w:t>
      </w:r>
    </w:p>
    <w:p w14:paraId="1F509B47">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分项工程验收内容与验收合格应符合下列规定：</w:t>
      </w:r>
    </w:p>
    <w:p w14:paraId="4CE638E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（1）所含检验批的质量均应验收合格；</w:t>
      </w:r>
    </w:p>
    <w:p w14:paraId="38ED9893">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（2）所含检验批的质量验收记录应完整。</w:t>
      </w:r>
    </w:p>
    <w:p w14:paraId="048F17B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5.2.3分部工程验收阶段：由总监理工程师组织乙方项目负责人和项目专业技术负责人等进行验收。</w:t>
      </w:r>
    </w:p>
    <w:p w14:paraId="33C9610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分部工程验收内容及验收合格应符合下列规定：</w:t>
      </w:r>
    </w:p>
    <w:p w14:paraId="0732BE5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（1）所含分项工程的质量均应验收合格；</w:t>
      </w:r>
    </w:p>
    <w:p w14:paraId="37BEF2C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（2）有关安全、节能、环境保护和主要使用功能的抽样检验结果应符合相应规定；</w:t>
      </w:r>
    </w:p>
    <w:p w14:paraId="0A1DEB7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（3）质量控制资料应完整。</w:t>
      </w:r>
    </w:p>
    <w:p w14:paraId="40CFF16C">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（4）观感质量验收应符合要求</w:t>
      </w:r>
    </w:p>
    <w:p w14:paraId="14223553">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检验批验收、分项工程验收、分部工程验收由甲方（或监理）收到乙方申请后2日组织验收。</w:t>
      </w:r>
    </w:p>
    <w:p w14:paraId="18CA9F8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5.2.4单位工程竣工验收阶段： </w:t>
      </w:r>
    </w:p>
    <w:p w14:paraId="065A677B">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应组织有关人员进行自检，总监理工程师收到自检报告2日内，由总监理工程师组织专业监理工程师对工程质量进行竣工预验收（如有监理）；存在施工质量问题，由乙方整改。由乙方向甲方提供工程竣工验收报告，申请工程竣工验收。甲方收到竣工验收报告后28日</w:t>
      </w:r>
      <w:r>
        <w:rPr>
          <w:rFonts w:hint="eastAsia" w:ascii="宋体" w:hAnsi="宋体" w:cs="宋体"/>
          <w:color w:val="auto"/>
          <w:sz w:val="21"/>
          <w:szCs w:val="21"/>
          <w:highlight w:val="none"/>
          <w:lang w:val="en-US" w:eastAsia="zh-CN"/>
        </w:rPr>
        <w:t>内</w:t>
      </w:r>
      <w:r>
        <w:rPr>
          <w:rFonts w:hint="eastAsia" w:ascii="宋体" w:hAnsi="宋体" w:eastAsia="宋体" w:cs="宋体"/>
          <w:color w:val="auto"/>
          <w:sz w:val="21"/>
          <w:szCs w:val="21"/>
          <w:highlight w:val="none"/>
        </w:rPr>
        <w:t>组织验收监理、施工、设计等单位负责人进行单位工程验收。</w:t>
      </w:r>
    </w:p>
    <w:p w14:paraId="20013B1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单位工程验收内容及验收合格应符合下列规定：</w:t>
      </w:r>
    </w:p>
    <w:p w14:paraId="4D5333CC">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（1）所含分部工程的质量均应验收合格。</w:t>
      </w:r>
    </w:p>
    <w:p w14:paraId="145F910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2</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质量控制资料应完整。</w:t>
      </w:r>
    </w:p>
    <w:p w14:paraId="38C5ED79">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单位工程所含分部工程有关安全、节能、环境保护和主要使用功能的检验资料应完整。</w:t>
      </w:r>
    </w:p>
    <w:p w14:paraId="6A6688B7">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主要使用功能的抽查结果应符合相关专业质量验收规范的规定。</w:t>
      </w:r>
    </w:p>
    <w:p w14:paraId="00CFB4B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观感质量验收应符合要求。</w:t>
      </w:r>
    </w:p>
    <w:p w14:paraId="52D3D37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5.3由于甲方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的材料、设备质量不合格而影响工程质量，其返工费用由甲方承担，工期顺延。</w:t>
      </w:r>
    </w:p>
    <w:p w14:paraId="6DE2A5A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5.4由于乙方原因造成质量事故，其返工费用由乙方承担，工期不顺延。</w:t>
      </w:r>
    </w:p>
    <w:p w14:paraId="77D7D1FF">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5.5工程竣工后，乙方应通知甲方验收，甲方自接到验收通知 28日内组织验收，如不能及时验收需及时通知乙方，另定验收日期。但甲方应承认竣工日期，并承担乙方的看管费用和相关费用。</w:t>
      </w:r>
    </w:p>
    <w:p w14:paraId="79C4719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5.6本项目按采购文件要求进行验收，验收结果与采购合同约定的资金支付挂钩。</w:t>
      </w:r>
    </w:p>
    <w:p w14:paraId="2F11B411">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5.7工程质量标准必须符合现行国家有关工程施工质量验收规范和标准规定的要求。</w:t>
      </w:r>
    </w:p>
    <w:p w14:paraId="2BC27B9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5.8验收、交付标准和方法：本项目的验收标准为满足采购需求的要求，在规定验收时,由采购人组建的验收小组按照采购合同的约定对每一项技术、服务、安全标准的履约情况进行确认。验收结束后,出具验收书,列明各分项标准的验收情况及项目总体评价,由验收双方共同签署。验收结果与采购合同约定的资金支付挂钩。</w:t>
      </w:r>
    </w:p>
    <w:p w14:paraId="24B7D837">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第6条 缺陷责任、保修、售后服务</w:t>
      </w:r>
    </w:p>
    <w:p w14:paraId="6D14534E">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6.1 本工程保修期限：本项目整体质量保修期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年、防水部分</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年，质量保修期从竣工验收合格之日起计算，因乙方原因产生的质量缺陷，乙方应承担质量缺陷责任和保修义务。</w:t>
      </w:r>
    </w:p>
    <w:p w14:paraId="0A67534C">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6.2 保修期届满，经甲方验收合格，签发缺陷责任期解除证明后，乙方申请退还质量保证金，质保金不计利息。乙方确认，甲方有权对乙方在质保期内的保修工作进行评估，并有权根据评估结果对保修金进行相应扣减。</w:t>
      </w:r>
    </w:p>
    <w:p w14:paraId="501F651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6.3工程质量缺陷责任期：2年，自本工程竣工验收合格之日起计算。</w:t>
      </w:r>
    </w:p>
    <w:p w14:paraId="3FBA7542">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6.4乙方</w:t>
      </w:r>
      <w:r>
        <w:rPr>
          <w:rFonts w:hint="eastAsia" w:ascii="宋体" w:hAnsi="宋体" w:eastAsia="宋体" w:cs="宋体"/>
          <w:color w:val="auto"/>
          <w:sz w:val="21"/>
          <w:szCs w:val="21"/>
          <w:highlight w:val="none"/>
          <w:lang w:val="zh-CN"/>
        </w:rPr>
        <w:t>接到甲方报修通知后</w:t>
      </w:r>
      <w:r>
        <w:rPr>
          <w:rFonts w:hint="eastAsia" w:ascii="宋体" w:hAnsi="宋体" w:eastAsia="宋体" w:cs="宋体"/>
          <w:color w:val="auto"/>
          <w:sz w:val="21"/>
          <w:szCs w:val="21"/>
          <w:highlight w:val="none"/>
        </w:rPr>
        <w:t>2小时</w:t>
      </w:r>
      <w:r>
        <w:rPr>
          <w:rFonts w:hint="eastAsia" w:ascii="宋体" w:hAnsi="宋体" w:eastAsia="宋体" w:cs="宋体"/>
          <w:color w:val="auto"/>
          <w:sz w:val="21"/>
          <w:szCs w:val="21"/>
          <w:highlight w:val="none"/>
          <w:lang w:val="zh-CN"/>
        </w:rPr>
        <w:t>内响应并到现场，并在甲方要求的维修时间内完成维修。</w:t>
      </w:r>
    </w:p>
    <w:p w14:paraId="286D8142">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第7条 关于合同价款及结算的约定</w:t>
      </w:r>
    </w:p>
    <w:p w14:paraId="13A9BB76">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7.1本合同采用合同形式:固定单价合同。合同内工程结算单价按投标单价执行，新增项目单价按合同约定执行。本工程人工、材料均不调差。</w:t>
      </w:r>
    </w:p>
    <w:p w14:paraId="03AA43BF">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（1）本工程中工程量清单项目的综合单价按控制价的单价下浮之后的综合单价执行，最终价格以审计为准。</w:t>
      </w:r>
    </w:p>
    <w:p w14:paraId="10053CCB">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7.2本合同生效后，按以下约定支付工程款</w:t>
      </w:r>
    </w:p>
    <w:p w14:paraId="2F59D5EB">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7.2.1合同签订后支付乙方合同金额 </w:t>
      </w:r>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0%的预付款，每月只对已计量的合格工程进行支付工程款，支付已完合格工程额的</w:t>
      </w:r>
      <w:r>
        <w:rPr>
          <w:rFonts w:hint="eastAsia" w:ascii="宋体" w:hAnsi="宋体" w:eastAsia="宋体" w:cs="宋体"/>
          <w:b/>
          <w:bCs/>
          <w:color w:val="auto"/>
          <w:sz w:val="21"/>
          <w:szCs w:val="21"/>
          <w:highlight w:val="none"/>
          <w:lang w:val="en-US" w:eastAsia="zh-CN"/>
        </w:rPr>
        <w:t>70</w:t>
      </w:r>
      <w:r>
        <w:rPr>
          <w:rFonts w:hint="eastAsia" w:ascii="宋体" w:hAnsi="宋体" w:eastAsia="宋体" w:cs="宋体"/>
          <w:b/>
          <w:bCs/>
          <w:color w:val="auto"/>
          <w:sz w:val="21"/>
          <w:szCs w:val="21"/>
          <w:highlight w:val="none"/>
        </w:rPr>
        <w:t>%，工程竣工验收合格且送审后付至合同金额的</w:t>
      </w:r>
      <w:r>
        <w:rPr>
          <w:rFonts w:hint="eastAsia" w:ascii="宋体" w:hAnsi="宋体" w:eastAsia="宋体" w:cs="宋体"/>
          <w:b/>
          <w:bCs/>
          <w:color w:val="auto"/>
          <w:sz w:val="21"/>
          <w:szCs w:val="21"/>
          <w:highlight w:val="none"/>
          <w:lang w:val="en-US" w:eastAsia="zh-CN"/>
        </w:rPr>
        <w:t>80</w:t>
      </w:r>
      <w:r>
        <w:rPr>
          <w:rFonts w:hint="eastAsia" w:ascii="宋体" w:hAnsi="宋体" w:eastAsia="宋体" w:cs="宋体"/>
          <w:b/>
          <w:bCs/>
          <w:color w:val="auto"/>
          <w:sz w:val="21"/>
          <w:szCs w:val="21"/>
          <w:highlight w:val="none"/>
        </w:rPr>
        <w:t>％，审计结束后付至审定结算价的</w:t>
      </w:r>
      <w:r>
        <w:rPr>
          <w:rFonts w:hint="eastAsia" w:ascii="宋体" w:hAnsi="宋体" w:eastAsia="宋体" w:cs="宋体"/>
          <w:b/>
          <w:bCs/>
          <w:color w:val="auto"/>
          <w:sz w:val="21"/>
          <w:szCs w:val="21"/>
          <w:highlight w:val="none"/>
          <w:lang w:val="en-US" w:eastAsia="zh-CN"/>
        </w:rPr>
        <w:t>97</w:t>
      </w:r>
      <w:r>
        <w:rPr>
          <w:rFonts w:hint="eastAsia" w:ascii="宋体" w:hAnsi="宋体" w:eastAsia="宋体" w:cs="宋体"/>
          <w:b/>
          <w:bCs/>
          <w:color w:val="auto"/>
          <w:sz w:val="21"/>
          <w:szCs w:val="21"/>
          <w:highlight w:val="none"/>
        </w:rPr>
        <w:t>%，留审计审定金额的</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%作为保修期质量保修金，质量保修金在质量保修期满后支付。</w:t>
      </w:r>
    </w:p>
    <w:p w14:paraId="3027B53C">
      <w:pPr>
        <w:keepNext w:val="0"/>
        <w:keepLines w:val="0"/>
        <w:pageBreakBefore w:val="0"/>
        <w:widowControl/>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rPr>
        <w:t>付款前，承包人应提供合法有效的增值税发票、付款申请以及按照本合同约定和发包人要求提供的其他文件，否则，发包人有权拒付，并不承担逾期支付违约金</w:t>
      </w:r>
      <w:r>
        <w:rPr>
          <w:rFonts w:hint="eastAsia" w:ascii="宋体" w:hAnsi="宋体" w:eastAsia="宋体" w:cs="宋体"/>
          <w:b/>
          <w:bCs/>
          <w:color w:val="auto"/>
          <w:sz w:val="21"/>
          <w:szCs w:val="21"/>
          <w:highlight w:val="none"/>
          <w:lang w:eastAsia="zh-CN"/>
        </w:rPr>
        <w:t>。</w:t>
      </w:r>
    </w:p>
    <w:p w14:paraId="17A6BF6D">
      <w:pPr>
        <w:pStyle w:val="53"/>
        <w:keepNext w:val="0"/>
        <w:keepLines w:val="0"/>
        <w:pageBreakBefore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工程款付款周期：自满足付款条件后不超过</w:t>
      </w:r>
      <w:r>
        <w:rPr>
          <w:rFonts w:hint="eastAsia" w:ascii="宋体" w:hAnsi="宋体" w:eastAsia="宋体" w:cs="宋体"/>
          <w:b/>
          <w:bCs/>
          <w:color w:val="auto"/>
          <w:sz w:val="21"/>
          <w:szCs w:val="21"/>
          <w:highlight w:val="none"/>
          <w:u w:val="single"/>
          <w:lang w:val="en-US" w:eastAsia="zh-CN"/>
        </w:rPr>
        <w:t>60</w:t>
      </w:r>
      <w:r>
        <w:rPr>
          <w:rFonts w:hint="eastAsia" w:ascii="宋体" w:hAnsi="宋体" w:eastAsia="宋体" w:cs="宋体"/>
          <w:b/>
          <w:bCs/>
          <w:color w:val="auto"/>
          <w:sz w:val="21"/>
          <w:szCs w:val="21"/>
          <w:highlight w:val="none"/>
        </w:rPr>
        <w:t>日。</w:t>
      </w:r>
    </w:p>
    <w:p w14:paraId="1917B5B1">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7.2.2工程质量缺陷责任期：2年，自本工程竣工验收合格之日起计算。</w:t>
      </w:r>
    </w:p>
    <w:p w14:paraId="49A51F91">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7.3审计</w:t>
      </w:r>
    </w:p>
    <w:p w14:paraId="4F3678D9">
      <w:pPr>
        <w:keepNext w:val="0"/>
        <w:keepLines w:val="0"/>
        <w:pageBreakBefore w:val="0"/>
        <w:widowControl/>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本工程为财政投资项目，以审计机构审定结果为建设项目价款结算依据；如工程结算、决算核减金额超过总价的</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％，则其结算、决算审计费用的浮动部分中，超过</w:t>
      </w:r>
      <w:r>
        <w:rPr>
          <w:rFonts w:hint="eastAsia" w:ascii="宋体" w:hAnsi="宋体" w:eastAsia="宋体" w:cs="宋体"/>
          <w:b/>
          <w:color w:val="auto"/>
          <w:sz w:val="21"/>
          <w:szCs w:val="21"/>
          <w:highlight w:val="none"/>
          <w:u w:val="single"/>
          <w:lang w:val="en-US" w:eastAsia="zh-CN"/>
        </w:rPr>
        <w:t>7</w:t>
      </w:r>
      <w:r>
        <w:rPr>
          <w:rFonts w:hint="eastAsia" w:ascii="宋体" w:hAnsi="宋体" w:eastAsia="宋体" w:cs="宋体"/>
          <w:color w:val="auto"/>
          <w:sz w:val="21"/>
          <w:szCs w:val="21"/>
          <w:highlight w:val="none"/>
        </w:rPr>
        <w:t>％部分按核减造价</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％计算确定的审计费用原则上由乙方承担（由甲方在工程款中代扣）。</w:t>
      </w:r>
    </w:p>
    <w:p w14:paraId="474AB082">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7.4支付方式：转账</w:t>
      </w:r>
    </w:p>
    <w:p w14:paraId="1FBA3276">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7.5收款方信息：</w:t>
      </w:r>
    </w:p>
    <w:p w14:paraId="6EDDB73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收款方全称：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23F2153C">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收款方的银行账户名称：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开户行：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银行账号：</w:t>
      </w:r>
      <w:r>
        <w:rPr>
          <w:rFonts w:hint="eastAsia" w:ascii="宋体" w:hAnsi="宋体" w:eastAsia="宋体" w:cs="宋体"/>
          <w:color w:val="auto"/>
          <w:sz w:val="21"/>
          <w:szCs w:val="21"/>
          <w:highlight w:val="none"/>
          <w:u w:val="single"/>
        </w:rPr>
        <w:t xml:space="preserve">          .</w:t>
      </w:r>
    </w:p>
    <w:p w14:paraId="36DC2372">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第8条  有关安全生产和防火的约定</w:t>
      </w:r>
    </w:p>
    <w:p w14:paraId="05D7D21F">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8.1乙方施工过程中须按照国家及行业现行的安全生产施工规范实施，工程施工期间涉及安全由乙方全部负责，涉及安全所产生的相关费用一律由乙方承担。</w:t>
      </w:r>
    </w:p>
    <w:p w14:paraId="099585D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8.2 乙方在施工期间应严格遵守《中华人民共和国建筑法》、《中华人民共和国安全生产法》、《中华人民共和国消防条例》、《建设工程质量管理条例》和</w:t>
      </w:r>
      <w:r>
        <w:rPr>
          <w:rFonts w:hint="eastAsia" w:ascii="宋体" w:hAnsi="宋体" w:eastAsia="宋体" w:cs="宋体"/>
          <w:color w:val="auto"/>
          <w:sz w:val="21"/>
          <w:szCs w:val="21"/>
          <w:highlight w:val="none"/>
          <w:lang w:eastAsia="zh-CN"/>
        </w:rPr>
        <w:t>其他相关的</w:t>
      </w:r>
      <w:r>
        <w:rPr>
          <w:rFonts w:hint="eastAsia" w:ascii="宋体" w:hAnsi="宋体" w:eastAsia="宋体" w:cs="宋体"/>
          <w:color w:val="auto"/>
          <w:sz w:val="21"/>
          <w:szCs w:val="21"/>
          <w:highlight w:val="none"/>
        </w:rPr>
        <w:t>法规、规范。</w:t>
      </w:r>
    </w:p>
    <w:p w14:paraId="48F3887B">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8.3 由于甲方确认的图纸或作法说明，违反有关法规、消防条例和防火设计规范，导致发生安全或火灾事故，甲方或图纸设计单位应承担由此产生的一切经济损失。</w:t>
      </w:r>
    </w:p>
    <w:p w14:paraId="3F06DF0F">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8.4 由于乙方在施工生产过程中违反有关法规、消防条例，导致发生安全或火灾事故，乙方应承担由此引发的一切经济损失。</w:t>
      </w:r>
    </w:p>
    <w:p w14:paraId="5D386CCA">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第9条  奖励和违约责任</w:t>
      </w:r>
    </w:p>
    <w:p w14:paraId="27E85E49">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9.1由于乙方原因，接到报修后不能在2小时内现场响应，扣除500元/次作为违约金；不能在甲方规定期限内完成施工或维修，每逾期一天，扣除合同成交额的5%作为违约金（累计计算，不封顶），乙方同时承担甲方因逾期竣工而遭受的损失费用。</w:t>
      </w:r>
    </w:p>
    <w:p w14:paraId="2F1494F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9.2乙方应妥善保护甲方提供的设备及现场堆放物资和工程成品，如造成损失，应照价赔偿。</w:t>
      </w:r>
    </w:p>
    <w:p w14:paraId="62E15EA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9.3未经甲方同意，乙方擅自拆改原建筑物结构或设备管线，由此发生的损失或事故（包括罚款），由乙方负责并承担损失。</w:t>
      </w:r>
    </w:p>
    <w:p w14:paraId="7E6242E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9.4凡因乙方责任，经验收达不到质量合格要求，必须返工到合格并承担因返工引起的一切经济损失。</w:t>
      </w:r>
    </w:p>
    <w:p w14:paraId="14EE6E5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9.5未办理验收手续，甲方提前使用或擅自动用，造成损失由甲方负责。</w:t>
      </w:r>
    </w:p>
    <w:p w14:paraId="3F880D46">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9.6由于乙方原因，不能按期开工或中途无故停工或因工程质量问题甲方验收不合格的，工期不予顺延。同时，每逾期完工一天，乙方应承担合同总价万分之五的违约金。如延误工期达10日以上的，甲方有权解除本合同，并要求乙方承担合同总价20%的违约金</w:t>
      </w:r>
    </w:p>
    <w:p w14:paraId="1423BDB2">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9.7若乙方违反本合同第3.11条约定，将本项目进行分包或转包，甲方有权立即解除合同，乙方应向甲方支付合同总价30%的违约金，并赔偿由此给甲方造成的全部损失，包括但不限于甲方为完成项目另行组织施工所产生的额外费用、工期延误损失等。</w:t>
      </w:r>
    </w:p>
    <w:p w14:paraId="49917ED3">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9.8乙方未按合同约定办理施工现场交通、环卫、施工噪声等管理手续，导致甲方被有关部门处罚或产生相关费用的，由乙方承担全部罚款及费用，并向甲方支付5000元/次的违约金。</w:t>
      </w:r>
    </w:p>
    <w:p w14:paraId="4872CA6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9.9因乙方原因造成施工安全生产事故的，乙方除承担全部责任及费用外，还应向甲方支付合同总价5%的违约金；若事故造成甲方人员伤亡或财产重大损失的，乙方应承担由此产生的全部赔偿责任（包括但不限于医疗费、误工费、赔偿金等），并支付合同总价10%的违约金。</w:t>
      </w:r>
    </w:p>
    <w:p w14:paraId="62B3CC1C">
      <w:pPr>
        <w:pStyle w:val="53"/>
        <w:spacing w:line="360" w:lineRule="auto"/>
        <w:ind w:left="0" w:leftChars="0" w:firstLine="420" w:firstLineChars="200"/>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9.10乙方逾期提供竣工结算申请资料长达三个月的，或因逾期提供导致现场无法勘察的，甲方有权按照已有资料直接结算审核。同时，对乙方主张的任何异议一律拒绝。乙方对此不持任何异议并自行承担由此导致的工程款迟延支付等一切责任和损失。</w:t>
      </w:r>
    </w:p>
    <w:p w14:paraId="26C79776">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9.11 因一方原因，合同无法继续履行时，应通知对方，办理合同终止协议，并由责任方赔偿对方由此造成的经济损失。</w:t>
      </w:r>
    </w:p>
    <w:p w14:paraId="5995D7D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9.12乙方违反本合同约定应向甲方支付的各项违约金、赔偿款等费用，甲方有权直接从应付工程款中扣除。</w:t>
      </w:r>
    </w:p>
    <w:p w14:paraId="5011E84B">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第10条  工程保险</w:t>
      </w:r>
    </w:p>
    <w:p w14:paraId="0ED1D7B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10.1 甲方委托乙方办理建筑工程一切险和第三者责任险已含在响应报价中，乙方应在成交后及时办理。</w:t>
      </w:r>
    </w:p>
    <w:p w14:paraId="265C92B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10.2 施工期间涉及的工程安全责任由乙方全部负责，涉及安全所产生的相关费用全部由乙方承担。</w:t>
      </w:r>
    </w:p>
    <w:p w14:paraId="082CDE36">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第11条   争议或纠纷处理</w:t>
      </w:r>
    </w:p>
    <w:p w14:paraId="64301645">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11.1 本合同在履行期间，双方发生争议时，在不影响工程进度的前提下，双方可采取协商解决或请有关部门进行调解。</w:t>
      </w:r>
    </w:p>
    <w:p w14:paraId="68F49D2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11.2 当事人不愿通过协商、调解解决或者协商调解不成的，</w:t>
      </w:r>
      <w:r>
        <w:rPr>
          <w:rFonts w:hint="eastAsia" w:ascii="宋体" w:hAnsi="宋体" w:eastAsia="宋体" w:cs="宋体"/>
          <w:color w:val="auto"/>
          <w:sz w:val="21"/>
          <w:szCs w:val="21"/>
          <w:highlight w:val="none"/>
          <w:lang w:val="zh-CN"/>
        </w:rPr>
        <w:t>双方同意由一方向工程</w:t>
      </w:r>
      <w:r>
        <w:rPr>
          <w:rFonts w:hint="eastAsia" w:ascii="宋体" w:hAnsi="宋体" w:eastAsia="宋体" w:cs="宋体"/>
          <w:color w:val="auto"/>
          <w:sz w:val="21"/>
          <w:szCs w:val="21"/>
          <w:highlight w:val="none"/>
        </w:rPr>
        <w:t>所在地</w:t>
      </w:r>
      <w:r>
        <w:rPr>
          <w:rFonts w:hint="eastAsia" w:ascii="宋体" w:hAnsi="宋体" w:eastAsia="宋体" w:cs="宋体"/>
          <w:color w:val="auto"/>
          <w:sz w:val="21"/>
          <w:szCs w:val="21"/>
          <w:highlight w:val="none"/>
          <w:lang w:val="zh-CN"/>
        </w:rPr>
        <w:t>人民法院提起诉讼。</w:t>
      </w:r>
    </w:p>
    <w:p w14:paraId="23B6F983">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第12条  其它约定</w:t>
      </w:r>
    </w:p>
    <w:p w14:paraId="3DF372F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如施工图与清单内容不符，以清单内容为准。                                    </w:t>
      </w:r>
    </w:p>
    <w:p w14:paraId="1AD0F98A">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采购需求、项目验收标准和程序为采购合同的组成部分。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29F1B6AE">
      <w:pPr>
        <w:keepNext w:val="0"/>
        <w:keepLines w:val="0"/>
        <w:pageBreakBefore w:val="0"/>
        <w:kinsoku/>
        <w:wordWrap/>
        <w:overflowPunct/>
        <w:topLinePunct w:val="0"/>
        <w:autoSpaceDE/>
        <w:autoSpaceDN/>
        <w:bidi w:val="0"/>
        <w:adjustRightInd/>
        <w:snapToGrid/>
        <w:spacing w:line="360" w:lineRule="auto"/>
        <w:ind w:right="-161" w:firstLine="422" w:firstLineChars="200"/>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第13条   附则</w:t>
      </w:r>
    </w:p>
    <w:p w14:paraId="61F3D998">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13.1 本合同甲、乙双方签字盖章后生效。</w:t>
      </w:r>
    </w:p>
    <w:p w14:paraId="1AFB1913">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13.2</w:t>
      </w:r>
      <w:r>
        <w:rPr>
          <w:rFonts w:hint="eastAsia" w:ascii="宋体" w:hAnsi="宋体" w:eastAsia="宋体" w:cs="宋体"/>
          <w:color w:val="auto"/>
          <w:sz w:val="21"/>
          <w:szCs w:val="21"/>
          <w:highlight w:val="none"/>
          <w:lang w:val="zh-CN"/>
        </w:rPr>
        <w:t>有下列情形之一</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zh-CN"/>
        </w:rPr>
        <w:t>合同一方可以解除合同</w:t>
      </w:r>
      <w:r>
        <w:rPr>
          <w:rFonts w:hint="eastAsia" w:ascii="宋体" w:hAnsi="宋体" w:eastAsia="宋体" w:cs="宋体"/>
          <w:color w:val="auto"/>
          <w:sz w:val="21"/>
          <w:szCs w:val="21"/>
          <w:highlight w:val="none"/>
        </w:rPr>
        <w:t>：</w:t>
      </w:r>
    </w:p>
    <w:p w14:paraId="36C053E1">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（1）因不可抗力致使不能实现合同目的，未受不可抗力影响的一方有权解除合同；</w:t>
      </w:r>
    </w:p>
    <w:p w14:paraId="6F234644">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（2）因合同一方违约导致合同不能履行，另一方有权解除合同。</w:t>
      </w:r>
    </w:p>
    <w:p w14:paraId="613A0488">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（3）有权解除合同的一方，应当在违约事实或不可抗力发生之后三十天内书面通知对方提出解除合同，合同在书面通知到达对方时解除。</w:t>
      </w:r>
    </w:p>
    <w:p w14:paraId="7816E6A0">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13.3本工程需要进行保修或保险时，应另订协议。</w:t>
      </w:r>
    </w:p>
    <w:p w14:paraId="782D33C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13.4经甲乙双方协商一致同意，在本合同签订后，若因乙方办理“园采贷”信用融资的需要，本合同第7条第7.5款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w:t>
      </w:r>
    </w:p>
    <w:p w14:paraId="712C994D">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13.5本合同正本两份，甲、乙双方各执壹份，副本肆份，甲方、乙方、备案部门与采购代理机构各执壹份。</w:t>
      </w:r>
    </w:p>
    <w:p w14:paraId="6456E99C">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13.6如发生本合同继续履行将损害国家利益和社会公共利益，甲方有权变更、中止或者终止、解除合同；合同履行过程中出现危害国家利益和社会公共利益问题的，甲方有权立即终止合同。</w:t>
      </w:r>
    </w:p>
    <w:p w14:paraId="4F8C1A5E">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13.7本合同履行完成后自动终止。</w:t>
      </w:r>
    </w:p>
    <w:p w14:paraId="6FAC79C7">
      <w:pPr>
        <w:keepNext w:val="0"/>
        <w:keepLines w:val="0"/>
        <w:pageBreakBefore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13.8 附件</w:t>
      </w:r>
    </w:p>
    <w:p w14:paraId="27A8D396">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（1）成交通知书</w:t>
      </w:r>
    </w:p>
    <w:p w14:paraId="2A7E2624">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（2）预算价</w:t>
      </w:r>
    </w:p>
    <w:p w14:paraId="5B2B9C21">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（3）工程量清单</w:t>
      </w:r>
    </w:p>
    <w:p w14:paraId="5977AB3D">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（4）磋商文件</w:t>
      </w:r>
    </w:p>
    <w:p w14:paraId="5126F919">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（5）磋商响应文件</w:t>
      </w:r>
    </w:p>
    <w:p w14:paraId="2B4FD39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（6）其他</w:t>
      </w:r>
    </w:p>
    <w:p w14:paraId="7D11AE92">
      <w:pPr>
        <w:pStyle w:val="53"/>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2C9384A9">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       方：(公章)                     乙     方：(公章)</w:t>
      </w:r>
    </w:p>
    <w:p w14:paraId="4F8C7FAE">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法定代表人：(签字)                      法定代表人：(签字)</w:t>
      </w:r>
    </w:p>
    <w:p w14:paraId="695BF40F">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                                     或</w:t>
      </w:r>
    </w:p>
    <w:p w14:paraId="768CFCA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委托代理人：(签字)                      委托代理人：(签字)</w:t>
      </w:r>
    </w:p>
    <w:p w14:paraId="5A565D9F">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开  户   行：</w:t>
      </w:r>
    </w:p>
    <w:p w14:paraId="553F4D14">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银 行 账 号：</w:t>
      </w:r>
    </w:p>
    <w:p w14:paraId="48564CCD">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5BC85BC5">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p>
    <w:p w14:paraId="10882257">
      <w:pPr>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  月  日                   日期：</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年  月  日</w:t>
      </w:r>
    </w:p>
    <w:p w14:paraId="65911BEC">
      <w:pPr>
        <w:widowControl/>
        <w:jc w:val="left"/>
        <w:rPr>
          <w:rFonts w:hint="eastAsia" w:ascii="宋体" w:hAnsi="宋体"/>
          <w:color w:val="auto"/>
          <w:sz w:val="21"/>
          <w:szCs w:val="21"/>
          <w:highlight w:val="none"/>
        </w:rPr>
      </w:pPr>
      <w:r>
        <w:rPr>
          <w:rFonts w:ascii="宋体" w:hAnsi="宋体" w:cs="宋体"/>
          <w:color w:val="auto"/>
          <w:sz w:val="24"/>
          <w:highlight w:val="none"/>
        </w:rPr>
        <w:br w:type="page" w:clear="all"/>
      </w:r>
      <w:r>
        <w:rPr>
          <w:rFonts w:hint="eastAsia" w:ascii="宋体" w:hAnsi="宋体"/>
          <w:color w:val="auto"/>
          <w:sz w:val="21"/>
          <w:szCs w:val="21"/>
          <w:highlight w:val="none"/>
        </w:rPr>
        <w:t>附件一：</w:t>
      </w:r>
    </w:p>
    <w:p w14:paraId="2FBE8A77">
      <w:pPr>
        <w:keepNext/>
        <w:keepLines/>
        <w:spacing w:before="120" w:after="120" w:line="360" w:lineRule="auto"/>
        <w:jc w:val="center"/>
        <w:outlineLvl w:val="1"/>
        <w:rPr>
          <w:rFonts w:ascii="宋体" w:hAnsi="宋体"/>
          <w:b/>
          <w:bCs/>
          <w:color w:val="auto"/>
          <w:sz w:val="30"/>
          <w:szCs w:val="30"/>
          <w:highlight w:val="none"/>
        </w:rPr>
      </w:pPr>
      <w:bookmarkStart w:id="1" w:name="_Toc511400662"/>
      <w:r>
        <w:rPr>
          <w:rFonts w:hint="eastAsia" w:ascii="宋体" w:hAnsi="宋体"/>
          <w:b/>
          <w:bCs/>
          <w:color w:val="auto"/>
          <w:sz w:val="30"/>
          <w:szCs w:val="30"/>
          <w:highlight w:val="none"/>
        </w:rPr>
        <w:t>工程质量保修书</w:t>
      </w:r>
      <w:bookmarkEnd w:id="1"/>
    </w:p>
    <w:p w14:paraId="5D53A413">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发包人（全称）：</w:t>
      </w:r>
      <w:r>
        <w:rPr>
          <w:rFonts w:hint="eastAsia" w:ascii="宋体" w:hAnsi="宋体" w:eastAsia="宋体" w:cs="宋体"/>
          <w:color w:val="auto"/>
          <w:sz w:val="21"/>
          <w:szCs w:val="21"/>
          <w:highlight w:val="none"/>
          <w:u w:val="single"/>
        </w:rPr>
        <w:t>苏州市公共文化中心</w:t>
      </w:r>
    </w:p>
    <w:p w14:paraId="4E59157E">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024E5087">
      <w:pPr>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发包人和承包人根据《中华人民共和国建筑法》和《建设工程质量管理条例》，经协商一致就</w:t>
      </w:r>
      <w:r>
        <w:rPr>
          <w:rFonts w:hint="eastAsia" w:ascii="宋体" w:hAnsi="宋体" w:cs="宋体"/>
          <w:b/>
          <w:i w:val="0"/>
          <w:iCs w:val="0"/>
          <w:color w:val="auto"/>
          <w:sz w:val="21"/>
          <w:szCs w:val="21"/>
          <w:u w:val="single"/>
          <w:lang w:eastAsia="zh-CN"/>
        </w:rPr>
        <w:t>苏州市公共文化中心既有建筑应急维修（第二期）</w:t>
      </w:r>
      <w:r>
        <w:rPr>
          <w:rFonts w:hint="eastAsia" w:ascii="宋体" w:hAnsi="宋体" w:eastAsia="宋体" w:cs="宋体"/>
          <w:color w:val="auto"/>
          <w:sz w:val="21"/>
          <w:szCs w:val="21"/>
          <w:highlight w:val="none"/>
        </w:rPr>
        <w:t>（工程全称）签订工程质量保修书。</w:t>
      </w:r>
    </w:p>
    <w:p w14:paraId="04DF902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一、工程质量保修范围和内容</w:t>
      </w:r>
    </w:p>
    <w:p w14:paraId="46ABB3E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承包人在质量保修期内，按照有关法律规定和合同约定，承担工程质量保修责任。</w:t>
      </w:r>
    </w:p>
    <w:p w14:paraId="15A1EF23">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18672DF2">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承包人施工的所有工程。</w:t>
      </w:r>
    </w:p>
    <w:p w14:paraId="4CD02FB9">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二、质量保修期</w:t>
      </w:r>
    </w:p>
    <w:p w14:paraId="1DF6E95A">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根据《建设工程质量管理条例》及有关规定，工程的质量保修期如下：</w:t>
      </w:r>
    </w:p>
    <w:p w14:paraId="0D5B818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1．地基基础工程和主体结构工程为设计文件规定的工程合理使用年限；</w:t>
      </w:r>
    </w:p>
    <w:p w14:paraId="1F6E032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2．屋面防水工程、有防水要求的卫生间、房间和外墙面的防渗为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5</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629D1C4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177B285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4．电气管线、给排水管道、设备安装工程为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69F9D90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个采暖期、供冷期；</w:t>
      </w:r>
    </w:p>
    <w:p w14:paraId="6BBB12C0">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p>
    <w:p w14:paraId="491AA4B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7．其他项目保修期限约定如下：</w:t>
      </w:r>
      <w:r>
        <w:rPr>
          <w:rFonts w:hint="eastAsia" w:ascii="宋体" w:hAnsi="宋体" w:eastAsia="宋体" w:cs="宋体"/>
          <w:color w:val="auto"/>
          <w:sz w:val="21"/>
          <w:szCs w:val="21"/>
          <w:highlight w:val="none"/>
          <w:u w:val="single"/>
        </w:rPr>
        <w:t>24个月</w:t>
      </w:r>
      <w:r>
        <w:rPr>
          <w:rFonts w:hint="eastAsia" w:ascii="宋体" w:hAnsi="宋体" w:eastAsia="宋体" w:cs="宋体"/>
          <w:color w:val="auto"/>
          <w:sz w:val="21"/>
          <w:szCs w:val="21"/>
          <w:highlight w:val="none"/>
        </w:rPr>
        <w:t>。</w:t>
      </w:r>
    </w:p>
    <w:p w14:paraId="6B2CD528">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质量保修期自工程竣工验收合格之日起计算。</w:t>
      </w:r>
    </w:p>
    <w:p w14:paraId="5F312B0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三、缺陷责任期</w:t>
      </w:r>
    </w:p>
    <w:p w14:paraId="3ADC20C6">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工程缺陷责任期为</w:t>
      </w:r>
      <w:r>
        <w:rPr>
          <w:rFonts w:hint="eastAsia" w:ascii="宋体" w:hAnsi="宋体" w:eastAsia="宋体" w:cs="宋体"/>
          <w:color w:val="auto"/>
          <w:sz w:val="21"/>
          <w:szCs w:val="21"/>
          <w:highlight w:val="none"/>
          <w:u w:val="single"/>
        </w:rPr>
        <w:t>24</w:t>
      </w:r>
      <w:r>
        <w:rPr>
          <w:rFonts w:hint="eastAsia" w:ascii="宋体" w:hAnsi="宋体" w:eastAsia="宋体" w:cs="宋体"/>
          <w:color w:val="auto"/>
          <w:sz w:val="21"/>
          <w:szCs w:val="21"/>
          <w:highlight w:val="none"/>
        </w:rPr>
        <w:t>个月，缺陷责任期自工程实际竣工之日起计算。单位工程先于全部工程进行验收，单位工程缺陷责任期自单位工程验收合格之日起算。</w:t>
      </w:r>
    </w:p>
    <w:p w14:paraId="7F3A9FCC">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四、质量保修责任</w:t>
      </w:r>
    </w:p>
    <w:p w14:paraId="3CC753A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1．属于保修范围、内容的项目，承包人应当在接到保修通知之日起</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天内派人保修。承包人不在约定期限内派人保修的，发包人可以委托他人修理。</w:t>
      </w:r>
    </w:p>
    <w:p w14:paraId="5B0AC43D">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2．发生紧急事故需抢修的，承包人在接到事故通知后，应当立即到达事故现场抢修。</w:t>
      </w:r>
    </w:p>
    <w:p w14:paraId="30E7BAEA">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0AD80B2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4．质量保修完成后，由发包人组织验收。</w:t>
      </w:r>
    </w:p>
    <w:p w14:paraId="0CFAC19B">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五、保修费用</w:t>
      </w:r>
    </w:p>
    <w:p w14:paraId="0EA955AE">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保修费用由造成质量缺陷的责任方承担。</w:t>
      </w:r>
    </w:p>
    <w:p w14:paraId="022D466F">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outlineLvl w:val="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六</w:t>
      </w:r>
      <w:r>
        <w:rPr>
          <w:rFonts w:hint="eastAsia" w:ascii="宋体" w:hAnsi="宋体" w:eastAsia="宋体" w:cs="宋体"/>
          <w:color w:val="auto"/>
          <w:sz w:val="21"/>
          <w:szCs w:val="21"/>
          <w:highlight w:val="none"/>
        </w:rPr>
        <w:t>、双方约定的其他工程质量保修事项：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p>
    <w:p w14:paraId="31225970">
      <w:pPr>
        <w:keepNext w:val="0"/>
        <w:keepLines w:val="0"/>
        <w:pageBreakBefore w:val="0"/>
        <w:widowControl w:val="0"/>
        <w:kinsoku/>
        <w:wordWrap/>
        <w:overflowPunct/>
        <w:topLinePunct w:val="0"/>
        <w:autoSpaceDE/>
        <w:autoSpaceDN/>
        <w:bidi w:val="0"/>
        <w:adjustRightInd/>
        <w:snapToGrid/>
        <w:spacing w:line="360" w:lineRule="auto"/>
        <w:ind w:firstLine="399" w:firstLineChars="19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工程质量保修书由发包人、承包人在工程竣工验收前共同签署，作为施工合同附件，其有效期限至保修期满。</w:t>
      </w:r>
    </w:p>
    <w:p w14:paraId="1E9E869E">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p>
    <w:p w14:paraId="3658611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p>
    <w:p w14:paraId="6880A0DF">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发包人(公章)：</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承包人(公章)：</w:t>
      </w:r>
      <w:r>
        <w:rPr>
          <w:rFonts w:hint="eastAsia" w:ascii="宋体" w:hAnsi="宋体" w:eastAsia="宋体" w:cs="宋体"/>
          <w:color w:val="auto"/>
          <w:sz w:val="21"/>
          <w:szCs w:val="21"/>
          <w:highlight w:val="none"/>
          <w:u w:val="single"/>
        </w:rPr>
        <w:t xml:space="preserve">     </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w:t>
      </w:r>
    </w:p>
    <w:p w14:paraId="5591939D">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地址：</w:t>
      </w:r>
      <w:r>
        <w:rPr>
          <w:rFonts w:hint="eastAsia" w:ascii="宋体" w:hAnsi="宋体" w:eastAsia="宋体" w:cs="宋体"/>
          <w:color w:val="auto"/>
          <w:sz w:val="21"/>
          <w:szCs w:val="21"/>
          <w:highlight w:val="none"/>
          <w:u w:val="single"/>
        </w:rPr>
        <w:t xml:space="preserve">                      </w:t>
      </w:r>
    </w:p>
    <w:p w14:paraId="0799D95B">
      <w:pPr>
        <w:keepNext w:val="0"/>
        <w:keepLines w:val="0"/>
        <w:pageBreakBefore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法定代表人 </w:t>
      </w:r>
      <w:r>
        <w:rPr>
          <w:rFonts w:hint="eastAsia" w:ascii="宋体" w:hAnsi="宋体" w:eastAsia="宋体" w:cs="宋体"/>
          <w:color w:val="auto"/>
          <w:sz w:val="21"/>
          <w:szCs w:val="21"/>
          <w:highlight w:val="none"/>
          <w:u w:val="single"/>
        </w:rPr>
        <w:t xml:space="preserve">                  </w:t>
      </w:r>
    </w:p>
    <w:p w14:paraId="15016723">
      <w:pPr>
        <w:keepNext w:val="0"/>
        <w:keepLines w:val="0"/>
        <w:pageBreakBefore w:val="0"/>
        <w:widowControl/>
        <w:tabs>
          <w:tab w:val="left" w:pos="900"/>
        </w:tabs>
        <w:kinsoku/>
        <w:wordWrap/>
        <w:overflowPunct/>
        <w:topLinePunct w:val="0"/>
        <w:autoSpaceDE/>
        <w:autoSpaceDN/>
        <w:bidi w:val="0"/>
        <w:adjustRightInd/>
        <w:snapToGrid/>
        <w:spacing w:line="360" w:lineRule="auto"/>
        <w:ind w:firstLine="475"/>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或委托代理人(签字)：            或委托代理人(签字)：</w:t>
      </w:r>
    </w:p>
    <w:p w14:paraId="00BA685C">
      <w:pPr>
        <w:widowControl/>
        <w:jc w:val="left"/>
        <w:rPr>
          <w:rFonts w:ascii="宋体" w:hAnsi="宋体" w:cs="宋体"/>
          <w:b/>
          <w:bCs/>
          <w:color w:val="auto"/>
          <w:sz w:val="24"/>
          <w:highlight w:val="none"/>
        </w:rPr>
      </w:pPr>
      <w:bookmarkStart w:id="2" w:name="_Toc25724"/>
      <w:bookmarkStart w:id="3" w:name="_Toc5369"/>
    </w:p>
    <w:p w14:paraId="798AB917">
      <w:pPr>
        <w:widowControl/>
        <w:jc w:val="left"/>
        <w:rPr>
          <w:rFonts w:ascii="宋体" w:hAnsi="宋体" w:cs="宋体"/>
          <w:b/>
          <w:bCs/>
          <w:color w:val="auto"/>
          <w:sz w:val="24"/>
          <w:highlight w:val="none"/>
        </w:rPr>
      </w:pPr>
    </w:p>
    <w:p w14:paraId="5F5A69E7">
      <w:pPr>
        <w:widowControl/>
        <w:jc w:val="left"/>
        <w:rPr>
          <w:rFonts w:ascii="宋体" w:hAnsi="宋体" w:cs="宋体"/>
          <w:b/>
          <w:bCs/>
          <w:color w:val="auto"/>
          <w:sz w:val="24"/>
          <w:highlight w:val="none"/>
        </w:rPr>
      </w:pPr>
    </w:p>
    <w:p w14:paraId="700967CB">
      <w:pPr>
        <w:keepNext w:val="0"/>
        <w:keepLines w:val="0"/>
        <w:pageBreakBefore w:val="0"/>
        <w:widowControl/>
        <w:kinsoku/>
        <w:wordWrap/>
        <w:overflowPunct/>
        <w:topLinePunct w:val="0"/>
        <w:autoSpaceDE/>
        <w:autoSpaceDN/>
        <w:bidi w:val="0"/>
        <w:adjustRightInd/>
        <w:snapToGrid/>
        <w:spacing w:line="360" w:lineRule="auto"/>
        <w:jc w:val="left"/>
        <w:textAlignment w:val="auto"/>
        <w:rPr>
          <w:rFonts w:ascii="宋体" w:hAnsi="宋体" w:cs="宋体"/>
          <w:b/>
          <w:bCs/>
          <w:color w:val="auto"/>
          <w:sz w:val="21"/>
          <w:szCs w:val="21"/>
          <w:highlight w:val="none"/>
        </w:rPr>
      </w:pPr>
      <w:r>
        <w:rPr>
          <w:rFonts w:hint="eastAsia" w:ascii="宋体" w:hAnsi="宋体" w:cs="宋体"/>
          <w:b/>
          <w:bCs/>
          <w:color w:val="auto"/>
          <w:sz w:val="21"/>
          <w:szCs w:val="21"/>
          <w:highlight w:val="none"/>
        </w:rPr>
        <w:t>附件：（1）安全生产协议书</w:t>
      </w:r>
      <w:bookmarkEnd w:id="2"/>
    </w:p>
    <w:p w14:paraId="00D62F2D">
      <w:pPr>
        <w:keepNext w:val="0"/>
        <w:keepLines w:val="0"/>
        <w:pageBreakBefore w:val="0"/>
        <w:widowControl/>
        <w:kinsoku/>
        <w:wordWrap/>
        <w:overflowPunct/>
        <w:topLinePunct w:val="0"/>
        <w:autoSpaceDE/>
        <w:autoSpaceDN/>
        <w:bidi w:val="0"/>
        <w:adjustRightInd/>
        <w:snapToGrid/>
        <w:spacing w:line="360" w:lineRule="auto"/>
        <w:ind w:firstLine="723"/>
        <w:jc w:val="left"/>
        <w:textAlignment w:val="auto"/>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t>（2）工程建设项目廉政合同</w:t>
      </w:r>
    </w:p>
    <w:bookmarkEnd w:id="3"/>
    <w:p w14:paraId="54AB91EC">
      <w:pPr>
        <w:rPr>
          <w:rFonts w:ascii="Calibri" w:hAnsi="Calibri"/>
          <w:color w:val="auto"/>
          <w:highlight w:val="none"/>
        </w:rPr>
      </w:pPr>
    </w:p>
    <w:p w14:paraId="2B332519">
      <w:pPr>
        <w:spacing w:line="360" w:lineRule="auto"/>
        <w:ind w:firstLine="480"/>
        <w:rPr>
          <w:rFonts w:ascii="宋体" w:hAnsi="宋体" w:cs="宋体"/>
          <w:color w:val="auto"/>
          <w:sz w:val="24"/>
          <w:highlight w:val="none"/>
        </w:rPr>
        <w:sectPr>
          <w:headerReference r:id="rId5" w:type="default"/>
          <w:footerReference r:id="rId6" w:type="default"/>
          <w:pgSz w:w="11906" w:h="16838"/>
          <w:pgMar w:top="1440" w:right="1800" w:bottom="1440" w:left="1800" w:header="851" w:footer="992" w:gutter="0"/>
          <w:cols w:space="720" w:num="1"/>
          <w:docGrid w:linePitch="360" w:charSpace="0"/>
        </w:sectPr>
      </w:pPr>
    </w:p>
    <w:p w14:paraId="1343E7B4">
      <w:pPr>
        <w:keepNext/>
        <w:keepLines/>
        <w:spacing w:before="120" w:after="120" w:line="360" w:lineRule="auto"/>
        <w:jc w:val="center"/>
        <w:outlineLvl w:val="1"/>
        <w:rPr>
          <w:rFonts w:hint="eastAsia" w:ascii="宋体" w:hAnsi="宋体" w:eastAsia="宋体" w:cs="Times New Roman"/>
          <w:b/>
          <w:bCs/>
          <w:color w:val="auto"/>
          <w:sz w:val="30"/>
          <w:szCs w:val="30"/>
          <w:highlight w:val="none"/>
        </w:rPr>
      </w:pPr>
      <w:r>
        <w:rPr>
          <w:rFonts w:hint="eastAsia" w:ascii="宋体" w:hAnsi="宋体" w:cs="Times New Roman"/>
          <w:b/>
          <w:bCs/>
          <w:color w:val="auto"/>
          <w:sz w:val="30"/>
          <w:szCs w:val="30"/>
          <w:highlight w:val="none"/>
          <w:lang w:eastAsia="zh-CN"/>
        </w:rPr>
        <w:t>（</w:t>
      </w:r>
      <w:r>
        <w:rPr>
          <w:rFonts w:hint="eastAsia" w:ascii="宋体" w:hAnsi="宋体" w:cs="Times New Roman"/>
          <w:b/>
          <w:bCs/>
          <w:color w:val="auto"/>
          <w:sz w:val="30"/>
          <w:szCs w:val="30"/>
          <w:highlight w:val="none"/>
          <w:lang w:val="en-US" w:eastAsia="zh-CN"/>
        </w:rPr>
        <w:t>1</w:t>
      </w:r>
      <w:r>
        <w:rPr>
          <w:rFonts w:hint="eastAsia" w:ascii="宋体" w:hAnsi="宋体" w:cs="Times New Roman"/>
          <w:b/>
          <w:bCs/>
          <w:color w:val="auto"/>
          <w:sz w:val="30"/>
          <w:szCs w:val="30"/>
          <w:highlight w:val="none"/>
          <w:lang w:eastAsia="zh-CN"/>
        </w:rPr>
        <w:t>）</w:t>
      </w:r>
      <w:r>
        <w:rPr>
          <w:rFonts w:hint="eastAsia" w:ascii="宋体" w:hAnsi="宋体" w:eastAsia="宋体" w:cs="Times New Roman"/>
          <w:b/>
          <w:bCs/>
          <w:color w:val="auto"/>
          <w:sz w:val="30"/>
          <w:szCs w:val="30"/>
          <w:highlight w:val="none"/>
        </w:rPr>
        <w:t>安全生产协议书</w:t>
      </w:r>
    </w:p>
    <w:p w14:paraId="7E0D5E0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发包人(甲方)：</w:t>
      </w:r>
      <w:r>
        <w:rPr>
          <w:rFonts w:hint="eastAsia" w:ascii="宋体" w:hAnsi="宋体" w:eastAsia="宋体" w:cs="宋体"/>
          <w:color w:val="auto"/>
          <w:sz w:val="21"/>
          <w:szCs w:val="21"/>
          <w:u w:val="single"/>
        </w:rPr>
        <w:t>苏州市公共文化中心</w:t>
      </w:r>
    </w:p>
    <w:p w14:paraId="2DA545A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承包人(乙方)：</w:t>
      </w:r>
      <w:r>
        <w:rPr>
          <w:rFonts w:hint="eastAsia" w:ascii="宋体" w:hAnsi="宋体" w:eastAsia="宋体" w:cs="宋体"/>
          <w:color w:val="auto"/>
          <w:sz w:val="21"/>
          <w:szCs w:val="21"/>
          <w:u w:val="single"/>
        </w:rPr>
        <w:t xml:space="preserve">                            </w:t>
      </w:r>
    </w:p>
    <w:p w14:paraId="56A307B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依照《中华人民共和国民法典》、《中华人民共和国建筑法》、《中华人民共和国安全生产法》及其他有关法律、法规。为了保证双方生产安全，明确各自的安全管理职责和应当采取安全措施，就本工程的安全生产施工事项达成以下协议：</w:t>
      </w:r>
    </w:p>
    <w:p w14:paraId="38DF85E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第一条 工程概况</w:t>
      </w:r>
    </w:p>
    <w:p w14:paraId="2F2DBE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工程名称：</w:t>
      </w:r>
      <w:r>
        <w:rPr>
          <w:rFonts w:hint="eastAsia" w:ascii="宋体" w:hAnsi="宋体" w:cs="宋体"/>
          <w:color w:val="auto"/>
          <w:sz w:val="21"/>
          <w:szCs w:val="21"/>
          <w:u w:val="single"/>
          <w:lang w:val="en-US" w:eastAsia="zh-CN"/>
        </w:rPr>
        <w:t>苏州市公共文化中心既有建筑应急维修（第二期）</w:t>
      </w:r>
    </w:p>
    <w:p w14:paraId="4355A19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工程地点：</w:t>
      </w:r>
      <w:r>
        <w:rPr>
          <w:rFonts w:hint="eastAsia" w:ascii="宋体" w:hAnsi="宋体" w:cs="宋体"/>
          <w:color w:val="auto"/>
          <w:sz w:val="21"/>
          <w:szCs w:val="21"/>
          <w:u w:val="single"/>
          <w:lang w:val="en-US" w:eastAsia="zh-CN"/>
        </w:rPr>
        <w:t>江苏省苏州市</w:t>
      </w:r>
    </w:p>
    <w:p w14:paraId="1FA8887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工程承包范围: 见</w:t>
      </w:r>
      <w:r>
        <w:rPr>
          <w:rFonts w:hint="eastAsia" w:ascii="宋体" w:hAnsi="宋体" w:cs="宋体"/>
          <w:color w:val="auto"/>
          <w:sz w:val="21"/>
          <w:szCs w:val="21"/>
          <w:lang w:eastAsia="zh-CN"/>
        </w:rPr>
        <w:t>采购文件</w:t>
      </w:r>
    </w:p>
    <w:p w14:paraId="004FE4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乙方资质及安全生产条件：见</w:t>
      </w:r>
      <w:r>
        <w:rPr>
          <w:rFonts w:hint="eastAsia" w:ascii="宋体" w:hAnsi="宋体" w:cs="宋体"/>
          <w:color w:val="auto"/>
          <w:sz w:val="21"/>
          <w:szCs w:val="21"/>
          <w:lang w:val="en-US" w:eastAsia="zh-CN"/>
        </w:rPr>
        <w:t>响应</w:t>
      </w:r>
      <w:r>
        <w:rPr>
          <w:rFonts w:hint="eastAsia" w:ascii="宋体" w:hAnsi="宋体" w:eastAsia="宋体" w:cs="宋体"/>
          <w:color w:val="auto"/>
          <w:sz w:val="21"/>
          <w:szCs w:val="21"/>
        </w:rPr>
        <w:t>文件</w:t>
      </w:r>
    </w:p>
    <w:p w14:paraId="2B5D4B4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乙方应对承揽本工程所提供的资质、安全生产资格证书、安全生产条件等有关资料真实性负责。</w:t>
      </w:r>
    </w:p>
    <w:p w14:paraId="3487040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第二条 现场负责人及安全生产管理人员：</w:t>
      </w:r>
    </w:p>
    <w:p w14:paraId="113DDA4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乙方指定本工程项目经理为现场负责人；并落实专职安全生产管理人员。</w:t>
      </w:r>
    </w:p>
    <w:p w14:paraId="19FCB5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第三条 甲方的责任和权利</w:t>
      </w:r>
    </w:p>
    <w:p w14:paraId="55EB25B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1.甲方有权要求乙方制定施工安全措施，在开始施工前报甲方备查。 </w:t>
      </w:r>
    </w:p>
    <w:p w14:paraId="67A23B8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甲方有协助乙方搞好安全生产、安全管理以及督促检查的义务。甲方有权检查督促乙方执行有关安全生产方面的工作规定，对乙方不符合安全文明施工的行为进行制止、纠正并发出安全整改通知书，直至清退出场。 </w:t>
      </w:r>
    </w:p>
    <w:p w14:paraId="5938A5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3.甲方委托指派本工程监理人及总监理工程师负责与乙方联系安全生产方面的工作。</w:t>
      </w:r>
    </w:p>
    <w:p w14:paraId="21B823D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4.乙方在施工中发生的人身、财产事故，甲方有权利负责督促乙方按照国家相关的事故处理的法律法规规定进行调查、处理、统计上报等。</w:t>
      </w:r>
    </w:p>
    <w:p w14:paraId="19EE85C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5.甲方不得要求乙方违反安全管理规定进行施工，由此而导致的事故由甲方承担责任。</w:t>
      </w:r>
    </w:p>
    <w:p w14:paraId="3F8B52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6.如工地有两个以上承包人在同一作业区工作,可能危及对方生产安全时,甲方委托总承包人负责组织各方签订安全生产管理协议,明确各自的安全生产职责和应采取的安全措施,对安全工作进行检查和协调。</w:t>
      </w:r>
    </w:p>
    <w:p w14:paraId="3A2785B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第四条 乙方的责任和权利</w:t>
      </w:r>
    </w:p>
    <w:p w14:paraId="65B607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1.乙方负责人是安全生产的第一责任人，对本工程的安全生产负全责。</w:t>
      </w:r>
    </w:p>
    <w:p w14:paraId="007B48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乙方应当具备《中华人民共和国安全生产法》和有关法律、行政法规和国家标准或者行业标准规定的安全生产条件；不具备安全生产条件的，不得承包本工程。乙方应严格遵守国家有关法律、法规、国家标准、行业标准和安全技术操作规程等，严格遵守地方政府部门等的相关规定，安全文明施工。</w:t>
      </w:r>
    </w:p>
    <w:p w14:paraId="3A1D0BB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3.乙方单位的主要负责人对与本工程相关联的安全生产工作负有下列职责：</w:t>
      </w:r>
    </w:p>
    <w:p w14:paraId="58BD52D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建立、健全安全生产责任制；</w:t>
      </w:r>
    </w:p>
    <w:p w14:paraId="31C0A4D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建立健全安全生产保证体系及安全组织机构，设立专职安全生产管理人员，建立健全现场安全责任制和消防安全责任制度。</w:t>
      </w:r>
    </w:p>
    <w:p w14:paraId="448E414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组织制定安全生产规章制度和操作规程；</w:t>
      </w:r>
    </w:p>
    <w:p w14:paraId="339641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组织制定并实施安全生产教育和培训计划；</w:t>
      </w:r>
    </w:p>
    <w:p w14:paraId="6110D3C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保证安全生产投入的有效实施；</w:t>
      </w:r>
    </w:p>
    <w:p w14:paraId="6807AB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督促、检查安全生产工作，及时消除生产安全事故隐患；</w:t>
      </w:r>
    </w:p>
    <w:p w14:paraId="3AEC01A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组织制定并实施生产安全事故应急救援预案；</w:t>
      </w:r>
    </w:p>
    <w:p w14:paraId="18D335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 及时、如实报告生产安全事故。</w:t>
      </w:r>
    </w:p>
    <w:p w14:paraId="00444E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乙方单位的安全生产责任制明确各岗位的责任人员、责任范围和考核标准等内容。建立相应的机制，加强对安全生产责任制落实情况的监督考核，保证安全生产责任制的落实。对本工程进行定期和专项安全检查，并做好安全检查记录。</w:t>
      </w:r>
    </w:p>
    <w:p w14:paraId="2D5012C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5.乙方应当具备安全生产条件所必需的资金投入，由乙方单位的决策机构、主要负责人或者个人经营的投资人予以保证，并对由于安全生产所必需的资金不足导致的后果承担责任。</w:t>
      </w:r>
    </w:p>
    <w:p w14:paraId="6D0CBF1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6.乙方的项目负责人、专职安全生产管理人员和特种作业人员应按照国家有关规定经过相关培训，取得相应资格，并在现有的资质等级许可的范围内承揽工程，持岗位证上岗。</w:t>
      </w:r>
    </w:p>
    <w:p w14:paraId="3D925F6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7.乙方单位的安全管理机构以及安全生产管理人员履行下列(包括但不限于)职责：</w:t>
      </w:r>
    </w:p>
    <w:p w14:paraId="363DADE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 组织或者参与拟订本项目安全生产规章制度、操作规程和生产安全事故应急救援预案；</w:t>
      </w:r>
    </w:p>
    <w:p w14:paraId="6C7E672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 组织或者参与本项目安全生产教育和培训，如实记录安全生产教育和培训情况；</w:t>
      </w:r>
    </w:p>
    <w:p w14:paraId="72F73AA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 督促落实本项目重大危险源的安全管理措施；</w:t>
      </w:r>
    </w:p>
    <w:p w14:paraId="5526433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 组织或者参与本项目应急救援演练；</w:t>
      </w:r>
    </w:p>
    <w:p w14:paraId="0F10B8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 检查本项目的安全生产状况，及时排查生产安全事故隐患，提出改进安全生产管理的建议；</w:t>
      </w:r>
    </w:p>
    <w:p w14:paraId="54621C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(6) 制止和纠正违章指挥、强令冒险作业、违反操作规程的行为；</w:t>
      </w:r>
    </w:p>
    <w:p w14:paraId="2100B53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(7) 督促落实本项目安全生产整改措施。</w:t>
      </w:r>
    </w:p>
    <w:p w14:paraId="5E7CFF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8.乙方应当对从业人员进行安全生产教育和培训，保证从业人员具备必要的安全生产知识，熟悉有关的安全生产规章制度和安全操作规程，掌握本岗位的安全操作技能，了解事故应急处理措施，知悉自身在安全生产方面的权利和义务。未经安全生产教育和培训合格的从业人员，不得上岗作业。</w:t>
      </w:r>
    </w:p>
    <w:p w14:paraId="14BC6AA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9.乙方投入现场的全部机械及各类生产工具，必须经检验合格。符合国家的有关标准并遵守操作规程。安全设备的设计、制造、安装、使用、检测、维修、改造和报废，应当符合国家标准或者行业标准。</w:t>
      </w:r>
    </w:p>
    <w:p w14:paraId="65DEED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10.乙方应当在有较大危险因素的生产经营场所和有关设施、设备上，设置明显的安全警示标志。</w:t>
      </w:r>
    </w:p>
    <w:p w14:paraId="02271A2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11.乙方必须依法参加工伤保险，为从业人员缴纳保险费，为从事危险作业的人员办理意外伤害保险，支付保险费。</w:t>
      </w:r>
    </w:p>
    <w:p w14:paraId="65AEFF7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12.根据工程特点在施工组织设计(或施工方案)中编制安全技术措施和施工现场临时用电方案，达到一定规模的危险性较大的分部分项工程编制专项施工方案。做好安全教育和安全技术交底工作，保证进场施工人员经过安全教育，特种岗位必须持本岗位有效证书上岗。</w:t>
      </w:r>
    </w:p>
    <w:p w14:paraId="11BE2A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13.乙方施工现场的安全控制由乙方负责，并且接受监理人、发包人、建设单位对施工现场的安全监督。施工过程中对人的不安全行为，物的不安全状态，作业环境的不安全因素和管理缺陷进行控制。严格按照安全施工要求进行施工，杜绝强令员工冒险作业和违章作业现象出现。</w:t>
      </w:r>
    </w:p>
    <w:p w14:paraId="4E4797F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14.乙方应该平时进行安全检查，对安全隐患及时整改。对甲方单位以及监理签发的安全检查整改要求应及时组织整改并按时回复。</w:t>
      </w:r>
    </w:p>
    <w:p w14:paraId="4D01E9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15.乙方有权对甲方的安全管理提出合理化建议。</w:t>
      </w:r>
    </w:p>
    <w:p w14:paraId="0FB3D1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16.乙方必须按照国家规定为员工配备和发放符合国家规范的合格的安全防护用品(如安全帽、安全带、防护胶等)。乙方必须遵守职业病防治相关的法律法规规定，负责职业危害防治工作，针对可能出现的危害因素制定防治措施，为员工配备合格的职业卫生防护用品。</w:t>
      </w:r>
    </w:p>
    <w:p w14:paraId="139F064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17.乙方在施工过程中一旦发生安全事故(包括由于乙方原因造成甲方人员、第三方人员伤亡事故)，应当按照国家有关伤亡事故报告和调查处理的规定，及时如实上报；生产安全事故发生后，乙方应当采取措施防止事故扩大，保护事故现场。按照国家有关规定进行调查、处理，作好事故的善后处理工作。且一切损失及责任和一切行政、民事、刑事责任概由乙方承担，不得将经济损失和矛盾转移到甲方。</w:t>
      </w:r>
    </w:p>
    <w:p w14:paraId="381841A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18.乙方在施工中必须加强安全管理，由于管理不到位造成负面影响，乙方将承担全部责任，并承担由此给甲方造成的名誉及经济损失。</w:t>
      </w:r>
    </w:p>
    <w:p w14:paraId="4452BBE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第五条 施工安全违约金 </w:t>
      </w:r>
    </w:p>
    <w:p w14:paraId="46E2595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1.甲方安全检查时，发现乙方有违反安全协议或者安全管理法律法规等规定的行为，甲方有权按照合约中违约责任条款对乙方进行处罚。</w:t>
      </w:r>
    </w:p>
    <w:p w14:paraId="2F2BE38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2.若施工过程中发生安全事故，乙方除承担相应的经济赔偿责任及其它法律责任外，并因此给甲方增加额外工作的，甲方有权按照合约中违约责任条款对乙方处罚。</w:t>
      </w:r>
    </w:p>
    <w:p w14:paraId="755D5B7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第六条 其他</w:t>
      </w:r>
    </w:p>
    <w:p w14:paraId="4016ACD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1.本合同签订后，未经双方共同协商同意，任何一方不得私自改动或终止。</w:t>
      </w:r>
    </w:p>
    <w:p w14:paraId="069A0D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2.本合同与工程合同具有同等效力，有效期自工程开工至全部工程竣工后经交工验收合格，以及质量保修期满由发包人发给保修终止证书后失效。</w:t>
      </w:r>
    </w:p>
    <w:p w14:paraId="4608257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3.合同履行过程中发生争议时，双方应协商解决，如果协商不成，双方可以向工程所在地有管辖权的人民法院提起诉讼。</w:t>
      </w:r>
    </w:p>
    <w:p w14:paraId="46ED546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4.本合同自双方签字盖章后生效。</w:t>
      </w:r>
    </w:p>
    <w:p w14:paraId="0663493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5.</w:t>
      </w:r>
      <w:r>
        <w:rPr>
          <w:rFonts w:hint="eastAsia" w:ascii="宋体" w:hAnsi="宋体" w:eastAsia="宋体" w:cs="宋体"/>
          <w:bCs/>
          <w:color w:val="auto"/>
          <w:sz w:val="21"/>
          <w:szCs w:val="21"/>
          <w:highlight w:val="none"/>
        </w:rPr>
        <w:t>本</w:t>
      </w:r>
      <w:r>
        <w:rPr>
          <w:rFonts w:hint="eastAsia" w:ascii="宋体" w:hAnsi="宋体" w:eastAsia="宋体" w:cs="宋体"/>
          <w:bCs/>
          <w:color w:val="auto"/>
          <w:sz w:val="21"/>
          <w:szCs w:val="21"/>
          <w:highlight w:val="none"/>
          <w:lang w:val="en-US" w:eastAsia="zh-CN"/>
        </w:rPr>
        <w:t>协议</w:t>
      </w:r>
      <w:r>
        <w:rPr>
          <w:rFonts w:hint="eastAsia" w:ascii="宋体" w:hAnsi="宋体" w:eastAsia="宋体" w:cs="宋体"/>
          <w:bCs/>
          <w:color w:val="auto"/>
          <w:sz w:val="21"/>
          <w:szCs w:val="21"/>
          <w:highlight w:val="none"/>
        </w:rPr>
        <w:t>一式</w:t>
      </w:r>
      <w:r>
        <w:rPr>
          <w:rFonts w:hint="eastAsia" w:ascii="宋体" w:hAnsi="宋体" w:cs="宋体"/>
          <w:bCs/>
          <w:color w:val="auto"/>
          <w:sz w:val="21"/>
          <w:szCs w:val="21"/>
          <w:highlight w:val="none"/>
          <w:lang w:val="en-US" w:eastAsia="zh-CN"/>
        </w:rPr>
        <w:t>陆</w:t>
      </w:r>
      <w:r>
        <w:rPr>
          <w:rFonts w:hint="eastAsia" w:ascii="宋体" w:hAnsi="宋体" w:eastAsia="宋体" w:cs="宋体"/>
          <w:bCs/>
          <w:color w:val="auto"/>
          <w:sz w:val="21"/>
          <w:szCs w:val="21"/>
          <w:highlight w:val="none"/>
        </w:rPr>
        <w:t>份，</w:t>
      </w:r>
      <w:r>
        <w:rPr>
          <w:rFonts w:hint="eastAsia" w:ascii="宋体" w:hAnsi="宋体" w:eastAsia="宋体" w:cs="宋体"/>
          <w:bCs/>
          <w:color w:val="auto"/>
          <w:sz w:val="21"/>
          <w:szCs w:val="21"/>
          <w:highlight w:val="none"/>
          <w:lang w:val="en-US" w:eastAsia="zh-CN"/>
        </w:rPr>
        <w:t>发包人执贰份，</w:t>
      </w:r>
      <w:r>
        <w:rPr>
          <w:rFonts w:hint="eastAsia" w:ascii="宋体" w:hAnsi="宋体" w:eastAsia="宋体" w:cs="宋体"/>
          <w:bCs/>
          <w:color w:val="auto"/>
          <w:sz w:val="21"/>
          <w:szCs w:val="21"/>
          <w:highlight w:val="none"/>
        </w:rPr>
        <w:t>承包人执</w:t>
      </w:r>
      <w:r>
        <w:rPr>
          <w:rFonts w:hint="eastAsia" w:ascii="宋体" w:hAnsi="宋体" w:cs="宋体"/>
          <w:bCs/>
          <w:color w:val="auto"/>
          <w:sz w:val="21"/>
          <w:szCs w:val="21"/>
          <w:highlight w:val="none"/>
          <w:lang w:val="en-US" w:eastAsia="zh-CN"/>
        </w:rPr>
        <w:t>贰</w:t>
      </w:r>
      <w:r>
        <w:rPr>
          <w:rFonts w:hint="eastAsia" w:ascii="宋体" w:hAnsi="宋体" w:eastAsia="宋体" w:cs="宋体"/>
          <w:bCs/>
          <w:color w:val="auto"/>
          <w:sz w:val="21"/>
          <w:szCs w:val="21"/>
          <w:highlight w:val="none"/>
        </w:rPr>
        <w:t>份，</w:t>
      </w:r>
      <w:r>
        <w:rPr>
          <w:rFonts w:hint="eastAsia" w:ascii="宋体" w:hAnsi="宋体" w:cs="宋体"/>
          <w:bCs/>
          <w:color w:val="auto"/>
          <w:sz w:val="21"/>
          <w:szCs w:val="21"/>
          <w:highlight w:val="none"/>
          <w:lang w:val="en-US" w:eastAsia="zh-CN"/>
        </w:rPr>
        <w:t>采购代理</w:t>
      </w:r>
      <w:r>
        <w:rPr>
          <w:rFonts w:hint="eastAsia" w:ascii="宋体" w:hAnsi="宋体" w:eastAsia="宋体" w:cs="宋体"/>
          <w:bCs/>
          <w:color w:val="auto"/>
          <w:sz w:val="21"/>
          <w:szCs w:val="21"/>
          <w:highlight w:val="none"/>
        </w:rPr>
        <w:t>机构</w:t>
      </w:r>
      <w:r>
        <w:rPr>
          <w:rFonts w:hint="eastAsia" w:ascii="宋体" w:hAnsi="宋体" w:cs="宋体"/>
          <w:bCs/>
          <w:color w:val="auto"/>
          <w:sz w:val="21"/>
          <w:szCs w:val="21"/>
          <w:highlight w:val="none"/>
          <w:lang w:val="en-US" w:eastAsia="zh-CN"/>
        </w:rPr>
        <w:t>壹</w:t>
      </w:r>
      <w:r>
        <w:rPr>
          <w:rFonts w:hint="eastAsia" w:ascii="宋体" w:hAnsi="宋体" w:eastAsia="宋体" w:cs="宋体"/>
          <w:bCs/>
          <w:color w:val="auto"/>
          <w:sz w:val="21"/>
          <w:szCs w:val="21"/>
          <w:highlight w:val="none"/>
        </w:rPr>
        <w:t>份，政府采购管理部门</w:t>
      </w:r>
      <w:r>
        <w:rPr>
          <w:rFonts w:hint="eastAsia" w:ascii="宋体" w:hAnsi="宋体" w:cs="宋体"/>
          <w:bCs/>
          <w:color w:val="auto"/>
          <w:sz w:val="21"/>
          <w:szCs w:val="21"/>
          <w:highlight w:val="none"/>
          <w:lang w:val="en-US" w:eastAsia="zh-CN"/>
        </w:rPr>
        <w:t>壹</w:t>
      </w:r>
      <w:r>
        <w:rPr>
          <w:rFonts w:hint="eastAsia" w:ascii="宋体" w:hAnsi="宋体" w:eastAsia="宋体" w:cs="宋体"/>
          <w:bCs/>
          <w:color w:val="auto"/>
          <w:sz w:val="21"/>
          <w:szCs w:val="21"/>
          <w:highlight w:val="none"/>
        </w:rPr>
        <w:t>份。</w:t>
      </w:r>
    </w:p>
    <w:p w14:paraId="6DA05BA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p>
    <w:p w14:paraId="5DCAFE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  (公章)                      承包人：  (公章)</w:t>
      </w:r>
    </w:p>
    <w:p w14:paraId="7DC08A9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            法定代表人或其委托代理人：</w:t>
      </w:r>
    </w:p>
    <w:p w14:paraId="22B4CC6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(签字或盖章)                          (签字或盖章)</w:t>
      </w:r>
    </w:p>
    <w:p w14:paraId="62E680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p>
    <w:p w14:paraId="66448CB2">
      <w:pP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p>
    <w:p w14:paraId="2A9D5B99">
      <w:pPr>
        <w:keepNext/>
        <w:keepLines/>
        <w:spacing w:before="120" w:after="120" w:line="360" w:lineRule="auto"/>
        <w:jc w:val="center"/>
        <w:outlineLvl w:val="1"/>
        <w:rPr>
          <w:rFonts w:hint="eastAsia" w:ascii="宋体" w:hAnsi="宋体" w:eastAsia="宋体" w:cs="Times New Roman"/>
          <w:b/>
          <w:bCs/>
          <w:color w:val="auto"/>
          <w:sz w:val="30"/>
          <w:szCs w:val="30"/>
          <w:highlight w:val="none"/>
        </w:rPr>
      </w:pPr>
      <w:r>
        <w:rPr>
          <w:rFonts w:hint="eastAsia" w:ascii="宋体" w:hAnsi="宋体" w:cs="Times New Roman"/>
          <w:b/>
          <w:bCs/>
          <w:color w:val="auto"/>
          <w:sz w:val="30"/>
          <w:szCs w:val="30"/>
          <w:highlight w:val="none"/>
          <w:lang w:eastAsia="zh-CN"/>
        </w:rPr>
        <w:t>（</w:t>
      </w:r>
      <w:r>
        <w:rPr>
          <w:rFonts w:hint="eastAsia" w:ascii="宋体" w:hAnsi="宋体" w:cs="Times New Roman"/>
          <w:b/>
          <w:bCs/>
          <w:color w:val="auto"/>
          <w:sz w:val="30"/>
          <w:szCs w:val="30"/>
          <w:highlight w:val="none"/>
          <w:lang w:val="en-US" w:eastAsia="zh-CN"/>
        </w:rPr>
        <w:t>2</w:t>
      </w:r>
      <w:r>
        <w:rPr>
          <w:rFonts w:hint="eastAsia" w:ascii="宋体" w:hAnsi="宋体" w:cs="Times New Roman"/>
          <w:b/>
          <w:bCs/>
          <w:color w:val="auto"/>
          <w:sz w:val="30"/>
          <w:szCs w:val="30"/>
          <w:highlight w:val="none"/>
          <w:lang w:eastAsia="zh-CN"/>
        </w:rPr>
        <w:t>）</w:t>
      </w:r>
      <w:r>
        <w:rPr>
          <w:rFonts w:hint="eastAsia" w:ascii="宋体" w:hAnsi="宋体" w:eastAsia="宋体" w:cs="Times New Roman"/>
          <w:b/>
          <w:bCs/>
          <w:color w:val="auto"/>
          <w:sz w:val="30"/>
          <w:szCs w:val="30"/>
          <w:highlight w:val="none"/>
        </w:rPr>
        <w:t>工程建设项目廉政合同</w:t>
      </w:r>
    </w:p>
    <w:p w14:paraId="7738794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发包人(甲方)：</w:t>
      </w:r>
      <w:r>
        <w:rPr>
          <w:rFonts w:hint="eastAsia" w:ascii="宋体" w:hAnsi="宋体" w:eastAsia="宋体" w:cs="宋体"/>
          <w:color w:val="auto"/>
          <w:sz w:val="21"/>
          <w:szCs w:val="21"/>
          <w:u w:val="single"/>
        </w:rPr>
        <w:t>苏州市公共文化中</w:t>
      </w:r>
    </w:p>
    <w:p w14:paraId="68C3BB8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承包人(乙方)：</w:t>
      </w:r>
      <w:r>
        <w:rPr>
          <w:rFonts w:hint="eastAsia" w:ascii="宋体" w:hAnsi="宋体" w:eastAsia="宋体" w:cs="宋体"/>
          <w:color w:val="auto"/>
          <w:sz w:val="21"/>
          <w:szCs w:val="21"/>
          <w:u w:val="single"/>
        </w:rPr>
        <w:t xml:space="preserve">                            </w:t>
      </w:r>
    </w:p>
    <w:p w14:paraId="7E47639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为加强工程建设中的廉政建设，规范工程建设项目承包双方的各项活动，防止发生各种谋取不正当利益的违法违纪行为，保护国家、集体和当事人的合法权益，根据国家有关工程建设的法律法规和廉政建设责任制规定，特订立本廉政合同。</w:t>
      </w:r>
    </w:p>
    <w:p w14:paraId="42B4DBF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第一条 甲乙双方的责任</w:t>
      </w:r>
    </w:p>
    <w:p w14:paraId="0B35DD6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 甲乙双方应共同遵守国家和江苏省、苏州市以及行业主管部门关于加强工程建设项目管理以及党风廉政建设的各项规定。</w:t>
      </w:r>
    </w:p>
    <w:p w14:paraId="53417F9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 甲乙双方应严格执行工程建设项目承发包合同文件，自觉按合同办事。</w:t>
      </w:r>
    </w:p>
    <w:p w14:paraId="27B2BE1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 除非法律认定的商业秘密和合同文件另有规定之外，甲乙双方的业务活动应坚持公开、公正、透明的原则，严禁损害国家和集体利益、违反工程建设项目管理规章制度的不正当交易。</w:t>
      </w:r>
    </w:p>
    <w:p w14:paraId="2E930A1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 甲乙双方如发现对方在业务活动中有违规、违纪、违法的行为，应及时提醒对方，情节严重的，应向其上级主管部门或园区纪检监察部门举报。</w:t>
      </w:r>
    </w:p>
    <w:p w14:paraId="1B42DD3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第二条 甲方的责任</w:t>
      </w:r>
    </w:p>
    <w:p w14:paraId="40512D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甲方的领导和从事该工程建设项目的工作人员，在工程建设的事前、事中、事后应遵守以下规定： </w:t>
      </w:r>
    </w:p>
    <w:p w14:paraId="78E4885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 不准向乙方和相关单位索要或接受回扣、礼金、有价证券、贵重物品和好处费等。</w:t>
      </w:r>
    </w:p>
    <w:p w14:paraId="66A27F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 不准在乙方和相关单位报销任何应由甲方或个人支付的费用。</w:t>
      </w:r>
    </w:p>
    <w:p w14:paraId="4DAE50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 不准要求、暗示或接受乙方和相关单位为个人装修住房、婚丧嫁娶、配偶子女的工作安排以及出国(境)、旅游等提供方便。</w:t>
      </w:r>
    </w:p>
    <w:p w14:paraId="09B504E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(四) 不准参加有可能影响公正执行公务的乙方和相关单位的宴请、娱乐等活动。</w:t>
      </w:r>
    </w:p>
    <w:p w14:paraId="7DA9CFA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(五) 不准向乙方介绍或为配偶、子女、亲属参与同甲方工程建设项目施工合同有关的设备、材料、工程分包、劳务等经济活动。不得以任何理由向乙方和相关单位推荐分包单位并要求乙方购买工程建设项目施工合同规定以外的材料、设备等。</w:t>
      </w:r>
    </w:p>
    <w:p w14:paraId="2D80FB9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第三条 乙方的责任</w:t>
      </w:r>
    </w:p>
    <w:p w14:paraId="25C7F77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乙方应与甲方保持正常的业务交往，按照有关法律法规和程序开展业务工作，严格执行工程建设的有关方针、政策，并遵守以下规定：</w:t>
      </w:r>
    </w:p>
    <w:p w14:paraId="0C826B56">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 不准以任何理由向甲方及其工作人员索要、接受或赠送礼金、有价证券、贵重物品及回扣、好处费等。</w:t>
      </w:r>
    </w:p>
    <w:p w14:paraId="1422DB5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 不准以任何理由为甲方和相关单位报销应由对方或个人支付的费用。</w:t>
      </w:r>
    </w:p>
    <w:p w14:paraId="7479475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 不准接受或暗示为甲方、相关单位或个人装修住房、婚丧嫁娶、配偶子女的工作安排以及出国(境)、旅游等提供方便。</w:t>
      </w:r>
    </w:p>
    <w:p w14:paraId="6E1B3A3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(四) 不准以任何理由为甲方、相关单位或个人组织有可能影响公正执行公务的宴请、娱乐等活动。 </w:t>
      </w:r>
    </w:p>
    <w:p w14:paraId="50C9282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第四条 违约责任</w:t>
      </w:r>
    </w:p>
    <w:p w14:paraId="503682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(一) 甲方或甲方工作人员有违反本合同第一、二条规定的，按照管理权限，由园区纪检监察部门依据有关法律法规给予党纪、政纪处分；涉嫌犯罪的，移交司法机关追究刑事责任。</w:t>
      </w:r>
    </w:p>
    <w:p w14:paraId="785B6DD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(二) 乙方或乙方工作人员有违反本合同第一、三条规定的，按照管理权限，园区纪检监察部门将建议相关建设主管部门给与相应的行政处罚；涉嫌犯罪的，移交司法机关追究刑事责任。</w:t>
      </w:r>
    </w:p>
    <w:p w14:paraId="2307ECF1">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(三) 无论本合同是否已履行完毕，乙方从事任何违反商业道德及相关反贿赂、反贪污、反腐败法律法规行为所获取的不当利益，甲方有权视同乙方给予甲方等值之折让，并加上本合同签约总金额的【20】％作为违约金，一并从本合同金额内予以扣除及(或)要求乙方予以支付。甲方还有权解除本合同并由乙方返还已付款、赔偿甲方因本合同终止而发生的所有成本、损失、损害和费用(包括但不限于造成的期限延误的赔偿，甲方更换承包人、供应商而增加的费用等)。</w:t>
      </w:r>
    </w:p>
    <w:p w14:paraId="40EB747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第五条 本合同书作为工程建设项目施工合同的附件，与工程建设项目施工合同具有同等法律效力。经双方签署后立即生效。</w:t>
      </w:r>
    </w:p>
    <w:p w14:paraId="0E63E8D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第六条 本合同</w:t>
      </w:r>
      <w:r>
        <w:rPr>
          <w:rFonts w:hint="eastAsia" w:ascii="宋体" w:hAnsi="宋体" w:eastAsia="宋体" w:cs="宋体"/>
          <w:bCs/>
          <w:color w:val="auto"/>
          <w:sz w:val="21"/>
          <w:szCs w:val="21"/>
          <w:highlight w:val="none"/>
        </w:rPr>
        <w:t>一式</w:t>
      </w:r>
      <w:r>
        <w:rPr>
          <w:rFonts w:hint="eastAsia" w:ascii="宋体" w:hAnsi="宋体" w:cs="宋体"/>
          <w:bCs/>
          <w:color w:val="auto"/>
          <w:sz w:val="21"/>
          <w:szCs w:val="21"/>
          <w:highlight w:val="none"/>
          <w:lang w:val="en-US" w:eastAsia="zh-CN"/>
        </w:rPr>
        <w:t>陆</w:t>
      </w:r>
      <w:r>
        <w:rPr>
          <w:rFonts w:hint="eastAsia" w:ascii="宋体" w:hAnsi="宋体" w:eastAsia="宋体" w:cs="宋体"/>
          <w:bCs/>
          <w:color w:val="auto"/>
          <w:sz w:val="21"/>
          <w:szCs w:val="21"/>
          <w:highlight w:val="none"/>
        </w:rPr>
        <w:t>份，</w:t>
      </w:r>
      <w:r>
        <w:rPr>
          <w:rFonts w:hint="eastAsia" w:ascii="宋体" w:hAnsi="宋体" w:eastAsia="宋体" w:cs="宋体"/>
          <w:bCs/>
          <w:color w:val="auto"/>
          <w:sz w:val="21"/>
          <w:szCs w:val="21"/>
          <w:highlight w:val="none"/>
          <w:lang w:val="en-US" w:eastAsia="zh-CN"/>
        </w:rPr>
        <w:t>发包人执贰份，</w:t>
      </w:r>
      <w:r>
        <w:rPr>
          <w:rFonts w:hint="eastAsia" w:ascii="宋体" w:hAnsi="宋体" w:eastAsia="宋体" w:cs="宋体"/>
          <w:bCs/>
          <w:color w:val="auto"/>
          <w:sz w:val="21"/>
          <w:szCs w:val="21"/>
          <w:highlight w:val="none"/>
        </w:rPr>
        <w:t>承包人执</w:t>
      </w:r>
      <w:r>
        <w:rPr>
          <w:rFonts w:hint="eastAsia" w:ascii="宋体" w:hAnsi="宋体" w:cs="宋体"/>
          <w:bCs/>
          <w:color w:val="auto"/>
          <w:sz w:val="21"/>
          <w:szCs w:val="21"/>
          <w:highlight w:val="none"/>
          <w:lang w:val="en-US" w:eastAsia="zh-CN"/>
        </w:rPr>
        <w:t>贰</w:t>
      </w:r>
      <w:r>
        <w:rPr>
          <w:rFonts w:hint="eastAsia" w:ascii="宋体" w:hAnsi="宋体" w:eastAsia="宋体" w:cs="宋体"/>
          <w:bCs/>
          <w:color w:val="auto"/>
          <w:sz w:val="21"/>
          <w:szCs w:val="21"/>
          <w:highlight w:val="none"/>
        </w:rPr>
        <w:t>份，</w:t>
      </w:r>
      <w:r>
        <w:rPr>
          <w:rFonts w:hint="eastAsia" w:ascii="宋体" w:hAnsi="宋体" w:cs="宋体"/>
          <w:bCs/>
          <w:color w:val="auto"/>
          <w:sz w:val="21"/>
          <w:szCs w:val="21"/>
          <w:highlight w:val="none"/>
          <w:lang w:val="en-US" w:eastAsia="zh-CN"/>
        </w:rPr>
        <w:t>采购代理</w:t>
      </w:r>
      <w:r>
        <w:rPr>
          <w:rFonts w:hint="eastAsia" w:ascii="宋体" w:hAnsi="宋体" w:eastAsia="宋体" w:cs="宋体"/>
          <w:bCs/>
          <w:color w:val="auto"/>
          <w:sz w:val="21"/>
          <w:szCs w:val="21"/>
          <w:highlight w:val="none"/>
        </w:rPr>
        <w:t>机构</w:t>
      </w:r>
      <w:r>
        <w:rPr>
          <w:rFonts w:hint="eastAsia" w:ascii="宋体" w:hAnsi="宋体" w:cs="宋体"/>
          <w:bCs/>
          <w:color w:val="auto"/>
          <w:sz w:val="21"/>
          <w:szCs w:val="21"/>
          <w:highlight w:val="none"/>
          <w:lang w:val="en-US" w:eastAsia="zh-CN"/>
        </w:rPr>
        <w:t>壹</w:t>
      </w:r>
      <w:r>
        <w:rPr>
          <w:rFonts w:hint="eastAsia" w:ascii="宋体" w:hAnsi="宋体" w:eastAsia="宋体" w:cs="宋体"/>
          <w:bCs/>
          <w:color w:val="auto"/>
          <w:sz w:val="21"/>
          <w:szCs w:val="21"/>
          <w:highlight w:val="none"/>
        </w:rPr>
        <w:t>份，政府采购管理部门</w:t>
      </w:r>
      <w:r>
        <w:rPr>
          <w:rFonts w:hint="eastAsia" w:ascii="宋体" w:hAnsi="宋体" w:cs="宋体"/>
          <w:bCs/>
          <w:color w:val="auto"/>
          <w:sz w:val="21"/>
          <w:szCs w:val="21"/>
          <w:highlight w:val="none"/>
          <w:lang w:val="en-US" w:eastAsia="zh-CN"/>
        </w:rPr>
        <w:t>壹</w:t>
      </w:r>
      <w:r>
        <w:rPr>
          <w:rFonts w:hint="eastAsia" w:ascii="宋体" w:hAnsi="宋体" w:eastAsia="宋体" w:cs="宋体"/>
          <w:bCs/>
          <w:color w:val="auto"/>
          <w:sz w:val="21"/>
          <w:szCs w:val="21"/>
          <w:highlight w:val="none"/>
        </w:rPr>
        <w:t>份。</w:t>
      </w:r>
    </w:p>
    <w:p w14:paraId="38784A97">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p>
    <w:p w14:paraId="0CE8F5A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发包人：  (公章)                      承包人：  (公章)</w:t>
      </w:r>
    </w:p>
    <w:p w14:paraId="6DB6156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法定代表人或其委托代理人：            法定代表人或其委托代理人：</w:t>
      </w:r>
    </w:p>
    <w:p w14:paraId="3128BE0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(签字或盖章)                          (签字或盖章)</w:t>
      </w:r>
    </w:p>
    <w:p w14:paraId="6FADFB5E">
      <w:pPr>
        <w:spacing w:line="360" w:lineRule="auto"/>
        <w:ind w:firstLine="420"/>
        <w:rPr>
          <w:rFonts w:hint="eastAsia" w:ascii="宋体" w:hAnsi="宋体" w:eastAsia="宋体" w:cs="宋体"/>
          <w:color w:val="auto"/>
          <w:szCs w:val="21"/>
        </w:rPr>
      </w:pPr>
    </w:p>
    <w:p w14:paraId="4529C6FC">
      <w:pPr>
        <w:spacing w:line="360" w:lineRule="auto"/>
        <w:ind w:firstLine="480"/>
        <w:rPr>
          <w:rFonts w:ascii="宋体" w:hAnsi="宋体" w:cs="宋体"/>
          <w:color w:val="auto"/>
          <w:sz w:val="24"/>
          <w:highlight w:val="none"/>
        </w:rPr>
      </w:pPr>
    </w:p>
    <w:p w14:paraId="1BE1025B">
      <w:pPr>
        <w:spacing w:line="240" w:lineRule="auto"/>
        <w:ind w:firstLine="0"/>
        <w:rPr>
          <w:rFonts w:ascii="宋体" w:hAnsi="宋体" w:cs="宋体"/>
          <w:color w:val="auto"/>
          <w:sz w:val="24"/>
          <w:highlight w:val="none"/>
        </w:rPr>
      </w:pPr>
      <w:r>
        <w:rPr>
          <w:rFonts w:ascii="宋体" w:hAnsi="宋体" w:cs="宋体"/>
          <w:color w:val="auto"/>
          <w:sz w:val="24"/>
          <w:highlight w:val="none"/>
        </w:rPr>
        <w:br w:type="page" w:clear="all"/>
      </w:r>
    </w:p>
    <w:p w14:paraId="346CD7F0">
      <w:pPr>
        <w:spacing w:line="360" w:lineRule="auto"/>
        <w:ind w:firstLine="480"/>
        <w:rPr>
          <w:rFonts w:ascii="宋体" w:hAnsi="宋体" w:cs="宋体"/>
          <w:color w:val="auto"/>
          <w:sz w:val="24"/>
          <w:highlight w:val="none"/>
        </w:rPr>
        <w:sectPr>
          <w:pgSz w:w="11906" w:h="16838"/>
          <w:pgMar w:top="1440" w:right="1800" w:bottom="1440" w:left="1800" w:header="851" w:footer="992" w:gutter="0"/>
          <w:cols w:space="720" w:num="1"/>
          <w:docGrid w:linePitch="360" w:charSpace="0"/>
        </w:sectPr>
      </w:pPr>
    </w:p>
    <w:bookmarkEnd w:id="0"/>
    <w:p w14:paraId="3635C1AF">
      <w:pPr>
        <w:pStyle w:val="39"/>
        <w:keepNext w:val="0"/>
        <w:keepLines w:val="0"/>
        <w:pageBreakBefore w:val="0"/>
        <w:kinsoku/>
        <w:wordWrap/>
        <w:overflowPunct/>
        <w:topLinePunct w:val="0"/>
        <w:autoSpaceDE/>
        <w:autoSpaceDN/>
        <w:bidi w:val="0"/>
        <w:adjustRightInd/>
        <w:snapToGrid/>
        <w:spacing w:before="75" w:beforeAutospacing="0" w:after="75" w:afterAutospacing="0" w:line="360" w:lineRule="auto"/>
        <w:jc w:val="center"/>
        <w:textAlignment w:val="auto"/>
        <w:rPr>
          <w:rStyle w:val="46"/>
          <w:color w:val="auto"/>
          <w:sz w:val="43"/>
          <w:szCs w:val="43"/>
          <w:highlight w:val="none"/>
        </w:rPr>
      </w:pPr>
      <w:r>
        <w:rPr>
          <w:rStyle w:val="46"/>
          <w:rFonts w:hint="eastAsia"/>
          <w:color w:val="auto"/>
          <w:sz w:val="43"/>
          <w:szCs w:val="43"/>
          <w:highlight w:val="none"/>
        </w:rPr>
        <w:t>第五章 磋商响应文件格式</w:t>
      </w:r>
    </w:p>
    <w:p w14:paraId="24A4EC2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格式一：</w:t>
      </w:r>
    </w:p>
    <w:p w14:paraId="518F871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磋商响应承诺书</w:t>
      </w:r>
    </w:p>
    <w:p w14:paraId="2F8B313B">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中诚智信工程咨询集团股份有限公司</w:t>
      </w:r>
      <w:r>
        <w:rPr>
          <w:rFonts w:ascii="宋体" w:hAnsi="宋体"/>
          <w:color w:val="auto"/>
          <w:sz w:val="21"/>
          <w:szCs w:val="21"/>
          <w:highlight w:val="none"/>
        </w:rPr>
        <w:t>：</w:t>
      </w:r>
    </w:p>
    <w:p w14:paraId="45B24920">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我们收到你们</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号</w:t>
      </w:r>
      <w:r>
        <w:rPr>
          <w:rFonts w:ascii="宋体" w:hAnsi="宋体"/>
          <w:color w:val="auto"/>
          <w:sz w:val="21"/>
          <w:szCs w:val="21"/>
          <w:highlight w:val="none"/>
        </w:rPr>
        <w:t>采购文件，经仔细阅读和研究，我们决定参加磋商。</w:t>
      </w:r>
      <w:r>
        <w:rPr>
          <w:rFonts w:hint="eastAsia" w:ascii="宋体" w:hAnsi="宋体"/>
          <w:color w:val="auto"/>
          <w:sz w:val="21"/>
          <w:szCs w:val="21"/>
          <w:highlight w:val="none"/>
        </w:rPr>
        <w:t>同时我公司承诺：</w:t>
      </w:r>
    </w:p>
    <w:p w14:paraId="65D4DF5C">
      <w:pPr>
        <w:keepNext w:val="0"/>
        <w:keepLines w:val="0"/>
        <w:pageBreakBefore w:val="0"/>
        <w:kinsoku/>
        <w:wordWrap/>
        <w:overflowPunct/>
        <w:topLinePunct w:val="0"/>
        <w:autoSpaceDE/>
        <w:autoSpaceDN/>
        <w:bidi w:val="0"/>
        <w:adjustRightInd/>
        <w:snapToGrid/>
        <w:spacing w:line="360" w:lineRule="auto"/>
        <w:ind w:right="-161" w:firstLine="420" w:firstLineChars="200"/>
        <w:textAlignment w:val="auto"/>
        <w:rPr>
          <w:rFonts w:ascii="宋体" w:hAnsi="宋体"/>
          <w:color w:val="auto"/>
          <w:sz w:val="21"/>
          <w:szCs w:val="21"/>
          <w:highlight w:val="none"/>
        </w:rPr>
      </w:pPr>
      <w:r>
        <w:rPr>
          <w:rFonts w:ascii="宋体" w:hAnsi="宋体"/>
          <w:color w:val="auto"/>
          <w:sz w:val="21"/>
          <w:szCs w:val="21"/>
          <w:highlight w:val="none"/>
        </w:rPr>
        <w:t>1</w:t>
      </w:r>
      <w:r>
        <w:rPr>
          <w:rFonts w:hint="eastAsia" w:ascii="宋体" w:hAnsi="宋体"/>
          <w:color w:val="auto"/>
          <w:sz w:val="21"/>
          <w:szCs w:val="21"/>
          <w:highlight w:val="none"/>
        </w:rPr>
        <w:t>、我们愿意按照采购文件的一切要求，提供满足采购要求的工作内容，我公司的响应报价</w:t>
      </w:r>
      <w:r>
        <w:rPr>
          <w:rFonts w:hint="eastAsia" w:ascii="宋体" w:hAnsi="宋体"/>
          <w:color w:val="auto"/>
          <w:sz w:val="21"/>
          <w:szCs w:val="21"/>
          <w:highlight w:val="none"/>
          <w:lang w:val="en-US" w:eastAsia="zh-CN"/>
        </w:rPr>
        <w:t>包括</w:t>
      </w:r>
      <w:r>
        <w:rPr>
          <w:rFonts w:hint="eastAsia" w:ascii="宋体" w:hAnsi="宋体" w:eastAsia="宋体" w:cs="宋体"/>
          <w:color w:val="auto"/>
          <w:sz w:val="21"/>
          <w:szCs w:val="21"/>
          <w:highlight w:val="none"/>
        </w:rPr>
        <w:t>完成该项目所需的</w:t>
      </w:r>
      <w:r>
        <w:rPr>
          <w:rFonts w:hint="eastAsia" w:ascii="宋体" w:hAnsi="宋体" w:eastAsia="宋体" w:cs="宋体"/>
          <w:color w:val="auto"/>
          <w:sz w:val="21"/>
          <w:szCs w:val="21"/>
          <w:highlight w:val="none"/>
          <w:lang w:val="zh-CN"/>
        </w:rPr>
        <w:t>全部人工费、材料费、机械使用费、管理费、利润、工程风险、规费、税金，以及所需</w:t>
      </w:r>
      <w:r>
        <w:rPr>
          <w:rFonts w:hint="eastAsia" w:ascii="宋体" w:hAnsi="宋体" w:eastAsia="宋体" w:cs="宋体"/>
          <w:color w:val="auto"/>
          <w:sz w:val="21"/>
          <w:szCs w:val="21"/>
          <w:highlight w:val="none"/>
        </w:rPr>
        <w:t>的深化设计、施工准备、施工过程、保修期等所需的供货、运输、人工、运杂保险、装卸、备品、备件、损耗、安装、调试、人员培训、售后服务、专利技术等一切费用。在合同实施期间，不增加任何费用。</w:t>
      </w:r>
    </w:p>
    <w:p w14:paraId="2D97581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2</w:t>
      </w:r>
      <w:r>
        <w:rPr>
          <w:rFonts w:hint="eastAsia" w:ascii="宋体" w:hAnsi="宋体"/>
          <w:color w:val="auto"/>
          <w:sz w:val="21"/>
          <w:szCs w:val="21"/>
          <w:highlight w:val="none"/>
        </w:rPr>
        <w:t>、如果我们的磋商响应文件被接受，我们将严格履行磋商采购文件中规定的每一项要求，按期、按质、按量履行合同的义务。确保提供合格工程。</w:t>
      </w:r>
    </w:p>
    <w:p w14:paraId="38EAA312">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3</w:t>
      </w:r>
      <w:r>
        <w:rPr>
          <w:rFonts w:hint="eastAsia" w:ascii="宋体" w:hAnsi="宋体"/>
          <w:color w:val="auto"/>
          <w:sz w:val="21"/>
          <w:szCs w:val="21"/>
          <w:highlight w:val="none"/>
        </w:rPr>
        <w:t>、我们同意按磋商采购文件中的规定，本磋商响应文件的有效期限为开标后</w:t>
      </w:r>
      <w:r>
        <w:rPr>
          <w:rFonts w:ascii="宋体" w:hAnsi="宋体"/>
          <w:b/>
          <w:bCs/>
          <w:color w:val="auto"/>
          <w:sz w:val="21"/>
          <w:szCs w:val="21"/>
          <w:highlight w:val="none"/>
        </w:rPr>
        <w:t>60</w:t>
      </w:r>
      <w:r>
        <w:rPr>
          <w:rFonts w:hint="eastAsia" w:ascii="宋体" w:hAnsi="宋体"/>
          <w:color w:val="auto"/>
          <w:sz w:val="21"/>
          <w:szCs w:val="21"/>
          <w:highlight w:val="none"/>
        </w:rPr>
        <w:t>天。</w:t>
      </w:r>
    </w:p>
    <w:p w14:paraId="6129A9E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4</w:t>
      </w:r>
      <w:r>
        <w:rPr>
          <w:rFonts w:hint="eastAsia" w:ascii="宋体" w:hAnsi="宋体"/>
          <w:color w:val="auto"/>
          <w:sz w:val="21"/>
          <w:szCs w:val="21"/>
          <w:highlight w:val="none"/>
        </w:rPr>
        <w:t>、我们愿意提供采购人在采购文件中要求的所有资料。</w:t>
      </w:r>
    </w:p>
    <w:p w14:paraId="5D253C8D">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5</w:t>
      </w:r>
      <w:r>
        <w:rPr>
          <w:rFonts w:hint="eastAsia" w:ascii="宋体" w:hAnsi="宋体"/>
          <w:color w:val="auto"/>
          <w:sz w:val="21"/>
          <w:szCs w:val="21"/>
          <w:highlight w:val="none"/>
        </w:rPr>
        <w:t>、我们认为你们有权决定成交人，还认为你们有权接受或拒绝所有的磋商响应单位。</w:t>
      </w:r>
    </w:p>
    <w:p w14:paraId="4C27C54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6</w:t>
      </w:r>
      <w:r>
        <w:rPr>
          <w:rFonts w:hint="eastAsia" w:ascii="宋体" w:hAnsi="宋体"/>
          <w:color w:val="auto"/>
          <w:sz w:val="21"/>
          <w:szCs w:val="21"/>
          <w:highlight w:val="none"/>
        </w:rPr>
        <w:t>、我们愿意遵守磋商邀请函及采购文件中所列的收费标准。</w:t>
      </w:r>
    </w:p>
    <w:p w14:paraId="44F6A06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ascii="宋体" w:hAnsi="宋体"/>
          <w:color w:val="auto"/>
          <w:sz w:val="21"/>
          <w:szCs w:val="21"/>
          <w:highlight w:val="none"/>
        </w:rPr>
        <w:t>7</w:t>
      </w:r>
      <w:r>
        <w:rPr>
          <w:rFonts w:hint="eastAsia" w:ascii="宋体" w:hAnsi="宋体"/>
          <w:color w:val="auto"/>
          <w:sz w:val="21"/>
          <w:szCs w:val="21"/>
          <w:highlight w:val="none"/>
        </w:rPr>
        <w:t>、我们承诺该项磋商在开标后的全过程中保持有效，不作任何更改和变动。</w:t>
      </w:r>
    </w:p>
    <w:p w14:paraId="65E9CE3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hint="eastAsia" w:ascii="宋体" w:hAnsi="宋体"/>
          <w:color w:val="auto"/>
          <w:sz w:val="21"/>
          <w:szCs w:val="21"/>
          <w:highlight w:val="none"/>
        </w:rPr>
        <w:t>8、我们愿意按磋商采购文件的规定交纳磋商保证金。</w:t>
      </w:r>
    </w:p>
    <w:p w14:paraId="21DA47C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hint="eastAsia" w:ascii="宋体" w:hAnsi="宋体"/>
          <w:color w:val="auto"/>
          <w:sz w:val="21"/>
          <w:szCs w:val="21"/>
          <w:highlight w:val="none"/>
        </w:rPr>
        <w:t>9、贵单位的采购文件、成交通知书和本报价响应文件将构成约束我们双方的合同。</w:t>
      </w:r>
    </w:p>
    <w:p w14:paraId="028C38BC">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hint="eastAsia" w:ascii="宋体" w:hAnsi="宋体"/>
          <w:color w:val="auto"/>
          <w:sz w:val="21"/>
          <w:szCs w:val="21"/>
          <w:highlight w:val="none"/>
        </w:rPr>
        <w:t>10、我单位保证提交的报价响应文件未涉及第三方的知识产权，我方承诺如有第三方对相关的知识产权提出异议和索赔由我单位负责解决，与采购人无关。</w:t>
      </w:r>
    </w:p>
    <w:p w14:paraId="1B920C0A">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hint="eastAsia" w:ascii="宋体" w:hAnsi="宋体"/>
          <w:color w:val="auto"/>
          <w:sz w:val="21"/>
          <w:szCs w:val="21"/>
          <w:highlight w:val="none"/>
        </w:rPr>
        <w:t>11、我单位承诺在报价响应文件中提供的证书、资料及相关数据均为真实的，非虚假的；否则，我单位将承担由此造成的一切后果及</w:t>
      </w:r>
      <w:r>
        <w:rPr>
          <w:rFonts w:ascii="宋体" w:hAnsi="宋体"/>
          <w:color w:val="auto"/>
          <w:sz w:val="21"/>
          <w:szCs w:val="21"/>
          <w:highlight w:val="none"/>
        </w:rPr>
        <w:t>法律责任</w:t>
      </w:r>
      <w:r>
        <w:rPr>
          <w:rFonts w:hint="eastAsia" w:ascii="宋体" w:hAnsi="宋体"/>
          <w:color w:val="auto"/>
          <w:sz w:val="21"/>
          <w:szCs w:val="21"/>
          <w:highlight w:val="none"/>
        </w:rPr>
        <w:t>。</w:t>
      </w:r>
    </w:p>
    <w:p w14:paraId="1DC8E5E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p>
    <w:p w14:paraId="3E0A5EA5">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color w:val="auto"/>
          <w:sz w:val="21"/>
          <w:szCs w:val="21"/>
          <w:highlight w:val="none"/>
        </w:rPr>
      </w:pPr>
      <w:r>
        <w:rPr>
          <w:rFonts w:hint="eastAsia" w:ascii="宋体" w:hAnsi="宋体"/>
          <w:color w:val="auto"/>
          <w:sz w:val="21"/>
          <w:szCs w:val="21"/>
          <w:highlight w:val="none"/>
        </w:rPr>
        <w:t>磋商响应单位（盖章）：_________________________________________</w:t>
      </w:r>
    </w:p>
    <w:p w14:paraId="4369F802">
      <w:pPr>
        <w:keepNext w:val="0"/>
        <w:keepLines w:val="0"/>
        <w:pageBreakBefore w:val="0"/>
        <w:widowControl w:val="0"/>
        <w:kinsoku/>
        <w:wordWrap/>
        <w:overflowPunct/>
        <w:topLinePunct w:val="0"/>
        <w:autoSpaceDE/>
        <w:autoSpaceDN/>
        <w:bidi w:val="0"/>
        <w:adjustRightInd/>
        <w:snapToGrid/>
        <w:spacing w:line="360" w:lineRule="auto"/>
        <w:ind w:firstLine="470"/>
        <w:textAlignment w:val="auto"/>
        <w:rPr>
          <w:rFonts w:ascii="宋体" w:hAnsi="宋体"/>
          <w:color w:val="auto"/>
          <w:sz w:val="21"/>
          <w:szCs w:val="21"/>
          <w:highlight w:val="none"/>
        </w:rPr>
      </w:pPr>
      <w:r>
        <w:rPr>
          <w:rFonts w:hint="eastAsia" w:ascii="宋体" w:hAnsi="宋体"/>
          <w:color w:val="auto"/>
          <w:sz w:val="21"/>
          <w:szCs w:val="21"/>
          <w:highlight w:val="none"/>
        </w:rPr>
        <w:t>法人代表人或授权委托人（签字或盖章）：_________________________</w:t>
      </w:r>
    </w:p>
    <w:p w14:paraId="7636677C">
      <w:pPr>
        <w:keepNext w:val="0"/>
        <w:keepLines w:val="0"/>
        <w:pageBreakBefore w:val="0"/>
        <w:widowControl w:val="0"/>
        <w:kinsoku/>
        <w:wordWrap/>
        <w:overflowPunct/>
        <w:topLinePunct w:val="0"/>
        <w:autoSpaceDE/>
        <w:autoSpaceDN/>
        <w:bidi w:val="0"/>
        <w:adjustRightInd/>
        <w:snapToGrid/>
        <w:spacing w:line="360" w:lineRule="auto"/>
        <w:ind w:firstLine="470"/>
        <w:textAlignment w:val="auto"/>
        <w:rPr>
          <w:rFonts w:ascii="宋体" w:hAnsi="宋体"/>
          <w:color w:val="auto"/>
          <w:sz w:val="21"/>
          <w:szCs w:val="21"/>
          <w:highlight w:val="none"/>
        </w:rPr>
      </w:pPr>
      <w:r>
        <w:rPr>
          <w:rFonts w:hint="eastAsia" w:ascii="宋体" w:hAnsi="宋体"/>
          <w:color w:val="auto"/>
          <w:sz w:val="21"/>
          <w:szCs w:val="21"/>
          <w:highlight w:val="none"/>
        </w:rPr>
        <w:t xml:space="preserve">联系电话（手机号）：_________________________          </w:t>
      </w:r>
    </w:p>
    <w:p w14:paraId="1504965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color w:val="auto"/>
          <w:sz w:val="24"/>
          <w:highlight w:val="none"/>
        </w:rPr>
        <w:br w:type="page" w:clear="all"/>
      </w:r>
      <w:r>
        <w:rPr>
          <w:rFonts w:hint="eastAsia" w:ascii="宋体" w:hAnsi="宋体" w:eastAsia="宋体" w:cs="Times New Roman"/>
          <w:color w:val="auto"/>
          <w:kern w:val="2"/>
          <w:sz w:val="21"/>
          <w:szCs w:val="21"/>
          <w:highlight w:val="none"/>
        </w:rPr>
        <w:t>格式二：</w:t>
      </w:r>
    </w:p>
    <w:p w14:paraId="5C3B0282">
      <w:pPr>
        <w:keepNext w:val="0"/>
        <w:keepLines w:val="0"/>
        <w:pageBreakBefore w:val="0"/>
        <w:widowControl w:val="0"/>
        <w:kinsoku/>
        <w:wordWrap/>
        <w:overflowPunct/>
        <w:topLinePunct w:val="0"/>
        <w:bidi w:val="0"/>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磋商响应报价表（第一次报价）</w:t>
      </w:r>
    </w:p>
    <w:p w14:paraId="6F2371AB">
      <w:pPr>
        <w:keepNext w:val="0"/>
        <w:keepLines w:val="0"/>
        <w:pageBreakBefore w:val="0"/>
        <w:widowControl w:val="0"/>
        <w:kinsoku/>
        <w:wordWrap/>
        <w:overflowPunct/>
        <w:topLinePunct w:val="0"/>
        <w:bidi w:val="0"/>
        <w:snapToGrid/>
        <w:spacing w:line="360" w:lineRule="auto"/>
        <w:textAlignment w:val="auto"/>
        <w:rPr>
          <w:rFonts w:ascii="宋体" w:hAnsi="宋体"/>
          <w:color w:val="auto"/>
          <w:sz w:val="21"/>
          <w:szCs w:val="21"/>
          <w:highlight w:val="none"/>
        </w:rPr>
      </w:pPr>
      <w:r>
        <w:rPr>
          <w:rFonts w:ascii="宋体" w:hAnsi="宋体"/>
          <w:color w:val="auto"/>
          <w:sz w:val="21"/>
          <w:szCs w:val="21"/>
          <w:highlight w:val="none"/>
        </w:rPr>
        <w:t>采购编号：</w:t>
      </w:r>
      <w:r>
        <w:rPr>
          <w:rFonts w:hint="eastAsia" w:ascii="宋体" w:hAnsi="宋体"/>
          <w:color w:val="auto"/>
          <w:sz w:val="21"/>
          <w:szCs w:val="21"/>
          <w:highlight w:val="none"/>
          <w:u w:val="single"/>
        </w:rPr>
        <w:t xml:space="preserve">               号</w:t>
      </w:r>
    </w:p>
    <w:tbl>
      <w:tblPr>
        <w:tblStyle w:val="43"/>
        <w:tblW w:w="4998"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928"/>
        <w:gridCol w:w="2212"/>
        <w:gridCol w:w="3762"/>
        <w:gridCol w:w="1617"/>
      </w:tblGrid>
      <w:tr w14:paraId="3D679E9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1" w:hRule="atLeast"/>
          <w:jc w:val="center"/>
        </w:trPr>
        <w:tc>
          <w:tcPr>
            <w:tcW w:w="545" w:type="pct"/>
            <w:tcBorders>
              <w:top w:val="single" w:color="auto" w:sz="4" w:space="0"/>
              <w:left w:val="single" w:color="auto" w:sz="4" w:space="0"/>
              <w:bottom w:val="single" w:color="auto" w:sz="4" w:space="0"/>
              <w:right w:val="single" w:color="auto" w:sz="4" w:space="0"/>
            </w:tcBorders>
            <w:vAlign w:val="center"/>
          </w:tcPr>
          <w:p w14:paraId="6C3F5ECC">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color w:val="auto"/>
                <w:sz w:val="21"/>
                <w:szCs w:val="21"/>
                <w:highlight w:val="none"/>
              </w:rPr>
            </w:pPr>
            <w:r>
              <w:rPr>
                <w:rFonts w:hint="eastAsia" w:ascii="宋体" w:hAnsi="宋体" w:cs="宋体"/>
                <w:color w:val="auto"/>
                <w:sz w:val="21"/>
                <w:szCs w:val="21"/>
                <w:highlight w:val="none"/>
                <w:lang w:val="zh-CN"/>
              </w:rPr>
              <w:t>序号</w:t>
            </w:r>
          </w:p>
        </w:tc>
        <w:tc>
          <w:tcPr>
            <w:tcW w:w="1298" w:type="pct"/>
            <w:tcBorders>
              <w:top w:val="single" w:color="auto" w:sz="4" w:space="0"/>
              <w:left w:val="single" w:color="auto" w:sz="4" w:space="0"/>
              <w:bottom w:val="single" w:color="auto" w:sz="4" w:space="0"/>
              <w:right w:val="single" w:color="auto" w:sz="4" w:space="0"/>
            </w:tcBorders>
            <w:vAlign w:val="center"/>
          </w:tcPr>
          <w:p w14:paraId="5624AC52">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color w:val="auto"/>
                <w:sz w:val="21"/>
                <w:szCs w:val="21"/>
                <w:highlight w:val="none"/>
              </w:rPr>
            </w:pPr>
            <w:r>
              <w:rPr>
                <w:rFonts w:hint="eastAsia" w:ascii="宋体" w:hAnsi="宋体" w:cs="宋体"/>
                <w:color w:val="auto"/>
                <w:sz w:val="21"/>
                <w:szCs w:val="21"/>
                <w:highlight w:val="none"/>
                <w:lang w:val="zh-CN"/>
              </w:rPr>
              <w:t>工程名称</w:t>
            </w:r>
          </w:p>
        </w:tc>
        <w:tc>
          <w:tcPr>
            <w:tcW w:w="2208" w:type="pct"/>
            <w:tcBorders>
              <w:top w:val="single" w:color="auto" w:sz="4" w:space="0"/>
              <w:left w:val="single" w:color="auto" w:sz="4" w:space="0"/>
              <w:bottom w:val="single" w:color="auto" w:sz="4" w:space="0"/>
              <w:right w:val="single" w:color="auto" w:sz="4" w:space="0"/>
            </w:tcBorders>
            <w:vAlign w:val="center"/>
          </w:tcPr>
          <w:p w14:paraId="57F3BB80">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color w:val="auto"/>
                <w:sz w:val="21"/>
                <w:szCs w:val="21"/>
                <w:highlight w:val="none"/>
              </w:rPr>
            </w:pPr>
            <w:r>
              <w:rPr>
                <w:rFonts w:hint="eastAsia" w:ascii="宋体" w:hAnsi="宋体" w:cs="宋体"/>
                <w:color w:val="auto"/>
                <w:sz w:val="21"/>
                <w:szCs w:val="21"/>
                <w:highlight w:val="none"/>
                <w:lang w:val="zh-CN"/>
              </w:rPr>
              <w:t>磋商响应报价</w:t>
            </w:r>
          </w:p>
        </w:tc>
        <w:tc>
          <w:tcPr>
            <w:tcW w:w="947" w:type="pct"/>
            <w:tcBorders>
              <w:top w:val="single" w:color="auto" w:sz="4" w:space="0"/>
              <w:left w:val="single" w:color="auto" w:sz="4" w:space="0"/>
              <w:bottom w:val="single" w:color="auto" w:sz="4" w:space="0"/>
              <w:right w:val="single" w:color="auto" w:sz="4" w:space="0"/>
            </w:tcBorders>
            <w:vAlign w:val="center"/>
          </w:tcPr>
          <w:p w14:paraId="3C6D050D">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备注</w:t>
            </w:r>
          </w:p>
        </w:tc>
      </w:tr>
      <w:tr w14:paraId="6B763C0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68" w:hRule="atLeast"/>
          <w:jc w:val="center"/>
        </w:trPr>
        <w:tc>
          <w:tcPr>
            <w:tcW w:w="545" w:type="pct"/>
            <w:tcBorders>
              <w:top w:val="single" w:color="auto" w:sz="4" w:space="0"/>
              <w:left w:val="single" w:color="auto" w:sz="4" w:space="0"/>
              <w:bottom w:val="single" w:color="auto" w:sz="4" w:space="0"/>
              <w:right w:val="single" w:color="auto" w:sz="4" w:space="0"/>
            </w:tcBorders>
            <w:vAlign w:val="center"/>
          </w:tcPr>
          <w:p w14:paraId="4B3CAD2C">
            <w:pPr>
              <w:keepNext w:val="0"/>
              <w:keepLines w:val="0"/>
              <w:pageBreakBefore w:val="0"/>
              <w:widowControl w:val="0"/>
              <w:kinsoku/>
              <w:wordWrap/>
              <w:overflowPunct/>
              <w:topLinePunct w:val="0"/>
              <w:autoSpaceDE w:val="0"/>
              <w:autoSpaceDN w:val="0"/>
              <w:bidi w:val="0"/>
              <w:adjustRightInd w:val="0"/>
              <w:snapToGri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1298" w:type="pct"/>
            <w:tcBorders>
              <w:top w:val="single" w:color="auto" w:sz="4" w:space="0"/>
              <w:left w:val="single" w:color="auto" w:sz="4" w:space="0"/>
              <w:bottom w:val="single" w:color="auto" w:sz="4" w:space="0"/>
              <w:right w:val="single" w:color="auto" w:sz="4" w:space="0"/>
            </w:tcBorders>
            <w:vAlign w:val="center"/>
          </w:tcPr>
          <w:p w14:paraId="71CC5D67">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p>
        </w:tc>
        <w:tc>
          <w:tcPr>
            <w:tcW w:w="2208" w:type="pct"/>
            <w:tcBorders>
              <w:top w:val="single" w:color="auto" w:sz="4" w:space="0"/>
              <w:left w:val="single" w:color="auto" w:sz="4" w:space="0"/>
              <w:bottom w:val="single" w:color="auto" w:sz="4" w:space="0"/>
              <w:right w:val="single" w:color="auto" w:sz="4" w:space="0"/>
            </w:tcBorders>
            <w:vAlign w:val="center"/>
          </w:tcPr>
          <w:p w14:paraId="48283240">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p>
        </w:tc>
        <w:tc>
          <w:tcPr>
            <w:tcW w:w="947" w:type="pct"/>
            <w:tcBorders>
              <w:top w:val="single" w:color="auto" w:sz="4" w:space="0"/>
              <w:left w:val="single" w:color="auto" w:sz="4" w:space="0"/>
              <w:bottom w:val="single" w:color="auto" w:sz="4" w:space="0"/>
              <w:right w:val="single" w:color="auto" w:sz="4" w:space="0"/>
            </w:tcBorders>
            <w:vAlign w:val="center"/>
          </w:tcPr>
          <w:p w14:paraId="491CA86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p>
        </w:tc>
      </w:tr>
      <w:tr w14:paraId="4FEAFF3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2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31E8ED79">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 xml:space="preserve">磋商响应总报价：人民币（大写）                         </w:t>
            </w:r>
          </w:p>
        </w:tc>
      </w:tr>
      <w:tr w14:paraId="14BF5C8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054DCD08">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lang w:val="en-US" w:eastAsia="zh-CN"/>
              </w:rPr>
              <w:t>合同履行期限（</w:t>
            </w:r>
            <w:r>
              <w:rPr>
                <w:rFonts w:hint="eastAsia" w:ascii="宋体" w:hAnsi="宋体"/>
                <w:color w:val="auto"/>
                <w:sz w:val="21"/>
                <w:szCs w:val="21"/>
                <w:highlight w:val="none"/>
              </w:rPr>
              <w:t>工期</w:t>
            </w:r>
            <w:r>
              <w:rPr>
                <w:rFonts w:hint="eastAsia" w:ascii="宋体" w:hAnsi="宋体"/>
                <w:color w:val="auto"/>
                <w:sz w:val="21"/>
                <w:szCs w:val="21"/>
                <w:highlight w:val="none"/>
                <w:lang w:eastAsia="zh-CN"/>
              </w:rPr>
              <w:t>）</w:t>
            </w:r>
            <w:r>
              <w:rPr>
                <w:rFonts w:hint="eastAsia" w:ascii="宋体" w:hAnsi="宋体"/>
                <w:color w:val="auto"/>
                <w:sz w:val="21"/>
                <w:szCs w:val="21"/>
                <w:highlight w:val="none"/>
              </w:rPr>
              <w:t>：</w:t>
            </w:r>
          </w:p>
        </w:tc>
      </w:tr>
      <w:tr w14:paraId="1F2C12F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0C4DC931">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工程质量标准：</w:t>
            </w:r>
          </w:p>
        </w:tc>
      </w:tr>
      <w:tr w14:paraId="6151A3A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78E0C0CE">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拟派</w:t>
            </w:r>
            <w:r>
              <w:rPr>
                <w:rFonts w:hint="eastAsia" w:ascii="宋体" w:hAnsi="宋体" w:cs="宋体"/>
                <w:color w:val="auto"/>
                <w:sz w:val="21"/>
                <w:szCs w:val="21"/>
                <w:highlight w:val="none"/>
                <w:lang w:val="zh-CN"/>
              </w:rPr>
              <w:t>项目</w:t>
            </w:r>
            <w:r>
              <w:rPr>
                <w:rFonts w:hint="eastAsia" w:ascii="宋体" w:hAnsi="宋体" w:cs="宋体"/>
                <w:color w:val="auto"/>
                <w:sz w:val="21"/>
                <w:szCs w:val="21"/>
                <w:highlight w:val="none"/>
                <w:lang w:val="en-US" w:eastAsia="zh-CN"/>
              </w:rPr>
              <w:t>经理</w:t>
            </w:r>
            <w:r>
              <w:rPr>
                <w:rFonts w:hint="eastAsia" w:ascii="宋体" w:hAnsi="宋体"/>
                <w:color w:val="auto"/>
                <w:sz w:val="21"/>
                <w:szCs w:val="21"/>
                <w:highlight w:val="none"/>
              </w:rPr>
              <w:t>：       （姓名），资质等级：    级，证号     。</w:t>
            </w:r>
          </w:p>
        </w:tc>
      </w:tr>
      <w:tr w14:paraId="10DB52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jc w:val="center"/>
        </w:trPr>
        <w:tc>
          <w:tcPr>
            <w:tcW w:w="5000" w:type="pct"/>
            <w:gridSpan w:val="4"/>
            <w:tcBorders>
              <w:top w:val="single" w:color="auto" w:sz="4" w:space="0"/>
              <w:left w:val="single" w:color="auto" w:sz="4" w:space="0"/>
              <w:bottom w:val="single" w:color="auto" w:sz="4" w:space="0"/>
              <w:right w:val="single" w:color="auto" w:sz="4" w:space="0"/>
            </w:tcBorders>
            <w:vAlign w:val="center"/>
          </w:tcPr>
          <w:p w14:paraId="14014C5D">
            <w:pPr>
              <w:keepNext w:val="0"/>
              <w:keepLines w:val="0"/>
              <w:pageBreakBefore w:val="0"/>
              <w:widowControl w:val="0"/>
              <w:kinsoku/>
              <w:wordWrap/>
              <w:overflowPunct/>
              <w:topLinePunct w:val="0"/>
              <w:autoSpaceDE w:val="0"/>
              <w:autoSpaceDN w:val="0"/>
              <w:bidi w:val="0"/>
              <w:adjustRightInd w:val="0"/>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备注：</w:t>
            </w:r>
            <w:r>
              <w:rPr>
                <w:rFonts w:hint="eastAsia" w:ascii="宋体" w:hAnsi="宋体"/>
                <w:b/>
                <w:color w:val="auto"/>
                <w:szCs w:val="21"/>
                <w:highlight w:val="none"/>
              </w:rPr>
              <w:t>企业对应的勾选： □中    □小      □微    □监狱企业    □残疾人企业</w:t>
            </w:r>
          </w:p>
        </w:tc>
      </w:tr>
    </w:tbl>
    <w:p w14:paraId="5FA85E5C">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ascii="宋体" w:hAnsi="宋体" w:cs="Arial"/>
          <w:b/>
          <w:bCs/>
          <w:color w:val="auto"/>
          <w:sz w:val="21"/>
          <w:szCs w:val="21"/>
          <w:highlight w:val="none"/>
        </w:rPr>
      </w:pPr>
      <w:r>
        <w:rPr>
          <w:rFonts w:ascii="宋体" w:hAnsi="宋体" w:cs="Arial"/>
          <w:b/>
          <w:bCs/>
          <w:color w:val="auto"/>
          <w:sz w:val="21"/>
          <w:szCs w:val="21"/>
          <w:highlight w:val="none"/>
        </w:rPr>
        <w:t>我们承诺：我们的报价经过仔细测算，绝对不低于我们的成本价。在施工图纸不发生变更的情况下，在合同条款约定的范围内，不向发包人要求增加任何费用。</w:t>
      </w:r>
    </w:p>
    <w:p w14:paraId="23DAA013">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s="Arial"/>
          <w:b/>
          <w:bCs/>
          <w:color w:val="auto"/>
          <w:sz w:val="21"/>
          <w:szCs w:val="21"/>
          <w:highlight w:val="none"/>
        </w:rPr>
      </w:pPr>
    </w:p>
    <w:p w14:paraId="00969A94">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1"/>
          <w:szCs w:val="21"/>
          <w:highlight w:val="none"/>
          <w:u w:val="single"/>
        </w:rPr>
      </w:pPr>
      <w:r>
        <w:rPr>
          <w:rFonts w:hint="eastAsia" w:ascii="宋体" w:hAnsi="宋体"/>
          <w:color w:val="auto"/>
          <w:sz w:val="21"/>
          <w:szCs w:val="21"/>
          <w:highlight w:val="none"/>
        </w:rPr>
        <w:t>磋商供应商（盖章）：</w:t>
      </w:r>
    </w:p>
    <w:p w14:paraId="5D468E35">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法人代表人或授权委托人（签字或盖章）：</w:t>
      </w:r>
    </w:p>
    <w:p w14:paraId="31EE9DB7">
      <w:pPr>
        <w:keepNext w:val="0"/>
        <w:keepLines w:val="0"/>
        <w:pageBreakBefore w:val="0"/>
        <w:widowControl w:val="0"/>
        <w:kinsoku/>
        <w:wordWrap/>
        <w:overflowPunct/>
        <w:topLinePunct w:val="0"/>
        <w:autoSpaceDE/>
        <w:autoSpaceDN/>
        <w:bidi w:val="0"/>
        <w:adjustRightInd/>
        <w:snapToGrid/>
        <w:spacing w:line="360" w:lineRule="auto"/>
        <w:textAlignment w:val="auto"/>
        <w:rPr>
          <w:rFonts w:ascii="宋体" w:hAnsi="宋体"/>
          <w:color w:val="auto"/>
          <w:sz w:val="21"/>
          <w:szCs w:val="21"/>
          <w:highlight w:val="none"/>
        </w:rPr>
      </w:pPr>
      <w:r>
        <w:rPr>
          <w:rFonts w:hint="eastAsia" w:ascii="宋体" w:hAnsi="宋体"/>
          <w:color w:val="auto"/>
          <w:sz w:val="21"/>
          <w:szCs w:val="21"/>
          <w:highlight w:val="none"/>
        </w:rPr>
        <w:t>日期：    年    月    日</w:t>
      </w:r>
    </w:p>
    <w:p w14:paraId="4F788127">
      <w:pPr>
        <w:spacing w:line="400" w:lineRule="exact"/>
        <w:rPr>
          <w:rFonts w:ascii="宋体" w:hAnsi="宋体" w:cs="Arial"/>
          <w:b/>
          <w:bCs/>
          <w:color w:val="auto"/>
          <w:sz w:val="24"/>
          <w:highlight w:val="none"/>
        </w:rPr>
      </w:pPr>
    </w:p>
    <w:p w14:paraId="7F5FA20C">
      <w:pPr>
        <w:spacing w:line="400" w:lineRule="exact"/>
        <w:rPr>
          <w:rFonts w:ascii="宋体" w:hAnsi="宋体" w:cs="Arial"/>
          <w:b/>
          <w:bCs/>
          <w:color w:val="auto"/>
          <w:sz w:val="24"/>
          <w:highlight w:val="none"/>
        </w:rPr>
      </w:pPr>
    </w:p>
    <w:p w14:paraId="45816A95">
      <w:pPr>
        <w:spacing w:line="400" w:lineRule="exact"/>
        <w:rPr>
          <w:rFonts w:ascii="宋体" w:hAnsi="宋体" w:cs="Arial"/>
          <w:b/>
          <w:bCs/>
          <w:color w:val="auto"/>
          <w:sz w:val="24"/>
          <w:highlight w:val="none"/>
        </w:rPr>
      </w:pPr>
    </w:p>
    <w:p w14:paraId="6B94DA10">
      <w:pPr>
        <w:spacing w:line="400" w:lineRule="exact"/>
        <w:rPr>
          <w:rFonts w:ascii="宋体" w:hAnsi="宋体" w:cs="Arial"/>
          <w:b/>
          <w:bCs/>
          <w:color w:val="auto"/>
          <w:sz w:val="24"/>
          <w:highlight w:val="none"/>
        </w:rPr>
      </w:pPr>
    </w:p>
    <w:p w14:paraId="28FA26BA">
      <w:pPr>
        <w:spacing w:line="400" w:lineRule="exact"/>
        <w:rPr>
          <w:rFonts w:ascii="宋体" w:hAnsi="宋体" w:cs="Arial"/>
          <w:b/>
          <w:bCs/>
          <w:color w:val="auto"/>
          <w:sz w:val="24"/>
          <w:highlight w:val="none"/>
        </w:rPr>
      </w:pPr>
    </w:p>
    <w:p w14:paraId="5CAF01BA">
      <w:pPr>
        <w:spacing w:line="400" w:lineRule="exact"/>
        <w:rPr>
          <w:rFonts w:ascii="宋体" w:hAnsi="宋体" w:cs="Arial"/>
          <w:b/>
          <w:bCs/>
          <w:color w:val="auto"/>
          <w:sz w:val="24"/>
          <w:highlight w:val="none"/>
        </w:rPr>
      </w:pPr>
    </w:p>
    <w:p w14:paraId="13B27BE2">
      <w:pPr>
        <w:pStyle w:val="19"/>
        <w:rPr>
          <w:color w:val="auto"/>
          <w:highlight w:val="none"/>
        </w:rPr>
      </w:pPr>
    </w:p>
    <w:p w14:paraId="5B4BF79D">
      <w:pPr>
        <w:spacing w:line="400" w:lineRule="exact"/>
        <w:rPr>
          <w:rFonts w:ascii="宋体" w:hAnsi="宋体" w:cs="Arial"/>
          <w:b/>
          <w:bCs/>
          <w:color w:val="auto"/>
          <w:sz w:val="24"/>
          <w:highlight w:val="none"/>
        </w:rPr>
      </w:pPr>
    </w:p>
    <w:p w14:paraId="55820D07">
      <w:pPr>
        <w:rPr>
          <w:rFonts w:ascii="宋体" w:hAnsi="宋体" w:cs="Arial"/>
          <w:color w:val="auto"/>
          <w:sz w:val="24"/>
          <w:highlight w:val="none"/>
        </w:rPr>
      </w:pPr>
    </w:p>
    <w:p w14:paraId="1D0FD776">
      <w:pPr>
        <w:rPr>
          <w:rFonts w:ascii="宋体" w:hAnsi="宋体" w:cs="Arial"/>
          <w:color w:val="auto"/>
          <w:sz w:val="24"/>
          <w:highlight w:val="none"/>
        </w:rPr>
      </w:pPr>
    </w:p>
    <w:p w14:paraId="73E45511">
      <w:pPr>
        <w:rPr>
          <w:rFonts w:hint="eastAsia" w:ascii="宋体" w:hAnsi="宋体" w:cs="Arial"/>
          <w:color w:val="auto"/>
          <w:sz w:val="24"/>
          <w:highlight w:val="none"/>
        </w:rPr>
      </w:pPr>
    </w:p>
    <w:p w14:paraId="6FE7796F">
      <w:pPr>
        <w:rPr>
          <w:rFonts w:hint="eastAsia" w:ascii="宋体" w:hAnsi="宋体" w:cs="Arial"/>
          <w:color w:val="auto"/>
          <w:sz w:val="24"/>
          <w:highlight w:val="none"/>
        </w:rPr>
      </w:pPr>
    </w:p>
    <w:p w14:paraId="01CC322D">
      <w:pPr>
        <w:rPr>
          <w:rFonts w:hint="eastAsia" w:ascii="宋体" w:hAnsi="宋体" w:cs="Arial"/>
          <w:color w:val="auto"/>
          <w:sz w:val="24"/>
          <w:highlight w:val="none"/>
        </w:rPr>
      </w:pPr>
    </w:p>
    <w:p w14:paraId="48EF4E74">
      <w:pPr>
        <w:rPr>
          <w:rFonts w:hint="eastAsia" w:ascii="宋体" w:hAnsi="宋体" w:cs="Arial"/>
          <w:color w:val="auto"/>
          <w:sz w:val="24"/>
          <w:highlight w:val="none"/>
        </w:rPr>
      </w:pPr>
    </w:p>
    <w:p w14:paraId="19F92AF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p>
    <w:p w14:paraId="0A805CF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格式三：</w:t>
      </w:r>
    </w:p>
    <w:p w14:paraId="0697225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关于资格文件的声明函</w:t>
      </w:r>
    </w:p>
    <w:p w14:paraId="185791E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p>
    <w:p w14:paraId="2CAA3EF9">
      <w:pPr>
        <w:pStyle w:val="13"/>
        <w:keepNext w:val="0"/>
        <w:keepLines w:val="0"/>
        <w:pageBreakBefore w:val="0"/>
        <w:widowControl w:val="0"/>
        <w:kinsoku/>
        <w:wordWrap/>
        <w:overflowPunct/>
        <w:topLinePunct w:val="0"/>
        <w:autoSpaceDE/>
        <w:autoSpaceDN/>
        <w:bidi w:val="0"/>
        <w:adjustRightInd/>
        <w:snapToGrid/>
        <w:spacing w:line="360" w:lineRule="auto"/>
        <w:ind w:firstLine="0"/>
        <w:jc w:val="both"/>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u w:val="single"/>
        </w:rPr>
        <w:t xml:space="preserve">                  ：</w:t>
      </w:r>
    </w:p>
    <w:p w14:paraId="3400898A">
      <w:pPr>
        <w:pStyle w:val="13"/>
        <w:keepNext w:val="0"/>
        <w:keepLines w:val="0"/>
        <w:pageBreakBefore w:val="0"/>
        <w:widowControl w:val="0"/>
        <w:kinsoku/>
        <w:wordWrap/>
        <w:overflowPunct/>
        <w:topLinePunct w:val="0"/>
        <w:autoSpaceDE/>
        <w:autoSpaceDN/>
        <w:bidi w:val="0"/>
        <w:adjustRightInd/>
        <w:snapToGrid/>
        <w:spacing w:line="360" w:lineRule="auto"/>
        <w:ind w:firstLine="660"/>
        <w:jc w:val="both"/>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本公司愿就由贵公司组织实施的编号为</w:t>
      </w:r>
      <w:r>
        <w:rPr>
          <w:rFonts w:hint="eastAsia" w:ascii="宋体" w:hAnsi="宋体" w:eastAsia="宋体"/>
          <w:color w:val="auto"/>
          <w:sz w:val="21"/>
          <w:szCs w:val="21"/>
          <w:highlight w:val="none"/>
          <w:u w:val="single"/>
          <w:lang w:eastAsia="zh-CN"/>
        </w:rPr>
        <w:t>JSZC-320500-ZCZX-C2026-0034</w:t>
      </w:r>
      <w:r>
        <w:rPr>
          <w:rFonts w:hint="eastAsia" w:ascii="宋体" w:hAnsi="宋体" w:eastAsia="宋体"/>
          <w:color w:val="auto"/>
          <w:sz w:val="21"/>
          <w:szCs w:val="21"/>
          <w:highlight w:val="none"/>
          <w:u w:val="single"/>
        </w:rPr>
        <w:t>号</w:t>
      </w:r>
      <w:r>
        <w:rPr>
          <w:rFonts w:hint="eastAsia" w:ascii="宋体" w:hAnsi="宋体" w:eastAsia="宋体"/>
          <w:color w:val="auto"/>
          <w:sz w:val="21"/>
          <w:szCs w:val="21"/>
          <w:highlight w:val="none"/>
        </w:rPr>
        <w:t>的磋商采购活动进行响应。本公司所提交的响应文件中所有关于磋商资格的文件、证明和陈述均是真实的、准确的。若与真实情况不符，本公司愿意承担由此而产生的一切后果。</w:t>
      </w:r>
    </w:p>
    <w:p w14:paraId="35056B30">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olor w:val="auto"/>
          <w:sz w:val="21"/>
          <w:szCs w:val="21"/>
          <w:highlight w:val="none"/>
        </w:rPr>
      </w:pPr>
    </w:p>
    <w:p w14:paraId="01A3D388">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olor w:val="auto"/>
          <w:sz w:val="21"/>
          <w:szCs w:val="21"/>
          <w:highlight w:val="none"/>
        </w:rPr>
      </w:pPr>
    </w:p>
    <w:p w14:paraId="26E7169A">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olor w:val="auto"/>
          <w:sz w:val="21"/>
          <w:szCs w:val="21"/>
          <w:highlight w:val="none"/>
        </w:rPr>
      </w:pPr>
    </w:p>
    <w:p w14:paraId="1A981592">
      <w:pPr>
        <w:pStyle w:val="13"/>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ascii="宋体" w:hAnsi="宋体" w:eastAsia="宋体"/>
          <w:color w:val="auto"/>
          <w:sz w:val="21"/>
          <w:szCs w:val="21"/>
          <w:highlight w:val="none"/>
        </w:rPr>
      </w:pP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hint="eastAsia" w:ascii="宋体" w:hAnsi="宋体" w:eastAsia="宋体"/>
          <w:color w:val="auto"/>
          <w:sz w:val="21"/>
          <w:szCs w:val="21"/>
          <w:highlight w:val="none"/>
        </w:rPr>
        <w:t>（供应商）法定代表人（签字或盖章）：</w:t>
      </w:r>
    </w:p>
    <w:p w14:paraId="53A5936D">
      <w:pPr>
        <w:pStyle w:val="13"/>
        <w:keepNext w:val="0"/>
        <w:keepLines w:val="0"/>
        <w:pageBreakBefore w:val="0"/>
        <w:widowControl w:val="0"/>
        <w:kinsoku/>
        <w:wordWrap/>
        <w:overflowPunct/>
        <w:topLinePunct w:val="0"/>
        <w:autoSpaceDE/>
        <w:autoSpaceDN/>
        <w:bidi w:val="0"/>
        <w:adjustRightInd/>
        <w:snapToGrid/>
        <w:spacing w:line="360" w:lineRule="auto"/>
        <w:ind w:left="1700" w:firstLine="425"/>
        <w:jc w:val="both"/>
        <w:textAlignment w:val="auto"/>
        <w:rPr>
          <w:rFonts w:ascii="宋体" w:hAnsi="宋体" w:eastAsia="宋体"/>
          <w:color w:val="auto"/>
          <w:sz w:val="21"/>
          <w:szCs w:val="21"/>
          <w:highlight w:val="none"/>
        </w:rPr>
      </w:pPr>
    </w:p>
    <w:p w14:paraId="0A75A2E5">
      <w:pPr>
        <w:pStyle w:val="13"/>
        <w:keepNext w:val="0"/>
        <w:keepLines w:val="0"/>
        <w:pageBreakBefore w:val="0"/>
        <w:widowControl w:val="0"/>
        <w:kinsoku/>
        <w:wordWrap/>
        <w:overflowPunct/>
        <w:topLinePunct w:val="0"/>
        <w:autoSpaceDE/>
        <w:autoSpaceDN/>
        <w:bidi w:val="0"/>
        <w:adjustRightInd/>
        <w:snapToGrid/>
        <w:spacing w:line="360" w:lineRule="auto"/>
        <w:ind w:left="1700" w:firstLine="425"/>
        <w:jc w:val="both"/>
        <w:textAlignment w:val="auto"/>
        <w:rPr>
          <w:rFonts w:ascii="宋体" w:hAnsi="宋体" w:eastAsia="宋体"/>
          <w:color w:val="auto"/>
          <w:sz w:val="21"/>
          <w:szCs w:val="21"/>
          <w:highlight w:val="none"/>
        </w:rPr>
      </w:pPr>
      <w:r>
        <w:rPr>
          <w:rFonts w:hint="eastAsia" w:ascii="宋体" w:hAnsi="宋体" w:eastAsia="宋体"/>
          <w:color w:val="auto"/>
          <w:sz w:val="21"/>
          <w:szCs w:val="21"/>
          <w:highlight w:val="none"/>
        </w:rPr>
        <w:t>（供应商）公章：</w:t>
      </w:r>
    </w:p>
    <w:p w14:paraId="568506EA">
      <w:pPr>
        <w:pStyle w:val="13"/>
        <w:spacing w:line="400" w:lineRule="exact"/>
        <w:ind w:left="1700" w:firstLine="425"/>
        <w:jc w:val="both"/>
        <w:rPr>
          <w:rFonts w:ascii="宋体" w:hAnsi="宋体" w:eastAsia="宋体"/>
          <w:color w:val="auto"/>
          <w:szCs w:val="24"/>
          <w:highlight w:val="none"/>
        </w:rPr>
      </w:pPr>
    </w:p>
    <w:p w14:paraId="4E9A0D85">
      <w:pPr>
        <w:pStyle w:val="13"/>
        <w:spacing w:line="400" w:lineRule="exact"/>
        <w:ind w:left="1700" w:firstLine="425"/>
        <w:jc w:val="both"/>
        <w:rPr>
          <w:rFonts w:ascii="宋体" w:hAnsi="宋体" w:eastAsia="宋体"/>
          <w:color w:val="auto"/>
          <w:szCs w:val="24"/>
          <w:highlight w:val="none"/>
        </w:rPr>
      </w:pPr>
    </w:p>
    <w:p w14:paraId="28AD9622">
      <w:pPr>
        <w:pStyle w:val="13"/>
        <w:spacing w:line="400" w:lineRule="exact"/>
        <w:ind w:left="1700" w:firstLine="425"/>
        <w:jc w:val="both"/>
        <w:rPr>
          <w:rFonts w:ascii="宋体" w:hAnsi="宋体" w:eastAsia="宋体"/>
          <w:color w:val="auto"/>
          <w:szCs w:val="24"/>
          <w:highlight w:val="none"/>
        </w:rPr>
      </w:pPr>
    </w:p>
    <w:p w14:paraId="423C3074">
      <w:pPr>
        <w:pStyle w:val="13"/>
        <w:spacing w:line="400" w:lineRule="exact"/>
        <w:ind w:left="1700" w:firstLine="425"/>
        <w:jc w:val="both"/>
        <w:rPr>
          <w:rFonts w:ascii="宋体" w:hAnsi="宋体" w:eastAsia="宋体"/>
          <w:color w:val="auto"/>
          <w:szCs w:val="24"/>
          <w:highlight w:val="none"/>
        </w:rPr>
      </w:pPr>
    </w:p>
    <w:p w14:paraId="39117F96">
      <w:pPr>
        <w:pStyle w:val="13"/>
        <w:spacing w:line="400" w:lineRule="exact"/>
        <w:ind w:left="1700" w:firstLine="425"/>
        <w:jc w:val="both"/>
        <w:rPr>
          <w:rFonts w:ascii="宋体" w:hAnsi="宋体" w:eastAsia="宋体"/>
          <w:color w:val="auto"/>
          <w:szCs w:val="24"/>
          <w:highlight w:val="none"/>
        </w:rPr>
      </w:pPr>
    </w:p>
    <w:p w14:paraId="3D9EAF18">
      <w:pPr>
        <w:pStyle w:val="13"/>
        <w:spacing w:line="400" w:lineRule="exact"/>
        <w:ind w:left="1700" w:firstLine="425"/>
        <w:jc w:val="both"/>
        <w:rPr>
          <w:rFonts w:ascii="宋体" w:hAnsi="宋体" w:eastAsia="宋体"/>
          <w:color w:val="auto"/>
          <w:szCs w:val="24"/>
          <w:highlight w:val="none"/>
        </w:rPr>
      </w:pPr>
    </w:p>
    <w:p w14:paraId="71D49151">
      <w:pPr>
        <w:pStyle w:val="13"/>
        <w:spacing w:line="400" w:lineRule="exact"/>
        <w:ind w:left="1700" w:firstLine="425"/>
        <w:jc w:val="both"/>
        <w:rPr>
          <w:rFonts w:ascii="宋体" w:hAnsi="宋体" w:eastAsia="宋体"/>
          <w:color w:val="auto"/>
          <w:szCs w:val="24"/>
          <w:highlight w:val="none"/>
        </w:rPr>
      </w:pPr>
    </w:p>
    <w:p w14:paraId="7A918D8D">
      <w:pPr>
        <w:pStyle w:val="13"/>
        <w:spacing w:line="400" w:lineRule="exact"/>
        <w:ind w:left="1700" w:firstLine="425"/>
        <w:jc w:val="both"/>
        <w:rPr>
          <w:rFonts w:ascii="宋体" w:hAnsi="宋体" w:eastAsia="宋体"/>
          <w:color w:val="auto"/>
          <w:szCs w:val="24"/>
          <w:highlight w:val="none"/>
        </w:rPr>
      </w:pPr>
    </w:p>
    <w:p w14:paraId="56F18CD6">
      <w:pPr>
        <w:pStyle w:val="13"/>
        <w:spacing w:line="400" w:lineRule="exact"/>
        <w:ind w:left="1700" w:firstLine="425"/>
        <w:jc w:val="both"/>
        <w:rPr>
          <w:rFonts w:ascii="宋体" w:hAnsi="宋体" w:eastAsia="宋体"/>
          <w:color w:val="auto"/>
          <w:szCs w:val="24"/>
          <w:highlight w:val="none"/>
        </w:rPr>
      </w:pPr>
    </w:p>
    <w:p w14:paraId="5CB666EB">
      <w:pPr>
        <w:pStyle w:val="13"/>
        <w:spacing w:line="400" w:lineRule="exact"/>
        <w:ind w:left="1700" w:firstLine="425"/>
        <w:jc w:val="both"/>
        <w:rPr>
          <w:rFonts w:ascii="宋体" w:hAnsi="宋体" w:eastAsia="宋体"/>
          <w:color w:val="auto"/>
          <w:szCs w:val="24"/>
          <w:highlight w:val="none"/>
        </w:rPr>
      </w:pPr>
    </w:p>
    <w:p w14:paraId="7F05DE49">
      <w:pPr>
        <w:pStyle w:val="13"/>
        <w:spacing w:line="400" w:lineRule="exact"/>
        <w:ind w:left="1700" w:firstLine="425"/>
        <w:jc w:val="both"/>
        <w:rPr>
          <w:rFonts w:ascii="宋体" w:hAnsi="宋体" w:eastAsia="宋体"/>
          <w:color w:val="auto"/>
          <w:szCs w:val="24"/>
          <w:highlight w:val="none"/>
        </w:rPr>
      </w:pPr>
    </w:p>
    <w:p w14:paraId="2B2AD965">
      <w:pPr>
        <w:pStyle w:val="13"/>
        <w:spacing w:line="400" w:lineRule="exact"/>
        <w:ind w:left="1700" w:firstLine="425"/>
        <w:jc w:val="both"/>
        <w:rPr>
          <w:rFonts w:ascii="宋体" w:hAnsi="宋体" w:eastAsia="宋体"/>
          <w:color w:val="auto"/>
          <w:szCs w:val="24"/>
          <w:highlight w:val="none"/>
        </w:rPr>
      </w:pPr>
    </w:p>
    <w:p w14:paraId="3C0F1685">
      <w:pPr>
        <w:pStyle w:val="13"/>
        <w:spacing w:line="400" w:lineRule="exact"/>
        <w:ind w:left="1700" w:firstLine="425"/>
        <w:jc w:val="both"/>
        <w:rPr>
          <w:rFonts w:ascii="宋体" w:hAnsi="宋体" w:eastAsia="宋体"/>
          <w:color w:val="auto"/>
          <w:szCs w:val="24"/>
          <w:highlight w:val="none"/>
        </w:rPr>
      </w:pPr>
    </w:p>
    <w:p w14:paraId="07EC6007">
      <w:pPr>
        <w:pStyle w:val="13"/>
        <w:spacing w:line="400" w:lineRule="exact"/>
        <w:ind w:left="1700" w:firstLine="425"/>
        <w:jc w:val="both"/>
        <w:rPr>
          <w:rFonts w:ascii="宋体" w:hAnsi="宋体" w:eastAsia="宋体"/>
          <w:color w:val="auto"/>
          <w:szCs w:val="24"/>
          <w:highlight w:val="none"/>
        </w:rPr>
      </w:pPr>
    </w:p>
    <w:p w14:paraId="62F241E0">
      <w:pPr>
        <w:pStyle w:val="13"/>
        <w:spacing w:line="400" w:lineRule="exact"/>
        <w:ind w:left="1700" w:firstLine="425"/>
        <w:jc w:val="both"/>
        <w:rPr>
          <w:rFonts w:ascii="宋体" w:hAnsi="宋体" w:eastAsia="宋体"/>
          <w:color w:val="auto"/>
          <w:szCs w:val="24"/>
          <w:highlight w:val="none"/>
        </w:rPr>
      </w:pPr>
    </w:p>
    <w:p w14:paraId="69044B92">
      <w:pPr>
        <w:pStyle w:val="13"/>
        <w:spacing w:line="400" w:lineRule="exact"/>
        <w:ind w:left="1700" w:firstLine="425"/>
        <w:jc w:val="both"/>
        <w:rPr>
          <w:rFonts w:ascii="宋体" w:hAnsi="宋体" w:eastAsia="宋体"/>
          <w:color w:val="auto"/>
          <w:szCs w:val="24"/>
          <w:highlight w:val="none"/>
        </w:rPr>
      </w:pPr>
    </w:p>
    <w:p w14:paraId="2D8E6686">
      <w:pPr>
        <w:pStyle w:val="13"/>
        <w:spacing w:line="400" w:lineRule="exact"/>
        <w:ind w:left="1700" w:firstLine="425"/>
        <w:jc w:val="both"/>
        <w:rPr>
          <w:rFonts w:ascii="宋体" w:hAnsi="宋体" w:eastAsia="宋体"/>
          <w:color w:val="auto"/>
          <w:szCs w:val="24"/>
          <w:highlight w:val="none"/>
        </w:rPr>
      </w:pPr>
    </w:p>
    <w:p w14:paraId="5E710B16">
      <w:pPr>
        <w:spacing w:line="360" w:lineRule="auto"/>
        <w:rPr>
          <w:rFonts w:ascii="宋体" w:hAnsi="宋体"/>
          <w:color w:val="auto"/>
          <w:sz w:val="24"/>
          <w:highlight w:val="none"/>
        </w:rPr>
      </w:pPr>
    </w:p>
    <w:p w14:paraId="306C389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color w:val="auto"/>
          <w:sz w:val="24"/>
          <w:highlight w:val="none"/>
        </w:rPr>
        <w:br w:type="page" w:clear="all"/>
      </w:r>
      <w:r>
        <w:rPr>
          <w:rFonts w:hint="eastAsia" w:ascii="宋体" w:hAnsi="宋体" w:eastAsia="宋体" w:cs="Times New Roman"/>
          <w:color w:val="auto"/>
          <w:kern w:val="2"/>
          <w:sz w:val="21"/>
          <w:szCs w:val="21"/>
          <w:highlight w:val="none"/>
        </w:rPr>
        <w:t>格式四：</w:t>
      </w:r>
    </w:p>
    <w:p w14:paraId="564ABF0D">
      <w:pPr>
        <w:spacing w:line="300" w:lineRule="auto"/>
        <w:jc w:val="center"/>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磋商响应单位情况表</w:t>
      </w:r>
    </w:p>
    <w:p w14:paraId="61DEFAA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单位名称（盖章）：</w:t>
      </w:r>
    </w:p>
    <w:tbl>
      <w:tblPr>
        <w:tblStyle w:val="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82"/>
        <w:gridCol w:w="975"/>
        <w:gridCol w:w="423"/>
        <w:gridCol w:w="421"/>
        <w:gridCol w:w="370"/>
        <w:gridCol w:w="1268"/>
        <w:gridCol w:w="433"/>
        <w:gridCol w:w="721"/>
        <w:gridCol w:w="694"/>
        <w:gridCol w:w="570"/>
        <w:gridCol w:w="1905"/>
      </w:tblGrid>
      <w:tr w14:paraId="3A071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582" w:type="dxa"/>
            <w:noWrap w:val="0"/>
            <w:vAlign w:val="center"/>
          </w:tcPr>
          <w:p w14:paraId="542CCDA4">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1</w:t>
            </w:r>
          </w:p>
        </w:tc>
        <w:tc>
          <w:tcPr>
            <w:tcW w:w="1398" w:type="dxa"/>
            <w:gridSpan w:val="2"/>
            <w:tcBorders>
              <w:right w:val="single" w:color="auto" w:sz="4" w:space="0"/>
            </w:tcBorders>
            <w:noWrap w:val="0"/>
            <w:vAlign w:val="center"/>
          </w:tcPr>
          <w:p w14:paraId="47EAA36B">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法定代表人</w:t>
            </w:r>
          </w:p>
        </w:tc>
        <w:tc>
          <w:tcPr>
            <w:tcW w:w="2492" w:type="dxa"/>
            <w:gridSpan w:val="4"/>
            <w:tcBorders>
              <w:left w:val="single" w:color="auto" w:sz="4" w:space="0"/>
            </w:tcBorders>
            <w:noWrap w:val="0"/>
            <w:vAlign w:val="center"/>
          </w:tcPr>
          <w:p w14:paraId="0ADB1E50">
            <w:pPr>
              <w:overflowPunct w:val="0"/>
              <w:adjustRightInd w:val="0"/>
              <w:spacing w:line="320" w:lineRule="exact"/>
              <w:jc w:val="center"/>
              <w:textAlignment w:val="baseline"/>
              <w:rPr>
                <w:rFonts w:ascii="宋体" w:hAnsi="宋体"/>
                <w:color w:val="auto"/>
                <w:szCs w:val="21"/>
                <w:highlight w:val="none"/>
              </w:rPr>
            </w:pPr>
          </w:p>
        </w:tc>
        <w:tc>
          <w:tcPr>
            <w:tcW w:w="1415" w:type="dxa"/>
            <w:gridSpan w:val="2"/>
            <w:noWrap w:val="0"/>
            <w:vAlign w:val="center"/>
          </w:tcPr>
          <w:p w14:paraId="2E11E516">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公司成立日期</w:t>
            </w:r>
          </w:p>
        </w:tc>
        <w:tc>
          <w:tcPr>
            <w:tcW w:w="2475" w:type="dxa"/>
            <w:gridSpan w:val="2"/>
            <w:noWrap w:val="0"/>
            <w:vAlign w:val="center"/>
          </w:tcPr>
          <w:p w14:paraId="7127C0D2">
            <w:pPr>
              <w:overflowPunct w:val="0"/>
              <w:adjustRightInd w:val="0"/>
              <w:spacing w:line="320" w:lineRule="exact"/>
              <w:jc w:val="left"/>
              <w:textAlignment w:val="baseline"/>
              <w:rPr>
                <w:rFonts w:ascii="宋体" w:hAnsi="宋体"/>
                <w:color w:val="auto"/>
                <w:szCs w:val="21"/>
                <w:highlight w:val="none"/>
              </w:rPr>
            </w:pPr>
          </w:p>
        </w:tc>
      </w:tr>
      <w:tr w14:paraId="39907E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582" w:type="dxa"/>
            <w:noWrap w:val="0"/>
            <w:vAlign w:val="center"/>
          </w:tcPr>
          <w:p w14:paraId="44447DDF">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2</w:t>
            </w:r>
          </w:p>
        </w:tc>
        <w:tc>
          <w:tcPr>
            <w:tcW w:w="1398" w:type="dxa"/>
            <w:gridSpan w:val="2"/>
            <w:tcBorders>
              <w:right w:val="single" w:color="auto" w:sz="4" w:space="0"/>
            </w:tcBorders>
            <w:noWrap w:val="0"/>
            <w:vAlign w:val="center"/>
          </w:tcPr>
          <w:p w14:paraId="0D80B451">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总部地址</w:t>
            </w:r>
          </w:p>
        </w:tc>
        <w:tc>
          <w:tcPr>
            <w:tcW w:w="6382" w:type="dxa"/>
            <w:gridSpan w:val="8"/>
            <w:tcBorders>
              <w:left w:val="single" w:color="auto" w:sz="4" w:space="0"/>
            </w:tcBorders>
            <w:noWrap w:val="0"/>
            <w:vAlign w:val="center"/>
          </w:tcPr>
          <w:p w14:paraId="295F280C">
            <w:pPr>
              <w:overflowPunct w:val="0"/>
              <w:adjustRightInd w:val="0"/>
              <w:spacing w:line="320" w:lineRule="exact"/>
              <w:jc w:val="center"/>
              <w:textAlignment w:val="baseline"/>
              <w:rPr>
                <w:rFonts w:ascii="宋体" w:hAnsi="宋体"/>
                <w:color w:val="auto"/>
                <w:szCs w:val="21"/>
                <w:highlight w:val="none"/>
              </w:rPr>
            </w:pPr>
          </w:p>
        </w:tc>
      </w:tr>
      <w:tr w14:paraId="32774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582" w:type="dxa"/>
            <w:noWrap w:val="0"/>
            <w:vAlign w:val="center"/>
          </w:tcPr>
          <w:p w14:paraId="2A5DEDEF">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3</w:t>
            </w:r>
          </w:p>
        </w:tc>
        <w:tc>
          <w:tcPr>
            <w:tcW w:w="1819" w:type="dxa"/>
            <w:gridSpan w:val="3"/>
            <w:tcBorders>
              <w:right w:val="single" w:color="auto" w:sz="4" w:space="0"/>
            </w:tcBorders>
            <w:noWrap w:val="0"/>
            <w:vAlign w:val="center"/>
          </w:tcPr>
          <w:p w14:paraId="75B9E715">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本地代表处地址</w:t>
            </w:r>
          </w:p>
        </w:tc>
        <w:tc>
          <w:tcPr>
            <w:tcW w:w="5961" w:type="dxa"/>
            <w:gridSpan w:val="7"/>
            <w:tcBorders>
              <w:left w:val="single" w:color="auto" w:sz="4" w:space="0"/>
            </w:tcBorders>
            <w:noWrap w:val="0"/>
            <w:vAlign w:val="center"/>
          </w:tcPr>
          <w:p w14:paraId="70C314F7">
            <w:pPr>
              <w:overflowPunct w:val="0"/>
              <w:adjustRightInd w:val="0"/>
              <w:spacing w:line="320" w:lineRule="exact"/>
              <w:jc w:val="left"/>
              <w:textAlignment w:val="baseline"/>
              <w:rPr>
                <w:rFonts w:ascii="宋体" w:hAnsi="宋体"/>
                <w:color w:val="auto"/>
                <w:szCs w:val="21"/>
                <w:highlight w:val="none"/>
              </w:rPr>
            </w:pPr>
          </w:p>
        </w:tc>
      </w:tr>
      <w:tr w14:paraId="0C1059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582" w:type="dxa"/>
            <w:noWrap w:val="0"/>
            <w:vAlign w:val="center"/>
          </w:tcPr>
          <w:p w14:paraId="506A07B6">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4</w:t>
            </w:r>
          </w:p>
        </w:tc>
        <w:tc>
          <w:tcPr>
            <w:tcW w:w="975" w:type="dxa"/>
            <w:tcBorders>
              <w:right w:val="single" w:color="auto" w:sz="4" w:space="0"/>
            </w:tcBorders>
            <w:noWrap w:val="0"/>
            <w:vAlign w:val="center"/>
          </w:tcPr>
          <w:p w14:paraId="05F69E3B">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电话</w:t>
            </w:r>
          </w:p>
        </w:tc>
        <w:tc>
          <w:tcPr>
            <w:tcW w:w="2482" w:type="dxa"/>
            <w:gridSpan w:val="4"/>
            <w:tcBorders>
              <w:left w:val="single" w:color="auto" w:sz="4" w:space="0"/>
            </w:tcBorders>
            <w:noWrap w:val="0"/>
            <w:vAlign w:val="center"/>
          </w:tcPr>
          <w:p w14:paraId="31FF1A8D">
            <w:pPr>
              <w:overflowPunct w:val="0"/>
              <w:adjustRightInd w:val="0"/>
              <w:spacing w:line="320" w:lineRule="exact"/>
              <w:jc w:val="left"/>
              <w:textAlignment w:val="baseline"/>
              <w:rPr>
                <w:rFonts w:ascii="宋体" w:hAnsi="宋体"/>
                <w:color w:val="auto"/>
                <w:szCs w:val="21"/>
                <w:highlight w:val="none"/>
              </w:rPr>
            </w:pPr>
          </w:p>
        </w:tc>
        <w:tc>
          <w:tcPr>
            <w:tcW w:w="1154" w:type="dxa"/>
            <w:gridSpan w:val="2"/>
            <w:tcBorders>
              <w:right w:val="single" w:color="auto" w:sz="4" w:space="0"/>
            </w:tcBorders>
            <w:noWrap w:val="0"/>
            <w:vAlign w:val="center"/>
          </w:tcPr>
          <w:p w14:paraId="554D0F3D">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联系人</w:t>
            </w:r>
          </w:p>
        </w:tc>
        <w:tc>
          <w:tcPr>
            <w:tcW w:w="3169" w:type="dxa"/>
            <w:gridSpan w:val="3"/>
            <w:tcBorders>
              <w:left w:val="single" w:color="auto" w:sz="4" w:space="0"/>
            </w:tcBorders>
            <w:noWrap w:val="0"/>
            <w:vAlign w:val="center"/>
          </w:tcPr>
          <w:p w14:paraId="3B9F3C2F">
            <w:pPr>
              <w:overflowPunct w:val="0"/>
              <w:adjustRightInd w:val="0"/>
              <w:spacing w:line="320" w:lineRule="exact"/>
              <w:jc w:val="left"/>
              <w:textAlignment w:val="baseline"/>
              <w:rPr>
                <w:rFonts w:ascii="宋体" w:hAnsi="宋体"/>
                <w:color w:val="auto"/>
                <w:szCs w:val="21"/>
                <w:highlight w:val="none"/>
              </w:rPr>
            </w:pPr>
          </w:p>
        </w:tc>
      </w:tr>
      <w:tr w14:paraId="4052CE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5" w:hRule="atLeast"/>
          <w:jc w:val="center"/>
        </w:trPr>
        <w:tc>
          <w:tcPr>
            <w:tcW w:w="582" w:type="dxa"/>
            <w:noWrap w:val="0"/>
            <w:vAlign w:val="center"/>
          </w:tcPr>
          <w:p w14:paraId="2F5BCEEE">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5</w:t>
            </w:r>
          </w:p>
        </w:tc>
        <w:tc>
          <w:tcPr>
            <w:tcW w:w="975" w:type="dxa"/>
            <w:tcBorders>
              <w:right w:val="single" w:color="auto" w:sz="4" w:space="0"/>
            </w:tcBorders>
            <w:noWrap w:val="0"/>
            <w:vAlign w:val="center"/>
          </w:tcPr>
          <w:p w14:paraId="32DF8103">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传真</w:t>
            </w:r>
          </w:p>
        </w:tc>
        <w:tc>
          <w:tcPr>
            <w:tcW w:w="2482" w:type="dxa"/>
            <w:gridSpan w:val="4"/>
            <w:tcBorders>
              <w:left w:val="single" w:color="auto" w:sz="4" w:space="0"/>
            </w:tcBorders>
            <w:noWrap w:val="0"/>
            <w:vAlign w:val="center"/>
          </w:tcPr>
          <w:p w14:paraId="63C7306E">
            <w:pPr>
              <w:overflowPunct w:val="0"/>
              <w:adjustRightInd w:val="0"/>
              <w:spacing w:line="320" w:lineRule="exact"/>
              <w:jc w:val="left"/>
              <w:textAlignment w:val="baseline"/>
              <w:rPr>
                <w:rFonts w:ascii="宋体" w:hAnsi="宋体"/>
                <w:color w:val="auto"/>
                <w:szCs w:val="21"/>
                <w:highlight w:val="none"/>
              </w:rPr>
            </w:pPr>
          </w:p>
        </w:tc>
        <w:tc>
          <w:tcPr>
            <w:tcW w:w="1154" w:type="dxa"/>
            <w:gridSpan w:val="2"/>
            <w:tcBorders>
              <w:right w:val="single" w:color="auto" w:sz="4" w:space="0"/>
            </w:tcBorders>
            <w:noWrap w:val="0"/>
            <w:vAlign w:val="center"/>
          </w:tcPr>
          <w:p w14:paraId="38AD19F8">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电子邮箱</w:t>
            </w:r>
          </w:p>
        </w:tc>
        <w:tc>
          <w:tcPr>
            <w:tcW w:w="3169" w:type="dxa"/>
            <w:gridSpan w:val="3"/>
            <w:tcBorders>
              <w:left w:val="single" w:color="auto" w:sz="4" w:space="0"/>
            </w:tcBorders>
            <w:noWrap w:val="0"/>
            <w:vAlign w:val="center"/>
          </w:tcPr>
          <w:p w14:paraId="667D5034">
            <w:pPr>
              <w:overflowPunct w:val="0"/>
              <w:adjustRightInd w:val="0"/>
              <w:spacing w:line="320" w:lineRule="exact"/>
              <w:jc w:val="left"/>
              <w:textAlignment w:val="baseline"/>
              <w:rPr>
                <w:rFonts w:ascii="宋体" w:hAnsi="宋体"/>
                <w:color w:val="auto"/>
                <w:szCs w:val="21"/>
                <w:highlight w:val="none"/>
              </w:rPr>
            </w:pPr>
          </w:p>
        </w:tc>
      </w:tr>
      <w:tr w14:paraId="7062D6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582" w:type="dxa"/>
            <w:noWrap w:val="0"/>
            <w:vAlign w:val="center"/>
          </w:tcPr>
          <w:p w14:paraId="1F5FA501">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6</w:t>
            </w:r>
          </w:p>
        </w:tc>
        <w:tc>
          <w:tcPr>
            <w:tcW w:w="975" w:type="dxa"/>
            <w:tcBorders>
              <w:right w:val="single" w:color="auto" w:sz="4" w:space="0"/>
            </w:tcBorders>
            <w:noWrap w:val="0"/>
            <w:vAlign w:val="center"/>
          </w:tcPr>
          <w:p w14:paraId="3B492965">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注册地</w:t>
            </w:r>
          </w:p>
        </w:tc>
        <w:tc>
          <w:tcPr>
            <w:tcW w:w="2482" w:type="dxa"/>
            <w:gridSpan w:val="4"/>
            <w:tcBorders>
              <w:left w:val="single" w:color="auto" w:sz="4" w:space="0"/>
            </w:tcBorders>
            <w:noWrap w:val="0"/>
            <w:vAlign w:val="center"/>
          </w:tcPr>
          <w:p w14:paraId="69300078">
            <w:pPr>
              <w:overflowPunct w:val="0"/>
              <w:adjustRightInd w:val="0"/>
              <w:spacing w:line="320" w:lineRule="exact"/>
              <w:jc w:val="left"/>
              <w:textAlignment w:val="baseline"/>
              <w:rPr>
                <w:rFonts w:ascii="宋体" w:hAnsi="宋体"/>
                <w:color w:val="auto"/>
                <w:szCs w:val="21"/>
                <w:highlight w:val="none"/>
              </w:rPr>
            </w:pPr>
          </w:p>
        </w:tc>
        <w:tc>
          <w:tcPr>
            <w:tcW w:w="1154" w:type="dxa"/>
            <w:gridSpan w:val="2"/>
            <w:tcBorders>
              <w:right w:val="single" w:color="auto" w:sz="4" w:space="0"/>
            </w:tcBorders>
            <w:noWrap w:val="0"/>
            <w:vAlign w:val="center"/>
          </w:tcPr>
          <w:p w14:paraId="09C98446">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注册年份</w:t>
            </w:r>
          </w:p>
        </w:tc>
        <w:tc>
          <w:tcPr>
            <w:tcW w:w="3169" w:type="dxa"/>
            <w:gridSpan w:val="3"/>
            <w:tcBorders>
              <w:left w:val="single" w:color="auto" w:sz="4" w:space="0"/>
            </w:tcBorders>
            <w:noWrap w:val="0"/>
            <w:vAlign w:val="center"/>
          </w:tcPr>
          <w:p w14:paraId="35E3FDF7">
            <w:pPr>
              <w:overflowPunct w:val="0"/>
              <w:adjustRightInd w:val="0"/>
              <w:spacing w:line="320" w:lineRule="exact"/>
              <w:ind w:left="437"/>
              <w:jc w:val="left"/>
              <w:textAlignment w:val="baseline"/>
              <w:rPr>
                <w:rFonts w:ascii="宋体" w:hAnsi="宋体"/>
                <w:color w:val="auto"/>
                <w:szCs w:val="21"/>
                <w:highlight w:val="none"/>
              </w:rPr>
            </w:pPr>
          </w:p>
        </w:tc>
      </w:tr>
      <w:tr w14:paraId="6BB685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 w:hRule="atLeast"/>
          <w:jc w:val="center"/>
        </w:trPr>
        <w:tc>
          <w:tcPr>
            <w:tcW w:w="582" w:type="dxa"/>
            <w:noWrap w:val="0"/>
            <w:vAlign w:val="center"/>
          </w:tcPr>
          <w:p w14:paraId="286A12FE">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7</w:t>
            </w:r>
          </w:p>
        </w:tc>
        <w:tc>
          <w:tcPr>
            <w:tcW w:w="975" w:type="dxa"/>
            <w:tcBorders>
              <w:right w:val="single" w:color="auto" w:sz="4" w:space="0"/>
            </w:tcBorders>
            <w:noWrap w:val="0"/>
            <w:vAlign w:val="center"/>
          </w:tcPr>
          <w:p w14:paraId="4933075D">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单位职工人数</w:t>
            </w:r>
          </w:p>
        </w:tc>
        <w:tc>
          <w:tcPr>
            <w:tcW w:w="2482" w:type="dxa"/>
            <w:gridSpan w:val="4"/>
            <w:tcBorders>
              <w:left w:val="single" w:color="auto" w:sz="4" w:space="0"/>
            </w:tcBorders>
            <w:noWrap w:val="0"/>
            <w:vAlign w:val="center"/>
          </w:tcPr>
          <w:p w14:paraId="25DB118F">
            <w:pPr>
              <w:overflowPunct w:val="0"/>
              <w:adjustRightInd w:val="0"/>
              <w:spacing w:line="320" w:lineRule="exact"/>
              <w:ind w:firstLine="2160"/>
              <w:jc w:val="left"/>
              <w:textAlignment w:val="baseline"/>
              <w:rPr>
                <w:rFonts w:ascii="宋体" w:hAnsi="宋体"/>
                <w:color w:val="auto"/>
                <w:szCs w:val="21"/>
                <w:highlight w:val="none"/>
              </w:rPr>
            </w:pPr>
            <w:r>
              <w:rPr>
                <w:rFonts w:ascii="宋体" w:hAnsi="宋体"/>
                <w:color w:val="auto"/>
                <w:szCs w:val="21"/>
                <w:highlight w:val="none"/>
              </w:rPr>
              <w:t>人</w:t>
            </w:r>
          </w:p>
        </w:tc>
        <w:tc>
          <w:tcPr>
            <w:tcW w:w="2418" w:type="dxa"/>
            <w:gridSpan w:val="4"/>
            <w:tcBorders>
              <w:right w:val="single" w:color="auto" w:sz="4" w:space="0"/>
            </w:tcBorders>
            <w:noWrap w:val="0"/>
            <w:vAlign w:val="center"/>
          </w:tcPr>
          <w:p w14:paraId="4E4F4B20">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单位</w:t>
            </w:r>
            <w:r>
              <w:rPr>
                <w:rFonts w:hint="eastAsia" w:ascii="宋体" w:hAnsi="宋体"/>
                <w:color w:val="auto"/>
                <w:szCs w:val="21"/>
                <w:highlight w:val="none"/>
                <w:lang w:val="en-US" w:eastAsia="zh-CN"/>
              </w:rPr>
              <w:t>2024</w:t>
            </w:r>
            <w:r>
              <w:rPr>
                <w:rFonts w:hint="eastAsia" w:ascii="宋体" w:hAnsi="宋体"/>
                <w:color w:val="auto"/>
                <w:szCs w:val="21"/>
                <w:highlight w:val="none"/>
              </w:rPr>
              <w:t>年</w:t>
            </w:r>
            <w:r>
              <w:rPr>
                <w:rFonts w:hint="eastAsia" w:ascii="宋体" w:hAnsi="宋体"/>
                <w:color w:val="auto"/>
                <w:szCs w:val="21"/>
                <w:highlight w:val="none"/>
                <w:lang w:val="en-US" w:eastAsia="zh-CN"/>
              </w:rPr>
              <w:t>或2025年</w:t>
            </w:r>
            <w:r>
              <w:rPr>
                <w:rFonts w:ascii="宋体" w:hAnsi="宋体"/>
                <w:color w:val="auto"/>
                <w:szCs w:val="21"/>
                <w:highlight w:val="none"/>
              </w:rPr>
              <w:t>总营业收入</w:t>
            </w:r>
          </w:p>
        </w:tc>
        <w:tc>
          <w:tcPr>
            <w:tcW w:w="1905" w:type="dxa"/>
            <w:tcBorders>
              <w:left w:val="single" w:color="auto" w:sz="4" w:space="0"/>
            </w:tcBorders>
            <w:noWrap w:val="0"/>
            <w:vAlign w:val="center"/>
          </w:tcPr>
          <w:p w14:paraId="5BDF3349">
            <w:pPr>
              <w:overflowPunct w:val="0"/>
              <w:adjustRightInd w:val="0"/>
              <w:spacing w:line="320" w:lineRule="exact"/>
              <w:ind w:left="1112"/>
              <w:jc w:val="left"/>
              <w:textAlignment w:val="baseline"/>
              <w:rPr>
                <w:rFonts w:ascii="宋体" w:hAnsi="宋体"/>
                <w:color w:val="auto"/>
                <w:szCs w:val="21"/>
                <w:highlight w:val="none"/>
              </w:rPr>
            </w:pPr>
            <w:r>
              <w:rPr>
                <w:rFonts w:ascii="宋体" w:hAnsi="宋体"/>
                <w:color w:val="auto"/>
                <w:szCs w:val="21"/>
                <w:highlight w:val="none"/>
              </w:rPr>
              <w:t>万元</w:t>
            </w:r>
          </w:p>
        </w:tc>
      </w:tr>
      <w:tr w14:paraId="53FAA5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582" w:type="dxa"/>
            <w:noWrap w:val="0"/>
            <w:vAlign w:val="center"/>
          </w:tcPr>
          <w:p w14:paraId="3B15E8F3">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8</w:t>
            </w:r>
          </w:p>
        </w:tc>
        <w:tc>
          <w:tcPr>
            <w:tcW w:w="7780" w:type="dxa"/>
            <w:gridSpan w:val="10"/>
            <w:noWrap w:val="0"/>
            <w:vAlign w:val="center"/>
          </w:tcPr>
          <w:p w14:paraId="1AD002ED">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办公场所的面积：</w:t>
            </w:r>
          </w:p>
        </w:tc>
      </w:tr>
      <w:tr w14:paraId="2D7F83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67" w:hRule="atLeast"/>
          <w:jc w:val="center"/>
        </w:trPr>
        <w:tc>
          <w:tcPr>
            <w:tcW w:w="582" w:type="dxa"/>
            <w:noWrap w:val="0"/>
            <w:vAlign w:val="center"/>
          </w:tcPr>
          <w:p w14:paraId="3D6B2CEC">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9</w:t>
            </w:r>
          </w:p>
        </w:tc>
        <w:tc>
          <w:tcPr>
            <w:tcW w:w="7780" w:type="dxa"/>
            <w:gridSpan w:val="10"/>
            <w:noWrap w:val="0"/>
            <w:vAlign w:val="center"/>
          </w:tcPr>
          <w:p w14:paraId="1C0BE25E">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主营范围</w:t>
            </w:r>
          </w:p>
          <w:p w14:paraId="26163E3D">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1、____________________________________</w:t>
            </w:r>
          </w:p>
          <w:p w14:paraId="6CD3AB03">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2、____________________________________</w:t>
            </w:r>
          </w:p>
        </w:tc>
      </w:tr>
      <w:tr w14:paraId="52BD1C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jc w:val="center"/>
        </w:trPr>
        <w:tc>
          <w:tcPr>
            <w:tcW w:w="582" w:type="dxa"/>
            <w:noWrap w:val="0"/>
            <w:vAlign w:val="center"/>
          </w:tcPr>
          <w:p w14:paraId="09DE4BE6">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10</w:t>
            </w:r>
          </w:p>
        </w:tc>
        <w:tc>
          <w:tcPr>
            <w:tcW w:w="2189" w:type="dxa"/>
            <w:gridSpan w:val="4"/>
            <w:noWrap w:val="0"/>
            <w:vAlign w:val="top"/>
          </w:tcPr>
          <w:p w14:paraId="6BE160C0">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最近</w:t>
            </w:r>
            <w:r>
              <w:rPr>
                <w:rFonts w:hint="eastAsia" w:ascii="宋体" w:hAnsi="宋体"/>
                <w:color w:val="auto"/>
                <w:szCs w:val="21"/>
                <w:highlight w:val="none"/>
              </w:rPr>
              <w:t>3</w:t>
            </w:r>
            <w:r>
              <w:rPr>
                <w:rFonts w:ascii="宋体" w:hAnsi="宋体"/>
                <w:color w:val="auto"/>
                <w:szCs w:val="21"/>
                <w:highlight w:val="none"/>
              </w:rPr>
              <w:t>年内在经营过程中受到何种奖励或处分</w:t>
            </w:r>
          </w:p>
        </w:tc>
        <w:tc>
          <w:tcPr>
            <w:tcW w:w="5591" w:type="dxa"/>
            <w:gridSpan w:val="6"/>
            <w:noWrap w:val="0"/>
            <w:vAlign w:val="top"/>
          </w:tcPr>
          <w:p w14:paraId="49A87AB5">
            <w:pPr>
              <w:overflowPunct w:val="0"/>
              <w:adjustRightInd w:val="0"/>
              <w:spacing w:line="320" w:lineRule="exact"/>
              <w:jc w:val="left"/>
              <w:textAlignment w:val="baseline"/>
              <w:rPr>
                <w:rFonts w:ascii="宋体" w:hAnsi="宋体"/>
                <w:color w:val="auto"/>
                <w:szCs w:val="21"/>
                <w:highlight w:val="none"/>
              </w:rPr>
            </w:pPr>
          </w:p>
        </w:tc>
      </w:tr>
      <w:tr w14:paraId="63E98F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82" w:type="dxa"/>
            <w:noWrap w:val="0"/>
            <w:vAlign w:val="center"/>
          </w:tcPr>
          <w:p w14:paraId="4CC2A078">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11</w:t>
            </w:r>
          </w:p>
        </w:tc>
        <w:tc>
          <w:tcPr>
            <w:tcW w:w="2189" w:type="dxa"/>
            <w:gridSpan w:val="4"/>
            <w:noWrap w:val="0"/>
            <w:vAlign w:val="top"/>
          </w:tcPr>
          <w:p w14:paraId="39347E75">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最近3年内有无因售假、售劣或是其他原因被消费者投诉或起诉的情况及说明</w:t>
            </w:r>
          </w:p>
        </w:tc>
        <w:tc>
          <w:tcPr>
            <w:tcW w:w="5591" w:type="dxa"/>
            <w:gridSpan w:val="6"/>
            <w:noWrap w:val="0"/>
            <w:vAlign w:val="top"/>
          </w:tcPr>
          <w:p w14:paraId="66E49479">
            <w:pPr>
              <w:overflowPunct w:val="0"/>
              <w:adjustRightInd w:val="0"/>
              <w:spacing w:line="320" w:lineRule="exact"/>
              <w:jc w:val="left"/>
              <w:textAlignment w:val="baseline"/>
              <w:rPr>
                <w:rFonts w:ascii="宋体" w:hAnsi="宋体"/>
                <w:color w:val="auto"/>
                <w:szCs w:val="21"/>
                <w:highlight w:val="none"/>
              </w:rPr>
            </w:pPr>
          </w:p>
        </w:tc>
      </w:tr>
      <w:tr w14:paraId="29C0F7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82" w:type="dxa"/>
            <w:noWrap w:val="0"/>
            <w:vAlign w:val="center"/>
          </w:tcPr>
          <w:p w14:paraId="2CB3FB54">
            <w:pPr>
              <w:overflowPunct w:val="0"/>
              <w:adjustRightInd w:val="0"/>
              <w:spacing w:line="320" w:lineRule="exact"/>
              <w:jc w:val="center"/>
              <w:textAlignment w:val="baseline"/>
              <w:rPr>
                <w:rFonts w:ascii="宋体" w:hAnsi="宋体"/>
                <w:color w:val="auto"/>
                <w:szCs w:val="21"/>
                <w:highlight w:val="none"/>
              </w:rPr>
            </w:pPr>
            <w:r>
              <w:rPr>
                <w:rFonts w:ascii="宋体" w:hAnsi="宋体"/>
                <w:color w:val="auto"/>
                <w:szCs w:val="21"/>
                <w:highlight w:val="none"/>
              </w:rPr>
              <w:t>12</w:t>
            </w:r>
          </w:p>
        </w:tc>
        <w:tc>
          <w:tcPr>
            <w:tcW w:w="7780" w:type="dxa"/>
            <w:gridSpan w:val="10"/>
            <w:noWrap w:val="0"/>
            <w:vAlign w:val="center"/>
          </w:tcPr>
          <w:p w14:paraId="2C761BCF">
            <w:pPr>
              <w:overflowPunct w:val="0"/>
              <w:adjustRightInd w:val="0"/>
              <w:spacing w:line="320" w:lineRule="exact"/>
              <w:jc w:val="left"/>
              <w:textAlignment w:val="baseline"/>
              <w:rPr>
                <w:rFonts w:ascii="宋体" w:hAnsi="宋体"/>
                <w:color w:val="auto"/>
                <w:szCs w:val="21"/>
                <w:highlight w:val="none"/>
              </w:rPr>
            </w:pPr>
            <w:r>
              <w:rPr>
                <w:rFonts w:ascii="宋体" w:hAnsi="宋体"/>
                <w:color w:val="auto"/>
                <w:szCs w:val="21"/>
                <w:highlight w:val="none"/>
              </w:rPr>
              <w:t>其他需要说明的情况</w:t>
            </w:r>
          </w:p>
        </w:tc>
      </w:tr>
    </w:tbl>
    <w:p w14:paraId="6A118A02">
      <w:pPr>
        <w:pStyle w:val="13"/>
        <w:spacing w:line="400" w:lineRule="exact"/>
        <w:ind w:firstLine="0"/>
        <w:jc w:val="both"/>
        <w:rPr>
          <w:rFonts w:ascii="宋体" w:hAnsi="宋体" w:eastAsia="宋体"/>
          <w:color w:val="auto"/>
          <w:szCs w:val="24"/>
          <w:highlight w:val="none"/>
        </w:rPr>
      </w:pPr>
    </w:p>
    <w:p w14:paraId="104CFA56">
      <w:pPr>
        <w:spacing w:line="400" w:lineRule="exact"/>
        <w:rPr>
          <w:rFonts w:ascii="宋体" w:hAnsi="宋体" w:cs="Arial"/>
          <w:color w:val="auto"/>
          <w:sz w:val="24"/>
          <w:highlight w:val="none"/>
        </w:rPr>
      </w:pPr>
    </w:p>
    <w:p w14:paraId="7FCA43FF">
      <w:pPr>
        <w:ind w:firstLine="480"/>
        <w:rPr>
          <w:rFonts w:ascii="宋体" w:hAnsi="宋体"/>
          <w:color w:val="auto"/>
          <w:sz w:val="24"/>
          <w:highlight w:val="none"/>
        </w:rPr>
      </w:pPr>
    </w:p>
    <w:p w14:paraId="193D0B62">
      <w:pPr>
        <w:ind w:firstLine="480"/>
        <w:rPr>
          <w:rFonts w:ascii="宋体" w:hAnsi="宋体"/>
          <w:color w:val="auto"/>
          <w:sz w:val="24"/>
          <w:highlight w:val="none"/>
        </w:rPr>
      </w:pPr>
    </w:p>
    <w:p w14:paraId="26391792">
      <w:pPr>
        <w:ind w:firstLine="480"/>
        <w:rPr>
          <w:rFonts w:ascii="宋体" w:hAnsi="宋体"/>
          <w:color w:val="auto"/>
          <w:sz w:val="24"/>
          <w:highlight w:val="none"/>
        </w:rPr>
      </w:pPr>
    </w:p>
    <w:p w14:paraId="4DC044E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p>
    <w:p w14:paraId="7AC9505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p>
    <w:p w14:paraId="05516C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格式五：</w:t>
      </w:r>
    </w:p>
    <w:p w14:paraId="7498EA57">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法定代表人授权委托书</w:t>
      </w:r>
    </w:p>
    <w:p w14:paraId="644176A4">
      <w:pPr>
        <w:keepNext w:val="0"/>
        <w:keepLines w:val="0"/>
        <w:pageBreakBefore w:val="0"/>
        <w:widowControl w:val="0"/>
        <w:kinsoku/>
        <w:wordWrap/>
        <w:topLinePunct w:val="0"/>
        <w:autoSpaceDE/>
        <w:autoSpaceDN/>
        <w:bidi w:val="0"/>
        <w:adjustRightInd/>
        <w:snapToGrid/>
        <w:spacing w:line="360" w:lineRule="auto"/>
        <w:textAlignment w:val="auto"/>
        <w:rPr>
          <w:rFonts w:ascii="宋体" w:hAnsi="宋体"/>
          <w:b/>
          <w:color w:val="auto"/>
          <w:sz w:val="24"/>
          <w:highlight w:val="none"/>
        </w:rPr>
      </w:pPr>
    </w:p>
    <w:p w14:paraId="4DDC285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本授权委托书声明：我</w:t>
      </w:r>
      <w:r>
        <w:rPr>
          <w:rFonts w:hint="eastAsia" w:ascii="宋体" w:hAnsi="宋体" w:eastAsia="宋体" w:cs="宋体"/>
          <w:color w:val="auto"/>
          <w:sz w:val="21"/>
          <w:szCs w:val="21"/>
          <w:highlight w:val="none"/>
          <w:u w:val="single"/>
        </w:rPr>
        <w:t>（姓名及身份证号）</w:t>
      </w: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（供应商名称）</w:t>
      </w:r>
      <w:r>
        <w:rPr>
          <w:rFonts w:hint="eastAsia" w:ascii="宋体" w:hAnsi="宋体" w:eastAsia="宋体" w:cs="宋体"/>
          <w:color w:val="auto"/>
          <w:sz w:val="21"/>
          <w:szCs w:val="21"/>
          <w:highlight w:val="none"/>
        </w:rPr>
        <w:t>的法定代表人，现授权委托</w:t>
      </w:r>
      <w:r>
        <w:rPr>
          <w:rFonts w:hint="eastAsia" w:ascii="宋体" w:hAnsi="宋体" w:eastAsia="宋体" w:cs="宋体"/>
          <w:color w:val="auto"/>
          <w:sz w:val="21"/>
          <w:szCs w:val="21"/>
          <w:highlight w:val="none"/>
          <w:u w:val="single"/>
        </w:rPr>
        <w:t>（单位名称）</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u w:val="single"/>
        </w:rPr>
        <w:t>（姓名及身份证号）</w:t>
      </w:r>
      <w:r>
        <w:rPr>
          <w:rFonts w:hint="eastAsia" w:ascii="宋体" w:hAnsi="宋体" w:eastAsia="宋体" w:cs="宋体"/>
          <w:color w:val="auto"/>
          <w:sz w:val="21"/>
          <w:szCs w:val="21"/>
          <w:highlight w:val="none"/>
        </w:rPr>
        <w:t>为我公司代理人，以本公司的名义参加中诚智信工程咨询集团股份有限公司组织实施的编号为</w:t>
      </w:r>
      <w:r>
        <w:rPr>
          <w:rFonts w:hint="eastAsia" w:ascii="宋体" w:hAnsi="宋体" w:cs="宋体"/>
          <w:color w:val="auto"/>
          <w:sz w:val="21"/>
          <w:szCs w:val="21"/>
          <w:highlight w:val="none"/>
          <w:u w:val="single"/>
          <w:lang w:eastAsia="zh-CN"/>
        </w:rPr>
        <w:t>JSZC-320500-ZCZX-C2026-0034</w:t>
      </w:r>
      <w:r>
        <w:rPr>
          <w:rFonts w:hint="eastAsia" w:ascii="宋体" w:hAnsi="宋体" w:eastAsia="宋体" w:cs="宋体"/>
          <w:color w:val="auto"/>
          <w:sz w:val="21"/>
          <w:szCs w:val="21"/>
          <w:highlight w:val="none"/>
        </w:rPr>
        <w:t>号的采购活动。代理人在磋商过程中所签署的一切文件和处理与这有关的一切事务，我均予以承认。</w:t>
      </w:r>
    </w:p>
    <w:p w14:paraId="178BEAFB">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代理人在授权委托书有效期内签署的所有文件不因授权委托的撤销而失效，除非有撤销授权委托的书面通知，本授权委托书自磋商活动开始至合同履行完毕止。</w:t>
      </w:r>
    </w:p>
    <w:p w14:paraId="6C8DF2C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代理人无转委托权。特此委托。</w:t>
      </w:r>
    </w:p>
    <w:p w14:paraId="3CAF3729">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rPr>
      </w:pPr>
    </w:p>
    <w:p w14:paraId="6949D8A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olor w:val="auto"/>
          <w:sz w:val="21"/>
          <w:szCs w:val="21"/>
          <w:highlight w:val="none"/>
          <w:u w:val="single"/>
        </w:rPr>
      </w:pPr>
      <w:r>
        <w:rPr>
          <w:rFonts w:hint="eastAsia" w:ascii="宋体" w:hAnsi="宋体" w:eastAsia="宋体" w:cs="宋体"/>
          <w:color w:val="auto"/>
          <w:sz w:val="21"/>
          <w:szCs w:val="21"/>
          <w:highlight w:val="none"/>
        </w:rPr>
        <w:t>委托</w:t>
      </w:r>
      <w:r>
        <w:rPr>
          <w:rFonts w:hint="eastAsia" w:ascii="宋体" w:hAnsi="宋体" w:eastAsia="宋体"/>
          <w:color w:val="auto"/>
          <w:sz w:val="21"/>
          <w:szCs w:val="21"/>
          <w:highlight w:val="none"/>
        </w:rPr>
        <w:t>代理人：</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性别：</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年龄：</w:t>
      </w:r>
      <w:r>
        <w:rPr>
          <w:rFonts w:hint="eastAsia" w:ascii="宋体" w:hAnsi="宋体" w:eastAsia="宋体"/>
          <w:color w:val="auto"/>
          <w:sz w:val="21"/>
          <w:szCs w:val="21"/>
          <w:highlight w:val="none"/>
          <w:u w:val="single"/>
          <w:lang w:val="en-US" w:eastAsia="zh-CN"/>
        </w:rPr>
        <w:t xml:space="preserve">          </w:t>
      </w:r>
    </w:p>
    <w:p w14:paraId="5108ECA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olor w:val="auto"/>
          <w:sz w:val="21"/>
          <w:szCs w:val="21"/>
          <w:highlight w:val="none"/>
        </w:rPr>
      </w:pPr>
      <w:r>
        <w:rPr>
          <w:rFonts w:hint="eastAsia" w:ascii="宋体" w:hAnsi="宋体" w:eastAsia="宋体" w:cs="宋体"/>
          <w:color w:val="auto"/>
          <w:sz w:val="21"/>
          <w:szCs w:val="21"/>
          <w:highlight w:val="none"/>
        </w:rPr>
        <w:t>磋商</w:t>
      </w:r>
      <w:r>
        <w:rPr>
          <w:rFonts w:hint="eastAsia" w:ascii="宋体" w:hAnsi="宋体" w:eastAsia="宋体"/>
          <w:color w:val="auto"/>
          <w:sz w:val="21"/>
          <w:szCs w:val="21"/>
          <w:highlight w:val="none"/>
        </w:rPr>
        <w:t>响应单位：</w:t>
      </w:r>
      <w:r>
        <w:rPr>
          <w:rFonts w:hint="eastAsia" w:ascii="宋体" w:hAnsi="宋体" w:eastAsia="宋体"/>
          <w:color w:val="auto"/>
          <w:sz w:val="21"/>
          <w:szCs w:val="21"/>
          <w:highlight w:val="none"/>
          <w:u w:val="single"/>
        </w:rPr>
        <w:t>（盖章）</w:t>
      </w:r>
      <w:r>
        <w:rPr>
          <w:rFonts w:hint="eastAsia" w:ascii="宋体" w:hAnsi="宋体" w:eastAsia="宋体"/>
          <w:color w:val="auto"/>
          <w:sz w:val="21"/>
          <w:szCs w:val="21"/>
          <w:highlight w:val="none"/>
        </w:rPr>
        <w:t>部门：</w:t>
      </w:r>
      <w:r>
        <w:rPr>
          <w:rFonts w:hint="eastAsia" w:ascii="宋体" w:hAnsi="宋体" w:eastAsia="宋体"/>
          <w:color w:val="auto"/>
          <w:sz w:val="21"/>
          <w:szCs w:val="21"/>
          <w:highlight w:val="none"/>
          <w:u w:val="single"/>
          <w:lang w:val="en-US" w:eastAsia="zh-CN"/>
        </w:rPr>
        <w:t xml:space="preserve">          </w:t>
      </w:r>
      <w:r>
        <w:rPr>
          <w:rFonts w:hint="eastAsia" w:ascii="宋体" w:hAnsi="宋体" w:eastAsia="宋体"/>
          <w:color w:val="auto"/>
          <w:sz w:val="21"/>
          <w:szCs w:val="21"/>
          <w:highlight w:val="none"/>
        </w:rPr>
        <w:t>职务：</w:t>
      </w:r>
      <w:r>
        <w:rPr>
          <w:rFonts w:hint="eastAsia" w:ascii="宋体" w:hAnsi="宋体" w:eastAsia="宋体"/>
          <w:color w:val="auto"/>
          <w:sz w:val="21"/>
          <w:szCs w:val="21"/>
          <w:highlight w:val="none"/>
          <w:u w:val="single"/>
          <w:lang w:val="en-US" w:eastAsia="zh-CN"/>
        </w:rPr>
        <w:t xml:space="preserve">          </w:t>
      </w:r>
    </w:p>
    <w:p w14:paraId="5E6CDEFF">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olor w:val="auto"/>
          <w:sz w:val="21"/>
          <w:szCs w:val="21"/>
          <w:highlight w:val="none"/>
        </w:rPr>
      </w:pPr>
      <w:r>
        <w:rPr>
          <w:rFonts w:hint="eastAsia" w:ascii="宋体" w:hAnsi="宋体" w:eastAsia="宋体" w:cs="宋体"/>
          <w:color w:val="auto"/>
          <w:sz w:val="21"/>
          <w:szCs w:val="21"/>
          <w:highlight w:val="none"/>
        </w:rPr>
        <w:t>法定</w:t>
      </w:r>
      <w:r>
        <w:rPr>
          <w:rFonts w:hint="eastAsia" w:ascii="宋体" w:hAnsi="宋体" w:eastAsia="宋体"/>
          <w:color w:val="auto"/>
          <w:sz w:val="21"/>
          <w:szCs w:val="21"/>
          <w:highlight w:val="none"/>
        </w:rPr>
        <w:t>代表人：</w:t>
      </w:r>
      <w:r>
        <w:rPr>
          <w:rFonts w:hint="eastAsia" w:ascii="宋体" w:hAnsi="宋体" w:eastAsia="宋体"/>
          <w:color w:val="auto"/>
          <w:sz w:val="21"/>
          <w:szCs w:val="21"/>
          <w:highlight w:val="none"/>
          <w:u w:val="single"/>
        </w:rPr>
        <w:t>（签字或盖章）</w:t>
      </w:r>
    </w:p>
    <w:p w14:paraId="11B3CC4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ascii="宋体" w:hAnsi="宋体" w:eastAsia="宋体"/>
          <w:color w:val="auto"/>
          <w:sz w:val="21"/>
          <w:szCs w:val="21"/>
          <w:highlight w:val="none"/>
        </w:rPr>
      </w:pPr>
      <w:r>
        <w:rPr>
          <w:rFonts w:hint="eastAsia" w:ascii="宋体" w:hAnsi="宋体" w:eastAsia="宋体" w:cs="宋体"/>
          <w:color w:val="auto"/>
          <w:sz w:val="21"/>
          <w:szCs w:val="21"/>
          <w:highlight w:val="none"/>
        </w:rPr>
        <w:t>日期</w:t>
      </w:r>
      <w:r>
        <w:rPr>
          <w:rFonts w:hint="eastAsia" w:ascii="宋体" w:hAnsi="宋体" w:eastAsia="宋体"/>
          <w:color w:val="auto"/>
          <w:sz w:val="21"/>
          <w:szCs w:val="21"/>
          <w:highlight w:val="none"/>
        </w:rPr>
        <w:t>：     年    月    日</w:t>
      </w:r>
    </w:p>
    <w:p w14:paraId="6F9EC949">
      <w:pPr>
        <w:keepNext w:val="0"/>
        <w:keepLines w:val="0"/>
        <w:pageBreakBefore w:val="0"/>
        <w:widowControl w:val="0"/>
        <w:kinsoku/>
        <w:wordWrap/>
        <w:topLinePunct w:val="0"/>
        <w:autoSpaceDE/>
        <w:autoSpaceDN/>
        <w:bidi w:val="0"/>
        <w:adjustRightInd/>
        <w:snapToGrid/>
        <w:spacing w:line="360" w:lineRule="auto"/>
        <w:textAlignment w:val="auto"/>
        <w:rPr>
          <w:rFonts w:ascii="宋体" w:hAnsi="宋体"/>
          <w:color w:val="auto"/>
          <w:sz w:val="24"/>
          <w:highlight w:val="none"/>
        </w:rPr>
      </w:pPr>
    </w:p>
    <w:p w14:paraId="11C6B976">
      <w:pPr>
        <w:keepNext w:val="0"/>
        <w:keepLines w:val="0"/>
        <w:pageBreakBefore w:val="0"/>
        <w:widowControl w:val="0"/>
        <w:kinsoku/>
        <w:wordWrap/>
        <w:topLinePunct w:val="0"/>
        <w:autoSpaceDE/>
        <w:autoSpaceDN/>
        <w:bidi w:val="0"/>
        <w:adjustRightInd/>
        <w:snapToGrid/>
        <w:spacing w:line="360" w:lineRule="auto"/>
        <w:textAlignment w:val="auto"/>
        <w:rPr>
          <w:rFonts w:ascii="宋体" w:hAnsi="宋体"/>
          <w:color w:val="auto"/>
          <w:sz w:val="24"/>
          <w:highlight w:val="none"/>
        </w:rPr>
      </w:pPr>
    </w:p>
    <w:p w14:paraId="4631C657">
      <w:pPr>
        <w:keepNext w:val="0"/>
        <w:keepLines w:val="0"/>
        <w:pageBreakBefore w:val="0"/>
        <w:widowControl w:val="0"/>
        <w:kinsoku/>
        <w:wordWrap/>
        <w:topLinePunct w:val="0"/>
        <w:autoSpaceDE/>
        <w:autoSpaceDN/>
        <w:bidi w:val="0"/>
        <w:adjustRightInd/>
        <w:snapToGrid/>
        <w:spacing w:line="360" w:lineRule="auto"/>
        <w:textAlignment w:val="auto"/>
        <w:rPr>
          <w:rFonts w:hint="eastAsia" w:ascii="宋体" w:hAnsi="宋体" w:cs="宋体"/>
          <w:color w:val="auto"/>
          <w:sz w:val="24"/>
          <w:szCs w:val="32"/>
          <w:highlight w:val="none"/>
        </w:rPr>
      </w:pPr>
      <w:r>
        <w:rPr>
          <w:rFonts w:hint="eastAsia" w:ascii="宋体" w:hAnsi="宋体" w:cs="宋体"/>
          <w:color w:val="auto"/>
          <w:sz w:val="24"/>
          <w:szCs w:val="32"/>
          <w:highlight w:val="none"/>
        </w:rPr>
        <w:br w:type="page"/>
      </w:r>
    </w:p>
    <w:p w14:paraId="2A91470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格式六：</w:t>
      </w:r>
    </w:p>
    <w:p w14:paraId="29D29FB8">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参加政府采购活动前三年内，在经营活动中没有重大违法记录声明</w:t>
      </w:r>
    </w:p>
    <w:p w14:paraId="18280ABA">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28706A8C">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我单位</w:t>
      </w:r>
      <w:r>
        <w:rPr>
          <w:rFonts w:hint="eastAsia" w:ascii="宋体" w:hAnsi="宋体" w:eastAsia="宋体" w:cs="宋体"/>
          <w:color w:val="auto"/>
          <w:sz w:val="21"/>
          <w:szCs w:val="21"/>
          <w:highlight w:val="none"/>
          <w:u w:val="single"/>
        </w:rPr>
        <w:t>（供应商名称）</w:t>
      </w:r>
      <w:r>
        <w:rPr>
          <w:rFonts w:hint="eastAsia" w:ascii="宋体" w:hAnsi="宋体" w:eastAsia="宋体" w:cs="宋体"/>
          <w:color w:val="auto"/>
          <w:sz w:val="21"/>
          <w:szCs w:val="21"/>
          <w:highlight w:val="none"/>
        </w:rPr>
        <w:t>在参加政府采购活动前三年内，在经营活动中没有重大违法记录，特此声明。</w:t>
      </w:r>
    </w:p>
    <w:p w14:paraId="7BB43B1F">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若采购代理机构在本项目采购过程中发现我单位近三年内在经营活动中有重大违法记录，我单位将无条件退出本项目的磋商，并承担因此引起的一起后果。</w:t>
      </w:r>
    </w:p>
    <w:p w14:paraId="4C4D124A">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43C38EA7">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40447A7A">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1E1B840C">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20A57F2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color w:val="auto"/>
          <w:highlight w:val="none"/>
        </w:rPr>
        <w:br w:type="page" w:clear="all"/>
      </w:r>
      <w:r>
        <w:rPr>
          <w:rFonts w:hint="eastAsia" w:ascii="宋体" w:hAnsi="宋体" w:eastAsia="宋体" w:cs="Times New Roman"/>
          <w:color w:val="auto"/>
          <w:kern w:val="2"/>
          <w:sz w:val="21"/>
          <w:szCs w:val="21"/>
          <w:highlight w:val="none"/>
        </w:rPr>
        <w:t>格式七：</w:t>
      </w:r>
    </w:p>
    <w:p w14:paraId="080BB6E4">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磋商响应单位与其他单位存在控股、管理关系情况表</w:t>
      </w:r>
    </w:p>
    <w:tbl>
      <w:tblPr>
        <w:tblStyle w:val="43"/>
        <w:tblW w:w="0" w:type="auto"/>
        <w:jc w:val="center"/>
        <w:tblLayout w:type="fixed"/>
        <w:tblCellMar>
          <w:top w:w="0" w:type="dxa"/>
          <w:left w:w="108" w:type="dxa"/>
          <w:bottom w:w="0" w:type="dxa"/>
          <w:right w:w="108" w:type="dxa"/>
        </w:tblCellMar>
      </w:tblPr>
      <w:tblGrid>
        <w:gridCol w:w="5298"/>
        <w:gridCol w:w="3224"/>
      </w:tblGrid>
      <w:tr w14:paraId="37A20321">
        <w:tblPrEx>
          <w:tblCellMar>
            <w:top w:w="0" w:type="dxa"/>
            <w:left w:w="108" w:type="dxa"/>
            <w:bottom w:w="0" w:type="dxa"/>
            <w:right w:w="108" w:type="dxa"/>
          </w:tblCellMar>
        </w:tblPrEx>
        <w:trPr>
          <w:trHeight w:val="637"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4473F363">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与磋商响应单位存在控股、管理关系的单位名称</w:t>
            </w:r>
          </w:p>
        </w:tc>
        <w:tc>
          <w:tcPr>
            <w:tcW w:w="3224" w:type="dxa"/>
            <w:tcBorders>
              <w:top w:val="single" w:color="000000" w:sz="4" w:space="0"/>
              <w:left w:val="nil"/>
              <w:bottom w:val="single" w:color="000000" w:sz="4" w:space="0"/>
              <w:right w:val="single" w:color="000000" w:sz="4" w:space="0"/>
            </w:tcBorders>
            <w:vAlign w:val="center"/>
          </w:tcPr>
          <w:p w14:paraId="2F4CFD66">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控股、管理关系情况说明</w:t>
            </w:r>
          </w:p>
        </w:tc>
      </w:tr>
      <w:tr w14:paraId="0D80B75A">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5D5ED0FE">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19848F78">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r w14:paraId="2DCD6F8A">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1E06B97C">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03068FF6">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r w14:paraId="1AE3202B">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3D3CCA31">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60258819">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r w14:paraId="672744C3">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1655D97B">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7684FE93">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r w14:paraId="326D4998">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6885D450">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712EFB58">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r w14:paraId="7E5AA6F3">
        <w:tblPrEx>
          <w:tblCellMar>
            <w:top w:w="0" w:type="dxa"/>
            <w:left w:w="108" w:type="dxa"/>
            <w:bottom w:w="0" w:type="dxa"/>
            <w:right w:w="108" w:type="dxa"/>
          </w:tblCellMar>
        </w:tblPrEx>
        <w:trPr>
          <w:trHeight w:val="850" w:hRule="atLeast"/>
          <w:jc w:val="center"/>
        </w:trPr>
        <w:tc>
          <w:tcPr>
            <w:tcW w:w="5298" w:type="dxa"/>
            <w:tcBorders>
              <w:top w:val="single" w:color="000000" w:sz="4" w:space="0"/>
              <w:left w:val="single" w:color="000000" w:sz="4" w:space="0"/>
              <w:bottom w:val="single" w:color="000000" w:sz="4" w:space="0"/>
              <w:right w:val="single" w:color="000000" w:sz="4" w:space="0"/>
            </w:tcBorders>
            <w:vAlign w:val="center"/>
          </w:tcPr>
          <w:p w14:paraId="25AD11FB">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c>
          <w:tcPr>
            <w:tcW w:w="3224" w:type="dxa"/>
            <w:tcBorders>
              <w:top w:val="single" w:color="000000" w:sz="4" w:space="0"/>
              <w:left w:val="nil"/>
              <w:bottom w:val="single" w:color="000000" w:sz="4" w:space="0"/>
              <w:right w:val="single" w:color="000000" w:sz="4" w:space="0"/>
            </w:tcBorders>
            <w:vAlign w:val="center"/>
          </w:tcPr>
          <w:p w14:paraId="7B9781C7">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bCs/>
                <w:color w:val="auto"/>
                <w:sz w:val="21"/>
                <w:szCs w:val="21"/>
                <w:highlight w:val="none"/>
              </w:rPr>
            </w:pPr>
          </w:p>
        </w:tc>
      </w:tr>
    </w:tbl>
    <w:p w14:paraId="76C3BBA0">
      <w:pPr>
        <w:keepNext w:val="0"/>
        <w:keepLines w:val="0"/>
        <w:pageBreakBefore w:val="0"/>
        <w:widowControl w:val="0"/>
        <w:kinsoku/>
        <w:wordWrap/>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注：响应单位应当按实填写所有与之有控股、管理关系的情况。</w:t>
      </w:r>
    </w:p>
    <w:p w14:paraId="0B6E8D77">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4DA28940">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79C34877">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3B1ECCDC">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6AE794A">
      <w:pPr>
        <w:pStyle w:val="13"/>
        <w:spacing w:line="300" w:lineRule="auto"/>
        <w:jc w:val="both"/>
        <w:rPr>
          <w:rFonts w:ascii="宋体" w:hAnsi="宋体" w:eastAsia="宋体"/>
          <w:color w:val="auto"/>
          <w:szCs w:val="24"/>
          <w:highlight w:val="none"/>
        </w:rPr>
      </w:pPr>
    </w:p>
    <w:p w14:paraId="5D285BE3">
      <w:pPr>
        <w:rPr>
          <w:rFonts w:ascii="宋体" w:hAnsi="宋体"/>
          <w:color w:val="auto"/>
          <w:sz w:val="24"/>
          <w:highlight w:val="none"/>
        </w:rPr>
      </w:pPr>
    </w:p>
    <w:p w14:paraId="07393A34">
      <w:pPr>
        <w:rPr>
          <w:rFonts w:ascii="宋体" w:hAnsi="宋体"/>
          <w:color w:val="auto"/>
          <w:sz w:val="24"/>
          <w:highlight w:val="none"/>
        </w:rPr>
      </w:pPr>
    </w:p>
    <w:p w14:paraId="252C58A5">
      <w:pPr>
        <w:rPr>
          <w:rFonts w:ascii="宋体" w:hAnsi="宋体"/>
          <w:color w:val="auto"/>
          <w:sz w:val="24"/>
          <w:highlight w:val="none"/>
        </w:rPr>
      </w:pPr>
    </w:p>
    <w:p w14:paraId="406CE9BC">
      <w:pPr>
        <w:rPr>
          <w:rFonts w:ascii="宋体" w:hAnsi="宋体"/>
          <w:color w:val="auto"/>
          <w:sz w:val="24"/>
          <w:highlight w:val="none"/>
        </w:rPr>
      </w:pPr>
    </w:p>
    <w:p w14:paraId="68E366F9">
      <w:pPr>
        <w:rPr>
          <w:rFonts w:ascii="宋体" w:hAnsi="宋体"/>
          <w:color w:val="auto"/>
          <w:sz w:val="24"/>
          <w:highlight w:val="none"/>
        </w:rPr>
      </w:pPr>
    </w:p>
    <w:p w14:paraId="4A4759BA">
      <w:pPr>
        <w:rPr>
          <w:rFonts w:ascii="宋体" w:hAnsi="宋体"/>
          <w:color w:val="auto"/>
          <w:sz w:val="24"/>
          <w:highlight w:val="none"/>
        </w:rPr>
      </w:pPr>
    </w:p>
    <w:p w14:paraId="1928E280">
      <w:pPr>
        <w:rPr>
          <w:rFonts w:ascii="宋体" w:hAnsi="宋体"/>
          <w:color w:val="auto"/>
          <w:sz w:val="24"/>
          <w:highlight w:val="none"/>
        </w:rPr>
      </w:pPr>
    </w:p>
    <w:p w14:paraId="03DDBF49">
      <w:pPr>
        <w:rPr>
          <w:rFonts w:ascii="宋体" w:hAnsi="宋体"/>
          <w:color w:val="auto"/>
          <w:sz w:val="24"/>
          <w:highlight w:val="none"/>
        </w:rPr>
      </w:pPr>
    </w:p>
    <w:p w14:paraId="5A81EEAE">
      <w:pPr>
        <w:rPr>
          <w:rFonts w:ascii="宋体" w:hAnsi="宋体"/>
          <w:color w:val="auto"/>
          <w:sz w:val="24"/>
          <w:highlight w:val="none"/>
        </w:rPr>
      </w:pPr>
    </w:p>
    <w:p w14:paraId="5BFE089D">
      <w:pPr>
        <w:rPr>
          <w:rFonts w:ascii="宋体" w:hAnsi="宋体"/>
          <w:color w:val="auto"/>
          <w:sz w:val="24"/>
          <w:highlight w:val="none"/>
        </w:rPr>
      </w:pPr>
    </w:p>
    <w:p w14:paraId="7038E12C">
      <w:pPr>
        <w:rPr>
          <w:rFonts w:ascii="宋体" w:hAnsi="宋体"/>
          <w:color w:val="auto"/>
          <w:sz w:val="24"/>
          <w:highlight w:val="none"/>
        </w:rPr>
      </w:pPr>
    </w:p>
    <w:p w14:paraId="728D5CDE">
      <w:pPr>
        <w:rPr>
          <w:rFonts w:ascii="宋体" w:hAnsi="宋体"/>
          <w:color w:val="auto"/>
          <w:sz w:val="24"/>
          <w:highlight w:val="none"/>
        </w:rPr>
      </w:pPr>
    </w:p>
    <w:p w14:paraId="79A2886A">
      <w:pPr>
        <w:rPr>
          <w:rFonts w:ascii="宋体" w:hAnsi="宋体"/>
          <w:color w:val="auto"/>
          <w:sz w:val="24"/>
          <w:highlight w:val="none"/>
        </w:rPr>
      </w:pPr>
    </w:p>
    <w:p w14:paraId="06297494">
      <w:pPr>
        <w:rPr>
          <w:rFonts w:ascii="宋体" w:hAnsi="宋体"/>
          <w:color w:val="auto"/>
          <w:sz w:val="24"/>
          <w:highlight w:val="none"/>
        </w:rPr>
      </w:pPr>
    </w:p>
    <w:p w14:paraId="07F581E3">
      <w:pPr>
        <w:rPr>
          <w:rFonts w:ascii="宋体" w:hAnsi="宋体"/>
          <w:color w:val="auto"/>
          <w:sz w:val="24"/>
          <w:highlight w:val="none"/>
        </w:rPr>
      </w:pPr>
    </w:p>
    <w:p w14:paraId="6C5680A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cs="Times New Roman"/>
          <w:color w:val="auto"/>
          <w:kern w:val="2"/>
          <w:sz w:val="21"/>
          <w:szCs w:val="21"/>
          <w:highlight w:val="none"/>
        </w:rPr>
        <w:t>格式八：</w:t>
      </w:r>
    </w:p>
    <w:p w14:paraId="4D9241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项目组织机构人员名单</w:t>
      </w:r>
    </w:p>
    <w:tbl>
      <w:tblPr>
        <w:tblStyle w:val="43"/>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43"/>
        <w:gridCol w:w="1684"/>
        <w:gridCol w:w="1179"/>
        <w:gridCol w:w="2020"/>
        <w:gridCol w:w="1488"/>
        <w:gridCol w:w="1208"/>
      </w:tblGrid>
      <w:tr w14:paraId="0520A0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943" w:type="dxa"/>
            <w:vAlign w:val="center"/>
          </w:tcPr>
          <w:p w14:paraId="7EE44291">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1684" w:type="dxa"/>
            <w:vAlign w:val="center"/>
          </w:tcPr>
          <w:p w14:paraId="15DAA452">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拟在本项目中</w:t>
            </w:r>
          </w:p>
          <w:p w14:paraId="7FDEA9FD">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担任的职务</w:t>
            </w:r>
          </w:p>
        </w:tc>
        <w:tc>
          <w:tcPr>
            <w:tcW w:w="1179" w:type="dxa"/>
            <w:vAlign w:val="center"/>
          </w:tcPr>
          <w:p w14:paraId="1C2C44B3">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p>
        </w:tc>
        <w:tc>
          <w:tcPr>
            <w:tcW w:w="2020" w:type="dxa"/>
            <w:vAlign w:val="center"/>
          </w:tcPr>
          <w:p w14:paraId="69544F2E">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身份证号码</w:t>
            </w:r>
          </w:p>
        </w:tc>
        <w:tc>
          <w:tcPr>
            <w:tcW w:w="1488" w:type="dxa"/>
            <w:vAlign w:val="center"/>
          </w:tcPr>
          <w:p w14:paraId="626E94D7">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技术工种/学历/职称</w:t>
            </w:r>
          </w:p>
        </w:tc>
        <w:tc>
          <w:tcPr>
            <w:tcW w:w="1208" w:type="dxa"/>
            <w:vAlign w:val="center"/>
          </w:tcPr>
          <w:p w14:paraId="4750E2FB">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联系方式</w:t>
            </w:r>
          </w:p>
        </w:tc>
      </w:tr>
      <w:tr w14:paraId="3AABB2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4FAA2ADB">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684" w:type="dxa"/>
            <w:vAlign w:val="center"/>
          </w:tcPr>
          <w:p w14:paraId="4E3AFC9C">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w:t>
            </w:r>
            <w:r>
              <w:rPr>
                <w:rFonts w:hint="eastAsia" w:ascii="宋体" w:hAnsi="宋体" w:eastAsia="宋体" w:cs="宋体"/>
                <w:color w:val="auto"/>
                <w:sz w:val="21"/>
                <w:szCs w:val="21"/>
                <w:highlight w:val="none"/>
                <w:lang w:val="en-US" w:eastAsia="zh-CN"/>
              </w:rPr>
              <w:t>经理</w:t>
            </w:r>
          </w:p>
        </w:tc>
        <w:tc>
          <w:tcPr>
            <w:tcW w:w="1179" w:type="dxa"/>
            <w:vAlign w:val="center"/>
          </w:tcPr>
          <w:p w14:paraId="47F9B979">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524D37C3">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776127C0">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653EF0E0">
            <w:pPr>
              <w:spacing w:line="400" w:lineRule="atLeast"/>
              <w:jc w:val="center"/>
              <w:rPr>
                <w:rFonts w:hint="eastAsia" w:ascii="宋体" w:hAnsi="宋体" w:eastAsia="宋体" w:cs="宋体"/>
                <w:color w:val="auto"/>
                <w:sz w:val="21"/>
                <w:szCs w:val="21"/>
                <w:highlight w:val="none"/>
              </w:rPr>
            </w:pPr>
          </w:p>
        </w:tc>
      </w:tr>
      <w:tr w14:paraId="2CD6448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67E9768F">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684" w:type="dxa"/>
            <w:vAlign w:val="center"/>
          </w:tcPr>
          <w:p w14:paraId="0276402B">
            <w:pPr>
              <w:jc w:val="center"/>
              <w:rPr>
                <w:rFonts w:hint="eastAsia" w:ascii="宋体" w:hAnsi="宋体" w:eastAsia="宋体" w:cs="宋体"/>
                <w:color w:val="auto"/>
                <w:sz w:val="21"/>
                <w:szCs w:val="21"/>
                <w:highlight w:val="none"/>
              </w:rPr>
            </w:pPr>
          </w:p>
        </w:tc>
        <w:tc>
          <w:tcPr>
            <w:tcW w:w="1179" w:type="dxa"/>
            <w:vAlign w:val="center"/>
          </w:tcPr>
          <w:p w14:paraId="0D885A89">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4305F3FE">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566E26EC">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5AD808CB">
            <w:pPr>
              <w:spacing w:line="400" w:lineRule="atLeast"/>
              <w:jc w:val="center"/>
              <w:rPr>
                <w:rFonts w:hint="eastAsia" w:ascii="宋体" w:hAnsi="宋体" w:eastAsia="宋体" w:cs="宋体"/>
                <w:color w:val="auto"/>
                <w:sz w:val="21"/>
                <w:szCs w:val="21"/>
                <w:highlight w:val="none"/>
              </w:rPr>
            </w:pPr>
          </w:p>
        </w:tc>
      </w:tr>
      <w:tr w14:paraId="294FE7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330F3D97">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684" w:type="dxa"/>
            <w:vAlign w:val="center"/>
          </w:tcPr>
          <w:p w14:paraId="6ABAA830">
            <w:pPr>
              <w:jc w:val="center"/>
              <w:rPr>
                <w:rFonts w:hint="eastAsia" w:ascii="宋体" w:hAnsi="宋体" w:eastAsia="宋体" w:cs="宋体"/>
                <w:color w:val="auto"/>
                <w:sz w:val="21"/>
                <w:szCs w:val="21"/>
                <w:highlight w:val="none"/>
              </w:rPr>
            </w:pPr>
          </w:p>
        </w:tc>
        <w:tc>
          <w:tcPr>
            <w:tcW w:w="1179" w:type="dxa"/>
            <w:vAlign w:val="center"/>
          </w:tcPr>
          <w:p w14:paraId="15D32D94">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61884F12">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454E4A3E">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67830B28">
            <w:pPr>
              <w:spacing w:line="400" w:lineRule="atLeast"/>
              <w:jc w:val="center"/>
              <w:rPr>
                <w:rFonts w:hint="eastAsia" w:ascii="宋体" w:hAnsi="宋体" w:eastAsia="宋体" w:cs="宋体"/>
                <w:color w:val="auto"/>
                <w:sz w:val="21"/>
                <w:szCs w:val="21"/>
                <w:highlight w:val="none"/>
              </w:rPr>
            </w:pPr>
          </w:p>
        </w:tc>
      </w:tr>
      <w:tr w14:paraId="25618F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7964ADE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684" w:type="dxa"/>
            <w:vAlign w:val="center"/>
          </w:tcPr>
          <w:p w14:paraId="26701065">
            <w:pPr>
              <w:jc w:val="center"/>
              <w:rPr>
                <w:rFonts w:hint="eastAsia" w:ascii="宋体" w:hAnsi="宋体" w:eastAsia="宋体" w:cs="宋体"/>
                <w:color w:val="auto"/>
                <w:sz w:val="21"/>
                <w:szCs w:val="21"/>
                <w:highlight w:val="none"/>
              </w:rPr>
            </w:pPr>
          </w:p>
        </w:tc>
        <w:tc>
          <w:tcPr>
            <w:tcW w:w="1179" w:type="dxa"/>
            <w:vAlign w:val="center"/>
          </w:tcPr>
          <w:p w14:paraId="3431C33E">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741BDF1D">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6C4B4136">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1E11A131">
            <w:pPr>
              <w:spacing w:line="400" w:lineRule="atLeast"/>
              <w:jc w:val="center"/>
              <w:rPr>
                <w:rFonts w:hint="eastAsia" w:ascii="宋体" w:hAnsi="宋体" w:eastAsia="宋体" w:cs="宋体"/>
                <w:color w:val="auto"/>
                <w:sz w:val="21"/>
                <w:szCs w:val="21"/>
                <w:highlight w:val="none"/>
              </w:rPr>
            </w:pPr>
          </w:p>
        </w:tc>
      </w:tr>
      <w:tr w14:paraId="6EBD2A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2ADB104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684" w:type="dxa"/>
            <w:vAlign w:val="center"/>
          </w:tcPr>
          <w:p w14:paraId="310C2878">
            <w:pPr>
              <w:jc w:val="center"/>
              <w:rPr>
                <w:rFonts w:hint="eastAsia" w:ascii="宋体" w:hAnsi="宋体" w:eastAsia="宋体" w:cs="宋体"/>
                <w:color w:val="auto"/>
                <w:sz w:val="21"/>
                <w:szCs w:val="21"/>
                <w:highlight w:val="none"/>
              </w:rPr>
            </w:pPr>
          </w:p>
        </w:tc>
        <w:tc>
          <w:tcPr>
            <w:tcW w:w="1179" w:type="dxa"/>
            <w:vAlign w:val="center"/>
          </w:tcPr>
          <w:p w14:paraId="3A7951AB">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5B3EF14D">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18BBEB32">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7C3A96EE">
            <w:pPr>
              <w:spacing w:line="400" w:lineRule="atLeast"/>
              <w:jc w:val="center"/>
              <w:rPr>
                <w:rFonts w:hint="eastAsia" w:ascii="宋体" w:hAnsi="宋体" w:eastAsia="宋体" w:cs="宋体"/>
                <w:color w:val="auto"/>
                <w:sz w:val="21"/>
                <w:szCs w:val="21"/>
                <w:highlight w:val="none"/>
              </w:rPr>
            </w:pPr>
          </w:p>
        </w:tc>
      </w:tr>
      <w:tr w14:paraId="040843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943" w:type="dxa"/>
            <w:vAlign w:val="center"/>
          </w:tcPr>
          <w:p w14:paraId="6A0FF074">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684" w:type="dxa"/>
            <w:vAlign w:val="center"/>
          </w:tcPr>
          <w:p w14:paraId="00887FEA">
            <w:pPr>
              <w:jc w:val="center"/>
              <w:rPr>
                <w:rFonts w:hint="eastAsia" w:ascii="宋体" w:hAnsi="宋体" w:eastAsia="宋体" w:cs="宋体"/>
                <w:color w:val="auto"/>
                <w:sz w:val="21"/>
                <w:szCs w:val="21"/>
                <w:highlight w:val="none"/>
              </w:rPr>
            </w:pPr>
          </w:p>
        </w:tc>
        <w:tc>
          <w:tcPr>
            <w:tcW w:w="1179" w:type="dxa"/>
            <w:vAlign w:val="center"/>
          </w:tcPr>
          <w:p w14:paraId="0F9FEB75">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0518AADF">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1E5FD0F1">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5CDF77EA">
            <w:pPr>
              <w:spacing w:line="400" w:lineRule="atLeast"/>
              <w:jc w:val="center"/>
              <w:rPr>
                <w:rFonts w:hint="eastAsia" w:ascii="宋体" w:hAnsi="宋体" w:eastAsia="宋体" w:cs="宋体"/>
                <w:color w:val="auto"/>
                <w:sz w:val="21"/>
                <w:szCs w:val="21"/>
                <w:highlight w:val="none"/>
              </w:rPr>
            </w:pPr>
          </w:p>
        </w:tc>
      </w:tr>
      <w:tr w14:paraId="353A4D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4C1A4401">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684" w:type="dxa"/>
            <w:vAlign w:val="center"/>
          </w:tcPr>
          <w:p w14:paraId="26AFBE9F">
            <w:pPr>
              <w:spacing w:line="400" w:lineRule="atLeas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179" w:type="dxa"/>
            <w:vAlign w:val="center"/>
          </w:tcPr>
          <w:p w14:paraId="3F308E96">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44DAEC81">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1DAFECCD">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011C4972">
            <w:pPr>
              <w:spacing w:line="400" w:lineRule="atLeast"/>
              <w:jc w:val="center"/>
              <w:rPr>
                <w:rFonts w:hint="eastAsia" w:ascii="宋体" w:hAnsi="宋体" w:eastAsia="宋体" w:cs="宋体"/>
                <w:color w:val="auto"/>
                <w:sz w:val="21"/>
                <w:szCs w:val="21"/>
                <w:highlight w:val="none"/>
              </w:rPr>
            </w:pPr>
          </w:p>
        </w:tc>
      </w:tr>
      <w:tr w14:paraId="681C72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18AE36CC">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6E78F17B">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30D4FB2D">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75B4B666">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30C66B14">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4706BA0D">
            <w:pPr>
              <w:spacing w:line="400" w:lineRule="atLeast"/>
              <w:jc w:val="center"/>
              <w:rPr>
                <w:rFonts w:hint="eastAsia" w:ascii="宋体" w:hAnsi="宋体" w:eastAsia="宋体" w:cs="宋体"/>
                <w:color w:val="auto"/>
                <w:sz w:val="21"/>
                <w:szCs w:val="21"/>
                <w:highlight w:val="none"/>
              </w:rPr>
            </w:pPr>
          </w:p>
        </w:tc>
      </w:tr>
      <w:tr w14:paraId="046DAC2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2652CA3B">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51251166">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16195956">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65850591">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3B3376E6">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40652C9F">
            <w:pPr>
              <w:spacing w:line="400" w:lineRule="atLeast"/>
              <w:jc w:val="center"/>
              <w:rPr>
                <w:rFonts w:hint="eastAsia" w:ascii="宋体" w:hAnsi="宋体" w:eastAsia="宋体" w:cs="宋体"/>
                <w:color w:val="auto"/>
                <w:sz w:val="21"/>
                <w:szCs w:val="21"/>
                <w:highlight w:val="none"/>
              </w:rPr>
            </w:pPr>
          </w:p>
        </w:tc>
      </w:tr>
      <w:tr w14:paraId="0747BC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7E720637">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77657911">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0AE28295">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2EB835EB">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6BF93D27">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53ABF7A1">
            <w:pPr>
              <w:spacing w:line="400" w:lineRule="atLeast"/>
              <w:jc w:val="center"/>
              <w:rPr>
                <w:rFonts w:hint="eastAsia" w:ascii="宋体" w:hAnsi="宋体" w:eastAsia="宋体" w:cs="宋体"/>
                <w:color w:val="auto"/>
                <w:sz w:val="21"/>
                <w:szCs w:val="21"/>
                <w:highlight w:val="none"/>
              </w:rPr>
            </w:pPr>
          </w:p>
        </w:tc>
      </w:tr>
      <w:tr w14:paraId="1549C46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6606DD8C">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306E29FD">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0D4D987E">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74DFDB7C">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4AF40959">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0F178B5A">
            <w:pPr>
              <w:spacing w:line="400" w:lineRule="atLeast"/>
              <w:jc w:val="center"/>
              <w:rPr>
                <w:rFonts w:hint="eastAsia" w:ascii="宋体" w:hAnsi="宋体" w:eastAsia="宋体" w:cs="宋体"/>
                <w:color w:val="auto"/>
                <w:sz w:val="21"/>
                <w:szCs w:val="21"/>
                <w:highlight w:val="none"/>
              </w:rPr>
            </w:pPr>
          </w:p>
        </w:tc>
      </w:tr>
      <w:tr w14:paraId="725E49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49FF780F">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68ADA17A">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6818B0D7">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16451B0C">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742B6742">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40254F41">
            <w:pPr>
              <w:spacing w:line="400" w:lineRule="atLeast"/>
              <w:jc w:val="center"/>
              <w:rPr>
                <w:rFonts w:hint="eastAsia" w:ascii="宋体" w:hAnsi="宋体" w:eastAsia="宋体" w:cs="宋体"/>
                <w:color w:val="auto"/>
                <w:sz w:val="21"/>
                <w:szCs w:val="21"/>
                <w:highlight w:val="none"/>
              </w:rPr>
            </w:pPr>
          </w:p>
        </w:tc>
      </w:tr>
      <w:tr w14:paraId="71AB462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262D17E2">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2AFA07B4">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55064C9F">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6DB64D7F">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05C7E3E5">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607E8B1A">
            <w:pPr>
              <w:spacing w:line="400" w:lineRule="atLeast"/>
              <w:jc w:val="center"/>
              <w:rPr>
                <w:rFonts w:hint="eastAsia" w:ascii="宋体" w:hAnsi="宋体" w:eastAsia="宋体" w:cs="宋体"/>
                <w:color w:val="auto"/>
                <w:sz w:val="21"/>
                <w:szCs w:val="21"/>
                <w:highlight w:val="none"/>
              </w:rPr>
            </w:pPr>
          </w:p>
        </w:tc>
      </w:tr>
      <w:tr w14:paraId="5ACF6A1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43" w:type="dxa"/>
            <w:vAlign w:val="center"/>
          </w:tcPr>
          <w:p w14:paraId="52AF1A9D">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229CC7C9">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73A9402F">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3F1046EE">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6E7DFC0A">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723AF4D4">
            <w:pPr>
              <w:spacing w:line="400" w:lineRule="atLeast"/>
              <w:jc w:val="center"/>
              <w:rPr>
                <w:rFonts w:hint="eastAsia" w:ascii="宋体" w:hAnsi="宋体" w:eastAsia="宋体" w:cs="宋体"/>
                <w:color w:val="auto"/>
                <w:sz w:val="21"/>
                <w:szCs w:val="21"/>
                <w:highlight w:val="none"/>
              </w:rPr>
            </w:pPr>
          </w:p>
        </w:tc>
      </w:tr>
      <w:tr w14:paraId="623CF2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43" w:type="dxa"/>
            <w:vAlign w:val="center"/>
          </w:tcPr>
          <w:p w14:paraId="6226D989">
            <w:pPr>
              <w:spacing w:line="400" w:lineRule="atLeast"/>
              <w:jc w:val="center"/>
              <w:rPr>
                <w:rFonts w:hint="eastAsia" w:ascii="宋体" w:hAnsi="宋体" w:eastAsia="宋体" w:cs="宋体"/>
                <w:color w:val="auto"/>
                <w:sz w:val="21"/>
                <w:szCs w:val="21"/>
                <w:highlight w:val="none"/>
              </w:rPr>
            </w:pPr>
          </w:p>
        </w:tc>
        <w:tc>
          <w:tcPr>
            <w:tcW w:w="1684" w:type="dxa"/>
            <w:vAlign w:val="center"/>
          </w:tcPr>
          <w:p w14:paraId="07745868">
            <w:pPr>
              <w:spacing w:line="400" w:lineRule="atLeast"/>
              <w:jc w:val="center"/>
              <w:rPr>
                <w:rFonts w:hint="eastAsia" w:ascii="宋体" w:hAnsi="宋体" w:eastAsia="宋体" w:cs="宋体"/>
                <w:color w:val="auto"/>
                <w:sz w:val="21"/>
                <w:szCs w:val="21"/>
                <w:highlight w:val="none"/>
              </w:rPr>
            </w:pPr>
          </w:p>
        </w:tc>
        <w:tc>
          <w:tcPr>
            <w:tcW w:w="1179" w:type="dxa"/>
            <w:vAlign w:val="center"/>
          </w:tcPr>
          <w:p w14:paraId="15703605">
            <w:pPr>
              <w:spacing w:line="400" w:lineRule="atLeast"/>
              <w:jc w:val="center"/>
              <w:rPr>
                <w:rFonts w:hint="eastAsia" w:ascii="宋体" w:hAnsi="宋体" w:eastAsia="宋体" w:cs="宋体"/>
                <w:color w:val="auto"/>
                <w:sz w:val="21"/>
                <w:szCs w:val="21"/>
                <w:highlight w:val="none"/>
              </w:rPr>
            </w:pPr>
          </w:p>
        </w:tc>
        <w:tc>
          <w:tcPr>
            <w:tcW w:w="2020" w:type="dxa"/>
            <w:vAlign w:val="center"/>
          </w:tcPr>
          <w:p w14:paraId="0CD5260D">
            <w:pPr>
              <w:spacing w:line="400" w:lineRule="atLeast"/>
              <w:jc w:val="center"/>
              <w:rPr>
                <w:rFonts w:hint="eastAsia" w:ascii="宋体" w:hAnsi="宋体" w:eastAsia="宋体" w:cs="宋体"/>
                <w:color w:val="auto"/>
                <w:sz w:val="21"/>
                <w:szCs w:val="21"/>
                <w:highlight w:val="none"/>
              </w:rPr>
            </w:pPr>
          </w:p>
        </w:tc>
        <w:tc>
          <w:tcPr>
            <w:tcW w:w="1488" w:type="dxa"/>
            <w:vAlign w:val="center"/>
          </w:tcPr>
          <w:p w14:paraId="68217818">
            <w:pPr>
              <w:spacing w:line="400" w:lineRule="atLeast"/>
              <w:jc w:val="center"/>
              <w:rPr>
                <w:rFonts w:hint="eastAsia" w:ascii="宋体" w:hAnsi="宋体" w:eastAsia="宋体" w:cs="宋体"/>
                <w:color w:val="auto"/>
                <w:sz w:val="21"/>
                <w:szCs w:val="21"/>
                <w:highlight w:val="none"/>
              </w:rPr>
            </w:pPr>
          </w:p>
        </w:tc>
        <w:tc>
          <w:tcPr>
            <w:tcW w:w="1208" w:type="dxa"/>
            <w:vAlign w:val="center"/>
          </w:tcPr>
          <w:p w14:paraId="67091379">
            <w:pPr>
              <w:spacing w:line="400" w:lineRule="atLeast"/>
              <w:jc w:val="center"/>
              <w:rPr>
                <w:rFonts w:hint="eastAsia" w:ascii="宋体" w:hAnsi="宋体" w:eastAsia="宋体" w:cs="宋体"/>
                <w:color w:val="auto"/>
                <w:sz w:val="21"/>
                <w:szCs w:val="21"/>
                <w:highlight w:val="none"/>
              </w:rPr>
            </w:pPr>
          </w:p>
        </w:tc>
      </w:tr>
    </w:tbl>
    <w:p w14:paraId="23A336C8">
      <w:pPr>
        <w:rPr>
          <w:rFonts w:ascii="宋体" w:hAnsi="宋体"/>
          <w:color w:val="auto"/>
          <w:sz w:val="24"/>
          <w:highlight w:val="none"/>
        </w:rPr>
      </w:pPr>
    </w:p>
    <w:p w14:paraId="1EC24125">
      <w:pPr>
        <w:rPr>
          <w:rFonts w:ascii="宋体" w:hAnsi="宋体"/>
          <w:color w:val="auto"/>
          <w:sz w:val="24"/>
          <w:highlight w:val="none"/>
        </w:rPr>
      </w:pPr>
    </w:p>
    <w:p w14:paraId="041557D7">
      <w:pPr>
        <w:rPr>
          <w:rFonts w:ascii="宋体" w:hAnsi="宋体"/>
          <w:color w:val="auto"/>
          <w:sz w:val="24"/>
          <w:highlight w:val="none"/>
        </w:rPr>
      </w:pPr>
    </w:p>
    <w:p w14:paraId="4AF068EC">
      <w:pPr>
        <w:rPr>
          <w:rFonts w:ascii="宋体" w:hAnsi="宋体"/>
          <w:color w:val="auto"/>
          <w:sz w:val="24"/>
          <w:highlight w:val="none"/>
        </w:rPr>
      </w:pPr>
    </w:p>
    <w:p w14:paraId="67D6C7C0">
      <w:pPr>
        <w:rPr>
          <w:rFonts w:ascii="宋体" w:hAnsi="宋体"/>
          <w:color w:val="auto"/>
          <w:sz w:val="24"/>
          <w:highlight w:val="none"/>
        </w:rPr>
      </w:pPr>
    </w:p>
    <w:p w14:paraId="5D98B4A1">
      <w:pPr>
        <w:rPr>
          <w:rFonts w:ascii="宋体" w:hAnsi="宋体"/>
          <w:color w:val="auto"/>
          <w:sz w:val="24"/>
          <w:highlight w:val="none"/>
        </w:rPr>
      </w:pPr>
    </w:p>
    <w:p w14:paraId="1A0B3899">
      <w:pPr>
        <w:rPr>
          <w:rFonts w:ascii="宋体" w:hAnsi="宋体"/>
          <w:color w:val="auto"/>
          <w:sz w:val="24"/>
          <w:highlight w:val="none"/>
        </w:rPr>
      </w:pPr>
    </w:p>
    <w:p w14:paraId="64911A34">
      <w:pPr>
        <w:rPr>
          <w:rFonts w:ascii="宋体" w:hAnsi="宋体"/>
          <w:color w:val="auto"/>
          <w:sz w:val="24"/>
          <w:highlight w:val="none"/>
        </w:rPr>
      </w:pPr>
    </w:p>
    <w:p w14:paraId="53CD63F1">
      <w:pPr>
        <w:rPr>
          <w:rFonts w:hint="eastAsia" w:ascii="宋体" w:hAnsi="宋体" w:eastAsia="宋体" w:cs="Times New Roman"/>
          <w:bCs/>
          <w:color w:val="auto"/>
          <w:kern w:val="2"/>
          <w:sz w:val="21"/>
          <w:szCs w:val="21"/>
          <w:highlight w:val="none"/>
          <w:lang w:val="zh-CN"/>
        </w:rPr>
      </w:pPr>
      <w:r>
        <w:rPr>
          <w:rFonts w:hint="eastAsia" w:ascii="宋体" w:hAnsi="宋体" w:eastAsia="宋体" w:cs="Times New Roman"/>
          <w:bCs/>
          <w:color w:val="auto"/>
          <w:kern w:val="2"/>
          <w:sz w:val="21"/>
          <w:szCs w:val="21"/>
          <w:highlight w:val="none"/>
          <w:lang w:val="zh-CN"/>
        </w:rPr>
        <w:br w:type="page"/>
      </w:r>
    </w:p>
    <w:p w14:paraId="394FD04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lang w:val="zh-CN"/>
        </w:rPr>
      </w:pPr>
      <w:r>
        <w:rPr>
          <w:rFonts w:hint="eastAsia" w:ascii="宋体" w:hAnsi="宋体" w:eastAsia="宋体" w:cs="Times New Roman"/>
          <w:color w:val="auto"/>
          <w:kern w:val="2"/>
          <w:sz w:val="21"/>
          <w:szCs w:val="21"/>
          <w:highlight w:val="none"/>
          <w:lang w:val="zh-CN"/>
        </w:rPr>
        <w:t>格式九：</w:t>
      </w:r>
    </w:p>
    <w:p w14:paraId="469AB6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t>项目负责人无在建工程承诺书</w:t>
      </w:r>
    </w:p>
    <w:p w14:paraId="0388A96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lang w:val="zh-CN"/>
        </w:rPr>
      </w:pPr>
    </w:p>
    <w:p w14:paraId="524B79F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auto"/>
          <w:sz w:val="21"/>
          <w:szCs w:val="21"/>
          <w:highlight w:val="none"/>
          <w:u w:val="single"/>
          <w:lang w:val="zh-CN"/>
        </w:rPr>
      </w:pPr>
      <w:r>
        <w:rPr>
          <w:rFonts w:hint="eastAsia" w:ascii="宋体" w:hAnsi="宋体" w:eastAsia="宋体" w:cs="宋体"/>
          <w:color w:val="auto"/>
          <w:sz w:val="21"/>
          <w:szCs w:val="21"/>
          <w:highlight w:val="none"/>
          <w:u w:val="single"/>
          <w:lang w:val="zh-CN"/>
        </w:rPr>
        <w:t xml:space="preserve">                   （建设单位名称）</w:t>
      </w:r>
    </w:p>
    <w:p w14:paraId="0F45D578">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我公司郑重承诺</w:t>
      </w:r>
      <w:r>
        <w:rPr>
          <w:rFonts w:hint="eastAsia" w:ascii="宋体" w:hAnsi="宋体" w:eastAsia="宋体" w:cs="宋体"/>
          <w:color w:val="auto"/>
          <w:sz w:val="21"/>
          <w:szCs w:val="21"/>
          <w:highlight w:val="none"/>
          <w:u w:val="single"/>
          <w:lang w:val="zh-CN"/>
        </w:rPr>
        <w:t xml:space="preserve">                                （项目名称）</w:t>
      </w:r>
      <w:r>
        <w:rPr>
          <w:rFonts w:hint="eastAsia" w:ascii="宋体" w:hAnsi="宋体" w:eastAsia="宋体" w:cs="宋体"/>
          <w:color w:val="auto"/>
          <w:sz w:val="21"/>
          <w:szCs w:val="21"/>
          <w:highlight w:val="none"/>
          <w:lang w:val="zh-CN"/>
        </w:rPr>
        <w:t>拟派的项目负责人</w:t>
      </w:r>
      <w:r>
        <w:rPr>
          <w:rFonts w:hint="eastAsia" w:ascii="宋体" w:hAnsi="宋体" w:eastAsia="宋体" w:cs="宋体"/>
          <w:color w:val="auto"/>
          <w:sz w:val="21"/>
          <w:szCs w:val="21"/>
          <w:highlight w:val="none"/>
          <w:u w:val="single"/>
          <w:lang w:val="zh-CN"/>
        </w:rPr>
        <w:t xml:space="preserve">         （项目负责人姓名）</w:t>
      </w:r>
      <w:r>
        <w:rPr>
          <w:rFonts w:hint="eastAsia" w:ascii="宋体" w:hAnsi="宋体" w:eastAsia="宋体" w:cs="宋体"/>
          <w:color w:val="auto"/>
          <w:sz w:val="21"/>
          <w:szCs w:val="21"/>
          <w:highlight w:val="none"/>
          <w:lang w:val="zh-CN"/>
        </w:rPr>
        <w:t>，身份证号码：        ，注册证书编号：            ，截止至本项目磋商响应文件递交截止时间，拟派项目负责人满足下列条件：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如有虚假，一经查实，愿意承担一切责任，并承担由此造成的一切损失。</w:t>
      </w:r>
    </w:p>
    <w:p w14:paraId="71BF334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特此承诺。</w:t>
      </w:r>
    </w:p>
    <w:p w14:paraId="2A594A13">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p>
    <w:p w14:paraId="11F1F99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p>
    <w:p w14:paraId="00C198E4">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p>
    <w:p w14:paraId="0B22BAC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承诺人（企业公章）： </w:t>
      </w:r>
    </w:p>
    <w:p w14:paraId="3D8BD81E">
      <w:pPr>
        <w:keepNext w:val="0"/>
        <w:keepLines w:val="0"/>
        <w:pageBreakBefore w:val="0"/>
        <w:widowControl w:val="0"/>
        <w:kinsoku/>
        <w:wordWrap/>
        <w:overflowPunct/>
        <w:topLinePunct w:val="0"/>
        <w:autoSpaceDE/>
        <w:autoSpaceDN/>
        <w:bidi w:val="0"/>
        <w:adjustRightInd/>
        <w:snapToGrid/>
        <w:spacing w:line="360" w:lineRule="auto"/>
        <w:ind w:firstLine="480"/>
        <w:textAlignment w:val="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日期：</w:t>
      </w:r>
    </w:p>
    <w:p w14:paraId="2F031DDA">
      <w:pPr>
        <w:ind w:firstLine="480"/>
        <w:rPr>
          <w:rFonts w:ascii="宋体" w:hAnsi="宋体" w:cs="宋体"/>
          <w:color w:val="auto"/>
          <w:sz w:val="24"/>
          <w:highlight w:val="none"/>
          <w:lang w:val="zh-CN"/>
        </w:rPr>
      </w:pPr>
    </w:p>
    <w:p w14:paraId="05E4EFC5">
      <w:pPr>
        <w:ind w:firstLine="480"/>
        <w:rPr>
          <w:rFonts w:ascii="宋体" w:hAnsi="宋体" w:cs="宋体"/>
          <w:color w:val="auto"/>
          <w:sz w:val="24"/>
          <w:highlight w:val="none"/>
          <w:lang w:val="zh-CN"/>
        </w:rPr>
      </w:pPr>
    </w:p>
    <w:p w14:paraId="26C02825">
      <w:pPr>
        <w:ind w:firstLine="480"/>
        <w:rPr>
          <w:rFonts w:ascii="宋体" w:hAnsi="宋体" w:cs="宋体"/>
          <w:color w:val="auto"/>
          <w:sz w:val="24"/>
          <w:highlight w:val="none"/>
          <w:lang w:val="zh-CN"/>
        </w:rPr>
      </w:pPr>
    </w:p>
    <w:p w14:paraId="6868A4DE">
      <w:pPr>
        <w:ind w:firstLine="480"/>
        <w:rPr>
          <w:rFonts w:ascii="宋体" w:hAnsi="宋体" w:cs="宋体"/>
          <w:color w:val="auto"/>
          <w:sz w:val="24"/>
          <w:highlight w:val="none"/>
          <w:lang w:val="zh-CN"/>
        </w:rPr>
      </w:pPr>
    </w:p>
    <w:p w14:paraId="51831546">
      <w:pPr>
        <w:ind w:firstLine="480"/>
        <w:rPr>
          <w:rFonts w:ascii="宋体" w:hAnsi="宋体" w:cs="宋体"/>
          <w:color w:val="auto"/>
          <w:sz w:val="24"/>
          <w:highlight w:val="none"/>
          <w:lang w:val="zh-CN"/>
        </w:rPr>
      </w:pPr>
    </w:p>
    <w:p w14:paraId="417062FC">
      <w:pPr>
        <w:ind w:firstLine="480"/>
        <w:rPr>
          <w:rFonts w:ascii="宋体" w:hAnsi="宋体" w:cs="宋体"/>
          <w:color w:val="auto"/>
          <w:sz w:val="24"/>
          <w:highlight w:val="none"/>
          <w:lang w:val="zh-CN"/>
        </w:rPr>
      </w:pPr>
    </w:p>
    <w:p w14:paraId="53901F8D">
      <w:pPr>
        <w:ind w:firstLine="480"/>
        <w:rPr>
          <w:rFonts w:ascii="宋体" w:hAnsi="宋体" w:cs="宋体"/>
          <w:color w:val="auto"/>
          <w:sz w:val="24"/>
          <w:highlight w:val="none"/>
          <w:lang w:val="zh-CN"/>
        </w:rPr>
      </w:pPr>
    </w:p>
    <w:p w14:paraId="70356E6F">
      <w:pPr>
        <w:ind w:firstLine="480"/>
        <w:rPr>
          <w:rFonts w:ascii="宋体" w:hAnsi="宋体" w:cs="宋体"/>
          <w:color w:val="auto"/>
          <w:sz w:val="24"/>
          <w:highlight w:val="none"/>
          <w:lang w:val="zh-CN"/>
        </w:rPr>
      </w:pPr>
    </w:p>
    <w:p w14:paraId="51CA72DB">
      <w:pPr>
        <w:ind w:firstLine="480"/>
        <w:rPr>
          <w:rFonts w:ascii="宋体" w:hAnsi="宋体" w:cs="宋体"/>
          <w:color w:val="auto"/>
          <w:sz w:val="24"/>
          <w:highlight w:val="none"/>
          <w:lang w:val="zh-CN"/>
        </w:rPr>
      </w:pPr>
    </w:p>
    <w:p w14:paraId="755D033C">
      <w:pPr>
        <w:ind w:firstLine="480"/>
        <w:rPr>
          <w:rFonts w:ascii="宋体" w:hAnsi="宋体" w:cs="宋体"/>
          <w:color w:val="auto"/>
          <w:sz w:val="24"/>
          <w:highlight w:val="none"/>
          <w:lang w:val="zh-CN"/>
        </w:rPr>
      </w:pPr>
    </w:p>
    <w:p w14:paraId="72107E70">
      <w:pPr>
        <w:ind w:firstLine="480"/>
        <w:rPr>
          <w:rFonts w:ascii="宋体" w:hAnsi="宋体" w:cs="宋体"/>
          <w:color w:val="auto"/>
          <w:sz w:val="24"/>
          <w:highlight w:val="none"/>
          <w:lang w:val="zh-CN"/>
        </w:rPr>
      </w:pPr>
    </w:p>
    <w:p w14:paraId="36A953D1">
      <w:pPr>
        <w:ind w:firstLine="480"/>
        <w:rPr>
          <w:rFonts w:ascii="宋体" w:hAnsi="宋体" w:cs="宋体"/>
          <w:color w:val="auto"/>
          <w:sz w:val="24"/>
          <w:highlight w:val="none"/>
          <w:lang w:val="zh-CN"/>
        </w:rPr>
      </w:pPr>
    </w:p>
    <w:p w14:paraId="2E088D8E">
      <w:pPr>
        <w:ind w:firstLine="480"/>
        <w:rPr>
          <w:rFonts w:ascii="宋体" w:hAnsi="宋体" w:cs="宋体"/>
          <w:color w:val="auto"/>
          <w:sz w:val="24"/>
          <w:highlight w:val="none"/>
          <w:lang w:val="zh-CN"/>
        </w:rPr>
      </w:pPr>
    </w:p>
    <w:p w14:paraId="16AEB034">
      <w:pPr>
        <w:ind w:firstLine="480"/>
        <w:rPr>
          <w:rFonts w:ascii="宋体" w:hAnsi="宋体" w:cs="宋体"/>
          <w:color w:val="auto"/>
          <w:sz w:val="24"/>
          <w:highlight w:val="none"/>
          <w:lang w:val="zh-CN"/>
        </w:rPr>
      </w:pPr>
    </w:p>
    <w:p w14:paraId="39E71E67">
      <w:pPr>
        <w:ind w:firstLine="480"/>
        <w:rPr>
          <w:rFonts w:ascii="宋体" w:hAnsi="宋体" w:cs="宋体"/>
          <w:color w:val="auto"/>
          <w:sz w:val="24"/>
          <w:highlight w:val="none"/>
          <w:lang w:val="zh-CN"/>
        </w:rPr>
      </w:pPr>
    </w:p>
    <w:p w14:paraId="5CB73DA0">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b/>
          <w:bCs/>
          <w:color w:val="auto"/>
          <w:sz w:val="24"/>
          <w:highlight w:val="none"/>
        </w:rPr>
        <w:br w:type="page" w:clear="all"/>
      </w:r>
      <w:r>
        <w:rPr>
          <w:rFonts w:hint="eastAsia" w:ascii="宋体" w:hAnsi="宋体" w:eastAsia="宋体" w:cs="Times New Roman"/>
          <w:color w:val="auto"/>
          <w:kern w:val="2"/>
          <w:sz w:val="21"/>
          <w:szCs w:val="21"/>
          <w:highlight w:val="none"/>
        </w:rPr>
        <w:t>格式十：</w:t>
      </w:r>
    </w:p>
    <w:p w14:paraId="7CC411F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t>技术要求偏离表</w:t>
      </w:r>
    </w:p>
    <w:tbl>
      <w:tblPr>
        <w:tblStyle w:val="43"/>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719"/>
        <w:gridCol w:w="1227"/>
        <w:gridCol w:w="1703"/>
        <w:gridCol w:w="1778"/>
        <w:gridCol w:w="1344"/>
        <w:gridCol w:w="1538"/>
      </w:tblGrid>
      <w:tr w14:paraId="43379B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jc w:val="center"/>
        </w:trPr>
        <w:tc>
          <w:tcPr>
            <w:tcW w:w="432" w:type="pct"/>
            <w:vAlign w:val="center"/>
          </w:tcPr>
          <w:p w14:paraId="29C5573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738" w:type="pct"/>
            <w:vAlign w:val="center"/>
          </w:tcPr>
          <w:p w14:paraId="12AEDD3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服务内容</w:t>
            </w:r>
          </w:p>
        </w:tc>
        <w:tc>
          <w:tcPr>
            <w:tcW w:w="1024" w:type="pct"/>
            <w:vAlign w:val="center"/>
          </w:tcPr>
          <w:p w14:paraId="5968C4A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采购需求</w:t>
            </w:r>
          </w:p>
        </w:tc>
        <w:tc>
          <w:tcPr>
            <w:tcW w:w="1069" w:type="pct"/>
            <w:vAlign w:val="center"/>
          </w:tcPr>
          <w:p w14:paraId="234DB77A">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响应内容</w:t>
            </w:r>
          </w:p>
        </w:tc>
        <w:tc>
          <w:tcPr>
            <w:tcW w:w="808" w:type="pct"/>
            <w:vAlign w:val="center"/>
          </w:tcPr>
          <w:p w14:paraId="7784979D">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偏离/响应</w:t>
            </w:r>
          </w:p>
        </w:tc>
        <w:tc>
          <w:tcPr>
            <w:tcW w:w="925" w:type="pct"/>
            <w:vAlign w:val="center"/>
          </w:tcPr>
          <w:p w14:paraId="34B9492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说明</w:t>
            </w:r>
          </w:p>
        </w:tc>
      </w:tr>
      <w:tr w14:paraId="2A294E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jc w:val="center"/>
        </w:trPr>
        <w:tc>
          <w:tcPr>
            <w:tcW w:w="432" w:type="pct"/>
            <w:vAlign w:val="center"/>
          </w:tcPr>
          <w:p w14:paraId="4748266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35F5DAD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33DA38E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55C525D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0748BC7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0C72C62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0D421D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432" w:type="pct"/>
            <w:vAlign w:val="center"/>
          </w:tcPr>
          <w:p w14:paraId="0DB5F13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17F303CD">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60E593E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626718B8">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282C3FF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449E702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0BBFE3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432" w:type="pct"/>
            <w:vAlign w:val="center"/>
          </w:tcPr>
          <w:p w14:paraId="3C71B4D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7132E4E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488390F6">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7A5D058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5DAB10C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06AF3CE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26B0E8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432" w:type="pct"/>
            <w:vAlign w:val="center"/>
          </w:tcPr>
          <w:p w14:paraId="5B7B01D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1902CD2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1B84490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3CF2437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3512453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18F5BF1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343433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jc w:val="center"/>
        </w:trPr>
        <w:tc>
          <w:tcPr>
            <w:tcW w:w="432" w:type="pct"/>
            <w:vAlign w:val="center"/>
          </w:tcPr>
          <w:p w14:paraId="6BD2000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72580998">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3675129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44561260">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350BD49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21E6F43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4ED1A7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432" w:type="pct"/>
            <w:vAlign w:val="center"/>
          </w:tcPr>
          <w:p w14:paraId="51A20AAF">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5080CE5D">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7879AA1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6E7FFCB0">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3F0DEA3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13DE363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332720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jc w:val="center"/>
        </w:trPr>
        <w:tc>
          <w:tcPr>
            <w:tcW w:w="432" w:type="pct"/>
            <w:vAlign w:val="center"/>
          </w:tcPr>
          <w:p w14:paraId="5C213CE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022B04B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47600E2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4B0B16A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0370EF8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1EA1758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12A0C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jc w:val="center"/>
        </w:trPr>
        <w:tc>
          <w:tcPr>
            <w:tcW w:w="432" w:type="pct"/>
            <w:vAlign w:val="center"/>
          </w:tcPr>
          <w:p w14:paraId="7F08422A">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38" w:type="pct"/>
            <w:vAlign w:val="center"/>
          </w:tcPr>
          <w:p w14:paraId="7ADF3D9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24" w:type="pct"/>
            <w:vAlign w:val="center"/>
          </w:tcPr>
          <w:p w14:paraId="614ABF1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069" w:type="pct"/>
            <w:vAlign w:val="center"/>
          </w:tcPr>
          <w:p w14:paraId="0B92C615">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808" w:type="pct"/>
            <w:vAlign w:val="center"/>
          </w:tcPr>
          <w:p w14:paraId="18C5C17D">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925" w:type="pct"/>
            <w:vAlign w:val="center"/>
          </w:tcPr>
          <w:p w14:paraId="759C922D">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bl>
    <w:p w14:paraId="74A8A010">
      <w:pPr>
        <w:pStyle w:val="4"/>
        <w:pageBreakBefore w:val="0"/>
        <w:widowControl w:val="0"/>
        <w:kinsoku/>
        <w:wordWrap/>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注：供应商应对照磋商采购文件技术要求，供应商的服务与磋商文件规定有偏离的，应在此表中说明。未说明偏离的，将被认为完全响应磋商文件的规定。但该表不作为供应商对所投标服务的详细描述和说明的替代。</w:t>
      </w:r>
    </w:p>
    <w:p w14:paraId="200E9133">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2C79CC0E">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7F8777B5">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480E5CB1">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2577FDA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b/>
          <w:bCs/>
          <w:color w:val="auto"/>
          <w:sz w:val="24"/>
          <w:highlight w:val="none"/>
        </w:rPr>
        <w:br w:type="page" w:clear="all"/>
      </w:r>
      <w:r>
        <w:rPr>
          <w:rFonts w:hint="eastAsia" w:ascii="宋体" w:hAnsi="宋体" w:eastAsia="宋体" w:cs="Times New Roman"/>
          <w:color w:val="auto"/>
          <w:kern w:val="2"/>
          <w:sz w:val="21"/>
          <w:szCs w:val="21"/>
          <w:highlight w:val="none"/>
        </w:rPr>
        <w:t>格式十一：</w:t>
      </w:r>
    </w:p>
    <w:p w14:paraId="2BA89B5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t>商务要求偏离表</w:t>
      </w:r>
    </w:p>
    <w:tbl>
      <w:tblPr>
        <w:tblStyle w:val="43"/>
        <w:tblW w:w="5004"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06"/>
        <w:gridCol w:w="2117"/>
        <w:gridCol w:w="2155"/>
        <w:gridCol w:w="2162"/>
        <w:gridCol w:w="1279"/>
      </w:tblGrid>
      <w:tr w14:paraId="4B3C0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561331F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72" w:type="pct"/>
            <w:vAlign w:val="center"/>
          </w:tcPr>
          <w:p w14:paraId="3970176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磋商文件条目</w:t>
            </w:r>
          </w:p>
        </w:tc>
        <w:tc>
          <w:tcPr>
            <w:tcW w:w="1295" w:type="pct"/>
            <w:vAlign w:val="center"/>
          </w:tcPr>
          <w:p w14:paraId="1C3EF2B6">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磋商文件的商务条款</w:t>
            </w:r>
          </w:p>
        </w:tc>
        <w:tc>
          <w:tcPr>
            <w:tcW w:w="1299" w:type="pct"/>
            <w:vAlign w:val="center"/>
          </w:tcPr>
          <w:p w14:paraId="35F1E23F">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响应文件的商务条款</w:t>
            </w:r>
          </w:p>
        </w:tc>
        <w:tc>
          <w:tcPr>
            <w:tcW w:w="768" w:type="pct"/>
            <w:vAlign w:val="center"/>
          </w:tcPr>
          <w:p w14:paraId="1B81523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偏离说明</w:t>
            </w:r>
          </w:p>
        </w:tc>
      </w:tr>
      <w:tr w14:paraId="4482FE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589FC9E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72" w:type="pct"/>
            <w:vAlign w:val="center"/>
          </w:tcPr>
          <w:p w14:paraId="05122127">
            <w:pPr>
              <w:pageBreakBefore w:val="0"/>
              <w:widowControl w:val="0"/>
              <w:kinsoku/>
              <w:wordWrap/>
              <w:topLinePunct w:val="0"/>
              <w:autoSpaceDE/>
              <w:autoSpaceDN/>
              <w:bidi w:val="0"/>
              <w:adjustRightInd/>
              <w:snapToGrid/>
              <w:spacing w:line="360" w:lineRule="auto"/>
              <w:jc w:val="center"/>
              <w:textAlignment w:val="auto"/>
              <w:rPr>
                <w:rFonts w:hint="default" w:ascii="宋体" w:hAnsi="宋体" w:eastAsia="宋体" w:cs="宋体"/>
                <w:b w:val="0"/>
                <w:bCs w:val="0"/>
                <w:color w:val="auto"/>
                <w:sz w:val="21"/>
                <w:szCs w:val="21"/>
                <w:highlight w:val="none"/>
                <w:lang w:val="en-US" w:eastAsia="zh-CN"/>
              </w:rPr>
            </w:pPr>
            <w:r>
              <w:rPr>
                <w:rFonts w:hint="eastAsia" w:ascii="宋体" w:hAnsi="宋体" w:cs="Times New Roman"/>
                <w:b w:val="0"/>
                <w:bCs w:val="0"/>
                <w:color w:val="auto"/>
                <w:sz w:val="21"/>
                <w:szCs w:val="21"/>
                <w:highlight w:val="none"/>
                <w:lang w:val="en-US" w:eastAsia="zh-CN"/>
              </w:rPr>
              <w:t>合同履约期限（工期）</w:t>
            </w:r>
          </w:p>
        </w:tc>
        <w:tc>
          <w:tcPr>
            <w:tcW w:w="1295" w:type="pct"/>
            <w:vAlign w:val="center"/>
          </w:tcPr>
          <w:p w14:paraId="238E946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b w:val="0"/>
                <w:bCs w:val="0"/>
                <w:color w:val="auto"/>
                <w:sz w:val="21"/>
                <w:szCs w:val="21"/>
                <w:highlight w:val="none"/>
              </w:rPr>
            </w:pPr>
          </w:p>
        </w:tc>
        <w:tc>
          <w:tcPr>
            <w:tcW w:w="1299" w:type="pct"/>
            <w:vAlign w:val="center"/>
          </w:tcPr>
          <w:p w14:paraId="2FE03F4F">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48E9984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44C8B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70705556">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72" w:type="pct"/>
            <w:vAlign w:val="center"/>
          </w:tcPr>
          <w:p w14:paraId="2086AA12">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付款进度</w:t>
            </w:r>
          </w:p>
        </w:tc>
        <w:tc>
          <w:tcPr>
            <w:tcW w:w="1295" w:type="pct"/>
            <w:vAlign w:val="center"/>
          </w:tcPr>
          <w:p w14:paraId="693748A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08EC3AB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6996445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7F537D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63E462D8">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272" w:type="pct"/>
            <w:vAlign w:val="center"/>
          </w:tcPr>
          <w:p w14:paraId="4BB0E3EA">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5C2473FA">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7D82343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0719AEC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0EE9F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4114F70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72" w:type="pct"/>
            <w:vAlign w:val="center"/>
          </w:tcPr>
          <w:p w14:paraId="5C559026">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5987DC0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4C1079F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2F23E3E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2C008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41E23840">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72" w:type="pct"/>
            <w:vAlign w:val="center"/>
          </w:tcPr>
          <w:p w14:paraId="1E94C74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4CAE4C21">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55AB7D8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2EFC9C2F">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4C6521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2BD2BD8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72" w:type="pct"/>
            <w:vAlign w:val="center"/>
          </w:tcPr>
          <w:p w14:paraId="4EBE57C9">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773A8F2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1C9218B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2BCC019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60EF82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5ED5F2F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72" w:type="pct"/>
            <w:vAlign w:val="center"/>
          </w:tcPr>
          <w:p w14:paraId="50D640C6">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467FC65E">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2EE9E734">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5E5794AC">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r w14:paraId="470441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jc w:val="center"/>
        </w:trPr>
        <w:tc>
          <w:tcPr>
            <w:tcW w:w="364" w:type="pct"/>
            <w:vAlign w:val="center"/>
          </w:tcPr>
          <w:p w14:paraId="5F5DC27B">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72" w:type="pct"/>
            <w:vAlign w:val="center"/>
          </w:tcPr>
          <w:p w14:paraId="2AFACFA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5" w:type="pct"/>
            <w:vAlign w:val="center"/>
          </w:tcPr>
          <w:p w14:paraId="72FC69B7">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1299" w:type="pct"/>
            <w:vAlign w:val="center"/>
          </w:tcPr>
          <w:p w14:paraId="587098F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c>
          <w:tcPr>
            <w:tcW w:w="768" w:type="pct"/>
            <w:vAlign w:val="center"/>
          </w:tcPr>
          <w:p w14:paraId="72A88BB3">
            <w:pPr>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宋体"/>
                <w:color w:val="auto"/>
                <w:sz w:val="21"/>
                <w:szCs w:val="21"/>
                <w:highlight w:val="none"/>
              </w:rPr>
            </w:pPr>
          </w:p>
        </w:tc>
      </w:tr>
    </w:tbl>
    <w:p w14:paraId="09582FB1">
      <w:pPr>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注：供应商的响应文件（除技术要求部分）与磋商文件规定的有偏离的，应在此表中说明。未说明偏离的，将被认为完全响应采购文件的规定。但该表不作为供应商对所投标服务关于商务条款等详细描述和说明的替代。</w:t>
      </w:r>
    </w:p>
    <w:p w14:paraId="172A425D">
      <w:pPr>
        <w:pStyle w:val="4"/>
        <w:pageBreakBefore w:val="0"/>
        <w:widowControl w:val="0"/>
        <w:kinsoku/>
        <w:wordWrap/>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条目内容各供应商根据本项目要求和实际情况不限于此，可自行增减。</w:t>
      </w:r>
    </w:p>
    <w:p w14:paraId="642E9190">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7D45A848">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6F2606F9">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6785CC74">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46CFA4D3">
      <w:pPr>
        <w:pStyle w:val="13"/>
        <w:spacing w:line="300" w:lineRule="auto"/>
        <w:jc w:val="both"/>
        <w:rPr>
          <w:rFonts w:ascii="宋体" w:hAnsi="宋体" w:eastAsia="宋体"/>
          <w:color w:val="auto"/>
          <w:szCs w:val="24"/>
          <w:highlight w:val="none"/>
        </w:rPr>
      </w:pPr>
    </w:p>
    <w:p w14:paraId="46A2D93D">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eastAsia="宋体"/>
          <w:b w:val="0"/>
          <w:bCs/>
          <w:color w:val="auto"/>
          <w:sz w:val="24"/>
          <w:szCs w:val="24"/>
          <w:highlight w:val="none"/>
        </w:rPr>
        <w:br w:type="page" w:clear="all"/>
      </w:r>
      <w:r>
        <w:rPr>
          <w:rFonts w:hint="eastAsia" w:ascii="宋体" w:hAnsi="宋体" w:eastAsia="宋体" w:cs="Times New Roman"/>
          <w:color w:val="auto"/>
          <w:kern w:val="2"/>
          <w:sz w:val="21"/>
          <w:szCs w:val="21"/>
          <w:highlight w:val="none"/>
        </w:rPr>
        <w:t>格式十二：</w:t>
      </w:r>
    </w:p>
    <w:p w14:paraId="7074E235">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eastAsia="宋体" w:cs="Times New Roman"/>
          <w:b/>
          <w:color w:val="auto"/>
          <w:sz w:val="24"/>
          <w:highlight w:val="none"/>
          <w:lang w:val="zh-CN"/>
        </w:rPr>
      </w:pPr>
      <w:r>
        <w:rPr>
          <w:rFonts w:hint="eastAsia" w:ascii="宋体" w:hAnsi="宋体" w:eastAsia="宋体" w:cs="Times New Roman"/>
          <w:b/>
          <w:color w:val="auto"/>
          <w:sz w:val="24"/>
          <w:highlight w:val="none"/>
          <w:lang w:val="zh-CN"/>
        </w:rPr>
        <w:t>类似业绩一览表</w:t>
      </w:r>
    </w:p>
    <w:tbl>
      <w:tblPr>
        <w:tblStyle w:val="43"/>
        <w:tblW w:w="4998"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1083"/>
        <w:gridCol w:w="2400"/>
        <w:gridCol w:w="1483"/>
        <w:gridCol w:w="1853"/>
        <w:gridCol w:w="1700"/>
      </w:tblGrid>
      <w:tr w14:paraId="6E76EA3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08" w:hRule="atLeast"/>
        </w:trPr>
        <w:tc>
          <w:tcPr>
            <w:tcW w:w="635" w:type="pct"/>
            <w:tcBorders>
              <w:top w:val="single" w:color="auto" w:sz="4" w:space="0"/>
              <w:left w:val="single" w:color="auto" w:sz="4" w:space="0"/>
              <w:bottom w:val="single" w:color="auto" w:sz="4" w:space="0"/>
              <w:right w:val="single" w:color="auto" w:sz="4" w:space="0"/>
            </w:tcBorders>
            <w:vAlign w:val="center"/>
          </w:tcPr>
          <w:p w14:paraId="402B2FC1">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序号</w:t>
            </w:r>
          </w:p>
        </w:tc>
        <w:tc>
          <w:tcPr>
            <w:tcW w:w="1408" w:type="pct"/>
            <w:tcBorders>
              <w:top w:val="single" w:color="auto" w:sz="4" w:space="0"/>
              <w:left w:val="single" w:color="auto" w:sz="4" w:space="0"/>
              <w:bottom w:val="single" w:color="auto" w:sz="4" w:space="0"/>
              <w:right w:val="single" w:color="auto" w:sz="4" w:space="0"/>
            </w:tcBorders>
            <w:vAlign w:val="center"/>
          </w:tcPr>
          <w:p w14:paraId="53D3D3A2">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合同名称</w:t>
            </w:r>
          </w:p>
        </w:tc>
        <w:tc>
          <w:tcPr>
            <w:tcW w:w="870" w:type="pct"/>
            <w:tcBorders>
              <w:top w:val="single" w:color="auto" w:sz="4" w:space="0"/>
              <w:left w:val="single" w:color="auto" w:sz="4" w:space="0"/>
              <w:bottom w:val="single" w:color="auto" w:sz="4" w:space="0"/>
              <w:right w:val="single" w:color="auto" w:sz="4" w:space="0"/>
            </w:tcBorders>
            <w:vAlign w:val="center"/>
          </w:tcPr>
          <w:p w14:paraId="006AC380">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金额</w:t>
            </w:r>
          </w:p>
        </w:tc>
        <w:tc>
          <w:tcPr>
            <w:tcW w:w="1087" w:type="pct"/>
            <w:tcBorders>
              <w:top w:val="single" w:color="auto" w:sz="4" w:space="0"/>
              <w:left w:val="single" w:color="auto" w:sz="4" w:space="0"/>
              <w:bottom w:val="single" w:color="auto" w:sz="4" w:space="0"/>
              <w:right w:val="single" w:color="auto" w:sz="4" w:space="0"/>
            </w:tcBorders>
            <w:vAlign w:val="center"/>
          </w:tcPr>
          <w:p w14:paraId="1ADAAA38">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lang w:val="en-US" w:eastAsia="zh-CN"/>
              </w:rPr>
              <w:t>合同签订</w:t>
            </w:r>
            <w:r>
              <w:rPr>
                <w:rFonts w:hint="eastAsia" w:ascii="宋体" w:hAnsi="宋体"/>
                <w:color w:val="auto"/>
                <w:szCs w:val="21"/>
                <w:highlight w:val="none"/>
              </w:rPr>
              <w:t>日期</w:t>
            </w:r>
          </w:p>
        </w:tc>
        <w:tc>
          <w:tcPr>
            <w:tcW w:w="997" w:type="pct"/>
            <w:tcBorders>
              <w:top w:val="single" w:color="auto" w:sz="4" w:space="0"/>
              <w:left w:val="single" w:color="auto" w:sz="4" w:space="0"/>
              <w:bottom w:val="single" w:color="auto" w:sz="4" w:space="0"/>
              <w:right w:val="single" w:color="auto" w:sz="4" w:space="0"/>
            </w:tcBorders>
            <w:vAlign w:val="center"/>
          </w:tcPr>
          <w:p w14:paraId="51C0D9F8">
            <w:pPr>
              <w:keepNext w:val="0"/>
              <w:keepLines w:val="0"/>
              <w:pageBreakBefore w:val="0"/>
              <w:widowControl w:val="0"/>
              <w:kinsoku/>
              <w:wordWrap/>
              <w:topLinePunct w:val="0"/>
              <w:autoSpaceDE/>
              <w:autoSpaceDN/>
              <w:bidi w:val="0"/>
              <w:adjustRightInd/>
              <w:snapToGrid/>
              <w:spacing w:line="360" w:lineRule="auto"/>
              <w:jc w:val="center"/>
              <w:textAlignment w:val="auto"/>
              <w:rPr>
                <w:rFonts w:hint="eastAsia" w:ascii="宋体" w:hAnsi="宋体"/>
                <w:color w:val="auto"/>
                <w:szCs w:val="21"/>
                <w:highlight w:val="none"/>
              </w:rPr>
            </w:pPr>
            <w:r>
              <w:rPr>
                <w:rFonts w:hint="eastAsia" w:ascii="宋体" w:hAnsi="宋体"/>
                <w:color w:val="auto"/>
                <w:szCs w:val="21"/>
                <w:highlight w:val="none"/>
              </w:rPr>
              <w:t>合同页码</w:t>
            </w:r>
          </w:p>
        </w:tc>
      </w:tr>
      <w:tr w14:paraId="2ADE64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635" w:type="pct"/>
            <w:tcBorders>
              <w:top w:val="single" w:color="auto" w:sz="4" w:space="0"/>
              <w:left w:val="single" w:color="auto" w:sz="4" w:space="0"/>
              <w:bottom w:val="single" w:color="auto" w:sz="4" w:space="0"/>
              <w:right w:val="single" w:color="auto" w:sz="4" w:space="0"/>
            </w:tcBorders>
            <w:vAlign w:val="center"/>
          </w:tcPr>
          <w:p w14:paraId="6303ACB9">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1</w:t>
            </w:r>
          </w:p>
        </w:tc>
        <w:tc>
          <w:tcPr>
            <w:tcW w:w="1408" w:type="pct"/>
            <w:tcBorders>
              <w:top w:val="single" w:color="auto" w:sz="4" w:space="0"/>
              <w:left w:val="single" w:color="auto" w:sz="4" w:space="0"/>
              <w:bottom w:val="single" w:color="auto" w:sz="4" w:space="0"/>
              <w:right w:val="single" w:color="auto" w:sz="4" w:space="0"/>
            </w:tcBorders>
            <w:vAlign w:val="center"/>
          </w:tcPr>
          <w:p w14:paraId="1F061B56">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14:paraId="48537BD2">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14:paraId="45C20F5D">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997" w:type="pct"/>
            <w:tcBorders>
              <w:top w:val="single" w:color="auto" w:sz="4" w:space="0"/>
              <w:left w:val="single" w:color="auto" w:sz="4" w:space="0"/>
              <w:bottom w:val="single" w:color="auto" w:sz="4" w:space="0"/>
              <w:right w:val="single" w:color="auto" w:sz="4" w:space="0"/>
            </w:tcBorders>
            <w:vAlign w:val="center"/>
          </w:tcPr>
          <w:p w14:paraId="40D44817">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r>
      <w:tr w14:paraId="766CDF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635" w:type="pct"/>
            <w:tcBorders>
              <w:top w:val="single" w:color="auto" w:sz="4" w:space="0"/>
              <w:left w:val="single" w:color="auto" w:sz="4" w:space="0"/>
              <w:bottom w:val="single" w:color="auto" w:sz="4" w:space="0"/>
              <w:right w:val="single" w:color="auto" w:sz="4" w:space="0"/>
            </w:tcBorders>
            <w:vAlign w:val="center"/>
          </w:tcPr>
          <w:p w14:paraId="30AF8FC6">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2</w:t>
            </w:r>
          </w:p>
        </w:tc>
        <w:tc>
          <w:tcPr>
            <w:tcW w:w="1408" w:type="pct"/>
            <w:tcBorders>
              <w:top w:val="single" w:color="auto" w:sz="4" w:space="0"/>
              <w:left w:val="single" w:color="auto" w:sz="4" w:space="0"/>
              <w:bottom w:val="single" w:color="auto" w:sz="4" w:space="0"/>
              <w:right w:val="single" w:color="auto" w:sz="4" w:space="0"/>
            </w:tcBorders>
            <w:vAlign w:val="center"/>
          </w:tcPr>
          <w:p w14:paraId="5A2B59BF">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14:paraId="4C1EE4C7">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14:paraId="583B91D0">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997" w:type="pct"/>
            <w:tcBorders>
              <w:top w:val="single" w:color="auto" w:sz="4" w:space="0"/>
              <w:left w:val="single" w:color="auto" w:sz="4" w:space="0"/>
              <w:bottom w:val="single" w:color="auto" w:sz="4" w:space="0"/>
              <w:right w:val="single" w:color="auto" w:sz="4" w:space="0"/>
            </w:tcBorders>
            <w:vAlign w:val="center"/>
          </w:tcPr>
          <w:p w14:paraId="0055CB82">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r>
      <w:tr w14:paraId="37AA68F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635" w:type="pct"/>
            <w:tcBorders>
              <w:top w:val="single" w:color="auto" w:sz="4" w:space="0"/>
              <w:left w:val="single" w:color="auto" w:sz="4" w:space="0"/>
              <w:bottom w:val="single" w:color="auto" w:sz="4" w:space="0"/>
              <w:right w:val="single" w:color="auto" w:sz="4" w:space="0"/>
            </w:tcBorders>
            <w:vAlign w:val="center"/>
          </w:tcPr>
          <w:p w14:paraId="49D13C1E">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3</w:t>
            </w:r>
          </w:p>
        </w:tc>
        <w:tc>
          <w:tcPr>
            <w:tcW w:w="1408" w:type="pct"/>
            <w:tcBorders>
              <w:top w:val="single" w:color="auto" w:sz="4" w:space="0"/>
              <w:left w:val="single" w:color="auto" w:sz="4" w:space="0"/>
              <w:bottom w:val="single" w:color="auto" w:sz="4" w:space="0"/>
              <w:right w:val="single" w:color="auto" w:sz="4" w:space="0"/>
            </w:tcBorders>
            <w:vAlign w:val="center"/>
          </w:tcPr>
          <w:p w14:paraId="7AFC31EC">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14:paraId="38142192">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14:paraId="7758BB06">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997" w:type="pct"/>
            <w:tcBorders>
              <w:top w:val="single" w:color="auto" w:sz="4" w:space="0"/>
              <w:left w:val="single" w:color="auto" w:sz="4" w:space="0"/>
              <w:bottom w:val="single" w:color="auto" w:sz="4" w:space="0"/>
              <w:right w:val="single" w:color="auto" w:sz="4" w:space="0"/>
            </w:tcBorders>
            <w:vAlign w:val="center"/>
          </w:tcPr>
          <w:p w14:paraId="220BBEFB">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r>
      <w:tr w14:paraId="0375D46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7" w:hRule="atLeast"/>
        </w:trPr>
        <w:tc>
          <w:tcPr>
            <w:tcW w:w="635" w:type="pct"/>
            <w:tcBorders>
              <w:top w:val="single" w:color="auto" w:sz="4" w:space="0"/>
              <w:left w:val="single" w:color="auto" w:sz="4" w:space="0"/>
              <w:bottom w:val="single" w:color="auto" w:sz="4" w:space="0"/>
              <w:right w:val="single" w:color="auto" w:sz="4" w:space="0"/>
            </w:tcBorders>
            <w:vAlign w:val="center"/>
          </w:tcPr>
          <w:p w14:paraId="1F88C383">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r>
              <w:rPr>
                <w:rFonts w:hint="eastAsia" w:ascii="宋体" w:hAnsi="宋体"/>
                <w:color w:val="auto"/>
                <w:sz w:val="21"/>
                <w:szCs w:val="21"/>
                <w:highlight w:val="none"/>
              </w:rPr>
              <w:t>...</w:t>
            </w:r>
          </w:p>
        </w:tc>
        <w:tc>
          <w:tcPr>
            <w:tcW w:w="1408" w:type="pct"/>
            <w:tcBorders>
              <w:top w:val="single" w:color="auto" w:sz="4" w:space="0"/>
              <w:left w:val="single" w:color="auto" w:sz="4" w:space="0"/>
              <w:bottom w:val="single" w:color="auto" w:sz="4" w:space="0"/>
              <w:right w:val="single" w:color="auto" w:sz="4" w:space="0"/>
            </w:tcBorders>
            <w:vAlign w:val="center"/>
          </w:tcPr>
          <w:p w14:paraId="5CC149E3">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870" w:type="pct"/>
            <w:tcBorders>
              <w:top w:val="single" w:color="auto" w:sz="4" w:space="0"/>
              <w:left w:val="single" w:color="auto" w:sz="4" w:space="0"/>
              <w:bottom w:val="single" w:color="auto" w:sz="4" w:space="0"/>
              <w:right w:val="single" w:color="auto" w:sz="4" w:space="0"/>
            </w:tcBorders>
            <w:vAlign w:val="center"/>
          </w:tcPr>
          <w:p w14:paraId="7E3C665F">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1087" w:type="pct"/>
            <w:tcBorders>
              <w:top w:val="single" w:color="auto" w:sz="4" w:space="0"/>
              <w:left w:val="single" w:color="auto" w:sz="4" w:space="0"/>
              <w:bottom w:val="single" w:color="auto" w:sz="4" w:space="0"/>
              <w:right w:val="single" w:color="auto" w:sz="4" w:space="0"/>
            </w:tcBorders>
            <w:vAlign w:val="center"/>
          </w:tcPr>
          <w:p w14:paraId="6E3053B4">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c>
          <w:tcPr>
            <w:tcW w:w="997" w:type="pct"/>
            <w:tcBorders>
              <w:top w:val="single" w:color="auto" w:sz="4" w:space="0"/>
              <w:left w:val="single" w:color="auto" w:sz="4" w:space="0"/>
              <w:bottom w:val="single" w:color="auto" w:sz="4" w:space="0"/>
              <w:right w:val="single" w:color="auto" w:sz="4" w:space="0"/>
            </w:tcBorders>
            <w:vAlign w:val="center"/>
          </w:tcPr>
          <w:p w14:paraId="4F0810B5">
            <w:pPr>
              <w:keepNext w:val="0"/>
              <w:keepLines w:val="0"/>
              <w:pageBreakBefore w:val="0"/>
              <w:widowControl w:val="0"/>
              <w:kinsoku/>
              <w:wordWrap/>
              <w:topLinePunct w:val="0"/>
              <w:autoSpaceDE/>
              <w:autoSpaceDN/>
              <w:bidi w:val="0"/>
              <w:adjustRightInd/>
              <w:snapToGrid/>
              <w:spacing w:line="360" w:lineRule="auto"/>
              <w:jc w:val="center"/>
              <w:textAlignment w:val="auto"/>
              <w:rPr>
                <w:rFonts w:ascii="宋体" w:hAnsi="宋体"/>
                <w:color w:val="auto"/>
                <w:sz w:val="21"/>
                <w:szCs w:val="21"/>
                <w:highlight w:val="none"/>
              </w:rPr>
            </w:pPr>
          </w:p>
        </w:tc>
      </w:tr>
    </w:tbl>
    <w:p w14:paraId="27EFFAD8">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631FC4CD">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543B1A8D">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57A71602">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1EB6ADF6">
      <w:pPr>
        <w:pStyle w:val="13"/>
        <w:spacing w:line="400" w:lineRule="exact"/>
        <w:ind w:firstLine="0"/>
        <w:jc w:val="both"/>
        <w:rPr>
          <w:rFonts w:ascii="宋体" w:hAnsi="宋体" w:eastAsia="宋体"/>
          <w:color w:val="auto"/>
          <w:szCs w:val="24"/>
          <w:highlight w:val="none"/>
        </w:rPr>
      </w:pPr>
    </w:p>
    <w:p w14:paraId="20887451">
      <w:pPr>
        <w:pStyle w:val="13"/>
        <w:spacing w:line="400" w:lineRule="exact"/>
        <w:ind w:firstLine="0"/>
        <w:jc w:val="both"/>
        <w:rPr>
          <w:rFonts w:ascii="宋体" w:hAnsi="宋体" w:eastAsia="宋体"/>
          <w:color w:val="auto"/>
          <w:szCs w:val="24"/>
          <w:highlight w:val="none"/>
        </w:rPr>
      </w:pPr>
    </w:p>
    <w:p w14:paraId="58E40F78">
      <w:pPr>
        <w:pStyle w:val="13"/>
        <w:spacing w:line="400" w:lineRule="exact"/>
        <w:ind w:firstLine="0"/>
        <w:jc w:val="both"/>
        <w:rPr>
          <w:rFonts w:ascii="宋体" w:hAnsi="宋体" w:eastAsia="宋体"/>
          <w:color w:val="auto"/>
          <w:szCs w:val="24"/>
          <w:highlight w:val="none"/>
        </w:rPr>
      </w:pPr>
    </w:p>
    <w:p w14:paraId="750B043E">
      <w:pPr>
        <w:rPr>
          <w:rFonts w:ascii="宋体" w:hAnsi="宋体"/>
          <w:bCs/>
          <w:color w:val="auto"/>
          <w:sz w:val="24"/>
          <w:highlight w:val="none"/>
        </w:rPr>
      </w:pPr>
    </w:p>
    <w:p w14:paraId="4DBB844D">
      <w:pPr>
        <w:rPr>
          <w:rFonts w:ascii="宋体" w:hAnsi="宋体"/>
          <w:bCs/>
          <w:color w:val="auto"/>
          <w:sz w:val="24"/>
          <w:highlight w:val="none"/>
        </w:rPr>
      </w:pPr>
    </w:p>
    <w:p w14:paraId="18E93657">
      <w:pPr>
        <w:rPr>
          <w:rFonts w:ascii="宋体" w:hAnsi="宋体"/>
          <w:bCs/>
          <w:color w:val="auto"/>
          <w:sz w:val="24"/>
          <w:highlight w:val="none"/>
        </w:rPr>
      </w:pPr>
    </w:p>
    <w:p w14:paraId="629F83B9">
      <w:pPr>
        <w:rPr>
          <w:rFonts w:ascii="宋体" w:hAnsi="宋体"/>
          <w:bCs/>
          <w:color w:val="auto"/>
          <w:sz w:val="24"/>
          <w:highlight w:val="none"/>
        </w:rPr>
      </w:pPr>
    </w:p>
    <w:p w14:paraId="7D68FE34">
      <w:pPr>
        <w:rPr>
          <w:rFonts w:ascii="宋体" w:hAnsi="宋体"/>
          <w:bCs/>
          <w:color w:val="auto"/>
          <w:sz w:val="24"/>
          <w:highlight w:val="none"/>
        </w:rPr>
      </w:pPr>
    </w:p>
    <w:p w14:paraId="722E9766">
      <w:pPr>
        <w:rPr>
          <w:rFonts w:ascii="宋体" w:hAnsi="宋体"/>
          <w:bCs/>
          <w:color w:val="auto"/>
          <w:sz w:val="24"/>
          <w:highlight w:val="none"/>
        </w:rPr>
      </w:pPr>
    </w:p>
    <w:p w14:paraId="70604CA5">
      <w:pPr>
        <w:rPr>
          <w:rFonts w:ascii="宋体" w:hAnsi="宋体"/>
          <w:bCs/>
          <w:color w:val="auto"/>
          <w:sz w:val="24"/>
          <w:highlight w:val="none"/>
        </w:rPr>
      </w:pPr>
    </w:p>
    <w:p w14:paraId="50F90547">
      <w:pPr>
        <w:rPr>
          <w:rFonts w:ascii="宋体" w:hAnsi="宋体"/>
          <w:bCs/>
          <w:color w:val="auto"/>
          <w:sz w:val="24"/>
          <w:highlight w:val="none"/>
        </w:rPr>
      </w:pPr>
    </w:p>
    <w:p w14:paraId="18A7B34C">
      <w:pPr>
        <w:rPr>
          <w:rFonts w:ascii="宋体" w:hAnsi="宋体"/>
          <w:bCs/>
          <w:color w:val="auto"/>
          <w:sz w:val="24"/>
          <w:highlight w:val="none"/>
        </w:rPr>
      </w:pPr>
    </w:p>
    <w:p w14:paraId="2BDB133B">
      <w:pPr>
        <w:rPr>
          <w:rFonts w:ascii="宋体" w:hAnsi="宋体"/>
          <w:bCs/>
          <w:color w:val="auto"/>
          <w:sz w:val="24"/>
          <w:highlight w:val="none"/>
        </w:rPr>
      </w:pPr>
    </w:p>
    <w:p w14:paraId="31CD9FC4">
      <w:pPr>
        <w:rPr>
          <w:rFonts w:ascii="宋体" w:hAnsi="宋体"/>
          <w:bCs/>
          <w:color w:val="auto"/>
          <w:sz w:val="24"/>
          <w:highlight w:val="none"/>
        </w:rPr>
      </w:pPr>
    </w:p>
    <w:p w14:paraId="0EF1B48C">
      <w:pPr>
        <w:rPr>
          <w:rFonts w:ascii="宋体" w:hAnsi="宋体"/>
          <w:bCs/>
          <w:color w:val="auto"/>
          <w:sz w:val="24"/>
          <w:highlight w:val="none"/>
        </w:rPr>
      </w:pPr>
    </w:p>
    <w:p w14:paraId="0C25B4C8">
      <w:pPr>
        <w:rPr>
          <w:rFonts w:ascii="宋体" w:hAnsi="宋体"/>
          <w:bCs/>
          <w:color w:val="auto"/>
          <w:sz w:val="24"/>
          <w:highlight w:val="none"/>
        </w:rPr>
      </w:pPr>
    </w:p>
    <w:p w14:paraId="2DEFC4EB">
      <w:pPr>
        <w:rPr>
          <w:rFonts w:ascii="宋体" w:hAnsi="宋体"/>
          <w:bCs/>
          <w:color w:val="auto"/>
          <w:sz w:val="24"/>
          <w:highlight w:val="none"/>
        </w:rPr>
      </w:pPr>
    </w:p>
    <w:p w14:paraId="77B6A651">
      <w:pPr>
        <w:rPr>
          <w:rFonts w:ascii="宋体" w:hAnsi="宋体"/>
          <w:bCs/>
          <w:color w:val="auto"/>
          <w:sz w:val="24"/>
          <w:highlight w:val="none"/>
        </w:rPr>
      </w:pPr>
    </w:p>
    <w:p w14:paraId="4D5616D7">
      <w:pPr>
        <w:rPr>
          <w:rFonts w:ascii="宋体" w:hAnsi="宋体"/>
          <w:bCs/>
          <w:color w:val="auto"/>
          <w:sz w:val="24"/>
          <w:highlight w:val="none"/>
        </w:rPr>
      </w:pPr>
    </w:p>
    <w:p w14:paraId="414EE21A">
      <w:pPr>
        <w:rPr>
          <w:rFonts w:ascii="宋体" w:hAnsi="宋体"/>
          <w:bCs/>
          <w:color w:val="auto"/>
          <w:sz w:val="24"/>
          <w:highlight w:val="none"/>
        </w:rPr>
      </w:pPr>
    </w:p>
    <w:p w14:paraId="00ACE328">
      <w:pPr>
        <w:rPr>
          <w:rFonts w:ascii="宋体" w:hAnsi="宋体"/>
          <w:bCs/>
          <w:color w:val="auto"/>
          <w:sz w:val="24"/>
          <w:highlight w:val="none"/>
        </w:rPr>
      </w:pPr>
    </w:p>
    <w:p w14:paraId="5EA7F80D">
      <w:pPr>
        <w:rPr>
          <w:rFonts w:ascii="宋体" w:hAnsi="宋体"/>
          <w:bCs/>
          <w:color w:val="auto"/>
          <w:sz w:val="24"/>
          <w:highlight w:val="none"/>
        </w:rPr>
      </w:pPr>
    </w:p>
    <w:p w14:paraId="203B0170">
      <w:pPr>
        <w:rPr>
          <w:rFonts w:ascii="宋体" w:hAnsi="宋体"/>
          <w:bCs/>
          <w:color w:val="auto"/>
          <w:sz w:val="24"/>
          <w:highlight w:val="none"/>
        </w:rPr>
      </w:pPr>
    </w:p>
    <w:p w14:paraId="380C02CF">
      <w:pPr>
        <w:rPr>
          <w:rFonts w:ascii="宋体" w:hAnsi="宋体"/>
          <w:bCs/>
          <w:color w:val="auto"/>
          <w:sz w:val="24"/>
          <w:highlight w:val="none"/>
        </w:rPr>
      </w:pPr>
    </w:p>
    <w:p w14:paraId="750ABA91">
      <w:pPr>
        <w:rPr>
          <w:rFonts w:ascii="宋体" w:hAnsi="宋体"/>
          <w:bCs/>
          <w:color w:val="auto"/>
          <w:sz w:val="24"/>
          <w:highlight w:val="none"/>
        </w:rPr>
      </w:pPr>
    </w:p>
    <w:p w14:paraId="48CD1971">
      <w:pPr>
        <w:rPr>
          <w:rFonts w:ascii="宋体" w:hAnsi="宋体"/>
          <w:bCs/>
          <w:color w:val="auto"/>
          <w:sz w:val="24"/>
          <w:highlight w:val="none"/>
        </w:rPr>
      </w:pPr>
    </w:p>
    <w:p w14:paraId="4F5451E1">
      <w:pPr>
        <w:rPr>
          <w:rFonts w:ascii="宋体" w:hAnsi="宋体"/>
          <w:bCs/>
          <w:color w:val="auto"/>
          <w:sz w:val="24"/>
          <w:highlight w:val="none"/>
        </w:rPr>
      </w:pPr>
    </w:p>
    <w:p w14:paraId="345C00B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bCs/>
          <w:color w:val="auto"/>
          <w:sz w:val="24"/>
          <w:highlight w:val="none"/>
        </w:rPr>
        <w:br w:type="page" w:clear="all"/>
      </w:r>
      <w:r>
        <w:rPr>
          <w:rFonts w:hint="eastAsia" w:ascii="宋体" w:hAnsi="宋体" w:eastAsia="宋体" w:cs="Times New Roman"/>
          <w:color w:val="auto"/>
          <w:kern w:val="2"/>
          <w:sz w:val="21"/>
          <w:szCs w:val="21"/>
          <w:highlight w:val="none"/>
        </w:rPr>
        <w:t>格式十三：</w:t>
      </w:r>
    </w:p>
    <w:p w14:paraId="785D1CE3">
      <w:pPr>
        <w:keepNext w:val="0"/>
        <w:keepLines w:val="0"/>
        <w:pageBreakBefore w:val="0"/>
        <w:kinsoku/>
        <w:wordWrap/>
        <w:topLinePunct w:val="0"/>
        <w:autoSpaceDE/>
        <w:autoSpaceDN/>
        <w:bidi w:val="0"/>
        <w:snapToGrid/>
        <w:spacing w:line="360" w:lineRule="auto"/>
        <w:jc w:val="center"/>
        <w:rPr>
          <w:rFonts w:ascii="宋体" w:hAnsi="宋体"/>
          <w:b/>
          <w:color w:val="auto"/>
          <w:sz w:val="24"/>
          <w:highlight w:val="none"/>
        </w:rPr>
      </w:pPr>
      <w:r>
        <w:rPr>
          <w:rFonts w:hint="eastAsia" w:ascii="宋体" w:hAnsi="宋体"/>
          <w:b/>
          <w:color w:val="auto"/>
          <w:sz w:val="24"/>
          <w:highlight w:val="none"/>
        </w:rPr>
        <w:t>中小企业声明函</w:t>
      </w:r>
    </w:p>
    <w:p w14:paraId="7C7750D8">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1"/>
          <w:szCs w:val="21"/>
          <w:highlight w:val="none"/>
          <w:lang w:val="zh-CN"/>
        </w:rPr>
      </w:pPr>
      <w:r>
        <w:rPr>
          <w:rFonts w:hint="eastAsia" w:ascii="宋体" w:hAnsi="宋体" w:cs="宋体"/>
          <w:color w:val="auto"/>
          <w:sz w:val="21"/>
          <w:szCs w:val="21"/>
          <w:highlight w:val="none"/>
          <w:lang w:val="zh-CN"/>
        </w:rPr>
        <w:t>______________________：</w:t>
      </w:r>
    </w:p>
    <w:p w14:paraId="10B7498A">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1"/>
          <w:szCs w:val="21"/>
          <w:highlight w:val="none"/>
        </w:rPr>
      </w:pPr>
      <w:r>
        <w:rPr>
          <w:rFonts w:hint="eastAsia" w:ascii="宋体" w:hAnsi="宋体" w:cs="宋体"/>
          <w:color w:val="auto"/>
          <w:sz w:val="21"/>
          <w:szCs w:val="21"/>
          <w:highlight w:val="none"/>
          <w:lang w:val="zh-CN"/>
        </w:rPr>
        <w:t>本公司郑重声明，根据《政府采购促进中小企业发展管理办法》（财库〔2020〕46号）的规定，本公司参加</w:t>
      </w:r>
      <w:r>
        <w:rPr>
          <w:rFonts w:hint="eastAsia" w:ascii="宋体" w:hAnsi="宋体" w:cs="宋体"/>
          <w:color w:val="auto"/>
          <w:sz w:val="21"/>
          <w:szCs w:val="21"/>
          <w:highlight w:val="none"/>
          <w:u w:val="single"/>
        </w:rPr>
        <w:t xml:space="preserve">   （单位名称）   </w:t>
      </w:r>
      <w:r>
        <w:rPr>
          <w:rFonts w:hint="eastAsia" w:ascii="宋体" w:hAnsi="宋体" w:cs="宋体"/>
          <w:color w:val="auto"/>
          <w:sz w:val="21"/>
          <w:szCs w:val="21"/>
          <w:highlight w:val="none"/>
        </w:rPr>
        <w:t>的</w:t>
      </w:r>
      <w:r>
        <w:rPr>
          <w:rFonts w:hint="eastAsia" w:ascii="宋体" w:hAnsi="宋体" w:cs="宋体"/>
          <w:color w:val="auto"/>
          <w:sz w:val="21"/>
          <w:szCs w:val="21"/>
          <w:highlight w:val="none"/>
          <w:u w:val="single"/>
        </w:rPr>
        <w:t xml:space="preserve">    （项目名称）     </w:t>
      </w:r>
      <w:r>
        <w:rPr>
          <w:rFonts w:hint="eastAsia" w:ascii="宋体" w:hAnsi="宋体" w:cs="宋体"/>
          <w:color w:val="auto"/>
          <w:sz w:val="21"/>
          <w:szCs w:val="21"/>
          <w:highlight w:val="none"/>
        </w:rPr>
        <w:t>采购活动，工程的施工单位全部为符合政策要求的中小企业。相关企业的具体情况如下：</w:t>
      </w:r>
    </w:p>
    <w:p w14:paraId="7178E9A0">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1"/>
          <w:szCs w:val="21"/>
          <w:highlight w:val="none"/>
          <w:u w:val="single"/>
        </w:rPr>
      </w:pPr>
      <w:r>
        <w:rPr>
          <w:rFonts w:hint="eastAsia" w:ascii="宋体" w:hAnsi="宋体" w:cs="宋体"/>
          <w:color w:val="auto"/>
          <w:sz w:val="21"/>
          <w:szCs w:val="21"/>
          <w:highlight w:val="none"/>
        </w:rPr>
        <w:t>1、</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苏州市公共文化中心既有建筑应急维修（第二期）</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 xml:space="preserve">（建筑业） ； </w:t>
      </w:r>
      <w:r>
        <w:rPr>
          <w:rFonts w:hint="eastAsia" w:ascii="宋体" w:hAnsi="宋体" w:cs="宋体"/>
          <w:color w:val="auto"/>
          <w:sz w:val="21"/>
          <w:szCs w:val="21"/>
          <w:highlight w:val="none"/>
        </w:rPr>
        <w:t>承建企业为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万元，属于</w:t>
      </w:r>
      <w:r>
        <w:rPr>
          <w:rFonts w:hint="eastAsia" w:ascii="宋体" w:hAnsi="宋体" w:cs="宋体"/>
          <w:color w:val="auto"/>
          <w:sz w:val="21"/>
          <w:szCs w:val="21"/>
          <w:highlight w:val="none"/>
          <w:u w:val="single"/>
        </w:rPr>
        <w:t xml:space="preserve"> （中型企业、小型企业、微型企业） </w:t>
      </w:r>
      <w:r>
        <w:rPr>
          <w:rFonts w:hint="eastAsia" w:ascii="宋体" w:hAnsi="宋体" w:cs="宋体"/>
          <w:color w:val="auto"/>
          <w:sz w:val="21"/>
          <w:szCs w:val="21"/>
          <w:highlight w:val="none"/>
        </w:rPr>
        <w:t>。</w:t>
      </w:r>
    </w:p>
    <w:p w14:paraId="1D42767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1"/>
          <w:szCs w:val="21"/>
          <w:highlight w:val="none"/>
          <w:u w:val="single"/>
        </w:rPr>
      </w:pPr>
      <w:r>
        <w:rPr>
          <w:rFonts w:hint="eastAsia" w:ascii="宋体" w:hAnsi="宋体" w:cs="宋体"/>
          <w:color w:val="auto"/>
          <w:sz w:val="21"/>
          <w:szCs w:val="21"/>
          <w:highlight w:val="none"/>
        </w:rPr>
        <w:t>2、</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lang w:eastAsia="zh-CN"/>
        </w:rPr>
        <w:t>苏州市公共文化中心既有建筑应急维修（第二期）</w:t>
      </w:r>
      <w:r>
        <w:rPr>
          <w:rFonts w:hint="eastAsia" w:ascii="宋体" w:hAnsi="宋体" w:cs="宋体"/>
          <w:color w:val="auto"/>
          <w:sz w:val="21"/>
          <w:szCs w:val="21"/>
          <w:highlight w:val="none"/>
          <w:u w:val="single"/>
        </w:rPr>
        <w:t>）</w:t>
      </w:r>
      <w:r>
        <w:rPr>
          <w:rFonts w:hint="eastAsia" w:ascii="宋体" w:hAnsi="宋体" w:cs="宋体"/>
          <w:color w:val="auto"/>
          <w:sz w:val="21"/>
          <w:szCs w:val="21"/>
          <w:highlight w:val="none"/>
        </w:rPr>
        <w:t>，属于</w:t>
      </w:r>
      <w:r>
        <w:rPr>
          <w:rFonts w:hint="eastAsia" w:ascii="宋体" w:hAnsi="宋体" w:cs="宋体"/>
          <w:color w:val="auto"/>
          <w:sz w:val="21"/>
          <w:szCs w:val="21"/>
          <w:highlight w:val="none"/>
          <w:u w:val="single"/>
        </w:rPr>
        <w:t xml:space="preserve">（建筑业） ； </w:t>
      </w:r>
      <w:r>
        <w:rPr>
          <w:rFonts w:hint="eastAsia" w:ascii="宋体" w:hAnsi="宋体" w:cs="宋体"/>
          <w:color w:val="auto"/>
          <w:sz w:val="21"/>
          <w:szCs w:val="21"/>
          <w:highlight w:val="none"/>
        </w:rPr>
        <w:t>承建企业为</w:t>
      </w:r>
      <w:r>
        <w:rPr>
          <w:rFonts w:hint="eastAsia" w:ascii="宋体" w:hAnsi="宋体" w:cs="宋体"/>
          <w:color w:val="auto"/>
          <w:sz w:val="21"/>
          <w:szCs w:val="21"/>
          <w:highlight w:val="none"/>
          <w:u w:val="single"/>
        </w:rPr>
        <w:t xml:space="preserve">  （企业名称）  </w:t>
      </w:r>
      <w:r>
        <w:rPr>
          <w:rFonts w:hint="eastAsia" w:ascii="宋体" w:hAnsi="宋体" w:cs="宋体"/>
          <w:color w:val="auto"/>
          <w:sz w:val="21"/>
          <w:szCs w:val="21"/>
          <w:highlight w:val="none"/>
        </w:rPr>
        <w:t>，从业人员</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人，营业收入为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万元，资产总额为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万元，属于</w:t>
      </w:r>
      <w:r>
        <w:rPr>
          <w:rFonts w:hint="eastAsia" w:ascii="宋体" w:hAnsi="宋体" w:cs="宋体"/>
          <w:color w:val="auto"/>
          <w:sz w:val="21"/>
          <w:szCs w:val="21"/>
          <w:highlight w:val="none"/>
          <w:u w:val="single"/>
        </w:rPr>
        <w:t xml:space="preserve"> （中型企业、小型企业、微型企业） </w:t>
      </w:r>
      <w:r>
        <w:rPr>
          <w:rFonts w:hint="eastAsia" w:ascii="宋体" w:hAnsi="宋体" w:cs="宋体"/>
          <w:color w:val="auto"/>
          <w:sz w:val="21"/>
          <w:szCs w:val="21"/>
          <w:highlight w:val="none"/>
        </w:rPr>
        <w:t>。</w:t>
      </w:r>
    </w:p>
    <w:p w14:paraId="23CC2883">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w:t>
      </w:r>
    </w:p>
    <w:p w14:paraId="5DAF922C">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1"/>
          <w:szCs w:val="21"/>
          <w:highlight w:val="none"/>
        </w:rPr>
      </w:pPr>
      <w:r>
        <w:rPr>
          <w:rFonts w:hint="eastAsia" w:ascii="宋体" w:hAnsi="宋体" w:cs="宋体"/>
          <w:color w:val="auto"/>
          <w:sz w:val="21"/>
          <w:szCs w:val="21"/>
          <w:highlight w:val="none"/>
        </w:rPr>
        <w:tab/>
      </w:r>
      <w:r>
        <w:rPr>
          <w:rFonts w:hint="eastAsia" w:ascii="宋体" w:hAnsi="宋体" w:cs="宋体"/>
          <w:color w:val="auto"/>
          <w:sz w:val="21"/>
          <w:szCs w:val="21"/>
          <w:highlight w:val="none"/>
        </w:rPr>
        <w:t>以上企业，不属于大企业的分支机构，不存在控股股东为大企业的情形，也不存在与大企业的负责人为同一人的情形。</w:t>
      </w:r>
    </w:p>
    <w:p w14:paraId="03F22876">
      <w:pPr>
        <w:keepNext w:val="0"/>
        <w:keepLines w:val="0"/>
        <w:pageBreakBefore w:val="0"/>
        <w:kinsoku/>
        <w:wordWrap/>
        <w:overflowPunct/>
        <w:topLinePunct w:val="0"/>
        <w:autoSpaceDE/>
        <w:autoSpaceDN/>
        <w:bidi w:val="0"/>
        <w:adjustRightInd/>
        <w:snapToGrid/>
        <w:spacing w:line="360" w:lineRule="auto"/>
        <w:ind w:firstLine="480"/>
        <w:textAlignment w:val="auto"/>
        <w:rPr>
          <w:rFonts w:ascii="宋体" w:hAnsi="宋体" w:cs="宋体"/>
          <w:color w:val="auto"/>
          <w:sz w:val="21"/>
          <w:szCs w:val="21"/>
          <w:highlight w:val="none"/>
          <w:lang w:val="zh-CN"/>
        </w:rPr>
      </w:pPr>
      <w:r>
        <w:rPr>
          <w:rFonts w:hint="eastAsia" w:ascii="宋体" w:hAnsi="宋体" w:cs="宋体"/>
          <w:color w:val="auto"/>
          <w:sz w:val="21"/>
          <w:szCs w:val="21"/>
          <w:highlight w:val="none"/>
        </w:rPr>
        <w:t>本企业对上述声明内容的真实性负责。如有虚假，将依法承担相应责任。</w:t>
      </w:r>
    </w:p>
    <w:p w14:paraId="758A30E1">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highlight w:val="none"/>
          <w:lang w:val="zh-CN"/>
        </w:rPr>
      </w:pPr>
    </w:p>
    <w:p w14:paraId="408E924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highlight w:val="none"/>
          <w:lang w:val="zh-CN"/>
        </w:rPr>
      </w:pPr>
      <w:r>
        <w:rPr>
          <w:rFonts w:hint="eastAsia" w:ascii="宋体" w:hAnsi="宋体" w:cs="宋体"/>
          <w:color w:val="auto"/>
          <w:sz w:val="21"/>
          <w:szCs w:val="21"/>
          <w:highlight w:val="none"/>
        </w:rPr>
        <w:t>企业名称（盖章）：</w:t>
      </w:r>
    </w:p>
    <w:p w14:paraId="6F7BA0D5">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宋体" w:hAnsi="宋体" w:cs="宋体"/>
          <w:color w:val="auto"/>
          <w:sz w:val="21"/>
          <w:szCs w:val="21"/>
          <w:highlight w:val="none"/>
        </w:rPr>
      </w:pPr>
      <w:r>
        <w:rPr>
          <w:rFonts w:hint="eastAsia" w:ascii="宋体" w:hAnsi="宋体" w:cs="宋体"/>
          <w:color w:val="auto"/>
          <w:sz w:val="21"/>
          <w:szCs w:val="21"/>
          <w:highlight w:val="none"/>
        </w:rPr>
        <w:t>日期：</w:t>
      </w:r>
    </w:p>
    <w:p w14:paraId="19D3FC2F">
      <w:pPr>
        <w:keepNext w:val="0"/>
        <w:keepLines w:val="0"/>
        <w:pageBreakBefore w:val="0"/>
        <w:kinsoku/>
        <w:wordWrap/>
        <w:overflowPunct/>
        <w:topLinePunct w:val="0"/>
        <w:autoSpaceDE/>
        <w:autoSpaceDN/>
        <w:bidi w:val="0"/>
        <w:adjustRightInd/>
        <w:snapToGrid/>
        <w:spacing w:line="360" w:lineRule="auto"/>
        <w:textAlignment w:val="auto"/>
        <w:rPr>
          <w:rFonts w:ascii="宋体" w:hAnsi="宋体" w:cs="宋体"/>
          <w:color w:val="auto"/>
          <w:sz w:val="21"/>
          <w:szCs w:val="21"/>
          <w:highlight w:val="none"/>
        </w:rPr>
      </w:pPr>
    </w:p>
    <w:p w14:paraId="24B36C20">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注：1、中小企业划分标准详见“工信部联企业〔2011〕300号通知中的《中小企业划型标准规定》。</w:t>
      </w:r>
    </w:p>
    <w:p w14:paraId="19CE2467">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2、本项目所属行业：建筑业。</w:t>
      </w:r>
    </w:p>
    <w:p w14:paraId="3616BF31">
      <w:pPr>
        <w:keepNext w:val="0"/>
        <w:keepLines w:val="0"/>
        <w:pageBreakBefore w:val="0"/>
        <w:kinsoku/>
        <w:wordWrap/>
        <w:overflowPunct/>
        <w:topLinePunct w:val="0"/>
        <w:autoSpaceDE/>
        <w:autoSpaceDN/>
        <w:bidi w:val="0"/>
        <w:adjustRightInd/>
        <w:snapToGrid/>
        <w:spacing w:line="360" w:lineRule="auto"/>
        <w:ind w:firstLine="482"/>
        <w:textAlignment w:val="auto"/>
        <w:rPr>
          <w:rFonts w:ascii="宋体" w:hAnsi="宋体" w:cs="宋体"/>
          <w:b/>
          <w:color w:val="auto"/>
          <w:sz w:val="21"/>
          <w:szCs w:val="21"/>
          <w:highlight w:val="none"/>
        </w:rPr>
      </w:pPr>
      <w:r>
        <w:rPr>
          <w:rFonts w:hint="eastAsia" w:ascii="宋体" w:hAnsi="宋体" w:cs="宋体"/>
          <w:b/>
          <w:color w:val="auto"/>
          <w:sz w:val="21"/>
          <w:szCs w:val="21"/>
          <w:highlight w:val="none"/>
        </w:rPr>
        <w:t>3、从业人员、营业收入、资产总额填报上一年度数据，无上一年度数据的新成立企业可不填报。</w:t>
      </w:r>
    </w:p>
    <w:p w14:paraId="1AB1EF2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color w:val="auto"/>
          <w:sz w:val="21"/>
          <w:szCs w:val="21"/>
          <w:highlight w:val="none"/>
        </w:rPr>
      </w:pPr>
    </w:p>
    <w:p w14:paraId="738BF6D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color w:val="auto"/>
          <w:sz w:val="21"/>
          <w:szCs w:val="21"/>
          <w:highlight w:val="none"/>
        </w:rPr>
      </w:pPr>
    </w:p>
    <w:p w14:paraId="5BD1E9A5">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s="宋体"/>
          <w:color w:val="auto"/>
          <w:sz w:val="21"/>
          <w:szCs w:val="21"/>
          <w:highlight w:val="none"/>
        </w:rPr>
      </w:pPr>
      <w:r>
        <w:rPr>
          <w:rFonts w:hint="eastAsia" w:ascii="宋体" w:hAnsi="宋体" w:cs="宋体"/>
          <w:b/>
          <w:bCs/>
          <w:color w:val="auto"/>
          <w:sz w:val="21"/>
          <w:szCs w:val="21"/>
          <w:highlight w:val="none"/>
        </w:rPr>
        <w:t>注：本项目专门面向中小企业，所属行业为建筑业，供应商应为中小微企业或监狱企业或残疾人福利性单位，否则为无效响应。</w:t>
      </w:r>
    </w:p>
    <w:p w14:paraId="5367B1C7">
      <w:pPr>
        <w:keepNext w:val="0"/>
        <w:keepLines w:val="0"/>
        <w:pageBreakBefore w:val="0"/>
        <w:kinsoku/>
        <w:wordWrap/>
        <w:topLinePunct w:val="0"/>
        <w:autoSpaceDE/>
        <w:autoSpaceDN/>
        <w:bidi w:val="0"/>
        <w:snapToGrid/>
        <w:spacing w:line="360" w:lineRule="auto"/>
        <w:jc w:val="center"/>
        <w:rPr>
          <w:rFonts w:ascii="宋体" w:hAnsi="宋体" w:cs="宋体"/>
          <w:b/>
          <w:color w:val="auto"/>
          <w:sz w:val="24"/>
          <w:highlight w:val="none"/>
          <w:lang w:val="zh-CN"/>
        </w:rPr>
      </w:pPr>
    </w:p>
    <w:p w14:paraId="08CEF34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rPr>
      </w:pPr>
      <w:r>
        <w:rPr>
          <w:rFonts w:hint="eastAsia" w:ascii="宋体" w:hAnsi="宋体"/>
          <w:bCs/>
          <w:color w:val="auto"/>
          <w:sz w:val="24"/>
          <w:highlight w:val="none"/>
        </w:rPr>
        <w:br w:type="page" w:clear="all"/>
      </w:r>
      <w:r>
        <w:rPr>
          <w:rFonts w:hint="eastAsia" w:ascii="宋体" w:hAnsi="宋体" w:eastAsia="宋体" w:cs="Times New Roman"/>
          <w:color w:val="auto"/>
          <w:kern w:val="2"/>
          <w:sz w:val="21"/>
          <w:szCs w:val="21"/>
          <w:highlight w:val="none"/>
        </w:rPr>
        <w:t>格式十四：</w:t>
      </w:r>
    </w:p>
    <w:p w14:paraId="0657221E">
      <w:pPr>
        <w:keepNext w:val="0"/>
        <w:keepLines w:val="0"/>
        <w:pageBreakBefore w:val="0"/>
        <w:kinsoku/>
        <w:wordWrap/>
        <w:topLinePunct w:val="0"/>
        <w:autoSpaceDE/>
        <w:autoSpaceDN/>
        <w:bidi w:val="0"/>
        <w:snapToGrid/>
        <w:spacing w:line="360" w:lineRule="auto"/>
        <w:jc w:val="center"/>
        <w:rPr>
          <w:rFonts w:hint="eastAsia" w:ascii="宋体" w:hAnsi="宋体" w:eastAsia="宋体" w:cs="Times New Roman"/>
          <w:b/>
          <w:bCs/>
          <w:color w:val="auto"/>
          <w:sz w:val="24"/>
          <w:highlight w:val="none"/>
          <w:lang w:val="zh-CN" w:eastAsia="zh-CN"/>
        </w:rPr>
      </w:pPr>
      <w:r>
        <w:rPr>
          <w:rFonts w:hint="eastAsia" w:ascii="宋体" w:hAnsi="宋体" w:eastAsia="宋体" w:cs="Times New Roman"/>
          <w:b/>
          <w:bCs/>
          <w:color w:val="auto"/>
          <w:sz w:val="24"/>
          <w:highlight w:val="none"/>
          <w:lang w:val="zh-CN" w:eastAsia="zh-CN"/>
        </w:rPr>
        <w:t>残疾人福利性单位声明函</w:t>
      </w:r>
    </w:p>
    <w:p w14:paraId="57C48508">
      <w:pPr>
        <w:keepNext w:val="0"/>
        <w:keepLines w:val="0"/>
        <w:pageBreakBefore w:val="0"/>
        <w:widowControl/>
        <w:kinsoku/>
        <w:wordWrap/>
        <w:overflowPunct/>
        <w:topLinePunct w:val="0"/>
        <w:autoSpaceDE/>
        <w:autoSpaceDN/>
        <w:bidi w:val="0"/>
        <w:adjustRightInd w:val="0"/>
        <w:snapToGrid/>
        <w:spacing w:line="360" w:lineRule="auto"/>
        <w:textAlignment w:val="baseline"/>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lang w:val="zh-CN"/>
        </w:rPr>
        <w:t>______________________：</w:t>
      </w:r>
    </w:p>
    <w:p w14:paraId="29305D39">
      <w:pPr>
        <w:keepNext w:val="0"/>
        <w:keepLines w:val="0"/>
        <w:pageBreakBefore w:val="0"/>
        <w:kinsoku/>
        <w:wordWrap/>
        <w:overflowPunct/>
        <w:topLinePunct w:val="0"/>
        <w:autoSpaceDE/>
        <w:autoSpaceDN/>
        <w:bidi w:val="0"/>
        <w:snapToGrid/>
        <w:spacing w:line="360" w:lineRule="auto"/>
        <w:rPr>
          <w:rFonts w:hint="eastAsia" w:ascii="宋体" w:hAnsi="宋体" w:eastAsia="宋体" w:cs="宋体"/>
          <w:b/>
          <w:color w:val="auto"/>
          <w:sz w:val="21"/>
          <w:szCs w:val="21"/>
          <w:highlight w:val="none"/>
        </w:rPr>
      </w:pPr>
    </w:p>
    <w:p w14:paraId="3F751AF7">
      <w:pPr>
        <w:keepNext w:val="0"/>
        <w:keepLines w:val="0"/>
        <w:pageBreakBefore w:val="0"/>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A98459C">
      <w:pPr>
        <w:keepNext w:val="0"/>
        <w:keepLines w:val="0"/>
        <w:pageBreakBefore w:val="0"/>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rPr>
      </w:pPr>
    </w:p>
    <w:p w14:paraId="0EB316EA">
      <w:pPr>
        <w:keepNext w:val="0"/>
        <w:keepLines w:val="0"/>
        <w:pageBreakBefore w:val="0"/>
        <w:kinsoku/>
        <w:wordWrap/>
        <w:overflowPunct/>
        <w:topLinePunct w:val="0"/>
        <w:autoSpaceDE/>
        <w:autoSpaceDN/>
        <w:bidi w:val="0"/>
        <w:snapToGrid/>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本单位对上述声明的真实性负责。如有虚假，将依法承担相应责任。</w:t>
      </w:r>
    </w:p>
    <w:p w14:paraId="0DDDA3B1">
      <w:pPr>
        <w:keepNext w:val="0"/>
        <w:keepLines w:val="0"/>
        <w:pageBreakBefore w:val="0"/>
        <w:widowControl w:val="0"/>
        <w:kinsoku/>
        <w:wordWrap/>
        <w:topLinePunct w:val="0"/>
        <w:autoSpaceDE/>
        <w:autoSpaceDN/>
        <w:bidi w:val="0"/>
        <w:adjustRightInd/>
        <w:snapToGrid/>
        <w:spacing w:line="360" w:lineRule="auto"/>
        <w:ind w:firstLine="420"/>
        <w:textAlignment w:val="auto"/>
        <w:rPr>
          <w:rFonts w:hint="eastAsia" w:ascii="宋体" w:hAnsi="宋体" w:eastAsia="宋体" w:cs="宋体"/>
          <w:color w:val="auto"/>
          <w:sz w:val="21"/>
          <w:szCs w:val="21"/>
          <w:highlight w:val="none"/>
        </w:rPr>
      </w:pPr>
    </w:p>
    <w:p w14:paraId="1F5D7AF3">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磋商响应单位：（单位盖章）</w:t>
      </w:r>
    </w:p>
    <w:p w14:paraId="3B42B78D">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法定代表人或代理人：（签字或盖章）</w:t>
      </w:r>
    </w:p>
    <w:p w14:paraId="51D9201F">
      <w:pPr>
        <w:pStyle w:val="13"/>
        <w:keepNext w:val="0"/>
        <w:keepLines w:val="0"/>
        <w:pageBreakBefore w:val="0"/>
        <w:widowControl w:val="0"/>
        <w:kinsoku/>
        <w:wordWrap/>
        <w:overflowPunct w:val="0"/>
        <w:topLinePunct w:val="0"/>
        <w:autoSpaceDE/>
        <w:autoSpaceDN/>
        <w:bidi w:val="0"/>
        <w:adjustRightInd/>
        <w:snapToGrid/>
        <w:spacing w:line="360" w:lineRule="auto"/>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日期：         年         月       日</w:t>
      </w:r>
    </w:p>
    <w:p w14:paraId="0ECAF64E">
      <w:pPr>
        <w:keepNext w:val="0"/>
        <w:keepLines w:val="0"/>
        <w:pageBreakBefore w:val="0"/>
        <w:kinsoku/>
        <w:wordWrap/>
        <w:topLinePunct w:val="0"/>
        <w:autoSpaceDE/>
        <w:autoSpaceDN/>
        <w:bidi w:val="0"/>
        <w:snapToGrid/>
        <w:spacing w:line="360" w:lineRule="auto"/>
        <w:rPr>
          <w:rFonts w:ascii="宋体" w:hAnsi="宋体"/>
          <w:color w:val="auto"/>
          <w:sz w:val="24"/>
          <w:highlight w:val="none"/>
        </w:rPr>
      </w:pPr>
    </w:p>
    <w:p w14:paraId="62B095B3">
      <w:pPr>
        <w:keepNext w:val="0"/>
        <w:keepLines w:val="0"/>
        <w:pageBreakBefore w:val="0"/>
        <w:kinsoku/>
        <w:wordWrap/>
        <w:topLinePunct w:val="0"/>
        <w:autoSpaceDE/>
        <w:autoSpaceDN/>
        <w:bidi w:val="0"/>
        <w:snapToGrid/>
        <w:spacing w:line="360" w:lineRule="auto"/>
        <w:rPr>
          <w:rFonts w:ascii="宋体" w:hAnsi="宋体"/>
          <w:color w:val="auto"/>
          <w:sz w:val="24"/>
          <w:highlight w:val="none"/>
        </w:rPr>
      </w:pPr>
    </w:p>
    <w:p w14:paraId="211EB4F8">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571FA0B9">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6B727D37">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2DC564A9">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bookmarkStart w:id="4" w:name="_GoBack"/>
      <w:bookmarkEnd w:id="4"/>
    </w:p>
    <w:p w14:paraId="7205F0F1">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2B2A40D9">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007E6C25">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3A5D9A10">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2FE95A6A">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468DE32D">
      <w:pPr>
        <w:pStyle w:val="39"/>
        <w:keepNext w:val="0"/>
        <w:keepLines w:val="0"/>
        <w:pageBreakBefore w:val="0"/>
        <w:kinsoku/>
        <w:wordWrap/>
        <w:topLinePunct w:val="0"/>
        <w:autoSpaceDE/>
        <w:autoSpaceDN/>
        <w:bidi w:val="0"/>
        <w:snapToGrid/>
        <w:spacing w:line="360" w:lineRule="auto"/>
        <w:jc w:val="right"/>
        <w:rPr>
          <w:b/>
          <w:bCs/>
          <w:color w:val="auto"/>
          <w:sz w:val="21"/>
          <w:szCs w:val="21"/>
          <w:highlight w:val="none"/>
        </w:rPr>
      </w:pPr>
    </w:p>
    <w:p w14:paraId="4EDE777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Times New Roman"/>
          <w:color w:val="auto"/>
          <w:kern w:val="2"/>
          <w:sz w:val="21"/>
          <w:szCs w:val="21"/>
          <w:highlight w:val="none"/>
          <w:lang w:val="en-US" w:eastAsia="zh-CN"/>
        </w:rPr>
      </w:pPr>
      <w:r>
        <w:rPr>
          <w:rFonts w:hint="eastAsia" w:ascii="宋体" w:hAnsi="宋体" w:eastAsia="宋体" w:cs="Times New Roman"/>
          <w:color w:val="auto"/>
          <w:kern w:val="2"/>
          <w:sz w:val="21"/>
          <w:szCs w:val="21"/>
          <w:highlight w:val="none"/>
          <w:lang w:val="en-US" w:eastAsia="zh-CN"/>
        </w:rPr>
        <w:t>格式十五：</w:t>
      </w:r>
    </w:p>
    <w:p w14:paraId="5EFC9F55">
      <w:pPr>
        <w:keepNext w:val="0"/>
        <w:keepLines w:val="0"/>
        <w:pageBreakBefore w:val="0"/>
        <w:kinsoku/>
        <w:wordWrap/>
        <w:topLinePunct w:val="0"/>
        <w:autoSpaceDE/>
        <w:autoSpaceDN/>
        <w:bidi w:val="0"/>
        <w:snapToGrid/>
        <w:spacing w:line="360" w:lineRule="auto"/>
        <w:jc w:val="center"/>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en-US" w:eastAsia="zh-CN"/>
        </w:rPr>
        <w:t>监狱企业证明文件</w:t>
      </w:r>
    </w:p>
    <w:p w14:paraId="776F0608">
      <w:pPr>
        <w:pStyle w:val="53"/>
        <w:keepNext w:val="0"/>
        <w:keepLines w:val="0"/>
        <w:pageBreakBefore w:val="0"/>
        <w:kinsoku/>
        <w:wordWrap/>
        <w:topLinePunct w:val="0"/>
        <w:autoSpaceDE/>
        <w:autoSpaceDN/>
        <w:bidi w:val="0"/>
        <w:snapToGrid/>
        <w:spacing w:line="360" w:lineRule="auto"/>
        <w:ind w:firstLine="420"/>
        <w:rPr>
          <w:rFonts w:hint="eastAsia" w:ascii="宋体" w:hAnsi="宋体" w:eastAsia="宋体" w:cs="宋体"/>
          <w:bCs/>
          <w:color w:val="auto"/>
          <w:kern w:val="2"/>
          <w:sz w:val="21"/>
          <w:szCs w:val="21"/>
          <w:highlight w:val="none"/>
          <w:lang w:val="en-US" w:eastAsia="zh-CN" w:bidi="ar-SA"/>
        </w:rPr>
      </w:pPr>
    </w:p>
    <w:p w14:paraId="563C59A3">
      <w:pPr>
        <w:pStyle w:val="53"/>
        <w:keepNext w:val="0"/>
        <w:keepLines w:val="0"/>
        <w:pageBreakBefore w:val="0"/>
        <w:kinsoku/>
        <w:wordWrap/>
        <w:topLinePunct w:val="0"/>
        <w:autoSpaceDE/>
        <w:autoSpaceDN/>
        <w:bidi w:val="0"/>
        <w:snapToGrid/>
        <w:spacing w:line="360" w:lineRule="auto"/>
        <w:ind w:firstLine="420"/>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提供由省级以上监狱管理局、戒毒管理局（含新疆生产建设兵团）出具的属于监狱企业的证明文件。</w:t>
      </w:r>
    </w:p>
    <w:p w14:paraId="1AA537D8">
      <w:pPr>
        <w:pStyle w:val="53"/>
        <w:spacing w:line="360" w:lineRule="auto"/>
        <w:ind w:firstLine="420"/>
        <w:jc w:val="right"/>
        <w:rPr>
          <w:rFonts w:hint="eastAsia" w:ascii="宋体" w:hAnsi="宋体" w:eastAsia="宋体" w:cs="宋体"/>
          <w:bCs/>
          <w:color w:val="auto"/>
          <w:kern w:val="2"/>
          <w:sz w:val="21"/>
          <w:szCs w:val="21"/>
          <w:highlight w:val="none"/>
          <w:lang w:val="en-US" w:eastAsia="zh-CN" w:bidi="ar-SA"/>
        </w:rPr>
      </w:pPr>
    </w:p>
    <w:p w14:paraId="5C628B7C">
      <w:pPr>
        <w:pStyle w:val="53"/>
        <w:spacing w:line="360" w:lineRule="auto"/>
        <w:ind w:firstLine="420"/>
        <w:jc w:val="right"/>
        <w:rPr>
          <w:rFonts w:ascii="宋体" w:hAnsi="宋体"/>
          <w:color w:val="auto"/>
          <w:highlight w:val="none"/>
        </w:rPr>
      </w:pPr>
      <w:r>
        <w:rPr>
          <w:b/>
          <w:bCs/>
          <w:color w:val="auto"/>
          <w:sz w:val="21"/>
          <w:szCs w:val="21"/>
          <w:highlight w:val="none"/>
        </w:rPr>
        <w:t>(全文完)</w:t>
      </w:r>
    </w:p>
    <w:sectPr>
      <w:pgSz w:w="11906" w:h="16838"/>
      <w:pgMar w:top="1440" w:right="1800" w:bottom="1440" w:left="180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宋体_x0001_糭.飬..">
    <w:altName w:val="宋体"/>
    <w:panose1 w:val="02010600030101010101"/>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12FEBC">
    <w:pPr>
      <w:pStyle w:val="29"/>
      <w:framePr w:wrap="around" w:vAnchor="text" w:hAnchor="margin" w:xAlign="center" w:y="1"/>
      <w:rPr>
        <w:rStyle w:val="48"/>
      </w:rPr>
    </w:pPr>
    <w:r>
      <w:fldChar w:fldCharType="begin"/>
    </w:r>
    <w:r>
      <w:rPr>
        <w:rStyle w:val="48"/>
      </w:rPr>
      <w:instrText xml:space="preserve">PAGE  </w:instrText>
    </w:r>
    <w:r>
      <w:fldChar w:fldCharType="end"/>
    </w:r>
  </w:p>
  <w:p w14:paraId="3FC733F7">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114B5A">
    <w:pPr>
      <w:pStyle w:val="29"/>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72BD08">
                          <w:pPr>
                            <w:pStyle w:val="29"/>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s0lY7tAAAAAFAQAADwAAAAAAAAABACAAAAAiAAAAZHJzL2Rvd25yZXYueG1sUEsB&#10;AhQAFAAAAAgAh07iQKcwv1w2AgAAYwQAAA4AAAAAAAAAAQAgAAAAHwEAAGRycy9lMm9Eb2MueG1s&#10;UEsFBgAAAAAGAAYAWQEAAMcFAAAAAA==&#10;">
              <v:fill on="f" focussize="0,0"/>
              <v:stroke on="f" weight="0.5pt"/>
              <v:imagedata o:title=""/>
              <o:lock v:ext="edit" aspectratio="f"/>
              <v:textbox inset="0mm,0mm,0mm,0mm" style="mso-fit-shape-to-text:t;">
                <w:txbxContent>
                  <w:p w14:paraId="0F72BD08">
                    <w:pPr>
                      <w:pStyle w:val="29"/>
                    </w:pPr>
                    <w:r>
                      <w:fldChar w:fldCharType="begin"/>
                    </w:r>
                    <w:r>
                      <w:instrText xml:space="preserve"> PAGE  \* MERGEFORMAT </w:instrText>
                    </w:r>
                    <w:r>
                      <w:fldChar w:fldCharType="separate"/>
                    </w:r>
                    <w:r>
                      <w:t>2</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D001F">
    <w:pPr>
      <w:pStyle w:val="30"/>
      <w:pBdr>
        <w:bottom w:val="none" w:color="auto" w:sz="0" w:space="0"/>
      </w:pBdr>
      <w:jc w:val="both"/>
      <w:rPr>
        <w:rFonts w:hint="eastAsia" w:ascii="宋体" w:hAnsi="宋体" w:eastAsia="宋体" w:cs="宋体"/>
        <w:sz w:val="21"/>
        <w:szCs w:val="21"/>
        <w:u w:val="single"/>
        <w:lang w:eastAsia="zh-CN"/>
      </w:rPr>
    </w:pPr>
    <w:r>
      <w:rPr>
        <w:rFonts w:hint="eastAsia" w:ascii="宋体" w:hAnsi="宋体" w:cs="宋体"/>
        <w:sz w:val="21"/>
        <w:szCs w:val="21"/>
        <w:u w:val="single"/>
      </w:rPr>
      <w:t xml:space="preserve">磋商采购文件                                        </w:t>
    </w:r>
    <w:r>
      <w:rPr>
        <w:rFonts w:hint="eastAsia" w:ascii="宋体" w:hAnsi="宋体" w:cs="宋体"/>
        <w:sz w:val="21"/>
        <w:szCs w:val="21"/>
        <w:u w:val="single"/>
        <w:lang w:eastAsia="zh-CN"/>
      </w:rPr>
      <w:t>JSZC-320500-ZCZX-C2026-0034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19079A">
    <w:pPr>
      <w:pStyle w:val="30"/>
      <w:jc w:val="both"/>
      <w:rPr>
        <w:rFonts w:hint="eastAsia" w:ascii="宋体" w:hAnsi="宋体" w:eastAsia="宋体" w:cs="宋体"/>
        <w:lang w:eastAsia="zh-CN"/>
      </w:rPr>
    </w:pPr>
    <w:r>
      <w:rPr>
        <w:rFonts w:hint="eastAsia" w:ascii="宋体" w:hAnsi="宋体" w:eastAsia="宋体" w:cs="宋体"/>
      </w:rPr>
      <w:t xml:space="preserve">采购文件                                                        </w:t>
    </w:r>
    <w:r>
      <w:rPr>
        <w:rFonts w:hint="eastAsia" w:ascii="宋体" w:hAnsi="宋体" w:eastAsia="宋体" w:cs="宋体"/>
        <w:lang w:val="en-US" w:eastAsia="zh-CN"/>
      </w:rPr>
      <w:t xml:space="preserve"> </w:t>
    </w:r>
    <w:r>
      <w:rPr>
        <w:rFonts w:hint="eastAsia" w:ascii="宋体" w:hAnsi="宋体" w:eastAsia="宋体" w:cs="宋体"/>
        <w:lang w:eastAsia="zh-CN"/>
      </w:rPr>
      <w:t>JSZC-320500-ZCZX-C2026-0034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DB1302"/>
    <w:multiLevelType w:val="singleLevel"/>
    <w:tmpl w:val="A2DB1302"/>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gutterAtTop/>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3F14612"/>
    <w:rsid w:val="04E5131D"/>
    <w:rsid w:val="0522376D"/>
    <w:rsid w:val="05CF5A6E"/>
    <w:rsid w:val="0B4C09A1"/>
    <w:rsid w:val="0BFC4CA1"/>
    <w:rsid w:val="0F331A6A"/>
    <w:rsid w:val="12CA6DE9"/>
    <w:rsid w:val="17371F02"/>
    <w:rsid w:val="195425EF"/>
    <w:rsid w:val="1CBD221A"/>
    <w:rsid w:val="1E661B47"/>
    <w:rsid w:val="21807E0F"/>
    <w:rsid w:val="25773CA1"/>
    <w:rsid w:val="2BDB0D28"/>
    <w:rsid w:val="2DA21F65"/>
    <w:rsid w:val="30A6332F"/>
    <w:rsid w:val="311952B8"/>
    <w:rsid w:val="351C7F85"/>
    <w:rsid w:val="3846287E"/>
    <w:rsid w:val="3E832413"/>
    <w:rsid w:val="406B37FC"/>
    <w:rsid w:val="436F7031"/>
    <w:rsid w:val="451D38F2"/>
    <w:rsid w:val="48BC7118"/>
    <w:rsid w:val="4A800DCC"/>
    <w:rsid w:val="4DCC61A3"/>
    <w:rsid w:val="4E1219B7"/>
    <w:rsid w:val="4E792618"/>
    <w:rsid w:val="4FBB1299"/>
    <w:rsid w:val="50850CED"/>
    <w:rsid w:val="53E57531"/>
    <w:rsid w:val="565C37C0"/>
    <w:rsid w:val="58260D6A"/>
    <w:rsid w:val="65C02EDD"/>
    <w:rsid w:val="672F5924"/>
    <w:rsid w:val="6826249D"/>
    <w:rsid w:val="6BBA3B00"/>
    <w:rsid w:val="6CE750CB"/>
    <w:rsid w:val="71997A0B"/>
    <w:rsid w:val="738844E4"/>
    <w:rsid w:val="77704370"/>
    <w:rsid w:val="77CC6EBA"/>
    <w:rsid w:val="78D45AF4"/>
    <w:rsid w:val="79F11AD0"/>
    <w:rsid w:val="7AEA7FA0"/>
    <w:rsid w:val="7AF37D48"/>
    <w:rsid w:val="7BD774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qFormat/>
    <w:uiPriority w:val="0"/>
    <w:pPr>
      <w:keepNext/>
      <w:keepLines/>
      <w:widowControl w:val="0"/>
      <w:spacing w:before="120" w:after="120" w:line="360" w:lineRule="auto"/>
      <w:jc w:val="center"/>
      <w:outlineLvl w:val="0"/>
    </w:pPr>
    <w:rPr>
      <w:rFonts w:hint="default" w:ascii="黑体" w:hAnsi="宋体" w:eastAsia="黑体" w:cs="Arial"/>
      <w:b/>
      <w:bCs/>
      <w:sz w:val="32"/>
      <w:szCs w:val="24"/>
      <w:lang w:val="en-US" w:eastAsia="zh-CN" w:bidi="ar-SA"/>
    </w:rPr>
  </w:style>
  <w:style w:type="paragraph" w:styleId="3">
    <w:name w:val="heading 2"/>
    <w:basedOn w:val="1"/>
    <w:next w:val="1"/>
    <w:qFormat/>
    <w:uiPriority w:val="9"/>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203"/>
    <w:qFormat/>
    <w:uiPriority w:val="0"/>
    <w:pPr>
      <w:keepNext/>
      <w:keepLines/>
      <w:jc w:val="left"/>
      <w:outlineLvl w:val="2"/>
    </w:pPr>
    <w:rPr>
      <w:rFonts w:eastAsia="楷体_GB2312"/>
      <w:b/>
      <w:sz w:val="28"/>
      <w:szCs w:val="20"/>
    </w:rPr>
  </w:style>
  <w:style w:type="paragraph" w:styleId="5">
    <w:name w:val="heading 4"/>
    <w:basedOn w:val="1"/>
    <w:next w:val="1"/>
    <w:link w:val="204"/>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59"/>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60"/>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61"/>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62"/>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63"/>
    <w:unhideWhenUsed/>
    <w:qFormat/>
    <w:uiPriority w:val="9"/>
    <w:pPr>
      <w:keepNext/>
      <w:keepLines/>
      <w:spacing w:before="320" w:after="200"/>
      <w:outlineLvl w:val="8"/>
    </w:pPr>
    <w:rPr>
      <w:rFonts w:ascii="Arial" w:hAnsi="Arial" w:eastAsia="Arial" w:cs="Arial"/>
      <w:i/>
      <w:iCs/>
      <w:sz w:val="21"/>
      <w:szCs w:val="21"/>
    </w:rPr>
  </w:style>
  <w:style w:type="character" w:default="1" w:styleId="45">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table of authorities"/>
    <w:basedOn w:val="1"/>
    <w:next w:val="1"/>
    <w:qFormat/>
    <w:uiPriority w:val="0"/>
    <w:pPr>
      <w:ind w:left="420"/>
    </w:pPr>
    <w:rPr>
      <w:rFonts w:ascii="Calibri" w:hAnsi="Calibri"/>
    </w:rPr>
  </w:style>
  <w:style w:type="paragraph" w:styleId="13">
    <w:name w:val="Normal Indent"/>
    <w:basedOn w:val="1"/>
    <w:link w:val="205"/>
    <w:qFormat/>
    <w:uiPriority w:val="0"/>
    <w:pPr>
      <w:ind w:firstLine="420"/>
      <w:jc w:val="left"/>
    </w:pPr>
    <w:rPr>
      <w:rFonts w:eastAsia="楷体_GB2312"/>
      <w:sz w:val="24"/>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semiHidden/>
    <w:qFormat/>
    <w:uiPriority w:val="0"/>
    <w:pPr>
      <w:shd w:val="clear" w:color="auto" w:fill="000080"/>
    </w:pPr>
  </w:style>
  <w:style w:type="paragraph" w:styleId="16">
    <w:name w:val="annotation text"/>
    <w:basedOn w:val="1"/>
    <w:link w:val="206"/>
    <w:qFormat/>
    <w:uiPriority w:val="0"/>
    <w:pPr>
      <w:jc w:val="left"/>
    </w:pPr>
  </w:style>
  <w:style w:type="paragraph" w:styleId="17">
    <w:name w:val="Body Text"/>
    <w:basedOn w:val="1"/>
    <w:next w:val="18"/>
    <w:unhideWhenUsed/>
    <w:qFormat/>
    <w:uiPriority w:val="99"/>
    <w:pPr>
      <w:spacing w:after="120"/>
    </w:pPr>
    <w:rPr>
      <w:rFonts w:ascii="Calibri" w:hAnsi="Calibri"/>
    </w:rPr>
  </w:style>
  <w:style w:type="paragraph" w:styleId="18">
    <w:name w:val="toc 2"/>
    <w:basedOn w:val="1"/>
    <w:next w:val="1"/>
    <w:qFormat/>
    <w:uiPriority w:val="39"/>
    <w:pPr>
      <w:spacing w:line="360" w:lineRule="auto"/>
      <w:ind w:left="200"/>
    </w:pPr>
    <w:rPr>
      <w:szCs w:val="22"/>
    </w:rPr>
  </w:style>
  <w:style w:type="paragraph" w:styleId="19">
    <w:name w:val="Body Text Indent"/>
    <w:basedOn w:val="1"/>
    <w:next w:val="20"/>
    <w:qFormat/>
    <w:uiPriority w:val="0"/>
    <w:pPr>
      <w:spacing w:line="520" w:lineRule="exact"/>
      <w:ind w:left="570"/>
    </w:pPr>
    <w:rPr>
      <w:rFonts w:ascii="方正仿宋简体" w:hAnsi="创艺简仿宋" w:eastAsia="方正仿宋简体"/>
      <w:sz w:val="24"/>
    </w:rPr>
  </w:style>
  <w:style w:type="paragraph" w:styleId="20">
    <w:name w:val="envelope return"/>
    <w:basedOn w:val="1"/>
    <w:qFormat/>
    <w:uiPriority w:val="0"/>
    <w:rPr>
      <w:sz w:val="26"/>
    </w:rPr>
  </w:style>
  <w:style w:type="paragraph" w:styleId="21">
    <w:name w:val="toc 5"/>
    <w:basedOn w:val="1"/>
    <w:next w:val="1"/>
    <w:unhideWhenUsed/>
    <w:qFormat/>
    <w:uiPriority w:val="39"/>
    <w:pPr>
      <w:spacing w:after="57"/>
      <w:ind w:left="1134" w:right="0" w:firstLine="0"/>
    </w:pPr>
  </w:style>
  <w:style w:type="paragraph" w:styleId="22">
    <w:name w:val="toc 3"/>
    <w:basedOn w:val="1"/>
    <w:next w:val="1"/>
    <w:unhideWhenUsed/>
    <w:qFormat/>
    <w:uiPriority w:val="39"/>
    <w:pPr>
      <w:spacing w:after="57"/>
      <w:ind w:left="567" w:right="0" w:firstLine="0"/>
    </w:pPr>
  </w:style>
  <w:style w:type="paragraph" w:styleId="23">
    <w:name w:val="Plain Text"/>
    <w:basedOn w:val="1"/>
    <w:link w:val="207"/>
    <w:qFormat/>
    <w:uiPriority w:val="0"/>
    <w:rPr>
      <w:rFonts w:ascii="宋体" w:hAnsi="Courier New"/>
      <w:szCs w:val="21"/>
    </w:rPr>
  </w:style>
  <w:style w:type="paragraph" w:styleId="24">
    <w:name w:val="toc 8"/>
    <w:basedOn w:val="1"/>
    <w:next w:val="1"/>
    <w:unhideWhenUsed/>
    <w:qFormat/>
    <w:uiPriority w:val="39"/>
    <w:pPr>
      <w:spacing w:after="57"/>
      <w:ind w:left="1984" w:right="0" w:firstLine="0"/>
    </w:pPr>
  </w:style>
  <w:style w:type="paragraph" w:styleId="25">
    <w:name w:val="Date"/>
    <w:basedOn w:val="1"/>
    <w:next w:val="1"/>
    <w:qFormat/>
    <w:uiPriority w:val="0"/>
    <w:pPr>
      <w:widowControl/>
      <w:spacing w:before="100" w:beforeAutospacing="1" w:after="100" w:afterAutospacing="1"/>
      <w:jc w:val="left"/>
    </w:pPr>
    <w:rPr>
      <w:rFonts w:ascii="宋体" w:hAnsi="宋体"/>
      <w:sz w:val="24"/>
    </w:rPr>
  </w:style>
  <w:style w:type="paragraph" w:styleId="26">
    <w:name w:val="Body Text Indent 2"/>
    <w:basedOn w:val="1"/>
    <w:qFormat/>
    <w:uiPriority w:val="0"/>
    <w:pPr>
      <w:widowControl/>
      <w:spacing w:before="100" w:beforeAutospacing="1" w:after="100" w:afterAutospacing="1"/>
      <w:jc w:val="left"/>
    </w:pPr>
    <w:rPr>
      <w:rFonts w:ascii="宋体" w:hAnsi="宋体"/>
      <w:sz w:val="24"/>
    </w:rPr>
  </w:style>
  <w:style w:type="paragraph" w:styleId="27">
    <w:name w:val="endnote text"/>
    <w:basedOn w:val="1"/>
    <w:link w:val="200"/>
    <w:semiHidden/>
    <w:unhideWhenUsed/>
    <w:qFormat/>
    <w:uiPriority w:val="99"/>
    <w:pPr>
      <w:spacing w:after="0" w:line="240" w:lineRule="auto"/>
    </w:pPr>
    <w:rPr>
      <w:sz w:val="20"/>
    </w:rPr>
  </w:style>
  <w:style w:type="paragraph" w:styleId="28">
    <w:name w:val="Balloon Text"/>
    <w:basedOn w:val="1"/>
    <w:qFormat/>
    <w:uiPriority w:val="0"/>
    <w:rPr>
      <w:sz w:val="18"/>
      <w:szCs w:val="18"/>
    </w:rPr>
  </w:style>
  <w:style w:type="paragraph" w:styleId="29">
    <w:name w:val="footer"/>
    <w:basedOn w:val="1"/>
    <w:link w:val="208"/>
    <w:qFormat/>
    <w:uiPriority w:val="99"/>
    <w:pPr>
      <w:tabs>
        <w:tab w:val="center" w:pos="4153"/>
        <w:tab w:val="right" w:pos="8306"/>
      </w:tabs>
      <w:jc w:val="left"/>
    </w:pPr>
    <w:rPr>
      <w:sz w:val="18"/>
      <w:szCs w:val="18"/>
    </w:rPr>
  </w:style>
  <w:style w:type="paragraph" w:styleId="30">
    <w:name w:val="header"/>
    <w:basedOn w:val="1"/>
    <w:link w:val="209"/>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unhideWhenUsed/>
    <w:qFormat/>
    <w:uiPriority w:val="39"/>
    <w:pPr>
      <w:spacing w:after="57"/>
      <w:ind w:left="0" w:right="0" w:firstLine="0"/>
    </w:pPr>
  </w:style>
  <w:style w:type="paragraph" w:styleId="32">
    <w:name w:val="toc 4"/>
    <w:basedOn w:val="1"/>
    <w:next w:val="1"/>
    <w:unhideWhenUsed/>
    <w:qFormat/>
    <w:uiPriority w:val="39"/>
    <w:pPr>
      <w:spacing w:after="57"/>
      <w:ind w:left="850" w:right="0" w:firstLine="0"/>
    </w:pPr>
  </w:style>
  <w:style w:type="paragraph" w:styleId="33">
    <w:name w:val="Subtitle"/>
    <w:basedOn w:val="1"/>
    <w:next w:val="1"/>
    <w:link w:val="66"/>
    <w:qFormat/>
    <w:uiPriority w:val="11"/>
    <w:pPr>
      <w:spacing w:before="200" w:after="200"/>
    </w:pPr>
    <w:rPr>
      <w:sz w:val="24"/>
      <w:szCs w:val="24"/>
    </w:rPr>
  </w:style>
  <w:style w:type="paragraph" w:styleId="34">
    <w:name w:val="footnote text"/>
    <w:basedOn w:val="1"/>
    <w:link w:val="199"/>
    <w:semiHidden/>
    <w:unhideWhenUsed/>
    <w:qFormat/>
    <w:uiPriority w:val="99"/>
    <w:pPr>
      <w:spacing w:after="40" w:line="240" w:lineRule="auto"/>
    </w:pPr>
    <w:rPr>
      <w:sz w:val="18"/>
    </w:rPr>
  </w:style>
  <w:style w:type="paragraph" w:styleId="35">
    <w:name w:val="toc 6"/>
    <w:basedOn w:val="1"/>
    <w:next w:val="1"/>
    <w:unhideWhenUsed/>
    <w:qFormat/>
    <w:uiPriority w:val="39"/>
    <w:pPr>
      <w:spacing w:after="57"/>
      <w:ind w:left="1417" w:right="0" w:firstLine="0"/>
    </w:pPr>
  </w:style>
  <w:style w:type="paragraph" w:styleId="36">
    <w:name w:val="Body Text Indent 3"/>
    <w:basedOn w:val="1"/>
    <w:qFormat/>
    <w:uiPriority w:val="0"/>
    <w:pPr>
      <w:spacing w:line="440" w:lineRule="atLeast"/>
      <w:ind w:firstLine="480"/>
      <w:jc w:val="left"/>
    </w:pPr>
    <w:rPr>
      <w:sz w:val="24"/>
    </w:rPr>
  </w:style>
  <w:style w:type="paragraph" w:styleId="37">
    <w:name w:val="table of figures"/>
    <w:basedOn w:val="1"/>
    <w:next w:val="1"/>
    <w:unhideWhenUsed/>
    <w:qFormat/>
    <w:uiPriority w:val="99"/>
    <w:pPr>
      <w:spacing w:after="0" w:afterAutospacing="0"/>
    </w:pPr>
  </w:style>
  <w:style w:type="paragraph" w:styleId="38">
    <w:name w:val="toc 9"/>
    <w:basedOn w:val="1"/>
    <w:next w:val="1"/>
    <w:unhideWhenUsed/>
    <w:qFormat/>
    <w:uiPriority w:val="39"/>
    <w:pPr>
      <w:spacing w:after="57"/>
      <w:ind w:left="2268" w:right="0" w:firstLine="0"/>
    </w:pPr>
  </w:style>
  <w:style w:type="paragraph" w:styleId="39">
    <w:name w:val="Normal (Web)"/>
    <w:basedOn w:val="1"/>
    <w:qFormat/>
    <w:uiPriority w:val="0"/>
    <w:pPr>
      <w:widowControl/>
      <w:spacing w:before="100" w:beforeAutospacing="1" w:after="100" w:afterAutospacing="1"/>
      <w:jc w:val="left"/>
    </w:pPr>
    <w:rPr>
      <w:rFonts w:ascii="宋体" w:hAnsi="宋体" w:cs="宋体"/>
      <w:sz w:val="24"/>
    </w:rPr>
  </w:style>
  <w:style w:type="paragraph" w:styleId="40">
    <w:name w:val="Title"/>
    <w:qFormat/>
    <w:uiPriority w:val="0"/>
    <w:pPr>
      <w:widowControl w:val="0"/>
      <w:spacing w:before="120" w:after="120" w:line="360" w:lineRule="auto"/>
      <w:jc w:val="center"/>
      <w:outlineLvl w:val="0"/>
    </w:pPr>
    <w:rPr>
      <w:rFonts w:hint="default" w:ascii="黑体" w:hAnsi="Arial" w:eastAsia="黑体" w:cs="Arial"/>
      <w:b/>
      <w:bCs/>
      <w:sz w:val="32"/>
      <w:szCs w:val="32"/>
      <w:lang w:val="en-US" w:eastAsia="zh-CN" w:bidi="ar-SA"/>
    </w:rPr>
  </w:style>
  <w:style w:type="paragraph" w:styleId="41">
    <w:name w:val="annotation subject"/>
    <w:basedOn w:val="16"/>
    <w:next w:val="16"/>
    <w:link w:val="210"/>
    <w:qFormat/>
    <w:uiPriority w:val="0"/>
    <w:rPr>
      <w:b/>
      <w:bCs/>
    </w:rPr>
  </w:style>
  <w:style w:type="paragraph" w:styleId="42">
    <w:name w:val="Body Text First Indent"/>
    <w:qFormat/>
    <w:uiPriority w:val="0"/>
    <w:pPr>
      <w:widowControl w:val="0"/>
      <w:spacing w:after="120"/>
      <w:ind w:firstLine="420"/>
      <w:jc w:val="both"/>
    </w:pPr>
    <w:rPr>
      <w:rFonts w:hint="default" w:ascii="宋体" w:hAnsi="Times New Roman" w:eastAsia="宋体" w:cs="Times New Roman"/>
      <w:sz w:val="21"/>
      <w:szCs w:val="24"/>
      <w:lang w:val="en-US" w:eastAsia="zh-CN" w:bidi="ar-SA"/>
    </w:rPr>
  </w:style>
  <w:style w:type="table" w:styleId="44">
    <w:name w:val="Table Grid"/>
    <w:basedOn w:val="43"/>
    <w:qFormat/>
    <w:uiPriority w:val="59"/>
    <w:rPr>
      <w:rFonts w:ascii="Calibri" w:hAnsi="Calibri" w:eastAsia="Times New Roman"/>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6">
    <w:name w:val="Strong"/>
    <w:qFormat/>
    <w:uiPriority w:val="0"/>
    <w:rPr>
      <w:b/>
      <w:bCs/>
    </w:rPr>
  </w:style>
  <w:style w:type="character" w:styleId="47">
    <w:name w:val="endnote reference"/>
    <w:basedOn w:val="45"/>
    <w:semiHidden/>
    <w:unhideWhenUsed/>
    <w:qFormat/>
    <w:uiPriority w:val="99"/>
    <w:rPr>
      <w:vertAlign w:val="superscript"/>
    </w:rPr>
  </w:style>
  <w:style w:type="character" w:styleId="48">
    <w:name w:val="page number"/>
    <w:basedOn w:val="45"/>
    <w:qFormat/>
    <w:uiPriority w:val="0"/>
  </w:style>
  <w:style w:type="character" w:styleId="49">
    <w:name w:val="Emphasis"/>
    <w:qFormat/>
    <w:uiPriority w:val="0"/>
    <w:rPr>
      <w:color w:val="CC0000"/>
    </w:rPr>
  </w:style>
  <w:style w:type="character" w:styleId="50">
    <w:name w:val="Hyperlink"/>
    <w:qFormat/>
    <w:uiPriority w:val="0"/>
    <w:rPr>
      <w:color w:val="0000FF"/>
      <w:u w:val="single"/>
    </w:rPr>
  </w:style>
  <w:style w:type="character" w:styleId="51">
    <w:name w:val="annotation reference"/>
    <w:qFormat/>
    <w:uiPriority w:val="0"/>
    <w:rPr>
      <w:sz w:val="21"/>
      <w:szCs w:val="21"/>
    </w:rPr>
  </w:style>
  <w:style w:type="character" w:styleId="52">
    <w:name w:val="footnote reference"/>
    <w:basedOn w:val="45"/>
    <w:unhideWhenUsed/>
    <w:qFormat/>
    <w:uiPriority w:val="99"/>
    <w:rPr>
      <w:vertAlign w:val="superscript"/>
    </w:rPr>
  </w:style>
  <w:style w:type="paragraph" w:customStyle="1" w:styleId="53">
    <w:name w:val="段"/>
    <w:next w:val="1"/>
    <w:qFormat/>
    <w:uiPriority w:val="0"/>
    <w:pPr>
      <w:ind w:firstLine="200"/>
      <w:jc w:val="both"/>
    </w:pPr>
    <w:rPr>
      <w:rFonts w:hint="default" w:ascii="宋体" w:hAnsi="Calibri" w:eastAsia="宋体" w:cs="Times New Roman"/>
      <w:sz w:val="21"/>
      <w:szCs w:val="22"/>
      <w:lang w:val="en-US" w:eastAsia="zh-CN" w:bidi="ar-SA"/>
    </w:rPr>
  </w:style>
  <w:style w:type="paragraph" w:customStyle="1" w:styleId="54">
    <w:name w:val="样式  + 首行缩进:  2 字符"/>
    <w:basedOn w:val="1"/>
    <w:qFormat/>
    <w:uiPriority w:val="0"/>
    <w:pPr>
      <w:spacing w:line="360" w:lineRule="auto"/>
      <w:ind w:firstLine="524"/>
    </w:pPr>
    <w:rPr>
      <w:rFonts w:ascii="宋体" w:hAnsi="宋体"/>
      <w:spacing w:val="11"/>
      <w:sz w:val="24"/>
    </w:rPr>
  </w:style>
  <w:style w:type="character" w:customStyle="1" w:styleId="55">
    <w:name w:val="Heading 1 Char"/>
    <w:basedOn w:val="45"/>
    <w:qFormat/>
    <w:uiPriority w:val="9"/>
    <w:rPr>
      <w:rFonts w:ascii="Arial" w:hAnsi="Arial" w:eastAsia="Arial" w:cs="Arial"/>
      <w:sz w:val="40"/>
      <w:szCs w:val="40"/>
    </w:rPr>
  </w:style>
  <w:style w:type="character" w:customStyle="1" w:styleId="56">
    <w:name w:val="Heading 2 Char"/>
    <w:basedOn w:val="45"/>
    <w:qFormat/>
    <w:uiPriority w:val="9"/>
    <w:rPr>
      <w:rFonts w:ascii="Arial" w:hAnsi="Arial" w:eastAsia="Arial" w:cs="Arial"/>
      <w:sz w:val="34"/>
    </w:rPr>
  </w:style>
  <w:style w:type="character" w:customStyle="1" w:styleId="57">
    <w:name w:val="Heading 3 Char"/>
    <w:basedOn w:val="45"/>
    <w:qFormat/>
    <w:uiPriority w:val="9"/>
    <w:rPr>
      <w:rFonts w:ascii="Arial" w:hAnsi="Arial" w:eastAsia="Arial" w:cs="Arial"/>
      <w:sz w:val="30"/>
      <w:szCs w:val="30"/>
    </w:rPr>
  </w:style>
  <w:style w:type="character" w:customStyle="1" w:styleId="58">
    <w:name w:val="Heading 4 Char"/>
    <w:basedOn w:val="45"/>
    <w:qFormat/>
    <w:uiPriority w:val="9"/>
    <w:rPr>
      <w:rFonts w:ascii="Arial" w:hAnsi="Arial" w:eastAsia="Arial" w:cs="Arial"/>
      <w:b/>
      <w:bCs/>
      <w:sz w:val="26"/>
      <w:szCs w:val="26"/>
    </w:rPr>
  </w:style>
  <w:style w:type="character" w:customStyle="1" w:styleId="59">
    <w:name w:val="Heading 5 Char"/>
    <w:basedOn w:val="45"/>
    <w:link w:val="6"/>
    <w:qFormat/>
    <w:uiPriority w:val="9"/>
    <w:rPr>
      <w:rFonts w:ascii="Arial" w:hAnsi="Arial" w:eastAsia="Arial" w:cs="Arial"/>
      <w:b/>
      <w:bCs/>
      <w:sz w:val="24"/>
      <w:szCs w:val="24"/>
    </w:rPr>
  </w:style>
  <w:style w:type="character" w:customStyle="1" w:styleId="60">
    <w:name w:val="Heading 6 Char"/>
    <w:basedOn w:val="45"/>
    <w:link w:val="7"/>
    <w:qFormat/>
    <w:uiPriority w:val="9"/>
    <w:rPr>
      <w:rFonts w:ascii="Arial" w:hAnsi="Arial" w:eastAsia="Arial" w:cs="Arial"/>
      <w:b/>
      <w:bCs/>
      <w:sz w:val="22"/>
      <w:szCs w:val="22"/>
    </w:rPr>
  </w:style>
  <w:style w:type="character" w:customStyle="1" w:styleId="61">
    <w:name w:val="Heading 7 Char"/>
    <w:basedOn w:val="45"/>
    <w:link w:val="8"/>
    <w:qFormat/>
    <w:uiPriority w:val="9"/>
    <w:rPr>
      <w:rFonts w:ascii="Arial" w:hAnsi="Arial" w:eastAsia="Arial" w:cs="Arial"/>
      <w:b/>
      <w:bCs/>
      <w:i/>
      <w:iCs/>
      <w:sz w:val="22"/>
      <w:szCs w:val="22"/>
    </w:rPr>
  </w:style>
  <w:style w:type="character" w:customStyle="1" w:styleId="62">
    <w:name w:val="Heading 8 Char"/>
    <w:basedOn w:val="45"/>
    <w:link w:val="9"/>
    <w:qFormat/>
    <w:uiPriority w:val="9"/>
    <w:rPr>
      <w:rFonts w:ascii="Arial" w:hAnsi="Arial" w:eastAsia="Arial" w:cs="Arial"/>
      <w:i/>
      <w:iCs/>
      <w:sz w:val="22"/>
      <w:szCs w:val="22"/>
    </w:rPr>
  </w:style>
  <w:style w:type="character" w:customStyle="1" w:styleId="63">
    <w:name w:val="Heading 9 Char"/>
    <w:basedOn w:val="45"/>
    <w:link w:val="10"/>
    <w:qFormat/>
    <w:uiPriority w:val="9"/>
    <w:rPr>
      <w:rFonts w:ascii="Arial" w:hAnsi="Arial" w:eastAsia="Arial" w:cs="Arial"/>
      <w:i/>
      <w:iCs/>
      <w:sz w:val="21"/>
      <w:szCs w:val="21"/>
    </w:rPr>
  </w:style>
  <w:style w:type="paragraph" w:styleId="64">
    <w:name w:val="No Spacing"/>
    <w:qFormat/>
    <w:uiPriority w:val="1"/>
    <w:pPr>
      <w:spacing w:before="0" w:after="0" w:line="240" w:lineRule="auto"/>
    </w:pPr>
    <w:rPr>
      <w:rFonts w:hint="default" w:ascii="Times New Roman" w:hAnsi="Times New Roman" w:eastAsia="宋体" w:cs="Times New Roman"/>
    </w:rPr>
  </w:style>
  <w:style w:type="character" w:customStyle="1" w:styleId="65">
    <w:name w:val="Title Char"/>
    <w:basedOn w:val="45"/>
    <w:qFormat/>
    <w:uiPriority w:val="10"/>
    <w:rPr>
      <w:sz w:val="48"/>
      <w:szCs w:val="48"/>
    </w:rPr>
  </w:style>
  <w:style w:type="character" w:customStyle="1" w:styleId="66">
    <w:name w:val="Subtitle Char"/>
    <w:basedOn w:val="45"/>
    <w:link w:val="33"/>
    <w:qFormat/>
    <w:uiPriority w:val="11"/>
    <w:rPr>
      <w:sz w:val="24"/>
      <w:szCs w:val="24"/>
    </w:rPr>
  </w:style>
  <w:style w:type="paragraph" w:styleId="67">
    <w:name w:val="Quote"/>
    <w:basedOn w:val="1"/>
    <w:next w:val="1"/>
    <w:link w:val="68"/>
    <w:qFormat/>
    <w:uiPriority w:val="29"/>
    <w:pPr>
      <w:ind w:left="720" w:right="720"/>
    </w:pPr>
    <w:rPr>
      <w:i/>
    </w:rPr>
  </w:style>
  <w:style w:type="character" w:customStyle="1" w:styleId="68">
    <w:name w:val="Quote Char"/>
    <w:link w:val="67"/>
    <w:qFormat/>
    <w:uiPriority w:val="29"/>
    <w:rPr>
      <w:i/>
    </w:rPr>
  </w:style>
  <w:style w:type="paragraph" w:styleId="69">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qFormat/>
    <w:uiPriority w:val="30"/>
    <w:rPr>
      <w:i/>
    </w:rPr>
  </w:style>
  <w:style w:type="character" w:customStyle="1" w:styleId="71">
    <w:name w:val="Header Char"/>
    <w:basedOn w:val="45"/>
    <w:qFormat/>
    <w:uiPriority w:val="99"/>
  </w:style>
  <w:style w:type="character" w:customStyle="1" w:styleId="72">
    <w:name w:val="Footer Char"/>
    <w:basedOn w:val="45"/>
    <w:qFormat/>
    <w:uiPriority w:val="99"/>
  </w:style>
  <w:style w:type="character" w:customStyle="1" w:styleId="73">
    <w:name w:val="Caption Char"/>
    <w:qFormat/>
    <w:uiPriority w:val="99"/>
  </w:style>
  <w:style w:type="table" w:customStyle="1" w:styleId="74">
    <w:name w:val="Table Grid Light"/>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basedOn w:val="4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basedOn w:val="4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basedOn w:val="4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basedOn w:val="4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basedOn w:val="4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basedOn w:val="4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basedOn w:val="4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basedOn w:val="4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basedOn w:val="4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basedOn w:val="4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basedOn w:val="4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basedOn w:val="4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basedOn w:val="4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basedOn w:val="4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basedOn w:val="4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basedOn w:val="4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basedOn w:val="4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basedOn w:val="4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basedOn w:val="4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basedOn w:val="4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basedOn w:val="4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basedOn w:val="4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basedOn w:val="4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basedOn w:val="4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basedOn w:val="4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basedOn w:val="4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basedOn w:val="4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basedOn w:val="4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basedOn w:val="4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basedOn w:val="4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basedOn w:val="4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basedOn w:val="4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basedOn w:val="4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basedOn w:val="4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basedOn w:val="4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basedOn w:val="4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basedOn w:val="4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basedOn w:val="4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basedOn w:val="4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basedOn w:val="4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
    <w:basedOn w:val="4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basedOn w:val="4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basedOn w:val="4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basedOn w:val="4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basedOn w:val="4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basedOn w:val="4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basedOn w:val="4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
    <w:basedOn w:val="4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basedOn w:val="4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basedOn w:val="4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basedOn w:val="4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basedOn w:val="4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basedOn w:val="4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basedOn w:val="4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basedOn w:val="4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basedOn w:val="4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basedOn w:val="4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basedOn w:val="4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basedOn w:val="4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basedOn w:val="4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basedOn w:val="4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basedOn w:val="4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basedOn w:val="4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basedOn w:val="4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basedOn w:val="4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basedOn w:val="4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basedOn w:val="4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basedOn w:val="4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basedOn w:val="4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basedOn w:val="4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basedOn w:val="4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basedOn w:val="4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basedOn w:val="4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basedOn w:val="4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basedOn w:val="4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basedOn w:val="4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basedOn w:val="4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basedOn w:val="4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basedOn w:val="4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basedOn w:val="4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basedOn w:val="4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basedOn w:val="4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basedOn w:val="4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basedOn w:val="4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basedOn w:val="4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basedOn w:val="4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basedOn w:val="4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basedOn w:val="4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
    <w:basedOn w:val="4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basedOn w:val="4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basedOn w:val="4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basedOn w:val="4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basedOn w:val="4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basedOn w:val="4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basedOn w:val="4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basedOn w:val="4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basedOn w:val="4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basedOn w:val="4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basedOn w:val="4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basedOn w:val="4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basedOn w:val="4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basedOn w:val="4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basedOn w:val="4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basedOn w:val="4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basedOn w:val="4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basedOn w:val="4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basedOn w:val="4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basedOn w:val="4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basedOn w:val="4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basedOn w:val="4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basedOn w:val="4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basedOn w:val="4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basedOn w:val="4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basedOn w:val="4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basedOn w:val="4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basedOn w:val="4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34"/>
    <w:qFormat/>
    <w:uiPriority w:val="99"/>
    <w:rPr>
      <w:sz w:val="18"/>
    </w:rPr>
  </w:style>
  <w:style w:type="character" w:customStyle="1" w:styleId="200">
    <w:name w:val="Endnote Text Char"/>
    <w:link w:val="27"/>
    <w:qFormat/>
    <w:uiPriority w:val="99"/>
    <w:rPr>
      <w:sz w:val="20"/>
    </w:rPr>
  </w:style>
  <w:style w:type="paragraph" w:customStyle="1" w:styleId="201">
    <w:name w:val="TOC Heading"/>
    <w:unhideWhenUsed/>
    <w:qFormat/>
    <w:uiPriority w:val="39"/>
    <w:rPr>
      <w:rFonts w:hint="default" w:ascii="Times New Roman" w:hAnsi="Times New Roman" w:eastAsia="宋体" w:cs="Times New Roman"/>
    </w:rPr>
  </w:style>
  <w:style w:type="paragraph" w:customStyle="1" w:styleId="202">
    <w:name w:val="正文文本11"/>
    <w:basedOn w:val="1"/>
    <w:qFormat/>
    <w:uiPriority w:val="0"/>
    <w:pPr>
      <w:spacing w:after="120"/>
    </w:pPr>
  </w:style>
  <w:style w:type="character" w:customStyle="1" w:styleId="203">
    <w:name w:val="标题 3 Char"/>
    <w:link w:val="4"/>
    <w:qFormat/>
    <w:uiPriority w:val="0"/>
    <w:rPr>
      <w:rFonts w:eastAsia="楷体_GB2312"/>
      <w:b/>
      <w:sz w:val="28"/>
    </w:rPr>
  </w:style>
  <w:style w:type="character" w:customStyle="1" w:styleId="204">
    <w:name w:val="标题 4 Char"/>
    <w:link w:val="5"/>
    <w:semiHidden/>
    <w:qFormat/>
    <w:uiPriority w:val="0"/>
    <w:rPr>
      <w:rFonts w:ascii="Cambria" w:hAnsi="Cambria" w:eastAsia="宋体" w:cs="Times New Roman"/>
      <w:b/>
      <w:bCs/>
      <w:sz w:val="28"/>
      <w:szCs w:val="28"/>
    </w:rPr>
  </w:style>
  <w:style w:type="character" w:customStyle="1" w:styleId="205">
    <w:name w:val="正文缩进 Char"/>
    <w:link w:val="13"/>
    <w:qFormat/>
    <w:uiPriority w:val="0"/>
    <w:rPr>
      <w:rFonts w:eastAsia="楷体_GB2312"/>
      <w:sz w:val="24"/>
      <w:lang w:val="en-US" w:eastAsia="zh-CN" w:bidi="ar-SA"/>
    </w:rPr>
  </w:style>
  <w:style w:type="character" w:customStyle="1" w:styleId="206">
    <w:name w:val="批注文字 Char"/>
    <w:link w:val="16"/>
    <w:qFormat/>
    <w:uiPriority w:val="0"/>
    <w:rPr>
      <w:sz w:val="21"/>
      <w:szCs w:val="24"/>
    </w:rPr>
  </w:style>
  <w:style w:type="character" w:customStyle="1" w:styleId="207">
    <w:name w:val="纯文本 Char1"/>
    <w:link w:val="23"/>
    <w:qFormat/>
    <w:uiPriority w:val="0"/>
    <w:rPr>
      <w:rFonts w:ascii="宋体" w:hAnsi="Courier New" w:cs="Courier New"/>
      <w:sz w:val="21"/>
      <w:szCs w:val="21"/>
    </w:rPr>
  </w:style>
  <w:style w:type="character" w:customStyle="1" w:styleId="208">
    <w:name w:val="页脚 Char"/>
    <w:link w:val="29"/>
    <w:qFormat/>
    <w:uiPriority w:val="99"/>
    <w:rPr>
      <w:sz w:val="18"/>
      <w:szCs w:val="18"/>
    </w:rPr>
  </w:style>
  <w:style w:type="character" w:customStyle="1" w:styleId="209">
    <w:name w:val="页眉 Char"/>
    <w:link w:val="30"/>
    <w:qFormat/>
    <w:uiPriority w:val="99"/>
    <w:rPr>
      <w:sz w:val="18"/>
      <w:szCs w:val="18"/>
    </w:rPr>
  </w:style>
  <w:style w:type="character" w:customStyle="1" w:styleId="210">
    <w:name w:val="批注主题 Char"/>
    <w:link w:val="41"/>
    <w:qFormat/>
    <w:uiPriority w:val="0"/>
    <w:rPr>
      <w:b/>
      <w:bCs/>
      <w:sz w:val="21"/>
      <w:szCs w:val="24"/>
    </w:rPr>
  </w:style>
  <w:style w:type="character" w:customStyle="1" w:styleId="211">
    <w:name w:val="Plain Text Char Char"/>
    <w:link w:val="212"/>
    <w:qFormat/>
    <w:uiPriority w:val="0"/>
    <w:rPr>
      <w:rFonts w:ascii="宋体" w:hAnsi="Courier New" w:eastAsia="楷体_GB2312"/>
      <w:sz w:val="26"/>
    </w:rPr>
  </w:style>
  <w:style w:type="paragraph" w:customStyle="1" w:styleId="212">
    <w:name w:val="纯文本2"/>
    <w:basedOn w:val="1"/>
    <w:link w:val="211"/>
    <w:qFormat/>
    <w:uiPriority w:val="0"/>
    <w:pPr>
      <w:widowControl/>
      <w:jc w:val="left"/>
    </w:pPr>
    <w:rPr>
      <w:rFonts w:ascii="宋体" w:hAnsi="Courier New" w:eastAsia="楷体_GB2312"/>
      <w:sz w:val="26"/>
      <w:szCs w:val="20"/>
    </w:rPr>
  </w:style>
  <w:style w:type="character" w:customStyle="1" w:styleId="213">
    <w:name w:val="纯文本 Char"/>
    <w:qFormat/>
    <w:uiPriority w:val="0"/>
    <w:rPr>
      <w:rFonts w:ascii="宋体" w:hAnsi="Courier New" w:eastAsia="楷体_GB2312"/>
      <w:sz w:val="26"/>
    </w:rPr>
  </w:style>
  <w:style w:type="character" w:customStyle="1" w:styleId="214">
    <w:name w:val="正文1"/>
    <w:basedOn w:val="45"/>
    <w:qFormat/>
    <w:uiPriority w:val="0"/>
  </w:style>
  <w:style w:type="paragraph" w:customStyle="1" w:styleId="215">
    <w:name w:val="纯文本3"/>
    <w:basedOn w:val="1"/>
    <w:qFormat/>
    <w:uiPriority w:val="0"/>
    <w:rPr>
      <w:rFonts w:ascii="宋体" w:hAnsi="Courier New" w:eastAsia="楷体_GB2312"/>
      <w:sz w:val="26"/>
    </w:rPr>
  </w:style>
  <w:style w:type="paragraph" w:customStyle="1" w:styleId="216">
    <w:name w:val="列出段落1"/>
    <w:basedOn w:val="1"/>
    <w:qFormat/>
    <w:uiPriority w:val="0"/>
    <w:pPr>
      <w:ind w:firstLine="420"/>
    </w:pPr>
    <w:rPr>
      <w:rFonts w:ascii="Calibri" w:hAnsi="Calibri" w:eastAsia="楷体_GB2312"/>
      <w:sz w:val="28"/>
      <w:szCs w:val="22"/>
    </w:rPr>
  </w:style>
  <w:style w:type="paragraph" w:customStyle="1" w:styleId="217">
    <w:name w:val="Char Char Char1 Char Char Char Char"/>
    <w:basedOn w:val="1"/>
    <w:qFormat/>
    <w:uiPriority w:val="0"/>
    <w:pPr>
      <w:widowControl/>
      <w:spacing w:after="160" w:line="240" w:lineRule="exact"/>
      <w:jc w:val="left"/>
    </w:pPr>
    <w:rPr>
      <w:sz w:val="24"/>
    </w:rPr>
  </w:style>
  <w:style w:type="paragraph" w:customStyle="1" w:styleId="218">
    <w:name w:val="纯文本1"/>
    <w:basedOn w:val="1"/>
    <w:qFormat/>
    <w:uiPriority w:val="0"/>
    <w:rPr>
      <w:rFonts w:ascii="宋体" w:hAnsi="Courier New" w:eastAsia="楷体_GB2312"/>
      <w:sz w:val="26"/>
      <w:szCs w:val="20"/>
    </w:rPr>
  </w:style>
  <w:style w:type="paragraph" w:customStyle="1" w:styleId="219">
    <w:name w:val="默认段落字体 Para Char Char Char Char Char Char Char Char Char1 Char Char Char Char"/>
    <w:basedOn w:val="1"/>
    <w:qFormat/>
    <w:uiPriority w:val="0"/>
    <w:rPr>
      <w:szCs w:val="20"/>
    </w:rPr>
  </w:style>
  <w:style w:type="paragraph" w:customStyle="1" w:styleId="220">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21">
    <w:name w:val="首行缩进"/>
    <w:basedOn w:val="1"/>
    <w:qFormat/>
    <w:uiPriority w:val="0"/>
    <w:pPr>
      <w:ind w:firstLine="480"/>
    </w:pPr>
    <w:rPr>
      <w:lang w:val="zh-CN"/>
    </w:rPr>
  </w:style>
  <w:style w:type="paragraph" w:customStyle="1" w:styleId="222">
    <w:name w:val="Default"/>
    <w:qFormat/>
    <w:uiPriority w:val="0"/>
    <w:pPr>
      <w:widowControl w:val="0"/>
    </w:pPr>
    <w:rPr>
      <w:rFonts w:hint="default" w:ascii="宋体_x0001_糭.飬.." w:hAnsi="Times New Roman" w:eastAsia="宋体_x0001_糭.飬.." w:cs="宋体_x0001_糭.飬.."/>
      <w:color w:val="000000"/>
      <w:sz w:val="24"/>
      <w:szCs w:val="24"/>
      <w:lang w:val="en-US" w:eastAsia="zh-CN" w:bidi="ar-SA"/>
    </w:rPr>
  </w:style>
  <w:style w:type="paragraph" w:styleId="223">
    <w:name w:val="List Paragraph"/>
    <w:basedOn w:val="1"/>
    <w:qFormat/>
    <w:uiPriority w:val="34"/>
    <w:pPr>
      <w:ind w:firstLine="420"/>
    </w:pPr>
  </w:style>
  <w:style w:type="paragraph" w:customStyle="1" w:styleId="224">
    <w:name w:val="纯文本4"/>
    <w:basedOn w:val="1"/>
    <w:qFormat/>
    <w:uiPriority w:val="0"/>
    <w:rPr>
      <w:rFonts w:ascii="宋体" w:hAnsi="Courier New" w:eastAsia="楷体_GB2312"/>
      <w:sz w:val="26"/>
      <w:szCs w:val="20"/>
    </w:rPr>
  </w:style>
  <w:style w:type="paragraph" w:customStyle="1" w:styleId="225">
    <w:name w:val="正文2"/>
    <w:basedOn w:val="1"/>
    <w:qFormat/>
    <w:uiPriority w:val="0"/>
    <w:pPr>
      <w:widowControl/>
      <w:spacing w:after="160" w:line="360" w:lineRule="auto"/>
      <w:ind w:firstLine="200"/>
      <w:jc w:val="left"/>
    </w:pPr>
    <w:rPr>
      <w:szCs w:val="20"/>
    </w:rPr>
  </w:style>
  <w:style w:type="paragraph" w:customStyle="1" w:styleId="226">
    <w:name w:val="正文_1_0_0"/>
    <w:qFormat/>
    <w:uiPriority w:val="99"/>
    <w:pPr>
      <w:widowControl w:val="0"/>
      <w:jc w:val="both"/>
    </w:pPr>
    <w:rPr>
      <w:rFonts w:hint="default" w:ascii="Times New Roman" w:hAnsi="Times New Roman" w:eastAsia="宋体" w:cs="Times New Roman"/>
      <w:sz w:val="21"/>
      <w:szCs w:val="22"/>
      <w:lang w:val="en-US" w:eastAsia="zh-CN" w:bidi="ar-SA"/>
    </w:rPr>
  </w:style>
  <w:style w:type="table" w:customStyle="1" w:styleId="227">
    <w:name w:val="网格型2"/>
    <w:basedOn w:val="43"/>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228">
    <w:name w:val="网格型1"/>
    <w:basedOn w:val="43"/>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229">
    <w:name w:val="修订1"/>
    <w:hidden/>
    <w:unhideWhenUsed/>
    <w:qFormat/>
    <w:uiPriority w:val="99"/>
    <w:rPr>
      <w:rFonts w:hint="default" w:ascii="Times New Roman" w:hAnsi="Times New Roman" w:eastAsia="宋体" w:cs="Times New Roman"/>
      <w:sz w:val="21"/>
      <w:szCs w:val="24"/>
      <w:lang w:val="en-US" w:eastAsia="zh-CN" w:bidi="ar-SA"/>
    </w:rPr>
  </w:style>
  <w:style w:type="paragraph" w:customStyle="1" w:styleId="230">
    <w:name w:val="修订2"/>
    <w:hidden/>
    <w:unhideWhenUsed/>
    <w:qFormat/>
    <w:uiPriority w:val="99"/>
    <w:rPr>
      <w:rFonts w:hint="default" w:ascii="Times New Roman" w:hAnsi="Times New Roman" w:eastAsia="宋体" w:cs="Times New Roman"/>
      <w:sz w:val="21"/>
      <w:szCs w:val="24"/>
      <w:lang w:val="en-US" w:eastAsia="zh-CN" w:bidi="ar-SA"/>
    </w:rPr>
  </w:style>
  <w:style w:type="paragraph" w:customStyle="1" w:styleId="231">
    <w:name w:val="Plain Text1"/>
    <w:basedOn w:val="1"/>
    <w:qFormat/>
    <w:uiPriority w:val="0"/>
    <w:rPr>
      <w:rFonts w:hint="eastAsia" w:ascii="宋体" w:hAnsi="Courier New"/>
    </w:rPr>
  </w:style>
  <w:style w:type="paragraph" w:customStyle="1" w:styleId="232">
    <w:name w:val="修订3"/>
    <w:hidden/>
    <w:unhideWhenUsed/>
    <w:qFormat/>
    <w:uiPriority w:val="99"/>
    <w:rPr>
      <w:rFonts w:hint="default" w:ascii="Times New Roman" w:hAnsi="Times New Roman" w:eastAsia="宋体" w:cs="Times New Roman"/>
      <w:sz w:val="21"/>
      <w:szCs w:val="24"/>
      <w:lang w:val="en-US" w:eastAsia="zh-CN" w:bidi="ar-SA"/>
    </w:rPr>
  </w:style>
  <w:style w:type="paragraph" w:customStyle="1" w:styleId="233">
    <w:name w:val="正文文本缩进 31"/>
    <w:basedOn w:val="1"/>
    <w:qFormat/>
    <w:uiPriority w:val="0"/>
    <w:pPr>
      <w:widowControl w:val="0"/>
      <w:spacing w:line="300" w:lineRule="auto"/>
      <w:ind w:firstLine="480"/>
    </w:p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49</Pages>
  <Words>25859</Words>
  <Characters>26977</Characters>
  <TotalTime>18</TotalTime>
  <ScaleCrop>false</ScaleCrop>
  <LinksUpToDate>false</LinksUpToDate>
  <CharactersWithSpaces>28159</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2024-07-30T14:59:00Z</dcterms:created>
  <dc:creator>zhuj</dc:creator>
  <cp:lastModifiedBy>ZC</cp:lastModifiedBy>
  <dcterms:modified xsi:type="dcterms:W3CDTF">2026-04-21T06:48:04Z</dcterms:modified>
  <dc:title>工程施工</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CC74FDE5BFF8465096A8823BF41B9CA9_13</vt:lpwstr>
  </property>
  <property fmtid="{D5CDD505-2E9C-101B-9397-08002B2CF9AE}" pid="4" name="KSOTemplateDocerSaveRecord">
    <vt:lpwstr>eyJoZGlkIjoiMGViNjYzZGE2YzcwMjA0MDEzZGIyOGNkYzRlNzIzM2IiLCJ1c2VySWQiOiIzMzUzNTg4MDgifQ==</vt:lpwstr>
  </property>
</Properties>
</file>