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lang w:val="en-US" w:eastAsia="zh-CN"/>
        </w:rPr>
        <w:t xml:space="preserve">赣榆区</w:t>
      </w:r>
      <w:r>
        <w:rPr>
          <w:rFonts w:hint="eastAsia" w:ascii="宋体" w:hAnsi="宋体" w:eastAsia="宋体" w:cs="宋体"/>
          <w:b/>
          <w:sz w:val="72"/>
          <w:szCs w:val="72"/>
        </w:rPr>
        <w:t xml:space="preserve">政府采购</w:t>
      </w:r>
      <w:r/>
    </w:p>
    <w:p>
      <w:pPr>
        <w:jc w:val="cente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招　标　文　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pStyle w:val="802"/>
        <w:rPr>
          <w:rFonts w:hint="eastAsia" w:ascii="宋体" w:hAnsi="宋体" w:eastAsia="宋体" w:cs="宋体"/>
        </w:rPr>
      </w:pPr>
      <w:r>
        <w:rPr>
          <w:rFonts w:hint="eastAsia" w:ascii="宋体" w:hAnsi="宋体" w:eastAsia="宋体" w:cs="宋体"/>
        </w:rPr>
      </w:r>
      <w:r/>
    </w:p>
    <w:p>
      <w:pPr>
        <w:ind w:firstLine="643"/>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val="en-US" w:eastAsia="zh-CN"/>
        </w:rPr>
        <w:t xml:space="preserve">项目名称</w:t>
      </w: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lang w:eastAsia="zh-CN"/>
        </w:rPr>
        <w:t xml:space="preserve">2026年度赣榆区孤独症残疾儿童基本康复服务项目</w:t>
      </w:r>
      <w:r/>
    </w:p>
    <w:p>
      <w:pPr>
        <w:jc w:val="center"/>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eastAsia="zh-CN"/>
        </w:rPr>
        <w:t xml:space="preserve">（非专门面向中小企业）</w:t>
      </w:r>
      <w:r/>
    </w:p>
    <w:p>
      <w:pPr>
        <w:ind w:firstLine="643"/>
        <w:spacing w:line="480" w:lineRule="auto"/>
        <w:rPr>
          <w:rFonts w:hint="default" w:ascii="宋体" w:hAnsi="宋体" w:eastAsia="宋体" w:cs="宋体"/>
          <w:b/>
          <w:bCs/>
          <w:color w:val="auto"/>
          <w:sz w:val="32"/>
          <w:szCs w:val="24"/>
          <w:lang w:val="en-US" w:eastAsia="zh-CN"/>
        </w:rPr>
      </w:pPr>
      <w:r>
        <w:rPr>
          <w:rFonts w:hint="eastAsia" w:ascii="宋体" w:hAnsi="宋体" w:eastAsia="宋体" w:cs="宋体"/>
          <w:b/>
          <w:bCs/>
          <w:color w:val="000000"/>
          <w:sz w:val="32"/>
          <w:szCs w:val="24"/>
          <w:lang w:val="en-US" w:eastAsia="zh-CN"/>
        </w:rPr>
        <w:t xml:space="preserve">项目编号</w:t>
      </w:r>
      <w:r>
        <w:rPr>
          <w:rFonts w:hint="eastAsia" w:ascii="宋体" w:hAnsi="宋体" w:eastAsia="宋体" w:cs="宋体"/>
          <w:b/>
          <w:bCs/>
          <w:color w:val="000000"/>
          <w:sz w:val="32"/>
          <w:szCs w:val="24"/>
        </w:rPr>
        <w:t xml:space="preserve">：</w:t>
      </w:r>
      <w:r>
        <w:rPr>
          <w:rFonts w:hint="eastAsia" w:ascii="宋体" w:hAnsi="宋体" w:eastAsia="宋体" w:cs="宋体"/>
          <w:b/>
          <w:bCs/>
          <w:color w:val="auto"/>
          <w:sz w:val="32"/>
          <w:szCs w:val="24"/>
          <w:lang w:eastAsia="zh-CN"/>
        </w:rPr>
        <w:t xml:space="preserve">JSZC-320707-DYZH-</w:t>
      </w:r>
      <w:r>
        <w:rPr>
          <w:rFonts w:hint="eastAsia" w:ascii="宋体" w:hAnsi="宋体" w:eastAsia="宋体" w:cs="宋体"/>
          <w:b/>
          <w:bCs/>
          <w:color w:val="auto"/>
          <w:sz w:val="32"/>
          <w:szCs w:val="24"/>
          <w:lang w:val="en-US" w:eastAsia="zh-CN"/>
        </w:rPr>
        <w:t xml:space="preserve">G</w:t>
      </w:r>
      <w:r>
        <w:rPr>
          <w:rFonts w:hint="eastAsia" w:ascii="宋体" w:hAnsi="宋体" w:eastAsia="宋体" w:cs="宋体"/>
          <w:b/>
          <w:bCs/>
          <w:color w:val="auto"/>
          <w:sz w:val="32"/>
          <w:szCs w:val="24"/>
          <w:lang w:eastAsia="zh-CN"/>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lang w:eastAsia="zh-CN"/>
        </w:rPr>
        <w:t xml:space="preserve">-00</w:t>
      </w:r>
      <w:r>
        <w:rPr>
          <w:rFonts w:hint="eastAsia" w:ascii="宋体" w:hAnsi="宋体" w:eastAsia="宋体" w:cs="宋体"/>
          <w:b/>
          <w:bCs/>
          <w:color w:val="auto"/>
          <w:sz w:val="32"/>
          <w:szCs w:val="24"/>
          <w:lang w:val="en-US" w:eastAsia="zh-CN"/>
        </w:rPr>
        <w:t xml:space="preserve">06</w:t>
      </w:r>
      <w:r/>
    </w:p>
    <w:p>
      <w:pPr>
        <w:ind w:firstLine="1325"/>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pStyle w:val="803"/>
        <w:ind w:firstLine="643"/>
        <w:rPr>
          <w:rFonts w:hint="eastAsia" w:ascii="宋体" w:hAnsi="宋体" w:eastAsia="宋体" w:cs="宋体"/>
          <w:b/>
          <w:bCs/>
          <w:color w:val="000000"/>
          <w:sz w:val="32"/>
        </w:rPr>
      </w:pPr>
      <w:r>
        <w:rPr>
          <w:rFonts w:hint="eastAsia" w:ascii="宋体" w:hAnsi="宋体" w:eastAsia="宋体" w:cs="宋体"/>
          <w:b/>
          <w:bCs/>
          <w:color w:val="000000"/>
          <w:sz w:val="32"/>
        </w:rPr>
        <w:t xml:space="preserve">采   购   人：</w:t>
      </w:r>
      <w:r>
        <w:rPr>
          <w:rFonts w:hint="eastAsia" w:ascii="宋体" w:hAnsi="宋体" w:eastAsia="宋体" w:cs="宋体"/>
          <w:b/>
          <w:bCs/>
          <w:sz w:val="32"/>
          <w:szCs w:val="32"/>
        </w:rPr>
        <w:t xml:space="preserve">连云港市赣榆区残疾人联合会</w:t>
      </w:r>
      <w:r/>
    </w:p>
    <w:p>
      <w:pPr>
        <w:pStyle w:val="803"/>
        <w:ind w:firstLine="643"/>
        <w:rPr>
          <w:rFonts w:hint="eastAsia" w:ascii="宋体" w:hAnsi="宋体" w:eastAsia="宋体" w:cs="宋体"/>
          <w:b/>
          <w:bCs/>
          <w:color w:val="000000"/>
          <w:sz w:val="32"/>
          <w:lang w:eastAsia="zh-CN"/>
        </w:rPr>
      </w:pPr>
      <w:r>
        <w:rPr>
          <w:rFonts w:hint="eastAsia" w:ascii="宋体" w:hAnsi="宋体" w:eastAsia="宋体" w:cs="宋体"/>
          <w:b/>
          <w:bCs/>
          <w:color w:val="000000"/>
          <w:sz w:val="32"/>
        </w:rPr>
        <w:t xml:space="preserve">采购代理机构：</w:t>
      </w:r>
      <w:r>
        <w:rPr>
          <w:rFonts w:hint="eastAsia" w:cs="宋体"/>
          <w:b/>
          <w:bCs/>
          <w:spacing w:val="20"/>
          <w:sz w:val="32"/>
          <w:lang w:eastAsia="zh-CN"/>
        </w:rPr>
        <w:t xml:space="preserve">江苏德益臻项目管理有限公司</w:t>
      </w:r>
      <w:r/>
    </w:p>
    <w:p>
      <w:pPr>
        <w:pStyle w:val="803"/>
        <w:ind w:firstLine="2570"/>
        <w:jc w:val="both"/>
        <w:rPr>
          <w:rFonts w:hint="eastAsia" w:ascii="宋体" w:hAnsi="宋体" w:eastAsia="宋体" w:cs="宋体"/>
          <w:b/>
          <w:bCs/>
          <w:color w:val="000000"/>
          <w:sz w:val="32"/>
        </w:rPr>
      </w:pPr>
      <w:r>
        <w:rPr>
          <w:rFonts w:hint="eastAsia" w:ascii="宋体" w:hAnsi="宋体" w:eastAsia="宋体" w:cs="宋体"/>
          <w:b/>
          <w:bCs/>
          <w:color w:val="000000"/>
          <w:sz w:val="32"/>
        </w:rPr>
      </w:r>
      <w:r/>
    </w:p>
    <w:p>
      <w:pPr>
        <w:pStyle w:val="803"/>
        <w:ind w:firstLine="4568"/>
        <w:jc w:val="both"/>
        <w:rPr>
          <w:rFonts w:hint="eastAsia" w:ascii="宋体" w:hAnsi="宋体" w:eastAsia="宋体" w:cs="宋体"/>
          <w:b/>
          <w:bCs/>
          <w:color w:val="000000"/>
          <w:sz w:val="32"/>
        </w:rPr>
      </w:pPr>
      <w:r>
        <w:rPr>
          <w:rFonts w:hint="eastAsia" w:ascii="宋体" w:hAnsi="宋体" w:eastAsia="宋体" w:cs="宋体"/>
          <w:b/>
          <w:bCs/>
          <w:color w:val="000000"/>
          <w:sz w:val="32"/>
        </w:rPr>
        <w:t xml:space="preserve">202</w:t>
      </w:r>
      <w:r>
        <w:rPr>
          <w:rFonts w:hint="eastAsia" w:cs="宋体"/>
          <w:b/>
          <w:bCs/>
          <w:color w:val="000000"/>
          <w:sz w:val="32"/>
          <w:lang w:val="en-US" w:eastAsia="zh-CN"/>
        </w:rPr>
        <w:t xml:space="preserve">6</w:t>
      </w:r>
      <w:r>
        <w:rPr>
          <w:rFonts w:hint="eastAsia" w:ascii="宋体" w:hAnsi="宋体" w:eastAsia="宋体" w:cs="宋体"/>
          <w:b/>
          <w:bCs/>
          <w:color w:val="000000"/>
          <w:sz w:val="32"/>
        </w:rPr>
        <w:t xml:space="preserve">年</w:t>
      </w:r>
      <w:r>
        <w:rPr>
          <w:rFonts w:hint="eastAsia" w:cs="宋体"/>
          <w:b/>
          <w:bCs/>
          <w:color w:val="000000"/>
          <w:sz w:val="32"/>
          <w:lang w:val="en-US" w:eastAsia="zh-CN"/>
        </w:rPr>
        <w:t xml:space="preserve">05</w:t>
      </w:r>
      <w:r>
        <w:rPr>
          <w:rFonts w:hint="eastAsia" w:ascii="宋体" w:hAnsi="宋体" w:eastAsia="宋体" w:cs="宋体"/>
          <w:b/>
          <w:bCs/>
          <w:color w:val="000000"/>
          <w:sz w:val="32"/>
        </w:rPr>
        <w:t xml:space="preserve">月</w:t>
      </w:r>
      <w:r/>
    </w:p>
    <w:p>
      <w:pPr>
        <w:jc w:val="center"/>
        <w:spacing w:before="120" w:after="120"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767"/>
        <w:jc w:val="center"/>
        <w:spacing w:before="156" w:after="156" w:line="360" w:lineRule="auto"/>
        <w:rPr>
          <w:rFonts w:hint="eastAsia" w:ascii="宋体" w:hAnsi="宋体" w:eastAsia="宋体" w:cs="宋体"/>
          <w:b w:val="0"/>
        </w:rPr>
        <w:sectPr>
          <w:footerReference w:type="default" r:id="rId9"/>
          <w:footnotePr/>
          <w:endnotePr/>
          <w:type w:val="nextPage"/>
          <w:pgSz w:w="11911" w:h="16838" w:orient="portrait"/>
          <w:pgMar w:top="1083" w:right="1060" w:bottom="1417" w:left="1202" w:header="884" w:footer="0" w:gutter="0"/>
          <w:cols w:num="1" w:sep="0" w:space="0" w:equalWidth="1"/>
          <w:docGrid w:linePitch="360"/>
        </w:sectPr>
      </w:pPr>
      <w:r>
        <w:rPr>
          <w:rFonts w:hint="eastAsia" w:ascii="宋体" w:hAnsi="宋体" w:eastAsia="宋体" w:cs="宋体"/>
          <w:b w:val="0"/>
        </w:rPr>
      </w:r>
      <w:r/>
    </w:p>
    <w:p>
      <w:pPr>
        <w:pStyle w:val="767"/>
        <w:jc w:val="center"/>
        <w:spacing w:before="156" w:after="156" w:line="36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目  录</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第一章  投标邀请</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第二章  投标人须知</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第三章  合同文本</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第四章  采购需求</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第五章  评标方法与评标标准</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第六章  投标文件格式</w:t>
      </w:r>
      <w:r/>
    </w:p>
    <w:p>
      <w:pPr>
        <w:keepLines w:val="0"/>
        <w:keepNext w:val="0"/>
        <w:pageBreakBefore w:val="0"/>
        <w:spacing w:line="360" w:lineRule="auto"/>
        <w:widowControl w:val="off"/>
        <w:rPr>
          <w:rFonts w:hint="eastAsia"/>
          <w:sz w:val="28"/>
          <w:szCs w:val="28"/>
        </w:rPr>
      </w:pPr>
      <w:r>
        <w:rPr>
          <w:rFonts w:hint="eastAsia"/>
          <w:sz w:val="28"/>
          <w:szCs w:val="28"/>
        </w:rPr>
      </w:r>
      <w:r/>
    </w:p>
    <w:p>
      <w:pPr>
        <w:jc w:val="left"/>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767"/>
        <w:jc w:val="center"/>
        <w:spacing w:before="156" w:after="156" w:line="360" w:lineRule="auto"/>
        <w:rPr>
          <w:rFonts w:hint="eastAsia" w:ascii="宋体" w:hAnsi="宋体" w:eastAsia="宋体" w:cs="宋体"/>
          <w:b w:val="0"/>
        </w:rPr>
        <w:sectPr>
          <w:footerReference w:type="default" r:id="rId10"/>
          <w:footnotePr/>
          <w:endnotePr/>
          <w:type w:val="nextPage"/>
          <w:pgSz w:w="11911" w:h="16838" w:orient="portrait"/>
          <w:pgMar w:top="1366" w:right="720" w:bottom="278" w:left="1145" w:header="884" w:footer="0" w:gutter="0"/>
          <w:pgNumType w:start="1"/>
          <w:cols w:num="1" w:sep="0" w:space="0" w:equalWidth="1"/>
          <w:docGrid w:linePitch="360"/>
        </w:sectPr>
      </w:pPr>
      <w:r/>
      <w:bookmarkStart w:id="0" w:name="_Toc155796356"/>
      <w:r/>
      <w:r/>
    </w:p>
    <w:p>
      <w:pPr>
        <w:pStyle w:val="767"/>
        <w:jc w:val="center"/>
        <w:spacing w:before="156" w:after="156"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第一章  投标邀请</w:t>
      </w:r>
      <w:bookmarkEnd w:id="0"/>
      <w:r/>
      <w:r/>
    </w:p>
    <w:p>
      <w:pPr>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受</w:t>
      </w:r>
      <w:r>
        <w:rPr>
          <w:rFonts w:hint="eastAsia" w:ascii="宋体" w:hAnsi="宋体" w:eastAsia="宋体" w:cs="宋体"/>
          <w:b/>
          <w:bCs/>
          <w:sz w:val="21"/>
          <w:szCs w:val="21"/>
          <w:u w:val="single"/>
        </w:rPr>
        <w:t xml:space="preserve">连云港市赣榆区残疾人联合会</w:t>
      </w:r>
      <w:r>
        <w:rPr>
          <w:rFonts w:hint="eastAsia" w:ascii="宋体" w:hAnsi="宋体" w:eastAsia="宋体" w:cs="宋体"/>
          <w:sz w:val="21"/>
          <w:szCs w:val="21"/>
        </w:rPr>
        <w:t xml:space="preserve">的委托，</w:t>
      </w:r>
      <w:r>
        <w:rPr>
          <w:rFonts w:hint="eastAsia" w:ascii="宋体" w:hAnsi="宋体" w:eastAsia="宋体" w:cs="宋体"/>
          <w:b/>
          <w:bCs/>
          <w:sz w:val="21"/>
          <w:szCs w:val="21"/>
          <w:u w:val="single"/>
          <w:lang w:eastAsia="zh-CN"/>
        </w:rPr>
        <w:t xml:space="preserve">江苏德益臻项目管理有限公司</w:t>
      </w:r>
      <w:r>
        <w:rPr>
          <w:rFonts w:hint="eastAsia" w:ascii="宋体" w:hAnsi="宋体" w:eastAsia="宋体" w:cs="宋体"/>
          <w:sz w:val="21"/>
          <w:szCs w:val="21"/>
        </w:rPr>
        <w:t xml:space="preserve">就</w:t>
      </w:r>
      <w:r>
        <w:rPr>
          <w:rFonts w:hint="eastAsia" w:ascii="宋体" w:hAnsi="宋体" w:eastAsia="宋体" w:cs="宋体"/>
          <w:b/>
          <w:bCs/>
          <w:sz w:val="21"/>
          <w:szCs w:val="21"/>
          <w:highlight w:val="none"/>
          <w:u w:val="single"/>
          <w:lang w:eastAsia="zh-CN"/>
        </w:rPr>
        <w:t xml:space="preserve">2026年度赣榆区孤独症残疾儿童基本康复服务项目（非专门面向中小企业）</w:t>
      </w:r>
      <w:r>
        <w:rPr>
          <w:rFonts w:hint="eastAsia" w:ascii="宋体" w:hAnsi="宋体" w:eastAsia="宋体" w:cs="宋体"/>
          <w:sz w:val="21"/>
          <w:szCs w:val="21"/>
        </w:rPr>
        <w:t xml:space="preserve">项目</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highlight w:val="none"/>
          <w:u w:val="single"/>
          <w:lang w:eastAsia="zh-CN"/>
        </w:rPr>
        <w:t xml:space="preserve">JSZC-320707-DYZH-</w:t>
      </w:r>
      <w:r>
        <w:rPr>
          <w:rFonts w:hint="eastAsia" w:ascii="宋体" w:hAnsi="宋体" w:eastAsia="宋体" w:cs="宋体"/>
          <w:b/>
          <w:bCs/>
          <w:color w:val="auto"/>
          <w:sz w:val="21"/>
          <w:szCs w:val="21"/>
          <w:highlight w:val="none"/>
          <w:u w:val="single"/>
          <w:lang w:val="en-US" w:eastAsia="zh-CN"/>
        </w:rPr>
        <w:t xml:space="preserve">G</w:t>
      </w:r>
      <w:r>
        <w:rPr>
          <w:rFonts w:hint="eastAsia" w:ascii="宋体" w:hAnsi="宋体" w:eastAsia="宋体" w:cs="宋体"/>
          <w:b/>
          <w:bCs/>
          <w:color w:val="auto"/>
          <w:sz w:val="21"/>
          <w:szCs w:val="21"/>
          <w:highlight w:val="none"/>
          <w:u w:val="single"/>
          <w:lang w:eastAsia="zh-CN"/>
        </w:rPr>
        <w:t xml:space="preserve">202</w:t>
      </w:r>
      <w:r>
        <w:rPr>
          <w:rFonts w:hint="eastAsia" w:ascii="宋体" w:hAnsi="宋体" w:eastAsia="宋体" w:cs="宋体"/>
          <w:b/>
          <w:bCs/>
          <w:color w:val="auto"/>
          <w:sz w:val="21"/>
          <w:szCs w:val="21"/>
          <w:highlight w:val="none"/>
          <w:u w:val="single"/>
          <w:lang w:val="en-US" w:eastAsia="zh-CN"/>
        </w:rPr>
        <w:t xml:space="preserve">6</w:t>
      </w:r>
      <w:r>
        <w:rPr>
          <w:rFonts w:hint="eastAsia" w:ascii="宋体" w:hAnsi="宋体" w:eastAsia="宋体" w:cs="宋体"/>
          <w:b/>
          <w:bCs/>
          <w:color w:val="auto"/>
          <w:sz w:val="21"/>
          <w:szCs w:val="21"/>
          <w:highlight w:val="none"/>
          <w:u w:val="single"/>
          <w:lang w:eastAsia="zh-CN"/>
        </w:rPr>
        <w:t xml:space="preserve">-00</w:t>
      </w:r>
      <w:r>
        <w:rPr>
          <w:rFonts w:hint="eastAsia" w:ascii="宋体" w:hAnsi="宋体" w:eastAsia="宋体" w:cs="宋体"/>
          <w:b/>
          <w:bCs/>
          <w:color w:val="auto"/>
          <w:sz w:val="21"/>
          <w:szCs w:val="21"/>
          <w:highlight w:val="none"/>
          <w:u w:val="single"/>
          <w:lang w:val="en-US" w:eastAsia="zh-CN"/>
        </w:rPr>
        <w:t xml:space="preserve">06</w:t>
      </w:r>
      <w:r>
        <w:rPr>
          <w:rFonts w:hint="eastAsia" w:ascii="宋体" w:hAnsi="宋体" w:eastAsia="宋体" w:cs="宋体"/>
          <w:color w:val="auto"/>
          <w:sz w:val="21"/>
          <w:szCs w:val="21"/>
        </w:rPr>
        <w:t xml:space="preserve">）</w:t>
      </w:r>
      <w:r>
        <w:rPr>
          <w:rFonts w:hint="eastAsia" w:ascii="宋体" w:hAnsi="宋体" w:eastAsia="宋体" w:cs="宋体"/>
          <w:sz w:val="21"/>
          <w:szCs w:val="21"/>
        </w:rPr>
        <w:t xml:space="preserve">进行公开招标采购，欢迎符合条件的供应商投标。</w:t>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3"/>
      </w:tblGrid>
      <w:tr>
        <w:trPr>
          <w:trHeight w:val="1937"/>
        </w:trPr>
        <w:tc>
          <w:tcPr>
            <w:tcW w:w="10320" w:type="dxa"/>
            <w:textDirection w:val="lrTb"/>
            <w:noWrap w:val="false"/>
          </w:tcPr>
          <w:p>
            <w:pPr>
              <w:ind w:firstLine="420"/>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项目概况</w:t>
            </w:r>
            <w:r/>
          </w:p>
          <w:p>
            <w:pPr>
              <w:ind w:firstLine="422"/>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b/>
                <w:bCs/>
                <w:sz w:val="21"/>
                <w:szCs w:val="21"/>
                <w:highlight w:val="none"/>
                <w:u w:val="single"/>
                <w:lang w:eastAsia="zh-CN"/>
              </w:rPr>
              <w:t xml:space="preserve">2026年度赣榆区孤独症残疾儿童基本康复服务项目（非专门面向中小企业）</w:t>
            </w:r>
            <w:r>
              <w:rPr>
                <w:rFonts w:hint="eastAsia" w:ascii="宋体" w:hAnsi="宋体" w:eastAsia="宋体" w:cs="宋体"/>
                <w:sz w:val="21"/>
                <w:szCs w:val="21"/>
              </w:rPr>
              <w:t xml:space="preserve">招标项目的潜在投标人应在江苏政府采购网自行免费下载招标文件，并于</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06</w:t>
            </w:r>
            <w:r>
              <w:rPr>
                <w:rFonts w:hint="eastAsia" w:ascii="宋体" w:hAnsi="宋体" w:eastAsia="宋体" w:cs="宋体"/>
                <w:color w:val="ff0000"/>
                <w:sz w:val="21"/>
                <w:szCs w:val="21"/>
                <w:highlight w:val="none"/>
              </w:rPr>
              <w:t xml:space="preserve">月</w:t>
            </w:r>
            <w:r>
              <w:rPr>
                <w:rFonts w:hint="eastAsia" w:ascii="宋体" w:hAnsi="宋体" w:eastAsia="宋体" w:cs="宋体"/>
                <w:color w:val="ff0000"/>
                <w:sz w:val="21"/>
                <w:szCs w:val="21"/>
                <w:highlight w:val="none"/>
                <w:lang w:val="en-US" w:eastAsia="zh-CN"/>
              </w:rPr>
              <w:t xml:space="preserve">23</w:t>
            </w:r>
            <w:r>
              <w:rPr>
                <w:rFonts w:hint="eastAsia" w:ascii="宋体" w:hAnsi="宋体" w:eastAsia="宋体" w:cs="宋体"/>
                <w:color w:val="ff0000"/>
                <w:sz w:val="21"/>
                <w:szCs w:val="21"/>
                <w:highlight w:val="none"/>
              </w:rPr>
              <w:t xml:space="preserve">日9:00:00</w:t>
            </w:r>
            <w:r>
              <w:rPr>
                <w:rFonts w:hint="eastAsia" w:ascii="宋体" w:hAnsi="宋体" w:eastAsia="宋体" w:cs="宋体"/>
                <w:sz w:val="21"/>
                <w:szCs w:val="21"/>
              </w:rPr>
              <w:t xml:space="preserve">（北京时间）前递交（上传）投标文件。</w:t>
            </w:r>
            <w:r/>
          </w:p>
        </w:tc>
      </w:tr>
    </w:tbl>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一、项目基本情况</w:t>
      </w:r>
      <w:r/>
    </w:p>
    <w:p>
      <w:pPr>
        <w:ind w:firstLine="420"/>
        <w:jc w:val="both"/>
        <w:keepLines w:val="0"/>
        <w:keepNext w:val="0"/>
        <w:pageBreakBefore w:val="0"/>
        <w:spacing w:line="360" w:lineRule="auto"/>
        <w:widowControl w:val="off"/>
        <w:rPr>
          <w:rFonts w:hint="default" w:ascii="宋体" w:hAnsi="宋体" w:eastAsia="宋体" w:cs="宋体"/>
          <w:b w:val="0"/>
          <w:bCs w:val="0"/>
          <w:color w:val="ff0000"/>
          <w:sz w:val="21"/>
          <w:szCs w:val="21"/>
          <w:u w:val="none"/>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b w:val="0"/>
          <w:bCs w:val="0"/>
          <w:color w:val="auto"/>
          <w:sz w:val="21"/>
          <w:szCs w:val="21"/>
          <w:highlight w:val="none"/>
          <w:u w:val="none"/>
          <w:lang w:eastAsia="zh-CN"/>
        </w:rPr>
        <w:t xml:space="preserve">JSZC-320707-DYZH-</w:t>
      </w:r>
      <w:r>
        <w:rPr>
          <w:rFonts w:hint="eastAsia" w:ascii="宋体" w:hAnsi="宋体" w:eastAsia="宋体" w:cs="宋体"/>
          <w:b w:val="0"/>
          <w:bCs w:val="0"/>
          <w:color w:val="auto"/>
          <w:sz w:val="21"/>
          <w:szCs w:val="21"/>
          <w:highlight w:val="none"/>
          <w:u w:val="none"/>
          <w:lang w:val="en-US" w:eastAsia="zh-CN"/>
        </w:rPr>
        <w:t xml:space="preserve">G</w:t>
      </w:r>
      <w:r>
        <w:rPr>
          <w:rFonts w:hint="eastAsia" w:ascii="宋体" w:hAnsi="宋体" w:eastAsia="宋体" w:cs="宋体"/>
          <w:b w:val="0"/>
          <w:bCs w:val="0"/>
          <w:color w:val="auto"/>
          <w:sz w:val="21"/>
          <w:szCs w:val="21"/>
          <w:highlight w:val="none"/>
          <w:u w:val="none"/>
          <w:lang w:eastAsia="zh-CN"/>
        </w:rPr>
        <w:t xml:space="preserve">202</w:t>
      </w:r>
      <w:r>
        <w:rPr>
          <w:rFonts w:hint="eastAsia" w:ascii="宋体" w:hAnsi="宋体" w:eastAsia="宋体" w:cs="宋体"/>
          <w:b w:val="0"/>
          <w:bCs w:val="0"/>
          <w:color w:val="auto"/>
          <w:sz w:val="21"/>
          <w:szCs w:val="21"/>
          <w:highlight w:val="none"/>
          <w:u w:val="none"/>
          <w:lang w:val="en-US" w:eastAsia="zh-CN"/>
        </w:rPr>
        <w:t xml:space="preserve">6</w:t>
      </w:r>
      <w:r>
        <w:rPr>
          <w:rFonts w:hint="eastAsia" w:ascii="宋体" w:hAnsi="宋体" w:eastAsia="宋体" w:cs="宋体"/>
          <w:b w:val="0"/>
          <w:bCs w:val="0"/>
          <w:color w:val="auto"/>
          <w:sz w:val="21"/>
          <w:szCs w:val="21"/>
          <w:highlight w:val="none"/>
          <w:u w:val="none"/>
          <w:lang w:eastAsia="zh-CN"/>
        </w:rPr>
        <w:t xml:space="preserve">-00</w:t>
      </w:r>
      <w:r>
        <w:rPr>
          <w:rFonts w:hint="eastAsia" w:ascii="宋体" w:hAnsi="宋体" w:eastAsia="宋体" w:cs="宋体"/>
          <w:b w:val="0"/>
          <w:bCs w:val="0"/>
          <w:color w:val="auto"/>
          <w:sz w:val="21"/>
          <w:szCs w:val="21"/>
          <w:highlight w:val="none"/>
          <w:u w:val="none"/>
          <w:lang w:val="en-US" w:eastAsia="zh-CN"/>
        </w:rPr>
        <w:t xml:space="preserve">06</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eastAsia="zh-CN"/>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项目名称</w:t>
      </w:r>
      <w:r>
        <w:rPr>
          <w:rFonts w:hint="eastAsia" w:ascii="宋体" w:hAnsi="宋体" w:eastAsia="宋体" w:cs="宋体"/>
          <w:sz w:val="21"/>
          <w:szCs w:val="21"/>
        </w:rPr>
        <w:t xml:space="preserve">：</w:t>
      </w:r>
      <w:r>
        <w:rPr>
          <w:rFonts w:hint="eastAsia" w:ascii="宋体" w:hAnsi="宋体" w:eastAsia="宋体" w:cs="宋体"/>
          <w:b w:val="0"/>
          <w:bCs w:val="0"/>
          <w:sz w:val="21"/>
          <w:szCs w:val="21"/>
          <w:highlight w:val="none"/>
          <w:lang w:eastAsia="zh-CN"/>
        </w:rPr>
        <w:t xml:space="preserve">2026年度赣榆区孤独症残疾儿童基本康复服务项目（非专门面向中小企业）</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、采购方式：</w:t>
      </w:r>
      <w:r>
        <w:rPr>
          <w:rFonts w:hint="eastAsia" w:ascii="宋体" w:hAnsi="宋体" w:eastAsia="宋体" w:cs="宋体"/>
          <w:b w:val="0"/>
          <w:bCs w:val="0"/>
          <w:sz w:val="21"/>
          <w:szCs w:val="21"/>
        </w:rPr>
        <w:t xml:space="preserve">公开招标</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、预算金额：</w:t>
      </w:r>
      <w:r>
        <w:rPr>
          <w:rFonts w:hint="eastAsia" w:ascii="宋体" w:hAnsi="宋体" w:eastAsia="宋体" w:cs="宋体"/>
          <w:b/>
          <w:bCs/>
          <w:color w:val="auto"/>
          <w:sz w:val="21"/>
          <w:szCs w:val="21"/>
          <w:highlight w:val="none"/>
          <w:lang w:eastAsia="zh-CN"/>
        </w:rPr>
        <w:t xml:space="preserve">人民币</w:t>
      </w:r>
      <w:r>
        <w:rPr>
          <w:rFonts w:hint="eastAsia" w:ascii="宋体" w:hAnsi="宋体" w:eastAsia="宋体" w:cs="宋体"/>
          <w:b/>
          <w:bCs/>
          <w:color w:val="auto"/>
          <w:sz w:val="21"/>
          <w:szCs w:val="21"/>
          <w:highlight w:val="none"/>
          <w:lang w:val="en-US" w:eastAsia="zh-CN"/>
        </w:rPr>
        <w:t xml:space="preserve">44.4</w:t>
      </w:r>
      <w:r>
        <w:rPr>
          <w:rFonts w:hint="eastAsia" w:ascii="宋体" w:hAnsi="宋体" w:eastAsia="宋体" w:cs="宋体"/>
          <w:b/>
          <w:bCs/>
          <w:color w:val="auto"/>
          <w:sz w:val="21"/>
          <w:szCs w:val="21"/>
          <w:highlight w:val="none"/>
          <w:lang w:eastAsia="zh-CN"/>
        </w:rPr>
        <w:t xml:space="preserve">万元（</w:t>
      </w:r>
      <w:r>
        <w:rPr>
          <w:rFonts w:hint="eastAsia" w:ascii="宋体" w:hAnsi="宋体" w:eastAsia="宋体" w:cs="宋体"/>
          <w:b/>
          <w:bCs/>
          <w:color w:val="auto"/>
          <w:sz w:val="21"/>
          <w:szCs w:val="21"/>
          <w:highlight w:val="none"/>
          <w:lang w:val="en-US" w:eastAsia="zh-CN"/>
        </w:rPr>
        <w:t xml:space="preserve">五标段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最终结算根据具体服务人数确定，</w:t>
      </w:r>
      <w:r>
        <w:rPr>
          <w:rFonts w:hint="eastAsia" w:ascii="宋体" w:hAnsi="宋体" w:eastAsia="宋体" w:cs="宋体"/>
          <w:color w:val="auto"/>
          <w:sz w:val="21"/>
          <w:szCs w:val="21"/>
          <w:highlight w:val="none"/>
          <w:u w:val="none"/>
          <w:lang w:val="en-US" w:eastAsia="zh-CN"/>
        </w:rPr>
        <w:t xml:space="preserve">结算金额不超过预算金额的按实际金额支付，超过预算金额的按预算金额支付。</w:t>
      </w:r>
      <w:r>
        <w:rPr>
          <w:rFonts w:hint="eastAsia" w:ascii="宋体" w:hAnsi="宋体" w:eastAsia="宋体" w:cs="宋体"/>
          <w:color w:val="auto"/>
          <w:sz w:val="21"/>
          <w:szCs w:val="21"/>
          <w:highlight w:val="none"/>
          <w:lang w:eastAsia="zh-CN"/>
        </w:rPr>
        <w:t xml:space="preserve">本项目采用固定单价报价，价格不列为评审因素。</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0-1</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 岁全日制孤独症基本康复服务固定单价报价为</w:t>
      </w:r>
      <w:r>
        <w:rPr>
          <w:rFonts w:hint="eastAsia" w:ascii="宋体" w:hAnsi="宋体" w:eastAsia="宋体" w:cs="宋体"/>
          <w:b/>
          <w:bCs/>
          <w:color w:val="auto"/>
          <w:sz w:val="21"/>
          <w:szCs w:val="21"/>
          <w:highlight w:val="none"/>
          <w:lang w:val="en-US" w:eastAsia="zh-CN"/>
        </w:rPr>
        <w:t xml:space="preserve">80</w:t>
      </w:r>
      <w:r>
        <w:rPr>
          <w:rFonts w:hint="eastAsia" w:ascii="宋体" w:hAnsi="宋体" w:eastAsia="宋体" w:cs="宋体"/>
          <w:b/>
          <w:bCs/>
          <w:color w:val="auto"/>
          <w:sz w:val="21"/>
          <w:szCs w:val="21"/>
          <w:highlight w:val="none"/>
        </w:rPr>
        <w:t xml:space="preserve">.90 元/天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4小时，不含伙食费10元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岁非全日制孤独症基本康复服务固定单价报价为 74.07 元/天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1.5小时，无伙食费</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否则投标无效。</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4.本项目共划分为五个标段：</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开</w:t>
      </w:r>
      <w:r>
        <w:rPr>
          <w:rFonts w:hint="eastAsia" w:ascii="宋体" w:hAnsi="宋体" w:eastAsia="宋体" w:cs="宋体"/>
          <w:b/>
          <w:bCs/>
          <w:color w:val="auto"/>
          <w:sz w:val="21"/>
          <w:szCs w:val="21"/>
          <w:highlight w:val="none"/>
          <w:lang w:val="en-US" w:eastAsia="zh-CN"/>
        </w:rPr>
        <w:t xml:space="preserve">标</w:t>
      </w:r>
      <w:r>
        <w:rPr>
          <w:rFonts w:hint="eastAsia" w:ascii="宋体" w:hAnsi="宋体" w:eastAsia="宋体" w:cs="宋体"/>
          <w:b/>
          <w:bCs/>
          <w:color w:val="auto"/>
          <w:sz w:val="21"/>
          <w:szCs w:val="21"/>
          <w:highlight w:val="none"/>
          <w:lang w:eastAsia="zh-CN"/>
        </w:rPr>
        <w:t xml:space="preserve">、评审顺序以</w:t>
      </w:r>
      <w:r>
        <w:rPr>
          <w:rFonts w:hint="eastAsia" w:ascii="宋体" w:hAnsi="宋体" w:eastAsia="宋体" w:cs="宋体"/>
          <w:b/>
          <w:bCs/>
          <w:color w:val="auto"/>
          <w:sz w:val="21"/>
          <w:szCs w:val="21"/>
          <w:highlight w:val="none"/>
          <w:lang w:val="en-US" w:eastAsia="zh-CN"/>
        </w:rPr>
        <w:t xml:space="preserve">一标段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五标段</w:t>
      </w:r>
      <w:r>
        <w:rPr>
          <w:rFonts w:hint="eastAsia" w:ascii="宋体" w:hAnsi="宋体" w:eastAsia="宋体" w:cs="宋体"/>
          <w:b/>
          <w:bCs/>
          <w:color w:val="auto"/>
          <w:sz w:val="21"/>
          <w:szCs w:val="21"/>
          <w:highlight w:val="none"/>
          <w:lang w:eastAsia="zh-CN"/>
        </w:rPr>
        <w:t xml:space="preserve">顺序进行，</w:t>
      </w:r>
      <w:r>
        <w:rPr>
          <w:rFonts w:hint="eastAsia" w:ascii="宋体" w:hAnsi="宋体" w:eastAsia="宋体" w:cs="宋体"/>
          <w:b/>
          <w:bCs/>
          <w:color w:val="auto"/>
          <w:sz w:val="21"/>
          <w:szCs w:val="21"/>
          <w:highlight w:val="none"/>
          <w:lang w:val="en-US" w:eastAsia="zh-CN"/>
        </w:rPr>
        <w:t xml:space="preserve">本次招标为五标段</w:t>
      </w:r>
      <w:bookmarkStart w:id="8" w:name="_GoBack"/>
      <w:r/>
      <w:bookmarkEnd w:id="8"/>
      <w:r>
        <w:rPr>
          <w:rFonts w:hint="eastAsia" w:ascii="宋体" w:hAnsi="宋体" w:eastAsia="宋体" w:cs="宋体"/>
          <w:b/>
          <w:bCs/>
          <w:color w:val="auto"/>
          <w:sz w:val="21"/>
          <w:szCs w:val="21"/>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本次采购各供应商</w:t>
      </w:r>
      <w:r>
        <w:rPr>
          <w:rFonts w:hint="eastAsia" w:ascii="宋体" w:hAnsi="宋体" w:eastAsia="宋体" w:cs="宋体"/>
          <w:b/>
          <w:bCs/>
          <w:color w:val="auto"/>
          <w:sz w:val="21"/>
          <w:szCs w:val="21"/>
          <w:highlight w:val="none"/>
          <w:lang w:val="en-US" w:eastAsia="zh-CN"/>
        </w:rPr>
        <w:t xml:space="preserve">可对</w:t>
      </w:r>
      <w:r>
        <w:rPr>
          <w:rFonts w:hint="eastAsia" w:ascii="宋体" w:hAnsi="宋体" w:eastAsia="宋体" w:cs="宋体"/>
          <w:b/>
          <w:bCs/>
          <w:color w:val="auto"/>
          <w:sz w:val="21"/>
          <w:szCs w:val="21"/>
          <w:highlight w:val="none"/>
          <w:lang w:eastAsia="zh-CN"/>
        </w:rPr>
        <w:t xml:space="preserve">本项目</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个</w:t>
      </w:r>
      <w:r>
        <w:rPr>
          <w:rFonts w:hint="eastAsia" w:ascii="宋体" w:hAnsi="宋体" w:eastAsia="宋体" w:cs="宋体"/>
          <w:b/>
          <w:bCs/>
          <w:color w:val="auto"/>
          <w:sz w:val="21"/>
          <w:szCs w:val="21"/>
          <w:highlight w:val="none"/>
          <w:lang w:val="en-US" w:eastAsia="zh-CN"/>
        </w:rPr>
        <w:t xml:space="preserve">标段任意一个或多个标段进行</w:t>
      </w:r>
      <w:r>
        <w:rPr>
          <w:rFonts w:hint="eastAsia" w:ascii="宋体" w:hAnsi="宋体" w:eastAsia="宋体" w:cs="宋体"/>
          <w:b/>
          <w:bCs/>
          <w:color w:val="auto"/>
          <w:sz w:val="21"/>
          <w:szCs w:val="21"/>
          <w:highlight w:val="none"/>
          <w:lang w:eastAsia="zh-CN"/>
        </w:rPr>
        <w:t xml:space="preserve">投标，但最多只能中</w:t>
      </w:r>
      <w:r>
        <w:rPr>
          <w:rFonts w:hint="eastAsia" w:ascii="宋体" w:hAnsi="宋体" w:eastAsia="宋体" w:cs="宋体"/>
          <w:b/>
          <w:bCs/>
          <w:color w:val="auto"/>
          <w:sz w:val="21"/>
          <w:szCs w:val="21"/>
          <w:highlight w:val="none"/>
          <w:lang w:val="en-US" w:eastAsia="zh-CN"/>
        </w:rPr>
        <w:t xml:space="preserve">标</w:t>
      </w:r>
      <w:r>
        <w:rPr>
          <w:rFonts w:hint="eastAsia" w:ascii="宋体" w:hAnsi="宋体" w:eastAsia="宋体" w:cs="宋体"/>
          <w:b/>
          <w:bCs/>
          <w:color w:val="auto"/>
          <w:sz w:val="21"/>
          <w:szCs w:val="21"/>
          <w:highlight w:val="none"/>
          <w:lang w:eastAsia="zh-CN"/>
        </w:rPr>
        <w:t xml:space="preserve">一个</w:t>
      </w:r>
      <w:r>
        <w:rPr>
          <w:rFonts w:hint="eastAsia" w:ascii="宋体" w:hAnsi="宋体" w:eastAsia="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lang w:eastAsia="zh-CN"/>
        </w:rPr>
        <w:t xml:space="preserve">。若</w:t>
      </w:r>
      <w:r>
        <w:rPr>
          <w:rFonts w:hint="eastAsia" w:ascii="宋体" w:hAnsi="宋体" w:eastAsia="宋体" w:cs="宋体"/>
          <w:b/>
          <w:bCs/>
          <w:color w:val="auto"/>
          <w:sz w:val="21"/>
          <w:szCs w:val="21"/>
          <w:highlight w:val="none"/>
          <w:lang w:val="en-US" w:eastAsia="zh-CN"/>
        </w:rPr>
        <w:t xml:space="preserve">供应商在</w:t>
      </w:r>
      <w:r>
        <w:rPr>
          <w:rFonts w:hint="eastAsia" w:ascii="宋体" w:hAnsi="宋体" w:eastAsia="宋体" w:cs="宋体"/>
          <w:b/>
          <w:bCs/>
          <w:i w:val="0"/>
          <w:iCs w:val="0"/>
          <w:caps w:val="0"/>
          <w:color w:val="333333"/>
          <w:spacing w:val="0"/>
          <w:sz w:val="21"/>
          <w:szCs w:val="21"/>
          <w:shd w:val="clear" w:color="auto" w:fill="ffffff"/>
        </w:rPr>
        <w:t xml:space="preserve">已在先开标的某个标段中确定</w:t>
      </w:r>
      <w:r>
        <w:rPr>
          <w:rFonts w:hint="eastAsia" w:ascii="宋体" w:hAnsi="宋体" w:eastAsia="宋体" w:cs="宋体"/>
          <w:b/>
          <w:bCs/>
          <w:i w:val="0"/>
          <w:iCs w:val="0"/>
          <w:caps w:val="0"/>
          <w:color w:val="333333"/>
          <w:spacing w:val="0"/>
          <w:sz w:val="21"/>
          <w:szCs w:val="21"/>
          <w:shd w:val="clear" w:color="auto" w:fill="ffffff"/>
          <w:lang w:val="en-US" w:eastAsia="zh-CN"/>
        </w:rPr>
        <w:t xml:space="preserve">为</w:t>
      </w:r>
      <w:r>
        <w:rPr>
          <w:rFonts w:hint="eastAsia" w:ascii="宋体" w:hAnsi="宋体" w:eastAsia="宋体" w:cs="宋体"/>
          <w:b/>
          <w:bCs/>
          <w:color w:val="auto"/>
          <w:sz w:val="21"/>
          <w:szCs w:val="21"/>
          <w:highlight w:val="none"/>
          <w:lang w:val="en-US" w:eastAsia="zh-CN"/>
        </w:rPr>
        <w:t xml:space="preserve">成交供应商，则在后续标段中可继续参与评标，但不推荐为成交候选供应商。</w:t>
      </w:r>
      <w:r>
        <w:rPr>
          <w:rFonts w:hint="eastAsia" w:ascii="宋体" w:hAnsi="宋体" w:eastAsia="宋体" w:cs="宋体"/>
          <w:b/>
          <w:bCs/>
          <w:color w:val="000000"/>
          <w:sz w:val="21"/>
          <w:szCs w:val="21"/>
        </w:rPr>
        <w:t xml:space="preserve">因</w:t>
      </w:r>
      <w:r>
        <w:rPr>
          <w:rFonts w:hint="eastAsia" w:ascii="宋体" w:hAnsi="宋体" w:eastAsia="宋体" w:cs="宋体"/>
          <w:b/>
          <w:bCs/>
          <w:color w:val="000000"/>
          <w:sz w:val="21"/>
          <w:szCs w:val="21"/>
          <w:lang w:val="en-US" w:eastAsia="zh-CN"/>
        </w:rPr>
        <w:t xml:space="preserve">质疑或</w:t>
      </w:r>
      <w:r>
        <w:rPr>
          <w:rFonts w:hint="eastAsia" w:ascii="宋体" w:hAnsi="宋体" w:eastAsia="宋体" w:cs="宋体"/>
          <w:b/>
          <w:bCs/>
          <w:color w:val="000000"/>
          <w:sz w:val="21"/>
          <w:szCs w:val="21"/>
        </w:rPr>
        <w:t xml:space="preserve">投诉</w:t>
      </w:r>
      <w:r>
        <w:rPr>
          <w:rFonts w:hint="eastAsia" w:ascii="宋体" w:hAnsi="宋体" w:eastAsia="宋体" w:cs="宋体"/>
          <w:b/>
          <w:bCs/>
          <w:color w:val="000000"/>
          <w:sz w:val="21"/>
          <w:szCs w:val="21"/>
          <w:lang w:val="en-US" w:eastAsia="zh-CN"/>
        </w:rPr>
        <w:t xml:space="preserve">及</w:t>
      </w:r>
      <w:r>
        <w:rPr>
          <w:rFonts w:hint="eastAsia" w:ascii="宋体" w:hAnsi="宋体" w:eastAsia="宋体" w:cs="宋体"/>
          <w:b/>
          <w:bCs/>
          <w:color w:val="000000"/>
          <w:sz w:val="21"/>
          <w:szCs w:val="21"/>
        </w:rPr>
        <w:t xml:space="preserve">其他原因</w:t>
      </w:r>
      <w:r>
        <w:rPr>
          <w:rFonts w:hint="eastAsia" w:ascii="宋体" w:hAnsi="宋体" w:eastAsia="宋体" w:cs="宋体"/>
          <w:b/>
          <w:bCs/>
          <w:color w:val="000000"/>
          <w:sz w:val="21"/>
          <w:szCs w:val="21"/>
          <w:lang w:val="en-US" w:eastAsia="zh-CN"/>
        </w:rPr>
        <w:t xml:space="preserve">造成</w:t>
      </w:r>
      <w:r>
        <w:rPr>
          <w:rFonts w:hint="eastAsia" w:ascii="宋体" w:hAnsi="宋体" w:eastAsia="宋体" w:cs="宋体"/>
          <w:b/>
          <w:bCs/>
          <w:color w:val="000000"/>
          <w:sz w:val="21"/>
          <w:szCs w:val="21"/>
        </w:rPr>
        <w:t xml:space="preserve">成交供应商被</w:t>
      </w:r>
      <w:r>
        <w:rPr>
          <w:rFonts w:hint="eastAsia" w:ascii="宋体" w:hAnsi="宋体" w:eastAsia="宋体" w:cs="宋体"/>
          <w:b/>
          <w:bCs/>
          <w:color w:val="000000"/>
          <w:sz w:val="21"/>
          <w:szCs w:val="21"/>
          <w:lang w:val="en-US" w:eastAsia="zh-CN"/>
        </w:rPr>
        <w:t xml:space="preserve">取消资格的</w:t>
      </w:r>
      <w:r>
        <w:rPr>
          <w:rFonts w:hint="eastAsia" w:ascii="宋体" w:hAnsi="宋体" w:eastAsia="宋体" w:cs="宋体"/>
          <w:b/>
          <w:bCs/>
          <w:color w:val="000000"/>
          <w:sz w:val="21"/>
          <w:szCs w:val="21"/>
        </w:rPr>
        <w:t xml:space="preserve">，则该采购包取消其</w:t>
      </w:r>
      <w:r>
        <w:rPr>
          <w:rFonts w:hint="eastAsia" w:ascii="宋体" w:hAnsi="宋体" w:eastAsia="宋体" w:cs="宋体"/>
          <w:b/>
          <w:bCs/>
          <w:color w:val="000000"/>
          <w:sz w:val="21"/>
          <w:szCs w:val="21"/>
          <w:lang w:val="en-US" w:eastAsia="zh-CN"/>
        </w:rPr>
        <w:t xml:space="preserve">成交</w:t>
      </w:r>
      <w:r>
        <w:rPr>
          <w:rFonts w:hint="eastAsia" w:ascii="宋体" w:hAnsi="宋体" w:eastAsia="宋体" w:cs="宋体"/>
          <w:b/>
          <w:bCs/>
          <w:color w:val="000000"/>
          <w:sz w:val="21"/>
          <w:szCs w:val="21"/>
        </w:rPr>
        <w:t xml:space="preserve">资格，本次其余采购包成交供应商</w:t>
      </w:r>
      <w:r>
        <w:rPr>
          <w:rFonts w:hint="eastAsia" w:ascii="宋体" w:hAnsi="宋体" w:eastAsia="宋体" w:cs="宋体"/>
          <w:b/>
          <w:bCs/>
          <w:color w:val="000000"/>
          <w:sz w:val="21"/>
          <w:szCs w:val="21"/>
          <w:lang w:val="en-US" w:eastAsia="zh-CN"/>
        </w:rPr>
        <w:t xml:space="preserve">资格</w:t>
      </w:r>
      <w:r>
        <w:rPr>
          <w:rFonts w:hint="eastAsia" w:ascii="宋体" w:hAnsi="宋体" w:eastAsia="宋体" w:cs="宋体"/>
          <w:b/>
          <w:bCs/>
          <w:color w:val="000000"/>
          <w:sz w:val="21"/>
          <w:szCs w:val="21"/>
        </w:rPr>
        <w:t xml:space="preserve">保持不变。</w:t>
      </w:r>
      <w:r>
        <w:rPr>
          <w:rFonts w:hint="eastAsia" w:ascii="宋体" w:hAnsi="宋体" w:eastAsia="宋体" w:cs="宋体"/>
          <w:color w:val="000000"/>
          <w:sz w:val="21"/>
          <w:szCs w:val="21"/>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采购需求：为落实全省残疾儿童康复救助制度，完善残疾儿童基本康复服务体系建设，进一步规范残疾儿童基本康复服务，提升基本康复服务质量，</w:t>
      </w:r>
      <w:r>
        <w:rPr>
          <w:rFonts w:hint="eastAsia" w:ascii="宋体" w:hAnsi="宋体" w:eastAsia="宋体" w:cs="宋体"/>
          <w:color w:val="auto"/>
          <w:sz w:val="21"/>
          <w:szCs w:val="21"/>
          <w:highlight w:val="none"/>
          <w:lang w:val="en-US" w:eastAsia="zh-CN"/>
        </w:rPr>
        <w:t xml:space="preserve">现对2026年度残疾儿童基本康复训练服务项目</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五标段</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进行招标，详见“第四章采购需求”</w:t>
      </w:r>
      <w:r>
        <w:rPr>
          <w:rFonts w:hint="eastAsia" w:ascii="宋体" w:hAnsi="宋体" w:eastAsia="宋体" w:cs="宋体"/>
          <w:color w:val="auto"/>
          <w:sz w:val="21"/>
          <w:szCs w:val="21"/>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对项目需求、评审因素和评审标准部分的询问、质疑请与采购人联系，由采购人负责答复。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合同履行期限（服务时间）：</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年（合同约定日期起算）。</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本项目不接受联合体投标。</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二、申请人的资格要求</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满足《中华人民共和国政府采购法》第二十二条规定，并提供下列材料：</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法人或者其他组织的营业执照等证明文件，自然人的身份证明；</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具有良好的商业信誉和健全的财务会计制度；</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依法缴纳税收和社会保障资金的相关材料；（根据连财购〔2023〕4号文件精神，2、3项可以提供《财务状况报告及税收、社会保障资金缴纳情况承诺函》，详见第六章投标文件格式）</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具备履行合同所必需的设备和专业技术能力的声明及证明材料；</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参加政府采购活动前3年内在经营活动中没有重大违法记录的书面声明；</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（二）落实政府采购政策需满足的资格要求：</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根据省财政厅、省民政厅、省教育厅、省人力资源社会保</w:t>
      </w:r>
      <w:r>
        <w:rPr>
          <w:rFonts w:hint="eastAsia" w:ascii="宋体" w:hAnsi="宋体" w:eastAsia="宋体" w:cs="宋体"/>
          <w:sz w:val="21"/>
          <w:szCs w:val="21"/>
        </w:rPr>
        <w:t xml:space="preserve">障厅、省卫生健康委和省残联六部门联合下发的《关于印发(江苏省残疾儿童基本康复服务管理暂行办法)的通知》苏残发(2020)23号)第二章第五条“残疾儿童基本康复服务购买主体为县级以上残联。承接主体为依法成立的，具有承接残疾儿童基本康复服务能力的企业、社会组织(不含由财政拨款保障的群团组织)，公益类和从事生产经营活动的事业单位。”以上情形符合《关于转发连云港市财政局关于政府采购进一步支持中小企业发展的通知》(赣财购(2023)13号)《关于政府采购进一步支持中小企业发展的通知》(连财购(2023)39号)文件中</w:t>
      </w:r>
      <w:r>
        <w:rPr>
          <w:rFonts w:hint="eastAsia" w:ascii="宋体" w:hAnsi="宋体" w:eastAsia="宋体" w:cs="宋体"/>
          <w:b/>
          <w:bCs/>
          <w:sz w:val="21"/>
          <w:szCs w:val="21"/>
        </w:rPr>
        <w:t xml:space="preserve">可不专门面向中小企业</w:t>
      </w:r>
      <w:r>
        <w:rPr>
          <w:rFonts w:hint="eastAsia" w:ascii="宋体" w:hAnsi="宋体" w:eastAsia="宋体" w:cs="宋体"/>
          <w:sz w:val="21"/>
          <w:szCs w:val="21"/>
        </w:rPr>
        <w:t xml:space="preserve">预留采购份额第5条。</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根据《省残联等四部门关于印发&lt;江苏省残疾儿童基本康复服务实施规范(2023年版)&gt;的通知》(苏残规(2023)1号)《江苏省残疾儿童康复服务定点机构评估细则》(孤独症康复服务机构)“2.1资质要求:在相关业务主管部门注册具有独立法人资格，包括事业单位法人资质的医疗机构、教育机构、残疾人康复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企业法人资质的服务机构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民办非企业单位法人资质的社会服务机构。业务范围包括孤独症儿童康复训练服务相关内容。从事教育康复应有所属地教育行政部门颁发的办学许可证或有当地特殊教育指导中心确定的公办学校合作开展康教融合服务的协议</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可不专门面向中小企业</w:t>
      </w:r>
      <w:r>
        <w:rPr>
          <w:rFonts w:hint="eastAsia" w:ascii="宋体" w:hAnsi="宋体" w:eastAsia="宋体" w:cs="宋体"/>
          <w:b w:val="0"/>
          <w:bCs w:val="0"/>
          <w:sz w:val="21"/>
          <w:szCs w:val="21"/>
        </w:rPr>
        <w:t xml:space="preserve">。</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支持绿色发展</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.3政府采购项目执行《财政部生态环境部工业和信息化部关于印发&lt;绿色数据中心政府采购需求标准（试行)&gt;的通知》(财库〔2023〕7号）相关要求。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4.采购本国产品的支持政策</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（三）本项目的特定资格要求：</w:t>
      </w:r>
      <w:r/>
    </w:p>
    <w:p>
      <w:p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符合国家《建筑防火通用规范》（GB55037-2022）中关于“儿童活动场所”的相关要求，按照《建设工程消防设计审查验收管理暂行规定》(住建部第51号令)规定，儿童室内活动场所总建筑面积大于1000平方米以上的机构，竣工后应取得</w:t>
      </w:r>
      <w:r>
        <w:rPr>
          <w:rFonts w:hint="eastAsia" w:ascii="宋体" w:hAnsi="宋体" w:eastAsia="宋体" w:cs="宋体"/>
          <w:b/>
          <w:bCs/>
          <w:color w:val="auto"/>
          <w:sz w:val="21"/>
          <w:szCs w:val="21"/>
          <w:highlight w:val="none"/>
          <w:lang w:eastAsia="zh-CN"/>
        </w:rPr>
        <w:t xml:space="preserve">建设工程消防验收合格意见书</w:t>
      </w:r>
      <w:r>
        <w:rPr>
          <w:rFonts w:hint="eastAsia" w:ascii="宋体" w:hAnsi="宋体" w:eastAsia="宋体" w:cs="宋体"/>
          <w:color w:val="auto"/>
          <w:sz w:val="21"/>
          <w:szCs w:val="21"/>
          <w:highlight w:val="none"/>
          <w:lang w:eastAsia="zh-CN"/>
        </w:rPr>
        <w:t xml:space="preserve">；儿童室内活动场所总建筑面积1000平方米以下的机构，应在建设工程竣工验收合格之日起五个工作日内，向消防设计审查验收主管部门备案，并取得</w:t>
      </w:r>
      <w:r>
        <w:rPr>
          <w:rFonts w:hint="eastAsia" w:ascii="宋体" w:hAnsi="宋体" w:eastAsia="宋体" w:cs="宋体"/>
          <w:b/>
          <w:bCs/>
          <w:color w:val="auto"/>
          <w:sz w:val="21"/>
          <w:szCs w:val="21"/>
          <w:highlight w:val="none"/>
          <w:lang w:eastAsia="zh-CN"/>
        </w:rPr>
        <w:t xml:space="preserve">备案合格凭证</w:t>
      </w:r>
      <w:r>
        <w:rPr>
          <w:rFonts w:hint="eastAsia" w:ascii="宋体" w:hAnsi="宋体" w:eastAsia="宋体" w:cs="宋体"/>
          <w:color w:val="auto"/>
          <w:sz w:val="21"/>
          <w:szCs w:val="21"/>
          <w:highlight w:val="none"/>
          <w:lang w:eastAsia="zh-CN"/>
        </w:rPr>
        <w:t xml:space="preserve">。</w:t>
      </w:r>
      <w:r/>
    </w:p>
    <w:p>
      <w:p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注：提供的资料不合格或未提供作无效投标处理。如属于投标供应商自有产权，证明资料须与投标供应商名称一致；如属于租用场所，须出具供应商该场所的租赁合同、</w:t>
      </w:r>
      <w:r>
        <w:rPr>
          <w:rFonts w:hint="eastAsia" w:ascii="宋体" w:hAnsi="宋体" w:eastAsia="宋体" w:cs="宋体"/>
          <w:color w:val="auto"/>
          <w:sz w:val="21"/>
          <w:szCs w:val="21"/>
          <w:highlight w:val="none"/>
          <w:lang w:val="en-US" w:eastAsia="zh-CN"/>
        </w:rPr>
        <w:t xml:space="preserve">2025年房租租赁的相关缴费证明</w:t>
      </w:r>
      <w:r>
        <w:rPr>
          <w:rFonts w:hint="eastAsia" w:ascii="宋体" w:hAnsi="宋体" w:eastAsia="宋体" w:cs="宋体"/>
          <w:color w:val="auto"/>
          <w:sz w:val="21"/>
          <w:szCs w:val="21"/>
          <w:highlight w:val="none"/>
          <w:lang w:eastAsia="zh-CN"/>
        </w:rPr>
        <w:t xml:space="preserve">及取得的该场所上述合格证明材料（含消防合格证明资料）。</w:t>
      </w:r>
      <w:r/>
    </w:p>
    <w:p>
      <w:pPr>
        <w:numPr>
          <w:ilvl w:val="0"/>
          <w:numId w:val="1"/>
        </w:numPr>
        <w:ind w:firstLine="48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供应商具有</w:t>
      </w:r>
      <w:r>
        <w:rPr>
          <w:rFonts w:hint="eastAsia" w:ascii="宋体" w:hAnsi="宋体" w:eastAsia="宋体" w:cs="宋体"/>
          <w:b/>
          <w:bCs/>
          <w:color w:val="auto"/>
          <w:sz w:val="21"/>
          <w:szCs w:val="21"/>
          <w:highlight w:val="none"/>
          <w:lang w:eastAsia="zh-CN"/>
        </w:rPr>
        <w:t xml:space="preserve">办学许可证或当地特殊教育指导中心确定的公办学校合作开展康教融合服务的协议。（</w:t>
      </w:r>
      <w:r>
        <w:rPr>
          <w:rFonts w:hint="default" w:ascii="宋体" w:hAnsi="宋体" w:eastAsia="宋体" w:cs="宋体"/>
          <w:b/>
          <w:bCs/>
          <w:color w:val="auto"/>
          <w:sz w:val="21"/>
          <w:szCs w:val="21"/>
          <w:highlight w:val="none"/>
          <w:lang w:val="en-US" w:eastAsia="zh-CN"/>
        </w:rPr>
        <w:t xml:space="preserve">投标文件中提供相关证书或服务协议扫描件并加盖投标人公章，否则投标无效）</w:t>
      </w:r>
      <w:r/>
    </w:p>
    <w:p>
      <w:pPr>
        <w:pStyle w:val="992"/>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3.投标文件递交截止前，被信用中国、中国政府采购网列入失信被执行人、重大税收违法案件当事人名单、政府采购严重违法失信行为记录名单的供应商，拒绝其参与政府采购活动。</w:t>
      </w:r>
      <w:r/>
    </w:p>
    <w:p>
      <w:pPr>
        <w:pStyle w:val="992"/>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备注：采购人或采购代理机构通过信用中国网站（www.creditchina.gov.cn）、中国政府采购网（www.ccgp.gov.cn），对供应商信用记录情况进行查询，查询结果页面打印留存。</w:t>
      </w:r>
      <w:r/>
    </w:p>
    <w:p>
      <w:pPr>
        <w:numPr>
          <w:ilvl w:val="0"/>
          <w:numId w:val="0"/>
        </w:num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供应商/投标主体及其法定代表人、项目负责人未被列入“连云港市赣榆区行贿人联合惩戒信息库。”</w:t>
      </w:r>
      <w:r/>
    </w:p>
    <w:p>
      <w:pPr>
        <w:numPr>
          <w:ilvl w:val="0"/>
          <w:numId w:val="0"/>
        </w:num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备注：采购人/招标人和区公共资源交易中心通过赣榆区行贿人联合惩戒信息库，对供应商/投标主体情况进行内部查询，查询结果页面打印留存。</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三、获取招标文件</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时间：</w:t>
      </w:r>
      <w:r>
        <w:rPr>
          <w:rFonts w:hint="eastAsia" w:ascii="宋体" w:hAnsi="宋体" w:eastAsia="宋体" w:cs="宋体"/>
          <w:sz w:val="21"/>
          <w:szCs w:val="21"/>
          <w:lang w:val="en-US" w:eastAsia="zh-CN"/>
        </w:rPr>
        <w:t xml:space="preserve">自招标文件公告发布之日起5个工作日</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地点：江苏政府采购网</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方式：投标人办理江苏省政府采购交易系统CA数字证书，登录“苏采云”政府采购交易系统，自行下载。</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售价：0.00元</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四、提交投标文件截止时间、开标时间和地点</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提交投标文件截止时间：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06</w:t>
      </w:r>
      <w:r>
        <w:rPr>
          <w:rFonts w:hint="eastAsia" w:ascii="宋体" w:hAnsi="宋体" w:eastAsia="宋体" w:cs="宋体"/>
          <w:color w:val="ff0000"/>
          <w:sz w:val="21"/>
          <w:szCs w:val="21"/>
          <w:highlight w:val="none"/>
        </w:rPr>
        <w:t xml:space="preserve">月</w:t>
      </w:r>
      <w:r>
        <w:rPr>
          <w:rFonts w:hint="eastAsia" w:ascii="宋体" w:hAnsi="宋体" w:eastAsia="宋体" w:cs="宋体"/>
          <w:color w:val="ff0000"/>
          <w:sz w:val="21"/>
          <w:szCs w:val="21"/>
          <w:highlight w:val="none"/>
          <w:lang w:val="en-US" w:eastAsia="zh-CN"/>
        </w:rPr>
        <w:t xml:space="preserve">23</w:t>
      </w:r>
      <w:r>
        <w:rPr>
          <w:rFonts w:hint="eastAsia" w:ascii="宋体" w:hAnsi="宋体" w:eastAsia="宋体" w:cs="宋体"/>
          <w:color w:val="ff0000"/>
          <w:sz w:val="21"/>
          <w:szCs w:val="21"/>
          <w:highlight w:val="none"/>
        </w:rPr>
        <w:t xml:space="preserve">日9:00:00</w:t>
      </w:r>
      <w:r>
        <w:rPr>
          <w:rFonts w:hint="eastAsia" w:ascii="宋体" w:hAnsi="宋体" w:eastAsia="宋体" w:cs="宋体"/>
          <w:sz w:val="21"/>
          <w:szCs w:val="21"/>
        </w:rPr>
        <w:t xml:space="preserve">（北京时间）</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开标时间：提交投标文件截止时间</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开标地点：“苏采云”系统（网址：http://jszfcg.jsczt.cn/）</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五、公告期限</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自本公告发布之日起5个工作日。</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六、其他补充事宜</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1.本次招标不收取投标保证金。</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2.本招标文件中</w:t>
      </w:r>
      <w:r>
        <w:rPr>
          <w:rFonts w:hint="eastAsia" w:ascii="宋体" w:hAnsi="宋体" w:eastAsia="宋体" w:cs="宋体"/>
          <w:color w:val="auto"/>
          <w:sz w:val="21"/>
          <w:szCs w:val="21"/>
          <w:highlight w:val="none"/>
        </w:rPr>
        <w:t xml:space="preserve">标注★</w:t>
      </w:r>
      <w:r>
        <w:rPr>
          <w:rFonts w:hint="eastAsia" w:ascii="宋体" w:hAnsi="宋体" w:eastAsia="宋体" w:cs="宋体"/>
          <w:sz w:val="21"/>
          <w:szCs w:val="21"/>
        </w:rPr>
        <w:t xml:space="preserve">部分为实质性要求和条件，由采购人根据实际情况设置，投标人须逐条明确作出满足实质性要求和条件的响应，否则将按无效响应处理。</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http://www.ccgp-jiangsu.gov.cn/jiangsu/zlxz/ee/ee3a4bc5a3454aa2b0d9312230633ce9.html</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七、对本次招标提出询问，请按以下方式联系</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1.采购人信息</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名    称：连云港市赣榆区残疾人联合会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地    址：连云港市赣榆区青口镇文化西路14号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联 系 人：</w:t>
      </w:r>
      <w:r>
        <w:rPr>
          <w:rFonts w:hint="eastAsia" w:ascii="宋体" w:hAnsi="宋体" w:eastAsia="宋体" w:cs="宋体"/>
          <w:color w:val="auto"/>
          <w:sz w:val="21"/>
          <w:szCs w:val="21"/>
          <w:lang w:val="en-US" w:eastAsia="zh-CN"/>
        </w:rPr>
        <w:t xml:space="preserve">丁科</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lang w:val="en-US" w:eastAsia="zh-CN"/>
        </w:rPr>
        <w:t xml:space="preserve">0518-80638326</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2.采购代理机构信息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bookmarkStart w:id="1" w:name="_Toc155796357"/>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江苏德益臻项目管理有限公司</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址：连云港市赣榆区青口镇时代东路时代大</w:t>
      </w:r>
      <w:r>
        <w:rPr>
          <w:rFonts w:hint="eastAsia" w:ascii="宋体" w:hAnsi="宋体" w:eastAsia="宋体" w:cs="宋体"/>
          <w:sz w:val="21"/>
          <w:szCs w:val="21"/>
          <w:lang w:val="en-US" w:eastAsia="zh-CN"/>
        </w:rPr>
        <w:t xml:space="preserve">厦6楼</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祁</w:t>
      </w:r>
      <w:r>
        <w:rPr>
          <w:rFonts w:hint="eastAsia" w:asciiTheme="minorEastAsia" w:hAnsiTheme="minorEastAsia" w:eastAsiaTheme="minorEastAsia" w:cstheme="minorEastAsia"/>
          <w:szCs w:val="21"/>
        </w:rPr>
        <w:t xml:space="preserve">工 </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w:t>
      </w:r>
      <w:r>
        <w:rPr>
          <w:rFonts w:hint="eastAsia" w:ascii="宋体" w:hAnsi="宋体" w:eastAsia="宋体" w:cs="宋体"/>
          <w:sz w:val="21"/>
          <w:szCs w:val="21"/>
        </w:rPr>
        <w:t xml:space="preserve">式：18</w:t>
      </w:r>
      <w:r>
        <w:rPr>
          <w:rFonts w:hint="eastAsia" w:ascii="宋体" w:hAnsi="宋体" w:eastAsia="宋体" w:cs="宋体"/>
          <w:sz w:val="21"/>
          <w:szCs w:val="21"/>
          <w:lang w:val="en-US" w:eastAsia="zh-CN"/>
        </w:rPr>
        <w:t xml:space="preserve">862748877</w:t>
      </w:r>
      <w:r/>
    </w:p>
    <w:p>
      <w:pPr>
        <w:ind w:firstLine="422"/>
        <w:jc w:val="both"/>
        <w:pageBreakBefore w:val="0"/>
        <w:spacing w:line="360" w:lineRule="auto"/>
        <w:widowControl/>
        <w:rPr>
          <w:rFonts w:hint="eastAsia" w:ascii="宋体" w:hAnsi="宋体" w:eastAsia="宋体" w:cs="宋体"/>
          <w:bCs/>
          <w:sz w:val="21"/>
          <w:szCs w:val="21"/>
        </w:rPr>
        <w:outlineLvl w:val="9"/>
      </w:pPr>
      <w:r>
        <w:rPr>
          <w:rFonts w:hint="eastAsia" w:ascii="宋体" w:hAnsi="宋体" w:eastAsia="宋体" w:cs="宋体"/>
          <w:b/>
          <w:sz w:val="21"/>
          <w:szCs w:val="21"/>
        </w:rPr>
        <w:br w:type="page" w:clear="all"/>
      </w:r>
      <w:r/>
    </w:p>
    <w:p>
      <w:pPr>
        <w:pStyle w:val="767"/>
        <w:numPr>
          <w:ilvl w:val="0"/>
          <w:numId w:val="2"/>
        </w:numPr>
        <w:jc w:val="center"/>
        <w:spacing w:before="156" w:after="156"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 投标人须知</w:t>
      </w:r>
      <w:bookmarkEnd w:id="1"/>
      <w:r/>
      <w:r/>
    </w:p>
    <w:p>
      <w:pPr>
        <w:rPr>
          <w:rFonts w:hint="eastAsia"/>
        </w:rPr>
      </w:pPr>
      <w:r>
        <w:rPr>
          <w:rFonts w:hint="eastAsia"/>
        </w:rPr>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一、总则</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1、采购方式</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 本次招标采取公开招标方式，本招标文件仅适用于招标公告中所述项目。</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2、合格的投标人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 满足招标公告中申请人的资格要求的规定。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 满足本招标文件全部实质性要求和条件的规定。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 符合上述条件的投标人应承担投标及履约过程应承担的全部责任与义务。</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3、适用法律</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 本次招标及由此产生的合同受中华人民共和国有关的法律法规制约和保护。</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4、投标费用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4.1 投标人应自行承担所有与参加投标有关的费用，无论投标过程中的做法和结果如何，</w:t>
      </w:r>
      <w:r>
        <w:rPr>
          <w:rFonts w:hint="eastAsia" w:ascii="宋体" w:hAnsi="宋体" w:eastAsia="宋体" w:cs="宋体"/>
          <w:sz w:val="21"/>
          <w:szCs w:val="21"/>
          <w:lang w:eastAsia="zh-CN"/>
        </w:rPr>
        <w:t xml:space="preserve">江苏德益臻项目管理有限公司</w:t>
      </w:r>
      <w:r>
        <w:rPr>
          <w:rFonts w:hint="eastAsia" w:ascii="宋体" w:hAnsi="宋体" w:eastAsia="宋体" w:cs="宋体"/>
          <w:sz w:val="21"/>
          <w:szCs w:val="21"/>
        </w:rPr>
        <w:t xml:space="preserve">（以下简称采购代理机构）在任何情况下均无义务和责任承担这些费用。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4.2本次招标采购代理服务费：</w:t>
      </w:r>
      <w:r>
        <w:rPr>
          <w:rFonts w:hint="eastAsia" w:ascii="宋体" w:hAnsi="宋体" w:eastAsia="宋体" w:cs="宋体"/>
          <w:b/>
          <w:bCs/>
          <w:sz w:val="21"/>
          <w:szCs w:val="21"/>
          <w:lang w:val="en-US" w:eastAsia="zh-CN"/>
        </w:rPr>
        <w:t xml:space="preserve">每个采购包</w:t>
      </w:r>
      <w:r>
        <w:rPr>
          <w:rFonts w:hint="eastAsia" w:ascii="宋体" w:hAnsi="宋体" w:eastAsia="宋体" w:cs="宋体"/>
          <w:b/>
          <w:bCs/>
          <w:sz w:val="21"/>
          <w:szCs w:val="21"/>
        </w:rPr>
        <w:t xml:space="preserve">按照苏政采协【2024】20号</w:t>
      </w:r>
      <w:r>
        <w:rPr>
          <w:rFonts w:hint="eastAsia" w:ascii="宋体" w:hAnsi="宋体" w:eastAsia="宋体" w:cs="宋体"/>
          <w:b/>
          <w:bCs/>
          <w:sz w:val="21"/>
          <w:szCs w:val="21"/>
          <w:lang w:val="en-US" w:eastAsia="zh-CN"/>
        </w:rPr>
        <w:t xml:space="preserve">文</w:t>
      </w:r>
      <w:r>
        <w:rPr>
          <w:rFonts w:hint="eastAsia" w:ascii="宋体" w:hAnsi="宋体" w:eastAsia="宋体" w:cs="宋体"/>
          <w:b/>
          <w:bCs/>
          <w:sz w:val="21"/>
          <w:szCs w:val="21"/>
        </w:rPr>
        <w:t xml:space="preserve">关于印发《江苏省政府采购代理服务收费指导意见》的通知</w:t>
      </w:r>
      <w:r>
        <w:rPr>
          <w:rFonts w:hint="eastAsia" w:ascii="宋体" w:hAnsi="宋体" w:eastAsia="宋体" w:cs="宋体"/>
          <w:b/>
          <w:bCs/>
          <w:sz w:val="21"/>
          <w:szCs w:val="21"/>
          <w:lang w:val="en-US" w:eastAsia="zh-CN"/>
        </w:rPr>
        <w:t xml:space="preserve">收费</w:t>
      </w:r>
      <w:r>
        <w:rPr>
          <w:rFonts w:hint="eastAsia" w:ascii="宋体" w:hAnsi="宋体" w:eastAsia="宋体" w:cs="宋体"/>
          <w:b/>
          <w:bCs/>
          <w:sz w:val="21"/>
          <w:szCs w:val="21"/>
        </w:rPr>
        <w:t xml:space="preserve">标准</w:t>
      </w:r>
      <w:r>
        <w:rPr>
          <w:rFonts w:hint="eastAsia" w:ascii="宋体" w:hAnsi="宋体" w:eastAsia="宋体" w:cs="宋体"/>
          <w:b/>
          <w:bCs/>
          <w:sz w:val="21"/>
          <w:szCs w:val="21"/>
          <w:lang w:val="en-US" w:eastAsia="zh-CN"/>
        </w:rPr>
        <w:t xml:space="preserve">的40%</w:t>
      </w:r>
      <w:r>
        <w:rPr>
          <w:rFonts w:hint="eastAsia" w:ascii="宋体" w:hAnsi="宋体" w:eastAsia="宋体" w:cs="宋体"/>
          <w:b/>
          <w:bCs/>
          <w:sz w:val="21"/>
          <w:szCs w:val="21"/>
        </w:rPr>
        <w:t xml:space="preserve">计取；</w:t>
      </w:r>
      <w:r>
        <w:rPr>
          <w:rFonts w:hint="eastAsia" w:ascii="宋体" w:hAnsi="宋体" w:eastAsia="宋体" w:cs="宋体"/>
          <w:sz w:val="21"/>
          <w:szCs w:val="21"/>
        </w:rPr>
        <w:t xml:space="preserve">以上费用最终由中标人在领取中标通知书时一次性支付，投标人须将此部分费用综合考虑在报价中，不得单列。</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5、招标文件的约束力</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5.1 投标人一旦参与本项目采购活动，即被认为接受了本招标文件的规定和约束。</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二、招标文件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6、招标文件的构成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 招标文件由以下部分构成：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（1）投标邀请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（2）投标人须知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（3）合同文本</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（4）采购需求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（5）评标方法与评标标准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（6）投标文件格式</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请仔细检查招标文件是否齐全，如有缺漏请立即与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联系解决。</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7、招标文件的澄清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7.1任何要求对招标文件进行澄清的投标人，应在投标截止时间十日前按招标公告中的通讯地址，以书面形式通知采购人或者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8、招标文件的修改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8.1 在投标截止时间前，采购人和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可以对招标文件进行修改。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有权按照法定的要求推迟投标截止时间和开标时间。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8.3招标文件的修改将在江苏政府采购网公布，补充文件将作为招标文件的组成部分，并对投标人具有约束力。</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三、投标文件编制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9、投标文件编写注意事项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10、投标文件的语言及度量衡单位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10.1 除专用术语外，投标人提交的投标文件以及投标人与采购人和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10.2 除技术性能另有规定外，投标文件所使用的度量衡单位，均须采用国家法定计量单位。</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11、投标文件的构成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both"/>
        <w:pageBreakBefore w:val="0"/>
        <w:spacing w:line="360" w:lineRule="auto"/>
        <w:widowControl w:val="off"/>
        <w:rPr>
          <w:rFonts w:hint="eastAsia" w:asciiTheme="minorEastAsia" w:hAnsiTheme="minorEastAsia" w:eastAsiaTheme="minorEastAsia" w:cstheme="minorEastAsia"/>
          <w:b/>
          <w:bCs/>
          <w:color w:val="auto"/>
          <w:szCs w:val="21"/>
        </w:rPr>
        <w:outlineLvl w:val="9"/>
      </w:pPr>
      <w:r>
        <w:rPr>
          <w:rFonts w:hint="eastAsia" w:ascii="宋体" w:hAnsi="宋体" w:eastAsia="宋体" w:cs="宋体"/>
          <w:sz w:val="21"/>
          <w:szCs w:val="21"/>
        </w:rPr>
        <w:t xml:space="preserve">11.2 </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制作</w:t>
      </w:r>
      <w:r>
        <w:rPr>
          <w:rFonts w:hint="eastAsia" w:asciiTheme="minorEastAsia" w:hAnsiTheme="minorEastAsia" w:eastAsiaTheme="minorEastAsia" w:cstheme="minorEastAsia"/>
          <w:b/>
          <w:bCs/>
          <w:color w:val="auto"/>
          <w:szCs w:val="21"/>
          <w:lang w:val="en-US" w:eastAsia="zh-CN"/>
        </w:rPr>
        <w:t xml:space="preserve">响应</w:t>
      </w:r>
      <w:r>
        <w:rPr>
          <w:rFonts w:hint="eastAsia" w:asciiTheme="minorEastAsia" w:hAnsiTheme="minorEastAsia" w:eastAsiaTheme="minorEastAsia" w:cstheme="minorEastAsia"/>
          <w:b/>
          <w:bCs/>
          <w:color w:val="auto"/>
          <w:szCs w:val="21"/>
        </w:rPr>
        <w:t xml:space="preserve">文件时如遇</w:t>
      </w:r>
      <w:r>
        <w:rPr>
          <w:rFonts w:hint="eastAsia" w:asciiTheme="minorEastAsia" w:hAnsiTheme="minorEastAsia" w:eastAsiaTheme="minorEastAsia" w:cstheme="minorEastAsia"/>
          <w:b/>
          <w:bCs/>
          <w:color w:val="auto"/>
          <w:szCs w:val="21"/>
          <w:lang w:val="en-US" w:eastAsia="zh-CN"/>
        </w:rPr>
        <w:t xml:space="preserve">电子投标（响应）文件</w:t>
      </w:r>
      <w:r>
        <w:rPr>
          <w:rFonts w:hint="eastAsia" w:asciiTheme="minorEastAsia" w:hAnsiTheme="minorEastAsia" w:eastAsiaTheme="minorEastAsia" w:cstheme="minorEastAsia"/>
          <w:b/>
          <w:bCs/>
          <w:color w:val="auto"/>
          <w:szCs w:val="21"/>
        </w:rPr>
        <w:t xml:space="preserve">格式与</w:t>
      </w:r>
      <w:r>
        <w:rPr>
          <w:rFonts w:hint="eastAsia" w:asciiTheme="minorEastAsia" w:hAnsiTheme="minorEastAsia" w:eastAsiaTheme="minorEastAsia" w:cstheme="minorEastAsia"/>
          <w:b/>
          <w:bCs/>
          <w:color w:val="auto"/>
          <w:szCs w:val="21"/>
          <w:lang w:val="en-US" w:eastAsia="zh-CN"/>
        </w:rPr>
        <w:t xml:space="preserve">采购</w:t>
      </w:r>
      <w:r>
        <w:rPr>
          <w:rFonts w:hint="eastAsia" w:asciiTheme="minorEastAsia" w:hAnsiTheme="minorEastAsia" w:eastAsiaTheme="minorEastAsia" w:cstheme="minorEastAsia"/>
          <w:b/>
          <w:bCs/>
          <w:color w:val="auto"/>
          <w:szCs w:val="21"/>
        </w:rPr>
        <w:t xml:space="preserve">文件不一致，请</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按照</w:t>
      </w:r>
      <w:r>
        <w:rPr>
          <w:rFonts w:hint="eastAsia" w:asciiTheme="minorEastAsia" w:hAnsiTheme="minorEastAsia" w:eastAsiaTheme="minorEastAsia" w:cstheme="minorEastAsia"/>
          <w:b/>
          <w:bCs/>
          <w:color w:val="auto"/>
          <w:szCs w:val="21"/>
          <w:lang w:val="en-US" w:eastAsia="zh-CN"/>
        </w:rPr>
        <w:t xml:space="preserve">采购</w:t>
      </w:r>
      <w:r>
        <w:rPr>
          <w:rFonts w:hint="eastAsia" w:asciiTheme="minorEastAsia" w:hAnsiTheme="minorEastAsia" w:eastAsiaTheme="minorEastAsia" w:cstheme="minorEastAsia"/>
          <w:b/>
          <w:bCs/>
          <w:color w:val="auto"/>
          <w:szCs w:val="21"/>
        </w:rPr>
        <w:t xml:space="preserve">文件中</w:t>
      </w:r>
      <w:r>
        <w:rPr>
          <w:rFonts w:hint="eastAsia" w:asciiTheme="minorEastAsia" w:hAnsiTheme="minorEastAsia" w:eastAsiaTheme="minorEastAsia" w:cstheme="minorEastAsia"/>
          <w:b/>
          <w:bCs/>
          <w:color w:val="auto"/>
          <w:szCs w:val="21"/>
          <w:lang w:val="en-US" w:eastAsia="zh-CN"/>
        </w:rPr>
        <w:t xml:space="preserve">响应文件</w:t>
      </w:r>
      <w:r>
        <w:rPr>
          <w:rFonts w:hint="eastAsia" w:asciiTheme="minorEastAsia" w:hAnsiTheme="minorEastAsia" w:eastAsiaTheme="minorEastAsia" w:cstheme="minorEastAsia"/>
          <w:b/>
          <w:bCs/>
          <w:color w:val="auto"/>
          <w:szCs w:val="21"/>
        </w:rPr>
        <w:t xml:space="preserve">格式要求编制一份</w:t>
      </w:r>
      <w:r>
        <w:rPr>
          <w:rFonts w:hint="eastAsia" w:asciiTheme="minorEastAsia" w:hAnsiTheme="minorEastAsia" w:eastAsiaTheme="minorEastAsia" w:cstheme="minorEastAsia"/>
          <w:b/>
          <w:bCs/>
          <w:color w:val="auto"/>
          <w:szCs w:val="21"/>
          <w:lang w:val="en-US" w:eastAsia="zh-CN"/>
        </w:rPr>
        <w:t xml:space="preserve">响应</w:t>
      </w:r>
      <w:r>
        <w:rPr>
          <w:rFonts w:hint="eastAsia" w:asciiTheme="minorEastAsia" w:hAnsiTheme="minorEastAsia" w:eastAsiaTheme="minorEastAsia" w:cstheme="minorEastAsia"/>
          <w:b/>
          <w:bCs/>
          <w:color w:val="auto"/>
          <w:szCs w:val="21"/>
        </w:rPr>
        <w:t xml:space="preserve">文件资料添加在投标工具的【</w:t>
      </w:r>
      <w:r>
        <w:rPr>
          <w:rFonts w:hint="eastAsia" w:asciiTheme="minorEastAsia" w:hAnsiTheme="minorEastAsia" w:eastAsiaTheme="minorEastAsia" w:cstheme="minorEastAsia"/>
          <w:b/>
          <w:bCs/>
          <w:color w:val="auto"/>
          <w:szCs w:val="21"/>
          <w:lang w:val="en-US" w:eastAsia="zh-CN"/>
        </w:rPr>
        <w:t xml:space="preserve">其他资料</w:t>
      </w:r>
      <w:r>
        <w:rPr>
          <w:rFonts w:hint="eastAsia" w:asciiTheme="minorEastAsia" w:hAnsiTheme="minorEastAsia" w:eastAsiaTheme="minorEastAsia" w:cstheme="minorEastAsia"/>
          <w:b/>
          <w:bCs/>
          <w:color w:val="auto"/>
          <w:szCs w:val="21"/>
        </w:rPr>
        <w:t xml:space="preserve">】中。如因</w:t>
      </w:r>
      <w:r>
        <w:rPr>
          <w:rFonts w:hint="eastAsia" w:asciiTheme="minorEastAsia" w:hAnsiTheme="minorEastAsia" w:eastAsiaTheme="minorEastAsia" w:cstheme="minorEastAsia"/>
          <w:b/>
          <w:bCs/>
          <w:color w:val="auto"/>
          <w:szCs w:val="21"/>
          <w:lang w:val="en-US" w:eastAsia="zh-CN"/>
        </w:rPr>
        <w:t xml:space="preserve">供应商</w:t>
      </w:r>
      <w:r>
        <w:rPr>
          <w:rFonts w:hint="eastAsia" w:asciiTheme="minorEastAsia" w:hAnsiTheme="minorEastAsia" w:eastAsiaTheme="minorEastAsia" w:cstheme="minorEastAsia"/>
          <w:b/>
          <w:bCs/>
          <w:color w:val="auto"/>
          <w:szCs w:val="21"/>
        </w:rPr>
        <w:t xml:space="preserve">未按要求执行造成的一切后果（包括废标）均由</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自行承担。</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Cs w:val="21"/>
        </w:rPr>
        <w:outlineLvl w:val="9"/>
      </w:pPr>
      <w:r>
        <w:rPr>
          <w:rFonts w:hint="eastAsia" w:ascii="宋体" w:hAnsi="宋体" w:eastAsia="宋体" w:cs="宋体"/>
          <w:b/>
          <w:bCs/>
          <w:color w:val="auto"/>
          <w:sz w:val="21"/>
          <w:szCs w:val="21"/>
          <w:highlight w:val="none"/>
          <w:lang w:eastAsia="zh-CN"/>
        </w:rPr>
        <w:t xml:space="preserve">本项目采用固定单价报价，价格不列为评审因素，</w:t>
      </w:r>
      <w:r>
        <w:rPr>
          <w:rFonts w:hint="eastAsia" w:ascii="宋体" w:hAnsi="宋体" w:eastAsia="宋体" w:cs="宋体"/>
          <w:b/>
          <w:bCs/>
          <w:color w:val="auto"/>
          <w:sz w:val="21"/>
          <w:szCs w:val="21"/>
          <w:highlight w:val="none"/>
          <w:lang w:val="en-US" w:eastAsia="zh-CN"/>
        </w:rPr>
        <w:t xml:space="preserve">因</w:t>
      </w:r>
      <w:r>
        <w:rPr>
          <w:rFonts w:hint="eastAsia" w:asciiTheme="minorEastAsia" w:hAnsiTheme="minorEastAsia" w:eastAsiaTheme="minorEastAsia" w:cstheme="minorEastAsia"/>
          <w:b/>
          <w:bCs/>
          <w:color w:val="auto"/>
          <w:szCs w:val="21"/>
          <w:lang w:val="en-US" w:eastAsia="zh-CN"/>
        </w:rPr>
        <w:t xml:space="preserve">电子投标（响应）文件</w:t>
      </w:r>
      <w:r>
        <w:rPr>
          <w:rFonts w:hint="eastAsia" w:asciiTheme="minorEastAsia" w:hAnsiTheme="minorEastAsia" w:eastAsiaTheme="minorEastAsia" w:cstheme="minorEastAsia"/>
          <w:b/>
          <w:bCs/>
          <w:color w:val="auto"/>
          <w:szCs w:val="21"/>
        </w:rPr>
        <w:t xml:space="preserve">格式</w:t>
      </w:r>
      <w:r>
        <w:rPr>
          <w:rFonts w:hint="eastAsia" w:eastAsia="宋体" w:asciiTheme="minorEastAsia" w:hAnsiTheme="minorEastAsia" w:cstheme="minorEastAsia"/>
          <w:b/>
          <w:bCs/>
          <w:color w:val="auto"/>
          <w:szCs w:val="21"/>
          <w:lang w:val="en-US" w:eastAsia="zh-CN"/>
        </w:rPr>
        <w:t xml:space="preserve">中的【开标一览表】为苏采云平台</w:t>
      </w:r>
      <w:r>
        <w:rPr>
          <w:rFonts w:hint="eastAsia" w:asciiTheme="minorEastAsia" w:hAnsiTheme="minorEastAsia" w:cstheme="minorEastAsia"/>
          <w:b/>
          <w:bCs/>
          <w:color w:val="auto"/>
          <w:szCs w:val="21"/>
          <w:lang w:val="en-US" w:eastAsia="zh-CN"/>
        </w:rPr>
        <w:t xml:space="preserve">固定格式，故投标人只需在此处填入各采购包的预算金额</w:t>
      </w:r>
      <w:r>
        <w:rPr>
          <w:rFonts w:hint="eastAsia" w:ascii="宋体" w:hAnsi="宋体" w:eastAsia="宋体" w:cs="宋体"/>
          <w:b/>
          <w:bCs/>
          <w:color w:val="auto"/>
          <w:szCs w:val="21"/>
          <w:lang w:val="en-US" w:eastAsia="zh-CN"/>
        </w:rPr>
        <w:t xml:space="preserve">，具体单价以采购文件第六章【投标文件格式】中的【开标一览表】为准。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12、证明投标人及投标标的符合招标文件规定的文件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12.1 投标人应按照招标文件要求提交证明文件，证明其及投标标的符合招标文件规定。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12.2 招标文件对证明文件无明确形式要求的，证明文件可以以文字资料、图纸和数据等形式提交。</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p>
    <w:p>
      <w:pPr>
        <w:ind w:firstLine="420"/>
        <w:jc w:val="both"/>
        <w:pageBreakBefore w:val="0"/>
        <w:spacing w:before="0" w:after="0"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13、投标分项报价表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13.1 投标人应根据投标报价要求在投标分项报价表中列明各项投标单价、总价等，未全部列示的作无效响应处理。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13.2 投标文件中的单价和总价无特殊规定的采用人民币报价，以元为单位标注。招标文件中另有规定的按规定执行。</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14、技术要求响应及偏离表、商务要求响应及偏离表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14.2 投标人可在投标文件中提供认为需要的其他技术文件或说明。</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15、服务承诺、培训计划、人员安排及其他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15.2 投标人应根据招标文件要求提供培训计划、人员安排等。</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15.3 投标人应根据招标文件要求提供所投标的的主要组成部分、功能设计、实现思路及关键技术等。</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16、投标函和开标一览表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16.1 投标人应按照招标文件提供的格式完整、正确填写投标函、开标一览表。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17、投标有效期</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四、投标文件递交</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18、电子投标文件的递交</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18.1 投标人应当按照《操作手册》规定，在投标截止时间前制作并递交（上传）电子投标文件。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19、投标截止时间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19.1 投标人递交（上传）电子投标文件的时间不得迟于招标公告中规定的投标截止时间。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20、投标文件的拒收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拒绝接收在招标文件规定的投标截止时间后递交（上传）的任何投标文件。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21、投标文件的撤回和修改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21.2投标人可在投标截止时间前，对其电子投标文件进行修改，具体操作方法见《操作手册》。在投标截止时间之后，投标人不得对其电子投标文件做任何修改。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21.3在投标截止时间至招标文件规定的投标有效期满之间的这段时间内，投标人不得撤回其投标。</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五、开标与评标</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22、开标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22.2 开标仪式由</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22.3投标人在开标过程中涉及到的投标文件解密、开标结果确认等工作，应当按照《操作手册》规定执行。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22.4投标人如果对开标过程和开标记录有疑义，应当按照《操作手册》规定提出，未在“苏采云”系统《开标记录表》宣布后5分钟内提出的，视同认可开标结果。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22.5 投标人未参加开标的，视同认可开标结果。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及评委会联系。</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23、评标委员会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23.1 开标后，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将组织评委会进行评标。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23.2 评委会由采购人代表和有关技术、经济等方面的评审专家组成，且人员构成符合政府采购有关规定。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23.3评委会按照采购文件规定的评审程序、评审方法和评审标准进行独立评审并确定中标候选人。</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24、评标过程的保密与公正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24.1 凡是与审查、澄清、评价和比较投标的有关资料以及授标建议等，采购人、评审专家、</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均不得向投标人或与评标无关的其他人员透露。</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24.2 在评标过程中，投标人不得以任何行为影响评标过程，否则其投标文件将被作为无效投标文件。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和评委会不向未中标的投标人解释未中标原因，也不公布评标过程中的相关细节。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24.4采用综合评分法的项目，未中标的投标人可于中标结果公告期限届满之日起通过“苏采云”系统查看自己的评审得分及排序情况。</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25、投标文件的澄清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评委会并非对每个投标人都提出澄清、说明或者补正要求。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25.3 接到评委会澄清、说明或者补正要求的投标人如未按要求响应，其风险由投标人自行承担。</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26、对投标文件的初审</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 投标文件初审分为资格审查和符合性审查。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（1）资格审查：采购人依据法律法规和招标文件的规定，对投标文件中的资格证明文件进行审查。资格审查的结论，采购人以书面形式向评委会进行反馈。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采购人在进行资格审查的同时，将在信用中国网站（www.creditchina.gov.cn）、中国政府采购网（www.ccgp.gov.cn）查询投标人的信用记录，以确定投标人是否具备投标资格，查询结果留存并归档。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3"/>
        </w:num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符合性审查：评委会依据招标文件的规定，从投标文件的有效性、完整性和对招标文件的响应程度进行审查，以确定其是否对招标文件的全部实质性要求作出响应。</w:t>
      </w:r>
      <w:r/>
    </w:p>
    <w:p>
      <w:pPr>
        <w:ind w:firstLine="422"/>
        <w:jc w:val="both"/>
        <w:pageBreakBefore w:val="0"/>
        <w:spacing w:beforeAutospacing="0" w:afterAutospacing="0" w:line="360" w:lineRule="auto"/>
        <w:tabs>
          <w:tab w:val="left" w:pos="90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政府采购异常低价审查：</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（一）评审过程中出现下列情形之一的，评审委员会应当启动异常低价投标（响应）审查程序：</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rPr>
          <w:rFonts w:hint="eastAsia" w:ascii="宋体" w:hAnsi="宋体" w:eastAsia="宋体" w:cs="宋体"/>
          <w:color w:val="auto"/>
          <w:sz w:val="21"/>
          <w:szCs w:val="21"/>
          <w:highlight w:val="none"/>
          <w:lang w:eastAsia="zh-CN"/>
        </w:rPr>
        <w:t xml:space="preserve">；</w:t>
      </w:r>
      <w:r/>
    </w:p>
    <w:p>
      <w:pPr>
        <w:ind w:firstLine="420"/>
        <w:jc w:val="both"/>
        <w:pageBreakBefore w:val="0"/>
        <w:spacing w:line="360" w:lineRule="auto"/>
        <w:tabs>
          <w:tab w:val="left" w:pos="900" w:leader="none"/>
        </w:tabs>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420"/>
        <w:jc w:val="both"/>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26.3 如果投标文件实质上没有响应招标文件的要求，评委会将予以拒绝，投标人不得通过修改或撤销不符合要求的偏离或保留而使其投标成为实质性响应的投标。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（1）投标文件中开标一览表内容与投标文件中相应内容不一致的，以开标一览表为准。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（2）大写金额和小写金额不一致的，以大写金额为准。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（4）总价金额与按单价汇总金额不一致的，以单价金额计算结果为准。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同时出现两种以上错误的，按照前款规定的顺序修正。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27、无效投标条款和废标条款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27.1 无效投标条款：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（1）投标人未按照招标文件要求递交（上传）电子投标文件的。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（2）投标人在“苏采云”系统规定的时间内未成功解密电子投标文件的。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（3）投标人不具备招标文件中规定的资格要求的。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（5）投标人提交两个（含两个）以上不同的投标报价的。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（6）投标人的报价超过了采购预算或者最高限价的。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（8）不符合招标文件规定的实质性要求和条件的。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（10）投标人未通过符合性审查的。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（11）投标文件含有采购人不能接受的附加条件的。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（12）投标文件未按照招标文件要求加盖公章（CA电子公章）的。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（13）其他法律、法规及本招标文件规定的属于无效投标的情形。</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27.2 有下列情形之一的，视为投标人串通投标，投标无效：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（1）不同投标人的投标文件由同一单位或者个人编制。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（2）不同投标人委托同一单位或者个人办理投标事宜。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（3）不同投标人的投标文件载明的项目管理成员或者联系人员为同一人。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（4）不同投标人的投标文件异常一致或者投标报价呈规律性差异。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（5）不同投标人的投标文件相互混装。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27.3 废标条款：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（1）因“苏采云”系统故障原因造成开标不成功的。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（2）评委会认定招标文件存在歧义、重大缺陷导致评标工作无法进行，或者招标文件内容违反国家有关强制性规定的。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（3）符合专业条件的供应商或者对招标文件作实质响应的供应商不足三家的。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（4）出现影响采购公正的违法、违规行为的。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（5）因重大变故，采购任务取消的。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27.4 出现投标截止时间结束后参加投标的供应商或者在评标期间对招标文件做出实质响应的供应商不足三家情况的，按照政府采购有关规定执行。</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六、定标</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28、确定中标单位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28.1</w:t>
      </w:r>
      <w:r>
        <w:rPr>
          <w:rFonts w:hint="eastAsia" w:ascii="宋体" w:hAnsi="宋体" w:eastAsia="宋体" w:cs="宋体"/>
          <w:sz w:val="21"/>
          <w:szCs w:val="21"/>
          <w:lang w:val="en-US" w:eastAsia="zh-CN"/>
        </w:rPr>
        <w:t xml:space="preserve">评委会</w:t>
      </w:r>
      <w:r>
        <w:rPr>
          <w:rFonts w:hint="eastAsia" w:ascii="宋体" w:hAnsi="宋体" w:eastAsia="宋体" w:cs="宋体"/>
          <w:sz w:val="21"/>
          <w:szCs w:val="21"/>
        </w:rPr>
        <w:t xml:space="preserve">根据综合评分情况，按照评审得分由高到低顺序推荐3名成交候选供应商，并编写评审报告。</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28.2 </w:t>
      </w:r>
      <w:r>
        <w:rPr>
          <w:rFonts w:hint="eastAsia" w:asciiTheme="minorEastAsia" w:hAnsiTheme="minorEastAsia" w:eastAsiaTheme="minorEastAsia" w:cstheme="minorEastAsia"/>
          <w:szCs w:val="21"/>
        </w:rPr>
        <w:t xml:space="preserve">根据采购人的授权，</w:t>
      </w:r>
      <w:r>
        <w:rPr>
          <w:rFonts w:hint="eastAsia" w:eastAsia="宋体" w:asciiTheme="minorEastAsia" w:hAnsiTheme="minorEastAsia" w:cstheme="minorEastAsia"/>
          <w:szCs w:val="21"/>
          <w:lang w:val="en-US" w:eastAsia="zh-CN"/>
        </w:rPr>
        <w:t xml:space="preserve">评委会</w:t>
      </w:r>
      <w:r>
        <w:rPr>
          <w:rFonts w:hint="eastAsia" w:asciiTheme="minorEastAsia" w:hAnsiTheme="minorEastAsia" w:eastAsiaTheme="minorEastAsia" w:cstheme="minorEastAsia"/>
          <w:szCs w:val="21"/>
        </w:rPr>
        <w:t xml:space="preserve">直接确定排名第一的</w:t>
      </w:r>
      <w:r>
        <w:rPr>
          <w:rFonts w:hint="eastAsia" w:eastAsia="宋体" w:asciiTheme="minorEastAsia" w:hAnsiTheme="minorEastAsia" w:cstheme="minorEastAsia"/>
          <w:szCs w:val="21"/>
          <w:lang w:val="en-US" w:eastAsia="zh-CN"/>
        </w:rPr>
        <w:t xml:space="preserve">成交</w:t>
      </w:r>
      <w:r>
        <w:rPr>
          <w:rFonts w:hint="eastAsia" w:asciiTheme="minorEastAsia" w:hAnsiTheme="minorEastAsia" w:eastAsiaTheme="minorEastAsia" w:cstheme="minorEastAsia"/>
          <w:szCs w:val="21"/>
        </w:rPr>
        <w:t xml:space="preserve">候选</w:t>
      </w:r>
      <w:r>
        <w:rPr>
          <w:rFonts w:hint="eastAsia" w:ascii="宋体" w:hAnsi="宋体" w:eastAsia="宋体" w:cs="宋体"/>
          <w:sz w:val="21"/>
          <w:szCs w:val="21"/>
        </w:rPr>
        <w:t xml:space="preserve">供应商</w:t>
      </w:r>
      <w:r>
        <w:rPr>
          <w:rFonts w:hint="eastAsia" w:asciiTheme="minorEastAsia" w:hAnsiTheme="minorEastAsia" w:eastAsiaTheme="minorEastAsia" w:cstheme="minorEastAsia"/>
          <w:szCs w:val="21"/>
        </w:rPr>
        <w:t xml:space="preserve">为</w:t>
      </w:r>
      <w:r>
        <w:rPr>
          <w:rFonts w:hint="eastAsia" w:eastAsia="宋体" w:asciiTheme="minorEastAsia" w:hAnsiTheme="minorEastAsia" w:cstheme="minorEastAsia"/>
          <w:szCs w:val="21"/>
          <w:lang w:val="en-US" w:eastAsia="zh-CN"/>
        </w:rPr>
        <w:t xml:space="preserve">成交供应商。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将在江苏政府采购网发布中标公告，公告期限为1个工作日。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28.4 若有充分证据证明，中标人存在下列情形之一的，一经查实，将被取消中标资格：</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（1）提供虚假材料谋取中标、成交的。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（2）采取不正当手段诋毁、排挤其他供应商的。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恶意串通的。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（5）在招标采购过程中与采购人进行协商谈判的。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（6）属于本招标文件规定的无效情形，但在评标过程中又未被评委会发现的。</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29、中标通知书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29.1 中标结果确定后，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29.3 中标人应在中标后七个工作日内，向采购人和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各提供一份与电子投标文件一致的纸质打印胶装投标文件，封面、骑缝需加盖公章。</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七、授予合同</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30、签订合同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30.1 中标人应当在中标通知书发出之日起三十日内，按照招标文件和中标人投标文件的规定，与采购人签订政府采购合同。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30.2 招标文件、中标人的投标文件及招标过程中有关澄清、承诺等文件均应作为合同附件。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30.4 </w:t>
      </w:r>
      <w:r>
        <w:rPr>
          <w:rFonts w:hint="eastAsia" w:ascii="宋体" w:hAnsi="宋体" w:eastAsia="宋体" w:cs="宋体"/>
          <w:sz w:val="21"/>
          <w:szCs w:val="21"/>
          <w:highlight w:val="none"/>
        </w:rPr>
        <w:t xml:space="preserve">采购人应当在合同签订后2</w:t>
      </w:r>
      <w:r>
        <w:rPr>
          <w:rFonts w:hint="eastAsia" w:ascii="宋体" w:hAnsi="宋体" w:eastAsia="宋体" w:cs="宋体"/>
          <w:sz w:val="21"/>
          <w:szCs w:val="21"/>
          <w:highlight w:val="none"/>
          <w:lang w:eastAsia="zh-CN"/>
        </w:rPr>
        <w:t xml:space="preserve">个</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日内上传合同至苏采云公示</w:t>
      </w:r>
      <w:r>
        <w:rPr>
          <w:rFonts w:hint="eastAsia" w:ascii="宋体" w:hAnsi="宋体" w:eastAsia="宋体" w:cs="宋体"/>
          <w:sz w:val="21"/>
          <w:szCs w:val="21"/>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30.5履约保证金</w:t>
      </w:r>
      <w:r/>
    </w:p>
    <w:p>
      <w:pPr>
        <w:ind w:firstLine="420"/>
        <w:jc w:val="both"/>
        <w:pageBreakBefore w:val="0"/>
        <w:spacing w:line="360" w:lineRule="auto"/>
        <w:widowControl w:val="off"/>
        <w:rPr>
          <w:rFonts w:hint="default"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本项目不收取履约保证金。</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31、合同标的的追加</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32、政府采购履约资金扶持政策</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32.1 中标人可凭政府采购合同办理融资贷款，详情请见江苏政府采购网“政采贷”专栏。</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八、询问与质疑</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33、询问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33.1 供应商对政府采购活动事项有疑问的，可以提出询问，采购人或者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应当在3个工作日内对投标人依法提出的询问作出答复，但答复的内容不得涉及商业秘密。供应商提出的询问超出采购人对</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应当告知其向采购人提出。</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34、质疑提出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34.1 提出质疑的供应商应当是参与所质疑项目采购活动的供应商。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提出质疑。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将只对供应商第一次质疑作出答复。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不具有法定调查、认定权限。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34.4 质疑函的接收方式为供应商书面原件提交。联系部门、联系电话和通讯地址详见招标文件第一章。质疑实行实名制，不得进行虚假、恶意质疑。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34.5 质疑函应当使用范本，详见招标文件第六章。供应商提出质疑应当提交质疑函和必要的证明材料，应当包括下列内容：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（1）供应商的姓名或者名称、地址、邮编、联系人及联系电话；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（2）质疑项目的名称、编号；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（3）具体、明确的质疑事项和与质疑事项相关的请求；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（4）事实依据；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（5）必要的法律依据；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（6）提出质疑的日期；</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（7）必要的证明材料；</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35、质疑函的受理和答复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不负责搜集必要的证明材料等工作。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35.2 对符合法定要求的质疑，采购人、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35.3 对不符合质疑要求的，采购人、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35.4 以下情形的质疑依法不予受理：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（1）内容不符合《政府采购质疑和投诉办法》第十二条规定的质疑。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（2）超出政府采购法定期限的质疑。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（3）以传真、电子邮件等方式递交的非原件形式的质疑。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35.5 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依法受理的质疑，将按照政府采购有关规定，在法定期限内作出答复。</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36、质疑处理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36.1 质疑供应商未按照法定程序进行质疑投诉的，视为一般失信行为。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36.2 质疑供应商不配合或者采取不正当手段干扰政府采购质疑、投诉处理工作的，视为一般失信行为。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36.3 质疑供应商投诉受理期间，就同一事项多头举报，干扰财政部门投诉处理的，视为一般失信行为。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36.4 质疑供应商在全国范围12个月内三次以上质疑查无实据的，视为一般失信行为。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36.6 质疑供应商在全国范围12个月内三次以上投诉查无实据的，视为严重失信行为。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36.7 未尽事宜，依照有关法律、法规执行。</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九、政府采购政策功能</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、支持绿色发展</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.3政府采购项目执行《财政部生态环境部工业和信息化部关于印发&lt;绿色数据中心政府采购需求标准（试行)&gt;的通知》(财库〔2023〕7号）相关要求。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、政府采购需求标准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.1 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39.采购本国产品的支持政策</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39.1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p>
      <w:pPr>
        <w:ind w:firstLine="420"/>
        <w:jc w:val="both"/>
        <w:pageBreakBefore w:val="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br w:type="page" w:clear="all"/>
      </w:r>
      <w:r/>
    </w:p>
    <w:p>
      <w:pPr>
        <w:pStyle w:val="767"/>
        <w:numPr>
          <w:ilvl w:val="0"/>
          <w:numId w:val="2"/>
        </w:numPr>
        <w:ind w:left="0" w:firstLine="0"/>
        <w:jc w:val="center"/>
        <w:spacing w:before="156" w:after="156" w:line="360" w:lineRule="auto"/>
        <w:rPr>
          <w:rFonts w:hint="eastAsia" w:ascii="宋体" w:hAnsi="宋体" w:eastAsia="宋体" w:cs="宋体"/>
          <w:b w:val="0"/>
          <w:sz w:val="30"/>
          <w:szCs w:val="30"/>
        </w:rPr>
      </w:pPr>
      <w:r/>
      <w:bookmarkStart w:id="2" w:name="_Toc155796358"/>
      <w:r>
        <w:rPr>
          <w:rFonts w:hint="eastAsia" w:ascii="宋体" w:hAnsi="宋体" w:eastAsia="宋体" w:cs="宋体"/>
          <w:b w:val="0"/>
          <w:sz w:val="30"/>
          <w:szCs w:val="30"/>
        </w:rPr>
        <w:t xml:space="preserve"> 合同文本</w:t>
      </w:r>
      <w:bookmarkEnd w:id="2"/>
      <w:r/>
      <w:r/>
    </w:p>
    <w:p>
      <w:pPr>
        <w:rPr>
          <w:rFonts w:hint="eastAsia"/>
        </w:rPr>
      </w:pPr>
      <w:r>
        <w:rPr>
          <w:rFonts w:hint="eastAsia"/>
        </w:rPr>
      </w:r>
      <w:r/>
    </w:p>
    <w:p>
      <w:pPr>
        <w:numPr>
          <w:ilvl w:val="0"/>
          <w:numId w:val="0"/>
        </w:numPr>
        <w:rPr>
          <w:rFonts w:hint="eastAsia"/>
        </w:rPr>
      </w:pPr>
      <w:r>
        <w:rPr>
          <w:rFonts w:hint="eastAsia"/>
        </w:rPr>
      </w:r>
      <w:r/>
    </w:p>
    <w:p>
      <w:pPr>
        <w:jc w:val="center"/>
        <w:spacing w:line="360" w:lineRule="auto"/>
        <w:rPr>
          <w:rFonts w:hint="eastAsia" w:ascii="宋体" w:hAnsi="宋体" w:eastAsia="宋体" w:cs="宋体"/>
          <w:b/>
          <w:bCs/>
          <w:color w:val="auto"/>
          <w:sz w:val="44"/>
          <w:szCs w:val="24"/>
          <w:highlight w:val="none"/>
          <w:u w:val="single"/>
        </w:rPr>
      </w:pPr>
      <w:r/>
      <w:bookmarkStart w:id="3" w:name="_Toc155796359"/>
      <w:r/>
      <w:r/>
    </w:p>
    <w:p>
      <w:pPr>
        <w:jc w:val="center"/>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u w:val="single"/>
        </w:rPr>
        <w:t xml:space="preserve">                    </w:t>
      </w:r>
      <w:r>
        <w:rPr>
          <w:rFonts w:hint="eastAsia" w:ascii="宋体" w:hAnsi="宋体" w:eastAsia="宋体" w:cs="宋体"/>
          <w:b/>
          <w:bCs/>
          <w:color w:val="auto"/>
          <w:sz w:val="44"/>
          <w:szCs w:val="24"/>
          <w:highlight w:val="none"/>
        </w:rPr>
        <w:t xml:space="preserve">合同</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3070"/>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采购人：</w:t>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中标人：</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Cs w:val="24"/>
          <w:highlight w:val="none"/>
        </w:rPr>
        <w:br w:type="page" w:clear="all"/>
      </w:r>
      <w:r/>
    </w:p>
    <w:p>
      <w:pPr>
        <w:ind w:firstLine="420"/>
        <w:jc w:val="left"/>
        <w:spacing w:line="5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32"/>
          <w:szCs w:val="32"/>
          <w:highlight w:val="none"/>
        </w:rPr>
        <w:t xml:space="preserve">政府采购合同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项目（标段编号：</w:t>
      </w:r>
      <w:r>
        <w:rPr>
          <w:rFonts w:hint="eastAsia" w:ascii="宋体" w:hAnsi="宋体" w:eastAsia="宋体" w:cs="宋体"/>
          <w:color w:val="auto"/>
          <w:sz w:val="21"/>
          <w:szCs w:val="21"/>
          <w:highlight w:val="none"/>
          <w:u w:val="single"/>
        </w:rPr>
        <w:t xml:space="preserve">【标段编号】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招标的结果，签订本合同。</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一、采购标的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 服务内容：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服务期限：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 补充条款：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本合同金额为（大写）：_________________元整（¥__________）人民币。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本合同金额为最高支付限额。如因实际服务人数不足导致按考核结果结算的总额低于本合同金额的，按实际结算金额支付；如实际服务人数超出预期导致应结算金额超过本合同金额的，超出部分不予支付。</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val="en-US" w:eastAsia="zh-CN"/>
        </w:rPr>
        <w:t xml:space="preserve">考核标准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采购人依据考核标准，会同专业第三方评估组织进行考核。</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年度考核包括基础条件考核、日常管理考核和康复质量评估。</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四、知识产权</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 乙方保证所交付标的的所有权完全属于乙方且无任何抵押、查封等产权瑕疵。</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本项目不收取履约保证金。</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七、转包或分包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本合同范围内产品或服务，应由乙方直接供应，不得转让他人供应；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如有转让和未经甲方同意的分包行为，甲方有权给予终止合同。 </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八、服务期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8.1 服务期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年。具体以年度考核正式通知时间段日期为准。</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九、交付期、交付方式及交付地点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 交 付 期：</w:t>
      </w:r>
      <w:r>
        <w:rPr>
          <w:rFonts w:hint="eastAsia" w:ascii="宋体" w:hAnsi="宋体" w:eastAsia="宋体" w:cs="宋体"/>
          <w:color w:val="auto"/>
          <w:sz w:val="21"/>
          <w:szCs w:val="21"/>
          <w:highlight w:val="none"/>
        </w:rPr>
        <w:t xml:space="preserve">_________。   </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交付方式：</w:t>
      </w:r>
      <w:r>
        <w:rPr>
          <w:rFonts w:hint="eastAsia" w:ascii="宋体" w:hAnsi="宋体" w:eastAsia="宋体" w:cs="宋体"/>
          <w:color w:val="auto"/>
          <w:sz w:val="21"/>
          <w:szCs w:val="21"/>
          <w:highlight w:val="none"/>
          <w:u w:val="single"/>
          <w:lang w:val="en-US" w:eastAsia="zh-CN"/>
        </w:rPr>
        <w:t xml:space="preserve">乙方必须严格按招标文书和相关文件中明确的项目服务要求，提供康复服务，确保服务质量和时间，做好服务管理工作。</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9.3 交付地点：</w:t>
      </w:r>
      <w:r>
        <w:rPr>
          <w:rFonts w:hint="eastAsia" w:ascii="宋体" w:hAnsi="宋体" w:eastAsia="宋体" w:cs="宋体"/>
          <w:color w:val="auto"/>
          <w:sz w:val="21"/>
          <w:szCs w:val="21"/>
          <w:highlight w:val="none"/>
          <w:u w:val="single"/>
          <w:lang w:val="en-US" w:eastAsia="zh-CN"/>
        </w:rPr>
        <w:t xml:space="preserve">赣榆区</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十、合同款支付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10.1 付款方式</w:t>
      </w:r>
      <w:r>
        <w:rPr>
          <w:rFonts w:hint="eastAsia" w:ascii="宋体" w:hAnsi="宋体" w:eastAsia="宋体" w:cs="宋体"/>
          <w:color w:val="auto"/>
          <w:sz w:val="21"/>
          <w:szCs w:val="21"/>
          <w:highlight w:val="none"/>
        </w:rPr>
        <w:t xml:space="preserve">：</w:t>
      </w:r>
      <w:r>
        <w:rPr>
          <w:rFonts w:hint="eastAsia" w:ascii="宋体" w:hAnsi="宋体" w:eastAsia="宋体" w:cs="宋体"/>
          <w:strike w:val="0"/>
          <w:color w:val="auto"/>
          <w:sz w:val="21"/>
          <w:szCs w:val="21"/>
          <w:highlight w:val="none"/>
        </w:rPr>
        <w:t xml:space="preserve">采购人委托第三方机构按相关文件规定进行评估考核，</w:t>
      </w:r>
      <w:r>
        <w:rPr>
          <w:rFonts w:hint="eastAsia" w:ascii="宋体" w:hAnsi="宋体" w:eastAsia="宋体" w:cs="宋体"/>
          <w:color w:val="auto"/>
          <w:sz w:val="21"/>
          <w:szCs w:val="21"/>
          <w:highlight w:val="none"/>
        </w:rPr>
        <w:t xml:space="preserve">结合日常、定期考核情况，每季度形成综合考核评估报告，根据考核结果，按照服务经费标准及实际服务人数每季度进行结算(无息)。</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 </w:t>
      </w:r>
      <w:r>
        <w:rPr>
          <w:rFonts w:hint="eastAsia" w:ascii="宋体" w:hAnsi="宋体" w:eastAsia="宋体" w:cs="宋体"/>
          <w:color w:val="auto"/>
          <w:sz w:val="21"/>
          <w:szCs w:val="21"/>
          <w:highlight w:val="none"/>
        </w:rPr>
        <w:t xml:space="preserve">每次付款前乙方应向甲方开具正规发票，</w:t>
      </w:r>
      <w:r>
        <w:rPr>
          <w:rFonts w:hint="eastAsia" w:ascii="宋体" w:hAnsi="宋体" w:eastAsia="宋体" w:cs="宋体"/>
          <w:color w:val="auto"/>
          <w:sz w:val="21"/>
          <w:szCs w:val="21"/>
          <w:highlight w:val="none"/>
          <w:u w:val="none"/>
        </w:rPr>
        <w:t xml:space="preserve">甲方自收到发票后10个工作日</w:t>
      </w:r>
      <w:r>
        <w:rPr>
          <w:rFonts w:hint="eastAsia" w:ascii="宋体" w:hAnsi="宋体" w:eastAsia="宋体" w:cs="宋体"/>
          <w:color w:val="auto"/>
          <w:sz w:val="21"/>
          <w:szCs w:val="21"/>
          <w:highlight w:val="none"/>
        </w:rPr>
        <w:t xml:space="preserve">内将资金支付至合同约定的乙方账户 (发票开具日期计算)。</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十一、税费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本合同执行中相关的一切税费均由乙方负担。</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十二、质量保证及售后服务</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乙方必须严格按招标文书和相关文件中明确的项目服务要求，提供康复服务，确保服务质量和时间，做好服务管理工作。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甲方按省、市相关文件对乙方进行管理。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康复对象在乙方机构内进行各种康复训练与治疗过程中出现各类意外和纠纷由乙方负责，甲方不承担责任。</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十三、验收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13.1甲方每年按考核办法对乙方提交的服务依据招标文件上的项目需求、乙方响应文件及国家有关质量标准等情况进行相应考核验收。</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十四、合同内容的交付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乙方应保证在训残疾儿童足额足时足量参加康复训练。</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十五、违约责任</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乙方的考核验收结果存在以下问题的，一律解除服务合同: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(1)不按合同要求、不执行《江苏省残疾儿童基本康复服务实施规范》和《残疾儿童基本康复服务规范》连云港市地方技术标准，且不完成限期整改的;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(2)按照财政资金绩效评价相关规定对机构实施的残疾儿童基本康复服务进行绩效考核年度考核不合格的，且不完成限期整改的;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(3)不按合同要求，自行降低服务标准的，两次告诫且不完成限期整改的;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(4)发生严重安全及重大责任事故;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(5)弄虚作假，开具假证明、假服务记录、假票据等行为套取政府购买服务资金的，限期整改并退回套取资金，情节严重涉嫌犯罪的，移送司法机关依法处理;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(6)服务期限内被举报或投诉 2次(含)以上，经核实情况属实</w:t>
      </w:r>
      <w:r>
        <w:rPr>
          <w:rFonts w:hint="eastAsia" w:ascii="宋体" w:hAnsi="宋体" w:eastAsia="宋体" w:cs="宋体"/>
          <w:strike w:val="0"/>
          <w:color w:val="auto"/>
          <w:sz w:val="21"/>
          <w:szCs w:val="21"/>
          <w:highlight w:val="none"/>
          <w:u w:val="none"/>
        </w:rPr>
        <w:t xml:space="preserve">，两次告诫后不完成限期整改</w:t>
      </w:r>
      <w:r>
        <w:rPr>
          <w:rFonts w:hint="eastAsia" w:ascii="宋体" w:hAnsi="宋体" w:eastAsia="宋体" w:cs="宋体"/>
          <w:color w:val="auto"/>
          <w:sz w:val="21"/>
          <w:szCs w:val="21"/>
          <w:highlight w:val="none"/>
        </w:rPr>
        <w:t xml:space="preserve">的。</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十六、不可抗力事件处理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在合同有效期内，任何一方因不可抗力事件导致不能履行合同，则合同履行期延长，其延长期与不可抗力影响期相同。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十七、争议解决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双方在执行合同中所发生的一切争议，应通过协商解决。如协商不成，按下列第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种方式解决：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lang w:val="en-US" w:eastAsia="zh-CN"/>
        </w:rPr>
        <w:t xml:space="preserve">赣榆区</w:t>
      </w:r>
      <w:r>
        <w:rPr>
          <w:rFonts w:hint="eastAsia" w:ascii="宋体" w:hAnsi="宋体" w:eastAsia="宋体" w:cs="宋体"/>
          <w:color w:val="auto"/>
          <w:sz w:val="21"/>
          <w:szCs w:val="21"/>
          <w:highlight w:val="none"/>
        </w:rPr>
        <w:t xml:space="preserve">仲裁委员会申请仲裁。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（2）向合同签订地法院起诉，合同签订地在此约定为</w:t>
      </w:r>
      <w:r>
        <w:rPr>
          <w:rFonts w:hint="eastAsia" w:ascii="宋体" w:hAnsi="宋体" w:eastAsia="宋体" w:cs="宋体"/>
          <w:color w:val="auto"/>
          <w:sz w:val="21"/>
          <w:szCs w:val="21"/>
          <w:highlight w:val="none"/>
          <w:lang w:val="en-US" w:eastAsia="zh-CN"/>
        </w:rPr>
        <w:t xml:space="preserve">赣榆区</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十八、合同生效及其它</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合同经双方法定代表人或委托代理人签字并加盖单位公章后生效。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本合同未尽事宜，遵照《中华人民共和国民法典》有关条文执行。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本合同正本一式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份，具有同等法律效力，甲方执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rPr>
        <w:t xml:space="preserve">份。</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                                  传真：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p>
      <w:pPr>
        <w:pStyle w:val="8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2"/>
        <w:rPr>
          <w:rFonts w:hint="eastAsia"/>
          <w:lang w:val="en-US" w:eastAsia="zh-CN"/>
        </w:rPr>
      </w:pPr>
      <w:r>
        <w:rPr>
          <w:rFonts w:hint="eastAsia"/>
          <w:lang w:val="en-US" w:eastAsia="zh-CN"/>
        </w:rPr>
      </w:r>
      <w:r/>
    </w:p>
    <w:p>
      <w:pPr>
        <w:pStyle w:val="767"/>
        <w:numPr>
          <w:ilvl w:val="0"/>
          <w:numId w:val="2"/>
        </w:numPr>
        <w:ind w:left="0" w:firstLine="0"/>
        <w:jc w:val="center"/>
        <w:spacing w:before="156" w:after="156" w:line="360" w:lineRule="auto"/>
        <w:rPr>
          <w:rFonts w:hint="eastAsia" w:ascii="宋体" w:hAnsi="宋体" w:eastAsia="宋体" w:cs="宋体"/>
          <w:b w:val="0"/>
          <w:sz w:val="30"/>
          <w:szCs w:val="30"/>
          <w:lang w:val="en-US" w:eastAsia="zh-CN"/>
        </w:rPr>
      </w:pPr>
      <w:r>
        <w:rPr>
          <w:rFonts w:hint="eastAsia" w:ascii="宋体" w:hAnsi="宋体" w:eastAsia="宋体" w:cs="宋体"/>
          <w:b w:val="0"/>
          <w:sz w:val="30"/>
          <w:szCs w:val="30"/>
        </w:rPr>
        <w:t xml:space="preserve"> 采购需求</w:t>
      </w:r>
      <w:r>
        <w:rPr>
          <w:rFonts w:hint="eastAsia" w:ascii="宋体" w:hAnsi="宋体" w:eastAsia="宋体" w:cs="宋体"/>
          <w:b w:val="0"/>
          <w:sz w:val="30"/>
          <w:szCs w:val="30"/>
          <w:lang w:val="en-US" w:eastAsia="zh-CN"/>
        </w:rPr>
        <w:t xml:space="preserve"> </w:t>
      </w:r>
      <w:bookmarkEnd w:id="3"/>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4" w:name="_Toc155796360"/>
      <w:r>
        <w:rPr>
          <w:rFonts w:hint="eastAsia" w:ascii="宋体" w:hAnsi="宋体" w:eastAsia="宋体" w:cs="宋体"/>
          <w:b/>
          <w:bCs/>
          <w:color w:val="auto"/>
          <w:sz w:val="21"/>
          <w:szCs w:val="21"/>
          <w:highlight w:val="none"/>
        </w:rPr>
        <w:t xml:space="preserve">说明：本项目采购方式为公开招标，项目属性为服务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采购标的对应的中小企业划分标准所属行业</w:t>
      </w:r>
      <w:r>
        <w:rPr>
          <w:rFonts w:hint="eastAsia" w:ascii="宋体" w:hAnsi="宋体" w:eastAsia="宋体" w:cs="宋体"/>
          <w:b/>
          <w:bCs/>
          <w:color w:val="auto"/>
          <w:sz w:val="21"/>
          <w:szCs w:val="21"/>
          <w:highlight w:val="none"/>
          <w:lang w:val="en-US" w:eastAsia="zh-CN"/>
        </w:rPr>
        <w:t xml:space="preserve">为其他未列明行业。</w:t>
      </w:r>
      <w:r/>
    </w:p>
    <w:p>
      <w:pPr>
        <w:ind w:left="0" w:firstLine="422"/>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color w:val="auto"/>
          <w:sz w:val="21"/>
          <w:szCs w:val="21"/>
          <w:highlight w:val="none"/>
        </w:rPr>
        <w:t xml:space="preserve">本项目需求中标注★号的款项为实质性要求和条件，由采购人根据实际情况设置，投标人必须逐条明确作出满足实质性要求和条件的响应，否则投标无效。</w:t>
      </w:r>
      <w:r/>
    </w:p>
    <w:p>
      <w:pPr>
        <w:pStyle w:val="987"/>
        <w:ind w:left="0" w:firstLine="422"/>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一、项目概述</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落实全省残疾儿童康复救助制度，完善残疾儿童基本康复服务体系建设，进一步规范残疾儿童基本康复服务，提升基本康复服务质量，依据《江苏省人民政府关于完善残疾儿童康复救助制度的实施意见》（苏政发〔2018〕129号）和《江苏省残疾儿童基本康复服务管理暂行办法》（苏残发〔2020〕23号）、《江苏省残疾儿童基本康复服务实施规范（2023年版）的通知》（苏残规〔2023〕1号），对2026年度残疾儿童基本康复训练服务项目进行招标。</w:t>
      </w:r>
      <w:r/>
    </w:p>
    <w:p>
      <w:pPr>
        <w:numPr>
          <w:ilvl w:val="0"/>
          <w:numId w:val="0"/>
        </w:num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康复服务对象</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基本康复服务对象，是指具有赣榆区户籍，有康复需求和康复意愿，经国内三级医院、县级以上残联指定的残疾评定机构或残疾评定专家组诊断评估有康复训练适应指征的（0-16岁）孤独症儿童，本次招标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五标段</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人数</w:t>
      </w:r>
      <w:r>
        <w:rPr>
          <w:rFonts w:hint="eastAsia" w:ascii="宋体" w:hAnsi="宋体" w:eastAsia="宋体" w:cs="宋体"/>
          <w:b/>
          <w:bCs/>
          <w:color w:val="auto"/>
          <w:sz w:val="21"/>
          <w:szCs w:val="21"/>
          <w:highlight w:val="none"/>
          <w:lang w:val="en-US" w:eastAsia="zh-CN"/>
        </w:rPr>
        <w:t xml:space="preserve">约30人，具体人数以实际服务人数为准。</w:t>
      </w:r>
      <w:r/>
    </w:p>
    <w:p>
      <w:pPr>
        <w:numPr>
          <w:ilvl w:val="0"/>
          <w:numId w:val="0"/>
        </w:num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康复服务时间</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形式</w:t>
      </w:r>
      <w:r>
        <w:rPr>
          <w:rFonts w:hint="eastAsia" w:ascii="宋体" w:hAnsi="宋体" w:eastAsia="宋体" w:cs="宋体"/>
          <w:b/>
          <w:bCs/>
          <w:color w:val="auto"/>
          <w:sz w:val="21"/>
          <w:szCs w:val="21"/>
          <w:highlight w:val="none"/>
          <w:lang w:val="en-US" w:eastAsia="zh-CN"/>
        </w:rPr>
        <w:t xml:space="preserve">和地点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（一）服务时间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auto"/>
          <w:sz w:val="21"/>
          <w:szCs w:val="21"/>
          <w:highlight w:val="none"/>
          <w:lang w:val="en-US" w:eastAsia="zh-CN"/>
        </w:rPr>
        <w:t xml:space="preserve">为保证康复效果连续有效，残疾儿童基本康复服务应在机构内进行，年度基本康复时间不少于9个月。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服务形式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基本康复服务形式分全日制和非全日制两种类型，残疾儿童监护人可自主选择服务类型。</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服务技术要求：</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建设要求</w:t>
      </w:r>
      <w:r/>
    </w:p>
    <w:p>
      <w:p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机构规划布局、建设规模和建设面积执行《残疾人康复机构建设标准》（建标165－2013）中关于“选址与规划布局”和“建设规模与建筑面积指标”的相关规定。</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环境要求</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.生活用房应设在建筑的底层，设有独立出入口；有独立的室外活动场地。生活用房和室外场地与其他建筑部分采取隔离措施，配备防止物体坠落设施，光照充足，通风良好。</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机构部门设置要求</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设置教学评估/医疗评估，康复训练、教育培训、后勤保障、行政办公等部门。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训练场地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应设置咨询接待(评估)室、集体（组别）训练教室、运动（感统）训练室、生活自理训练室、个训教室、档案室。有可利用的室外活动场地，无障碍建设和设施完备。业务用房面积不少于建筑总面的60%。</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咨询接待(评估)室至少1间,面积不小于15平方米。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集体（组别）训练教室按1:20的比例标准设置，至少1间，内设游戏活动区,每间不小于30平方米。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运动（感统）训练室至少1间,面积不小于50平方米。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生活自理能力训练区,包括洗漱、就餐、更衣、如厕等区域，可结合机构日常生活环境设置。</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个训教室数量与收训儿童人数按1:5的比例标准设置，每间面积应不小于8平方米。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室外活动场地面积按人均2平方米标准设置，建有与孤独症儿童相适应的运动器材和游戏娱乐设施，室外场地应独立，设有安全提示标志和安全设施，确保无安全隐患。</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★承诺中标后在项目所在地设置训练场地。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（五）</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训练设备</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具备基本康复评估工具，包括心理教育评估表（PEP－3）/C－PEP-3/孤独症儿童发展评估表（C－PEP）、语言行为里程碑评估及安置程序（VB－MAPP）、婴儿-初中生社会生活量表/儿童适应行为评定量表/Gesell发育量表。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基本训练设备：滑板车、大滑板、吊筒、钻滚筒、羊角球、大龙球、布袋跳、触觉球、按摩地垫、平衡木、平衡踩踏车、万象组合包、精细运动训练玩具等。</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教学设备：配备儿童的课桌椅、大小黑（白）板、多媒体教学器材；适合儿童特点的挂图、卡片、音乐、游戏等教玩具。</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其它设备：按人均4件的标准配备符合儿童训练特点的各类玩具和图书。配备家长培训所需的教学设备。</w:t>
      </w:r>
      <w:r/>
    </w:p>
    <w:p>
      <w:pPr>
        <w:numPr>
          <w:ilvl w:val="0"/>
          <w:numId w:val="0"/>
        </w:numPr>
        <w:ind w:left="0" w:firstLine="422"/>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（六）人员配备</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1.配备康复业务主管（项目负责人）、教师、康复治疗师（行为分析师、言语治疗师、作业治疗师）、保育员、保健医生等工作人员。</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2.个训教师与残疾儿童比例应不低于1:8；康复治疗师与残疾儿童的比例应不低于1:15；业务主管、教师、康复治疗师不低于机构内职工总数的70%。</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3.业务主管具有教育、医疗、康复、心理等相关专业大专以上学历。有3年以上儿童康复训练的服务经验。</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4.教师取得资格证、具有学前教育、特殊教育等相关专业大专以上学历。应全部接受过孤独症康复教育的岗前培训。</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5.康复治疗师具有康复治疗专业大专以上学历。取得资格证或经过相关业务培训。</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6.机构所有工作人员根据岗位要求取得健康证明。</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能力</w:t>
      </w:r>
      <w:r/>
    </w:p>
    <w:p>
      <w:pPr>
        <w:numPr>
          <w:ilvl w:val="0"/>
          <w:numId w:val="0"/>
        </w:numPr>
        <w:ind w:left="0" w:firstLine="63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具有同时收训</w:t>
      </w:r>
      <w:r>
        <w:rPr>
          <w:rFonts w:hint="eastAsia" w:ascii="宋体" w:hAnsi="宋体" w:eastAsia="宋体" w:cs="宋体"/>
          <w:b/>
          <w:bCs/>
          <w:color w:val="auto"/>
          <w:sz w:val="21"/>
          <w:szCs w:val="21"/>
          <w:highlight w:val="none"/>
          <w:lang w:val="en-US" w:eastAsia="zh-CN"/>
        </w:rPr>
        <w:t xml:space="preserve">30人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以上孤独症儿童的能力。</w:t>
      </w:r>
      <w:r/>
    </w:p>
    <w:p>
      <w:pPr>
        <w:numPr>
          <w:ilvl w:val="0"/>
          <w:numId w:val="0"/>
        </w:numPr>
        <w:ind w:left="0" w:firstLine="63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康复训练：年度机构内基本康复服务时间不少于9个月。服务内容包括社会交往与沟通、认知与感知、运动、生活自理、兴趣与行为、情绪管理和社会融合活动。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全日制康复服务每天4小时（当月法定工作（学习）日），课程设置应符合残疾儿童个性特征，每天个性化服务支持不少于1节课40分钟。</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非全日制康复服务每月12天（每周3天），每天1次1.5小时，其中个训化服务支持不少于1小时。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3.残疾儿童年度康复训练前、训练中、训练后应进行康复效能评估,每年不少于3次。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4.支持性服务：为受训儿童及家长提供家庭康复指导、心理辅导、政策咨询、知识普及等支持性服务。康复知识个别化讲解和康复训练指导根据实际需要为家长提供，集中培训活动每两月不少于1次，每次不少于1 小时。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5.家长培训：</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（1）定期向家长提供每年不少于 4 次的相关培训，并有相关书面和视频记录；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（2）家长了解在社区和家庭环境中进行康复训练的目标；</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（3）家长掌握基本康复训练的流程和组织实施方法。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6.业务指导：</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（1）开展儿童转介或跟踪服务；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（2）面向社区提供家庭康复延伸的培训；</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（3）根据服务对象特点提供指导服务、派发相关宣传资料；</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（4）结合“孤独症日”“全国助残日”等专题日，参与公益活动，每年不少于 2次；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对于康复效果明显，符合入园、入学条件的儿童，及时动员家长办理入学。</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7.质量控制：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（1）有需求残疾儿童康复评估、训练建档率 100%；</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（2）家长满意度达 90%以上；</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（3）组织残疾儿童参加社会融合活动每年不少于 4 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安全生产工作要求</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1.康复机构应依照安全生产法律法规履行安全生产主体责任，严格落实安全管理措施，有效管控安全生产风险，消除问题隐患等方面存在的问题。</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康复机构的各项安全管理制度和突发事件应急预案应当齐备，有完善的防火、防盗设施，每年至少组织一次消防逃生演练，对要害部位有特殊的管理措施和预警预案。突发事件应当及时向主管部门或有关部门报告，并有完整的过程和应急处理记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3.采购人将会组织专项督查，实地查看康复机构的安全生产情况。</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（1）消防安全制度落实情况，工作人员掌握消防安全知识和基本技能情况，消防重点部位日常管理情况，火灾隐患整改和日常防范措施落实情况。</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（2）六项“严禁”：</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严禁使用未经消防许可或不符合消防技术的建筑物及场所；</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严禁违规改建、扩建不符合消防安全标准的构筑物；</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严禁采用夹芯材料燃烧性能低于 A 级的彩钢板作为室内分格或搭建临时建筑；</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严禁擅自停用关闭消防设施设备、设置影响疏散逃生和灭火救援的铁栅栏、 锁闭堵塞安全出口、 占用消防通道和扑救场地；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严禁私拉乱接电气线、超负荷用电；严禁使用电炉、热得快等大功率电器。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（3）三知：</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知道建筑物功能布局情况；知道安全出口位置；知道消防器材位置。</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（4）四会：</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会使用消防针器材；会报火警；会扑灭初期火灾；会组织人员疏散逃生。</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（5）应急管理：</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每年至少开展一次火灾事故应急演练，制定灭火和应急疏散预案。</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服务标准</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康复服务着眼改善和提高残疾儿童感知、运动、认知、言语沟通、情绪管理、生活自理、社会交往等能力。按《江苏省残疾人基本康复服务目录》提供与年龄和残疾类别相适应的康复训练、康复医疗、辅助器具适配和支持性服务，并向在训儿童及其家庭提供康复评估、康复咨询、康复指导和康复宣传服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（十）</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工作台账</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康复训练档案齐全，包括残疾儿童康复服务登记表、初始状态评估表、康复训练计划、康复训练日志、阶段性评估表、训练出勤表；</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《残疾儿童康复救助平台》数据录入及时、准确、完备。</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（十一）实施要求</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邀请境外（香港、澳门、台湾）和外籍专家来通培训、讲学或合作的，应向采购人报备，接受县公安局境外非政府组织管理办公室的督查监管，严防违法违纪现象的发生。</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因歇业、解散、被撤销或者其他原因暂停或终止服务的，应及时向采购人报备。</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default" w:ascii="宋体" w:hAnsi="宋体" w:cs="宋体"/>
          <w:color w:val="000000" w:themeColor="text1"/>
          <w:sz w:val="21"/>
          <w:szCs w:val="21"/>
          <w:highlight w:val="none"/>
          <w:lang w:val="en-US" w:eastAsia="zh-CN"/>
          <w14:textFill>
            <w14:solidFill>
              <w14:schemeClr w14:val="tx1"/>
            </w14:solidFill>
          </w14:textFill>
        </w:rPr>
        <w:t xml:space="preserve">成立家长委员会参与机构管理，有效监督机构的服务质量和规范化管理。</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default" w:ascii="宋体" w:hAnsi="宋体" w:cs="宋体"/>
          <w:color w:val="000000" w:themeColor="text1"/>
          <w:sz w:val="21"/>
          <w:szCs w:val="21"/>
          <w:highlight w:val="none"/>
          <w:lang w:val="en-US" w:eastAsia="zh-CN"/>
          <w14:textFill>
            <w14:solidFill>
              <w14:schemeClr w14:val="tx1"/>
            </w14:solidFill>
          </w14:textFill>
        </w:rPr>
        <w:t xml:space="preserve">服务对象可在项目需求的中标单位中自愿选取，不得强迫。</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机构须按照本招标文件和省、市、区残联出台的相关服务规范的要求，提供相应项目需求残疾儿童专项康复服务工作，遵守区残联对残疾儿童康复机构的管理要求。严禁将本项目或其中任何部分转包给其他单位和个人。</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康复训练区域装备监控设施，监控资料能保存</w:t>
      </w: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default" w:ascii="宋体" w:hAnsi="宋体" w:cs="宋体"/>
          <w:color w:val="000000" w:themeColor="text1"/>
          <w:sz w:val="21"/>
          <w:szCs w:val="21"/>
          <w:highlight w:val="none"/>
          <w:lang w:val="en-US" w:eastAsia="zh-CN"/>
          <w14:textFill>
            <w14:solidFill>
              <w14:schemeClr w14:val="tx1"/>
            </w14:solidFill>
          </w14:textFill>
        </w:rPr>
        <w:t xml:space="preserve">天以上。</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（十二）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考核标准及考核办法</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采购人依据考核标准，会同专业第三方评估组织进行考核。</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auto"/>
          <w:sz w:val="21"/>
          <w:szCs w:val="21"/>
          <w:highlight w:val="none"/>
          <w:lang w:val="en-US" w:eastAsia="zh-CN"/>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考核</w:t>
      </w:r>
      <w:r>
        <w:rPr>
          <w:rFonts w:hint="eastAsia" w:ascii="宋体" w:hAnsi="宋体" w:cs="宋体"/>
          <w:color w:val="000000" w:themeColor="text1"/>
          <w:sz w:val="21"/>
          <w:szCs w:val="21"/>
          <w:highlight w:val="none"/>
          <w:lang w:val="en-US" w:eastAsia="zh-CN"/>
          <w14:textFill>
            <w14:solidFill>
              <w14:schemeClr w14:val="tx1"/>
            </w14:solidFill>
          </w14:textFill>
        </w:rPr>
        <w:t xml:space="preserve">包括</w:t>
      </w:r>
      <w:r>
        <w:rPr>
          <w:rFonts w:hint="default" w:ascii="宋体" w:hAnsi="宋体" w:cs="宋体"/>
          <w:color w:val="000000" w:themeColor="text1"/>
          <w:sz w:val="21"/>
          <w:szCs w:val="21"/>
          <w:highlight w:val="none"/>
          <w:lang w:val="en-US" w:eastAsia="zh-CN"/>
          <w14:textFill>
            <w14:solidFill>
              <w14:schemeClr w14:val="tx1"/>
            </w14:solidFill>
          </w14:textFill>
        </w:rPr>
        <w:t xml:space="preserve">基础</w:t>
      </w:r>
      <w:r>
        <w:rPr>
          <w:rFonts w:hint="eastAsia" w:ascii="宋体" w:hAnsi="宋体" w:cs="宋体"/>
          <w:color w:val="000000" w:themeColor="text1"/>
          <w:sz w:val="21"/>
          <w:szCs w:val="21"/>
          <w:highlight w:val="none"/>
          <w:lang w:val="en-US" w:eastAsia="zh-CN"/>
          <w14:textFill>
            <w14:solidFill>
              <w14:schemeClr w14:val="tx1"/>
            </w14:solidFill>
          </w14:textFill>
        </w:rPr>
        <w:t xml:space="preserve">条</w:t>
      </w:r>
      <w:r>
        <w:rPr>
          <w:rFonts w:hint="eastAsia" w:ascii="宋体" w:hAnsi="宋体" w:cs="宋体"/>
          <w:color w:val="auto"/>
          <w:sz w:val="21"/>
          <w:szCs w:val="21"/>
          <w:highlight w:val="none"/>
          <w:lang w:val="en-US" w:eastAsia="zh-CN"/>
        </w:rPr>
        <w:t xml:space="preserve">件考核标准</w:t>
      </w:r>
      <w:r>
        <w:rPr>
          <w:rFonts w:hint="default"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日常管理考核标准和康复质量评估考核。</w:t>
      </w:r>
      <w:r/>
    </w:p>
    <w:p>
      <w:pPr>
        <w:ind w:firstLine="480"/>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（1）孤独症</w:t>
      </w:r>
      <w:r>
        <w:rPr>
          <w:rFonts w:hint="eastAsia" w:ascii="宋体" w:hAnsi="宋体" w:eastAsia="宋体" w:cs="宋体"/>
          <w:b/>
          <w:bCs w:val="0"/>
          <w:color w:val="auto"/>
          <w:sz w:val="21"/>
          <w:szCs w:val="21"/>
          <w:highlight w:val="none"/>
        </w:rPr>
        <w:t xml:space="preserve">康复服务机构基础</w:t>
      </w:r>
      <w:r>
        <w:rPr>
          <w:rFonts w:hint="eastAsia" w:ascii="宋体" w:hAnsi="宋体" w:eastAsia="宋体" w:cs="宋体"/>
          <w:b/>
          <w:bCs w:val="0"/>
          <w:color w:val="auto"/>
          <w:sz w:val="21"/>
          <w:szCs w:val="21"/>
          <w:highlight w:val="none"/>
          <w:lang w:val="en-US" w:eastAsia="zh-CN"/>
        </w:rPr>
        <w:t xml:space="preserve">条件</w:t>
      </w:r>
      <w:r>
        <w:rPr>
          <w:rFonts w:hint="eastAsia" w:ascii="宋体" w:hAnsi="宋体" w:eastAsia="宋体" w:cs="宋体"/>
          <w:b/>
          <w:bCs w:val="0"/>
          <w:color w:val="auto"/>
          <w:sz w:val="21"/>
          <w:szCs w:val="21"/>
          <w:highlight w:val="none"/>
        </w:rPr>
        <w:t xml:space="preserve">考核评分细则</w:t>
      </w:r>
      <w:r/>
    </w:p>
    <w:tbl>
      <w:tblPr>
        <w:tblStyle w:val="991"/>
        <w:tblW w:w="100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8"/>
        <w:gridCol w:w="5880"/>
        <w:gridCol w:w="795"/>
        <w:gridCol w:w="825"/>
        <w:gridCol w:w="1803"/>
      </w:tblGrid>
      <w:tr>
        <w:trPr>
          <w:jc w:val="center"/>
          <w:trHeight w:val="381"/>
        </w:trPr>
        <w:tc>
          <w:tcPr>
            <w:gridSpan w:val="5"/>
            <w:tcW w:w="100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孤独症</w:t>
            </w:r>
            <w:r>
              <w:rPr>
                <w:rFonts w:hint="eastAsia" w:ascii="宋体" w:hAnsi="宋体" w:eastAsia="宋体" w:cs="宋体"/>
                <w:color w:val="auto"/>
                <w:sz w:val="21"/>
                <w:szCs w:val="21"/>
                <w:highlight w:val="none"/>
              </w:rPr>
              <w:t xml:space="preserve">类定点康复机构</w:t>
            </w:r>
            <w:r/>
          </w:p>
        </w:tc>
      </w:tr>
      <w:tr>
        <w:trPr>
          <w:jc w:val="center"/>
          <w:trHeight w:val="447"/>
        </w:trPr>
        <w:tc>
          <w:tcPr>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58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w:t>
            </w:r>
            <w:r/>
          </w:p>
        </w:tc>
        <w:tc>
          <w:tcPr>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518"/>
        </w:trPr>
        <w:tc>
          <w:tcPr>
            <w:tcBorders>
              <w:bottom w:val="none" w:color="000000" w:sz="4" w:space="0"/>
            </w:tcBorders>
            <w:tcW w:w="70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建立岗位职责、业务管理、人力资源管理等制度。</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none" w:color="000000" w:sz="4" w:space="0"/>
            </w:tcBorders>
            <w:tcW w:w="180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共75 分。</w:t>
            </w:r>
            <w:r/>
          </w:p>
        </w:tc>
      </w:tr>
      <w:tr>
        <w:trPr>
          <w:jc w:val="center"/>
          <w:trHeight w:val="583"/>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建立服务项目及收费标准公示等制度：咨询投诉、服务项目、收费标准、伙食补助标准及退补办 法等制度公示。</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4"/>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建立信息管理制度：及时填报中国残联的残疾人精准康复服务信息管理系统、省残联“智慧残联” 系统，数据及时、完整、准确。</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93"/>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建立财务管理制度：</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（1）有项目经费管理、固定资产登记制度（2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（2）财务独立建账或设立单独科目（3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（3）财务专人负责，项目经费专款专用，按照省市康复专项资金使用相关文件规范经费支出 （10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（4）接受业务主管部门财务检查和年度审计，接受县级以上残联会同财政部门组织年度康复 服务项目绩效考核（10 分）。</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08"/>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建立突发事件应急制度：</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（1）建立食品、医疗、消防、舆情控制、疫情控制、防走失、防坠落、 防触电等突发事情应 急预案（2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（2）配备急救技能培训合格的护理、医务人员，配备常规检查仪器和急救箱（2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（3）设置监控系统，覆盖到每个功能室、主要通道（4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（4）与残疾儿童监护人签订在机构康复训练安全协议，为残疾儿童办理意外伤害保险（5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（5）配置必要的消防等器材，每年举办一次消防演练或消防知识培训（2 分）。</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6"/>
        </w:trPr>
        <w:tc>
          <w:tcPr>
            <w:tcBorders>
              <w:top w:val="none" w:color="000000" w:sz="4" w:space="0"/>
            </w:tcBorders>
            <w:tcW w:w="70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w:t>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依据《江苏省残疾儿童基本康复服务实施规范》要求设置训练场地。</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共10 分。</w:t>
            </w:r>
            <w:r/>
          </w:p>
        </w:tc>
      </w:tr>
      <w:tr>
        <w:trPr>
          <w:jc w:val="center"/>
          <w:trHeight w:val="706"/>
        </w:trPr>
        <w:tc>
          <w:tcPr>
            <w:tcBorders>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依据《江苏省残疾儿童基本康复服务实施规范》要求配置训练设备。</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共5分。</w:t>
            </w:r>
            <w:r/>
          </w:p>
        </w:tc>
      </w:tr>
      <w:tr>
        <w:trPr>
          <w:jc w:val="center"/>
          <w:trHeight w:val="923"/>
        </w:trPr>
        <w:tc>
          <w:tcPr>
            <w:shd w:val="clear" w:color="auto" w:fill="auto"/>
            <w:tcBorders>
              <w:top w:val="none" w:color="000000" w:sz="4" w:space="0"/>
              <w:bottom w:val="none" w:color="000000" w:sz="4" w:space="0"/>
            </w:tcBorders>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机构</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管理</w:t>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依据《江苏省残疾儿童基本康复服务实施规范》要求人员配备、人员构成及人员资质要求。</w:t>
            </w:r>
            <w:r/>
          </w:p>
        </w:tc>
        <w:tc>
          <w:tcPr>
            <w:shd w:val="clear" w:color="auto" w:fill="auto"/>
            <w:tcW w:w="79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9</w:t>
            </w:r>
            <w:r/>
          </w:p>
        </w:tc>
        <w:tc>
          <w:tcPr>
            <w:shd w:val="clear" w:color="auto" w:fill="auto"/>
            <w:tcW w:w="82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共3项，</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每项3分。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共9分。</w:t>
            </w:r>
            <w:r/>
          </w:p>
        </w:tc>
      </w:tr>
      <w:tr>
        <w:trPr>
          <w:jc w:val="center"/>
          <w:trHeight w:val="1098"/>
        </w:trPr>
        <w:tc>
          <w:tcPr>
            <w:shd w:val="clear" w:color="auto" w:fill="auto"/>
            <w:tcBorders>
              <w:top w:val="none" w:color="000000" w:sz="4" w:space="0"/>
              <w:bottom w:val="none" w:color="000000" w:sz="4" w:space="0"/>
            </w:tcBorders>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部门</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设置</w:t>
            </w:r>
            <w:r/>
          </w:p>
        </w:tc>
        <w:tc>
          <w:tcPr>
            <w:shd w:val="clear" w:color="auto" w:fill="auto"/>
            <w:tcW w:w="5880" w:type="dxa"/>
            <w:vAlign w:val="center"/>
            <w:textDirection w:val="lrTb"/>
            <w:noWrap w:val="false"/>
          </w:tcPr>
          <w:p>
            <w:pPr>
              <w:ind w:firstLine="21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依据《江苏省残疾儿童基本康复服务实施规范》要求设置部门。</w:t>
            </w:r>
            <w:r/>
          </w:p>
        </w:tc>
        <w:tc>
          <w:tcPr>
            <w:shd w:val="clear" w:color="auto" w:fill="auto"/>
            <w:tcW w:w="79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1</w:t>
            </w:r>
            <w:r/>
          </w:p>
        </w:tc>
        <w:tc>
          <w:tcPr>
            <w:shd w:val="clear" w:color="auto" w:fill="auto"/>
            <w:tcW w:w="82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，共 1 分。</w:t>
            </w:r>
            <w:r/>
          </w:p>
        </w:tc>
      </w:tr>
      <w:tr>
        <w:trPr>
          <w:jc w:val="center"/>
          <w:trHeight w:val="1179"/>
        </w:trPr>
        <w:tc>
          <w:tcPr>
            <w:shd w:val="clear" w:color="auto" w:fill="auto"/>
            <w:tcBorders>
              <w:top w:val="none" w:color="000000" w:sz="4" w:space="0"/>
              <w:bottom w:val="none" w:color="000000" w:sz="4" w:space="0"/>
            </w:tcBorders>
            <w:tcW w:w="708"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减分项 </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1.参加市级（含）以上残联系统专业技术考核，每有 1 名专业技术人员考核不合格扣 2 分；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2.被市县级残联通报批评的，每次扣 3 分；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3.被省级及以上残联系统通报批评的，每次扣 5 分。</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795"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25"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11"/>
        </w:trPr>
        <w:tc>
          <w:tcPr>
            <w:shd w:val="clear" w:color="auto" w:fill="auto"/>
            <w:tcBorders>
              <w:top w:val="none" w:color="000000" w:sz="4" w:space="0"/>
              <w:bottom w:val="none" w:color="000000" w:sz="4" w:space="0"/>
            </w:tcBorders>
            <w:tcW w:w="708"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加分项</w:t>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获得市级（含）以上残联系统表彰奖励的：个人：一等奖加 1.5 分/人、个人二等奖加 1 分/人、个人三等奖加 0.5 分/人；团体：一等奖加 3 分/次、二等奖加 2 分/次、三等奖加 1 分/次</w:t>
            </w:r>
            <w:r>
              <w:rPr>
                <w:rFonts w:hint="eastAsia" w:ascii="宋体" w:hAnsi="宋体" w:eastAsia="宋体" w:cs="宋体"/>
                <w:color w:val="auto"/>
                <w:sz w:val="21"/>
                <w:szCs w:val="21"/>
                <w:highlight w:val="none"/>
                <w:lang w:val="en-US" w:eastAsia="zh-CN"/>
              </w:rPr>
              <w:t xml:space="preserve">。</w:t>
            </w:r>
            <w:r/>
          </w:p>
        </w:tc>
        <w:tc>
          <w:tcPr>
            <w:shd w:val="clear" w:color="auto" w:fill="auto"/>
            <w:tcW w:w="795"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25"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1.以正式表彰奖励文件为依据；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2.其他市（含）以上残联系统表彰奖励项目可参照视情加分。</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gridSpan w:val="2"/>
            <w:tcBorders>
              <w:top w:val="none" w:color="000000" w:sz="4" w:space="0"/>
            </w:tcBorders>
            <w:tcW w:w="658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综合得分</w:t>
            </w:r>
            <w:r/>
          </w:p>
        </w:tc>
        <w:tc>
          <w:tcPr>
            <w:tcW w:w="79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eastAsia="宋体" w:cs="宋体"/>
          <w:bCs/>
          <w:color w:val="ff0000"/>
          <w:sz w:val="21"/>
          <w:szCs w:val="21"/>
          <w:highlight w:val="none"/>
        </w:rPr>
      </w:pPr>
      <w:r>
        <w:rPr>
          <w:rFonts w:hint="eastAsia" w:ascii="宋体" w:hAnsi="宋体" w:eastAsia="宋体" w:cs="宋体"/>
          <w:bCs/>
          <w:color w:val="ff0000"/>
          <w:sz w:val="21"/>
          <w:szCs w:val="21"/>
          <w:highlight w:val="none"/>
        </w:rPr>
      </w:r>
      <w:r/>
    </w:p>
    <w:p>
      <w:pPr>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（2）孤独症</w:t>
      </w:r>
      <w:r>
        <w:rPr>
          <w:rFonts w:hint="eastAsia" w:ascii="宋体" w:hAnsi="宋体" w:eastAsia="宋体" w:cs="宋体"/>
          <w:b/>
          <w:bCs w:val="0"/>
          <w:color w:val="auto"/>
          <w:sz w:val="21"/>
          <w:szCs w:val="21"/>
          <w:highlight w:val="none"/>
        </w:rPr>
        <w:t xml:space="preserve">康复机构日常管理考核评分细则</w:t>
      </w:r>
      <w:r/>
    </w:p>
    <w:tbl>
      <w:tblPr>
        <w:tblStyle w:val="991"/>
        <w:tblW w:w="99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9"/>
        <w:gridCol w:w="5744"/>
        <w:gridCol w:w="524"/>
        <w:gridCol w:w="611"/>
        <w:gridCol w:w="2046"/>
      </w:tblGrid>
      <w:tr>
        <w:trPr>
          <w:jc w:val="center"/>
          <w:trHeight w:val="552"/>
        </w:trPr>
        <w:tc>
          <w:tcPr>
            <w:gridSpan w:val="5"/>
            <w:tcW w:w="995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孤独症</w:t>
            </w:r>
            <w:r>
              <w:rPr>
                <w:rFonts w:hint="eastAsia" w:ascii="宋体" w:hAnsi="宋体" w:eastAsia="宋体" w:cs="宋体"/>
                <w:color w:val="auto"/>
                <w:sz w:val="21"/>
                <w:szCs w:val="21"/>
                <w:highlight w:val="none"/>
              </w:rPr>
              <w:t xml:space="preserve">类定点康复机构</w:t>
            </w:r>
            <w:r/>
          </w:p>
        </w:tc>
      </w:tr>
      <w:tr>
        <w:trPr>
          <w:jc w:val="center"/>
          <w:trHeight w:val="482"/>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57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w:t>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721"/>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考勤</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落实考勤制度，每日至少考勤 2 次。</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未实行考勤不得分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未规范考勤酌情扣分。</w:t>
            </w:r>
            <w:r/>
          </w:p>
        </w:tc>
      </w:tr>
      <w:tr>
        <w:trPr>
          <w:jc w:val="center"/>
          <w:trHeight w:val="2871"/>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能力</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根据《江苏省残疾儿童基本康复服务实施规范》标准执行：</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（1）具有同时收训 20 名以上残疾儿童的能力（2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（2）按规定提供训练内容（10）；</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（3）按规定提供康复训练时间（10）；</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（4）按规定提供支持性服务（4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（5）按规定提供社会融合活动（4 分）；</w:t>
            </w:r>
            <w:r/>
          </w:p>
          <w:p>
            <w:pPr>
              <w:jc w:val="left"/>
              <w:tabs>
                <w:tab w:val="left" w:pos="509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（6）按规定提供家长培训（4 分）；</w:t>
            </w:r>
            <w:r>
              <w:rPr>
                <w:rFonts w:hint="eastAsia" w:ascii="宋体" w:hAnsi="宋体" w:eastAsia="宋体" w:cs="宋体"/>
                <w:color w:val="auto"/>
                <w:sz w:val="21"/>
                <w:szCs w:val="21"/>
                <w:highlight w:val="none"/>
                <w:lang w:eastAsia="zh-CN"/>
              </w:rPr>
              <w:tab/>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（7）按规定提供业务指导（4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（8）按规定提供初始及阶段性康复评估，评估率 100%（10 分）。</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482"/>
        </w:trPr>
        <w:tc>
          <w:tcPr>
            <w:tcBorders>
              <w:bottom w:val="none" w:color="000000" w:sz="4" w:space="0"/>
            </w:tcBorders>
            <w:tcW w:w="102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建立档案管理制度，设专人负责档案管理。</w:t>
            </w:r>
            <w:r/>
          </w:p>
        </w:tc>
        <w:tc>
          <w:tcPr>
            <w:tcW w:w="52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2394"/>
        </w:trPr>
        <w:tc>
          <w:tcPr>
            <w:tcBorders>
              <w:top w:val="none" w:color="000000" w:sz="4" w:space="0"/>
            </w:tcBorders>
            <w:tcW w:w="102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44" w:type="dxa"/>
            <w:vAlign w:val="center"/>
            <w:textDirection w:val="lrTb"/>
            <w:noWrap w:val="false"/>
          </w:tcPr>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建立儿童康复档案（含文字、图片、音像资料）、授课教案等业务档案，纸质或电子康复训练档 案齐全，实现一人一档（康复协议、安全协议、康复服务申请表、康复服务登记表、救助卡、转 介单、三级专业医疗机构医学诊断证明、受助儿童基本信息、康复教学计划与实施记录、评估记 录、训练出勤记录等），训练档案有周、月目标，训练记录详细，内容准确可靠，资料保存完整， 定期进行分析总结，康复服务建档率达 100%。</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482"/>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c>
          <w:tcPr>
            <w:tcW w:w="5744"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家长满意率达 90%以上</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学年内参加满意度测评的家长不低于 60%。</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满意率</w:t>
            </w:r>
            <w:r>
              <w:rPr>
                <w:rFonts w:hint="eastAsia" w:ascii="宋体" w:hAnsi="宋体" w:eastAsia="宋体" w:cs="宋体"/>
                <w:color w:val="auto"/>
                <w:sz w:val="21"/>
                <w:szCs w:val="21"/>
                <w:highlight w:val="none"/>
              </w:rPr>
              <w:t xml:space="preserve">未达 90%，不得分。</w:t>
            </w:r>
            <w:r/>
          </w:p>
        </w:tc>
      </w:tr>
      <w:tr>
        <w:trPr>
          <w:jc w:val="center"/>
          <w:trHeight w:val="516"/>
        </w:trPr>
        <w:tc>
          <w:tcPr>
            <w:gridSpan w:val="2"/>
            <w:tcW w:w="6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综合得分</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gridSpan w:val="2"/>
            <w:tcW w:w="26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78"/>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r>
      <w:r/>
    </w:p>
    <w:p>
      <w:pPr>
        <w:numPr>
          <w:ilvl w:val="0"/>
          <w:numId w:val="3"/>
        </w:numPr>
        <w:ind w:left="0" w:firstLine="422"/>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孤独症</w:t>
      </w:r>
      <w:r>
        <w:rPr>
          <w:rFonts w:hint="eastAsia" w:ascii="宋体" w:hAnsi="宋体" w:eastAsia="宋体" w:cs="宋体"/>
          <w:b/>
          <w:bCs w:val="0"/>
          <w:color w:val="auto"/>
          <w:sz w:val="21"/>
          <w:szCs w:val="21"/>
          <w:highlight w:val="none"/>
        </w:rPr>
        <w:t xml:space="preserve">康复</w:t>
      </w:r>
      <w:r>
        <w:rPr>
          <w:rFonts w:hint="eastAsia" w:ascii="宋体" w:hAnsi="宋体" w:eastAsia="宋体" w:cs="宋体"/>
          <w:b/>
          <w:bCs w:val="0"/>
          <w:color w:val="auto"/>
          <w:sz w:val="21"/>
          <w:szCs w:val="21"/>
          <w:highlight w:val="none"/>
          <w:lang w:val="en-US" w:eastAsia="zh-CN"/>
        </w:rPr>
        <w:t xml:space="preserve">质量</w:t>
      </w:r>
      <w:r>
        <w:rPr>
          <w:rFonts w:hint="eastAsia" w:ascii="宋体" w:hAnsi="宋体" w:eastAsia="宋体" w:cs="宋体"/>
          <w:b/>
          <w:bCs w:val="0"/>
          <w:color w:val="auto"/>
          <w:sz w:val="21"/>
          <w:szCs w:val="21"/>
          <w:highlight w:val="none"/>
        </w:rPr>
        <w:t xml:space="preserve">评估考核细则</w:t>
      </w:r>
      <w:r/>
    </w:p>
    <w:p>
      <w:pPr>
        <w:numPr>
          <w:ilvl w:val="0"/>
          <w:numId w:val="0"/>
        </w:numPr>
        <w:jc w:val="both"/>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bl>
      <w:tblPr>
        <w:tblStyle w:val="991"/>
        <w:tblW w:w="97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3"/>
        <w:gridCol w:w="960"/>
        <w:gridCol w:w="855"/>
        <w:gridCol w:w="3003"/>
        <w:gridCol w:w="3072"/>
        <w:gridCol w:w="672"/>
        <w:gridCol w:w="589"/>
      </w:tblGrid>
      <w:tr>
        <w:trPr>
          <w:jc w:val="center"/>
          <w:trHeight w:val="487"/>
        </w:trPr>
        <w:tc>
          <w:tcPr>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主指标</w:t>
            </w:r>
            <w:r/>
          </w:p>
        </w:tc>
        <w:tc>
          <w:tcPr>
            <w:tcW w:w="8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分指标</w:t>
            </w:r>
            <w:r/>
          </w:p>
        </w:tc>
        <w:tc>
          <w:tcPr>
            <w:tcW w:w="30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30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计分标准</w:t>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jc w:val="center"/>
          <w:trHeight w:val="1576"/>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必备条件(1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855" w:type="dxa"/>
            <w:vAlign w:val="center"/>
            <w:textDirection w:val="lrTb"/>
            <w:noWrap w:val="false"/>
          </w:tcPr>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身份真实性</w:t>
            </w:r>
            <w:r/>
          </w:p>
        </w:tc>
        <w:tc>
          <w:tcPr>
            <w:tcW w:w="3003" w:type="dxa"/>
            <w:vAlign w:val="center"/>
            <w:textDirection w:val="lrTb"/>
            <w:noWrap w:val="false"/>
          </w:tcPr>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1.如实提供在训患儿名单；</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2.患儿身份信息（现场需提供患儿户口本/出生证明、康复档案）应与所提供名单完全吻合。</w:t>
            </w:r>
            <w:r/>
          </w:p>
        </w:tc>
        <w:tc>
          <w:tcPr>
            <w:tcW w:w="3072"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现场查看相关有效证件，发现弄虚作假、冒名顶替等情况扣 15 分。</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05"/>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组织管理(15分)</w:t>
            </w:r>
            <w:r/>
          </w:p>
        </w:tc>
        <w:tc>
          <w:tcPr>
            <w:tcW w:w="855" w:type="dxa"/>
            <w:vAlign w:val="center"/>
            <w:textDirection w:val="lrTb"/>
            <w:noWrap w:val="false"/>
          </w:tcPr>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总体参评率</w:t>
            </w:r>
            <w:r/>
          </w:p>
        </w:tc>
        <w:tc>
          <w:tcPr>
            <w:tcW w:w="3003" w:type="dxa"/>
            <w:vAlign w:val="center"/>
            <w:textDirection w:val="lrTb"/>
            <w:noWrap w:val="false"/>
          </w:tcPr>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1.接到通知后，及时传达，召集全体在训残疾儿童参评； </w:t>
            </w:r>
            <w:r/>
          </w:p>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2.截止初期评估之日，在训残疾儿童初期评估率 95%以上； </w:t>
            </w:r>
            <w:r/>
          </w:p>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截止末期评估之日，已参加初期评估的残疾儿童末期评估 </w:t>
            </w:r>
            <w:r/>
          </w:p>
          <w:p>
            <w:pPr>
              <w:ind w:firstLine="21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率 95%以上。</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72" w:type="dxa"/>
            <w:vAlign w:val="center"/>
            <w:textDirection w:val="lrTb"/>
            <w:noWrap w:val="false"/>
          </w:tcPr>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现场记录参评情况，每降低 1%扣 1 分， 扣完为止。</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03"/>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结果质量(7</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 分)</w:t>
            </w:r>
            <w:r/>
          </w:p>
        </w:tc>
        <w:tc>
          <w:tcPr>
            <w:tcW w:w="855" w:type="dxa"/>
            <w:vAlign w:val="center"/>
            <w:textDirection w:val="lrTb"/>
            <w:noWrap w:val="false"/>
          </w:tcPr>
          <w:p>
            <w:pPr>
              <w:ind w:firstLine="210"/>
              <w:jc w:val="center"/>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康复有</w:t>
            </w:r>
            <w:r/>
          </w:p>
          <w:p>
            <w:pPr>
              <w:ind w:firstLine="210"/>
              <w:jc w:val="center"/>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效率</w:t>
            </w:r>
            <w:r/>
          </w:p>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03" w:type="dxa"/>
            <w:vAlign w:val="center"/>
            <w:textDirection w:val="lrTb"/>
            <w:noWrap w:val="false"/>
          </w:tcPr>
          <w:p>
            <w:pPr>
              <w:ind w:left="210" w:firstLine="0"/>
              <w:jc w:val="lef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机构康复训练总有效率达90%。</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72" w:type="dxa"/>
            <w:vAlign w:val="center"/>
            <w:textDirection w:val="lrTb"/>
            <w:noWrap w:val="false"/>
          </w:tcPr>
          <w:p>
            <w:pPr>
              <w:ind w:left="210" w:firstLine="0"/>
              <w:jc w:val="lef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达到标准得 70 分，低于 1 个百分点扣 2 分，扣完为止。</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70</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4"/>
        </w:trPr>
        <w:tc>
          <w:tcPr>
            <w:gridSpan w:val="5"/>
            <w:tcW w:w="84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综合得分</w:t>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bottom w:val="none" w:color="000000" w:sz="4" w:space="0"/>
            </w:tcBorders>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考核方式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考核方式包括不定期抽查、定期检查、第三方专业机构评估。定点康复机构属地残联及时将《连云港市残疾儿童定点康复机构绩效考核得分表》函告其他县（区） 残联、相应的定点康复机构，并报市残联备案。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1. 基础条件考核。每学年结束前至少组织 1 次定期检查，县（区）残联对所属定点康复机构基础条件进行综合检查考核，考核内容可不限于《连云港市残疾儿童定点康复机构基础条件考核评分细则》，具体考核办法可由考核主体细化确定。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2. 日常管理考核。每季度至少</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组织 1 次不定期抽查，县（区）残联可根据需要对所属定点康复机构，按照《连云港市残疾儿童定点康复机构日常管理考核评分细则》进行不定期抽查。 组织不定期抽查，要坚持轻车简从、实事求是，充分体现良好的形象和雷厉风行的作风，要尽量避免干扰影响定点康复机构正常教学秩序。残疾儿童户籍地（或居住证核发地）县（区）残联根据实 际需要，也可联合定点康复机构属地县（区）残联，由定点康复机构属地县（区）残联牵头，对定点康复机构共同进行抽查，能合并组织的合并组织，防止各自为战、检查抽查泛化，防止定点康复机构疲于应付、苦不堪言。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3. 康复质量评估。每学年对定点康复机构康复质量实施评估，根据评估结果出具评估报告。县（区）残联在组织残疾儿童康复质量评估时，初期评估及未期评估间隔不得少于 140 天。如因特殊原因，初期评估及末期评估间隔无法达到 140 天的，需经县（区）残联研究，并报市残联备案后方可调整。</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4.考核运用</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考核采用单项百分制，加权计算总分的办法，计算公式为：年度绩效考核得分=基础条件考核得分（得分*30%）+日常管理考核得分（全年抽查总得分/抽查次数*30%）+康复质量评估（得分*40%）。</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4.考核与经费挂钩</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度综合考核得分在95分以上（含95分）全额拨付康复服务费；在94—90分（含90分）之间的，拨付康复服务费95%；在89—85分（含85分）之间的，拨付康复服务费90%；在84—80（含80分）之间的，拨付康复服务费85%；在79—70（含70分）之间的，拨付康复服务费80%；在69—60分（含60分）之间，拨付康复服务费75%；60分以下的，拨付康复服务费50%；并给予康复机构黄牌警告，责成整改，</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第二年度综合考核再次 60 分以下取消定点资格。</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5.存在以下问题的康复机构，一律解除政府采购合同：</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①不按合同要求、不执行《江苏省残疾儿童基本康复服务实施规范》和《残疾儿童基本康复服务规范》连云港市地方技术标准，且不完成限期整改的；</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②不按合同要求，自行降低服务标准的，两次告诫且不完成限期整改的；</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③发生严重安全及重大责任事故；</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④弄虚作假，开具假证明、假服务记录、假票据等行为套取政府购买服务资金的，限期整改并退回套取资金，情节严重涉嫌犯罪的，移送司法机关依法处理；</w:t>
      </w:r>
      <w:r/>
    </w:p>
    <w:p>
      <w:pPr>
        <w:pStyle w:val="986"/>
        <w:numPr>
          <w:ilvl w:val="0"/>
          <w:numId w:val="0"/>
        </w:numPr>
        <w:jc w:val="both"/>
        <w:keepLines w:val="0"/>
        <w:keepNext w:val="0"/>
        <w:pageBreakBefore w:val="0"/>
        <w:spacing w:line="360" w:lineRule="auto"/>
        <w:widowControl w:val="off"/>
        <w:rPr>
          <w:rFonts w:hint="eastAsia" w:ascii="宋体" w:hAnsi="宋体" w:eastAsia="宋体" w:cs="宋体"/>
          <w:b/>
          <w:bCs/>
          <w:spacing w:val="-1"/>
          <w:sz w:val="21"/>
          <w:szCs w:val="21"/>
          <w:lang w:val="en-US" w:eastAsia="zh-CN" w:bidi="ar-SA"/>
        </w:rPr>
        <w:outlineLvl w:val="9"/>
      </w:pPr>
      <w:r>
        <w:rPr>
          <w:rFonts w:hint="eastAsia" w:ascii="宋体" w:hAnsi="宋体" w:eastAsia="宋体" w:cs="宋体"/>
          <w:b/>
          <w:bCs/>
          <w:spacing w:val="-1"/>
          <w:sz w:val="21"/>
          <w:szCs w:val="21"/>
          <w:lang w:val="en-US" w:eastAsia="zh-CN" w:bidi="ar-SA"/>
        </w:rPr>
        <w:t xml:space="preserve">五、商务条款</w:t>
      </w:r>
      <w:r/>
    </w:p>
    <w:p>
      <w:pPr>
        <w:pStyle w:val="986"/>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★合同履行期限(服务期):一年(</w:t>
      </w:r>
      <w:r>
        <w:rPr>
          <w:rFonts w:hint="eastAsia" w:ascii="宋体" w:hAnsi="宋体" w:eastAsia="宋体" w:cs="宋体"/>
          <w:b w:val="0"/>
          <w:bCs w:val="0"/>
          <w:color w:val="auto"/>
          <w:sz w:val="21"/>
          <w:szCs w:val="21"/>
          <w:highlight w:val="none"/>
        </w:rPr>
        <w:t xml:space="preserve">合同约定日期起算</w:t>
      </w:r>
      <w:r>
        <w:rPr>
          <w:rFonts w:hint="eastAsia" w:ascii="宋体" w:hAnsi="宋体" w:eastAsia="宋体" w:cs="宋体"/>
          <w:b w:val="0"/>
          <w:bCs w:val="0"/>
          <w:spacing w:val="-1"/>
          <w:sz w:val="21"/>
          <w:szCs w:val="21"/>
          <w:lang w:val="en-US" w:eastAsia="zh-CN" w:bidi="ar-SA"/>
        </w:rPr>
        <w:t xml:space="preserve">)。</w:t>
      </w:r>
      <w:r/>
    </w:p>
    <w:p>
      <w:pPr>
        <w:pStyle w:val="986"/>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服务质量:合格，满足采购人需求及相关规定。</w:t>
      </w:r>
      <w:r/>
    </w:p>
    <w:p>
      <w:pPr>
        <w:pStyle w:val="986"/>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服务地点:赣榆区</w:t>
      </w:r>
      <w:r/>
    </w:p>
    <w:p>
      <w:pPr>
        <w:pStyle w:val="986"/>
        <w:numPr>
          <w:ilvl w:val="0"/>
          <w:numId w:val="0"/>
        </w:numPr>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付款方式与履约保证金:</w:t>
      </w:r>
      <w:r/>
    </w:p>
    <w:p>
      <w:pPr>
        <w:pStyle w:val="986"/>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★1.付款方式:</w:t>
      </w:r>
      <w:r/>
    </w:p>
    <w:p>
      <w:pPr>
        <w:ind w:firstLine="416"/>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1"/>
          <w:sz w:val="21"/>
          <w:szCs w:val="21"/>
          <w:lang w:val="en-US" w:eastAsia="zh-CN" w:bidi="ar-SA"/>
        </w:rPr>
        <w:t xml:space="preserve">（1）</w:t>
      </w:r>
      <w:r>
        <w:rPr>
          <w:rFonts w:hint="eastAsia" w:ascii="宋体" w:hAnsi="宋体" w:eastAsia="宋体" w:cs="宋体"/>
          <w:color w:val="auto"/>
          <w:sz w:val="21"/>
          <w:szCs w:val="21"/>
          <w:highlight w:val="none"/>
        </w:rPr>
        <w:t xml:space="preserve">采购人委托第三方机构按相关文件规定进行评估考核，结合日常、定期考核情况，每季度形成综合考核评估报告，根据考核结果，按照服务经费标准及实际服务人数每季度进行结算(无息)。</w:t>
      </w:r>
      <w:r/>
    </w:p>
    <w:p>
      <w:p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（2）</w:t>
      </w:r>
      <w:r>
        <w:rPr>
          <w:rFonts w:hint="eastAsia" w:ascii="宋体" w:hAnsi="宋体" w:eastAsia="宋体" w:cs="宋体"/>
          <w:color w:val="auto"/>
          <w:sz w:val="21"/>
          <w:szCs w:val="21"/>
          <w:highlight w:val="none"/>
        </w:rPr>
        <w:t xml:space="preserve">每次付款前乙方应向甲方开具正规发票，甲方自收到发票后10个工作日内将资金支付至合同约定的乙方账户 (发票开具日期计算)。</w:t>
      </w:r>
      <w:r/>
    </w:p>
    <w:p>
      <w:pPr>
        <w:pStyle w:val="783"/>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2.履约保证金：本项目不收取履约保证金。</w:t>
      </w:r>
      <w:r/>
    </w:p>
    <w:p>
      <w:pPr>
        <w:rPr>
          <w:rFonts w:hint="eastAsia" w:ascii="宋体" w:hAnsi="宋体" w:eastAsia="宋体" w:cs="宋体"/>
          <w:b w:val="0"/>
        </w:rPr>
      </w:pPr>
      <w:r>
        <w:rPr>
          <w:rFonts w:hint="eastAsia" w:ascii="宋体" w:hAnsi="宋体" w:eastAsia="宋体" w:cs="宋体"/>
          <w:b w:val="0"/>
        </w:rPr>
        <w:br w:type="page" w:clear="all"/>
      </w:r>
      <w:r/>
    </w:p>
    <w:p>
      <w:pPr>
        <w:pStyle w:val="767"/>
        <w:numPr>
          <w:ilvl w:val="0"/>
          <w:numId w:val="2"/>
        </w:numPr>
        <w:ind w:left="0" w:firstLine="0"/>
        <w:jc w:val="center"/>
        <w:spacing w:before="156" w:after="156" w:line="360" w:lineRule="auto"/>
        <w:rPr>
          <w:rFonts w:hint="eastAsia" w:ascii="宋体" w:hAnsi="宋体" w:eastAsia="宋体" w:cs="宋体"/>
          <w:b/>
          <w:bCs w:val="0"/>
          <w:sz w:val="32"/>
          <w:szCs w:val="32"/>
        </w:rPr>
      </w:pPr>
      <w:r>
        <w:rPr>
          <w:rFonts w:hint="eastAsia" w:ascii="宋体" w:hAnsi="宋体" w:eastAsia="宋体" w:cs="宋体"/>
          <w:b/>
          <w:bCs w:val="0"/>
          <w:sz w:val="32"/>
          <w:szCs w:val="32"/>
        </w:rPr>
        <w:t xml:space="preserve"> 评标方法与评标标准</w:t>
      </w:r>
      <w:bookmarkEnd w:id="4"/>
      <w:r/>
      <w:r/>
    </w:p>
    <w:p>
      <w:pPr>
        <w:numPr>
          <w:ilvl w:val="0"/>
          <w:numId w:val="0"/>
        </w:numPr>
        <w:rPr>
          <w:rFonts w:hint="eastAsia"/>
        </w:rPr>
      </w:pPr>
      <w:r>
        <w:rPr>
          <w:rFonts w:hint="eastAsia"/>
        </w:rPr>
      </w:r>
      <w:r/>
    </w:p>
    <w:p>
      <w:pPr>
        <w:ind w:firstLine="48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一、评标方法：综合评分法</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二、评标原则</w:t>
      </w:r>
      <w:r>
        <w:rPr>
          <w:rFonts w:hint="eastAsia" w:ascii="宋体" w:hAnsi="宋体" w:eastAsia="宋体" w:cs="宋体"/>
          <w:color w:val="auto"/>
          <w:sz w:val="21"/>
          <w:szCs w:val="21"/>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2、本项目评分总分为100分，按四舍五入取至小数点后两位。</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3、总得分=价格分+商务技术分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4、中标标准：评标结果按评审后得分由高到低顺序排列。得分相同的，按投标报价由低到高顺序排列。得分且投标报价相同的，按技术指标优劣顺序排列。</w:t>
      </w:r>
      <w:r/>
    </w:p>
    <w:p>
      <w:pPr>
        <w:pStyle w:val="988"/>
        <w:ind w:left="734" w:hanging="343"/>
        <w:jc w:val="center"/>
        <w:spacing w:line="360" w:lineRule="auto"/>
        <w:tabs>
          <w:tab w:val="left" w:pos="7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综合评分法</w:t>
      </w:r>
      <w:r/>
    </w:p>
    <w:p>
      <w:pPr>
        <w:pStyle w:val="988"/>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1、价格分：0分</w:t>
      </w:r>
      <w:r/>
    </w:p>
    <w:p>
      <w:pPr>
        <w:pStyle w:val="988"/>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执行统一价格标准的项目，其价格不列为评分因素。</w:t>
      </w:r>
      <w:r/>
    </w:p>
    <w:p>
      <w:pPr>
        <w:pStyle w:val="988"/>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2、商务技术分：100分</w:t>
      </w:r>
      <w:r/>
    </w:p>
    <w:tbl>
      <w:tblPr>
        <w:tblStyle w:val="777"/>
        <w:tblW w:w="99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7958"/>
      </w:tblGrid>
      <w:tr>
        <w:trPr>
          <w:jc w:val="center"/>
          <w:trHeight w:val="543"/>
        </w:trPr>
        <w:tc>
          <w:tcPr>
            <w:tcW w:w="2008" w:type="dxa"/>
            <w:vAlign w:val="center"/>
            <w:textDirection w:val="lrTb"/>
            <w:noWrap w:val="false"/>
          </w:tcPr>
          <w:p>
            <w:pPr>
              <w:pStyle w:val="1001"/>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训练设备与器材</w:t>
            </w:r>
            <w:r/>
          </w:p>
          <w:p>
            <w:pPr>
              <w:pStyle w:val="1001"/>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投标人配备训练器材，包括滑板车、大滑板、大龙球、布袋跳、按摩地垫、平衡木，每有一类得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（投标文件中提供设备购置发票或租赁合同（协议）扫描件并加盖投标人公章，否则不得分。设备</w:t>
            </w:r>
            <w:r>
              <w:rPr>
                <w:rFonts w:hint="eastAsia" w:ascii="宋体" w:hAnsi="宋体" w:eastAsia="宋体" w:cs="宋体"/>
                <w:b/>
                <w:bCs/>
                <w:color w:val="auto"/>
                <w:sz w:val="21"/>
                <w:szCs w:val="21"/>
                <w:highlight w:val="none"/>
                <w:lang w:val="zh-CN"/>
              </w:rPr>
              <w:t xml:space="preserve">名称表述不完全一致，但功能相近的，</w:t>
            </w:r>
            <w:r>
              <w:rPr>
                <w:rFonts w:hint="eastAsia" w:ascii="宋体" w:hAnsi="宋体" w:eastAsia="宋体" w:cs="宋体"/>
                <w:b/>
                <w:bCs/>
                <w:color w:val="auto"/>
                <w:sz w:val="21"/>
                <w:szCs w:val="21"/>
                <w:highlight w:val="none"/>
              </w:rPr>
              <w:t xml:space="preserve">须附产品说明书等证明材料，</w:t>
            </w:r>
            <w:r>
              <w:rPr>
                <w:rFonts w:hint="eastAsia" w:ascii="宋体" w:hAnsi="宋体" w:eastAsia="宋体" w:cs="宋体"/>
                <w:b/>
                <w:bCs/>
                <w:color w:val="auto"/>
                <w:sz w:val="21"/>
                <w:szCs w:val="21"/>
                <w:highlight w:val="none"/>
                <w:lang w:val="zh-CN"/>
              </w:rPr>
              <w:t xml:space="preserve">由评委统一认定后给予得分）</w:t>
            </w:r>
            <w:r/>
          </w:p>
        </w:tc>
      </w:tr>
      <w:tr>
        <w:trPr>
          <w:jc w:val="center"/>
          <w:trHeight w:val="4787"/>
        </w:trPr>
        <w:tc>
          <w:tcPr>
            <w:tcW w:w="2008" w:type="dxa"/>
            <w:vAlign w:val="center"/>
            <w:vMerge w:val="restart"/>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项目团队成员</w:t>
            </w:r>
            <w:r/>
          </w:p>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分）</w:t>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1.拟派项目负责人具有师范类专业</w:t>
            </w:r>
            <w:r>
              <w:rPr>
                <w:rFonts w:hint="eastAsia" w:ascii="宋体" w:hAnsi="宋体" w:eastAsia="宋体" w:cs="宋体"/>
                <w:color w:val="auto"/>
                <w:sz w:val="21"/>
                <w:szCs w:val="21"/>
                <w:highlight w:val="none"/>
                <w:lang w:val="en-US" w:eastAsia="zh-CN"/>
              </w:rPr>
              <w:t xml:space="preserve">本科</w:t>
            </w:r>
            <w:r>
              <w:rPr>
                <w:rFonts w:hint="eastAsia" w:ascii="宋体" w:hAnsi="宋体" w:eastAsia="宋体" w:cs="宋体"/>
                <w:color w:val="auto"/>
                <w:sz w:val="21"/>
                <w:szCs w:val="21"/>
                <w:highlight w:val="none"/>
              </w:rPr>
              <w:t xml:space="preserve">及以上学历同时取得教师资格证书的</w:t>
            </w:r>
            <w:r>
              <w:rPr>
                <w:rFonts w:hint="eastAsia" w:ascii="宋体" w:hAnsi="宋体" w:eastAsia="宋体" w:cs="宋体"/>
                <w:b/>
                <w:bCs/>
                <w:color w:val="auto"/>
                <w:sz w:val="21"/>
                <w:szCs w:val="21"/>
                <w:highlight w:val="none"/>
              </w:rPr>
              <w:t xml:space="preserve">得5分</w:t>
            </w:r>
            <w:r>
              <w:rPr>
                <w:rFonts w:hint="eastAsia" w:ascii="宋体" w:hAnsi="宋体" w:eastAsia="宋体" w:cs="宋体"/>
                <w:color w:val="auto"/>
                <w:sz w:val="21"/>
                <w:szCs w:val="21"/>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（投标文件中提供学历证书、教师资格证书扫描件并加盖投标人公章，否则不得分）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color w:val="auto"/>
                <w:sz w:val="21"/>
                <w:szCs w:val="21"/>
                <w:highlight w:val="none"/>
              </w:rPr>
              <w:t xml:space="preserve">师范类专业包括教育学、</w:t>
            </w:r>
            <w:r>
              <w:rPr>
                <w:rFonts w:hint="eastAsia" w:ascii="宋体" w:hAnsi="宋体" w:eastAsia="宋体" w:cs="宋体"/>
                <w:b/>
                <w:color w:val="auto"/>
                <w:sz w:val="21"/>
                <w:szCs w:val="21"/>
                <w:highlight w:val="none"/>
                <w:lang w:val="en-US" w:eastAsia="zh-CN"/>
              </w:rPr>
              <w:t xml:space="preserve">体育教育、</w:t>
            </w:r>
            <w:r>
              <w:rPr>
                <w:rFonts w:hint="eastAsia" w:ascii="宋体" w:hAnsi="宋体" w:eastAsia="宋体" w:cs="宋体"/>
                <w:b/>
                <w:color w:val="auto"/>
                <w:sz w:val="21"/>
                <w:szCs w:val="21"/>
                <w:highlight w:val="none"/>
              </w:rPr>
              <w:t xml:space="preserve">中文教育、思想政治教育、数学教育、生物学教育、人文教育、科学教育、文秘教育、物理学教育、化学教育、英语教育、小学教育、学前教育、特殊教育、教育技术学、艺术教育、言语听觉科学、汉语言文学教育、现代信息技术教育、现代教育技术、应用电子技术教育、地理学教育、政治与法律教育、美术教育、政治法律教育、科学教育、物理与教育技术学、小学师资教育、历史学教育、生物教育、历史教育、初等教育、综合文科、综合理科教育、市场营销教育、教育英语专业。</w:t>
            </w:r>
            <w:r/>
          </w:p>
        </w:tc>
      </w:tr>
      <w:tr>
        <w:trPr>
          <w:jc w:val="center"/>
          <w:trHeight w:val="2132"/>
        </w:trPr>
        <w:tc>
          <w:tcPr>
            <w:tcW w:w="2008" w:type="dxa"/>
            <w:vAlign w:val="center"/>
            <w:vMerge w:val="continue"/>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.拟派项目团队成员（项目负责人除外）</w:t>
            </w:r>
            <w:r>
              <w:rPr>
                <w:rFonts w:hint="eastAsia" w:ascii="宋体" w:hAnsi="宋体" w:eastAsia="宋体" w:cs="宋体"/>
                <w:b/>
                <w:bCs/>
                <w:color w:val="auto"/>
                <w:sz w:val="21"/>
                <w:szCs w:val="21"/>
                <w:highlight w:val="none"/>
                <w:lang w:val="en-US" w:eastAsia="zh-CN"/>
              </w:rPr>
              <w:t xml:space="preserve">满足教师4</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康复治疗师2名基础上，</w:t>
            </w:r>
            <w:r>
              <w:rPr>
                <w:rFonts w:hint="eastAsia" w:ascii="宋体" w:hAnsi="宋体" w:eastAsia="宋体" w:cs="宋体"/>
                <w:color w:val="auto"/>
                <w:sz w:val="21"/>
                <w:szCs w:val="21"/>
                <w:highlight w:val="none"/>
              </w:rPr>
              <w:t xml:space="preserve">增加一名康复治疗师的得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分，增加一名</w:t>
            </w:r>
            <w:r>
              <w:rPr>
                <w:rFonts w:hint="eastAsia" w:ascii="宋体" w:hAnsi="宋体" w:eastAsia="宋体" w:cs="宋体"/>
                <w:color w:val="auto"/>
                <w:sz w:val="21"/>
                <w:szCs w:val="21"/>
                <w:highlight w:val="none"/>
                <w:lang w:val="en-US" w:eastAsia="zh-CN"/>
              </w:rPr>
              <w:t xml:space="preserve">教师得5分，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（投标文件中提供职业资格证书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教师资格证</w:t>
            </w:r>
            <w:r>
              <w:rPr>
                <w:rFonts w:hint="eastAsia" w:ascii="宋体" w:hAnsi="宋体" w:eastAsia="宋体" w:cs="宋体"/>
                <w:b/>
                <w:bCs/>
                <w:color w:val="auto"/>
                <w:sz w:val="21"/>
                <w:szCs w:val="21"/>
                <w:highlight w:val="none"/>
              </w:rPr>
              <w:t xml:space="preserve">或相关业务培训证明及</w:t>
            </w:r>
            <w:r>
              <w:rPr>
                <w:rFonts w:hint="eastAsia" w:ascii="宋体" w:hAnsi="宋体" w:eastAsia="宋体" w:cs="宋体"/>
                <w:b/>
                <w:color w:val="auto"/>
                <w:sz w:val="21"/>
                <w:szCs w:val="21"/>
                <w:highlight w:val="none"/>
              </w:rPr>
              <w:t xml:space="preserve">202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lang w:val="en-US" w:eastAsia="zh-CN"/>
              </w:rPr>
              <w:t xml:space="preserve">07</w:t>
            </w:r>
            <w:r>
              <w:rPr>
                <w:rFonts w:hint="eastAsia" w:ascii="宋体" w:hAnsi="宋体" w:eastAsia="宋体" w:cs="宋体"/>
                <w:b/>
                <w:color w:val="auto"/>
                <w:sz w:val="21"/>
                <w:szCs w:val="21"/>
                <w:highlight w:val="none"/>
              </w:rPr>
              <w:t xml:space="preserve">月以来任意一个月</w:t>
            </w:r>
            <w:r>
              <w:rPr>
                <w:rFonts w:hint="eastAsia" w:ascii="宋体" w:hAnsi="宋体" w:eastAsia="宋体" w:cs="宋体"/>
                <w:b/>
                <w:bCs/>
                <w:color w:val="auto"/>
                <w:sz w:val="21"/>
                <w:szCs w:val="21"/>
                <w:highlight w:val="none"/>
              </w:rPr>
              <w:t xml:space="preserve">由投标人为其缴纳的社保证明材料扫描件并加盖投标人公章，否则不得分。返聘人员须提供职业资格证书或相关业务培训证明</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退休证及投标人与其签订的聘用合同扫描件并加盖投标人公章，否则不得分）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注：1.康复治疗师包括行为分析师、言语治疗师、作业治疗师。</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2.相关业务培训证明包括《孤独症康复教育上岗培训合格证书》、《ABA孤独症康复专业技能培训证书》、《言语语言培训证书》。</w:t>
            </w:r>
            <w:r/>
          </w:p>
        </w:tc>
      </w:tr>
      <w:tr>
        <w:trPr>
          <w:jc w:val="center"/>
          <w:trHeight w:val="416"/>
        </w:trPr>
        <w:tc>
          <w:tcPr>
            <w:tcW w:w="2008" w:type="dxa"/>
            <w:vAlign w:val="center"/>
            <w:vMerge w:val="continue"/>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.拟派项目团队成员中具有</w:t>
            </w:r>
            <w:r>
              <w:rPr>
                <w:rFonts w:hint="eastAsia" w:ascii="宋体" w:hAnsi="宋体" w:eastAsia="宋体" w:cs="宋体"/>
                <w:color w:val="auto"/>
                <w:sz w:val="21"/>
                <w:szCs w:val="21"/>
                <w:highlight w:val="none"/>
                <w:lang w:val="en-US" w:eastAsia="zh-CN"/>
              </w:rPr>
              <w:t xml:space="preserve">高级</w:t>
            </w:r>
            <w:r>
              <w:rPr>
                <w:rFonts w:hint="eastAsia" w:ascii="宋体" w:hAnsi="宋体" w:eastAsia="宋体" w:cs="宋体"/>
                <w:color w:val="auto"/>
                <w:sz w:val="21"/>
                <w:szCs w:val="21"/>
                <w:highlight w:val="none"/>
              </w:rPr>
              <w:t xml:space="preserve">职称的，每有一人得3分；具有</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职称的，每有一人得2分；具有</w:t>
            </w:r>
            <w:r>
              <w:rPr>
                <w:rFonts w:hint="eastAsia" w:ascii="宋体" w:hAnsi="宋体" w:eastAsia="宋体" w:cs="宋体"/>
                <w:color w:val="auto"/>
                <w:sz w:val="21"/>
                <w:szCs w:val="21"/>
                <w:highlight w:val="none"/>
                <w:lang w:val="en-US" w:eastAsia="zh-CN"/>
              </w:rPr>
              <w:t xml:space="preserve">初级</w:t>
            </w:r>
            <w:r>
              <w:rPr>
                <w:rFonts w:hint="eastAsia" w:ascii="宋体" w:hAnsi="宋体" w:eastAsia="宋体" w:cs="宋体"/>
                <w:color w:val="auto"/>
                <w:sz w:val="21"/>
                <w:szCs w:val="21"/>
                <w:highlight w:val="none"/>
              </w:rPr>
              <w:t xml:space="preserve">职称的，每有一人得1分；</w:t>
            </w:r>
            <w:r>
              <w:rPr>
                <w:rFonts w:hint="eastAsia" w:ascii="宋体" w:hAnsi="宋体" w:eastAsia="宋体" w:cs="宋体"/>
                <w:b/>
                <w:bCs/>
                <w:color w:val="auto"/>
                <w:sz w:val="21"/>
                <w:szCs w:val="21"/>
                <w:highlight w:val="none"/>
              </w:rPr>
              <w:t xml:space="preserve">本项最高得6分</w:t>
            </w:r>
            <w:r>
              <w:rPr>
                <w:rFonts w:hint="eastAsia" w:ascii="宋体" w:hAnsi="宋体" w:eastAsia="宋体" w:cs="宋体"/>
                <w:color w:val="auto"/>
                <w:sz w:val="21"/>
                <w:szCs w:val="21"/>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（投标文件中提供职称证书及</w:t>
            </w:r>
            <w:r>
              <w:rPr>
                <w:rFonts w:hint="eastAsia" w:ascii="宋体" w:hAnsi="宋体" w:eastAsia="宋体" w:cs="宋体"/>
                <w:b/>
                <w:color w:val="auto"/>
                <w:sz w:val="21"/>
                <w:szCs w:val="21"/>
                <w:highlight w:val="none"/>
              </w:rPr>
              <w:t xml:space="preserve">202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lang w:val="en-US" w:eastAsia="zh-CN"/>
              </w:rPr>
              <w:t xml:space="preserve">07</w:t>
            </w:r>
            <w:r>
              <w:rPr>
                <w:rFonts w:hint="eastAsia" w:ascii="宋体" w:hAnsi="宋体" w:eastAsia="宋体" w:cs="宋体"/>
                <w:b/>
                <w:color w:val="auto"/>
                <w:sz w:val="21"/>
                <w:szCs w:val="21"/>
                <w:highlight w:val="none"/>
              </w:rPr>
              <w:t xml:space="preserve">月以来任意一个月</w:t>
            </w:r>
            <w:r>
              <w:rPr>
                <w:rFonts w:hint="eastAsia" w:ascii="宋体" w:hAnsi="宋体" w:eastAsia="宋体" w:cs="宋体"/>
                <w:b/>
                <w:bCs/>
                <w:color w:val="auto"/>
                <w:sz w:val="21"/>
                <w:szCs w:val="21"/>
                <w:highlight w:val="none"/>
              </w:rPr>
              <w:t xml:space="preserve">由投标人为其缴纳的社保证明材料扫描件并加盖投标人公章，否则不得分。返聘人员须提供职称证书</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退休证及投标人与其签订的聘用合同扫描件并加盖投标人公章，否则不得分。同一人以最高职称计分，不重复得分）</w:t>
            </w:r>
            <w:r/>
          </w:p>
        </w:tc>
      </w:tr>
      <w:tr>
        <w:trPr>
          <w:jc w:val="center"/>
          <w:trHeight w:val="1607"/>
        </w:trPr>
        <w:tc>
          <w:tcPr>
            <w:tcW w:w="200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年1月1日以来（以合同签订日期为准），投标人具有类似业绩的，每有一个得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（投标文件中提供合同扫描件并加盖投标人公章，否则不得分。时间、服务内容以合同为准）</w:t>
            </w:r>
            <w:r/>
          </w:p>
        </w:tc>
      </w:tr>
      <w:tr>
        <w:trPr>
          <w:jc w:val="center"/>
          <w:trHeight w:val="1376"/>
        </w:trPr>
        <w:tc>
          <w:tcPr>
            <w:tcW w:w="200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信息管理及投诉处理承诺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投标人承诺中标后，建立服务对象档案，并有专人管理；如出现投诉情况，须在1天内受理，7天之内将处理情况反馈给残疾人及家属的</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（投标文件中提供加盖投标人公章的书面承诺函（格式自拟），否则不得分）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团队组织架构</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投标人提供服务团队组织架构。内容包含服务团队人员配备（包括但不限于人员投入计划）及人员管理方案，根据人员组织架构、人员配备、管理方案等：</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人员投入合理、管理科学有效、组织架构详细完整，</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人员投入较合理、管理较科学有效、组织架构较详细完整，得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人员投入基本合理、管理基本科学有效、组织架构基本详细完整，</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岗位职责</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投标人提供服务岗位职责。内容包含但不限于明确管理人员、服务人员具体的岗位内容和要求等，根据岗位职责是否合理、全面进行综合评分：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岗位内容全面可行、岗位要求分工明确、权责分配到位，</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岗位内容较全面可行、岗位要求较分工明确、权责分配较到位，</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岗位内容基本全面可行、岗位要求基本分工明确、权责分配一般，</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528"/>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服务安排</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投标人提供服务计划安排。内容包含但不限于对服务对象感知觉训练、生活适应能力训练等方面的服务计划表（包括周课程表和月度工作计划）等：</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服务计划详细、操作可行性强、各功能训练课表安排合理，</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服务计划较详细、操作可行性较强、各功能训练课表安排较合理，</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服务计划基本详细、操作可行性一般、各功能训练课表安排一般，</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投标人提供的服务方案需有人员培训计划。内容包含但不限于培训内容、培训人员、培训时间安排、培训预期效果等：</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培训计划完整，培训内容能够充分结合需求、方式灵活、人员专业、时间安排合理，</w:t>
            </w:r>
            <w:r>
              <w:rPr>
                <w:rFonts w:hint="eastAsia" w:ascii="宋体" w:hAnsi="宋体" w:eastAsia="宋体" w:cs="宋体"/>
                <w:b/>
                <w:color w:val="auto"/>
                <w:sz w:val="21"/>
                <w:szCs w:val="21"/>
                <w:highlight w:val="none"/>
              </w:rPr>
              <w:t xml:space="preserve">得</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培训计划较完整，培训内容较能够充分结合需求、方式较灵活、人员较专业、时间安排较合理，</w:t>
            </w:r>
            <w:r>
              <w:rPr>
                <w:rFonts w:hint="eastAsia" w:ascii="宋体" w:hAnsi="宋体" w:eastAsia="宋体" w:cs="宋体"/>
                <w:b/>
                <w:color w:val="auto"/>
                <w:sz w:val="21"/>
                <w:szCs w:val="21"/>
                <w:highlight w:val="none"/>
              </w:rPr>
              <w:t xml:space="preserve">得</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培训计划基本完整，培训内容基本能够充分结合需求、方式基本灵活、时间安排基本合理，</w:t>
            </w:r>
            <w:r>
              <w:rPr>
                <w:rFonts w:hint="eastAsia" w:ascii="宋体" w:hAnsi="宋体" w:eastAsia="宋体" w:cs="宋体"/>
                <w:b/>
                <w:color w:val="auto"/>
                <w:sz w:val="21"/>
                <w:szCs w:val="21"/>
                <w:highlight w:val="none"/>
              </w:rPr>
              <w:t xml:space="preserve">得1分；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监督管理机制</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投标人提供服务监督管理机制。</w:t>
            </w:r>
            <w:r>
              <w:rPr>
                <w:rFonts w:hint="eastAsia" w:ascii="宋体" w:hAnsi="宋体" w:eastAsia="宋体" w:cs="宋体"/>
                <w:color w:val="auto"/>
                <w:sz w:val="21"/>
                <w:szCs w:val="21"/>
                <w:highlight w:val="none"/>
              </w:rPr>
              <w:t xml:space="preserve">内容包含但不限于根据不同岗位制定相应的人员考核机制，考核机制应结合项目内容，相关监督管理机制各项等：</w:t>
            </w:r>
            <w:r/>
          </w:p>
          <w:p>
            <w:pPr>
              <w:pStyle w:val="1001"/>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人员监督管理机制详细合理、考核机制真实可靠、与项目内容关联密切，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pStyle w:val="1001"/>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人员监督管理机制较详细合理、考核机制较真实可靠、与项目内容关联较密切，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pStyle w:val="1001"/>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人员监督管理机制基本详细合理、考核机制基本真实可靠、与项目内容关联基本密切，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rPr>
              <w:t xml:space="preserve">1分；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投标人提供服务应急预案。内容包含但不限于建立一套完善的汇报和监管机制，包括突发公共卫生事件、灾害事故等应急预案等。</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应急预案详细、</w:t>
            </w:r>
            <w:r>
              <w:rPr>
                <w:rFonts w:hint="eastAsia" w:ascii="宋体" w:hAnsi="宋体" w:eastAsia="宋体" w:cs="宋体"/>
                <w:color w:val="auto"/>
                <w:sz w:val="21"/>
                <w:szCs w:val="21"/>
                <w:highlight w:val="none"/>
                <w:lang w:bidi="ar"/>
              </w:rPr>
              <w:t xml:space="preserve">处理及时、措施得当、可实施性强，</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应急预案较详细、</w:t>
            </w:r>
            <w:r>
              <w:rPr>
                <w:rFonts w:hint="eastAsia" w:ascii="宋体" w:hAnsi="宋体" w:eastAsia="宋体" w:cs="宋体"/>
                <w:color w:val="auto"/>
                <w:sz w:val="21"/>
                <w:szCs w:val="21"/>
                <w:highlight w:val="none"/>
                <w:lang w:bidi="ar"/>
              </w:rPr>
              <w:t xml:space="preserve">处理</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及时、措施</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得当、可实施性</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强</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应急预案基本详细、</w:t>
            </w:r>
            <w:r>
              <w:rPr>
                <w:rFonts w:hint="eastAsia" w:ascii="宋体" w:hAnsi="宋体" w:eastAsia="宋体" w:cs="宋体"/>
                <w:color w:val="auto"/>
                <w:sz w:val="21"/>
                <w:szCs w:val="21"/>
                <w:highlight w:val="none"/>
                <w:lang w:bidi="ar"/>
              </w:rPr>
              <w:t xml:space="preserve">处理基本及时、措施基本得当、可实施性一般</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rPr>
              <w:t xml:space="preserve">1分；</w:t>
            </w:r>
            <w:r/>
          </w:p>
          <w:p>
            <w:pPr>
              <w:pStyle w:val="1001"/>
              <w:jc w:val="both"/>
              <w:spacing w:line="440" w:lineRule="exac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keepLines w:val="0"/>
        <w:keepNext w:val="0"/>
        <w:pageBreakBefore w:val="0"/>
        <w:spacing w:line="360" w:lineRule="auto"/>
        <w:widowControl w:val="off"/>
        <w:rPr>
          <w:rFonts w:hint="eastAsia" w:ascii="宋体" w:hAnsi="宋体" w:eastAsia="宋体" w:cs="宋体"/>
          <w:b w:val="0"/>
        </w:rPr>
      </w:pPr>
      <w:r>
        <w:rPr>
          <w:rFonts w:hint="eastAsia" w:ascii="宋体" w:hAnsi="宋体" w:eastAsia="宋体" w:cs="宋体"/>
          <w:b/>
          <w:bCs/>
          <w:color w:val="auto"/>
          <w:sz w:val="21"/>
          <w:szCs w:val="21"/>
          <w:highlight w:val="none"/>
        </w:rPr>
        <w:t xml:space="preserve">投标文件中所提供的全部证明材料，评审结束后</w:t>
      </w:r>
      <w:r>
        <w:rPr>
          <w:rFonts w:hint="eastAsia" w:ascii="宋体" w:hAnsi="宋体" w:eastAsia="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rPr>
        <w:t xml:space="preserve">有权进行核实，如有不实，将按照相关法律法规规定进行处理。</w:t>
      </w:r>
      <w:bookmarkStart w:id="5" w:name="_Toc155796361"/>
      <w:r/>
      <w:r/>
    </w:p>
    <w:p>
      <w:pPr>
        <w:rPr>
          <w:rFonts w:hint="eastAsia" w:ascii="宋体" w:hAnsi="宋体" w:eastAsia="宋体" w:cs="宋体"/>
          <w:b/>
          <w:bCs w:val="0"/>
          <w:sz w:val="32"/>
          <w:szCs w:val="32"/>
        </w:rPr>
      </w:pPr>
      <w:r>
        <w:rPr>
          <w:rFonts w:hint="eastAsia" w:ascii="宋体" w:hAnsi="宋体" w:eastAsia="宋体" w:cs="宋体"/>
          <w:b/>
          <w:bCs w:val="0"/>
          <w:sz w:val="32"/>
          <w:szCs w:val="32"/>
        </w:rPr>
        <w:br w:type="page" w:clear="all"/>
      </w:r>
      <w:r/>
    </w:p>
    <w:p>
      <w:pPr>
        <w:pStyle w:val="783"/>
        <w:numPr>
          <w:ilvl w:val="0"/>
          <w:numId w:val="2"/>
        </w:numPr>
        <w:ind w:left="0" w:firstLine="0"/>
        <w:jc w:val="center"/>
        <w:spacing w:after="0"/>
        <w:rPr>
          <w:rFonts w:hint="eastAsia" w:ascii="宋体" w:hAnsi="宋体" w:eastAsia="宋体" w:cs="宋体"/>
          <w:b/>
          <w:bCs w:val="0"/>
          <w:sz w:val="32"/>
          <w:szCs w:val="32"/>
        </w:rPr>
      </w:pPr>
      <w:r>
        <w:rPr>
          <w:rFonts w:hint="eastAsia" w:ascii="宋体" w:hAnsi="宋体" w:eastAsia="宋体" w:cs="宋体"/>
          <w:b/>
          <w:bCs w:val="0"/>
          <w:sz w:val="32"/>
          <w:szCs w:val="32"/>
        </w:rPr>
        <w:t xml:space="preserve"> 投标文件格式</w:t>
      </w:r>
      <w:bookmarkEnd w:id="5"/>
      <w:r/>
      <w:r/>
    </w:p>
    <w:p>
      <w:pPr>
        <w:pStyle w:val="767"/>
        <w:jc w:val="center"/>
        <w:spacing w:before="156" w:after="156" w:line="360" w:lineRule="auto"/>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 xml:space="preserve">连 云 港 市 政 府 采 购</w:t>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t xml:space="preserve">投标文件</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 段 名 称：【标段名称】 </w:t>
      </w:r>
      <w:r/>
    </w:p>
    <w:p>
      <w:pPr>
        <w:ind w:firstLine="964"/>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标 段 编 号：【标段编号】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投标人名称：</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投标人地址：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委托代理人：（委托代理时填写）              </w:t>
      </w:r>
      <w:r/>
    </w:p>
    <w:p>
      <w:pPr>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t xml:space="preserve">      日      期：</w:t>
      </w:r>
      <w:r>
        <w:rPr>
          <w:rFonts w:hint="eastAsia" w:ascii="宋体" w:hAnsi="宋体" w:eastAsia="宋体" w:cs="宋体"/>
          <w:b/>
          <w:color w:val="auto"/>
          <w:sz w:val="24"/>
          <w:highlight w:val="none"/>
        </w:rPr>
        <w:t xml:space="preserve"> </w:t>
      </w:r>
      <w:r/>
    </w:p>
    <w:p>
      <w:pPr>
        <w:pStyle w:val="768"/>
        <w:numPr>
          <w:ilvl w:val="0"/>
          <w:numId w:val="0"/>
        </w:numPr>
        <w:spacing w:before="0"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响 应 函</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标段名称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（标段编号：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）采购文件，正式授权下述签字人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参加贵方组织的采购活动，按照采购文件要求提交响应文件。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我方完全响应项目需求所有内容，并</w:t>
      </w:r>
      <w:r>
        <w:rPr>
          <w:rFonts w:hint="eastAsia" w:ascii="宋体" w:hAnsi="宋体" w:eastAsia="宋体" w:cs="宋体"/>
          <w:color w:val="auto"/>
          <w:sz w:val="21"/>
          <w:szCs w:val="21"/>
          <w:highlight w:val="none"/>
        </w:rPr>
        <w:t xml:space="preserve">按采购文件项目需求提交响应报价，报价、交货期等详见开标一览表。</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2.我方同意在本标段采购文件中规定的响应文件递交截止之日起60天内遵守本响应文件中的承诺且在此期限期满之前均具有约束力。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3.我方承诺已经具备《中华人民共和国政府采购法》中规定的参加政府采购活动的供应商应当具备的条件：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(5)参加此项采购活动前三年内，在经营活动中没有重大违法记录。</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4.我方根据采购文件的规定，承担完成合同的责任和义务。</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5.我方已详细审核采购文件，我方知道必须放弃提出含糊不清或误解问题的权利。</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6.如果在响应文件有效期内撤回或者有其他违约行为，我方的保证金可被贵方全部或部分没收。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7.同意应贵方要求提供与本次采购活动有关的任何数据或资料。</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8.我方完全理解，最低报价不是中标（成交）的唯一条件。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9.若贵方需要，我方愿意提供我方作出的一切承诺的证明材料。</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(1)提供虚假材料谋取中标、成交的；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(2)采取不正当手段诋毁、排挤其他供应商的；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(3)与采购人、其他供应商或者采购代理机构恶意串通的；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(4)向采购人、采购代理机构行贿或者提供其他不正当利益的；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(5)在招标采购过程中与采购人进行协商谈判的；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(6)拒绝有关部门监督检查或提供虚假情况的。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 </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80"/>
        <w:jc w:val="left"/>
        <w:spacing w:line="360" w:lineRule="auto"/>
        <w:rPr>
          <w:rFonts w:hint="eastAsia" w:ascii="宋体" w:hAnsi="宋体" w:eastAsia="宋体" w:cs="宋体"/>
          <w:bCs/>
          <w:color w:val="auto"/>
          <w:sz w:val="24"/>
          <w:highlight w:val="none"/>
        </w:rPr>
      </w:pPr>
      <w:r/>
      <w:bookmarkStart w:id="6" w:name="_Toc91256336"/>
      <w:r/>
      <w:bookmarkStart w:id="7" w:name="_Toc91183848"/>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开标一览表</w:t>
      </w:r>
      <w:r/>
    </w:p>
    <w:p>
      <w:pPr>
        <w:ind w:firstLine="48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标段编号：</w:t>
      </w:r>
      <w:r/>
    </w:p>
    <w:p>
      <w:pPr>
        <w:ind w:firstLine="48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标段名称：</w:t>
      </w:r>
      <w:r>
        <w:rPr>
          <w:rFonts w:hint="eastAsia" w:ascii="宋体" w:hAnsi="宋体" w:eastAsia="宋体" w:cs="宋体"/>
          <w:color w:val="auto"/>
          <w:sz w:val="21"/>
          <w:szCs w:val="21"/>
          <w:highlight w:val="none"/>
          <w:lang w:val="en-US" w:eastAsia="zh-CN"/>
        </w:rPr>
        <w:t xml:space="preserve">    </w:t>
      </w:r>
      <w:r/>
    </w:p>
    <w:p>
      <w:pPr>
        <w:pStyle w:val="9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7"/>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6"/>
        <w:gridCol w:w="4313"/>
        <w:gridCol w:w="3025"/>
      </w:tblGrid>
      <w:tr>
        <w:trPr>
          <w:cantSplit/>
          <w:jc w:val="center"/>
          <w:trHeight w:val="1310"/>
        </w:trPr>
        <w:tc>
          <w:tcPr>
            <w:shd w:val="clear" w:color="auto" w:fill="auto"/>
            <w:tcW w:w="2426"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标题</w:t>
            </w:r>
            <w:r/>
          </w:p>
        </w:tc>
        <w:tc>
          <w:tcPr>
            <w:shd w:val="clear" w:color="auto" w:fill="auto"/>
            <w:tcW w:w="431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w:t>
            </w:r>
            <w:r/>
          </w:p>
        </w:tc>
        <w:tc>
          <w:tcPr>
            <w:tcW w:w="30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报价（元</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天</w:t>
            </w:r>
            <w:r>
              <w:rPr>
                <w:rFonts w:hint="eastAsia" w:ascii="宋体" w:hAnsi="宋体" w:eastAsia="宋体" w:cs="宋体"/>
                <w:color w:val="auto"/>
                <w:sz w:val="21"/>
                <w:szCs w:val="21"/>
                <w:highlight w:val="none"/>
                <w:lang w:eastAsia="zh-CN"/>
              </w:rPr>
              <w:t xml:space="preserve">）</w:t>
            </w:r>
            <w:r/>
          </w:p>
        </w:tc>
      </w:tr>
      <w:tr>
        <w:trPr>
          <w:cantSplit/>
          <w:jc w:val="center"/>
          <w:trHeight w:val="1310"/>
        </w:trPr>
        <w:tc>
          <w:tcPr>
            <w:tcW w:w="2426" w:type="dxa"/>
            <w:vAlign w:val="center"/>
            <w:vMerge w:val="restart"/>
            <w:textDirection w:val="lrTb"/>
            <w:noWrap w:val="false"/>
          </w:tcPr>
          <w:p>
            <w:pPr>
              <w:jc w:val="center"/>
              <w:rPr>
                <w:rFonts w:hint="eastAsia" w:ascii="宋体" w:hAnsi="宋体" w:eastAsia="宋体" w:cs="宋体"/>
                <w:b/>
                <w:bCs/>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固定单价报价</w:t>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岁全日制孤独症基本康复服务</w:t>
            </w:r>
            <w:r/>
          </w:p>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 小时，</w:t>
            </w:r>
            <w:r>
              <w:rPr>
                <w:rFonts w:hint="eastAsia" w:ascii="宋体" w:hAnsi="宋体" w:eastAsia="宋体" w:cs="宋体"/>
                <w:color w:val="auto"/>
                <w:sz w:val="21"/>
                <w:szCs w:val="21"/>
                <w:highlight w:val="none"/>
                <w:lang w:val="en-US" w:eastAsia="zh-CN"/>
              </w:rPr>
              <w:t xml:space="preserve">不含10元</w:t>
            </w:r>
            <w:r>
              <w:rPr>
                <w:rFonts w:hint="eastAsia" w:ascii="宋体" w:hAnsi="宋体" w:eastAsia="宋体" w:cs="宋体"/>
                <w:color w:val="auto"/>
                <w:sz w:val="21"/>
                <w:szCs w:val="21"/>
                <w:highlight w:val="none"/>
              </w:rPr>
              <w:t xml:space="preserve">伙食费）</w:t>
            </w:r>
            <w:r/>
          </w:p>
        </w:tc>
        <w:tc>
          <w:tcPr>
            <w:tcW w:w="302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9</w:t>
            </w:r>
            <w:r>
              <w:rPr>
                <w:rFonts w:hint="eastAsia" w:ascii="宋体" w:hAnsi="宋体" w:eastAsia="宋体" w:cs="宋体"/>
                <w:color w:val="auto"/>
                <w:sz w:val="21"/>
                <w:szCs w:val="21"/>
              </w:rPr>
              <w:t xml:space="preserve">0 </w:t>
            </w:r>
            <w:r/>
          </w:p>
        </w:tc>
      </w:tr>
      <w:tr>
        <w:trPr>
          <w:cantSplit/>
          <w:jc w:val="center"/>
          <w:trHeight w:val="1310"/>
        </w:trPr>
        <w:tc>
          <w:tcPr>
            <w:tcW w:w="2426" w:type="dxa"/>
            <w:vAlign w:val="center"/>
            <w:vMerge w:val="continue"/>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岁非全日制孤独症基本康复服务</w:t>
            </w:r>
            <w:r/>
          </w:p>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（1.5小时，无伙食费）</w:t>
            </w:r>
            <w:r/>
          </w:p>
        </w:tc>
        <w:tc>
          <w:tcPr>
            <w:tcW w:w="302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7</w:t>
            </w:r>
            <w:r>
              <w:rPr>
                <w:rFonts w:hint="eastAsia" w:ascii="宋体" w:hAnsi="宋体" w:eastAsia="宋体" w:cs="宋体"/>
                <w:color w:val="auto"/>
                <w:spacing w:val="2"/>
                <w:sz w:val="21"/>
                <w:szCs w:val="21"/>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7</w:t>
            </w:r>
            <w:r/>
          </w:p>
        </w:tc>
      </w:tr>
      <w:tr>
        <w:trPr>
          <w:cantSplit/>
          <w:jc w:val="center"/>
          <w:trHeight w:val="1310"/>
        </w:trPr>
        <w:tc>
          <w:tcPr>
            <w:tcW w:w="2426"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服务期限</w:t>
            </w:r>
            <w:r/>
          </w:p>
        </w:tc>
        <w:tc>
          <w:tcPr>
            <w:gridSpan w:val="2"/>
            <w:shd w:val="clear" w:color="auto" w:fill="auto"/>
            <w:tcW w:w="7338"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投标人（盖章）：</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法定代表人或委托代理人（签字或盖章）：</w:t>
      </w:r>
      <w:r/>
    </w:p>
    <w:p>
      <w:pPr>
        <w:ind w:firstLine="48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日期：    年     月     日</w:t>
      </w:r>
      <w:r/>
    </w:p>
    <w:p>
      <w:pPr>
        <w:ind w:firstLine="48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注：</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本项目采用固定价格采购的项目（无需进行报价），其价格不列为评审因素</w:t>
      </w:r>
      <w:r>
        <w:rPr>
          <w:rFonts w:hint="eastAsia" w:ascii="宋体" w:hAnsi="宋体" w:eastAsia="宋体" w:cs="宋体"/>
          <w:color w:val="auto"/>
          <w:sz w:val="21"/>
          <w:szCs w:val="21"/>
          <w:highlight w:val="none"/>
        </w:rPr>
        <w:t xml:space="preserve">。</w:t>
      </w:r>
      <w:r/>
    </w:p>
    <w:p>
      <w:pPr>
        <w:pStyle w:val="978"/>
        <w:ind w:firstLine="96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实</w:t>
      </w:r>
      <w:r>
        <w:rPr>
          <w:rFonts w:hint="eastAsia" w:ascii="宋体" w:hAnsi="宋体" w:eastAsia="宋体" w:cs="宋体"/>
          <w:color w:val="auto"/>
          <w:sz w:val="21"/>
          <w:szCs w:val="21"/>
          <w:highlight w:val="none"/>
        </w:rPr>
        <w:t xml:space="preserve">际结算价在预算金额内以实际</w:t>
      </w:r>
      <w:r>
        <w:rPr>
          <w:rFonts w:hint="eastAsia" w:ascii="宋体" w:hAnsi="宋体" w:eastAsia="宋体" w:cs="宋体"/>
          <w:color w:val="auto"/>
          <w:sz w:val="21"/>
          <w:szCs w:val="21"/>
          <w:highlight w:val="none"/>
          <w:lang w:val="en-US" w:eastAsia="zh-CN"/>
        </w:rPr>
        <w:t xml:space="preserve">接受</w:t>
      </w:r>
      <w:r>
        <w:rPr>
          <w:rFonts w:hint="eastAsia" w:ascii="宋体" w:hAnsi="宋体" w:eastAsia="宋体" w:cs="宋体"/>
          <w:color w:val="auto"/>
          <w:sz w:val="21"/>
          <w:szCs w:val="21"/>
          <w:highlight w:val="none"/>
        </w:rPr>
        <w:t xml:space="preserve">人数为准，超过预算金额以预算金额为准</w:t>
      </w:r>
      <w:r/>
    </w:p>
    <w:p>
      <w:pPr>
        <w:pStyle w:val="779"/>
        <w:keepLines w:val="0"/>
        <w:keepNext w:val="0"/>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7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7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6"/>
      <w:r/>
      <w:bookmarkEnd w:id="7"/>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财务状况报告及税收、社会保障资金缴纳情况承诺函</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采购人名称</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w:t>
      </w: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color w:val="auto"/>
          <w:sz w:val="21"/>
          <w:szCs w:val="21"/>
          <w:highlight w:val="none"/>
          <w:u w:val="single"/>
          <w:lang w:val="en-US" w:eastAsia="zh-CN"/>
        </w:rPr>
        <w:t xml:space="preserve">标段</w:t>
      </w:r>
      <w:r>
        <w:rPr>
          <w:rFonts w:hint="eastAsia" w:ascii="宋体" w:hAnsi="宋体" w:eastAsia="宋体" w:cs="宋体"/>
          <w:color w:val="auto"/>
          <w:sz w:val="21"/>
          <w:szCs w:val="21"/>
          <w:highlight w:val="none"/>
          <w:u w:val="single"/>
        </w:rPr>
        <w:t xml:space="preserve">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标段</w:t>
      </w: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）采购，根据《</w:t>
      </w:r>
      <w:r>
        <w:rPr>
          <w:rStyle w:val="982"/>
          <w:rFonts w:hint="eastAsia" w:ascii="宋体" w:hAnsi="宋体" w:eastAsia="宋体" w:cs="宋体"/>
          <w:color w:val="auto"/>
          <w:sz w:val="21"/>
          <w:szCs w:val="21"/>
          <w:highlight w:val="none"/>
        </w:rPr>
        <w:t xml:space="preserve">关于简化政府采购供应商资格审查有关事项的通知</w:t>
      </w:r>
      <w:r>
        <w:rPr>
          <w:rFonts w:hint="eastAsia" w:ascii="宋体" w:hAnsi="宋体" w:eastAsia="宋体" w:cs="宋体"/>
          <w:color w:val="auto"/>
          <w:sz w:val="21"/>
          <w:szCs w:val="21"/>
          <w:highlight w:val="none"/>
        </w:rPr>
        <w:t xml:space="preserve">》（连财购〔2023〕4号），我方承诺具备《中华人民共和国政府采购法》第二十二条第（二）、第（四）项，《中华人民共和国政府采购法实施条例》第十七条第（二）项规定条件的，具体包括：</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（1）具有良好的商业信誉和健全的财务会计制度（财务状况报告）；</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（2）有依法缴纳税收和社会保障资金的良好记录。</w:t>
      </w:r>
      <w:r/>
    </w:p>
    <w:p>
      <w:pPr>
        <w:ind w:left="0" w:firstLine="420"/>
        <w:jc w:val="both"/>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firstLine="420"/>
        <w:jc w:val="both"/>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特此承诺</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供应商（公章）：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法定代表人或其委托代理人（签名或签章）：</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w:t>
      </w:r>
      <w:r/>
    </w:p>
    <w:p>
      <w:pPr>
        <w:numPr>
          <w:ilvl w:val="0"/>
          <w:numId w:val="0"/>
        </w:numPr>
        <w:ind w:left="0" w:firstLine="420"/>
        <w:jc w:val="both"/>
        <w:pageBreakBefore w:val="0"/>
        <w:spacing w:before="0" w:after="0" w:line="360" w:lineRule="auto"/>
        <w:rPr>
          <w:rFonts w:hint="eastAsia" w:ascii="宋体" w:hAnsi="宋体" w:eastAsia="宋体" w:cs="宋体"/>
          <w:bCs/>
          <w:color w:val="auto"/>
          <w:sz w:val="28"/>
          <w:szCs w:val="28"/>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具备履行合同所必需的设备和专业技术能力的声明及证明材料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郑重声明：我单位具备履行本项采购合同所必需的设备和专业技术能力，为履行本项采购合同我单位具备如下主要设备和主要专业技术能力：</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声明人（盖章）：</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2"/>
        <w:spacing w:line="4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68"/>
        <w:numPr>
          <w:ilvl w:val="0"/>
          <w:numId w:val="0"/>
        </w:numPr>
        <w:spacing w:before="0" w:after="0" w:line="24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参加政府采购活动前3年内在经营活动中没有重大违法记录的书面声明</w:t>
      </w:r>
      <w:r/>
    </w:p>
    <w:p>
      <w:pPr>
        <w:ind w:firstLine="422"/>
        <w:spacing w:line="4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声  明</w:t>
      </w:r>
      <w:r/>
    </w:p>
    <w:p>
      <w:pPr>
        <w:pStyle w:val="820"/>
        <w:rPr>
          <w:rFonts w:hint="eastAsia"/>
        </w:rPr>
      </w:pPr>
      <w:r>
        <w:rPr>
          <w:rFonts w:hint="eastAsia"/>
        </w:rPr>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lang w:val="zh-CN"/>
        </w:rPr>
        <w:t xml:space="preserve">_______</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lang w:val="zh-CN"/>
        </w:rPr>
        <w:t xml:space="preserve">________________</w:t>
      </w:r>
      <w:r>
        <w:rPr>
          <w:rFonts w:hint="eastAsia" w:ascii="宋体" w:hAnsi="宋体" w:eastAsia="宋体" w:cs="宋体"/>
          <w:color w:val="auto"/>
          <w:sz w:val="21"/>
          <w:szCs w:val="21"/>
          <w:highlight w:val="none"/>
        </w:rPr>
        <w:t xml:space="preserve">（投标人名称）的法定代表人（单位负责人），现委托</w:t>
      </w:r>
      <w:r>
        <w:rPr>
          <w:rFonts w:hint="eastAsia" w:ascii="宋体" w:hAnsi="宋体" w:eastAsia="宋体" w:cs="宋体"/>
          <w:color w:val="auto"/>
          <w:sz w:val="21"/>
          <w:szCs w:val="21"/>
          <w:highlight w:val="none"/>
          <w:lang w:val="zh-CN"/>
        </w:rPr>
        <w:t xml:space="preserve">_______</w:t>
      </w:r>
      <w:r>
        <w:rPr>
          <w:rFonts w:hint="eastAsia" w:ascii="宋体" w:hAnsi="宋体" w:eastAsia="宋体" w:cs="宋体"/>
          <w:color w:val="auto"/>
          <w:sz w:val="21"/>
          <w:szCs w:val="21"/>
          <w:highlight w:val="none"/>
        </w:rPr>
        <w:t xml:space="preserve">（姓名）为我方代理人。代理人根据授权，以我方名义签署、澄清确认、递交、撤回、修改</w:t>
      </w:r>
      <w:r>
        <w:rPr>
          <w:rFonts w:hint="eastAsia" w:ascii="宋体" w:hAnsi="宋体" w:eastAsia="宋体" w:cs="宋体"/>
          <w:b w:val="0"/>
          <w:bCs w:val="0"/>
          <w:color w:val="000000"/>
          <w:sz w:val="21"/>
          <w:szCs w:val="21"/>
          <w:lang w:eastAsia="zh-CN"/>
        </w:rPr>
        <w:t xml:space="preserve">2026年度赣榆区孤独症残疾儿童基本康复服务项目</w:t>
      </w:r>
      <w:r>
        <w:rPr>
          <w:rFonts w:hint="eastAsia" w:ascii="宋体" w:hAnsi="宋体" w:eastAsia="宋体" w:cs="宋体"/>
          <w:color w:val="auto"/>
          <w:sz w:val="21"/>
          <w:szCs w:val="21"/>
          <w:highlight w:val="none"/>
        </w:rPr>
        <w:t xml:space="preserve">（标段编号：）投标文件和处理有关事宜，其法律后果由我方承担。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代理人无转委托权。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：________________</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lang w:val="zh-CN"/>
        </w:rPr>
        <w:t xml:space="preserve">________________</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lang w:val="zh-CN"/>
        </w:rPr>
        <w:t xml:space="preserve">________________</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w:t>
      </w:r>
      <w:r/>
    </w:p>
    <w:p>
      <w:pPr>
        <w:ind w:firstLine="48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2.若投标文件中签字之处均为法定代表人（单位负责人）本人签署，则可不提供本《授权委托书》，但须提供《法定代表人（单位负责人）身份证明》。</w:t>
      </w:r>
      <w:r/>
    </w:p>
    <w:p>
      <w:pPr>
        <w:jc w:val="left"/>
        <w:spacing w:line="360" w:lineRule="auto"/>
        <w:tabs>
          <w:tab w:val="left" w:pos="5580" w:leader="none"/>
        </w:tabs>
        <w:rPr>
          <w:rFonts w:hint="eastAsia" w:ascii="宋体" w:hAnsi="宋体" w:eastAsia="宋体" w:cs="宋体"/>
          <w:color w:val="auto"/>
          <w:sz w:val="30"/>
          <w:szCs w:val="30"/>
          <w:highlight w:val="none"/>
        </w:rPr>
      </w:pPr>
      <w:r>
        <w:rPr>
          <w:rFonts w:hint="eastAsia" w:ascii="宋体" w:hAnsi="宋体" w:eastAsia="宋体" w:cs="宋体"/>
          <w:color w:val="auto"/>
          <w:sz w:val="21"/>
          <w:szCs w:val="21"/>
          <w:highlight w:val="none"/>
        </w:rPr>
        <w:t xml:space="preserve">3.供应商为自然人的情形，可不提供本《授权委托书》。</w:t>
      </w:r>
      <w:r>
        <w:rPr>
          <w:rFonts w:hint="eastAsia" w:ascii="宋体" w:hAnsi="宋体" w:eastAsia="宋体" w:cs="宋体"/>
          <w:color w:val="auto"/>
          <w:sz w:val="30"/>
          <w:szCs w:val="30"/>
          <w:highlight w:val="none"/>
        </w:rPr>
        <w:br w:type="page" w:clear="all"/>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p>
      <w:pPr>
        <w:ind w:right="430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：________________</w:t>
      </w:r>
      <w:r/>
    </w:p>
    <w:p>
      <w:pPr>
        <w:ind w:right="9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）（签字、签章或印鉴）：_______</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w:t>
      </w:r>
      <w:r/>
    </w:p>
    <w:p>
      <w:pPr>
        <w:pStyle w:val="768"/>
        <w:numPr>
          <w:ilvl w:val="0"/>
          <w:numId w:val="0"/>
        </w:numPr>
        <w:spacing w:before="0" w:after="0" w:line="240" w:lineRule="auto"/>
        <w:rPr>
          <w:rFonts w:hint="eastAsia" w:ascii="宋体" w:hAnsi="宋体" w:eastAsia="宋体" w:cs="宋体"/>
          <w:b w:val="0"/>
          <w:bCs w:val="0"/>
          <w:color w:val="auto"/>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商务条款偏离表</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商务条款偏离表</w:t>
      </w:r>
      <w:r/>
    </w:p>
    <w:p>
      <w:pPr>
        <w:pStyle w:val="820"/>
        <w:rPr>
          <w:rFonts w:hint="eastAsia"/>
        </w:rPr>
      </w:pPr>
      <w:r>
        <w:rPr>
          <w:rFonts w:hint="eastAsia"/>
        </w:rPr>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请逐条对应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文件“项目需求”等内容要求的商务条件，填写该表。</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p>
        </w:tc>
        <w:tc>
          <w:tcPr>
            <w:tcW w:w="26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文件的商务条款</w:t>
            </w:r>
            <w:r/>
          </w:p>
        </w:tc>
        <w:tc>
          <w:tcPr>
            <w:tcW w:w="27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文件的商务条款</w:t>
            </w:r>
            <w:r/>
          </w:p>
        </w:tc>
        <w:tc>
          <w:tcPr>
            <w:tcW w:w="22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8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注：“偏离说明”填写“正偏离”“负偏离”或“无偏离”。</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68"/>
        <w:ind w:left="0" w:right="0" w:firstLine="0"/>
        <w:jc w:val="both"/>
        <w:spacing w:before="0" w:after="0"/>
        <w:rPr>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技术条款偏离表</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技术条款偏离表</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招标文件的技术条款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投标文件的技术条款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注：“偏离说明”填写“正偏离”“负偏离”或“无偏离”。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68"/>
        <w:numPr>
          <w:ilvl w:val="0"/>
          <w:numId w:val="0"/>
        </w:numPr>
        <w:spacing w:before="0" w:after="0" w:line="24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pStyle w:val="820"/>
        <w:rPr>
          <w:rFonts w:hint="eastAsia"/>
        </w:rPr>
      </w:pPr>
      <w:r>
        <w:rPr>
          <w:rFonts w:hint="eastAsia"/>
        </w:rPr>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（请按“项目需求”等内容要求自行填写，格式自定)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68"/>
        <w:numPr>
          <w:ilvl w:val="0"/>
          <w:numId w:val="0"/>
        </w:numPr>
        <w:spacing w:before="0" w:after="0" w:line="240" w:lineRule="auto"/>
        <w:rPr>
          <w:rFonts w:hint="eastAsia" w:ascii="宋体" w:hAnsi="宋体" w:eastAsia="宋体" w:cs="宋体"/>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项目团队人员一览表</w:t>
      </w:r>
      <w:r/>
    </w:p>
    <w:p>
      <w:pPr>
        <w:ind w:firstLine="3233"/>
        <w:spacing w:line="52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项目团队人员一览表</w:t>
      </w:r>
      <w:r/>
    </w:p>
    <w:tbl>
      <w:tblPr>
        <w:tblStyle w:val="777"/>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类似项目业绩一览表</w:t>
      </w:r>
      <w:r/>
    </w:p>
    <w:p>
      <w:pPr>
        <w:jc w:val="center"/>
        <w:spacing w:line="52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类似项目业绩一览表</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项目需求响应</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项目需求响应</w:t>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（请按“项目需求”等内容要求自行填写，格式自定）</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pStyle w:val="786"/>
        <w:ind w:firstLine="48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z w:val="24"/>
          <w:szCs w:val="24"/>
          <w:highlight w:val="none"/>
        </w:rPr>
        <w:t xml:space="preserve">日期：    年     月     日</w:t>
      </w:r>
      <w:r/>
    </w:p>
    <w:p>
      <w:pPr>
        <w:rPr>
          <w:rFonts w:hint="eastAsia" w:ascii="黑体" w:hAnsi="宋体" w:eastAsia="黑体" w:cs="黑体"/>
          <w:b/>
          <w:bCs/>
          <w:i w:val="0"/>
          <w:iCs w:val="0"/>
          <w:color w:val="auto"/>
          <w:sz w:val="32"/>
          <w:szCs w:val="32"/>
          <w:highlight w:val="none"/>
          <w:u w:val="none"/>
          <w:lang w:val="en-US" w:eastAsia="zh-CN" w:bidi="ar-SA"/>
        </w:rPr>
      </w:pPr>
      <w:r>
        <w:rPr>
          <w:rFonts w:hint="eastAsia" w:ascii="宋体" w:hAnsi="宋体" w:eastAsia="宋体" w:cs="宋体"/>
          <w:color w:val="auto"/>
          <w:sz w:val="24"/>
          <w:highlight w:val="none"/>
          <w:lang w:val="en-US" w:eastAsia="zh-CN"/>
        </w:rPr>
        <w:br w:type="page" w:clear="all"/>
      </w:r>
      <w:r>
        <w:rPr>
          <w:rFonts w:hint="eastAsia" w:ascii="宋体" w:hAnsi="宋体" w:eastAsia="宋体" w:cs="宋体"/>
          <w:b/>
          <w:bCs/>
          <w:color w:val="auto"/>
          <w:sz w:val="24"/>
          <w:szCs w:val="32"/>
          <w:highlight w:val="none"/>
          <w:lang w:val="en-US" w:eastAsia="zh-CN" w:bidi="ar-SA"/>
        </w:rPr>
        <w:t xml:space="preserve">13、关于符合本国产品标准的声明函</w:t>
      </w:r>
      <w:r/>
    </w:p>
    <w:p>
      <w:pPr>
        <w:pStyle w:val="803"/>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803"/>
        <w:ind w:firstLine="420"/>
        <w:spacing w:before="0" w:beforeAutospacing="0" w:after="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2273300</wp:posOffset>
                </wp:positionH>
                <wp:positionV relativeFrom="paragraph">
                  <wp:posOffset>447675</wp:posOffset>
                </wp:positionV>
                <wp:extent cx="816610" cy="147320"/>
                <wp:effectExtent l="635" t="4445" r="1905" b="1968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79.0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1130300</wp:posOffset>
                </wp:positionH>
                <wp:positionV relativeFrom="paragraph">
                  <wp:posOffset>479425</wp:posOffset>
                </wp:positionV>
                <wp:extent cx="876300" cy="120015"/>
                <wp:effectExtent l="635" t="4445" r="18415" b="889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89.0pt;mso-position-horizontal:absolute;mso-position-vertical-relative:text;margin-top:37.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4733290</wp:posOffset>
                </wp:positionH>
                <wp:positionV relativeFrom="paragraph">
                  <wp:posOffset>264160</wp:posOffset>
                </wp:positionV>
                <wp:extent cx="597535" cy="111760"/>
                <wp:effectExtent l="635" t="4445" r="11430" b="1714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597535"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2.7pt;mso-position-horizontal:absolute;mso-position-vertical-relative:text;margin-top:20.8pt;mso-position-vertical:absolute;width:47.0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3420745</wp:posOffset>
                </wp:positionH>
                <wp:positionV relativeFrom="paragraph">
                  <wp:posOffset>282575</wp:posOffset>
                </wp:positionV>
                <wp:extent cx="816610" cy="103505"/>
                <wp:effectExtent l="635" t="4445" r="1905" b="635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9.3pt;mso-position-horizontal:absolute;mso-position-vertical-relative:text;margin-top:22.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2306955</wp:posOffset>
                </wp:positionH>
                <wp:positionV relativeFrom="paragraph">
                  <wp:posOffset>288925</wp:posOffset>
                </wp:positionV>
                <wp:extent cx="816610" cy="76200"/>
                <wp:effectExtent l="635" t="4445" r="1905" b="14604"/>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81.6pt;mso-position-horizontal:absolute;mso-position-vertical-relative:text;margin-top:22.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1.</w:t>
      </w:r>
      <w:r>
        <w:rPr>
          <w:rStyle w:val="808"/>
          <w:rFonts w:hint="eastAsia" w:ascii="宋体" w:hAnsi="宋体" w:eastAsia="宋体" w:cs="宋体"/>
          <w:i w:val="0"/>
          <w:color w:val="auto"/>
          <w:sz w:val="24"/>
          <w:szCs w:val="24"/>
          <w:u w:val="single"/>
          <w:shd w:val="clear" w:color="auto" w:fill="ffffff"/>
        </w:rPr>
        <w:t xml:space="preserve">（产品名称1）</w:t>
      </w:r>
      <w:r>
        <w:rPr>
          <w:rStyle w:val="808"/>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808"/>
          <w:rFonts w:hint="eastAsia" w:ascii="宋体" w:hAnsi="宋体" w:eastAsia="宋体" w:cs="宋体"/>
          <w:i w:val="0"/>
          <w:color w:val="auto"/>
          <w:sz w:val="24"/>
          <w:szCs w:val="24"/>
          <w:u w:val="single"/>
          <w:shd w:val="clear" w:color="auto" w:fill="ffffff"/>
        </w:rPr>
        <w:t xml:space="preserve">（厂名）</w:t>
      </w:r>
      <w:r>
        <w:rPr>
          <w:rStyle w:val="808"/>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808"/>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Style w:val="808"/>
          <w:rFonts w:hint="eastAsia" w:ascii="宋体" w:hAnsi="宋体" w:eastAsia="宋体" w:cs="宋体"/>
          <w:i w:val="0"/>
          <w:color w:val="auto"/>
          <w:sz w:val="24"/>
          <w:szCs w:val="24"/>
          <w:u w:val="single"/>
          <w:shd w:val="clear" w:color="auto" w:fill="ffffff"/>
        </w:rPr>
        <w:t xml:space="preserve">（产品名称1） </w:t>
      </w:r>
      <w:r>
        <w:rPr>
          <w:rFonts w:hint="eastAsia" w:ascii="宋体" w:hAnsi="宋体" w:eastAsia="宋体" w:cs="宋体"/>
          <w:color w:val="auto"/>
          <w:sz w:val="24"/>
          <w:szCs w:val="24"/>
          <w:shd w:val="clear" w:color="auto" w:fill="ffffff"/>
        </w:rPr>
        <w:t xml:space="preserve">的中国境内生产的组件成本占比≥</w:t>
      </w:r>
      <w:r>
        <w:rPr>
          <w:rStyle w:val="808"/>
          <w:rFonts w:hint="eastAsia" w:ascii="宋体" w:hAnsi="宋体" w:eastAsia="宋体" w:cs="宋体"/>
          <w:i w:val="0"/>
          <w:color w:val="auto"/>
          <w:sz w:val="24"/>
          <w:szCs w:val="24"/>
          <w:u w:val="single"/>
          <w:shd w:val="clear" w:color="auto" w:fill="ffffff"/>
        </w:rPr>
        <w:t xml:space="preserve">（规定比例）</w:t>
      </w:r>
      <w:r>
        <w:rPr>
          <w:rStyle w:val="808"/>
          <w:rFonts w:hint="eastAsia" w:ascii="宋体" w:hAnsi="宋体" w:eastAsia="宋体" w:cs="宋体"/>
          <w:i w:val="0"/>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Style w:val="80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808"/>
          <w:rFonts w:hint="eastAsia" w:ascii="宋体" w:hAnsi="宋体" w:eastAsia="宋体" w:cs="宋体"/>
          <w:i w:val="0"/>
          <w:color w:val="auto"/>
          <w:sz w:val="24"/>
          <w:szCs w:val="24"/>
          <w:u w:val="single"/>
          <w:shd w:val="clear" w:color="auto" w:fill="ffffff"/>
        </w:rPr>
        <w:t xml:space="preserve">（关键组件）</w:t>
      </w:r>
      <w:r>
        <w:rPr>
          <w:rStyle w:val="808"/>
          <w:rFonts w:hint="eastAsia" w:ascii="宋体" w:hAnsi="宋体" w:eastAsia="宋体" w:cs="宋体"/>
          <w:i w:val="0"/>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Style w:val="80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808"/>
          <w:rFonts w:hint="eastAsia" w:ascii="宋体" w:hAnsi="宋体" w:eastAsia="宋体" w:cs="宋体"/>
          <w:i w:val="0"/>
          <w:color w:val="auto"/>
          <w:sz w:val="24"/>
          <w:szCs w:val="24"/>
          <w:u w:val="single"/>
          <w:shd w:val="clear" w:color="auto" w:fill="ffffff"/>
        </w:rPr>
        <w:t xml:space="preserve">（关键工序）</w:t>
      </w:r>
      <w:r>
        <w:rPr>
          <w:rStyle w:val="808"/>
          <w:rFonts w:hint="eastAsia" w:ascii="宋体" w:hAnsi="宋体" w:eastAsia="宋体" w:cs="宋体"/>
          <w:i w:val="0"/>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803"/>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2108200</wp:posOffset>
                </wp:positionH>
                <wp:positionV relativeFrom="paragraph">
                  <wp:posOffset>64135</wp:posOffset>
                </wp:positionV>
                <wp:extent cx="718185" cy="97790"/>
                <wp:effectExtent l="635" t="4445" r="508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166.0pt;mso-position-horizontal:absolute;mso-position-vertical-relative:text;margin-top:5.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1993265</wp:posOffset>
                </wp:positionH>
                <wp:positionV relativeFrom="paragraph">
                  <wp:posOffset>437515</wp:posOffset>
                </wp:positionV>
                <wp:extent cx="821690" cy="102870"/>
                <wp:effectExtent l="635" t="4445" r="15875" b="6985"/>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56.9pt;mso-position-horizontal:absolute;mso-position-vertical-relative:text;margin-top:34.4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2173605</wp:posOffset>
                </wp:positionH>
                <wp:positionV relativeFrom="paragraph">
                  <wp:posOffset>218440</wp:posOffset>
                </wp:positionV>
                <wp:extent cx="843915" cy="125730"/>
                <wp:effectExtent l="635" t="4445" r="12700" b="22225"/>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71.2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718185</wp:posOffset>
                </wp:positionH>
                <wp:positionV relativeFrom="paragraph">
                  <wp:posOffset>429895</wp:posOffset>
                </wp:positionV>
                <wp:extent cx="908685" cy="140970"/>
                <wp:effectExtent l="635" t="4445" r="5080" b="698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6.5pt;mso-position-horizontal:absolute;mso-position-vertical-relative:text;margin-top:33.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3527425</wp:posOffset>
                </wp:positionH>
                <wp:positionV relativeFrom="paragraph">
                  <wp:posOffset>42545</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77.8pt;mso-position-horizontal:absolute;mso-position-vertical-relative:text;margin-top:3.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4548505</wp:posOffset>
                </wp:positionH>
                <wp:positionV relativeFrom="paragraph">
                  <wp:posOffset>289560</wp:posOffset>
                </wp:positionV>
                <wp:extent cx="591185" cy="97790"/>
                <wp:effectExtent l="635" t="4445" r="17780" b="1206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591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8.1pt;mso-position-horizontal:absolute;mso-position-vertical-relative:text;margin-top:22.8pt;mso-position-vertical:absolute;width:4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3266440</wp:posOffset>
                </wp:positionH>
                <wp:positionV relativeFrom="paragraph">
                  <wp:posOffset>245745</wp:posOffset>
                </wp:positionV>
                <wp:extent cx="849630" cy="120015"/>
                <wp:effectExtent l="635" t="4445" r="6985" b="8890"/>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57.2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598805</wp:posOffset>
                </wp:positionH>
                <wp:positionV relativeFrom="paragraph">
                  <wp:posOffset>67310</wp:posOffset>
                </wp:positionV>
                <wp:extent cx="720725" cy="85725"/>
                <wp:effectExtent l="635" t="4445" r="2540" b="508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720724" cy="857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47.1pt;mso-position-horizontal:absolute;mso-position-vertical-relative:text;margin-top:5.3pt;mso-position-vertical:absolute;width:56.8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2.</w:t>
      </w:r>
      <w:r>
        <w:rPr>
          <w:rStyle w:val="80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808"/>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808"/>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Style w:val="80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的中国境内生产的组件成本占比≥</w:t>
      </w:r>
      <w:r>
        <w:rPr>
          <w:rStyle w:val="808"/>
          <w:rFonts w:hint="eastAsia" w:ascii="宋体" w:hAnsi="宋体" w:eastAsia="宋体" w:cs="宋体"/>
          <w:i w:val="0"/>
          <w:color w:val="auto"/>
          <w:sz w:val="24"/>
          <w:szCs w:val="24"/>
          <w:u w:val="single"/>
          <w:shd w:val="clear" w:color="auto" w:fill="ffffff"/>
        </w:rPr>
        <w:t xml:space="preserve">（规定比例）</w:t>
      </w:r>
      <w:r>
        <w:rPr>
          <w:rFonts w:hint="eastAsia" w:ascii="宋体" w:hAnsi="宋体" w:eastAsia="宋体" w:cs="宋体"/>
          <w:color w:val="auto"/>
          <w:sz w:val="24"/>
          <w:szCs w:val="24"/>
          <w:shd w:val="clear" w:color="auto" w:fill="ffffff"/>
        </w:rPr>
        <w:t xml:space="preserve">。</w:t>
      </w:r>
      <w:r>
        <w:rPr>
          <w:rStyle w:val="80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w:t>
      </w:r>
      <w:r>
        <w:rPr>
          <w:rStyle w:val="808"/>
          <w:rFonts w:hint="eastAsia" w:ascii="宋体" w:hAnsi="宋体" w:eastAsia="宋体" w:cs="宋体"/>
          <w:i w:val="0"/>
          <w:color w:val="auto"/>
          <w:sz w:val="24"/>
          <w:szCs w:val="24"/>
          <w:u w:val="single"/>
          <w:shd w:val="clear" w:color="auto" w:fill="ffffff"/>
        </w:rPr>
        <w:t xml:space="preserve">（关键组件）</w:t>
      </w:r>
      <w:r>
        <w:rPr>
          <w:rFonts w:hint="eastAsia" w:ascii="宋体" w:hAnsi="宋体" w:eastAsia="宋体" w:cs="宋体"/>
          <w:color w:val="auto"/>
          <w:sz w:val="24"/>
          <w:szCs w:val="24"/>
          <w:shd w:val="clear" w:color="auto" w:fill="ffffff"/>
        </w:rPr>
        <w:t xml:space="preserve">在中国境内生产。</w:t>
      </w:r>
      <w:r>
        <w:rPr>
          <w:rStyle w:val="80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808"/>
          <w:rFonts w:hint="eastAsia" w:ascii="宋体" w:hAnsi="宋体" w:eastAsia="宋体" w:cs="宋体"/>
          <w:i w:val="0"/>
          <w:color w:val="auto"/>
          <w:sz w:val="24"/>
          <w:szCs w:val="24"/>
          <w:u w:val="single"/>
          <w:shd w:val="clear" w:color="auto" w:fill="ffffff"/>
        </w:rPr>
        <w:t xml:space="preserve">（关键工序）</w:t>
      </w:r>
      <w:r>
        <w:rPr>
          <w:rFonts w:hint="eastAsia" w:ascii="宋体" w:hAnsi="宋体" w:eastAsia="宋体" w:cs="宋体"/>
          <w:color w:val="auto"/>
          <w:sz w:val="24"/>
          <w:szCs w:val="24"/>
          <w:shd w:val="clear" w:color="auto" w:fill="ffffff"/>
        </w:rPr>
        <w:t xml:space="preserve">在中国境内完成。</w:t>
      </w:r>
      <w:r/>
    </w:p>
    <w:p>
      <w:pPr>
        <w:pStyle w:val="803"/>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803"/>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3"/>
        <w:ind w:right="480" w:firstLine="37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803"/>
        <w:jc w:val="center"/>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__________________</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803"/>
        <w:spacing w:before="30" w:beforeAutospacing="0" w:after="30" w:afterAutospacing="0" w:line="0" w:lineRule="atLeas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jc w:val="both"/>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color w:val="auto"/>
          <w:sz w:val="24"/>
          <w:szCs w:val="24"/>
          <w:shd w:val="clear" w:color="auto" w:fill="ffffff"/>
        </w:rPr>
        <w:t xml:space="preserve">6.用斜线划除的地方无需填写。</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pStyle w:val="768"/>
        <w:numPr>
          <w:ilvl w:val="0"/>
          <w:numId w:val="0"/>
        </w:numPr>
        <w:spacing w:before="0" w:after="0" w:line="240" w:lineRule="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 xml:space="preserve">14.其他资料</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其他资料</w:t>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（自行填写，格式自定）</w:t>
      </w:r>
      <w:r/>
    </w:p>
    <w:p>
      <w:pPr>
        <w:pStyle w:val="98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r>
      <w:r/>
    </w:p>
    <w:sectPr>
      <w:footerReference w:type="default" r:id="rId11"/>
      <w:footnotePr/>
      <w:endnotePr/>
      <w:type w:val="nextPage"/>
      <w:pgSz w:w="11911" w:h="16838" w:orient="portrait"/>
      <w:pgMar w:top="1417" w:right="1247" w:bottom="1417" w:left="1247" w:header="884" w:footer="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Wingdings">
    <w:panose1 w:val="05000000000000000000"/>
  </w:font>
  <w:font w:name="Symbol">
    <w:panose1 w:val="05050102010706020507"/>
  </w:font>
  <w:font w:name="新宋体">
    <w:panose1 w:val="02010609030101010101"/>
  </w:font>
  <w:font w:name="Calibri">
    <w:panose1 w:val="020F0502020204030204"/>
  </w:font>
  <w:font w:name="MS Mincho">
    <w:panose1 w:val="02020603050405090304"/>
  </w:font>
  <w:font w:name="楷体_GB2312">
    <w:panose1 w:val="02010609060101010101"/>
  </w:font>
  <w:font w:name="Courier New">
    <w:panose1 w:val="02070309020205020404"/>
  </w:font>
  <w:font w:name="Arial">
    <w:panose1 w:val="020B0604020202020204"/>
  </w:font>
  <w:font w:name="Microsoft JhengHei">
    <w:panose1 w:val="020B060403050404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3583"/>
                            <w:docPartObj>
                              <w:docPartGallery w:val="autotext"/>
                            </w:docPartObj>
                            <w:rPr/>
                          </w:sdtPr>
                          <w:sdtContent>
                            <w:p>
                              <w:pPr>
                                <w:pStyle w:val="791"/>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3583"/>
                      <w:docPartObj>
                        <w:docPartGallery w:val="autotext"/>
                      </w:docPartObj>
                      <w:rPr/>
                    </w:sdtPr>
                    <w:sdtContent>
                      <w:p>
                        <w:pPr>
                          <w:pStyle w:val="791"/>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v:textbox>
            </v:shape>
          </w:pict>
        </mc:Fallback>
      </mc:AlternateContent>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985"/>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67">
    <w:name w:val="Heading 1"/>
    <w:basedOn w:val="766"/>
    <w:next w:val="766"/>
    <w:link w:val="971"/>
    <w:uiPriority w:val="9"/>
    <w:qFormat/>
    <w:pPr>
      <w:keepLines/>
      <w:keepNext/>
      <w:spacing w:before="340" w:after="330" w:line="578" w:lineRule="auto"/>
      <w:outlineLvl w:val="0"/>
    </w:pPr>
    <w:rPr>
      <w:b/>
      <w:bCs/>
      <w:sz w:val="44"/>
      <w:szCs w:val="44"/>
    </w:rPr>
  </w:style>
  <w:style w:type="paragraph" w:styleId="768">
    <w:name w:val="Heading 2"/>
    <w:basedOn w:val="766"/>
    <w:next w:val="766"/>
    <w:link w:val="97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9">
    <w:name w:val="Heading 3"/>
    <w:basedOn w:val="766"/>
    <w:next w:val="766"/>
    <w:link w:val="974"/>
    <w:uiPriority w:val="9"/>
    <w:unhideWhenUsed/>
    <w:qFormat/>
    <w:pPr>
      <w:keepLines/>
      <w:keepNext/>
      <w:spacing w:before="260" w:after="260" w:line="416" w:lineRule="auto"/>
      <w:outlineLvl w:val="2"/>
    </w:pPr>
    <w:rPr>
      <w:b/>
      <w:bCs/>
      <w:sz w:val="32"/>
      <w:szCs w:val="32"/>
    </w:rPr>
  </w:style>
  <w:style w:type="paragraph" w:styleId="770">
    <w:name w:val="Heading 4"/>
    <w:basedOn w:val="766"/>
    <w:next w:val="766"/>
    <w:link w:val="824"/>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25"/>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2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28"/>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29"/>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table of authorities"/>
    <w:basedOn w:val="766"/>
    <w:next w:val="766"/>
    <w:uiPriority w:val="0"/>
    <w:unhideWhenUsed/>
    <w:qFormat/>
    <w:pPr>
      <w:ind w:left="420"/>
    </w:pPr>
  </w:style>
  <w:style w:type="paragraph" w:styleId="780">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Document Map"/>
    <w:basedOn w:val="766"/>
    <w:link w:val="972"/>
    <w:uiPriority w:val="99"/>
    <w:semiHidden/>
    <w:unhideWhenUsed/>
    <w:qFormat/>
    <w:rPr>
      <w:rFonts w:ascii="宋体" w:eastAsia="宋体"/>
      <w:sz w:val="18"/>
      <w:szCs w:val="18"/>
    </w:rPr>
  </w:style>
  <w:style w:type="paragraph" w:styleId="782">
    <w:name w:val="annotation text"/>
    <w:basedOn w:val="766"/>
    <w:link w:val="976"/>
    <w:uiPriority w:val="0"/>
    <w:qFormat/>
    <w:pPr>
      <w:ind w:firstLine="922"/>
      <w:jc w:val="left"/>
      <w:spacing w:line="360" w:lineRule="auto"/>
    </w:pPr>
    <w:rPr>
      <w:rFonts w:ascii="Times New Roman" w:hAnsi="Times New Roman" w:eastAsia="宋体" w:cs="Times New Roman"/>
      <w:szCs w:val="24"/>
    </w:rPr>
  </w:style>
  <w:style w:type="paragraph" w:styleId="783">
    <w:name w:val="Body Text"/>
    <w:basedOn w:val="766"/>
    <w:next w:val="766"/>
    <w:uiPriority w:val="1"/>
    <w:qFormat/>
    <w:rPr>
      <w:sz w:val="24"/>
      <w:szCs w:val="24"/>
    </w:rPr>
  </w:style>
  <w:style w:type="paragraph" w:styleId="784">
    <w:name w:val="toc 5"/>
    <w:basedOn w:val="766"/>
    <w:next w:val="766"/>
    <w:uiPriority w:val="39"/>
    <w:unhideWhenUsed/>
    <w:qFormat/>
    <w:pPr>
      <w:ind w:left="1134" w:right="0" w:firstLine="0"/>
      <w:spacing w:after="57"/>
    </w:pPr>
  </w:style>
  <w:style w:type="paragraph" w:styleId="785">
    <w:name w:val="toc 3"/>
    <w:basedOn w:val="766"/>
    <w:next w:val="766"/>
    <w:uiPriority w:val="39"/>
    <w:unhideWhenUsed/>
    <w:qFormat/>
    <w:pPr>
      <w:ind w:left="567" w:right="0" w:firstLine="0"/>
      <w:spacing w:after="57"/>
    </w:pPr>
  </w:style>
  <w:style w:type="paragraph" w:styleId="786">
    <w:name w:val="Plain Text"/>
    <w:basedOn w:val="766"/>
    <w:link w:val="980"/>
    <w:uiPriority w:val="0"/>
    <w:qFormat/>
    <w:rPr>
      <w:rFonts w:ascii="宋体" w:hAnsi="Courier New" w:eastAsia="宋体" w:cs="Times New Roman"/>
      <w:szCs w:val="20"/>
    </w:rPr>
  </w:style>
  <w:style w:type="paragraph" w:styleId="787">
    <w:name w:val="toc 8"/>
    <w:basedOn w:val="766"/>
    <w:next w:val="766"/>
    <w:uiPriority w:val="39"/>
    <w:unhideWhenUsed/>
    <w:qFormat/>
    <w:pPr>
      <w:ind w:left="1984" w:right="0" w:firstLine="0"/>
      <w:spacing w:after="57"/>
    </w:pPr>
  </w:style>
  <w:style w:type="paragraph" w:styleId="788">
    <w:name w:val="Date"/>
    <w:basedOn w:val="766"/>
    <w:next w:val="766"/>
    <w:link w:val="975"/>
    <w:uiPriority w:val="99"/>
    <w:semiHidden/>
    <w:unhideWhenUsed/>
    <w:qFormat/>
    <w:pPr>
      <w:ind w:left="100"/>
    </w:pPr>
  </w:style>
  <w:style w:type="paragraph" w:styleId="789">
    <w:name w:val="endnote text"/>
    <w:basedOn w:val="766"/>
    <w:link w:val="967"/>
    <w:uiPriority w:val="99"/>
    <w:semiHidden/>
    <w:unhideWhenUsed/>
    <w:qFormat/>
    <w:pPr>
      <w:spacing w:after="0" w:line="240" w:lineRule="auto"/>
    </w:pPr>
    <w:rPr>
      <w:sz w:val="20"/>
    </w:rPr>
  </w:style>
  <w:style w:type="paragraph" w:styleId="790">
    <w:name w:val="Balloon Text"/>
    <w:basedOn w:val="766"/>
    <w:link w:val="977"/>
    <w:uiPriority w:val="99"/>
    <w:semiHidden/>
    <w:unhideWhenUsed/>
    <w:qFormat/>
    <w:rPr>
      <w:sz w:val="18"/>
      <w:szCs w:val="18"/>
    </w:rPr>
  </w:style>
  <w:style w:type="paragraph" w:styleId="791">
    <w:name w:val="Footer"/>
    <w:basedOn w:val="766"/>
    <w:link w:val="970"/>
    <w:uiPriority w:val="99"/>
    <w:unhideWhenUsed/>
    <w:qFormat/>
    <w:pPr>
      <w:jc w:val="left"/>
      <w:tabs>
        <w:tab w:val="center" w:pos="4153" w:leader="none"/>
        <w:tab w:val="right" w:pos="8306" w:leader="none"/>
      </w:tabs>
    </w:pPr>
    <w:rPr>
      <w:sz w:val="18"/>
      <w:szCs w:val="18"/>
    </w:rPr>
  </w:style>
  <w:style w:type="paragraph" w:styleId="792">
    <w:name w:val="Header"/>
    <w:basedOn w:val="766"/>
    <w:next w:val="793"/>
    <w:link w:val="9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customStyle="1">
    <w:name w:val="Quote1"/>
    <w:basedOn w:val="766"/>
    <w:next w:val="766"/>
    <w:uiPriority w:val="99"/>
    <w:qFormat/>
    <w:pPr>
      <w:ind w:left="864" w:right="864"/>
      <w:jc w:val="center"/>
      <w:spacing w:before="200" w:after="160"/>
      <w:widowControl/>
    </w:pPr>
    <w:rPr>
      <w:rFonts w:ascii="宋体"/>
      <w:i/>
      <w:color w:val="404040"/>
    </w:rPr>
  </w:style>
  <w:style w:type="paragraph" w:styleId="794">
    <w:name w:val="toc 1"/>
    <w:basedOn w:val="766"/>
    <w:next w:val="766"/>
    <w:uiPriority w:val="39"/>
    <w:unhideWhenUsed/>
    <w:qFormat/>
  </w:style>
  <w:style w:type="paragraph" w:styleId="795">
    <w:name w:val="toc 4"/>
    <w:basedOn w:val="766"/>
    <w:next w:val="766"/>
    <w:uiPriority w:val="39"/>
    <w:unhideWhenUsed/>
    <w:qFormat/>
    <w:pPr>
      <w:ind w:left="850" w:right="0" w:firstLine="0"/>
      <w:spacing w:after="57"/>
    </w:pPr>
  </w:style>
  <w:style w:type="paragraph" w:styleId="796">
    <w:name w:val="Subtitle"/>
    <w:basedOn w:val="766"/>
    <w:next w:val="766"/>
    <w:link w:val="833"/>
    <w:uiPriority w:val="11"/>
    <w:qFormat/>
    <w:pPr>
      <w:spacing w:before="200" w:after="200"/>
    </w:pPr>
    <w:rPr>
      <w:sz w:val="24"/>
      <w:szCs w:val="24"/>
    </w:rPr>
  </w:style>
  <w:style w:type="paragraph" w:styleId="797">
    <w:name w:val="footnote text"/>
    <w:basedOn w:val="766"/>
    <w:link w:val="966"/>
    <w:uiPriority w:val="99"/>
    <w:semiHidden/>
    <w:unhideWhenUsed/>
    <w:qFormat/>
    <w:pPr>
      <w:spacing w:after="40" w:line="240" w:lineRule="auto"/>
    </w:pPr>
    <w:rPr>
      <w:sz w:val="18"/>
    </w:rPr>
  </w:style>
  <w:style w:type="paragraph" w:styleId="798">
    <w:name w:val="toc 6"/>
    <w:basedOn w:val="766"/>
    <w:next w:val="766"/>
    <w:uiPriority w:val="39"/>
    <w:unhideWhenUsed/>
    <w:qFormat/>
    <w:pPr>
      <w:ind w:left="1417" w:right="0" w:firstLine="0"/>
      <w:spacing w:after="57"/>
    </w:pPr>
  </w:style>
  <w:style w:type="paragraph" w:styleId="799">
    <w:name w:val="table of figures"/>
    <w:basedOn w:val="766"/>
    <w:next w:val="766"/>
    <w:uiPriority w:val="99"/>
    <w:unhideWhenUsed/>
    <w:qFormat/>
    <w:pPr>
      <w:spacing w:after="0" w:afterAutospacing="0"/>
    </w:pPr>
  </w:style>
  <w:style w:type="paragraph" w:styleId="800">
    <w:name w:val="toc 2"/>
    <w:basedOn w:val="766"/>
    <w:next w:val="766"/>
    <w:uiPriority w:val="39"/>
    <w:unhideWhenUsed/>
    <w:qFormat/>
    <w:pPr>
      <w:ind w:left="283" w:right="0" w:firstLine="0"/>
      <w:spacing w:after="57"/>
    </w:pPr>
  </w:style>
  <w:style w:type="paragraph" w:styleId="801">
    <w:name w:val="toc 9"/>
    <w:basedOn w:val="766"/>
    <w:next w:val="766"/>
    <w:uiPriority w:val="39"/>
    <w:unhideWhenUsed/>
    <w:qFormat/>
    <w:pPr>
      <w:ind w:left="2268" w:right="0" w:firstLine="0"/>
      <w:spacing w:after="57"/>
    </w:pPr>
  </w:style>
  <w:style w:type="paragraph" w:styleId="802">
    <w:name w:val="List Continue 2"/>
    <w:basedOn w:val="766"/>
    <w:next w:val="766"/>
    <w:uiPriority w:val="0"/>
    <w:qFormat/>
    <w:pPr>
      <w:ind w:left="840"/>
      <w:spacing w:after="120"/>
    </w:pPr>
    <w:rPr>
      <w:rFonts w:eastAsia="宋体"/>
    </w:rPr>
  </w:style>
  <w:style w:type="paragraph" w:styleId="803">
    <w:name w:val="Normal (Web)"/>
    <w:basedOn w:val="766"/>
    <w:uiPriority w:val="0"/>
    <w:qFormat/>
    <w:pPr>
      <w:jc w:val="left"/>
      <w:spacing w:before="100" w:beforeAutospacing="1" w:after="100" w:afterAutospacing="1"/>
      <w:widowControl/>
    </w:pPr>
    <w:rPr>
      <w:rFonts w:ascii="宋体" w:hAnsi="宋体" w:eastAsia="宋体" w:cs="宋体"/>
      <w:sz w:val="24"/>
      <w:szCs w:val="24"/>
    </w:rPr>
  </w:style>
  <w:style w:type="paragraph" w:styleId="804">
    <w:name w:val="Title"/>
    <w:basedOn w:val="766"/>
    <w:next w:val="766"/>
    <w:link w:val="832"/>
    <w:uiPriority w:val="10"/>
    <w:qFormat/>
    <w:pPr>
      <w:contextualSpacing/>
      <w:spacing w:before="300" w:after="200"/>
    </w:pPr>
    <w:rPr>
      <w:sz w:val="48"/>
      <w:szCs w:val="48"/>
    </w:rPr>
  </w:style>
  <w:style w:type="table" w:styleId="805">
    <w:name w:val="Table Grid"/>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endnote reference"/>
    <w:basedOn w:val="776"/>
    <w:uiPriority w:val="99"/>
    <w:semiHidden/>
    <w:unhideWhenUsed/>
    <w:qFormat/>
    <w:rPr>
      <w:vertAlign w:val="superscript"/>
    </w:rPr>
  </w:style>
  <w:style w:type="character" w:styleId="807">
    <w:name w:val="FollowedHyperlink"/>
    <w:basedOn w:val="776"/>
    <w:uiPriority w:val="99"/>
    <w:semiHidden/>
    <w:unhideWhenUsed/>
    <w:qFormat/>
    <w:rPr>
      <w:color w:val="800080"/>
      <w:u w:val="none"/>
    </w:rPr>
  </w:style>
  <w:style w:type="character" w:styleId="808">
    <w:name w:val="Emphasis"/>
    <w:uiPriority w:val="0"/>
    <w:qFormat/>
    <w:rPr>
      <w:i/>
    </w:rPr>
  </w:style>
  <w:style w:type="character" w:styleId="809">
    <w:name w:val="HTML Definition"/>
    <w:basedOn w:val="776"/>
    <w:uiPriority w:val="99"/>
    <w:semiHidden/>
    <w:unhideWhenUsed/>
    <w:qFormat/>
  </w:style>
  <w:style w:type="character" w:styleId="810">
    <w:name w:val="HTML Typewriter"/>
    <w:basedOn w:val="776"/>
    <w:uiPriority w:val="99"/>
    <w:semiHidden/>
    <w:unhideWhenUsed/>
    <w:qFormat/>
    <w:rPr>
      <w:rFonts w:ascii="monospace" w:hAnsi="monospace" w:eastAsia="monospace" w:cs="monospace"/>
      <w:sz w:val="20"/>
    </w:rPr>
  </w:style>
  <w:style w:type="character" w:styleId="811">
    <w:name w:val="HTML Acronym"/>
    <w:basedOn w:val="776"/>
    <w:uiPriority w:val="99"/>
    <w:semiHidden/>
    <w:unhideWhenUsed/>
    <w:qFormat/>
  </w:style>
  <w:style w:type="character" w:styleId="812">
    <w:name w:val="HTML Variable"/>
    <w:basedOn w:val="776"/>
    <w:uiPriority w:val="99"/>
    <w:semiHidden/>
    <w:unhideWhenUsed/>
    <w:qFormat/>
  </w:style>
  <w:style w:type="character" w:styleId="813">
    <w:name w:val="Hyperlink"/>
    <w:uiPriority w:val="99"/>
    <w:qFormat/>
    <w:rPr>
      <w:color w:val="0000ff"/>
      <w:u w:val="none"/>
    </w:rPr>
  </w:style>
  <w:style w:type="character" w:styleId="814">
    <w:name w:val="HTML Code"/>
    <w:basedOn w:val="776"/>
    <w:uiPriority w:val="99"/>
    <w:semiHidden/>
    <w:unhideWhenUsed/>
    <w:qFormat/>
    <w:rPr>
      <w:rFonts w:hint="default" w:ascii="monospace" w:hAnsi="monospace" w:eastAsia="monospace" w:cs="monospace"/>
      <w:sz w:val="20"/>
    </w:rPr>
  </w:style>
  <w:style w:type="character" w:styleId="815">
    <w:name w:val="annotation reference"/>
    <w:uiPriority w:val="0"/>
    <w:qFormat/>
    <w:rPr>
      <w:sz w:val="21"/>
      <w:szCs w:val="21"/>
    </w:rPr>
  </w:style>
  <w:style w:type="character" w:styleId="816">
    <w:name w:val="HTML Cite"/>
    <w:basedOn w:val="776"/>
    <w:uiPriority w:val="99"/>
    <w:semiHidden/>
    <w:unhideWhenUsed/>
    <w:qFormat/>
  </w:style>
  <w:style w:type="character" w:styleId="817">
    <w:name w:val="footnote reference"/>
    <w:basedOn w:val="776"/>
    <w:uiPriority w:val="99"/>
    <w:unhideWhenUsed/>
    <w:qFormat/>
    <w:rPr>
      <w:vertAlign w:val="superscript"/>
    </w:rPr>
  </w:style>
  <w:style w:type="character" w:styleId="818">
    <w:name w:val="HTML Keyboard"/>
    <w:basedOn w:val="776"/>
    <w:uiPriority w:val="99"/>
    <w:semiHidden/>
    <w:unhideWhenUsed/>
    <w:qFormat/>
    <w:rPr>
      <w:rFonts w:hint="default" w:ascii="monospace" w:hAnsi="monospace" w:eastAsia="monospace" w:cs="monospace"/>
      <w:sz w:val="20"/>
    </w:rPr>
  </w:style>
  <w:style w:type="character" w:styleId="819">
    <w:name w:val="HTML Sample"/>
    <w:basedOn w:val="776"/>
    <w:uiPriority w:val="99"/>
    <w:semiHidden/>
    <w:unhideWhenUsed/>
    <w:qFormat/>
    <w:rPr>
      <w:rFonts w:hint="default" w:ascii="monospace" w:hAnsi="monospace" w:eastAsia="monospace" w:cs="monospace"/>
    </w:rPr>
  </w:style>
  <w:style w:type="paragraph" w:styleId="820" w:customStyle="1">
    <w:name w:val="标题 11"/>
    <w:basedOn w:val="766"/>
    <w:next w:val="766"/>
    <w:uiPriority w:val="0"/>
    <w:qFormat/>
    <w:pPr>
      <w:jc w:val="center"/>
      <w:keepNext/>
      <w:outlineLvl w:val="0"/>
    </w:pPr>
    <w:rPr>
      <w:rFonts w:ascii="楷体_GB2312" w:eastAsia="楷体_GB2312"/>
      <w:sz w:val="28"/>
      <w:szCs w:val="28"/>
    </w:rPr>
  </w:style>
  <w:style w:type="character" w:styleId="821" w:customStyle="1">
    <w:name w:val="Heading 1 Char"/>
    <w:basedOn w:val="776"/>
    <w:uiPriority w:val="9"/>
    <w:qFormat/>
    <w:rPr>
      <w:rFonts w:ascii="Arial" w:hAnsi="Arial" w:eastAsia="Arial" w:cs="Arial"/>
      <w:sz w:val="40"/>
      <w:szCs w:val="40"/>
    </w:rPr>
  </w:style>
  <w:style w:type="character" w:styleId="822" w:customStyle="1">
    <w:name w:val="Heading 2 Char"/>
    <w:basedOn w:val="776"/>
    <w:uiPriority w:val="9"/>
    <w:qFormat/>
    <w:rPr>
      <w:rFonts w:ascii="Arial" w:hAnsi="Arial" w:eastAsia="Arial" w:cs="Arial"/>
      <w:sz w:val="34"/>
    </w:rPr>
  </w:style>
  <w:style w:type="character" w:styleId="823" w:customStyle="1">
    <w:name w:val="Heading 3 Char"/>
    <w:basedOn w:val="776"/>
    <w:uiPriority w:val="9"/>
    <w:qFormat/>
    <w:rPr>
      <w:rFonts w:ascii="Arial" w:hAnsi="Arial" w:eastAsia="Arial" w:cs="Arial"/>
      <w:sz w:val="30"/>
      <w:szCs w:val="30"/>
    </w:rPr>
  </w:style>
  <w:style w:type="character" w:styleId="824" w:customStyle="1">
    <w:name w:val="Heading 4 Char"/>
    <w:basedOn w:val="776"/>
    <w:link w:val="770"/>
    <w:uiPriority w:val="9"/>
    <w:qFormat/>
    <w:rPr>
      <w:rFonts w:ascii="Arial" w:hAnsi="Arial" w:eastAsia="Arial" w:cs="Arial"/>
      <w:b/>
      <w:bCs/>
      <w:sz w:val="26"/>
      <w:szCs w:val="26"/>
    </w:rPr>
  </w:style>
  <w:style w:type="character" w:styleId="825" w:customStyle="1">
    <w:name w:val="Heading 5 Char"/>
    <w:basedOn w:val="776"/>
    <w:link w:val="771"/>
    <w:uiPriority w:val="9"/>
    <w:qFormat/>
    <w:rPr>
      <w:rFonts w:ascii="Arial" w:hAnsi="Arial" w:eastAsia="Arial" w:cs="Arial"/>
      <w:b/>
      <w:bCs/>
      <w:sz w:val="24"/>
      <w:szCs w:val="24"/>
    </w:rPr>
  </w:style>
  <w:style w:type="character" w:styleId="826" w:customStyle="1">
    <w:name w:val="Heading 6 Char"/>
    <w:basedOn w:val="776"/>
    <w:link w:val="772"/>
    <w:uiPriority w:val="9"/>
    <w:qFormat/>
    <w:rPr>
      <w:rFonts w:ascii="Arial" w:hAnsi="Arial" w:eastAsia="Arial" w:cs="Arial"/>
      <w:b/>
      <w:bCs/>
      <w:sz w:val="22"/>
      <w:szCs w:val="22"/>
    </w:rPr>
  </w:style>
  <w:style w:type="character" w:styleId="827" w:customStyle="1">
    <w:name w:val="Heading 7 Char"/>
    <w:basedOn w:val="776"/>
    <w:link w:val="773"/>
    <w:uiPriority w:val="9"/>
    <w:qFormat/>
    <w:rPr>
      <w:rFonts w:ascii="Arial" w:hAnsi="Arial" w:eastAsia="Arial" w:cs="Arial"/>
      <w:b/>
      <w:bCs/>
      <w:i/>
      <w:iCs/>
      <w:sz w:val="22"/>
      <w:szCs w:val="22"/>
    </w:rPr>
  </w:style>
  <w:style w:type="character" w:styleId="828" w:customStyle="1">
    <w:name w:val="Heading 8 Char"/>
    <w:basedOn w:val="776"/>
    <w:link w:val="774"/>
    <w:uiPriority w:val="9"/>
    <w:qFormat/>
    <w:rPr>
      <w:rFonts w:ascii="Arial" w:hAnsi="Arial" w:eastAsia="Arial" w:cs="Arial"/>
      <w:i/>
      <w:iCs/>
      <w:sz w:val="22"/>
      <w:szCs w:val="22"/>
    </w:rPr>
  </w:style>
  <w:style w:type="character" w:styleId="829" w:customStyle="1">
    <w:name w:val="Heading 9 Char"/>
    <w:basedOn w:val="776"/>
    <w:link w:val="775"/>
    <w:uiPriority w:val="9"/>
    <w:qFormat/>
    <w:rPr>
      <w:rFonts w:ascii="Arial" w:hAnsi="Arial" w:eastAsia="Arial" w:cs="Arial"/>
      <w:i/>
      <w:iCs/>
      <w:sz w:val="21"/>
      <w:szCs w:val="21"/>
    </w:rPr>
  </w:style>
  <w:style w:type="paragraph" w:styleId="830">
    <w:name w:val="List Paragraph"/>
    <w:basedOn w:val="766"/>
    <w:uiPriority w:val="34"/>
    <w:qFormat/>
    <w:pPr>
      <w:contextualSpacing/>
      <w:ind w:left="720"/>
    </w:pPr>
  </w:style>
  <w:style w:type="paragraph" w:styleId="831">
    <w:name w:val="No Spacing"/>
    <w:uiPriority w:val="1"/>
    <w:qFormat/>
    <w:pPr>
      <w:spacing w:before="0" w:after="0" w:line="240" w:lineRule="auto"/>
    </w:pPr>
    <w:rPr>
      <w:rFonts w:hint="default" w:ascii="Times New Roman" w:hAnsi="Times New Roman" w:eastAsia="宋体" w:cs="Times New Roman"/>
    </w:rPr>
  </w:style>
  <w:style w:type="character" w:styleId="832" w:customStyle="1">
    <w:name w:val="Title Char"/>
    <w:basedOn w:val="776"/>
    <w:link w:val="804"/>
    <w:uiPriority w:val="10"/>
    <w:qFormat/>
    <w:rPr>
      <w:sz w:val="48"/>
      <w:szCs w:val="48"/>
    </w:rPr>
  </w:style>
  <w:style w:type="character" w:styleId="833" w:customStyle="1">
    <w:name w:val="Subtitle Char"/>
    <w:basedOn w:val="776"/>
    <w:link w:val="796"/>
    <w:uiPriority w:val="11"/>
    <w:qFormat/>
    <w:rPr>
      <w:sz w:val="24"/>
      <w:szCs w:val="24"/>
    </w:rPr>
  </w:style>
  <w:style w:type="paragraph" w:styleId="834">
    <w:name w:val="Quote"/>
    <w:basedOn w:val="766"/>
    <w:next w:val="766"/>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66"/>
    <w:next w:val="766"/>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basedOn w:val="776"/>
    <w:uiPriority w:val="99"/>
    <w:qFormat/>
  </w:style>
  <w:style w:type="character" w:styleId="839" w:customStyle="1">
    <w:name w:val="Footer Char"/>
    <w:basedOn w:val="776"/>
    <w:uiPriority w:val="99"/>
    <w:qFormat/>
  </w:style>
  <w:style w:type="character" w:styleId="840" w:customStyle="1">
    <w:name w:val="Caption Char"/>
    <w:uiPriority w:val="99"/>
    <w:qFormat/>
  </w:style>
  <w:style w:type="table" w:styleId="841" w:customStyle="1">
    <w:name w:val="Table Grid Light"/>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basedOn w:val="7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basedOn w:val="7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basedOn w:val="7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basedOn w:val="7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basedOn w:val="7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basedOn w:val="7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basedOn w:val="7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basedOn w:val="7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basedOn w:val="7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basedOn w:val="7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basedOn w:val="7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basedOn w:val="7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basedOn w:val="7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basedOn w:val="7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basedOn w:val="7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basedOn w:val="7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basedOn w:val="7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basedOn w:val="7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basedOn w:val="7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basedOn w:val="7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basedOn w:val="7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basedOn w:val="7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basedOn w:val="7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basedOn w:val="7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basedOn w:val="7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basedOn w:val="7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basedOn w:val="7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basedOn w:val="7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basedOn w:val="7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basedOn w:val="7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basedOn w:val="7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basedOn w:val="7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basedOn w:val="7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basedOn w:val="7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link w:val="797"/>
    <w:uiPriority w:val="99"/>
    <w:qFormat/>
    <w:rPr>
      <w:sz w:val="18"/>
    </w:rPr>
  </w:style>
  <w:style w:type="character" w:styleId="967" w:customStyle="1">
    <w:name w:val="Endnote Text Char"/>
    <w:link w:val="789"/>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character" w:styleId="969" w:customStyle="1">
    <w:name w:val="页眉 字符"/>
    <w:basedOn w:val="776"/>
    <w:link w:val="792"/>
    <w:uiPriority w:val="99"/>
    <w:qFormat/>
    <w:rPr>
      <w:sz w:val="18"/>
      <w:szCs w:val="18"/>
    </w:rPr>
  </w:style>
  <w:style w:type="character" w:styleId="970" w:customStyle="1">
    <w:name w:val="页脚 字符"/>
    <w:basedOn w:val="776"/>
    <w:link w:val="791"/>
    <w:uiPriority w:val="99"/>
    <w:qFormat/>
    <w:rPr>
      <w:sz w:val="18"/>
      <w:szCs w:val="18"/>
    </w:rPr>
  </w:style>
  <w:style w:type="character" w:styleId="971" w:customStyle="1">
    <w:name w:val="标题 1 字符"/>
    <w:basedOn w:val="776"/>
    <w:link w:val="767"/>
    <w:uiPriority w:val="9"/>
    <w:qFormat/>
    <w:rPr>
      <w:b/>
      <w:bCs/>
      <w:sz w:val="44"/>
      <w:szCs w:val="44"/>
    </w:rPr>
  </w:style>
  <w:style w:type="character" w:styleId="972" w:customStyle="1">
    <w:name w:val="文档结构图 字符"/>
    <w:basedOn w:val="776"/>
    <w:link w:val="781"/>
    <w:uiPriority w:val="99"/>
    <w:semiHidden/>
    <w:qFormat/>
    <w:rPr>
      <w:rFonts w:ascii="宋体" w:eastAsia="宋体"/>
      <w:sz w:val="18"/>
      <w:szCs w:val="18"/>
    </w:rPr>
  </w:style>
  <w:style w:type="character" w:styleId="973" w:customStyle="1">
    <w:name w:val="标题 2 字符"/>
    <w:basedOn w:val="776"/>
    <w:link w:val="768"/>
    <w:uiPriority w:val="9"/>
    <w:qFormat/>
    <w:rPr>
      <w:rFonts w:asciiTheme="majorHAnsi" w:hAnsiTheme="majorHAnsi" w:eastAsiaTheme="majorEastAsia" w:cstheme="majorBidi"/>
      <w:b/>
      <w:bCs/>
      <w:sz w:val="32"/>
      <w:szCs w:val="32"/>
    </w:rPr>
  </w:style>
  <w:style w:type="character" w:styleId="974" w:customStyle="1">
    <w:name w:val="标题 3 字符"/>
    <w:basedOn w:val="776"/>
    <w:link w:val="769"/>
    <w:uiPriority w:val="9"/>
    <w:qFormat/>
    <w:rPr>
      <w:b/>
      <w:bCs/>
      <w:sz w:val="32"/>
      <w:szCs w:val="32"/>
    </w:rPr>
  </w:style>
  <w:style w:type="character" w:styleId="975" w:customStyle="1">
    <w:name w:val="日期 字符"/>
    <w:basedOn w:val="776"/>
    <w:link w:val="788"/>
    <w:uiPriority w:val="99"/>
    <w:semiHidden/>
    <w:qFormat/>
  </w:style>
  <w:style w:type="character" w:styleId="976" w:customStyle="1">
    <w:name w:val="批注文字 字符"/>
    <w:basedOn w:val="776"/>
    <w:link w:val="782"/>
    <w:uiPriority w:val="0"/>
    <w:qFormat/>
    <w:rPr>
      <w:rFonts w:ascii="Times New Roman" w:hAnsi="Times New Roman" w:eastAsia="宋体" w:cs="Times New Roman"/>
      <w:szCs w:val="24"/>
    </w:rPr>
  </w:style>
  <w:style w:type="character" w:styleId="977" w:customStyle="1">
    <w:name w:val="批注框文本 字符"/>
    <w:basedOn w:val="776"/>
    <w:link w:val="790"/>
    <w:uiPriority w:val="99"/>
    <w:semiHidden/>
    <w:qFormat/>
    <w:rPr>
      <w:sz w:val="18"/>
      <w:szCs w:val="18"/>
    </w:rPr>
  </w:style>
  <w:style w:type="paragraph" w:styleId="978" w:customStyle="1">
    <w:name w:val="Default"/>
    <w:link w:val="979"/>
    <w:uiPriority w:val="99"/>
    <w:qFormat/>
    <w:pPr>
      <w:widowControl w:val="off"/>
    </w:pPr>
    <w:rPr>
      <w:rFonts w:hint="default" w:ascii="MS Mincho" w:hAnsi="Calibri" w:eastAsia="宋体" w:cs="Times New Roman"/>
      <w:color w:val="000000"/>
      <w:sz w:val="21"/>
      <w:szCs w:val="24"/>
      <w:lang w:val="en-US" w:eastAsia="zh-CN" w:bidi="ar-SA"/>
    </w:rPr>
  </w:style>
  <w:style w:type="character" w:styleId="979" w:customStyle="1">
    <w:name w:val="Default Char"/>
    <w:link w:val="978"/>
    <w:uiPriority w:val="99"/>
    <w:qFormat/>
    <w:rPr>
      <w:rFonts w:ascii="MS Mincho" w:hAnsi="Calibri" w:eastAsia="宋体" w:cs="Times New Roman"/>
      <w:color w:val="000000"/>
      <w:szCs w:val="24"/>
    </w:rPr>
  </w:style>
  <w:style w:type="character" w:styleId="980" w:customStyle="1">
    <w:name w:val="纯文本 字符"/>
    <w:basedOn w:val="776"/>
    <w:link w:val="786"/>
    <w:uiPriority w:val="0"/>
    <w:qFormat/>
    <w:rPr>
      <w:rFonts w:ascii="宋体" w:hAnsi="Courier New" w:eastAsia="宋体" w:cs="Times New Roman"/>
      <w:szCs w:val="20"/>
    </w:rPr>
  </w:style>
  <w:style w:type="paragraph" w:styleId="981" w:customStyle="1">
    <w:name w:val="纯文本1"/>
    <w:basedOn w:val="766"/>
    <w:uiPriority w:val="0"/>
    <w:qFormat/>
    <w:rPr>
      <w:rFonts w:ascii="宋体" w:hAnsi="Courier New" w:cs="Courier New"/>
    </w:rPr>
  </w:style>
  <w:style w:type="character" w:styleId="982" w:customStyle="1">
    <w:name w:val="15"/>
    <w:link w:val="766"/>
    <w:uiPriority w:val="0"/>
    <w:qFormat/>
    <w:rPr>
      <w:rFonts w:asciiTheme="minorHAnsi" w:hAnsiTheme="minorHAnsi" w:eastAsiaTheme="minorEastAsia" w:cstheme="minorBidi"/>
      <w:sz w:val="21"/>
      <w:szCs w:val="22"/>
      <w:lang w:val="en-US" w:eastAsia="zh-CN" w:bidi="ar-SA"/>
    </w:rPr>
  </w:style>
  <w:style w:type="paragraph" w:styleId="983" w:customStyle="1">
    <w:name w:val="正文缩进1"/>
    <w:basedOn w:val="766"/>
    <w:uiPriority w:val="0"/>
    <w:qFormat/>
    <w:pPr>
      <w:ind w:firstLine="420"/>
    </w:pPr>
  </w:style>
  <w:style w:type="paragraph" w:styleId="984" w:customStyle="1">
    <w:name w:val="页脚1"/>
    <w:basedOn w:val="766"/>
    <w:uiPriority w:val="0"/>
    <w:qFormat/>
    <w:pPr>
      <w:jc w:val="left"/>
      <w:tabs>
        <w:tab w:val="center" w:pos="4153" w:leader="none"/>
        <w:tab w:val="right" w:pos="8306" w:leader="none"/>
      </w:tabs>
    </w:pPr>
    <w:rPr>
      <w:sz w:val="18"/>
      <w:szCs w:val="18"/>
    </w:rPr>
  </w:style>
  <w:style w:type="character" w:styleId="985" w:customStyle="1">
    <w:name w:val="页码1"/>
    <w:link w:val="766"/>
    <w:uiPriority w:val="0"/>
    <w:qFormat/>
  </w:style>
  <w:style w:type="paragraph" w:styleId="986" w:customStyle="1">
    <w:name w:val="标题 61"/>
    <w:basedOn w:val="766"/>
    <w:uiPriority w:val="1"/>
    <w:qFormat/>
    <w:pPr>
      <w:ind w:left="695"/>
      <w:outlineLvl w:val="6"/>
    </w:pPr>
    <w:rPr>
      <w:rFonts w:ascii="Microsoft JhengHei" w:hAnsi="Microsoft JhengHei" w:eastAsia="Microsoft JhengHei" w:cs="Microsoft JhengHei"/>
      <w:b/>
      <w:bCs/>
      <w:sz w:val="24"/>
      <w:szCs w:val="24"/>
    </w:rPr>
  </w:style>
  <w:style w:type="paragraph" w:styleId="987"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988" w:customStyle="1">
    <w:name w:val="HTML 预设格式1"/>
    <w:basedOn w:val="7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table" w:styleId="989" w:customStyle="1">
    <w:name w:val="Table Normal1"/>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paragraph" w:styleId="990" w:customStyle="1">
    <w:name w:val="Table Paragraph"/>
    <w:basedOn w:val="766"/>
    <w:uiPriority w:val="1"/>
    <w:qFormat/>
    <w:rPr>
      <w:rFonts w:ascii="宋体" w:hAnsi="宋体" w:eastAsia="宋体" w:cs="宋体"/>
      <w:lang w:val="zh-CN" w:eastAsia="zh-CN" w:bidi="zh-CN"/>
    </w:rPr>
  </w:style>
  <w:style w:type="table" w:styleId="991" w:customStyle="1">
    <w:name w:val="Table Normal"/>
    <w:uiPriority w:val="2"/>
    <w:semiHidden/>
    <w:unhideWhenUsed/>
    <w:qFormat/>
    <w:tblPr>
      <w:tblCellMar>
        <w:left w:w="0" w:type="dxa"/>
        <w:top w:w="0" w:type="dxa"/>
        <w:right w:w="0" w:type="dxa"/>
        <w:bottom w:w="0" w:type="dxa"/>
      </w:tblCellMar>
    </w:tblPr>
  </w:style>
  <w:style w:type="paragraph" w:styleId="992" w:customStyle="1">
    <w:name w:val="正文1"/>
    <w:uiPriority w:val="0"/>
    <w:qFormat/>
    <w:pPr>
      <w:jc w:val="both"/>
      <w:widowControl w:val="off"/>
    </w:pPr>
    <w:rPr>
      <w:rFonts w:hint="default" w:ascii="Calibri" w:hAnsi="Calibri" w:eastAsia="新宋体" w:cs="Times New Roman"/>
      <w:sz w:val="21"/>
      <w:szCs w:val="24"/>
      <w:lang w:bidi="hi-IN"/>
    </w:rPr>
  </w:style>
  <w:style w:type="character" w:styleId="993" w:customStyle="1">
    <w:name w:val="hover"/>
    <w:basedOn w:val="776"/>
    <w:uiPriority w:val="0"/>
    <w:qFormat/>
    <w:rPr>
      <w:color w:val="5fb878"/>
    </w:rPr>
  </w:style>
  <w:style w:type="character" w:styleId="994" w:customStyle="1">
    <w:name w:val="hover1"/>
    <w:basedOn w:val="776"/>
    <w:uiPriority w:val="0"/>
    <w:qFormat/>
    <w:rPr>
      <w:color w:val="ffffff"/>
    </w:rPr>
  </w:style>
  <w:style w:type="character" w:styleId="995" w:customStyle="1">
    <w:name w:val="hover2"/>
    <w:basedOn w:val="776"/>
    <w:uiPriority w:val="0"/>
    <w:qFormat/>
    <w:rPr>
      <w:color w:val="5fb878"/>
    </w:rPr>
  </w:style>
  <w:style w:type="character" w:styleId="996" w:customStyle="1">
    <w:name w:val="first-child"/>
    <w:basedOn w:val="776"/>
    <w:uiPriority w:val="0"/>
    <w:qFormat/>
  </w:style>
  <w:style w:type="character" w:styleId="997" w:customStyle="1">
    <w:name w:val="layui-this2"/>
    <w:basedOn w:val="776"/>
    <w:uiPriority w:val="0"/>
    <w:qFormat/>
    <w:rPr>
      <w:shd w:val="clear" w:color="auto" w:fill="ffffff"/>
    </w:rPr>
  </w:style>
  <w:style w:type="character" w:styleId="998" w:customStyle="1">
    <w:name w:val="layui-this"/>
    <w:basedOn w:val="776"/>
    <w:uiPriority w:val="0"/>
    <w:qFormat/>
    <w:rPr>
      <w:shd w:val="clear" w:color="auto" w:fill="ffffff"/>
    </w:rPr>
  </w:style>
  <w:style w:type="character" w:styleId="999" w:customStyle="1">
    <w:name w:val="hover3"/>
    <w:basedOn w:val="776"/>
    <w:uiPriority w:val="0"/>
    <w:qFormat/>
    <w:rPr>
      <w:color w:val="ffffff"/>
    </w:rPr>
  </w:style>
  <w:style w:type="character" w:styleId="1000" w:customStyle="1">
    <w:name w:val="hover4"/>
    <w:basedOn w:val="776"/>
    <w:uiPriority w:val="0"/>
    <w:qFormat/>
    <w:rPr>
      <w:color w:val="5fb878"/>
    </w:rPr>
  </w:style>
  <w:style w:type="paragraph" w:styleId="1001" w:customStyle="1">
    <w:name w:val="表格正文"/>
    <w:basedOn w:val="766"/>
    <w:uiPriority w:val="0"/>
    <w:qFormat/>
    <w:pPr>
      <w:jc w:val="left"/>
    </w:pPr>
    <w:rPr>
      <w:sz w:val="24"/>
      <w:szCs w:val="21"/>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宋厚达</cp:lastModifiedBy>
  <cp:revision>7</cp:revision>
  <dcterms:created xsi:type="dcterms:W3CDTF">2024-01-04T03:50:00Z</dcterms:created>
  <dcterms:modified xsi:type="dcterms:W3CDTF">2026-05-29T00:57:25Z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3B1AFFCFB64842D29C1B73B3A633A5BA_13</vt:lpwstr>
  </property>
  <property fmtid="{D5CDD505-2E9C-101B-9397-08002B2CF9AE}" pid="4" name="KSOTemplateDocerSaveRecord">
    <vt:lpwstr>eyJoZGlkIjoiZjI5N2JiODQ3NzdhOWJlYmVhNmNhNjA3MDEzY2M1YTgiLCJ1c2VySWQiOiIzNTIzNDkyOTYifQ==</vt:lpwstr>
  </property>
</Properties>
</file>