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spacing w:line="480" w:lineRule="auto"/>
        <w:rPr>
          <w:rFonts w:hint="eastAsia" w:ascii="黑体" w:hAnsi="Arial" w:eastAsia="宋体" w:cs="Times New Roman"/>
          <w:b w:val="0"/>
          <w:bCs w:val="0"/>
          <w:color w:val="auto"/>
          <w:sz w:val="44"/>
          <w:szCs w:val="21"/>
          <w:highlight w:val="none"/>
          <w:lang w:eastAsia="zh-CN"/>
        </w:rPr>
      </w:pPr>
      <w:r>
        <w:rPr>
          <w:rFonts w:hint="eastAsia" w:ascii="Arial" w:hAnsi="Arial" w:eastAsia="宋体" w:cs="Times New Roman"/>
          <w:b w:val="0"/>
          <w:bCs w:val="0"/>
          <w:color w:val="auto"/>
          <w:sz w:val="32"/>
          <w:szCs w:val="24"/>
          <w:highlight w:val="none"/>
        </w:rPr>
        <w:t xml:space="preserve">项目名称：</w:t>
      </w:r>
      <w:r>
        <w:rPr>
          <w:rFonts w:hint="eastAsia" w:ascii="Arial" w:hAnsi="Arial" w:eastAsia="宋体"/>
          <w:b w:val="0"/>
          <w:bCs w:val="0"/>
          <w:color w:val="auto"/>
          <w:sz w:val="32"/>
          <w:szCs w:val="24"/>
          <w:highlight w:val="none"/>
          <w:lang w:eastAsia="zh-CN"/>
        </w:rPr>
        <w:t xml:space="preserve">连云渔港经济区绿色渔港项目（二期）小型清扫设施采购工程</w:t>
      </w:r>
      <w:r/>
    </w:p>
    <w:p>
      <w:pPr>
        <w:spacing w:line="480" w:lineRule="auto"/>
        <w:rPr>
          <w:rFonts w:hint="eastAsia" w:ascii="宋体" w:hAnsi="宋体" w:eastAsia="宋体" w:cs="宋体"/>
          <w:b w:val="0"/>
          <w:bCs w:val="0"/>
          <w:color w:val="auto"/>
          <w:sz w:val="44"/>
          <w:szCs w:val="21"/>
          <w:highlight w:val="none"/>
        </w:rPr>
      </w:pPr>
      <w:r>
        <w:rPr>
          <w:rFonts w:hint="eastAsia" w:ascii="Arial" w:hAnsi="Arial" w:eastAsia="宋体" w:cs="Times New Roman"/>
          <w:b w:val="0"/>
          <w:bCs w:val="0"/>
          <w:color w:val="auto"/>
          <w:sz w:val="32"/>
          <w:szCs w:val="24"/>
          <w:highlight w:val="none"/>
        </w:rPr>
        <w:t xml:space="preserve">项目编号：</w:t>
      </w:r>
      <w:r>
        <w:rPr>
          <w:rFonts w:hint="eastAsia" w:ascii="宋体" w:hAnsi="宋体" w:eastAsia="宋体" w:cs="宋体"/>
          <w:b w:val="0"/>
          <w:bCs w:val="0"/>
          <w:color w:val="auto"/>
          <w:sz w:val="32"/>
          <w:szCs w:val="24"/>
          <w:highlight w:val="none"/>
        </w:rPr>
        <w:t xml:space="preserve">JSZC-320703-SXDX-G2026-0003</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采购人：</w:t>
      </w:r>
      <w:r>
        <w:rPr>
          <w:rFonts w:hint="eastAsia" w:ascii="宋体" w:hAnsi="宋体" w:eastAsia="宋体" w:cs="宋体"/>
          <w:bCs/>
          <w:color w:val="auto"/>
          <w:sz w:val="32"/>
          <w:szCs w:val="32"/>
          <w:highlight w:val="none"/>
          <w:lang w:val="en-US" w:eastAsia="zh-CN"/>
        </w:rPr>
        <w:t xml:space="preserve">连云港市连云区人民政府高公岛街道办事处</w:t>
      </w:r>
      <w:r/>
    </w:p>
    <w:p>
      <w:pPr>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采购代理机构：江苏贤达项目管理有限公司</w:t>
      </w:r>
      <w:r/>
    </w:p>
    <w:p>
      <w:pPr>
        <w:pStyle w:val="706"/>
        <w:tabs>
          <w:tab w:val="right" w:pos="8306" w:leader="dot"/>
        </w:tabs>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t xml:space="preserve">202</w:t>
      </w:r>
      <w:r>
        <w:rPr>
          <w:rFonts w:hint="eastAsia" w:ascii="宋体" w:hAnsi="宋体" w:eastAsia="宋体" w:cs="宋体"/>
          <w:b w:val="0"/>
          <w:bCs w:val="0"/>
          <w:color w:val="auto"/>
          <w:sz w:val="32"/>
          <w:szCs w:val="24"/>
          <w:highlight w:val="none"/>
          <w:lang w:val="en-US" w:eastAsia="zh-CN"/>
        </w:rPr>
        <w:t xml:space="preserve">6</w:t>
      </w:r>
      <w:r>
        <w:rPr>
          <w:rFonts w:hint="eastAsia" w:ascii="宋体" w:hAnsi="宋体" w:eastAsia="宋体" w:cs="宋体"/>
          <w:b w:val="0"/>
          <w:bCs w:val="0"/>
          <w:color w:val="auto"/>
          <w:sz w:val="32"/>
          <w:szCs w:val="24"/>
          <w:highlight w:val="none"/>
        </w:rPr>
        <w:t xml:space="preserve">年</w:t>
      </w:r>
      <w:r>
        <w:rPr>
          <w:rFonts w:hint="eastAsia" w:ascii="宋体" w:hAnsi="宋体" w:eastAsia="宋体" w:cs="宋体"/>
          <w:b w:val="0"/>
          <w:bCs w:val="0"/>
          <w:color w:val="auto"/>
          <w:sz w:val="32"/>
          <w:szCs w:val="24"/>
          <w:highlight w:val="none"/>
          <w:lang w:val="en-US" w:eastAsia="zh-CN"/>
        </w:rPr>
        <w:t xml:space="preserve">4</w:t>
      </w:r>
      <w:r>
        <w:rPr>
          <w:rFonts w:hint="eastAsia" w:ascii="宋体" w:hAnsi="宋体" w:eastAsia="宋体" w:cs="宋体"/>
          <w:b w:val="0"/>
          <w:bCs w:val="0"/>
          <w:color w:val="auto"/>
          <w:sz w:val="32"/>
          <w:szCs w:val="24"/>
          <w:highlight w:val="none"/>
        </w:rPr>
        <w:t xml:space="preserve">月</w:t>
      </w:r>
      <w:r/>
    </w:p>
    <w:p>
      <w:pPr>
        <w:pStyle w:val="706"/>
        <w:tabs>
          <w:tab w:val="right" w:pos="8306" w:leader="dot"/>
        </w:tabs>
        <w:rPr>
          <w:rFonts w:hint="eastAsia"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lang w:val="en-US" w:eastAsia="zh-CN"/>
        </w:rPr>
      </w:r>
      <w:r/>
    </w:p>
    <w:p>
      <w:pPr>
        <w:pStyle w:val="706"/>
        <w:tabs>
          <w:tab w:val="right" w:pos="8306" w:leader="dot"/>
        </w:tabs>
        <w:rPr>
          <w:rFonts w:hint="eastAsia"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lang w:val="en-US" w:eastAsia="zh-CN"/>
        </w:rPr>
      </w:r>
      <w:r/>
    </w:p>
    <w:p>
      <w:pPr>
        <w:pStyle w:val="706"/>
        <w:tabs>
          <w:tab w:val="right" w:pos="8306" w:leader="dot"/>
        </w:tabs>
        <w:rPr>
          <w:rFonts w:hint="eastAsia"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lang w:val="en-US" w:eastAsia="zh-CN"/>
        </w:rPr>
      </w:r>
      <w:r/>
    </w:p>
    <w:p>
      <w:pPr>
        <w:pStyle w:val="706"/>
        <w:tabs>
          <w:tab w:val="right" w:pos="8306" w:leader="dot"/>
        </w:tabs>
        <w:rPr>
          <w:rFonts w:hint="eastAsia"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lang w:val="en-US" w:eastAsia="zh-CN"/>
        </w:rPr>
      </w:r>
      <w:r/>
    </w:p>
    <w:p>
      <w:pPr>
        <w:pStyle w:val="706"/>
        <w:tabs>
          <w:tab w:val="right" w:pos="8306" w:leader="dot"/>
        </w:tabs>
        <w:rPr>
          <w:rFonts w:hint="eastAsia"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lang w:val="en-US" w:eastAsia="zh-CN"/>
        </w:rPr>
        <w:t xml:space="preserve">目录</w:t>
      </w:r>
      <w:r/>
    </w:p>
    <w:p>
      <w:pPr>
        <w:pStyle w:val="706"/>
        <w:tabs>
          <w:tab w:val="right" w:pos="8306" w:leader="dot"/>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20"/>
          <w:szCs w:val="32"/>
          <w:highlight w:val="none"/>
        </w:rPr>
        <w:fldChar w:fldCharType="begin"/>
      </w:r>
      <w:r>
        <w:rPr>
          <w:rFonts w:hint="eastAsia" w:ascii="宋体" w:hAnsi="宋体" w:eastAsia="宋体" w:cs="宋体"/>
          <w:b w:val="0"/>
          <w:bCs/>
          <w:color w:val="auto"/>
          <w:sz w:val="20"/>
          <w:szCs w:val="32"/>
          <w:highlight w:val="none"/>
        </w:rPr>
        <w:instrText xml:space="preserve"> TOC \o "1-1" \u </w:instrText>
      </w:r>
      <w:r>
        <w:rPr>
          <w:rFonts w:hint="eastAsia" w:ascii="宋体" w:hAnsi="宋体" w:eastAsia="宋体" w:cs="宋体"/>
          <w:b w:val="0"/>
          <w:bCs/>
          <w:color w:val="auto"/>
          <w:sz w:val="20"/>
          <w:szCs w:val="32"/>
          <w:highlight w:val="none"/>
        </w:rPr>
        <w:fldChar w:fldCharType="separate"/>
      </w:r>
      <w:r>
        <w:rPr>
          <w:rFonts w:hint="eastAsia" w:ascii="宋体" w:hAnsi="宋体" w:eastAsia="宋体" w:cs="宋体"/>
          <w:b w:val="0"/>
          <w:bCs/>
          <w:color w:val="auto"/>
          <w:sz w:val="32"/>
          <w:szCs w:val="32"/>
          <w:highlight w:val="none"/>
        </w:rPr>
        <w:t xml:space="preserve">第一章  投标邀请</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PAGEREF _Toc1 \h</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xml:space="preserve">1</w:t>
      </w:r>
      <w:r>
        <w:rPr>
          <w:rFonts w:hint="eastAsia" w:ascii="宋体" w:hAnsi="宋体" w:eastAsia="宋体" w:cs="宋体"/>
          <w:b w:val="0"/>
          <w:bCs/>
          <w:color w:val="auto"/>
          <w:sz w:val="32"/>
          <w:szCs w:val="32"/>
          <w:highlight w:val="none"/>
        </w:rPr>
        <w:fldChar w:fldCharType="end"/>
      </w:r>
      <w:r/>
    </w:p>
    <w:p>
      <w:pPr>
        <w:pStyle w:val="706"/>
        <w:tabs>
          <w:tab w:val="right" w:pos="8306" w:leader="dot"/>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第二章  投标人须知</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PAGEREF _Toc2 \h</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xml:space="preserve">4</w:t>
      </w:r>
      <w:r>
        <w:rPr>
          <w:rFonts w:hint="eastAsia" w:ascii="宋体" w:hAnsi="宋体" w:eastAsia="宋体" w:cs="宋体"/>
          <w:b w:val="0"/>
          <w:bCs/>
          <w:color w:val="auto"/>
          <w:sz w:val="32"/>
          <w:szCs w:val="32"/>
          <w:highlight w:val="none"/>
        </w:rPr>
        <w:fldChar w:fldCharType="end"/>
      </w:r>
      <w:r/>
    </w:p>
    <w:p>
      <w:pPr>
        <w:pStyle w:val="706"/>
        <w:tabs>
          <w:tab w:val="right" w:pos="8306" w:leader="dot"/>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第三章  合同文本</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PAGEREF _Toc3 \h</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xml:space="preserve">19</w:t>
      </w:r>
      <w:r>
        <w:rPr>
          <w:rFonts w:hint="eastAsia" w:ascii="宋体" w:hAnsi="宋体" w:eastAsia="宋体" w:cs="宋体"/>
          <w:b w:val="0"/>
          <w:bCs/>
          <w:color w:val="auto"/>
          <w:sz w:val="32"/>
          <w:szCs w:val="32"/>
          <w:highlight w:val="none"/>
        </w:rPr>
        <w:fldChar w:fldCharType="end"/>
      </w:r>
      <w:r/>
    </w:p>
    <w:p>
      <w:pPr>
        <w:pStyle w:val="706"/>
        <w:tabs>
          <w:tab w:val="right" w:pos="8306" w:leader="dot"/>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第四章  采购需求</w:t>
      </w:r>
      <w:bookmarkStart w:id="62" w:name="_GoBack"/>
      <w:r/>
      <w:bookmarkEnd w:id="62"/>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PAGEREF _Toc4 \h</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xml:space="preserve">23</w:t>
      </w:r>
      <w:r>
        <w:rPr>
          <w:rFonts w:hint="eastAsia" w:ascii="宋体" w:hAnsi="宋体" w:eastAsia="宋体" w:cs="宋体"/>
          <w:b w:val="0"/>
          <w:bCs/>
          <w:color w:val="auto"/>
          <w:sz w:val="32"/>
          <w:szCs w:val="32"/>
          <w:highlight w:val="none"/>
        </w:rPr>
        <w:fldChar w:fldCharType="end"/>
      </w:r>
      <w:r/>
    </w:p>
    <w:p>
      <w:pPr>
        <w:pStyle w:val="706"/>
        <w:tabs>
          <w:tab w:val="right" w:pos="8306" w:leader="dot"/>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第五章  评标方法与评标标准</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PAGEREF _Toc5 \h</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xml:space="preserve">32</w:t>
      </w:r>
      <w:r>
        <w:rPr>
          <w:rFonts w:hint="eastAsia" w:ascii="宋体" w:hAnsi="宋体" w:eastAsia="宋体" w:cs="宋体"/>
          <w:b w:val="0"/>
          <w:bCs/>
          <w:color w:val="auto"/>
          <w:sz w:val="32"/>
          <w:szCs w:val="32"/>
          <w:highlight w:val="none"/>
        </w:rPr>
        <w:fldChar w:fldCharType="end"/>
      </w:r>
      <w:r/>
    </w:p>
    <w:p>
      <w:pPr>
        <w:pStyle w:val="706"/>
        <w:tabs>
          <w:tab w:val="right" w:pos="8306" w:leader="dot"/>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第六章  投标文件格式</w:t>
      </w:r>
      <w:r>
        <w:rPr>
          <w:rFonts w:hint="eastAsia" w:ascii="宋体" w:hAnsi="宋体" w:eastAsia="宋体" w:cs="宋体"/>
          <w:b w:val="0"/>
          <w:bCs/>
          <w:color w:val="auto"/>
          <w:sz w:val="32"/>
          <w:szCs w:val="32"/>
          <w:highlight w:val="none"/>
        </w:rPr>
        <w:tab/>
      </w: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PAGEREF _Toc6 \h</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32"/>
          <w:szCs w:val="32"/>
          <w:highlight w:val="none"/>
        </w:rPr>
        <w:t xml:space="preserve">32</w:t>
      </w:r>
      <w:r>
        <w:rPr>
          <w:rFonts w:hint="eastAsia" w:ascii="宋体" w:hAnsi="宋体" w:eastAsia="宋体" w:cs="宋体"/>
          <w:b w:val="0"/>
          <w:bCs/>
          <w:color w:val="auto"/>
          <w:sz w:val="32"/>
          <w:szCs w:val="32"/>
          <w:highlight w:val="none"/>
        </w:rPr>
        <w:fldChar w:fldCharType="end"/>
      </w:r>
      <w:r/>
    </w:p>
    <w:p>
      <w:pPr>
        <w:jc w:val="left"/>
        <w:spacing w:line="480" w:lineRule="auto"/>
        <w:widowControl/>
        <w:rPr>
          <w:rFonts w:asciiTheme="minorEastAsia" w:hAnsiTheme="minorEastAsia"/>
          <w:color w:val="auto"/>
          <w:sz w:val="24"/>
          <w:szCs w:val="24"/>
          <w:highlight w:val="none"/>
        </w:rPr>
      </w:pPr>
      <w:r>
        <w:rPr>
          <w:rFonts w:hint="eastAsia" w:ascii="宋体" w:hAnsi="宋体" w:eastAsia="宋体" w:cs="宋体"/>
          <w:b w:val="0"/>
          <w:bCs/>
          <w:color w:val="auto"/>
          <w:sz w:val="20"/>
          <w:szCs w:val="18"/>
          <w:highlight w:val="none"/>
        </w:rPr>
        <w:fldChar w:fldCharType="end"/>
      </w:r>
      <w:r>
        <w:rPr>
          <w:rFonts w:asciiTheme="minorEastAsia" w:hAnsiTheme="minorEastAsia"/>
          <w:color w:val="auto"/>
          <w:sz w:val="24"/>
          <w:highlight w:val="none"/>
        </w:rPr>
        <w:br w:type="page" w:clear="all"/>
      </w:r>
      <w:r/>
    </w:p>
    <w:p>
      <w:pPr>
        <w:pStyle w:val="681"/>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681"/>
        <w:jc w:val="center"/>
        <w:spacing w:line="360" w:lineRule="auto"/>
        <w:rPr>
          <w:rFonts w:ascii="黑体" w:hAnsi="黑体" w:eastAsia="黑体"/>
          <w:b w:val="0"/>
          <w:color w:val="auto"/>
          <w:highlight w:val="none"/>
        </w:rPr>
      </w:pPr>
      <w:r/>
      <w:bookmarkStart w:id="0" w:name="_Toc1"/>
      <w:r>
        <w:rPr>
          <w:rFonts w:hint="eastAsia" w:ascii="黑体" w:hAnsi="黑体" w:eastAsia="黑体"/>
          <w:b w:val="0"/>
          <w:color w:val="auto"/>
          <w:highlight w:val="none"/>
        </w:rPr>
        <w:t xml:space="preserve">第一章  投标邀请</w:t>
      </w:r>
      <w:bookmarkEnd w:id="0"/>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连云港市连云区人民政府高公岛街道办事处</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江苏贤达项目管理有限公司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连云渔港经济区绿色渔港项目（二期）小型清扫设施采购工程</w:t>
      </w:r>
      <w:r>
        <w:rPr>
          <w:rFonts w:hint="eastAsia" w:ascii="宋体" w:hAnsi="宋体"/>
          <w:strike w:val="0"/>
          <w:color w:val="auto"/>
          <w:sz w:val="24"/>
          <w:szCs w:val="24"/>
          <w:highlight w:val="none"/>
          <w:lang w:eastAsia="zh-CN"/>
        </w:rPr>
        <w:t xml:space="preserve">（JSZC-320703-SXDX-G2026-0003）</w:t>
      </w:r>
      <w:r>
        <w:rPr>
          <w:rFonts w:hint="eastAsia" w:ascii="宋体" w:hAnsi="宋体"/>
          <w:color w:val="auto"/>
          <w:sz w:val="24"/>
          <w:szCs w:val="24"/>
          <w:highlight w:val="none"/>
        </w:rPr>
        <w:t xml:space="preserve">项目进行公开招标采购，欢迎符合条件的供应商投标。</w:t>
      </w:r>
      <w:r/>
    </w:p>
    <w:p>
      <w:pPr>
        <w:ind w:firstLine="480"/>
        <w:spacing w:line="40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40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连云渔港经济区绿色渔港项目（二期）小型清扫设施采购工程</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  12</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 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6"/>
        <w:keepLines/>
        <w:keepNext/>
        <w:pageBreakBefore w:val="0"/>
        <w:spacing w:before="156" w:after="156" w:line="400" w:lineRule="exact"/>
        <w:widowControl w:val="off"/>
        <w:rPr>
          <w:b/>
          <w:bCs/>
          <w:color w:val="auto"/>
          <w:sz w:val="32"/>
          <w:szCs w:val="32"/>
          <w:highlight w:val="none"/>
        </w:rPr>
        <w:outlineLvl w:val="2"/>
      </w:pPr>
      <w:r/>
      <w:bookmarkStart w:id="1" w:name="_Toc28359002"/>
      <w:r/>
      <w:bookmarkStart w:id="2" w:name="_Toc28359079"/>
      <w:r/>
      <w:bookmarkStart w:id="3" w:name="_Toc35393621"/>
      <w:r/>
      <w:bookmarkStart w:id="4" w:name="_Toc35393790"/>
      <w:r/>
      <w:bookmarkStart w:id="5" w:name="_Toc38985263"/>
      <w:r/>
      <w:bookmarkStart w:id="6" w:name="_Toc23947"/>
      <w:r/>
      <w:bookmarkStart w:id="7" w:name="_Hlk24379207"/>
      <w:r>
        <w:rPr>
          <w:rFonts w:hint="eastAsia"/>
          <w:b/>
          <w:bCs/>
          <w:color w:val="auto"/>
          <w:sz w:val="32"/>
          <w:szCs w:val="32"/>
          <w:highlight w:val="none"/>
        </w:rPr>
        <w:t xml:space="preserve">一、项目基本情况</w:t>
      </w:r>
      <w:bookmarkEnd w:id="1"/>
      <w:r/>
      <w:bookmarkEnd w:id="2"/>
      <w:r/>
      <w:bookmarkEnd w:id="3"/>
      <w:r/>
      <w:bookmarkEnd w:id="4"/>
      <w:r/>
      <w:bookmarkEnd w:id="5"/>
      <w:r/>
      <w:bookmarkEnd w:id="6"/>
      <w:r/>
      <w:r/>
    </w:p>
    <w:p>
      <w:pPr>
        <w:ind w:firstLine="480"/>
        <w:pageBreakBefore w:val="0"/>
        <w:spacing w:line="400" w:lineRule="exact"/>
        <w:widowControl w:val="off"/>
        <w:rPr>
          <w:rFonts w:ascii="宋体" w:hAnsi="宋体"/>
          <w:strike w:val="0"/>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strike w:val="0"/>
          <w:color w:val="auto"/>
          <w:sz w:val="24"/>
          <w:szCs w:val="24"/>
          <w:highlight w:val="none"/>
          <w:lang w:eastAsia="zh-CN"/>
        </w:rPr>
        <w:t xml:space="preserve">JSZC-320703-SXDX-G2026-0003</w:t>
      </w:r>
      <w:r/>
    </w:p>
    <w:p>
      <w:pPr>
        <w:ind w:firstLine="480"/>
        <w:pageBreakBefore w:val="0"/>
        <w:spacing w:line="40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连云渔港经济区绿色渔港项目（二期）小型清扫设施采购工程</w:t>
      </w:r>
      <w:bookmarkEnd w:id="7"/>
      <w:r/>
      <w:r/>
    </w:p>
    <w:p>
      <w:pPr>
        <w:ind w:firstLine="480"/>
        <w:pageBreakBefore w:val="0"/>
        <w:spacing w:line="400" w:lineRule="exact"/>
        <w:widowControl w:val="off"/>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rPr>
        <w:t xml:space="preserve">3.预算金额</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120万元</w:t>
      </w:r>
      <w:r/>
    </w:p>
    <w:p>
      <w:pPr>
        <w:ind w:firstLine="480"/>
        <w:pageBreakBefore w:val="0"/>
        <w:spacing w:line="400" w:lineRule="exact"/>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4.本项目</w:t>
      </w:r>
      <w:r>
        <w:rPr>
          <w:rFonts w:hint="eastAsia" w:ascii="宋体" w:hAnsi="宋体"/>
          <w:b w:val="0"/>
          <w:bCs w:val="0"/>
          <w:color w:val="auto"/>
          <w:sz w:val="24"/>
          <w:szCs w:val="24"/>
          <w:highlight w:val="none"/>
          <w:u w:val="single"/>
        </w:rPr>
        <w:t xml:space="preserve"> 设定 </w:t>
      </w:r>
      <w:r>
        <w:rPr>
          <w:rFonts w:hint="eastAsia" w:ascii="宋体" w:hAnsi="宋体"/>
          <w:b w:val="0"/>
          <w:bCs w:val="0"/>
          <w:color w:val="auto"/>
          <w:sz w:val="24"/>
          <w:szCs w:val="24"/>
          <w:highlight w:val="none"/>
        </w:rPr>
        <w:t xml:space="preserve">最高限价，最高限价为</w:t>
      </w:r>
      <w:r>
        <w:rPr>
          <w:rFonts w:hint="eastAsia" w:ascii="宋体" w:hAnsi="宋体" w:eastAsia="宋体"/>
          <w:b w:val="0"/>
          <w:bCs w:val="0"/>
          <w:color w:val="auto"/>
          <w:sz w:val="24"/>
          <w:szCs w:val="24"/>
          <w:highlight w:val="none"/>
          <w:u w:val="single"/>
          <w:lang w:val="en-US" w:eastAsia="zh-CN"/>
        </w:rPr>
        <w:t xml:space="preserve">120</w:t>
      </w:r>
      <w:r>
        <w:rPr>
          <w:rFonts w:hint="eastAsia" w:ascii="宋体" w:hAnsi="宋体"/>
          <w:b w:val="0"/>
          <w:bCs w:val="0"/>
          <w:color w:val="auto"/>
          <w:sz w:val="24"/>
          <w:szCs w:val="24"/>
          <w:highlight w:val="none"/>
        </w:rPr>
        <w:t xml:space="preserve">万元。</w:t>
      </w:r>
      <w:r/>
    </w:p>
    <w:p>
      <w:pPr>
        <w:ind w:firstLine="480"/>
        <w:pageBreakBefore w:val="0"/>
        <w:spacing w:line="400" w:lineRule="exact"/>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w:t>
      </w:r>
      <w:r>
        <w:rPr>
          <w:rFonts w:hint="eastAsia" w:ascii="宋体" w:hAnsi="宋体" w:eastAsia="宋体"/>
          <w:color w:val="auto"/>
          <w:sz w:val="24"/>
          <w:szCs w:val="24"/>
          <w:highlight w:val="none"/>
          <w:lang w:val="en-US" w:eastAsia="zh-CN"/>
        </w:rPr>
        <w:t xml:space="preserve">连云渔港经济区绿色渔港项目二期项目，需要购置一批小型清扫设施</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（详细内容见本招标文件第四章）</w:t>
      </w:r>
      <w:r/>
    </w:p>
    <w:p>
      <w:pPr>
        <w:ind w:firstLine="480"/>
        <w:pageBreakBefore w:val="0"/>
        <w:spacing w:line="400" w:lineRule="exact"/>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eastAsia="宋体"/>
          <w:b/>
          <w:bCs/>
          <w:color w:val="auto"/>
          <w:sz w:val="24"/>
          <w:szCs w:val="24"/>
          <w:highlight w:val="none"/>
          <w:lang w:eastAsia="zh-CN"/>
        </w:rPr>
        <w:t xml:space="preserve">自合同签订之日起</w:t>
      </w:r>
      <w:r>
        <w:rPr>
          <w:rFonts w:hint="eastAsia" w:ascii="宋体" w:hAnsi="宋体" w:eastAsia="宋体"/>
          <w:b/>
          <w:bCs/>
          <w:color w:val="auto"/>
          <w:sz w:val="24"/>
          <w:szCs w:val="24"/>
          <w:highlight w:val="none"/>
          <w:lang w:val="en-US" w:eastAsia="zh-CN"/>
        </w:rPr>
        <w:t xml:space="preserve">2</w:t>
      </w:r>
      <w:r>
        <w:rPr>
          <w:rFonts w:hint="eastAsia" w:ascii="宋体" w:hAnsi="宋体" w:eastAsia="宋体"/>
          <w:b/>
          <w:bCs/>
          <w:color w:val="auto"/>
          <w:sz w:val="24"/>
          <w:szCs w:val="24"/>
          <w:highlight w:val="none"/>
          <w:lang w:eastAsia="zh-CN"/>
        </w:rPr>
        <w:t xml:space="preserve">0日内完成供货、安装、调试、验收合格并交付使用。</w:t>
      </w:r>
      <w:r/>
    </w:p>
    <w:p>
      <w:pPr>
        <w:ind w:firstLine="496"/>
        <w:keepLines/>
        <w:keepNext/>
        <w:pageBreakBefore w:val="0"/>
        <w:spacing w:before="156" w:after="156" w:line="400" w:lineRule="exact"/>
        <w:widowControl w:val="off"/>
        <w:rPr>
          <w:b/>
          <w:bCs/>
          <w:color w:val="auto"/>
          <w:sz w:val="32"/>
          <w:szCs w:val="32"/>
          <w:highlight w:val="none"/>
        </w:rPr>
        <w:outlineLvl w:val="2"/>
      </w:pPr>
      <w:r/>
      <w:bookmarkStart w:id="8" w:name="_Toc28359003"/>
      <w:r/>
      <w:bookmarkStart w:id="9" w:name="_Toc28359080"/>
      <w:r/>
      <w:bookmarkStart w:id="10" w:name="_Toc35393791"/>
      <w:r/>
      <w:bookmarkStart w:id="11" w:name="_Toc35393622"/>
      <w:r/>
      <w:bookmarkStart w:id="12" w:name="_Toc13339"/>
      <w:r/>
      <w:bookmarkStart w:id="13" w:name="_Toc38985264"/>
      <w:r>
        <w:rPr>
          <w:rFonts w:hint="eastAsia"/>
          <w:b/>
          <w:bCs/>
          <w:color w:val="auto"/>
          <w:sz w:val="32"/>
          <w:szCs w:val="32"/>
          <w:highlight w:val="none"/>
        </w:rPr>
        <w:t xml:space="preserve">二、申请人的资格要求</w:t>
      </w:r>
      <w:bookmarkEnd w:id="8"/>
      <w:r/>
      <w:bookmarkEnd w:id="9"/>
      <w:r/>
      <w:bookmarkEnd w:id="10"/>
      <w:r/>
      <w:bookmarkEnd w:id="11"/>
      <w:r/>
      <w:bookmarkEnd w:id="12"/>
      <w:r/>
      <w:bookmarkEnd w:id="13"/>
      <w:r/>
      <w:r/>
    </w:p>
    <w:p>
      <w:pPr>
        <w:ind w:firstLine="560"/>
        <w:pageBreakBefore w:val="0"/>
        <w:spacing w:line="400" w:lineRule="exact"/>
        <w:widowControl w:val="off"/>
        <w:rPr>
          <w:rFonts w:hint="default" w:ascii="宋体" w:hAnsi="宋体" w:eastAsia="宋体"/>
          <w:color w:val="auto"/>
          <w:sz w:val="28"/>
          <w:szCs w:val="28"/>
          <w:highlight w:val="none"/>
          <w:lang w:val="en-US" w:eastAsia="zh-CN"/>
        </w:rPr>
      </w:pPr>
      <w:r/>
      <w:bookmarkStart w:id="14" w:name="_Toc28359081"/>
      <w:r/>
      <w:bookmarkStart w:id="15" w:name="_Toc35393792"/>
      <w:r/>
      <w:bookmarkStart w:id="16" w:name="_Toc28359004"/>
      <w:r/>
      <w:bookmarkStart w:id="17" w:name="_Toc38985265"/>
      <w:r/>
      <w:bookmarkStart w:id="18" w:name="_Toc35393623"/>
      <w:r>
        <w:rPr>
          <w:rFonts w:hint="eastAsia" w:ascii="宋体" w:hAnsi="宋体"/>
          <w:color w:val="auto"/>
          <w:sz w:val="28"/>
          <w:szCs w:val="28"/>
          <w:highlight w:val="none"/>
        </w:rPr>
        <w:t xml:space="preserve">（一</w:t>
      </w:r>
      <w:r>
        <w:rPr>
          <w:rFonts w:ascii="宋体" w:hAnsi="宋体"/>
          <w:color w:val="auto"/>
          <w:sz w:val="28"/>
          <w:szCs w:val="28"/>
          <w:highlight w:val="none"/>
        </w:rPr>
        <w:t xml:space="preserve">）</w:t>
      </w:r>
      <w:r>
        <w:rPr>
          <w:rFonts w:hint="eastAsia" w:ascii="宋体" w:hAnsi="宋体"/>
          <w:color w:val="auto"/>
          <w:sz w:val="28"/>
          <w:szCs w:val="28"/>
          <w:highlight w:val="none"/>
        </w:rPr>
        <w:t xml:space="preserve">通用</w:t>
      </w:r>
      <w:r>
        <w:rPr>
          <w:rFonts w:ascii="宋体" w:hAnsi="宋体"/>
          <w:color w:val="auto"/>
          <w:sz w:val="28"/>
          <w:szCs w:val="28"/>
          <w:highlight w:val="none"/>
        </w:rPr>
        <w:t xml:space="preserve">资格要求</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1.2上一年度的财务状况报告（成立不满一年无需提供）；</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2"/>
        <w:pageBreakBefore w:val="0"/>
        <w:spacing w:line="4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根据连财购〔2023〕4号、连财购</w:t>
      </w:r>
      <w:r>
        <w:rPr>
          <w:rFonts w:hint="eastAsia" w:ascii="宋体" w:hAnsi="宋体" w:eastAsia="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pageBreakBefore w:val="0"/>
        <w:spacing w:line="400" w:lineRule="exact"/>
        <w:widowControl w:val="off"/>
        <w:rPr>
          <w:rFonts w:hint="eastAsia" w:ascii="华文新魏" w:hAnsi="宋体" w:eastAsia="华文新魏"/>
          <w:color w:val="auto"/>
          <w:sz w:val="24"/>
          <w:szCs w:val="24"/>
          <w:highlight w:val="none"/>
        </w:rPr>
      </w:pPr>
      <w:r>
        <w:rPr>
          <w:rFonts w:hint="eastAsia" w:ascii="宋体" w:hAnsi="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line="400" w:lineRule="exact"/>
        <w:widowControl w:val="off"/>
        <w:rPr>
          <w:rFonts w:hint="eastAsia" w:ascii="宋体" w:hAnsi="宋体" w:eastAsia="宋体"/>
          <w:b/>
          <w:bCs/>
          <w:color w:val="auto"/>
          <w:sz w:val="24"/>
          <w:szCs w:val="24"/>
          <w:highlight w:val="none"/>
          <w:lang w:eastAsia="zh-CN"/>
        </w:rPr>
      </w:pPr>
      <w:r>
        <w:rPr>
          <w:rFonts w:hint="eastAsia" w:ascii="宋体" w:hAnsi="宋体"/>
          <w:color w:val="auto"/>
          <w:sz w:val="24"/>
          <w:szCs w:val="24"/>
          <w:highlight w:val="none"/>
        </w:rPr>
        <w:t xml:space="preserve">3.落实政府采购政策需满足的资格要求：</w:t>
      </w:r>
      <w:r>
        <w:rPr>
          <w:rFonts w:hint="eastAsia"/>
          <w:b/>
          <w:bCs/>
          <w:color w:val="auto"/>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b/>
          <w:bCs/>
          <w:color w:val="auto"/>
          <w:sz w:val="24"/>
          <w:szCs w:val="24"/>
          <w:highlight w:val="none"/>
          <w:lang w:eastAsia="zh-CN"/>
        </w:rPr>
        <w:t xml:space="preserve">。</w:t>
      </w:r>
      <w:r/>
    </w:p>
    <w:p>
      <w:pPr>
        <w:ind w:firstLine="560"/>
        <w:pageBreakBefore w:val="0"/>
        <w:spacing w:line="400" w:lineRule="exact"/>
        <w:widowControl w:val="off"/>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（二）本项目的特定资格要求</w:t>
      </w:r>
      <w:r>
        <w:rPr>
          <w:rFonts w:hint="eastAsia" w:ascii="宋体" w:hAnsi="宋体"/>
          <w:color w:val="auto"/>
          <w:sz w:val="28"/>
          <w:szCs w:val="28"/>
          <w:highlight w:val="none"/>
          <w:lang w:eastAsia="zh-CN"/>
        </w:rPr>
        <w:t xml:space="preserve">：</w:t>
      </w:r>
      <w:r/>
    </w:p>
    <w:p>
      <w:pPr>
        <w:ind w:firstLine="480"/>
        <w:pageBreakBefore w:val="0"/>
        <w:spacing w:line="400" w:lineRule="exact"/>
        <w:widowControl w:val="off"/>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1.本项目不接受进口产品（进口产品是指通过中国海关报关验放进入中国境内且产自关境外的产品）。</w:t>
      </w:r>
      <w:r/>
    </w:p>
    <w:p>
      <w:pPr>
        <w:ind w:firstLine="480"/>
        <w:pageBreakBefore w:val="0"/>
        <w:spacing w:line="400" w:lineRule="exact"/>
        <w:widowControl w:val="off"/>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pageBreakBefore w:val="0"/>
        <w:spacing w:line="400" w:lineRule="exact"/>
        <w:widowControl w:val="off"/>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3.本项目</w:t>
      </w:r>
      <w:r>
        <w:rPr>
          <w:rFonts w:hint="eastAsia" w:ascii="宋体" w:hAnsi="宋体"/>
          <w:color w:val="auto"/>
          <w:sz w:val="24"/>
          <w:szCs w:val="24"/>
          <w:highlight w:val="none"/>
          <w:lang w:val="en-US" w:eastAsia="zh-CN"/>
        </w:rPr>
        <w:t xml:space="preserve">不</w:t>
      </w:r>
      <w:r>
        <w:rPr>
          <w:rFonts w:hint="default" w:ascii="宋体" w:hAnsi="宋体"/>
          <w:color w:val="auto"/>
          <w:sz w:val="24"/>
          <w:szCs w:val="24"/>
          <w:highlight w:val="none"/>
          <w:lang w:val="en-US" w:eastAsia="zh-CN"/>
        </w:rPr>
        <w:t xml:space="preserve">接受联合体</w:t>
      </w:r>
      <w:r/>
    </w:p>
    <w:p>
      <w:pPr>
        <w:ind w:firstLine="480"/>
        <w:pageBreakBefore w:val="0"/>
        <w:spacing w:line="400" w:lineRule="exact"/>
        <w:widowControl w:val="off"/>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4.法律、法规规定的其他条件。</w:t>
      </w:r>
      <w:r/>
    </w:p>
    <w:p>
      <w:pPr>
        <w:ind w:firstLine="496"/>
        <w:keepLines/>
        <w:keepNext/>
        <w:pageBreakBefore w:val="0"/>
        <w:spacing w:before="156" w:after="156" w:line="400" w:lineRule="exact"/>
        <w:widowControl w:val="off"/>
        <w:rPr>
          <w:b/>
          <w:bCs/>
          <w:color w:val="auto"/>
          <w:sz w:val="32"/>
          <w:szCs w:val="32"/>
          <w:highlight w:val="none"/>
        </w:rPr>
        <w:outlineLvl w:val="2"/>
      </w:pPr>
      <w:r/>
      <w:bookmarkStart w:id="19" w:name="_Toc1106"/>
      <w:r>
        <w:rPr>
          <w:rFonts w:hint="eastAsia"/>
          <w:b/>
          <w:bCs/>
          <w:color w:val="auto"/>
          <w:sz w:val="32"/>
          <w:szCs w:val="32"/>
          <w:highlight w:val="none"/>
        </w:rPr>
        <w:t xml:space="preserve">三、获取招标文件</w:t>
      </w:r>
      <w:bookmarkEnd w:id="19"/>
      <w:r/>
      <w:r/>
    </w:p>
    <w:p>
      <w:pPr>
        <w:ind w:firstLine="54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1.时间：自招标文件公告发布之日起5个工作日。</w:t>
      </w:r>
      <w:r/>
    </w:p>
    <w:p>
      <w:pPr>
        <w:ind w:firstLine="540"/>
        <w:pageBreakBefore w:val="0"/>
        <w:spacing w:line="40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2.方式：登录“苏采云”政府采购交易系统，自行免费下载。</w:t>
      </w:r>
      <w:bookmarkEnd w:id="14"/>
      <w:r/>
      <w:bookmarkEnd w:id="15"/>
      <w:r/>
      <w:bookmarkEnd w:id="16"/>
      <w:r/>
      <w:bookmarkEnd w:id="17"/>
      <w:r/>
      <w:bookmarkEnd w:id="18"/>
      <w:r/>
      <w:r/>
    </w:p>
    <w:p>
      <w:pPr>
        <w:ind w:firstLine="496"/>
        <w:keepLines/>
        <w:keepNext/>
        <w:pageBreakBefore w:val="0"/>
        <w:spacing w:before="156" w:after="156" w:line="400" w:lineRule="exact"/>
        <w:widowControl w:val="off"/>
        <w:rPr>
          <w:b/>
          <w:bCs/>
          <w:color w:val="auto"/>
          <w:sz w:val="32"/>
          <w:szCs w:val="32"/>
          <w:highlight w:val="none"/>
        </w:rPr>
        <w:outlineLvl w:val="2"/>
      </w:pPr>
      <w:r/>
      <w:bookmarkStart w:id="20" w:name="_Toc28359005"/>
      <w:r/>
      <w:bookmarkStart w:id="21" w:name="_Toc28359082"/>
      <w:r/>
      <w:bookmarkStart w:id="22" w:name="_Toc8937"/>
      <w:r/>
      <w:bookmarkStart w:id="23" w:name="_Toc38985266"/>
      <w:r/>
      <w:bookmarkStart w:id="24" w:name="_Toc35393624"/>
      <w:r/>
      <w:bookmarkStart w:id="25" w:name="_Toc35393793"/>
      <w:r>
        <w:rPr>
          <w:rFonts w:hint="eastAsia"/>
          <w:b/>
          <w:bCs/>
          <w:color w:val="auto"/>
          <w:sz w:val="32"/>
          <w:szCs w:val="32"/>
          <w:highlight w:val="none"/>
        </w:rPr>
        <w:t xml:space="preserve">四、提交投标文件</w:t>
      </w:r>
      <w:bookmarkEnd w:id="20"/>
      <w:r/>
      <w:bookmarkEnd w:id="21"/>
      <w:r>
        <w:rPr>
          <w:rFonts w:hint="eastAsia"/>
          <w:b/>
          <w:bCs/>
          <w:color w:val="auto"/>
          <w:sz w:val="32"/>
          <w:szCs w:val="32"/>
          <w:highlight w:val="none"/>
        </w:rPr>
        <w:t xml:space="preserve">截止时间、开标时间和地点</w:t>
      </w:r>
      <w:bookmarkEnd w:id="22"/>
      <w:r/>
      <w:bookmarkEnd w:id="23"/>
      <w:r/>
      <w:bookmarkEnd w:id="24"/>
      <w:r/>
      <w:bookmarkEnd w:id="25"/>
      <w:r/>
      <w:r/>
    </w:p>
    <w:p>
      <w:pPr>
        <w:ind w:firstLine="480"/>
        <w:pageBreakBefore w:val="0"/>
        <w:spacing w:line="400" w:lineRule="exact"/>
        <w:widowControl w:val="off"/>
        <w:rPr>
          <w:rFonts w:hint="eastAsia" w:ascii="宋体" w:hAnsi="宋体"/>
          <w:bCs/>
          <w:color w:val="auto"/>
          <w:sz w:val="24"/>
          <w:szCs w:val="24"/>
          <w:highlight w:val="none"/>
        </w:rPr>
      </w:pPr>
      <w:r/>
      <w:bookmarkStart w:id="26" w:name="_Toc28359084"/>
      <w:r/>
      <w:bookmarkStart w:id="27" w:name="_Toc38985267"/>
      <w:r/>
      <w:bookmarkStart w:id="28" w:name="_Toc28359007"/>
      <w:r/>
      <w:bookmarkStart w:id="29" w:name="_Toc35393794"/>
      <w:r/>
      <w:bookmarkStart w:id="30" w:name="_Toc35393625"/>
      <w:r>
        <w:rPr>
          <w:rFonts w:hint="eastAsia" w:ascii="宋体" w:hAnsi="宋体"/>
          <w:bCs/>
          <w:color w:val="auto"/>
          <w:sz w:val="24"/>
          <w:szCs w:val="24"/>
          <w:highlight w:val="none"/>
        </w:rPr>
        <w:t xml:space="preserve">1.提交</w:t>
      </w:r>
      <w:r>
        <w:rPr>
          <w:rFonts w:hint="eastAsia" w:ascii="宋体" w:hAnsi="宋体" w:cs="宋体"/>
          <w:color w:val="auto"/>
          <w:sz w:val="24"/>
          <w:szCs w:val="24"/>
          <w:highlight w:val="none"/>
        </w:rPr>
        <w:t xml:space="preserve">投标文件截止时间 </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 </w:t>
      </w:r>
      <w:r>
        <w:rPr>
          <w:rFonts w:hint="eastAsia" w:ascii="宋体" w:hAnsi="宋体" w:cs="宋体"/>
          <w:color w:val="auto"/>
          <w:sz w:val="24"/>
          <w:szCs w:val="24"/>
          <w:highlight w:val="none"/>
        </w:rPr>
        <w:t xml:space="preserve">日上午9:00:00</w:t>
      </w:r>
      <w:r>
        <w:rPr>
          <w:rFonts w:hint="eastAsia" w:ascii="宋体" w:hAnsi="宋体"/>
          <w:bCs/>
          <w:color w:val="auto"/>
          <w:sz w:val="24"/>
          <w:szCs w:val="24"/>
          <w:highlight w:val="none"/>
        </w:rPr>
        <w:t xml:space="preserve">（北京时间）。</w:t>
      </w:r>
      <w:r/>
    </w:p>
    <w:p>
      <w:pPr>
        <w:ind w:firstLine="48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2.开标时间：提交投标文件截止时间</w:t>
      </w:r>
      <w:r/>
    </w:p>
    <w:p>
      <w:pPr>
        <w:ind w:firstLine="48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3.开标地点：“苏采云”政府采购交易系统网上开标大厅</w:t>
      </w:r>
      <w:r/>
    </w:p>
    <w:p>
      <w:pPr>
        <w:ind w:firstLine="496"/>
        <w:keepLines/>
        <w:keepNext/>
        <w:pageBreakBefore w:val="0"/>
        <w:spacing w:before="156" w:after="156" w:line="400" w:lineRule="exact"/>
        <w:widowControl w:val="off"/>
        <w:rPr>
          <w:b/>
          <w:bCs/>
          <w:color w:val="auto"/>
          <w:sz w:val="32"/>
          <w:szCs w:val="32"/>
          <w:highlight w:val="none"/>
        </w:rPr>
        <w:outlineLvl w:val="2"/>
      </w:pPr>
      <w:r/>
      <w:bookmarkStart w:id="31" w:name="_Toc14491"/>
      <w:r>
        <w:rPr>
          <w:rFonts w:hint="eastAsia"/>
          <w:b/>
          <w:bCs/>
          <w:color w:val="auto"/>
          <w:sz w:val="32"/>
          <w:szCs w:val="32"/>
          <w:highlight w:val="none"/>
        </w:rPr>
        <w:t xml:space="preserve">五、公告期限</w:t>
      </w:r>
      <w:bookmarkEnd w:id="26"/>
      <w:r/>
      <w:bookmarkEnd w:id="27"/>
      <w:r/>
      <w:bookmarkEnd w:id="28"/>
      <w:r/>
      <w:bookmarkEnd w:id="29"/>
      <w:r/>
      <w:bookmarkEnd w:id="30"/>
      <w:r/>
      <w:bookmarkEnd w:id="31"/>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招标公告及招标文件公告期限为自本公告发布之日起5个工作日。</w:t>
      </w:r>
      <w:r/>
    </w:p>
    <w:p>
      <w:pPr>
        <w:ind w:firstLine="496"/>
        <w:keepLines/>
        <w:keepNext/>
        <w:pageBreakBefore w:val="0"/>
        <w:spacing w:before="156" w:after="156" w:line="400" w:lineRule="exact"/>
        <w:widowControl w:val="off"/>
        <w:rPr>
          <w:b/>
          <w:bCs/>
          <w:color w:val="auto"/>
          <w:sz w:val="32"/>
          <w:szCs w:val="32"/>
          <w:highlight w:val="none"/>
        </w:rPr>
        <w:outlineLvl w:val="2"/>
      </w:pPr>
      <w:r/>
      <w:bookmarkStart w:id="32" w:name="_Toc1429"/>
      <w:r/>
      <w:bookmarkStart w:id="33" w:name="_Toc35393795"/>
      <w:r/>
      <w:bookmarkStart w:id="34" w:name="_Toc35393626"/>
      <w:r/>
      <w:bookmarkStart w:id="35" w:name="_Toc38985268"/>
      <w:r>
        <w:rPr>
          <w:rFonts w:hint="eastAsia"/>
          <w:b/>
          <w:bCs/>
          <w:color w:val="auto"/>
          <w:sz w:val="32"/>
          <w:szCs w:val="32"/>
          <w:highlight w:val="none"/>
        </w:rPr>
        <w:t xml:space="preserve">六、其他补充事宜</w:t>
      </w:r>
      <w:bookmarkEnd w:id="32"/>
      <w:r/>
      <w:bookmarkEnd w:id="33"/>
      <w:r/>
      <w:bookmarkEnd w:id="34"/>
      <w:r/>
      <w:bookmarkEnd w:id="35"/>
      <w:r/>
      <w:r/>
    </w:p>
    <w:p>
      <w:pPr>
        <w:ind w:firstLine="480"/>
        <w:pageBreakBefore w:val="0"/>
        <w:spacing w:line="400" w:lineRule="exact"/>
        <w:widowControl w:val="off"/>
        <w:rPr>
          <w:rFonts w:ascii="宋体" w:hAnsi="宋体" w:cs="宋体"/>
          <w:color w:val="auto"/>
          <w:sz w:val="24"/>
          <w:szCs w:val="24"/>
          <w:highlight w:val="none"/>
        </w:rPr>
      </w:pPr>
      <w:r/>
      <w:bookmarkStart w:id="36" w:name="_Toc38985269"/>
      <w:r/>
      <w:bookmarkStart w:id="37" w:name="_Toc28359008"/>
      <w:r/>
      <w:bookmarkStart w:id="38" w:name="_Toc35393796"/>
      <w:r/>
      <w:bookmarkStart w:id="39" w:name="_Toc28359085"/>
      <w:r/>
      <w:bookmarkStart w:id="40" w:name="_Toc35393627"/>
      <w:r>
        <w:rPr>
          <w:rFonts w:hint="eastAsia" w:ascii="宋体" w:hAnsi="宋体" w:cs="宋体"/>
          <w:color w:val="auto"/>
          <w:sz w:val="24"/>
          <w:szCs w:val="24"/>
          <w:highlight w:val="none"/>
        </w:rPr>
        <w:t xml:space="preserve">1.本次招标不收取投标保证金。</w:t>
      </w:r>
      <w:r/>
    </w:p>
    <w:p>
      <w:pPr>
        <w:ind w:firstLine="48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2.本招标文件中加★号条款为实质性要求和条件，投标人必须逐条做出满足实质性要求和条件的响应，否则将按无效响应处理。</w:t>
      </w:r>
      <w:r/>
    </w:p>
    <w:p>
      <w:pPr>
        <w:ind w:firstLine="372"/>
        <w:keepLines/>
        <w:keepNext/>
        <w:pageBreakBefore w:val="0"/>
        <w:spacing w:before="145" w:after="145" w:line="400" w:lineRule="exact"/>
        <w:widowControl w:val="off"/>
        <w:rPr>
          <w:rFonts w:hint="eastAsia" w:ascii="宋体" w:hAnsi="宋体" w:cs="宋体"/>
          <w:color w:val="auto"/>
          <w:sz w:val="24"/>
          <w:szCs w:val="24"/>
          <w:highlight w:val="none"/>
        </w:rPr>
        <w:outlineLvl w:val="2"/>
      </w:pPr>
      <w:r/>
      <w:bookmarkStart w:id="41" w:name="_Toc3371"/>
      <w:r>
        <w:rPr>
          <w:rFonts w:hint="eastAsia" w:ascii="宋体" w:hAnsi="宋体" w:cs="宋体"/>
          <w:color w:val="auto"/>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bookmarkEnd w:id="41"/>
      <w:r/>
      <w:r/>
    </w:p>
    <w:p>
      <w:pPr>
        <w:ind w:firstLine="480"/>
        <w:pageBreakBefore w:val="0"/>
        <w:spacing w:line="400" w:lineRule="exact"/>
        <w:widowControl w:val="off"/>
        <w:tabs>
          <w:tab w:val="left" w:pos="900" w:leader="none"/>
        </w:tabs>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00" w:lineRule="exact"/>
        <w:widowControl w:val="off"/>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有关本次招标的事项若存在变动或修改，敬请及时关注“江苏政府采购网”发布的更正公告。</w:t>
      </w:r>
      <w:r/>
    </w:p>
    <w:p>
      <w:pPr>
        <w:ind w:firstLine="496"/>
        <w:keepLines/>
        <w:keepNext/>
        <w:pageBreakBefore w:val="0"/>
        <w:spacing w:before="156" w:after="156" w:line="400" w:lineRule="exact"/>
        <w:widowControl w:val="off"/>
        <w:rPr>
          <w:b/>
          <w:bCs/>
          <w:color w:val="auto"/>
          <w:sz w:val="32"/>
          <w:szCs w:val="32"/>
          <w:highlight w:val="none"/>
        </w:rPr>
        <w:outlineLvl w:val="2"/>
      </w:pPr>
      <w:r/>
      <w:bookmarkStart w:id="42" w:name="_Toc8393"/>
      <w:r>
        <w:rPr>
          <w:rFonts w:hint="eastAsia"/>
          <w:b/>
          <w:bCs/>
          <w:color w:val="auto"/>
          <w:sz w:val="32"/>
          <w:szCs w:val="32"/>
          <w:highlight w:val="none"/>
        </w:rPr>
        <w:t xml:space="preserve">七、本次招标联系方式</w:t>
      </w:r>
      <w:bookmarkEnd w:id="36"/>
      <w:r/>
      <w:bookmarkEnd w:id="37"/>
      <w:r/>
      <w:bookmarkEnd w:id="38"/>
      <w:r/>
      <w:bookmarkEnd w:id="39"/>
      <w:r/>
      <w:bookmarkEnd w:id="40"/>
      <w:r/>
      <w:bookmarkEnd w:id="42"/>
      <w:r/>
      <w:r/>
    </w:p>
    <w:p>
      <w:pPr>
        <w:ind w:firstLine="480"/>
        <w:jc w:val="left"/>
        <w:pageBreakBefore w:val="0"/>
        <w:spacing w:line="400" w:lineRule="exact"/>
        <w:widowControl w:val="off"/>
        <w:rPr>
          <w:rFonts w:hint="eastAsia" w:ascii="宋体" w:hAnsi="宋体" w:eastAsia="宋体" w:cs="宋体"/>
          <w:color w:val="auto"/>
          <w:sz w:val="24"/>
          <w:szCs w:val="24"/>
          <w:highlight w:val="none"/>
          <w:lang w:eastAsia="zh-CN"/>
        </w:rPr>
      </w:pPr>
      <w:r/>
      <w:bookmarkStart w:id="43" w:name="_Toc17659"/>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连云港市连云区人民政府高公岛街道办事处</w:t>
      </w:r>
      <w:r/>
    </w:p>
    <w:p>
      <w:pPr>
        <w:ind w:firstLine="480"/>
        <w:jc w:val="left"/>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连云港市连云区人民政府高公岛街道办事处</w:t>
      </w:r>
      <w:r>
        <w:rPr>
          <w:rFonts w:hint="eastAsia" w:ascii="宋体" w:hAnsi="宋体" w:eastAsia="宋体" w:cs="宋体"/>
          <w:color w:val="auto"/>
          <w:sz w:val="24"/>
          <w:szCs w:val="24"/>
          <w:highlight w:val="none"/>
        </w:rPr>
        <w:t xml:space="preserve"> </w:t>
      </w:r>
      <w:r/>
    </w:p>
    <w:p>
      <w:pPr>
        <w:ind w:firstLine="480"/>
        <w:jc w:val="lef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唐工</w:t>
      </w:r>
      <w:r/>
    </w:p>
    <w:p>
      <w:pPr>
        <w:ind w:firstLine="480"/>
        <w:jc w:val="left"/>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0518-80327869</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江苏贤达项目管理有限公司</w:t>
      </w:r>
      <w:r/>
    </w:p>
    <w:p>
      <w:pPr>
        <w:ind w:firstLine="480"/>
        <w:jc w:val="left"/>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址：连云港市连云区</w:t>
      </w:r>
      <w:r>
        <w:rPr>
          <w:rFonts w:hint="eastAsia" w:ascii="宋体" w:hAnsi="宋体" w:cs="宋体"/>
          <w:color w:val="auto"/>
          <w:sz w:val="24"/>
          <w:szCs w:val="24"/>
          <w:highlight w:val="none"/>
          <w:lang w:eastAsia="zh-CN"/>
        </w:rPr>
        <w:t xml:space="preserve">五羊路6号</w:t>
      </w:r>
      <w:r/>
    </w:p>
    <w:p>
      <w:pPr>
        <w:ind w:firstLine="480"/>
        <w:jc w:val="left"/>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刘工</w:t>
      </w:r>
      <w:r/>
    </w:p>
    <w:p>
      <w:pPr>
        <w:ind w:firstLine="480"/>
        <w:jc w:val="left"/>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联系电话：0518-</w:t>
      </w:r>
      <w:r>
        <w:rPr>
          <w:rFonts w:hint="eastAsia" w:ascii="宋体" w:hAnsi="宋体" w:cs="宋体"/>
          <w:color w:val="auto"/>
          <w:sz w:val="24"/>
          <w:szCs w:val="24"/>
          <w:highlight w:val="none"/>
          <w:lang w:val="en-US" w:eastAsia="zh-CN"/>
        </w:rPr>
        <w:t xml:space="preserve">85893006</w:t>
      </w:r>
      <w:bookmarkEnd w:id="43"/>
      <w:r/>
      <w:r/>
    </w:p>
    <w:p>
      <w:pPr>
        <w:pStyle w:val="681"/>
        <w:jc w:val="center"/>
        <w:spacing w:line="360" w:lineRule="auto"/>
        <w:rPr>
          <w:rFonts w:ascii="黑体" w:hAnsi="黑体" w:eastAsia="黑体"/>
          <w:b w:val="0"/>
          <w:color w:val="auto"/>
          <w:highlight w:val="none"/>
        </w:rPr>
      </w:pPr>
      <w:r/>
      <w:bookmarkStart w:id="44" w:name="_Toc2"/>
      <w:r>
        <w:rPr>
          <w:rFonts w:hint="eastAsia" w:ascii="黑体" w:hAnsi="黑体" w:eastAsia="黑体"/>
          <w:b w:val="0"/>
          <w:color w:val="auto"/>
          <w:highlight w:val="none"/>
        </w:rPr>
        <w:t xml:space="preserve">第二章  投标人须知</w:t>
      </w:r>
      <w:bookmarkEnd w:id="44"/>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一、总则</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1.招标方式</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2.合格的投标人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3.适用法律</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4.投标费用</w:t>
      </w:r>
      <w:r/>
    </w:p>
    <w:p>
      <w:pPr>
        <w:ind w:firstLine="482"/>
        <w:jc w:val="both"/>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b w:val="0"/>
          <w:bCs/>
          <w:color w:val="auto"/>
          <w:sz w:val="24"/>
          <w:szCs w:val="24"/>
          <w:highlight w:val="none"/>
          <w:lang w:eastAsia="zh-CN"/>
        </w:rPr>
        <w:t xml:space="preserve">江苏贤达项目管理有限公司</w:t>
      </w:r>
      <w:r>
        <w:rPr>
          <w:rFonts w:hint="eastAsia" w:ascii="宋体" w:hAnsi="宋体" w:eastAsia="宋体" w:cs="宋体"/>
          <w:b w:val="0"/>
          <w:bCs/>
          <w:color w:val="auto"/>
          <w:sz w:val="24"/>
          <w:szCs w:val="24"/>
          <w:highlight w:val="none"/>
        </w:rPr>
        <w:t xml:space="preserve">（以下简称</w:t>
      </w:r>
      <w:r>
        <w:rPr>
          <w:rFonts w:hint="eastAsia" w:ascii="宋体" w:hAnsi="宋体" w:eastAsia="宋体" w:cs="宋体"/>
          <w:b w:val="0"/>
          <w:bCs/>
          <w:color w:val="auto"/>
          <w:sz w:val="24"/>
          <w:szCs w:val="24"/>
          <w:highlight w:val="none"/>
          <w:lang w:eastAsia="zh-CN"/>
        </w:rPr>
        <w:t xml:space="preserve">采购代理机构</w:t>
      </w:r>
      <w:r>
        <w:rPr>
          <w:rFonts w:hint="eastAsia" w:ascii="宋体" w:hAnsi="宋体" w:eastAsia="宋体" w:cs="宋体"/>
          <w:b w:val="0"/>
          <w:bCs/>
          <w:color w:val="auto"/>
          <w:sz w:val="24"/>
          <w:szCs w:val="24"/>
          <w:highlight w:val="none"/>
        </w:rPr>
        <w:t xml:space="preserve">）在任何情况下均无义务和责任承担这些费用。</w:t>
      </w:r>
      <w:r/>
    </w:p>
    <w:p>
      <w:pPr>
        <w:ind w:firstLine="482"/>
        <w:jc w:val="both"/>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4.2本次招标</w:t>
      </w:r>
      <w:r>
        <w:rPr>
          <w:rFonts w:hint="eastAsia" w:ascii="宋体" w:hAnsi="宋体" w:eastAsia="宋体" w:cs="宋体"/>
          <w:b w:val="0"/>
          <w:bCs/>
          <w:color w:val="auto"/>
          <w:sz w:val="24"/>
          <w:szCs w:val="24"/>
          <w:highlight w:val="none"/>
          <w:lang w:eastAsia="zh-CN"/>
        </w:rPr>
        <w:t xml:space="preserve">采购代理机构</w:t>
      </w:r>
      <w:r>
        <w:rPr>
          <w:rFonts w:hint="eastAsia" w:ascii="宋体" w:hAnsi="宋体" w:eastAsia="宋体" w:cs="宋体"/>
          <w:b w:val="0"/>
          <w:bCs/>
          <w:color w:val="auto"/>
          <w:sz w:val="24"/>
          <w:szCs w:val="24"/>
          <w:highlight w:val="none"/>
        </w:rPr>
        <w:t xml:space="preserve">和采购人不收取标书工本费。</w:t>
      </w:r>
      <w:r/>
    </w:p>
    <w:p>
      <w:pPr>
        <w:ind w:firstLine="482"/>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4.3中标服务费：</w:t>
      </w:r>
      <w:r>
        <w:rPr>
          <w:rFonts w:hint="eastAsia" w:ascii="宋体" w:hAnsi="宋体" w:eastAsia="宋体" w:cs="宋体"/>
          <w:b/>
          <w:bCs w:val="0"/>
          <w:color w:val="auto"/>
          <w:sz w:val="24"/>
          <w:szCs w:val="24"/>
          <w:highlight w:val="none"/>
        </w:rPr>
        <w:t xml:space="preserve">参照国家计委“苏招协〔2022〕2号文”（货物类）标准</w:t>
      </w:r>
      <w:r>
        <w:rPr>
          <w:rFonts w:hint="eastAsia" w:ascii="宋体" w:hAnsi="宋体" w:eastAsia="宋体" w:cs="宋体"/>
          <w:b/>
          <w:bCs w:val="0"/>
          <w:color w:val="auto"/>
          <w:sz w:val="24"/>
          <w:szCs w:val="24"/>
          <w:highlight w:val="none"/>
          <w:lang w:eastAsia="zh-CN"/>
        </w:rPr>
        <w:t xml:space="preserve">的</w:t>
      </w:r>
      <w:r>
        <w:rPr>
          <w:rFonts w:hint="eastAsia" w:ascii="宋体" w:hAnsi="宋体" w:eastAsia="宋体" w:cs="宋体"/>
          <w:b/>
          <w:bCs w:val="0"/>
          <w:color w:val="auto"/>
          <w:sz w:val="24"/>
          <w:szCs w:val="24"/>
          <w:highlight w:val="none"/>
          <w:lang w:val="en-US" w:eastAsia="zh-CN"/>
        </w:rPr>
        <w:t xml:space="preserve">60%</w:t>
      </w:r>
      <w:r>
        <w:rPr>
          <w:rFonts w:hint="eastAsia" w:ascii="宋体" w:hAnsi="宋体" w:eastAsia="宋体" w:cs="宋体"/>
          <w:b/>
          <w:bCs w:val="0"/>
          <w:color w:val="auto"/>
          <w:sz w:val="24"/>
          <w:szCs w:val="24"/>
          <w:highlight w:val="none"/>
        </w:rPr>
        <w:t xml:space="preserve">计取；此费用最终由中标人在领取中标通知书前一次性向采购代理机构支付，投标人须将此部分费用综合考虑在报价中，不得单列。</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5.招标文件的约束力</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二、招标文件</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6.招标文件构成</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7.招标文件的澄清</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8.招标文件的修改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三、投标文件的编制</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9.投标文件编写注意事项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10.投标文件的语言及度量衡单位</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11.投标文件构成</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12.证明投标人及投标标的符合招标文件规定的文件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12.2招标文件对证明文件无明确形式要求的，证明文件可以以文字资料、图纸和数据等形式提交。</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13.投标分项报价表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投标人应按照招标文件规定格式填报投标分项报价表。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投标货币。投标文件中的单价和总价无特殊规定的采用人民币报价，以元为单位标注。招标文件中另有规定的按规定执行。</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14.技术要求响应及偏离表、商务要求响应及偏离表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15.服务承诺、培训计划、人员安排及其他</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投标人需根据招标文件要求提供所投标的的主要组成部分、功能设计、实现思路及关键技术等。</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16.投标函和开标一览表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17.投标有效期</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四、投标文件的递交</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18.电子投标文件的递交</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19.投标截止时间</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20.投标文件的拒收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21.投标文件的撤回和修改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五、开标与评标</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jc w:val="both"/>
        <w:pageBreakBefore w:val="0"/>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采购代理机构</w:t>
      </w:r>
      <w:r>
        <w:rPr>
          <w:rFonts w:hint="eastAsia" w:ascii="宋体" w:hAnsi="宋体" w:eastAsia="宋体" w:cs="宋体"/>
          <w:b/>
          <w:bCs/>
          <w:color w:val="auto"/>
          <w:sz w:val="24"/>
          <w:szCs w:val="24"/>
          <w:highlight w:val="none"/>
        </w:rPr>
        <w:t xml:space="preserve">将在招标公告中规定的时间和地点组织公开开标。投标人应当按时参加开标活动，并在“苏采云”系统规定的时间内对投标文件进行解密。</w:t>
      </w:r>
      <w:r>
        <w:rPr>
          <w:b/>
          <w:bCs/>
        </w:rPr>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23.</w:t>
      </w:r>
      <w:r>
        <w:rPr>
          <w:rFonts w:hint="eastAsia" w:ascii="宋体" w:hAnsi="宋体" w:eastAsia="宋体" w:cs="宋体"/>
          <w:b/>
          <w:color w:val="auto"/>
          <w:sz w:val="24"/>
          <w:szCs w:val="24"/>
          <w:highlight w:val="none"/>
        </w:rPr>
        <w:t xml:space="preserve">评标委员会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将组织评委会进行评标。</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24.</w:t>
      </w:r>
      <w:r>
        <w:rPr>
          <w:rFonts w:hint="eastAsia" w:ascii="宋体" w:hAnsi="宋体" w:eastAsia="宋体" w:cs="宋体"/>
          <w:b/>
          <w:color w:val="auto"/>
          <w:sz w:val="24"/>
          <w:szCs w:val="24"/>
          <w:highlight w:val="none"/>
        </w:rPr>
        <w:t xml:space="preserve">评标过程的保密与公正</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25.</w:t>
      </w:r>
      <w:r>
        <w:rPr>
          <w:rFonts w:hint="eastAsia" w:ascii="宋体" w:hAnsi="宋体" w:eastAsia="宋体" w:cs="宋体"/>
          <w:b/>
          <w:color w:val="auto"/>
          <w:sz w:val="24"/>
          <w:szCs w:val="24"/>
          <w:highlight w:val="none"/>
        </w:rPr>
        <w:t xml:space="preserve">投标文件的澄清</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26.</w:t>
      </w:r>
      <w:r>
        <w:rPr>
          <w:rFonts w:hint="eastAsia" w:ascii="宋体" w:hAnsi="宋体" w:eastAsia="宋体" w:cs="宋体"/>
          <w:b/>
          <w:color w:val="auto"/>
          <w:sz w:val="24"/>
          <w:szCs w:val="24"/>
          <w:highlight w:val="none"/>
        </w:rPr>
        <w:t xml:space="preserve">对投标文件的初审</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26.1.3政府采购异常低价审查：</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（一）政府采购评审中出现下列情形之一的，评审委员会应当启动异常低价投标审查程序：</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1.投标报价低于全部通过符合性审查供应商投标报价平均值</w:t>
      </w:r>
      <w:r>
        <w:rPr>
          <w:rFonts w:hint="eastAsia" w:ascii="宋体" w:hAnsi="宋体" w:eastAsia="宋体" w:cs="宋体"/>
          <w:b/>
          <w:bCs w:val="0"/>
          <w:color w:val="auto"/>
          <w:sz w:val="24"/>
          <w:szCs w:val="24"/>
          <w:highlight w:val="none"/>
          <w:lang w:val="en-US" w:eastAsia="zh-CN"/>
        </w:rPr>
        <w:t xml:space="preserve">65</w:t>
      </w:r>
      <w:r>
        <w:rPr>
          <w:rFonts w:hint="eastAsia" w:ascii="宋体" w:hAnsi="宋体" w:eastAsia="宋体" w:cs="宋体"/>
          <w:b/>
          <w:bCs w:val="0"/>
          <w:color w:val="auto"/>
          <w:sz w:val="24"/>
          <w:szCs w:val="24"/>
          <w:highlight w:val="none"/>
        </w:rPr>
        <w:t xml:space="preserve">%的，即投标报价</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全部通过符合性审查供应商投标报价平均值×</w:t>
      </w:r>
      <w:r>
        <w:rPr>
          <w:rFonts w:hint="eastAsia" w:ascii="宋体" w:hAnsi="宋体" w:eastAsia="宋体" w:cs="宋体"/>
          <w:b/>
          <w:bCs w:val="0"/>
          <w:color w:val="auto"/>
          <w:sz w:val="24"/>
          <w:szCs w:val="24"/>
          <w:highlight w:val="none"/>
          <w:lang w:val="en-US" w:eastAsia="zh-CN"/>
        </w:rPr>
        <w:t xml:space="preserve">65</w:t>
      </w:r>
      <w:r>
        <w:rPr>
          <w:rFonts w:hint="eastAsia" w:ascii="宋体" w:hAnsi="宋体" w:eastAsia="宋体" w:cs="宋体"/>
          <w:b/>
          <w:bCs w:val="0"/>
          <w:color w:val="auto"/>
          <w:sz w:val="24"/>
          <w:szCs w:val="24"/>
          <w:highlight w:val="none"/>
        </w:rPr>
        <w:t xml:space="preserve">%；</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2.投标报价低于通过符合性审查的次低报价供应商投标报价</w:t>
      </w:r>
      <w:r>
        <w:rPr>
          <w:rFonts w:hint="eastAsia" w:ascii="宋体" w:hAnsi="宋体" w:eastAsia="宋体" w:cs="宋体"/>
          <w:b/>
          <w:bCs w:val="0"/>
          <w:color w:val="auto"/>
          <w:sz w:val="24"/>
          <w:szCs w:val="24"/>
          <w:highlight w:val="none"/>
          <w:lang w:val="en-US" w:eastAsia="zh-CN"/>
        </w:rPr>
        <w:t xml:space="preserve">65</w:t>
      </w:r>
      <w:r>
        <w:rPr>
          <w:rFonts w:hint="eastAsia" w:ascii="宋体" w:hAnsi="宋体" w:eastAsia="宋体" w:cs="宋体"/>
          <w:b/>
          <w:bCs w:val="0"/>
          <w:color w:val="auto"/>
          <w:sz w:val="24"/>
          <w:szCs w:val="24"/>
          <w:highlight w:val="none"/>
        </w:rPr>
        <w:t xml:space="preserve">%的，即投标报价</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通过符合性审查的次低报价供应商投标报价×</w:t>
      </w:r>
      <w:r>
        <w:rPr>
          <w:rFonts w:hint="eastAsia" w:ascii="宋体" w:hAnsi="宋体" w:eastAsia="宋体" w:cs="宋体"/>
          <w:b/>
          <w:bCs w:val="0"/>
          <w:color w:val="auto"/>
          <w:sz w:val="24"/>
          <w:szCs w:val="24"/>
          <w:highlight w:val="none"/>
          <w:lang w:val="en-US" w:eastAsia="zh-CN"/>
        </w:rPr>
        <w:t xml:space="preserve">65</w:t>
      </w:r>
      <w:r>
        <w:rPr>
          <w:rFonts w:hint="eastAsia" w:ascii="宋体" w:hAnsi="宋体" w:eastAsia="宋体" w:cs="宋体"/>
          <w:b/>
          <w:bCs w:val="0"/>
          <w:color w:val="auto"/>
          <w:sz w:val="24"/>
          <w:szCs w:val="24"/>
          <w:highlight w:val="none"/>
        </w:rPr>
        <w:t xml:space="preserve">%；</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3.投标报价低于采购项目最高限价</w:t>
      </w:r>
      <w:r>
        <w:rPr>
          <w:rFonts w:hint="eastAsia" w:ascii="宋体" w:hAnsi="宋体" w:eastAsia="宋体" w:cs="宋体"/>
          <w:b/>
          <w:bCs w:val="0"/>
          <w:color w:val="auto"/>
          <w:sz w:val="24"/>
          <w:szCs w:val="24"/>
          <w:highlight w:val="none"/>
          <w:lang w:val="en-US" w:eastAsia="zh-CN"/>
        </w:rPr>
        <w:t xml:space="preserve">65</w:t>
      </w:r>
      <w:r>
        <w:rPr>
          <w:rFonts w:hint="eastAsia" w:ascii="宋体" w:hAnsi="宋体" w:eastAsia="宋体" w:cs="宋体"/>
          <w:b/>
          <w:bCs w:val="0"/>
          <w:color w:val="auto"/>
          <w:sz w:val="24"/>
          <w:szCs w:val="24"/>
          <w:highlight w:val="none"/>
        </w:rPr>
        <w:t xml:space="preserve">%的，即投标报价</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采购项目最高限价×</w:t>
      </w:r>
      <w:r>
        <w:rPr>
          <w:rFonts w:hint="eastAsia" w:ascii="宋体" w:hAnsi="宋体" w:eastAsia="宋体" w:cs="宋体"/>
          <w:b/>
          <w:bCs w:val="0"/>
          <w:color w:val="auto"/>
          <w:sz w:val="24"/>
          <w:szCs w:val="24"/>
          <w:highlight w:val="none"/>
          <w:lang w:val="en-US" w:eastAsia="zh-CN"/>
        </w:rPr>
        <w:t xml:space="preserve">65</w:t>
      </w:r>
      <w:r>
        <w:rPr>
          <w:rFonts w:hint="eastAsia" w:ascii="宋体" w:hAnsi="宋体" w:eastAsia="宋体" w:cs="宋体"/>
          <w:b/>
          <w:bCs w:val="0"/>
          <w:color w:val="auto"/>
          <w:sz w:val="24"/>
          <w:szCs w:val="24"/>
          <w:highlight w:val="none"/>
        </w:rPr>
        <w:t xml:space="preserve">%；</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30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26.1.4</w:t>
      </w: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27.</w:t>
      </w:r>
      <w:r>
        <w:rPr>
          <w:rFonts w:hint="eastAsia" w:ascii="宋体" w:hAnsi="宋体" w:eastAsia="宋体" w:cs="宋体"/>
          <w:b/>
          <w:color w:val="auto"/>
          <w:sz w:val="24"/>
          <w:szCs w:val="24"/>
          <w:highlight w:val="none"/>
        </w:rPr>
        <w:t xml:space="preserve">无效投标条款和废标条款</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jc w:val="both"/>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六、定标</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28.</w:t>
      </w:r>
      <w:r>
        <w:rPr>
          <w:rFonts w:hint="eastAsia" w:ascii="宋体" w:hAnsi="宋体" w:eastAsia="宋体" w:cs="宋体"/>
          <w:b/>
          <w:color w:val="auto"/>
          <w:sz w:val="24"/>
          <w:szCs w:val="24"/>
          <w:highlight w:val="none"/>
        </w:rPr>
        <w:t xml:space="preserve">确定中标单位</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29.</w:t>
      </w:r>
      <w:r>
        <w:rPr>
          <w:rFonts w:hint="eastAsia" w:ascii="宋体" w:hAnsi="宋体" w:eastAsia="宋体" w:cs="宋体"/>
          <w:b/>
          <w:color w:val="auto"/>
          <w:sz w:val="24"/>
          <w:szCs w:val="24"/>
          <w:highlight w:val="none"/>
        </w:rPr>
        <w:t xml:space="preserve">中标通知书</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left="0" w:right="0" w:firstLine="480"/>
        <w:jc w:val="left"/>
        <w:pageBreakBefore w:val="0"/>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29.3</w:t>
      </w:r>
      <w:r>
        <w:rPr>
          <w:rFonts w:hint="eastAsia" w:ascii="宋体" w:hAnsi="宋体" w:eastAsia="宋体" w:cs="宋体"/>
          <w:b/>
          <w:bCs/>
          <w:color w:val="auto"/>
          <w:sz w:val="24"/>
          <w:szCs w:val="24"/>
          <w:highlight w:val="none"/>
        </w:rPr>
        <w:t xml:space="preserve">中标人应在中标后七个工作日内，向</w:t>
      </w:r>
      <w:r>
        <w:rPr>
          <w:rFonts w:hint="eastAsia" w:ascii="宋体" w:hAnsi="宋体" w:eastAsia="宋体" w:cs="宋体"/>
          <w:b/>
          <w:bCs/>
          <w:color w:val="auto"/>
          <w:sz w:val="24"/>
          <w:szCs w:val="24"/>
          <w:highlight w:val="none"/>
          <w:lang w:eastAsia="zh-CN"/>
        </w:rPr>
        <w:t xml:space="preserve">采购代理机构</w:t>
      </w:r>
      <w:r>
        <w:rPr>
          <w:rFonts w:hint="eastAsia" w:ascii="宋体" w:hAnsi="宋体" w:eastAsia="宋体" w:cs="宋体"/>
          <w:b/>
          <w:bCs/>
          <w:color w:val="auto"/>
          <w:sz w:val="24"/>
          <w:szCs w:val="24"/>
          <w:highlight w:val="none"/>
        </w:rPr>
        <w:t xml:space="preserve">各提供一份与电子投标文件一致的纸质打印胶装投标文件</w:t>
      </w:r>
      <w:r>
        <w:rPr>
          <w:rFonts w:hint="eastAsia" w:ascii="宋体" w:hAnsi="宋体" w:eastAsia="宋体" w:cs="宋体"/>
          <w:b/>
          <w:bCs/>
          <w:color w:val="auto"/>
          <w:sz w:val="24"/>
          <w:szCs w:val="24"/>
          <w:highlight w:val="none"/>
          <w:lang w:eastAsia="zh-CN"/>
        </w:rPr>
        <w:t xml:space="preserve">（一正三副）</w:t>
      </w:r>
      <w:r>
        <w:rPr>
          <w:rFonts w:hint="eastAsia" w:ascii="宋体" w:hAnsi="宋体" w:eastAsia="宋体" w:cs="宋体"/>
          <w:b/>
          <w:bCs/>
          <w:color w:val="auto"/>
          <w:sz w:val="24"/>
          <w:szCs w:val="24"/>
          <w:highlight w:val="none"/>
        </w:rPr>
        <w:t xml:space="preserve">，封面、骑缝需加盖公章。</w:t>
      </w:r>
      <w:r>
        <w:rPr>
          <w:b/>
          <w:bCs/>
        </w:rPr>
      </w:r>
      <w:r/>
    </w:p>
    <w:p>
      <w:pPr>
        <w:ind w:firstLine="480"/>
        <w:jc w:val="both"/>
        <w:pageBreakBefore w:val="0"/>
        <w:spacing w:line="30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七、授予合同</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30.</w:t>
      </w:r>
      <w:r>
        <w:rPr>
          <w:rFonts w:hint="eastAsia" w:ascii="宋体" w:hAnsi="宋体" w:eastAsia="宋体" w:cs="宋体"/>
          <w:b/>
          <w:color w:val="auto"/>
          <w:sz w:val="24"/>
          <w:szCs w:val="24"/>
          <w:highlight w:val="none"/>
        </w:rPr>
        <w:t xml:space="preserve">履约保证金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31.</w:t>
      </w:r>
      <w:r>
        <w:rPr>
          <w:rFonts w:hint="eastAsia" w:ascii="宋体" w:hAnsi="宋体" w:eastAsia="宋体" w:cs="宋体"/>
          <w:b/>
          <w:color w:val="auto"/>
          <w:sz w:val="24"/>
          <w:szCs w:val="24"/>
          <w:highlight w:val="none"/>
        </w:rPr>
        <w:t xml:space="preserve">合同签订及货物（包含与货物相关的服务）的追加</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32.</w:t>
      </w:r>
      <w:r>
        <w:rPr>
          <w:rFonts w:hint="eastAsia" w:ascii="宋体" w:hAnsi="宋体" w:eastAsia="宋体" w:cs="宋体"/>
          <w:b/>
          <w:color w:val="auto"/>
          <w:sz w:val="24"/>
          <w:szCs w:val="24"/>
          <w:highlight w:val="none"/>
        </w:rPr>
        <w:t xml:space="preserve">政府采购履约资金扶持政策</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八、询问与质疑</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33.</w:t>
      </w:r>
      <w:r>
        <w:rPr>
          <w:rFonts w:hint="eastAsia" w:ascii="宋体" w:hAnsi="宋体" w:eastAsia="宋体" w:cs="宋体"/>
          <w:b/>
          <w:color w:val="auto"/>
          <w:sz w:val="24"/>
          <w:szCs w:val="24"/>
          <w:highlight w:val="none"/>
        </w:rPr>
        <w:t xml:space="preserve">询问</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供应商对政府采购活动事项有疑问的，可以提出询问，采购人或者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应当告知供应商向采购人提出。</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34.</w:t>
      </w:r>
      <w:r>
        <w:rPr>
          <w:rFonts w:hint="eastAsia" w:ascii="宋体" w:hAnsi="宋体" w:eastAsia="宋体" w:cs="宋体"/>
          <w:b/>
          <w:color w:val="auto"/>
          <w:sz w:val="24"/>
          <w:szCs w:val="24"/>
          <w:highlight w:val="none"/>
        </w:rPr>
        <w:t xml:space="preserve">质疑提出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提出质疑的供应商应当是参与所质疑项目采购活动的供应商。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color w:val="auto"/>
          <w:sz w:val="24"/>
          <w:szCs w:val="24"/>
          <w:highlight w:val="none"/>
          <w:lang w:eastAsia="zh-CN"/>
        </w:rPr>
        <w:t xml:space="preserve">采购代理机构质疑</w:t>
      </w:r>
      <w:r>
        <w:rPr>
          <w:rFonts w:hint="eastAsia" w:ascii="宋体" w:hAnsi="宋体" w:eastAsia="宋体" w:cs="宋体"/>
          <w:color w:val="auto"/>
          <w:sz w:val="24"/>
          <w:szCs w:val="24"/>
          <w:highlight w:val="none"/>
        </w:rPr>
        <w:t xml:space="preserve">。</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质疑函的受理和答复</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以下情形的质疑不予受理</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未尽事宜，依照有关法律、法规执行。</w:t>
      </w:r>
      <w:r/>
    </w:p>
    <w:p>
      <w:pPr>
        <w:pStyle w:val="682"/>
        <w:jc w:val="both"/>
        <w:pageBreakBefore w:val="0"/>
        <w:spacing w:before="0" w:after="0" w:line="30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九、政府采购政策功能</w:t>
      </w:r>
      <w:r/>
    </w:p>
    <w:p>
      <w:pPr>
        <w:ind w:firstLine="482"/>
        <w:jc w:val="both"/>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37.</w:t>
      </w:r>
      <w:r>
        <w:rPr>
          <w:rFonts w:hint="eastAsia" w:ascii="宋体" w:hAnsi="宋体" w:eastAsia="宋体" w:cs="宋体"/>
          <w:b/>
          <w:color w:val="auto"/>
          <w:sz w:val="24"/>
          <w:szCs w:val="24"/>
          <w:highlight w:val="none"/>
        </w:rPr>
        <w:t xml:space="preserve">促进中小企业发展</w:t>
      </w:r>
      <w:r/>
    </w:p>
    <w:p>
      <w:pPr>
        <w:ind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政府采购促进中小企业发展管理办法〉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683"/>
        <w:ind w:left="0" w:right="0" w:firstLine="562"/>
        <w:jc w:val="left"/>
        <w:pageBreakBefore w:val="0"/>
        <w:spacing w:before="0" w:after="0"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38.采购本国产品的支持政策</w:t>
      </w:r>
      <w:r/>
    </w:p>
    <w:p>
      <w:pPr>
        <w:ind w:left="0" w:right="0" w:firstLine="480"/>
        <w:jc w:val="left"/>
        <w:pageBreakBefore w:val="0"/>
        <w:spacing w:line="30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供应商需按照招标文件的要求提供《关于符合本国产品标准的声明函》（以下简称《声明函》），如不提供将不享受本国产品价格评审优惠。</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683"/>
        <w:ind w:left="0" w:right="0" w:firstLine="562"/>
        <w:jc w:val="left"/>
        <w:pageBreakBefore w:val="0"/>
        <w:spacing w:before="0" w:after="0"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39.</w:t>
      </w:r>
      <w:r>
        <w:rPr>
          <w:rFonts w:hint="eastAsia" w:ascii="宋体" w:hAnsi="宋体" w:eastAsia="宋体" w:cs="宋体"/>
          <w:color w:val="auto"/>
          <w:sz w:val="24"/>
          <w:szCs w:val="24"/>
          <w:highlight w:val="none"/>
        </w:rPr>
        <w:t xml:space="preserve">支持绿色发展</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83"/>
        <w:ind w:left="0" w:right="0" w:firstLine="562"/>
        <w:jc w:val="left"/>
        <w:pageBreakBefore w:val="0"/>
        <w:spacing w:before="0" w:after="0"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政府采购需求标准</w:t>
      </w:r>
      <w:r/>
    </w:p>
    <w:p>
      <w:pPr>
        <w:ind w:left="0" w:right="0"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683"/>
        <w:ind w:left="0" w:right="0" w:firstLine="562"/>
        <w:jc w:val="left"/>
        <w:pageBreakBefore w:val="0"/>
        <w:spacing w:before="0" w:after="0"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41.解释权</w:t>
      </w:r>
      <w:r/>
    </w:p>
    <w:p>
      <w:pPr>
        <w:ind w:left="0" w:right="0" w:firstLine="482"/>
        <w:jc w:val="left"/>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本招标文件是参照《中华人民共和国政府采购法》、《中华人民共和国政府采购法实施条例》、《政府采购货物和服务招标投标管理办法》及相关法律法规编制，解释权属于采购人。</w:t>
      </w:r>
      <w:r/>
    </w:p>
    <w:p>
      <w:pPr>
        <w:ind w:left="0" w:right="0"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jc w:val="center"/>
        <w:widowControl/>
        <w:rPr>
          <w:rFonts w:ascii="黑体" w:hAnsi="黑体" w:eastAsia="黑体"/>
          <w:b w:val="0"/>
          <w:color w:val="auto"/>
          <w:sz w:val="44"/>
          <w:szCs w:val="44"/>
          <w:highlight w:val="none"/>
        </w:rPr>
      </w:pPr>
      <w:r/>
      <w:bookmarkStart w:id="45" w:name="_Toc3"/>
      <w:r>
        <w:rPr>
          <w:rFonts w:hint="eastAsia" w:ascii="黑体" w:hAnsi="黑体" w:eastAsia="黑体"/>
          <w:b w:val="0"/>
          <w:color w:val="auto"/>
          <w:sz w:val="44"/>
          <w:szCs w:val="44"/>
          <w:highlight w:val="none"/>
        </w:rPr>
        <w:t xml:space="preserve">第三章  合同文本</w:t>
      </w:r>
      <w:bookmarkEnd w:id="45"/>
      <w:r/>
      <w:r/>
    </w:p>
    <w:p>
      <w:pPr>
        <w:rPr>
          <w:color w:val="auto"/>
          <w:highlight w:val="none"/>
        </w:rPr>
      </w:pPr>
      <w:r>
        <w:rPr>
          <w:color w:val="auto"/>
          <w:highlight w:val="none"/>
        </w:rPr>
      </w:r>
      <w:r/>
    </w:p>
    <w:p>
      <w:pPr>
        <w:ind w:left="0" w:right="0" w:firstLine="0"/>
        <w:jc w:val="center"/>
        <w:keepLines w:val="0"/>
        <w:keepNext w:val="0"/>
        <w:pageBreakBefore w:val="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连云港市政府采购合同</w:t>
      </w:r>
      <w:r/>
    </w:p>
    <w:p>
      <w:pPr>
        <w:ind w:left="0" w:right="0" w:firstLine="643"/>
        <w:jc w:val="center"/>
        <w:keepLines w:val="0"/>
        <w:keepNext w:val="0"/>
        <w:pageBreakBefore w:val="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甲方：【采购单位】</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乙方：（卖方）_________</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甲、乙双方根据年月日</w:t>
      </w:r>
      <w:r>
        <w:rPr>
          <w:rFonts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项目名称</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项目（标段编号：</w:t>
      </w:r>
      <w:r>
        <w:rPr>
          <w:rFonts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项目</w:t>
      </w:r>
      <w:r>
        <w:rPr>
          <w:rFonts w:ascii="宋体" w:hAnsi="宋体" w:eastAsia="宋体" w:cs="宋体"/>
          <w:color w:val="auto"/>
          <w:sz w:val="24"/>
          <w:highlight w:val="none"/>
          <w:u w:val="single"/>
        </w:rPr>
        <w:t xml:space="preserve">编号】</w:t>
      </w:r>
      <w:r>
        <w:rPr>
          <w:rFonts w:ascii="宋体" w:hAnsi="宋体" w:eastAsia="宋体" w:cs="宋体"/>
          <w:color w:val="auto"/>
          <w:sz w:val="24"/>
          <w:highlight w:val="none"/>
        </w:rPr>
        <w:t xml:space="preserve">）的采购结果，签订本合同。</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一、货物内容</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 </w:t>
      </w:r>
      <w:r>
        <w:rPr>
          <w:rFonts w:ascii="宋体" w:hAnsi="宋体" w:eastAsia="宋体" w:cs="宋体"/>
          <w:color w:val="auto"/>
          <w:sz w:val="24"/>
          <w:highlight w:val="none"/>
        </w:rPr>
        <w:t xml:space="preserve">货物名称：</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1.2 </w:t>
      </w:r>
      <w:r>
        <w:rPr>
          <w:rFonts w:ascii="宋体" w:hAnsi="宋体" w:eastAsia="宋体" w:cs="宋体"/>
          <w:color w:val="auto"/>
          <w:sz w:val="24"/>
          <w:highlight w:val="none"/>
        </w:rPr>
        <w:t xml:space="preserve">型号规格：</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1.3 </w:t>
      </w:r>
      <w:r>
        <w:rPr>
          <w:rFonts w:ascii="宋体" w:hAnsi="宋体" w:eastAsia="宋体" w:cs="宋体"/>
          <w:color w:val="auto"/>
          <w:sz w:val="24"/>
          <w:highlight w:val="none"/>
        </w:rPr>
        <w:t xml:space="preserve">技术参数：</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1.4 </w:t>
      </w:r>
      <w:r>
        <w:rPr>
          <w:rFonts w:ascii="宋体" w:hAnsi="宋体" w:eastAsia="宋体" w:cs="宋体"/>
          <w:color w:val="auto"/>
          <w:sz w:val="24"/>
          <w:highlight w:val="none"/>
        </w:rPr>
        <w:t xml:space="preserve">数量（单位）：</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二、合同金额</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2.1 </w:t>
      </w:r>
      <w:r>
        <w:rPr>
          <w:rFonts w:ascii="宋体" w:hAnsi="宋体" w:eastAsia="宋体" w:cs="宋体"/>
          <w:color w:val="auto"/>
          <w:sz w:val="24"/>
          <w:highlight w:val="none"/>
        </w:rPr>
        <w:t xml:space="preserve">本合同金额为（大写）：</w:t>
      </w:r>
      <w:r>
        <w:rPr>
          <w:rFonts w:ascii="Times New Roman" w:hAnsi="Times New Roman" w:eastAsia="Times New Roman" w:cs="Times New Roman"/>
          <w:color w:val="auto"/>
          <w:sz w:val="24"/>
          <w:highlight w:val="none"/>
        </w:rPr>
        <w:t xml:space="preserve">_______________</w:t>
      </w:r>
      <w:r>
        <w:rPr>
          <w:rFonts w:ascii="宋体" w:hAnsi="宋体" w:eastAsia="宋体" w:cs="宋体"/>
          <w:color w:val="auto"/>
          <w:sz w:val="24"/>
          <w:highlight w:val="none"/>
        </w:rPr>
        <w:t xml:space="preserve">元（</w:t>
      </w:r>
      <w:r>
        <w:rPr>
          <w:rFonts w:ascii="Times New Roman" w:hAnsi="Times New Roman" w:eastAsia="Times New Roman" w:cs="Times New Roman"/>
          <w:color w:val="auto"/>
          <w:sz w:val="24"/>
          <w:highlight w:val="none"/>
        </w:rPr>
        <w:t xml:space="preserve">¥_____________</w:t>
      </w:r>
      <w:r>
        <w:rPr>
          <w:rFonts w:ascii="宋体" w:hAnsi="宋体" w:eastAsia="宋体" w:cs="宋体"/>
          <w:color w:val="auto"/>
          <w:sz w:val="24"/>
          <w:highlight w:val="none"/>
        </w:rPr>
        <w:t xml:space="preserve">）人民币。</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（详见投标报价表）</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三、技术资料</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3.1 </w:t>
      </w:r>
      <w:r>
        <w:rPr>
          <w:rFonts w:ascii="宋体" w:hAnsi="宋体" w:eastAsia="宋体" w:cs="宋体"/>
          <w:color w:val="auto"/>
          <w:sz w:val="24"/>
          <w:highlight w:val="none"/>
        </w:rPr>
        <w:t xml:space="preserve">乙方应按招标文件规定的时间向甲方提供使用货物的有关技术资料。</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3.2</w:t>
      </w:r>
      <w:r>
        <w:rPr>
          <w:rFonts w:ascii="宋体" w:hAnsi="宋体" w:eastAsia="宋体" w:cs="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四、知识产权</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4.1 </w:t>
      </w:r>
      <w:r>
        <w:rPr>
          <w:rFonts w:ascii="宋体" w:hAnsi="宋体" w:eastAsia="宋体" w:cs="宋体"/>
          <w:color w:val="auto"/>
          <w:sz w:val="24"/>
          <w:highlight w:val="none"/>
        </w:rPr>
        <w:t xml:space="preserve">乙方应保证所提供的货物或其任何一部分均不会侵犯任何第三方的专利权、商标权或著作权</w:t>
      </w:r>
      <w:r>
        <w:rPr>
          <w:rFonts w:ascii="宋体" w:hAnsi="宋体" w:eastAsia="宋体" w:cs="宋体"/>
          <w:b/>
          <w:color w:val="auto"/>
          <w:sz w:val="24"/>
          <w:highlight w:val="none"/>
        </w:rPr>
        <w:t xml:space="preserve">。</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五、无产权瑕疵条款</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5.1 </w:t>
      </w:r>
      <w:r>
        <w:rPr>
          <w:rFonts w:ascii="宋体" w:hAnsi="宋体" w:eastAsia="宋体" w:cs="宋体"/>
          <w:color w:val="auto"/>
          <w:sz w:val="24"/>
          <w:highlight w:val="none"/>
        </w:rPr>
        <w:t xml:space="preserve">乙方保证所交付的货物的所有权完全属于乙方且无任何抵押、查封等产权瑕疵。如乙方所交货物有产权瑕疵的，视为乙方违约，按照本合同第</w:t>
      </w:r>
      <w:r>
        <w:rPr>
          <w:rFonts w:ascii="Times New Roman" w:hAnsi="Times New Roman" w:eastAsia="Times New Roman" w:cs="Times New Roman"/>
          <w:color w:val="auto"/>
          <w:sz w:val="24"/>
          <w:highlight w:val="none"/>
        </w:rPr>
        <w:t xml:space="preserve">13</w:t>
      </w:r>
      <w:r>
        <w:rPr>
          <w:rFonts w:ascii="宋体" w:hAnsi="宋体" w:eastAsia="宋体" w:cs="宋体"/>
          <w:color w:val="auto"/>
          <w:sz w:val="24"/>
          <w:highlight w:val="none"/>
        </w:rPr>
        <w:t xml:space="preserve">条第</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款的约定处理。但在已经全部支付完合同款后才发现有产权瑕疵的，除了支付违约金，乙方还应负担由此而产生的一切损失。</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六、履约保证金</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本合同不收取履约保证金</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七、质保期</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7.1 </w:t>
      </w:r>
      <w:r>
        <w:rPr>
          <w:rFonts w:ascii="宋体" w:hAnsi="宋体" w:eastAsia="宋体" w:cs="宋体"/>
          <w:color w:val="auto"/>
          <w:sz w:val="24"/>
          <w:highlight w:val="none"/>
        </w:rPr>
        <w:t xml:space="preserve">质保期</w:t>
      </w:r>
      <w:r>
        <w:rPr>
          <w:rFonts w:hint="eastAsia" w:ascii="宋体" w:hAnsi="宋体" w:eastAsia="宋体" w:cs="宋体"/>
          <w:color w:val="auto"/>
          <w:sz w:val="24"/>
          <w:highlight w:val="none"/>
          <w:u w:val="single"/>
          <w:lang w:val="en-US" w:eastAsia="zh-CN"/>
        </w:rPr>
        <w:t xml:space="preserve">2</w:t>
      </w:r>
      <w:r>
        <w:rPr>
          <w:rFonts w:ascii="宋体" w:hAnsi="宋体" w:eastAsia="宋体" w:cs="宋体"/>
          <w:color w:val="auto"/>
          <w:sz w:val="24"/>
          <w:highlight w:val="none"/>
        </w:rPr>
        <w:t xml:space="preserve">年（自交货验收合格之日起计）。</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八、交货期、交货方式及交货地点</w:t>
      </w:r>
      <w:r/>
    </w:p>
    <w:p>
      <w:pPr>
        <w:ind w:firstLine="480"/>
        <w:keepLines w:val="0"/>
        <w:keepNext w:val="0"/>
        <w:pageBreakBefore w:val="0"/>
        <w:spacing w:line="288" w:lineRule="auto"/>
        <w:widowControl w:val="off"/>
        <w:rPr>
          <w:color w:val="auto"/>
          <w:highlight w:val="none"/>
        </w:rPr>
      </w:pPr>
      <w:r>
        <w:rPr>
          <w:rFonts w:ascii="Times New Roman" w:hAnsi="Times New Roman" w:eastAsia="Times New Roman" w:cs="Times New Roman"/>
          <w:color w:val="auto"/>
          <w:sz w:val="24"/>
          <w:highlight w:val="none"/>
        </w:rPr>
        <w:t xml:space="preserve">8.1 </w:t>
      </w:r>
      <w:r>
        <w:rPr>
          <w:rFonts w:ascii="宋体" w:hAnsi="宋体" w:eastAsia="宋体" w:cs="宋体"/>
          <w:color w:val="auto"/>
          <w:sz w:val="24"/>
          <w:highlight w:val="none"/>
        </w:rPr>
        <w:t xml:space="preserve">交货期：</w:t>
      </w:r>
      <w:r>
        <w:rPr>
          <w:rFonts w:hint="eastAsia" w:ascii="宋体" w:hAnsi="宋体" w:eastAsia="宋体"/>
          <w:b/>
          <w:bCs/>
          <w:color w:val="auto"/>
          <w:sz w:val="24"/>
          <w:szCs w:val="24"/>
          <w:highlight w:val="none"/>
          <w:lang w:eastAsia="zh-CN"/>
        </w:rPr>
        <w:t xml:space="preserve">自合同签订之日起</w:t>
      </w:r>
      <w:r>
        <w:rPr>
          <w:rFonts w:hint="eastAsia" w:ascii="宋体" w:hAnsi="宋体" w:eastAsia="宋体"/>
          <w:b/>
          <w:bCs/>
          <w:color w:val="auto"/>
          <w:sz w:val="24"/>
          <w:szCs w:val="24"/>
          <w:highlight w:val="none"/>
          <w:lang w:val="en-US" w:eastAsia="zh-CN"/>
        </w:rPr>
        <w:t xml:space="preserve">2</w:t>
      </w:r>
      <w:r>
        <w:rPr>
          <w:rFonts w:hint="eastAsia" w:ascii="宋体" w:hAnsi="宋体" w:eastAsia="宋体"/>
          <w:b/>
          <w:bCs/>
          <w:color w:val="auto"/>
          <w:sz w:val="24"/>
          <w:szCs w:val="24"/>
          <w:highlight w:val="none"/>
          <w:lang w:eastAsia="zh-CN"/>
        </w:rPr>
        <w:t xml:space="preserve">0日内完成供货、安装、调试、验收合格并交付使用。</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8.2 </w:t>
      </w:r>
      <w:r>
        <w:rPr>
          <w:rFonts w:ascii="宋体" w:hAnsi="宋体" w:eastAsia="宋体" w:cs="宋体"/>
          <w:color w:val="auto"/>
          <w:sz w:val="24"/>
          <w:highlight w:val="none"/>
        </w:rPr>
        <w:t xml:space="preserve">交货方式：现场验收。</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8.3 </w:t>
      </w:r>
      <w:r>
        <w:rPr>
          <w:rFonts w:ascii="宋体" w:hAnsi="宋体" w:eastAsia="宋体" w:cs="宋体"/>
          <w:color w:val="auto"/>
          <w:sz w:val="24"/>
          <w:highlight w:val="none"/>
        </w:rPr>
        <w:t xml:space="preserve">交货地点：</w:t>
      </w:r>
      <w:r>
        <w:rPr>
          <w:rFonts w:hint="eastAsia" w:ascii="宋体" w:hAnsi="宋体" w:eastAsia="宋体" w:cs="宋体"/>
          <w:color w:val="auto"/>
          <w:sz w:val="24"/>
          <w:highlight w:val="none"/>
          <w:lang w:val="en-US" w:eastAsia="zh-CN"/>
        </w:rPr>
        <w:t xml:space="preserve">采购人指定地点</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九、合同款支付</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9.1 </w:t>
      </w:r>
      <w:r>
        <w:rPr>
          <w:rFonts w:ascii="宋体" w:hAnsi="宋体" w:eastAsia="宋体" w:cs="宋体"/>
          <w:color w:val="auto"/>
          <w:sz w:val="24"/>
          <w:highlight w:val="none"/>
        </w:rPr>
        <w:t xml:space="preserve">付款方式：</w:t>
      </w:r>
      <w:r/>
    </w:p>
    <w:p>
      <w:pPr>
        <w:numPr>
          <w:ilvl w:val="0"/>
          <w:numId w:val="0"/>
        </w:numPr>
        <w:ind w:firstLine="480"/>
        <w:jc w:val="left"/>
        <w:keepLines w:val="0"/>
        <w:keepNext w:val="0"/>
        <w:pageBreakBefore w:val="0"/>
        <w:spacing w:line="288" w:lineRule="auto"/>
        <w:rPr>
          <w:rFonts w:hint="eastAsia" w:ascii="宋体" w:hAnsi="宋体" w:eastAsia="宋体" w:cs="Times New Roman"/>
          <w:b w:val="0"/>
          <w:bCs w:val="0"/>
          <w:i w:val="0"/>
          <w:iCs w:val="0"/>
          <w:color w:val="auto"/>
          <w:sz w:val="24"/>
          <w:szCs w:val="24"/>
          <w:highlight w:val="none"/>
          <w:u w:val="none"/>
          <w:lang w:val="en-US" w:eastAsia="zh-CN"/>
        </w:rPr>
      </w:pPr>
      <w:r>
        <w:rPr>
          <w:rFonts w:hint="eastAsia" w:ascii="宋体" w:hAnsi="宋体" w:eastAsia="宋体" w:cs="Times New Roman"/>
          <w:b w:val="0"/>
          <w:bCs w:val="0"/>
          <w:i w:val="0"/>
          <w:iCs w:val="0"/>
          <w:color w:val="auto"/>
          <w:sz w:val="24"/>
          <w:szCs w:val="24"/>
          <w:highlight w:val="none"/>
          <w:u w:val="none"/>
          <w:lang w:val="en-US" w:eastAsia="zh-CN"/>
        </w:rPr>
        <w:t xml:space="preserve">合同签订后，支付合同金额的</w:t>
      </w:r>
      <w:r>
        <w:rPr>
          <w:rFonts w:hint="eastAsia" w:ascii="宋体" w:hAnsi="宋体" w:cs="Times New Roman"/>
          <w:b w:val="0"/>
          <w:bCs w:val="0"/>
          <w:i w:val="0"/>
          <w:iCs w:val="0"/>
          <w:color w:val="auto"/>
          <w:sz w:val="24"/>
          <w:szCs w:val="24"/>
          <w:highlight w:val="none"/>
          <w:u w:val="none"/>
          <w:lang w:val="en-US" w:eastAsia="zh-CN"/>
        </w:rPr>
        <w:t xml:space="preserve">3</w:t>
      </w:r>
      <w:r>
        <w:rPr>
          <w:rFonts w:hint="eastAsia" w:ascii="宋体" w:hAnsi="宋体" w:eastAsia="宋体" w:cs="Times New Roman"/>
          <w:b w:val="0"/>
          <w:bCs w:val="0"/>
          <w:i w:val="0"/>
          <w:iCs w:val="0"/>
          <w:color w:val="auto"/>
          <w:sz w:val="24"/>
          <w:szCs w:val="24"/>
          <w:highlight w:val="none"/>
          <w:u w:val="none"/>
          <w:lang w:val="en-US" w:eastAsia="zh-CN"/>
        </w:rPr>
        <w:t xml:space="preserve">0%</w:t>
      </w:r>
      <w:r>
        <w:rPr>
          <w:rFonts w:hint="eastAsia" w:ascii="宋体" w:hAnsi="宋体" w:cs="Times New Roman"/>
          <w:b w:val="0"/>
          <w:bCs w:val="0"/>
          <w:i w:val="0"/>
          <w:iCs w:val="0"/>
          <w:color w:val="auto"/>
          <w:sz w:val="24"/>
          <w:szCs w:val="24"/>
          <w:highlight w:val="none"/>
          <w:u w:val="none"/>
          <w:lang w:val="en-US" w:eastAsia="zh-CN"/>
        </w:rPr>
        <w:t xml:space="preserve">作为预付款</w:t>
      </w:r>
      <w:r>
        <w:rPr>
          <w:rFonts w:hint="eastAsia" w:ascii="宋体" w:hAnsi="宋体" w:eastAsia="宋体" w:cs="Times New Roman"/>
          <w:b w:val="0"/>
          <w:bCs w:val="0"/>
          <w:i w:val="0"/>
          <w:iCs w:val="0"/>
          <w:color w:val="auto"/>
          <w:sz w:val="24"/>
          <w:szCs w:val="24"/>
          <w:highlight w:val="none"/>
          <w:u w:val="none"/>
          <w:lang w:val="en-US" w:eastAsia="zh-CN"/>
        </w:rPr>
        <w:t xml:space="preserve">，全部货物运抵合同指定地点并经买方初步验收合格后，支付至合同总价的80%（即再付50%）</w:t>
      </w:r>
      <w:r>
        <w:rPr>
          <w:rFonts w:hint="eastAsia" w:ascii="宋体" w:hAnsi="宋体" w:cs="Times New Roman"/>
          <w:b w:val="0"/>
          <w:bCs w:val="0"/>
          <w:i w:val="0"/>
          <w:iCs w:val="0"/>
          <w:color w:val="auto"/>
          <w:sz w:val="24"/>
          <w:szCs w:val="24"/>
          <w:highlight w:val="none"/>
          <w:u w:val="none"/>
          <w:lang w:val="en-US" w:eastAsia="zh-CN"/>
        </w:rPr>
        <w:t xml:space="preserve">，全部货物安装调试完毕，经</w:t>
      </w:r>
      <w:r>
        <w:rPr>
          <w:rFonts w:ascii="宋体" w:hAnsi="宋体" w:cs="Courier New"/>
          <w:color w:val="auto"/>
          <w:sz w:val="24"/>
          <w:szCs w:val="24"/>
          <w:highlight w:val="none"/>
        </w:rPr>
        <w:t xml:space="preserve">甲</w:t>
      </w:r>
      <w:r>
        <w:rPr>
          <w:rFonts w:hint="eastAsia" w:ascii="宋体" w:hAnsi="宋体" w:cs="Times New Roman"/>
          <w:b w:val="0"/>
          <w:bCs w:val="0"/>
          <w:i w:val="0"/>
          <w:iCs w:val="0"/>
          <w:color w:val="auto"/>
          <w:sz w:val="24"/>
          <w:szCs w:val="24"/>
          <w:highlight w:val="none"/>
          <w:u w:val="none"/>
          <w:lang w:val="en-US" w:eastAsia="zh-CN"/>
        </w:rPr>
        <w:t xml:space="preserve">方最终验收合格支付至结算总价的100%（即再付20%）。</w:t>
      </w:r>
      <w:r/>
    </w:p>
    <w:p>
      <w:pPr>
        <w:ind w:firstLine="482"/>
        <w:jc w:val="left"/>
        <w:keepLines w:val="0"/>
        <w:keepNext w:val="0"/>
        <w:pageBreakBefore w:val="0"/>
        <w:spacing w:line="288" w:lineRule="auto"/>
        <w:widowControl/>
        <w:rPr>
          <w:rFonts w:hint="eastAsia" w:ascii="宋体" w:hAnsi="宋体" w:eastAsia="宋体" w:cs="Times New Roman"/>
          <w:b w:val="0"/>
          <w:bCs w:val="0"/>
          <w:i w:val="0"/>
          <w:iCs w:val="0"/>
          <w:color w:val="auto"/>
          <w:sz w:val="24"/>
          <w:szCs w:val="24"/>
          <w:highlight w:val="none"/>
          <w:u w:val="none"/>
          <w:lang w:val="en-US" w:eastAsia="zh-CN"/>
        </w:rPr>
      </w:pPr>
      <w:r>
        <w:rPr>
          <w:rFonts w:hint="eastAsia" w:ascii="宋体" w:hAnsi="宋体" w:eastAsia="宋体" w:cs="宋体"/>
          <w:b/>
          <w:bCs w:val="0"/>
          <w:color w:val="auto"/>
          <w:sz w:val="24"/>
          <w:szCs w:val="24"/>
          <w:highlight w:val="none"/>
          <w:lang w:val="en-US" w:eastAsia="zh-CN"/>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9.2 </w:t>
      </w:r>
      <w:r>
        <w:rPr>
          <w:rFonts w:ascii="宋体" w:hAnsi="宋体" w:eastAsia="宋体" w:cs="宋体"/>
          <w:color w:val="auto"/>
          <w:sz w:val="24"/>
          <w:highlight w:val="none"/>
        </w:rPr>
        <w:t xml:space="preserve">当采购数量与实际使用数量不一致时，乙方根据实际使用量提供产品和服务，合同的最终结算金额按实际使用量乘以中标单价进行计算。</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十、质量保证及售后服务</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10.1 </w:t>
      </w:r>
      <w:r>
        <w:rPr>
          <w:rFonts w:ascii="宋体" w:hAnsi="宋体" w:eastAsia="宋体" w:cs="宋体"/>
          <w:color w:val="auto"/>
          <w:sz w:val="24"/>
          <w:highlight w:val="none"/>
        </w:rPr>
        <w:t xml:space="preserve">乙方应按招标文件规定的货物性能、技术要求、质量标准向甲方提供未经使用的全新产品。</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10.2 </w:t>
      </w:r>
      <w:r>
        <w:rPr>
          <w:rFonts w:ascii="宋体" w:hAnsi="宋体" w:eastAsia="宋体" w:cs="宋体"/>
          <w:color w:val="auto"/>
          <w:sz w:val="24"/>
          <w:highlight w:val="none"/>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）更换：由乙方承担所发生的全部费用。</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）贬值处理：由甲乙双方合议定价。</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）退货处理：乙方应退还甲方支付的合同款，同时应承担该货物的直接费用（运输、保险、检验、合同款利息及银行手续费等）。</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10.3 </w:t>
      </w:r>
      <w:r>
        <w:rPr>
          <w:rFonts w:ascii="宋体" w:hAnsi="宋体" w:eastAsia="宋体" w:cs="宋体"/>
          <w:color w:val="auto"/>
          <w:sz w:val="24"/>
          <w:highlight w:val="none"/>
        </w:rPr>
        <w:t xml:space="preserve">测试要求：乙方安装后现场测试，提供测试报告，甲方验收签字确认。</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十一、调试和验收</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11.1 </w:t>
      </w:r>
      <w:r>
        <w:rPr>
          <w:rFonts w:ascii="宋体" w:hAnsi="宋体" w:eastAsia="宋体" w:cs="宋体"/>
          <w:color w:val="auto"/>
          <w:sz w:val="24"/>
          <w:highlight w:val="none"/>
        </w:rPr>
        <w:t xml:space="preserve">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11.2 </w:t>
      </w:r>
      <w:r>
        <w:rPr>
          <w:rFonts w:ascii="宋体" w:hAnsi="宋体" w:eastAsia="宋体" w:cs="宋体"/>
          <w:color w:val="auto"/>
          <w:sz w:val="24"/>
          <w:highlight w:val="none"/>
        </w:rPr>
        <w:t xml:space="preserve">乙方交货前应对产品作出全面检查和对验收文件进行整理，并列出清单，作为甲方收货验收和使用的技术条件依据，检验的结果应随货物交甲方。</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11.3 </w:t>
      </w:r>
      <w:r>
        <w:rPr>
          <w:rFonts w:ascii="宋体" w:hAnsi="宋体" w:eastAsia="宋体" w:cs="宋体"/>
          <w:color w:val="auto"/>
          <w:sz w:val="24"/>
          <w:highlight w:val="none"/>
        </w:rPr>
        <w:t xml:space="preserve">甲方对乙方提供的货物在使用前进行调试时，乙方需负责安装并培训甲方的使用操作人员，并协助甲方一起调试，直到符合技术要求，甲方才做最终验收。</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11.4 </w:t>
      </w:r>
      <w:r>
        <w:rPr>
          <w:rFonts w:ascii="宋体" w:hAnsi="宋体" w:eastAsia="宋体" w:cs="宋体"/>
          <w:color w:val="auto"/>
          <w:sz w:val="24"/>
          <w:highlight w:val="none"/>
        </w:rPr>
        <w:t xml:space="preserve">验收时乙方必须在现场，验收完毕后作出验收结果报告；安装调试费用由中标供应商负责。</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11.5 </w:t>
      </w:r>
      <w:r>
        <w:rPr>
          <w:rFonts w:ascii="宋体" w:hAnsi="宋体" w:eastAsia="宋体" w:cs="宋体"/>
          <w:color w:val="auto"/>
          <w:sz w:val="24"/>
          <w:highlight w:val="none"/>
        </w:rPr>
        <w:t xml:space="preserve">对技术复杂的项目，甲方可组织有关部门和专家进行验收，并出具验收报告，相关费用由甲乙双方协商解决。</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十二、货物包装、发运及运输</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12.1 </w:t>
      </w:r>
      <w:r>
        <w:rPr>
          <w:rFonts w:ascii="宋体" w:hAnsi="宋体" w:eastAsia="宋体" w:cs="宋体"/>
          <w:color w:val="auto"/>
          <w:sz w:val="24"/>
          <w:highlight w:val="none"/>
        </w:rPr>
        <w:t xml:space="preserve">乙方应在货物发运前对其进行满足运输距离、防潮、防震、防锈和防破损装卸等要求包装，以保证货物安全运达甲方指定地点。</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12.2 </w:t>
      </w:r>
      <w:r>
        <w:rPr>
          <w:rFonts w:ascii="宋体" w:hAnsi="宋体" w:eastAsia="宋体" w:cs="宋体"/>
          <w:color w:val="auto"/>
          <w:sz w:val="24"/>
          <w:highlight w:val="none"/>
        </w:rPr>
        <w:t xml:space="preserve">使用说明书、质量检验证明书、随配附件和工具以及清单一并附于货物内。</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12.3 </w:t>
      </w:r>
      <w:r>
        <w:rPr>
          <w:rFonts w:ascii="宋体" w:hAnsi="宋体" w:eastAsia="宋体" w:cs="宋体"/>
          <w:color w:val="auto"/>
          <w:sz w:val="24"/>
          <w:highlight w:val="none"/>
        </w:rPr>
        <w:t xml:space="preserve">乙方在货物发运手续办理完毕后</w:t>
      </w:r>
      <w:r>
        <w:rPr>
          <w:rFonts w:ascii="Times New Roman" w:hAnsi="Times New Roman" w:eastAsia="Times New Roman" w:cs="Times New Roman"/>
          <w:color w:val="auto"/>
          <w:sz w:val="24"/>
          <w:highlight w:val="none"/>
        </w:rPr>
        <w:t xml:space="preserve">24</w:t>
      </w:r>
      <w:r>
        <w:rPr>
          <w:rFonts w:ascii="宋体" w:hAnsi="宋体" w:eastAsia="宋体" w:cs="宋体"/>
          <w:color w:val="auto"/>
          <w:sz w:val="24"/>
          <w:highlight w:val="none"/>
        </w:rPr>
        <w:t xml:space="preserve">小时内或货到甲方</w:t>
      </w:r>
      <w:r>
        <w:rPr>
          <w:rFonts w:ascii="Times New Roman" w:hAnsi="Times New Roman" w:eastAsia="Times New Roman" w:cs="Times New Roman"/>
          <w:color w:val="auto"/>
          <w:sz w:val="24"/>
          <w:highlight w:val="none"/>
        </w:rPr>
        <w:t xml:space="preserve">48</w:t>
      </w:r>
      <w:r>
        <w:rPr>
          <w:rFonts w:ascii="宋体" w:hAnsi="宋体" w:eastAsia="宋体" w:cs="宋体"/>
          <w:color w:val="auto"/>
          <w:sz w:val="24"/>
          <w:highlight w:val="none"/>
        </w:rPr>
        <w:t xml:space="preserve">小时前通知甲方，以准备接货。</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12.4 </w:t>
      </w:r>
      <w:r>
        <w:rPr>
          <w:rFonts w:ascii="宋体" w:hAnsi="宋体" w:eastAsia="宋体" w:cs="宋体"/>
          <w:color w:val="auto"/>
          <w:sz w:val="24"/>
          <w:highlight w:val="none"/>
        </w:rPr>
        <w:t xml:space="preserve">货物在交付甲方前发生的风险均由乙方负责。</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12.5 </w:t>
      </w:r>
      <w:r>
        <w:rPr>
          <w:rFonts w:ascii="宋体" w:hAnsi="宋体" w:eastAsia="宋体" w:cs="宋体"/>
          <w:color w:val="auto"/>
          <w:sz w:val="24"/>
          <w:highlight w:val="none"/>
        </w:rPr>
        <w:t xml:space="preserve">货物在规定的交付期限内由乙方送达甲方指定的地点视为交付，乙方同时需通知甲方货物已送达。</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十三、违约责任</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13.1 </w:t>
      </w:r>
      <w:r>
        <w:rPr>
          <w:rFonts w:ascii="宋体" w:hAnsi="宋体" w:eastAsia="宋体" w:cs="宋体"/>
          <w:color w:val="auto"/>
          <w:sz w:val="24"/>
          <w:highlight w:val="none"/>
        </w:rPr>
        <w:t xml:space="preserve">甲方无正当理由拒收货物的，甲方向乙方偿付拒收合同款总值的百分之五违约金。</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13.2 </w:t>
      </w:r>
      <w:r>
        <w:rPr>
          <w:rFonts w:ascii="宋体" w:hAnsi="宋体" w:eastAsia="宋体" w:cs="宋体"/>
          <w:color w:val="auto"/>
          <w:sz w:val="24"/>
          <w:highlight w:val="none"/>
        </w:rPr>
        <w:t xml:space="preserve">乙方逾期交付货物的，乙方应按逾期交货总额每日千分之五向甲方支付违约金，由甲方从待付合同款中扣除。逾期超过约定日期</w:t>
      </w:r>
      <w:r>
        <w:rPr>
          <w:rFonts w:ascii="Times New Roman" w:hAnsi="Times New Roman" w:eastAsia="Times New Roman" w:cs="Times New Roman"/>
          <w:color w:val="auto"/>
          <w:sz w:val="24"/>
          <w:highlight w:val="none"/>
        </w:rPr>
        <w:t xml:space="preserve">10</w:t>
      </w:r>
      <w:r>
        <w:rPr>
          <w:rFonts w:ascii="宋体" w:hAnsi="宋体" w:eastAsia="宋体" w:cs="宋体"/>
          <w:color w:val="auto"/>
          <w:sz w:val="24"/>
          <w:highlight w:val="none"/>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auto"/>
          <w:sz w:val="24"/>
          <w:highlight w:val="none"/>
        </w:rPr>
        <w:t xml:space="preserve">5%</w:t>
      </w:r>
      <w:r>
        <w:rPr>
          <w:rFonts w:ascii="宋体" w:hAnsi="宋体" w:eastAsia="宋体" w:cs="宋体"/>
          <w:color w:val="auto"/>
          <w:sz w:val="24"/>
          <w:highlight w:val="none"/>
        </w:rPr>
        <w:t xml:space="preserve">的违约金，如造成甲方损失超过违约金的，超出部分由乙方继续承担赔偿责任。 </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13.3 </w:t>
      </w:r>
      <w:r>
        <w:rPr>
          <w:rFonts w:ascii="宋体" w:hAnsi="宋体" w:eastAsia="宋体" w:cs="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十四、不可抗力事件处理</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14.1 </w:t>
      </w:r>
      <w:r>
        <w:rPr>
          <w:rFonts w:ascii="宋体" w:hAnsi="宋体" w:eastAsia="宋体" w:cs="宋体"/>
          <w:color w:val="auto"/>
          <w:sz w:val="24"/>
          <w:highlight w:val="none"/>
        </w:rPr>
        <w:t xml:space="preserve">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14.2 </w:t>
      </w:r>
      <w:r>
        <w:rPr>
          <w:rFonts w:ascii="宋体" w:hAnsi="宋体" w:eastAsia="宋体" w:cs="宋体"/>
          <w:color w:val="auto"/>
          <w:sz w:val="24"/>
          <w:highlight w:val="none"/>
        </w:rPr>
        <w:t xml:space="preserve">不可抗力事件发生后，应立即通知对方，并寄送有关权威机构出具的证明。</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14.3 </w:t>
      </w:r>
      <w:r>
        <w:rPr>
          <w:rFonts w:ascii="宋体" w:hAnsi="宋体" w:eastAsia="宋体" w:cs="宋体"/>
          <w:color w:val="auto"/>
          <w:sz w:val="24"/>
          <w:highlight w:val="none"/>
        </w:rPr>
        <w:t xml:space="preserve">不可抗力事件延续</w:t>
      </w:r>
      <w:r>
        <w:rPr>
          <w:rFonts w:ascii="Times New Roman" w:hAnsi="Times New Roman" w:eastAsia="Times New Roman" w:cs="Times New Roman"/>
          <w:color w:val="auto"/>
          <w:sz w:val="24"/>
          <w:highlight w:val="none"/>
        </w:rPr>
        <w:t xml:space="preserve">120</w:t>
      </w:r>
      <w:r>
        <w:rPr>
          <w:rFonts w:ascii="宋体" w:hAnsi="宋体" w:eastAsia="宋体" w:cs="宋体"/>
          <w:color w:val="auto"/>
          <w:sz w:val="24"/>
          <w:highlight w:val="none"/>
        </w:rPr>
        <w:t xml:space="preserve">天以上，双方应通过友好协商，确定是否继续履行合同。</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14.4 </w:t>
      </w:r>
      <w:r>
        <w:rPr>
          <w:rFonts w:ascii="宋体" w:hAnsi="宋体" w:eastAsia="宋体" w:cs="宋体"/>
          <w:color w:val="auto"/>
          <w:sz w:val="24"/>
          <w:highlight w:val="none"/>
        </w:rPr>
        <w:t xml:space="preserve">视为不可抗力的其他情形：国家贸易政策变化。</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十五、争议解决</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15.1 </w:t>
      </w:r>
      <w:r>
        <w:rPr>
          <w:rFonts w:ascii="宋体" w:hAnsi="宋体" w:eastAsia="宋体" w:cs="宋体"/>
          <w:color w:val="auto"/>
          <w:sz w:val="24"/>
          <w:highlight w:val="none"/>
        </w:rPr>
        <w:t xml:space="preserve">双方在执行合同中所发生的一切争议，应通过协商解决。如协商不成，按下列第</w:t>
      </w:r>
      <w:r>
        <w:rPr>
          <w:rFonts w:ascii="宋体" w:hAnsi="宋体" w:eastAsia="宋体" w:cs="宋体"/>
          <w:color w:val="auto"/>
          <w:sz w:val="24"/>
          <w:highlight w:val="none"/>
          <w:u w:val="single"/>
        </w:rPr>
        <w:t xml:space="preserve">（</w:t>
      </w:r>
      <w:r>
        <w:rPr>
          <w:rFonts w:ascii="Times New Roman" w:hAnsi="Times New Roman" w:eastAsia="Times New Roman" w:cs="Times New Roman"/>
          <w:color w:val="auto"/>
          <w:sz w:val="24"/>
          <w:highlight w:val="none"/>
          <w:u w:val="single"/>
        </w:rPr>
        <w:t xml:space="preserve">2</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种方式解决：</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）向连云港仲裁委员会申请仲裁。</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）向合同签订地法院起诉，合同签订地在此约定为连云港市连云区。</w:t>
      </w:r>
      <w:r/>
    </w:p>
    <w:p>
      <w:pPr>
        <w:ind w:left="0" w:right="0" w:firstLine="482"/>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十六、合同生效及其它</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16.1 </w:t>
      </w:r>
      <w:r>
        <w:rPr>
          <w:rFonts w:ascii="宋体" w:hAnsi="宋体" w:eastAsia="宋体" w:cs="宋体"/>
          <w:color w:val="auto"/>
          <w:sz w:val="24"/>
          <w:highlight w:val="none"/>
        </w:rPr>
        <w:t xml:space="preserve">合同经双方法定代表人或授权委托代理人签字并加盖单位公章后生效。</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16.2 </w:t>
      </w:r>
      <w:r>
        <w:rPr>
          <w:rFonts w:ascii="宋体" w:hAnsi="宋体" w:eastAsia="宋体" w:cs="宋体"/>
          <w:color w:val="auto"/>
          <w:sz w:val="24"/>
          <w:highlight w:val="none"/>
        </w:rPr>
        <w:t xml:space="preserve">下述合同附件为本合同不可分割的部分并与本合同具有同等效力：</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）供货清单和分项价格表</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）技术规格</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）乙方报价函的内容及其澄清内容</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4</w:t>
      </w:r>
      <w:r>
        <w:rPr>
          <w:rFonts w:ascii="宋体" w:hAnsi="宋体" w:eastAsia="宋体" w:cs="宋体"/>
          <w:color w:val="auto"/>
          <w:sz w:val="24"/>
          <w:highlight w:val="none"/>
        </w:rPr>
        <w:t xml:space="preserve">）其他与本合同相关的资料</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5</w:t>
      </w:r>
      <w:r>
        <w:rPr>
          <w:rFonts w:ascii="宋体" w:hAnsi="宋体" w:eastAsia="宋体" w:cs="宋体"/>
          <w:color w:val="auto"/>
          <w:sz w:val="24"/>
          <w:highlight w:val="none"/>
        </w:rPr>
        <w:t xml:space="preserve">）本合同适用的特殊条款</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16.3 </w:t>
      </w:r>
      <w:r>
        <w:rPr>
          <w:rFonts w:ascii="宋体" w:hAnsi="宋体" w:eastAsia="宋体" w:cs="宋体"/>
          <w:color w:val="auto"/>
          <w:sz w:val="24"/>
          <w:highlight w:val="none"/>
        </w:rPr>
        <w:t xml:space="preserve">本合同未尽事宜，遵照《中华人民共和国民法典》有关条文执行。</w:t>
      </w:r>
      <w:r/>
    </w:p>
    <w:p>
      <w:pPr>
        <w:ind w:left="0" w:right="0" w:firstLine="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16.4 </w:t>
      </w:r>
      <w:r>
        <w:rPr>
          <w:rFonts w:ascii="宋体" w:hAnsi="宋体" w:eastAsia="宋体" w:cs="宋体"/>
          <w:color w:val="auto"/>
          <w:sz w:val="24"/>
          <w:highlight w:val="none"/>
        </w:rPr>
        <w:t xml:space="preserve">改成本合同正本一式四份，具有同等法律效力，甲乙双方各执两份。</w:t>
      </w:r>
      <w:r/>
    </w:p>
    <w:p>
      <w:pPr>
        <w:ind w:left="480" w:right="0" w:hanging="480"/>
        <w:jc w:val="both"/>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36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乙方：</w:t>
      </w:r>
      <w:r/>
    </w:p>
    <w:p>
      <w:pPr>
        <w:ind w:left="0" w:right="0" w:firstLine="48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地址：</w:t>
      </w:r>
      <w:r/>
    </w:p>
    <w:p>
      <w:pPr>
        <w:ind w:left="0" w:right="0" w:firstLine="48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法定代表人：</w:t>
      </w:r>
      <w:r/>
    </w:p>
    <w:p>
      <w:pPr>
        <w:ind w:left="0" w:right="0" w:firstLine="48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委托代理人：</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委托代理人：</w:t>
      </w:r>
      <w:r/>
    </w:p>
    <w:p>
      <w:pPr>
        <w:ind w:left="0" w:right="0" w:firstLine="48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电话：</w:t>
      </w:r>
      <w:r/>
    </w:p>
    <w:p>
      <w:pPr>
        <w:ind w:right="0" w:firstLine="4080"/>
        <w:keepLines w:val="0"/>
        <w:keepNext w:val="0"/>
        <w:pageBreakBefore w:val="0"/>
        <w:spacing w:before="0" w:after="0" w:line="288"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签订日期：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firstLine="480"/>
        <w:keepLines w:val="0"/>
        <w:keepNext w:val="0"/>
        <w:pageBreakBefore w:val="0"/>
        <w:spacing w:line="336" w:lineRule="auto"/>
        <w:widowControl w:val="off"/>
        <w:rPr>
          <w:rFonts w:hint="eastAsia" w:ascii="宋体" w:hAnsi="Courier New" w:cs="Courier New"/>
          <w:color w:val="auto"/>
          <w:szCs w:val="21"/>
          <w:highlight w:val="none"/>
        </w:rPr>
      </w:pPr>
      <w:r>
        <w:rPr>
          <w:rFonts w:hint="eastAsia" w:ascii="宋体" w:hAnsi="宋体" w:cs="Courier New"/>
          <w:color w:val="auto"/>
          <w:sz w:val="24"/>
          <w:szCs w:val="24"/>
          <w:highlight w:val="none"/>
        </w:rPr>
        <w:t xml:space="preserve">  </w:t>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Courier New" w:cs="Courier New"/>
          <w:color w:val="auto"/>
          <w:szCs w:val="21"/>
          <w:highlight w:val="none"/>
        </w:rPr>
        <w:t xml:space="preserve">                 </w:t>
      </w:r>
      <w:r>
        <w:rPr>
          <w:rFonts w:hint="eastAsia" w:ascii="宋体" w:hAnsi="宋体" w:cs="Courier New"/>
          <w:color w:val="auto"/>
          <w:sz w:val="24"/>
          <w:szCs w:val="24"/>
          <w:highlight w:val="none"/>
        </w:rPr>
        <w:t xml:space="preserve">   </w:t>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20"/>
        <w:keepLines w:val="0"/>
        <w:keepNext w:val="0"/>
        <w:pageBreakBefore w:val="0"/>
        <w:spacing w:line="336"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pStyle w:val="681"/>
        <w:jc w:val="center"/>
        <w:spacing w:line="360" w:lineRule="auto"/>
        <w:rPr>
          <w:rFonts w:ascii="黑体" w:hAnsi="黑体" w:eastAsia="黑体"/>
          <w:b w:val="0"/>
          <w:color w:val="auto"/>
          <w:highlight w:val="none"/>
        </w:rPr>
      </w:pPr>
      <w:r/>
      <w:bookmarkStart w:id="46" w:name="_Toc4"/>
      <w:r>
        <w:rPr>
          <w:rFonts w:hint="eastAsia" w:ascii="黑体" w:hAnsi="黑体" w:eastAsia="黑体"/>
          <w:b w:val="0"/>
          <w:color w:val="auto"/>
          <w:highlight w:val="none"/>
        </w:rPr>
        <w:t xml:space="preserve">第四章  采购需求</w:t>
      </w:r>
      <w:bookmarkEnd w:id="46"/>
      <w:r/>
      <w:r/>
    </w:p>
    <w:p>
      <w:pPr>
        <w:ind w:firstLine="480"/>
        <w:jc w:val="left"/>
        <w:keepLines w:val="0"/>
        <w:keepNext w:val="0"/>
        <w:pageBreakBefore w:val="0"/>
        <w:spacing w:line="320" w:lineRule="exact"/>
        <w:widowControl w:val="off"/>
        <w:rPr>
          <w:rFonts w:ascii="宋体" w:hAnsi="宋体"/>
          <w:color w:val="auto"/>
          <w:sz w:val="24"/>
          <w:szCs w:val="24"/>
          <w:highlight w:val="none"/>
        </w:rPr>
      </w:pPr>
      <w:r>
        <w:rPr>
          <w:rFonts w:hint="eastAsia"/>
          <w:color w:val="auto"/>
          <w:sz w:val="24"/>
          <w:szCs w:val="24"/>
          <w:highlight w:val="none"/>
        </w:rPr>
        <w:t xml:space="preserve">说明：本项目属性为</w:t>
      </w:r>
      <w:r>
        <w:rPr>
          <w:rFonts w:hint="eastAsia"/>
          <w:b/>
          <w:color w:val="auto"/>
          <w:sz w:val="24"/>
          <w:szCs w:val="24"/>
          <w:highlight w:val="none"/>
        </w:rPr>
        <w:t xml:space="preserve">货物</w:t>
      </w:r>
      <w:r>
        <w:rPr>
          <w:rFonts w:hint="eastAsia"/>
          <w:color w:val="auto"/>
          <w:sz w:val="24"/>
          <w:szCs w:val="24"/>
          <w:highlight w:val="none"/>
        </w:rPr>
        <w:t xml:space="preserve">，采购标的对应的中小企业划分标准所属行业详见货物（标的）采购清单。</w:t>
      </w:r>
      <w:r/>
    </w:p>
    <w:p>
      <w:pPr>
        <w:ind w:firstLine="480"/>
        <w:jc w:val="left"/>
        <w:keepLines w:val="0"/>
        <w:keepNext w:val="0"/>
        <w:pageBreakBefore w:val="0"/>
        <w:spacing w:line="320" w:lineRule="exact"/>
        <w:widowControl w:val="off"/>
        <w:rPr>
          <w:rFonts w:asciiTheme="minorEastAsia" w:hAnsiTheme="minorEastAsia"/>
          <w:color w:val="auto"/>
          <w:sz w:val="24"/>
          <w:szCs w:val="24"/>
          <w:highlight w:val="none"/>
        </w:rPr>
      </w:pPr>
      <w:r>
        <w:rPr>
          <w:rFonts w:hint="eastAsia"/>
          <w:color w:val="auto"/>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20" w:lineRule="exact"/>
        <w:widowControl w:val="off"/>
        <w:rPr>
          <w:color w:val="auto"/>
          <w:sz w:val="24"/>
          <w:szCs w:val="24"/>
          <w:highlight w:val="none"/>
        </w:rPr>
      </w:pPr>
      <w:r>
        <w:rPr>
          <w:rFonts w:hint="eastAsia" w:eastAsia="宋体"/>
          <w:color w:val="auto"/>
          <w:sz w:val="24"/>
          <w:szCs w:val="24"/>
          <w:highlight w:val="none"/>
          <w:lang w:eastAsia="zh-CN"/>
        </w:rPr>
        <w:t xml:space="preserve">1.</w:t>
      </w:r>
      <w:r>
        <w:rPr>
          <w:rFonts w:hint="eastAsia"/>
          <w:color w:val="auto"/>
          <w:sz w:val="24"/>
          <w:szCs w:val="24"/>
          <w:highlight w:val="none"/>
        </w:rPr>
        <w:t xml:space="preserve">根据《政府采购需求管理办法》等有关规定，采购人确定采购需求。</w:t>
      </w:r>
      <w:r/>
    </w:p>
    <w:p>
      <w:pPr>
        <w:ind w:firstLine="480"/>
        <w:jc w:val="left"/>
        <w:keepLines w:val="0"/>
        <w:keepNext w:val="0"/>
        <w:pageBreakBefore w:val="0"/>
        <w:spacing w:line="320" w:lineRule="exact"/>
        <w:widowControl w:val="off"/>
        <w:rPr>
          <w:rFonts w:ascii="MS Mincho" w:hAnsi="Calibri" w:eastAsia="宋体" w:cs="Times New Roman"/>
          <w:b w:val="0"/>
          <w:bCs w:val="0"/>
          <w:color w:val="auto"/>
          <w:szCs w:val="24"/>
          <w:highlight w:val="none"/>
        </w:rPr>
      </w:pPr>
      <w:r>
        <w:rPr>
          <w:rFonts w:hint="eastAsia" w:eastAsia="宋体"/>
          <w:b w:val="0"/>
          <w:bCs w:val="0"/>
          <w:color w:val="auto"/>
          <w:sz w:val="24"/>
          <w:szCs w:val="24"/>
          <w:highlight w:val="none"/>
          <w:lang w:eastAsia="zh-CN"/>
        </w:rPr>
        <w:t xml:space="preserve">2.</w:t>
      </w:r>
      <w:r>
        <w:rPr>
          <w:rFonts w:ascii="宋体" w:hAnsi="宋体" w:eastAsia="宋体" w:cs="宋体"/>
          <w:b w:val="0"/>
          <w:bCs w:val="0"/>
          <w:color w:val="auto"/>
          <w:sz w:val="24"/>
          <w:highlight w:val="none"/>
        </w:rPr>
        <w:t xml:space="preserve">本项目需求中标注★号的部分为实质性要求和条件（由采购人根据实际情况设置），投标人必须作出满足或者优于原要求和条件的响应，否则投标无效。</w:t>
      </w:r>
      <w:r/>
    </w:p>
    <w:p>
      <w:p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连云渔港经济区绿色渔港项目二期项目，需要购置一批小型清扫设施</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二、货物（标的）采购清单</w:t>
      </w:r>
      <w:r/>
    </w:p>
    <w:tbl>
      <w:tblPr>
        <w:tblStyle w:val="69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3219"/>
        <w:gridCol w:w="1621"/>
        <w:gridCol w:w="1725"/>
        <w:gridCol w:w="1446"/>
      </w:tblGrid>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货物（标的）名称</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中小企业划分标准所属行业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工业洗地机器人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驾驶式洗地机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三轮雾炮扫地车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链条式四桶三轮垃圾车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移动式垃圾压缩机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电动三轮高压冲洗车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智能移车器</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扫布机（撒融雪剂）</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绿篱机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智能打草机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bl>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三、货物（标的）技术参数及功能指标</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3.1工业洗地机器人技术参数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lang w:val="en-US" w:eastAsia="zh-CN"/>
        </w:rPr>
        <w:t xml:space="preserve">一</w:t>
      </w: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620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洗地工作宽度：（mm）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扫地吸尘作业宽度（mm）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最高工作速度（m/s）</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0.8</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爬坡能力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最大越障高度（mm）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最低通过高度（mm）650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最小通过宽度（mm）600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最大清洁效率（㎡/h）</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垃圾盒容积（L）</w:t>
      </w:r>
      <w:r>
        <w:rPr>
          <w:rFonts w:hint="eastAsia" w:ascii="宋体" w:hAnsi="宋体" w:eastAsia="宋体" w:cs="宋体"/>
          <w:color w:val="auto"/>
          <w:sz w:val="24"/>
          <w:szCs w:val="24"/>
          <w:highlight w:val="none"/>
        </w:rPr>
        <w:t xml:space="preserve">≥0.7</w:t>
      </w:r>
      <w:r/>
    </w:p>
    <w:p>
      <w:pPr>
        <w:pStyle w:val="696"/>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11.</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尘袋容积（L）≥6</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12.</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清水箱容积（L）≥11</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13.</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污水箱容积（L）≥10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rPr>
        <w:t xml:space="preserve">运行噪音（dB(A)）≤67</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15.</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洗地/吸尘续航时间（H）≥4</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16.</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尘推续航时间（H）≥10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17.</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扫地续航时间（H）≥14</w:t>
      </w:r>
      <w:r/>
    </w:p>
    <w:p>
      <w:pPr>
        <w:pStyle w:val="696"/>
        <w:numPr>
          <w:ilvl w:val="0"/>
          <w:numId w:val="0"/>
        </w:numPr>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主要性能特点：</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1.单机同时具备无人驾驶情况下的扫地、吸尘、尘推、洗地功能；</w:t>
      </w:r>
      <w:r/>
    </w:p>
    <w:p>
      <w:pPr>
        <w:pStyle w:val="888"/>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支持清洁地图的后续编辑和扩充；</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3.智能机器人应具备室内软质、硬质地面的工作能力；支持室内多种地面材质，包括但不限于：室内硬质地面和短毛地毯。</w:t>
      </w:r>
      <w:r/>
    </w:p>
    <w:p>
      <w:pPr>
        <w:pStyle w:val="888"/>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4.支持远程监控机器人实时工作状态和任务报告数据的获取；</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5.机器人应支持远程运维，OTA升级；</w:t>
      </w:r>
      <w:r/>
    </w:p>
    <w:p>
      <w:pPr>
        <w:pStyle w:val="889"/>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6.具备语音提示功能，语音可定制；</w:t>
      </w:r>
      <w:r/>
    </w:p>
    <w:p>
      <w:pPr>
        <w:pStyle w:val="889"/>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7.具备智能充电桩（选配）、工作站（选配）进行自动充电、自动加排水功能；</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8.具备电梯联动控制功能，可自主呼梯、乘梯，实现智能跨楼层作业；</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9.具备多种类传感器：激光雷达、深度摄像头、RGB摄像头、防跌落感应、防碰撞感应等，确保机器人在自动驾驶过程中，具备主动安全和被动安全保障能力；</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10.机器应具备必要的防护等级，至少达到IPX3级别；</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11.机器应具备自清洁功能，搭配工作站可实现污水箱、吸污管路和吸水扒的自动清洁。</w:t>
      </w:r>
      <w:r/>
    </w:p>
    <w:p>
      <w:pPr>
        <w:pStyle w:val="888"/>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其他要求说明</w:t>
      </w:r>
      <w:r/>
    </w:p>
    <w:p>
      <w:pPr>
        <w:pStyle w:val="888"/>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bidi="ar"/>
        </w:rPr>
        <w:t xml:space="preserve">投标文件内需提供CE认证，安全认证报告，并加盖公章。</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3.2驾驶式洗地机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实际工作效率（㎡/h）</w:t>
      </w:r>
      <w:r>
        <w:rPr>
          <w:rFonts w:hint="eastAsia" w:ascii="宋体" w:hAnsi="宋体" w:eastAsia="宋体" w:cs="宋体"/>
          <w:color w:val="auto"/>
          <w:sz w:val="24"/>
          <w:szCs w:val="24"/>
          <w:highlight w:val="none"/>
        </w:rPr>
        <w:t xml:space="preserve">≥6000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清洗宽度（mm）：≥770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吸水扒宽度（mm）：≥1000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清水箱容量（L）：≥130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污水箱容量（L）：≥135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连续工作时间（H）：≥4</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刷盘电机功率（W）：≥2*400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吸水电机功率（W）：≥600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高压冲洗枪功率（W）：≥120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1.电池具备低压报警功能，吸水扒升降方式：电动控制</w:t>
      </w:r>
      <w:r/>
    </w:p>
    <w:p>
      <w:pPr>
        <w:pStyle w:val="682"/>
        <w:ind w:left="0" w:right="0"/>
        <w:jc w:val="left"/>
        <w:keepLines w:val="0"/>
        <w:keepNext w:val="0"/>
        <w:pageBreakBefore w:val="0"/>
        <w:spacing w:before="0" w:beforeAutospacing="0" w:after="0" w:afterAutospacing="0" w:line="312" w:lineRule="auto"/>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2.高效清洁，适配大场景</w:t>
      </w:r>
      <w:r/>
    </w:p>
    <w:p>
      <w:pPr>
        <w:numPr>
          <w:ilvl w:val="0"/>
          <w:numId w:val="0"/>
        </w:numPr>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3.长时间作业，无需频繁补水</w:t>
      </w:r>
      <w:r/>
    </w:p>
    <w:p>
      <w:pPr>
        <w:numPr>
          <w:ilvl w:val="0"/>
          <w:numId w:val="0"/>
        </w:numPr>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4.工业级品质，经久耐用</w:t>
      </w:r>
      <w:r/>
    </w:p>
    <w:p>
      <w:pPr>
        <w:jc w:val="both"/>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3.3三轮雾炮扫地车技术参数</w:t>
      </w:r>
      <w:r/>
    </w:p>
    <w:p>
      <w:pP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高压水泵功率（W）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水箱容量（L）</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垃圾箱容量（L）≥260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最大行驶速度（km/h）≥12</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最大工作速度（km/h）≥9</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爬坡能力（%）≥25</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清扫宽度（mm）≥2350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工作效率（㎡/h）≥15000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雾炮射程（m）≥8</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主刷长度（mm）≥800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续航时间（h）≥3</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高压水枪射程（m）≥10</w:t>
      </w:r>
      <w:r/>
    </w:p>
    <w:p>
      <w:pPr>
        <w:numPr>
          <w:ilvl w:val="0"/>
          <w:numId w:val="1"/>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高压水泵压力（Mpa）≥12</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清洁效率高、覆盖范围广、</w:t>
      </w:r>
      <w:r>
        <w:rPr>
          <w:rFonts w:hint="eastAsia" w:ascii="宋体" w:hAnsi="宋体" w:eastAsia="宋体" w:cs="宋体"/>
          <w:color w:val="auto"/>
          <w:sz w:val="24"/>
          <w:szCs w:val="24"/>
          <w:highlight w:val="none"/>
        </w:rPr>
        <w:t xml:space="preserve">使用寿命长，</w:t>
      </w:r>
      <w:r>
        <w:rPr>
          <w:rFonts w:hint="eastAsia" w:ascii="宋体" w:hAnsi="宋体" w:eastAsia="宋体" w:cs="宋体"/>
          <w:color w:val="auto"/>
          <w:sz w:val="24"/>
          <w:szCs w:val="24"/>
          <w:highlight w:val="none"/>
          <w:lang w:val="en-US" w:eastAsia="zh-CN"/>
        </w:rPr>
        <w:t xml:space="preserve">机动灵活，多功能一体化作业，满足港区地面清洁降尘作业，</w:t>
      </w:r>
      <w:r>
        <w:rPr>
          <w:rFonts w:hint="eastAsia" w:ascii="宋体" w:hAnsi="宋体" w:eastAsia="宋体" w:cs="宋体"/>
          <w:color w:val="auto"/>
          <w:sz w:val="24"/>
          <w:szCs w:val="24"/>
          <w:highlight w:val="none"/>
        </w:rPr>
        <w:t xml:space="preserve">尤其适用于腐蚀性作业环境。</w:t>
      </w:r>
      <w:r/>
    </w:p>
    <w:p>
      <w:pPr>
        <w:jc w:val="both"/>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3.4链条式四桶三轮垃圾车</w:t>
      </w:r>
      <w:r/>
    </w:p>
    <w:p>
      <w:pPr>
        <w:pStyle w:val="696"/>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1.外形尺寸</w:t>
      </w:r>
      <w:r>
        <w:rPr>
          <w:rFonts w:hint="eastAsia" w:ascii="宋体" w:hAnsi="宋体" w:eastAsia="宋体" w:cs="宋体"/>
          <w:color w:val="auto"/>
          <w:sz w:val="24"/>
          <w:szCs w:val="24"/>
          <w:highlight w:val="none"/>
          <w:lang w:val="en-US" w:eastAsia="zh-CN"/>
        </w:rPr>
        <w:t xml:space="preserve">：长×宽×高（mm）≥3400×1150×1690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行驶里程（km）≥30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3.最高车速（km/h）≥25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最大爬坡度≥15°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6.整备质量（kg）：≤600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1.制动系统：前碟后鼓式液压双驱制动 + 手动机械驻车制动，制动响应时间≤0.5s</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2.车身工艺：整体焊接一体大车厢</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3.悬挂系统：前加液双向减震器 + 后钢板弹簧减震，适配复杂路况</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4.轮胎：真空防爆轮胎，规格适配整车承重需求</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5.装载能力：可快速挂接并装载4 个 240L标准塑料垃圾桶，配备整体式液压举升倾倒结构</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6.仪表：液晶组合仪表，实时显示电量、电压、速度、里程等数据</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7.灯光信号：配备 LED 前大灯、左右转向灯、倒车影像、刹车灯、行车灯、电喇叭及工作示警灯</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8.操控：集成式液压组合开关，电源锁、组合开关一体化设计，操作便捷</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lang w:val="en-US" w:eastAsia="zh-CN"/>
        </w:rPr>
        <w:t xml:space="preserve">3.5移动式垃圾压缩机</w:t>
      </w:r>
      <w:r>
        <w:rPr>
          <w:rFonts w:hint="eastAsia" w:ascii="宋体" w:hAnsi="宋体" w:eastAsia="宋体" w:cs="宋体"/>
          <w:b/>
          <w:bCs/>
          <w:iCs/>
          <w:color w:val="auto"/>
          <w:sz w:val="24"/>
          <w:szCs w:val="24"/>
          <w:highlight w:val="none"/>
        </w:rPr>
        <w:t xml:space="preserve">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2"/>
        </w:num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运输状态：</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6450</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2550，工作状态：</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2550</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rPr>
        <w:t xml:space="preserve">垃圾箱有效容积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，需提供第三方检验报告证明</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rPr>
        <w:t xml:space="preserve">填装器料斗容积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压填工作循环时间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，需提供第三方检验报告证明</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上料工作循环时间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，需提供第三方检验报告证明</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pacing w:val="2"/>
          <w:sz w:val="24"/>
          <w:szCs w:val="24"/>
          <w:highlight w:val="none"/>
        </w:rPr>
        <w:t xml:space="preserve">料机构提升能力</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，需提供第三方检验报告证</w:t>
      </w:r>
      <w:r>
        <w:rPr>
          <w:rFonts w:hint="eastAsia" w:ascii="宋体" w:hAnsi="宋体" w:eastAsia="宋体" w:cs="宋体"/>
          <w:color w:val="auto"/>
          <w:sz w:val="24"/>
          <w:szCs w:val="24"/>
          <w:highlight w:val="none"/>
          <w:lang w:val="en-US" w:eastAsia="zh-CN"/>
        </w:rPr>
        <w:t xml:space="preserve">明</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垃圾密度</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2"/>
          <w:sz w:val="24"/>
          <w:szCs w:val="24"/>
          <w:highlight w:val="none"/>
        </w:rPr>
        <w:t xml:space="preserve">kg/m³</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2"/>
          <w:sz w:val="24"/>
          <w:szCs w:val="24"/>
          <w:highlight w:val="none"/>
        </w:rPr>
        <w:t xml:space="preserve">73</w:t>
      </w:r>
      <w:r>
        <w:rPr>
          <w:rFonts w:hint="eastAsia" w:ascii="宋体" w:hAnsi="宋体" w:eastAsia="宋体" w:cs="宋体"/>
          <w:color w:val="auto"/>
          <w:spacing w:val="-2"/>
          <w:sz w:val="24"/>
          <w:szCs w:val="24"/>
          <w:highlight w:val="none"/>
          <w:lang w:val="en-US" w:eastAsia="zh-CN"/>
        </w:rPr>
        <w:t xml:space="preserve">0</w:t>
      </w:r>
      <w:r>
        <w:rPr>
          <w:rFonts w:hint="eastAsia" w:ascii="宋体" w:hAnsi="宋体" w:eastAsia="宋体" w:cs="宋体"/>
          <w:color w:val="auto"/>
          <w:spacing w:val="-2"/>
          <w:sz w:val="24"/>
          <w:szCs w:val="24"/>
          <w:highlight w:val="none"/>
        </w:rPr>
        <w:t xml:space="preserve">kg/m³</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液压系统工作压力</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MPa</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p>
    <w:p>
      <w:pPr>
        <w:numPr>
          <w:ilvl w:val="0"/>
          <w:numId w:val="2"/>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电机功率</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Kw</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7.5</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垃圾箱关键部位需采用耐腐蚀性强的耐候钢，极限强度高，耐腐蚀能力强，使用寿命长，尤其适用于腐蚀性作业环境。压缩腔具有破碎和防止垃圾反弹功能（提供实物照片证明）。</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压缩腔具有两侧观察垃圾压缩实时状况功能，观察窗采用高分子树脂材质，具备防爆、易清洗功能（提供实物照片证明）。</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垃圾箱体采用倒锥形设计，采用高强度材料</w:t>
      </w:r>
      <w:r>
        <w:rPr>
          <w:rFonts w:hint="eastAsia" w:ascii="宋体" w:hAnsi="宋体" w:eastAsia="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rPr>
        <w:t xml:space="preserve">；内部具有排气装置。</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压头采用W形双曲线型式，结构合理，强度好（提供实物照片证明）。</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压头油缸采用螺栓固定可拆卸式设计，压头两端均具备油缸润滑脂加注孔；滑罩导轨采用高分子尼龙材料；压头与滑罩之间止动板采用可拆卸式+止动板设计，确保维护方便、安装可靠（提供实物照片证明）。</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卸料门采用高强度板材及型材制作，内部具有垃圾卷扬装置，确保垃圾在压缩中充满整个垃圾箱体。卸料门采用双唇密封胶条，双道密封确保无</w:t>
      </w:r>
      <w:r>
        <w:rPr>
          <w:rFonts w:hint="eastAsia" w:ascii="宋体" w:hAnsi="宋体" w:eastAsia="宋体" w:cs="宋体"/>
          <w:color w:val="auto"/>
          <w:sz w:val="24"/>
          <w:szCs w:val="24"/>
          <w:highlight w:val="none"/>
          <w:lang w:eastAsia="zh-CN"/>
        </w:rPr>
        <w:t xml:space="preserve">滴漏</w:t>
      </w:r>
      <w:r>
        <w:rPr>
          <w:rFonts w:hint="eastAsia" w:ascii="宋体" w:hAnsi="宋体" w:eastAsia="宋体" w:cs="宋体"/>
          <w:color w:val="auto"/>
          <w:sz w:val="24"/>
          <w:szCs w:val="24"/>
          <w:highlight w:val="none"/>
        </w:rPr>
        <w:t xml:space="preserve">；采用卡槽式安装，方便后续维护更换。</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上料机构采用多连杆机构设计；料斗采用瓦楞结构设计，外部及底板无加强筋、美观大方，翻转斗底部具有缓冲装置。</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上料机构油缸具备双向缓冲功能，降低上料机构运行噪声；压缩油缸具备缓冲功能进一步减缓压缩换向冲击，提升整体运行平稳度；油缸黄油嘴均具备防护措施，以防使用中黄油嘴出现剪断情况。</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翻转斗容积</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5m³以上，满足小型收集车一次性卸料；连杆具备多向调节功能，调节后具有止动板，能有效防止调节后螺栓松动导致机构不平衡现象出现。</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锁紧机构锁紧采用油缸大腔受力、多连杆驱动锁紧设计；锁紧支座以及连杆均具备可调节功能，能大大延长卸料门密封胶条使用周期；</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前门采用高强度整</w:t>
      </w:r>
      <w:r>
        <w:rPr>
          <w:rFonts w:hint="eastAsia" w:ascii="宋体" w:hAnsi="宋体" w:eastAsia="宋体" w:cs="宋体"/>
          <w:color w:val="auto"/>
          <w:sz w:val="24"/>
          <w:szCs w:val="24"/>
          <w:highlight w:val="none"/>
          <w:lang w:val="en-US" w:eastAsia="zh-CN"/>
        </w:rPr>
        <w:t xml:space="preserve">块钢</w:t>
      </w:r>
      <w:r>
        <w:rPr>
          <w:rFonts w:hint="eastAsia" w:ascii="宋体" w:hAnsi="宋体" w:eastAsia="宋体" w:cs="宋体"/>
          <w:color w:val="auto"/>
          <w:sz w:val="24"/>
          <w:szCs w:val="24"/>
          <w:highlight w:val="none"/>
        </w:rPr>
        <w:t xml:space="preserve">板制作，</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美观、简洁的特点；转动铰链、把手及锁紧舌均采用镀锌防腐处理。</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设备各转动销轴均采用调质钢、镀锌处理，提升其使用周期；耳板采用螺栓+耳弧板固定，避免螺栓出现受剪情况出现。</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卸料门锁紧油路具备液压锁锁止功能；快换接头具备卸压功能。</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压头油缸和上料油缸均采用固定分流块进行分流，避免三通接头非固定导致的管路松动渗漏情况。</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液压电控系统采用抽屉式安装设计，采用高性能轴承进行滑动。</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具有线遥控式、触摸式、按钮式三种控制方式（提供实物照片证明）。</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具有三相电源的相序异常报警、显示、换相功能，方便改变电机的相位，无须重新接线。</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具有液晶显示功能，能对设备的工作运行情况显示在屏幕上，包括但不限于动态的垃圾量显示、误操作提示、设备运行状态、故障的自诊断结果显示、程序调整功能等。</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具有液压系统故障的自动报警和自动诊断功能、具有液压系统温度升高自动散热功能、具有液压油液位过低报警及显示功能。</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具有紧急停止、紧急停机报警及显示功能，具有压满报警及显示功能。，具有压头处于任意位置时强行退回初始工作位的功能。</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设备采用高性能电机驱动，采用高效节能、性能可靠的双泵系统设计。</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所有外露金属表面均作防锈处理，与垃圾直接接触的材料均进行防腐处理。</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所有旋转销轴均采用高强度自润滑轴承，具有很强的耐磨性和耐腐性，保证其在恶劣环境中的使用周期。</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设备采用PLC控制，能根据垃圾压缩的负载情况自动调整油缸推力，使垃圾均匀、密实地分布在箱体内。</w:t>
      </w:r>
      <w:r/>
    </w:p>
    <w:p>
      <w:pPr>
        <w:numPr>
          <w:ilvl w:val="0"/>
          <w:numId w:val="3"/>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关键零部件：电机、油泵、液压阀组、测压接头、断路器、继电器、按钮等均采用国内外知名品牌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电气元器件</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符合相对应的国家标准。</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3.6电动三轮高压冲洗车技术参数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驱动功率：（W）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高压泵功率（W）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高压泵流量（L/min）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爬坡能力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水箱容量（L）</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清洁宽度（m）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3.7智能移车器</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牵引能力（kg）≥4000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托盘总长（mm）≥950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托盘总宽（mm）：≥2060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托盘总高（mm）：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承重（kg）：≥4000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1.安全快捷抬升和移动汽车，可使汽车在任意方向移动。</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3.8扫布机（撒融雪剂）</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1.容量（m³）≥0.5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2.撒布宽度（m）≥12</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3.传动方式：皮带传动</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4.外形尺寸（mm）≥960*800*1360</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3.9绿篱机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功率（kw）≥0.65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剪刀形式：双刃</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割幅（mm）：≥560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排量：≥22.5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转速（r/min）：≥9500</w:t>
      </w:r>
      <w:r/>
    </w:p>
    <w:p>
      <w:pPr>
        <w:jc w:val="both"/>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3.10智能打草机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1.金属刀片切割直径（mm）≥255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2空载转速（r/min）：≥6000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3.机身长度（cm）：≥168</w:t>
      </w:r>
      <w:r/>
    </w:p>
    <w:p>
      <w:p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、供货要求</w:t>
      </w:r>
      <w:r/>
    </w:p>
    <w:p>
      <w:pPr>
        <w:ind w:firstLine="480"/>
        <w:jc w:val="left"/>
        <w:keepLines w:val="0"/>
        <w:keepNext w:val="0"/>
        <w:pageBreakBefore w:val="0"/>
        <w:spacing w:line="312" w:lineRule="auto"/>
        <w:widowControl w:val="off"/>
        <w:rPr>
          <w:rFonts w:hint="eastAsia" w:ascii="宋体" w:hAnsi="宋体" w:eastAsia="宋体" w:cs="宋体"/>
          <w:b/>
          <w:bCs/>
          <w:i w:val="0"/>
          <w:iCs w:val="0"/>
          <w:color w:val="auto"/>
          <w:sz w:val="24"/>
          <w:szCs w:val="24"/>
          <w:highlight w:val="none"/>
          <w:u w:val="single"/>
        </w:rPr>
      </w:pP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u w:val="single"/>
        </w:rPr>
        <w:t xml:space="preserve">1.交货期：</w:t>
      </w:r>
      <w:r>
        <w:rPr>
          <w:rFonts w:hint="eastAsia" w:ascii="宋体" w:hAnsi="宋体" w:eastAsia="宋体" w:cs="宋体"/>
          <w:b/>
          <w:bCs/>
          <w:i w:val="0"/>
          <w:iCs w:val="0"/>
          <w:color w:val="auto"/>
          <w:sz w:val="24"/>
          <w:szCs w:val="24"/>
          <w:highlight w:val="none"/>
          <w:u w:val="single"/>
          <w:lang w:eastAsia="zh-CN"/>
        </w:rPr>
        <w:t xml:space="preserve">自合同签订之日起</w:t>
      </w:r>
      <w:r>
        <w:rPr>
          <w:rFonts w:hint="eastAsia" w:ascii="宋体" w:hAnsi="宋体" w:eastAsia="宋体" w:cs="宋体"/>
          <w:b/>
          <w:bCs/>
          <w:i w:val="0"/>
          <w:iCs w:val="0"/>
          <w:color w:val="auto"/>
          <w:sz w:val="24"/>
          <w:szCs w:val="24"/>
          <w:highlight w:val="none"/>
          <w:u w:val="single"/>
          <w:lang w:val="en-US" w:eastAsia="zh-CN"/>
        </w:rPr>
        <w:t xml:space="preserve">2</w:t>
      </w:r>
      <w:r>
        <w:rPr>
          <w:rFonts w:hint="eastAsia" w:ascii="宋体" w:hAnsi="宋体" w:eastAsia="宋体" w:cs="宋体"/>
          <w:b/>
          <w:bCs/>
          <w:i w:val="0"/>
          <w:iCs w:val="0"/>
          <w:color w:val="auto"/>
          <w:sz w:val="24"/>
          <w:szCs w:val="24"/>
          <w:highlight w:val="none"/>
          <w:u w:val="single"/>
          <w:lang w:eastAsia="zh-CN"/>
        </w:rPr>
        <w:t xml:space="preserve">0日内完成供货、安装、调试、验收合格并交付使用。</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2.交货方式：供应商在采购人指定地点交货，并完成安装、调试。</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3.交货地点：采购人指定地点，由供应商负责办理运输和装卸等，费用</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由供应商负责。采购人组织验收，检验不合格或不符合质量要求，供应商除无条件退货、返工外，还应承担采购人由此造成的一切损失。</w:t>
      </w:r>
      <w:r/>
    </w:p>
    <w:p>
      <w:pPr>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、国家或行业相关规范标准</w:t>
      </w:r>
      <w:r/>
    </w:p>
    <w:p>
      <w:pPr>
        <w:pStyle w:val="882"/>
        <w:ind w:left="0" w:firstLine="468"/>
        <w:keepLines w:val="0"/>
        <w:keepNext w:val="0"/>
        <w:pageBreakBefore w:val="0"/>
        <w:spacing w:before="139" w:line="288" w:lineRule="auto"/>
        <w:widowControl w:val="off"/>
        <w:tabs>
          <w:tab w:val="left" w:pos="1439"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1.采用国家现行相关的国家标准</w:t>
      </w:r>
      <w:r>
        <w:rPr>
          <w:rFonts w:hint="eastAsia" w:ascii="宋体" w:hAnsi="宋体" w:eastAsia="宋体" w:cs="宋体"/>
          <w:color w:val="auto"/>
          <w:spacing w:val="-3"/>
          <w:sz w:val="24"/>
          <w:szCs w:val="24"/>
          <w:highlight w:val="none"/>
        </w:rPr>
        <w:t xml:space="preserve">和行业标准。</w:t>
      </w:r>
      <w:r/>
    </w:p>
    <w:p>
      <w:pPr>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人必须安排具有相应资格的人员参与安装调试实施，进场安装实施人员在本项目履约期间具有人身意外伤害险；在安装实施中要严格按行业规定进行安装实施，若出现任何安全事故，责任由投标人自行承担</w:t>
      </w:r>
      <w:r>
        <w:rPr>
          <w:rFonts w:hint="eastAsia" w:ascii="宋体" w:hAnsi="宋体" w:eastAsia="宋体" w:cs="宋体"/>
          <w:color w:val="auto"/>
          <w:sz w:val="24"/>
          <w:szCs w:val="24"/>
          <w:highlight w:val="none"/>
        </w:rPr>
        <w:t xml:space="preserve">。</w:t>
      </w:r>
      <w:r/>
    </w:p>
    <w:p>
      <w:pPr>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1.采购人</w:t>
      </w:r>
      <w:r>
        <w:rPr>
          <w:rFonts w:hint="eastAsia" w:ascii="宋体" w:hAnsi="宋体" w:eastAsia="宋体" w:cs="宋体"/>
          <w:color w:val="auto"/>
          <w:sz w:val="24"/>
          <w:szCs w:val="24"/>
          <w:highlight w:val="none"/>
        </w:rPr>
        <w:t xml:space="preserve">以招标文件、中标人的投标文件、承诺、合同为依据，成立验收小组，负责对项目进行全面的验收。</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货物到达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指定地点并安装、调试工作完成后，通知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firstLine="56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、培训要求</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培训对象与内容</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培训目标</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通过培训，使受培训人员能熟练、独立掌握设备的各种情况使用、故障诊断，使之能适应设备正常运行的需求。</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288"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(电机、电池、控制器、充电器),轮胎、刹车、线束、灯具、螺丝、外观件等易损件及人为损坏不在质保范围内、洗地机器人及移动式垃圾压缩机整机质保（耗材除外）</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w:t>
      </w:r>
      <w:r>
        <w:rPr>
          <w:rFonts w:hint="eastAsia" w:ascii="宋体" w:hAnsi="宋体" w:eastAsia="宋体" w:cs="宋体"/>
          <w:b/>
          <w:bCs/>
          <w:color w:val="auto"/>
          <w:sz w:val="24"/>
          <w:szCs w:val="24"/>
          <w:highlight w:val="none"/>
        </w:rPr>
        <w:t xml:space="preserve">人应对其提供的</w:t>
      </w:r>
      <w:r>
        <w:rPr>
          <w:rFonts w:hint="eastAsia" w:ascii="宋体" w:hAnsi="宋体" w:eastAsia="宋体" w:cs="宋体"/>
          <w:b/>
          <w:bCs/>
          <w:color w:val="auto"/>
          <w:sz w:val="24"/>
          <w:szCs w:val="24"/>
          <w:highlight w:val="none"/>
          <w:lang w:eastAsia="zh-CN"/>
        </w:rPr>
        <w:t xml:space="preserve">硬件设备</w:t>
      </w:r>
      <w:r>
        <w:rPr>
          <w:rFonts w:hint="eastAsia" w:ascii="宋体" w:hAnsi="宋体" w:eastAsia="宋体" w:cs="宋体"/>
          <w:b/>
          <w:bCs/>
          <w:color w:val="auto"/>
          <w:sz w:val="24"/>
          <w:szCs w:val="24"/>
          <w:highlight w:val="none"/>
        </w:rPr>
        <w:t xml:space="preserve">进行免费</w:t>
      </w:r>
      <w:r>
        <w:rPr>
          <w:rFonts w:hint="eastAsia" w:ascii="宋体" w:hAnsi="宋体" w:eastAsia="宋体" w:cs="宋体"/>
          <w:b/>
          <w:bCs w:val="0"/>
          <w:color w:val="auto"/>
          <w:spacing w:val="-8"/>
          <w:sz w:val="24"/>
          <w:szCs w:val="24"/>
          <w:highlight w:val="none"/>
        </w:rPr>
        <w:t xml:space="preserve">维修、保养、安检、</w:t>
      </w:r>
      <w:r>
        <w:rPr>
          <w:rFonts w:hint="eastAsia" w:ascii="宋体" w:hAnsi="宋体" w:eastAsia="宋体" w:cs="宋体"/>
          <w:b/>
          <w:bCs w:val="0"/>
          <w:color w:val="auto"/>
          <w:spacing w:val="-8"/>
          <w:sz w:val="24"/>
          <w:szCs w:val="24"/>
          <w:highlight w:val="none"/>
          <w:lang w:val="en-US" w:eastAsia="zh-CN"/>
        </w:rPr>
        <w:t xml:space="preserve">更</w:t>
      </w:r>
      <w:r>
        <w:rPr>
          <w:rFonts w:hint="eastAsia" w:ascii="宋体" w:hAnsi="宋体" w:eastAsia="宋体" w:cs="宋体"/>
          <w:b/>
          <w:bCs w:val="0"/>
          <w:color w:val="auto"/>
          <w:spacing w:val="-8"/>
          <w:sz w:val="24"/>
          <w:szCs w:val="24"/>
          <w:highlight w:val="none"/>
        </w:rPr>
        <w:t xml:space="preserve">换</w:t>
      </w:r>
      <w:r>
        <w:rPr>
          <w:rFonts w:hint="eastAsia" w:ascii="宋体" w:hAnsi="宋体" w:eastAsia="宋体" w:cs="宋体"/>
          <w:b/>
          <w:bCs w:val="0"/>
          <w:color w:val="auto"/>
          <w:sz w:val="24"/>
          <w:szCs w:val="24"/>
          <w:highlight w:val="none"/>
          <w:lang w:eastAsia="zh-CN"/>
        </w:rPr>
        <w:t xml:space="preserve">等</w:t>
      </w:r>
      <w:r>
        <w:rPr>
          <w:rFonts w:hint="eastAsia" w:ascii="宋体" w:hAnsi="宋体" w:eastAsia="宋体" w:cs="宋体"/>
          <w:b/>
          <w:bCs w:val="0"/>
          <w:color w:val="auto"/>
          <w:sz w:val="24"/>
          <w:szCs w:val="24"/>
          <w:highlight w:val="none"/>
          <w:lang w:val="en-US" w:eastAsia="zh-CN"/>
        </w:rPr>
        <w:t xml:space="preserve">。</w:t>
      </w:r>
      <w:r/>
    </w:p>
    <w:p>
      <w:pPr>
        <w:ind w:left="0" w:right="0" w:firstLine="480"/>
        <w:jc w:val="left"/>
        <w:keepLines w:val="0"/>
        <w:keepNext w:val="0"/>
        <w:pageBreakBefore w:val="0"/>
        <w:spacing w:line="28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人所提供的货物，若技术性能无特殊说明，则按生产企业或国家有关部门最新颁布的标准及规范为准。</w:t>
      </w:r>
      <w:r/>
    </w:p>
    <w:p>
      <w:pPr>
        <w:ind w:left="0" w:right="0" w:firstLine="480"/>
        <w:jc w:val="left"/>
        <w:keepLines w:val="0"/>
        <w:keepNext w:val="0"/>
        <w:pageBreakBefore w:val="0"/>
        <w:spacing w:line="288"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人应按</w:t>
      </w:r>
      <w:r>
        <w:rPr>
          <w:rFonts w:hint="eastAsia" w:ascii="宋体" w:hAnsi="宋体" w:eastAsia="宋体" w:cs="宋体"/>
          <w:b w:val="0"/>
          <w:bCs w:val="0"/>
          <w:color w:val="auto"/>
          <w:sz w:val="24"/>
          <w:szCs w:val="24"/>
          <w:highlight w:val="none"/>
          <w:lang w:eastAsia="zh-CN"/>
        </w:rPr>
        <w:t xml:space="preserve">招标</w:t>
      </w:r>
      <w:r>
        <w:rPr>
          <w:rFonts w:hint="eastAsia" w:ascii="宋体" w:hAnsi="宋体" w:eastAsia="宋体" w:cs="宋体"/>
          <w:b w:val="0"/>
          <w:bCs w:val="0"/>
          <w:color w:val="auto"/>
          <w:sz w:val="24"/>
          <w:szCs w:val="24"/>
          <w:highlight w:val="none"/>
        </w:rPr>
        <w:t xml:space="preserve">文件规定的货物性能、技术要求、质量标准向</w:t>
      </w:r>
      <w:r>
        <w:rPr>
          <w:rFonts w:hint="eastAsia" w:ascii="宋体" w:hAnsi="宋体" w:eastAsia="宋体" w:cs="宋体"/>
          <w:b w:val="0"/>
          <w:bCs w:val="0"/>
          <w:color w:val="auto"/>
          <w:sz w:val="24"/>
          <w:szCs w:val="24"/>
          <w:highlight w:val="none"/>
          <w:lang w:eastAsia="zh-CN"/>
        </w:rPr>
        <w:t xml:space="preserve">采购人</w:t>
      </w:r>
      <w:r>
        <w:rPr>
          <w:rFonts w:hint="eastAsia" w:ascii="宋体" w:hAnsi="宋体" w:eastAsia="宋体" w:cs="宋体"/>
          <w:b w:val="0"/>
          <w:bCs w:val="0"/>
          <w:color w:val="auto"/>
          <w:sz w:val="24"/>
          <w:szCs w:val="24"/>
          <w:highlight w:val="none"/>
        </w:rPr>
        <w:t xml:space="preserve">提供未经使用的全新产品</w:t>
      </w:r>
      <w:r>
        <w:rPr>
          <w:rFonts w:hint="eastAsia" w:ascii="宋体" w:hAnsi="宋体" w:eastAsia="宋体" w:cs="宋体"/>
          <w:b w:val="0"/>
          <w:bCs w:val="0"/>
          <w:color w:val="auto"/>
          <w:sz w:val="24"/>
          <w:szCs w:val="24"/>
          <w:highlight w:val="none"/>
          <w:lang w:eastAsia="zh-CN"/>
        </w:rPr>
        <w:t xml:space="preserve">。</w:t>
      </w:r>
      <w:r/>
    </w:p>
    <w:p>
      <w:pPr>
        <w:ind w:firstLine="56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十、投标报价要求</w:t>
      </w:r>
      <w:r/>
    </w:p>
    <w:p>
      <w:pPr>
        <w:ind w:left="0" w:right="0"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报价应包含与本次采购项目有关的所有费用。包含但不限于人员费用、全部硬件设备、辅助材料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理解为准。</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、付款方式与履约保证金</w:t>
      </w:r>
      <w:r/>
    </w:p>
    <w:p>
      <w:pPr>
        <w:numPr>
          <w:ilvl w:val="0"/>
          <w:numId w:val="0"/>
        </w:numPr>
        <w:ind w:firstLine="480"/>
        <w:jc w:val="left"/>
        <w:keepLines w:val="0"/>
        <w:keepNext w:val="0"/>
        <w:pageBreakBefore w:val="0"/>
        <w:spacing w:line="288" w:lineRule="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合同签订后，支付合同金额的30%作为预付款，全部货物运抵合同指定地点并经买方初步验收合格后，支付至合同总价的80%（即再付50%），全部货物安装调试完毕，经</w:t>
      </w:r>
      <w:r>
        <w:rPr>
          <w:rFonts w:hint="eastAsia" w:ascii="宋体" w:hAnsi="宋体" w:eastAsia="宋体" w:cs="宋体"/>
          <w:color w:val="auto"/>
          <w:sz w:val="24"/>
          <w:szCs w:val="24"/>
          <w:highlight w:val="none"/>
        </w:rPr>
        <w:t xml:space="preserve">甲</w:t>
      </w:r>
      <w:r>
        <w:rPr>
          <w:rFonts w:hint="eastAsia" w:ascii="宋体" w:hAnsi="宋体" w:eastAsia="宋体" w:cs="宋体"/>
          <w:b w:val="0"/>
          <w:bCs w:val="0"/>
          <w:i w:val="0"/>
          <w:iCs w:val="0"/>
          <w:color w:val="auto"/>
          <w:sz w:val="24"/>
          <w:szCs w:val="24"/>
          <w:highlight w:val="none"/>
          <w:u w:val="none"/>
          <w:lang w:val="en-US" w:eastAsia="zh-CN"/>
        </w:rPr>
        <w:t xml:space="preserve">方最终验收合格支付至结算总价的100%（即再付20%）。</w:t>
      </w:r>
      <w:r/>
    </w:p>
    <w:p>
      <w:pPr>
        <w:ind w:firstLine="482"/>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bCs w:val="0"/>
          <w:color w:val="auto"/>
          <w:sz w:val="24"/>
          <w:szCs w:val="24"/>
          <w:highlight w:val="none"/>
          <w:lang w:val="en-US" w:eastAsia="zh-CN"/>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本项目不收取履约保证金。</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特别提醒投标人：应根据国家收费标准并结合市场实际进行报价，总价包干。</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1"/>
        <w:jc w:val="center"/>
        <w:spacing w:line="360" w:lineRule="auto"/>
        <w:rPr>
          <w:rFonts w:ascii="黑体" w:hAnsi="黑体" w:eastAsia="黑体"/>
          <w:b w:val="0"/>
          <w:color w:val="auto"/>
          <w:highlight w:val="none"/>
        </w:rPr>
      </w:pPr>
      <w:r/>
      <w:bookmarkStart w:id="47" w:name="_Toc5"/>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47"/>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名中标候选人。</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技术分。</w:t>
      </w:r>
      <w:r/>
    </w:p>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p>
    <w:p>
      <w:pPr>
        <w:ind w:firstLine="482"/>
        <w:jc w:val="left"/>
        <w:keepLines w:val="0"/>
        <w:keepNext w:val="0"/>
        <w:pageBreakBefore w:val="0"/>
        <w:spacing w:line="360" w:lineRule="auto"/>
        <w:rPr>
          <w:b/>
          <w:bCs/>
          <w:color w:val="auto"/>
          <w:sz w:val="24"/>
          <w:szCs w:val="24"/>
          <w:highlight w:val="none"/>
        </w:rPr>
      </w:pPr>
      <w:r/>
      <w:bookmarkStart w:id="48" w:name="_Toc6"/>
      <w:r>
        <w:rPr>
          <w:rFonts w:hint="eastAsia"/>
          <w:b/>
          <w:bCs/>
          <w:color w:val="auto"/>
          <w:sz w:val="24"/>
          <w:szCs w:val="24"/>
          <w:highlight w:val="none"/>
        </w:rPr>
        <w:t xml:space="preserve">（1）价格分（30分）</w:t>
      </w:r>
      <w:r/>
    </w:p>
    <w:p>
      <w:pPr>
        <w:ind w:firstLine="480"/>
        <w:jc w:val="left"/>
        <w:keepLines w:val="0"/>
        <w:keepNext w:val="0"/>
        <w:pageBreakBefore w:val="0"/>
        <w:spacing w:line="360" w:lineRule="auto"/>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rPr>
          <w:rFonts w:hint="eastAsia"/>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keepLines w:val="0"/>
        <w:keepNext w:val="0"/>
        <w:pageBreakBefore w:val="0"/>
        <w:spacing w:line="360" w:lineRule="auto"/>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numPr>
          <w:ilvl w:val="0"/>
          <w:numId w:val="0"/>
        </w:numPr>
        <w:ind w:firstLine="482"/>
        <w:jc w:val="left"/>
        <w:keepLines w:val="0"/>
        <w:keepNext w:val="0"/>
        <w:pageBreakBefore w:val="0"/>
        <w:spacing w:line="360" w:lineRule="auto"/>
        <w:rPr>
          <w:rFonts w:hint="eastAsia"/>
          <w:b/>
          <w:bCs/>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bidi="ar-SA"/>
        </w:rPr>
        <w:t xml:space="preserve">（2）</w:t>
      </w:r>
      <w:r>
        <w:rPr>
          <w:rFonts w:hint="eastAsia"/>
          <w:b/>
          <w:bCs/>
          <w:color w:val="auto"/>
          <w:sz w:val="24"/>
          <w:szCs w:val="24"/>
          <w:highlight w:val="none"/>
          <w:lang w:val="en-US" w:eastAsia="zh-CN"/>
        </w:rPr>
        <w:t xml:space="preserve">技术分（51分）</w:t>
      </w:r>
      <w:r/>
    </w:p>
    <w:tbl>
      <w:tblPr>
        <w:tblStyle w:val="716"/>
        <w:tblW w:w="8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5"/>
        <w:gridCol w:w="7022"/>
      </w:tblGrid>
      <w:tr>
        <w:trPr/>
        <w:tc>
          <w:tcPr>
            <w:tcW w:w="1565" w:type="dxa"/>
            <w:textDirection w:val="lrTb"/>
            <w:noWrap w:val="false"/>
          </w:tcPr>
          <w:p>
            <w:pPr>
              <w:numPr>
                <w:ilvl w:val="0"/>
                <w:numId w:val="0"/>
              </w:numPr>
              <w:jc w:val="center"/>
              <w:keepLines w:val="0"/>
              <w:keepNext w:val="0"/>
              <w:pageBreakBefore w:val="0"/>
              <w:spacing w:after="0" w:line="36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评分因素</w:t>
            </w:r>
            <w:r/>
          </w:p>
        </w:tc>
        <w:tc>
          <w:tcPr>
            <w:tcW w:w="7022" w:type="dxa"/>
            <w:textDirection w:val="lrTb"/>
            <w:noWrap w:val="false"/>
          </w:tcPr>
          <w:p>
            <w:pPr>
              <w:numPr>
                <w:ilvl w:val="0"/>
                <w:numId w:val="0"/>
              </w:numPr>
              <w:ind w:firstLine="480"/>
              <w:jc w:val="center"/>
              <w:keepLines w:val="0"/>
              <w:keepNext w:val="0"/>
              <w:pageBreakBefore w:val="0"/>
              <w:spacing w:after="0" w:line="36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评分标准</w:t>
            </w:r>
            <w:r/>
          </w:p>
        </w:tc>
      </w:tr>
      <w:tr>
        <w:trPr/>
        <w:tc>
          <w:tcPr>
            <w:tcW w:w="1565" w:type="dxa"/>
            <w:vAlign w:val="center"/>
            <w:textDirection w:val="lrTb"/>
            <w:noWrap w:val="false"/>
          </w:tcPr>
          <w:p>
            <w:pPr>
              <w:jc w:val="center"/>
              <w:keepLines w:val="0"/>
              <w:keepNext w:val="0"/>
              <w:pageBreakBefore w:val="0"/>
              <w:spacing w:line="312" w:lineRule="auto"/>
              <w:widowControl/>
              <w:rPr>
                <w:rFonts w:hint="default"/>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rPr>
              <w:t xml:space="preserve">技术参数（3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022" w:type="dxa"/>
            <w:vAlign w:val="center"/>
            <w:textDirection w:val="lrTb"/>
            <w:noWrap w:val="false"/>
          </w:tcPr>
          <w:p>
            <w:pPr>
              <w:ind w:firstLine="480"/>
              <w:jc w:val="left"/>
              <w:keepLines w:val="0"/>
              <w:keepNext w:val="0"/>
              <w:pageBreakBefore w:val="0"/>
              <w:spacing w:line="312" w:lineRule="auto"/>
              <w:widowControl/>
              <w:rPr>
                <w:rFonts w:hint="default" w:ascii="宋体" w:hAnsi="宋体" w:cs="宋体"/>
                <w:b/>
                <w:bCs/>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对投标人所报产品与招标文件要求的偏离情况进行综合评定，具体评分标准如下：</w:t>
            </w:r>
            <w:r>
              <w:rPr>
                <w:rFonts w:hint="default" w:ascii="宋体" w:hAnsi="宋体" w:cs="宋体"/>
                <w:b/>
                <w:bCs/>
                <w:color w:val="auto"/>
                <w:sz w:val="24"/>
                <w:szCs w:val="24"/>
                <w:highlight w:val="none"/>
                <w:lang w:val="en-US" w:eastAsia="zh-CN" w:bidi="ar"/>
              </w:rPr>
              <w:t xml:space="preserve">完全符合招标文件全部要求的，得30分；</w:t>
            </w:r>
            <w:r/>
          </w:p>
          <w:p>
            <w:pPr>
              <w:jc w:val="left"/>
              <w:keepLines w:val="0"/>
              <w:keepNext w:val="0"/>
              <w:pageBreakBefore w:val="0"/>
              <w:spacing w:line="312" w:lineRule="auto"/>
              <w:widowControl/>
              <w:rPr>
                <w:rFonts w:hint="default" w:ascii="宋体" w:hAnsi="宋体" w:cs="宋体"/>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其中，针对招标文件</w:t>
            </w:r>
            <w:r>
              <w:rPr>
                <w:rFonts w:hint="eastAsia" w:ascii="宋体" w:hAnsi="宋体" w:eastAsia="宋体" w:cs="宋体"/>
                <w:b/>
                <w:color w:val="auto"/>
                <w:sz w:val="24"/>
                <w:szCs w:val="24"/>
                <w:highlight w:val="none"/>
              </w:rPr>
              <w:t xml:space="preserve">货物（标的）技术参数及功能指标</w:t>
            </w:r>
            <w:r>
              <w:rPr>
                <w:rFonts w:hint="default" w:ascii="宋体" w:hAnsi="宋体" w:cs="宋体"/>
                <w:color w:val="auto"/>
                <w:sz w:val="24"/>
                <w:szCs w:val="24"/>
                <w:highlight w:val="none"/>
                <w:lang w:val="en-US" w:eastAsia="zh-CN" w:bidi="ar"/>
              </w:rPr>
              <w:t xml:space="preserve">中标注“</w:t>
            </w:r>
            <w:r>
              <w:rPr>
                <w:rFonts w:hint="eastAsia" w:ascii="黑体" w:hAnsi="黑体" w:eastAsia="黑体" w:cs="黑体"/>
                <w:b/>
                <w:bCs/>
                <w:color w:val="auto"/>
                <w:sz w:val="24"/>
                <w:szCs w:val="24"/>
                <w:highlight w:val="none"/>
              </w:rPr>
              <w:t xml:space="preserve">▲</w:t>
            </w:r>
            <w:r>
              <w:rPr>
                <w:rFonts w:hint="default" w:ascii="宋体" w:hAnsi="宋体" w:cs="宋体"/>
                <w:color w:val="auto"/>
                <w:sz w:val="24"/>
                <w:szCs w:val="24"/>
                <w:highlight w:val="none"/>
                <w:lang w:val="en-US" w:eastAsia="zh-CN" w:bidi="ar"/>
              </w:rPr>
              <w:t xml:space="preserve">”（重点要求）的条款，每出现1项负偏离，扣2分；针对未标注“</w:t>
            </w:r>
            <w:r>
              <w:rPr>
                <w:rFonts w:hint="eastAsia" w:ascii="黑体" w:hAnsi="黑体" w:eastAsia="黑体" w:cs="黑体"/>
                <w:b/>
                <w:bCs/>
                <w:color w:val="auto"/>
                <w:sz w:val="24"/>
                <w:szCs w:val="24"/>
                <w:highlight w:val="none"/>
              </w:rPr>
              <w:t xml:space="preserve">▲</w:t>
            </w:r>
            <w:r>
              <w:rPr>
                <w:rFonts w:hint="default" w:ascii="宋体" w:hAnsi="宋体" w:cs="宋体"/>
                <w:color w:val="auto"/>
                <w:sz w:val="24"/>
                <w:szCs w:val="24"/>
                <w:highlight w:val="none"/>
                <w:lang w:val="en-US" w:eastAsia="zh-CN" w:bidi="ar"/>
              </w:rPr>
              <w:t xml:space="preserve">”（一般要求）的条款，每出现1项负偏离，扣1分；本项分值扣完即止，不设负分。</w:t>
            </w:r>
            <w:r/>
          </w:p>
          <w:p>
            <w:pPr>
              <w:jc w:val="left"/>
              <w:keepLines w:val="0"/>
              <w:keepNext w:val="0"/>
              <w:pageBreakBefore w:val="0"/>
              <w:spacing w:line="312" w:lineRule="auto"/>
              <w:widowControl/>
              <w:rPr>
                <w:rFonts w:hint="default" w:ascii="宋体" w:hAnsi="宋体" w:cs="宋体"/>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注：</w:t>
            </w:r>
            <w:r>
              <w:rPr>
                <w:rFonts w:hint="default" w:ascii="宋体" w:hAnsi="宋体" w:cs="宋体"/>
                <w:b/>
                <w:bCs/>
                <w:color w:val="auto"/>
                <w:sz w:val="24"/>
                <w:szCs w:val="24"/>
                <w:highlight w:val="none"/>
                <w:lang w:val="en-US" w:eastAsia="zh-CN" w:bidi="ar"/>
              </w:rPr>
              <w:t xml:space="preserve">投标人须详细、如实填写《技术要求响应及偏离表》</w:t>
            </w:r>
            <w:r>
              <w:rPr>
                <w:rFonts w:hint="default" w:ascii="宋体" w:hAnsi="宋体" w:cs="宋体"/>
                <w:color w:val="auto"/>
                <w:sz w:val="24"/>
                <w:szCs w:val="24"/>
                <w:highlight w:val="none"/>
                <w:lang w:val="en-US" w:eastAsia="zh-CN" w:bidi="ar"/>
              </w:rPr>
              <w:t xml:space="preserve">，明确列明产品与招标文件要求的响应情况及偏离细节，未按要求填写的，将影响本项评分。</w:t>
            </w:r>
            <w:r/>
          </w:p>
        </w:tc>
      </w:tr>
      <w:tr>
        <w:trPr/>
        <w:tc>
          <w:tcPr>
            <w:tcW w:w="1565" w:type="dxa"/>
            <w:vAlign w:val="center"/>
            <w:textDirection w:val="lrTb"/>
            <w:noWrap w:val="false"/>
          </w:tcPr>
          <w:p>
            <w:pPr>
              <w:jc w:val="center"/>
              <w:keepLines w:val="0"/>
              <w:keepNext w:val="0"/>
              <w:pageBreakBefore w:val="0"/>
              <w:spacing w:line="312" w:lineRule="auto"/>
              <w:rPr>
                <w:rFonts w:hint="default"/>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售后服务方案（7分）</w:t>
            </w:r>
            <w:r/>
          </w:p>
        </w:tc>
        <w:tc>
          <w:tcPr>
            <w:tcW w:w="7022" w:type="dxa"/>
            <w:vAlign w:val="center"/>
            <w:textDirection w:val="lrTb"/>
            <w:noWrap w:val="false"/>
          </w:tcPr>
          <w:p>
            <w:pPr>
              <w:ind w:left="0" w:right="0" w:firstLine="482"/>
              <w:jc w:val="left"/>
              <w:keepLines w:val="0"/>
              <w:keepNext w:val="0"/>
              <w:spacing w:before="0" w:beforeAutospacing="0" w:after="0" w:afterAutospacing="0" w:line="360" w:lineRule="atLeast"/>
              <w:widowControl/>
              <w:rPr>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auto"/>
                <w:sz w:val="24"/>
                <w:szCs w:val="24"/>
                <w:highlight w:val="none"/>
                <w:lang w:val="en-US" w:eastAsia="zh-CN" w:bidi="ar"/>
              </w:rPr>
              <w:t xml:space="preserve">投标人或制造商具有完善的售后服务体系，结合项目需求能够为客户提供优质的售后服务，从服务承诺、服务团队、服务内容等方面综合打分：</w:t>
            </w:r>
            <w:r/>
          </w:p>
          <w:p>
            <w:pPr>
              <w:numPr>
                <w:ilvl w:val="0"/>
                <w:numId w:val="4"/>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1.</w:t>
            </w:r>
            <w:r>
              <w:rPr>
                <w:color w:val="auto"/>
                <w:sz w:val="24"/>
                <w:szCs w:val="24"/>
                <w:highlight w:val="none"/>
              </w:rPr>
              <w:t xml:space="preserve">售后服务方案（含服务承诺、服务团队、服务内容）针对性极强，体系健全、方案完善详细、响应及保障措施充分可行，得</w:t>
            </w:r>
            <w:r>
              <w:rPr>
                <w:rStyle w:val="717"/>
                <w:b/>
                <w:bCs/>
                <w:color w:val="auto"/>
                <w:sz w:val="24"/>
                <w:szCs w:val="24"/>
                <w:highlight w:val="none"/>
              </w:rPr>
              <w:t xml:space="preserve">7 分</w:t>
            </w:r>
            <w:r>
              <w:rPr>
                <w:color w:val="auto"/>
                <w:sz w:val="24"/>
                <w:szCs w:val="24"/>
                <w:highlight w:val="none"/>
              </w:rPr>
              <w:t xml:space="preserve">；</w:t>
            </w:r>
            <w:r/>
          </w:p>
          <w:p>
            <w:pPr>
              <w:numPr>
                <w:ilvl w:val="0"/>
                <w:numId w:val="4"/>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2.</w:t>
            </w:r>
            <w:r>
              <w:rPr>
                <w:color w:val="auto"/>
                <w:sz w:val="24"/>
                <w:szCs w:val="24"/>
                <w:highlight w:val="none"/>
              </w:rPr>
              <w:t xml:space="preserve">售后服务方案（含服务承诺、服务团队、服务内容）针对性较强，体系较完善、内容较详细、保障措施较为充分，得</w:t>
            </w:r>
            <w:r>
              <w:rPr>
                <w:rStyle w:val="717"/>
                <w:rFonts w:hint="eastAsia" w:eastAsia="宋体"/>
                <w:b/>
                <w:bCs/>
                <w:color w:val="auto"/>
                <w:sz w:val="24"/>
                <w:szCs w:val="24"/>
                <w:highlight w:val="none"/>
                <w:lang w:val="en-US" w:eastAsia="zh-CN"/>
              </w:rPr>
              <w:t xml:space="preserve">6</w:t>
            </w:r>
            <w:r>
              <w:rPr>
                <w:rStyle w:val="717"/>
                <w:b/>
                <w:bCs/>
                <w:color w:val="auto"/>
                <w:sz w:val="24"/>
                <w:szCs w:val="24"/>
                <w:highlight w:val="none"/>
              </w:rPr>
              <w:t xml:space="preserve">分</w:t>
            </w:r>
            <w:r>
              <w:rPr>
                <w:color w:val="auto"/>
                <w:sz w:val="24"/>
                <w:szCs w:val="24"/>
                <w:highlight w:val="none"/>
              </w:rPr>
              <w:t xml:space="preserve">；</w:t>
            </w:r>
            <w:r/>
          </w:p>
          <w:p>
            <w:pPr>
              <w:numPr>
                <w:ilvl w:val="0"/>
                <w:numId w:val="4"/>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3.</w:t>
            </w:r>
            <w:r>
              <w:rPr>
                <w:color w:val="auto"/>
                <w:sz w:val="24"/>
                <w:szCs w:val="24"/>
                <w:highlight w:val="none"/>
              </w:rPr>
              <w:t xml:space="preserve">售后服务方案（含服务承诺、服务团队、服务内容）具备基本针对性，体系基本完整、内容基本齐全、措施基本可行，得</w:t>
            </w:r>
            <w:r>
              <w:rPr>
                <w:rStyle w:val="717"/>
                <w:b/>
                <w:bCs/>
                <w:color w:val="auto"/>
                <w:sz w:val="24"/>
                <w:szCs w:val="24"/>
                <w:highlight w:val="none"/>
              </w:rPr>
              <w:t xml:space="preserve">4 分</w:t>
            </w:r>
            <w:r>
              <w:rPr>
                <w:color w:val="auto"/>
                <w:sz w:val="24"/>
                <w:szCs w:val="24"/>
                <w:highlight w:val="none"/>
              </w:rPr>
              <w:t xml:space="preserve">；</w:t>
            </w:r>
            <w:r/>
          </w:p>
          <w:p>
            <w:pPr>
              <w:numPr>
                <w:ilvl w:val="0"/>
                <w:numId w:val="4"/>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4.</w:t>
            </w:r>
            <w:r>
              <w:rPr>
                <w:color w:val="auto"/>
                <w:sz w:val="24"/>
                <w:szCs w:val="24"/>
                <w:highlight w:val="none"/>
              </w:rPr>
              <w:t xml:space="preserve">售后服务方案（含服务承诺、服务团队、服务内容）针对性较弱，内容存在缺失、体系不够完善、措施不够具体，得</w:t>
            </w:r>
            <w:r>
              <w:rPr>
                <w:rStyle w:val="717"/>
                <w:rFonts w:hint="eastAsia" w:eastAsia="宋体"/>
                <w:b/>
                <w:bCs/>
                <w:color w:val="auto"/>
                <w:sz w:val="24"/>
                <w:szCs w:val="24"/>
                <w:highlight w:val="none"/>
                <w:lang w:val="en-US" w:eastAsia="zh-CN"/>
              </w:rPr>
              <w:t xml:space="preserve">3</w:t>
            </w:r>
            <w:r>
              <w:rPr>
                <w:rStyle w:val="717"/>
                <w:b/>
                <w:bCs/>
                <w:color w:val="auto"/>
                <w:sz w:val="24"/>
                <w:szCs w:val="24"/>
                <w:highlight w:val="none"/>
              </w:rPr>
              <w:t xml:space="preserve">分</w:t>
            </w:r>
            <w:r>
              <w:rPr>
                <w:color w:val="auto"/>
                <w:sz w:val="24"/>
                <w:szCs w:val="24"/>
                <w:highlight w:val="none"/>
              </w:rPr>
              <w:t xml:space="preserve">；</w:t>
            </w:r>
            <w:r/>
          </w:p>
          <w:p>
            <w:pPr>
              <w:numPr>
                <w:ilvl w:val="0"/>
                <w:numId w:val="4"/>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5.</w:t>
            </w:r>
            <w:r>
              <w:rPr>
                <w:color w:val="auto"/>
                <w:sz w:val="24"/>
                <w:szCs w:val="24"/>
                <w:highlight w:val="none"/>
              </w:rPr>
              <w:t xml:space="preserve">售后服务方案内容缺失严重、不完善，或未提供相应方案的，得</w:t>
            </w:r>
            <w:r>
              <w:rPr>
                <w:rStyle w:val="717"/>
                <w:rFonts w:hint="eastAsia" w:eastAsia="宋体"/>
                <w:b/>
                <w:bCs/>
                <w:color w:val="auto"/>
                <w:sz w:val="24"/>
                <w:szCs w:val="24"/>
                <w:highlight w:val="none"/>
                <w:lang w:val="en-US" w:eastAsia="zh-CN"/>
              </w:rPr>
              <w:t xml:space="preserve">2</w:t>
            </w:r>
            <w:r>
              <w:rPr>
                <w:rStyle w:val="717"/>
                <w:b/>
                <w:bCs/>
                <w:color w:val="auto"/>
                <w:sz w:val="24"/>
                <w:szCs w:val="24"/>
                <w:highlight w:val="none"/>
              </w:rPr>
              <w:t xml:space="preserve"> 分</w:t>
            </w:r>
            <w:r>
              <w:rPr>
                <w:color w:val="auto"/>
                <w:sz w:val="24"/>
                <w:szCs w:val="24"/>
                <w:highlight w:val="none"/>
              </w:rPr>
              <w:t xml:space="preserve">。</w:t>
            </w:r>
            <w:r/>
          </w:p>
          <w:p>
            <w:pPr>
              <w:pStyle w:val="887"/>
              <w:numPr>
                <w:ilvl w:val="0"/>
                <w:numId w:val="0"/>
              </w:numPr>
              <w:ind w:left="0" w:right="0" w:firstLine="0"/>
              <w:jc w:val="left"/>
              <w:keepLines w:val="0"/>
              <w:keepNext w:val="0"/>
              <w:pageBreakBefore w:val="0"/>
              <w:spacing w:line="312" w:lineRule="auto"/>
              <w:rPr>
                <w:rFonts w:hint="default" w:ascii="宋体" w:hAnsi="宋体" w:cs="宋体"/>
                <w:color w:val="auto"/>
                <w:sz w:val="24"/>
                <w:szCs w:val="24"/>
                <w:highlight w:val="none"/>
                <w:lang w:val="en-US" w:eastAsia="zh-CN" w:bidi="ar"/>
              </w:rPr>
            </w:pPr>
            <w:r>
              <w:rPr>
                <w:rFonts w:hint="default" w:ascii="宋体" w:hAnsi="宋体" w:cs="宋体"/>
                <w:color w:val="auto"/>
                <w:sz w:val="24"/>
                <w:szCs w:val="24"/>
                <w:highlight w:val="none"/>
                <w:lang w:val="en-US" w:eastAsia="zh-CN" w:bidi="ar"/>
              </w:rPr>
            </w:r>
            <w:r/>
          </w:p>
        </w:tc>
      </w:tr>
      <w:tr>
        <w:trPr/>
        <w:tc>
          <w:tcPr>
            <w:tcW w:w="1565" w:type="dxa"/>
            <w:vAlign w:val="center"/>
            <w:textDirection w:val="lrTb"/>
            <w:noWrap w:val="false"/>
          </w:tcPr>
          <w:p>
            <w:pPr>
              <w:ind w:right="96" w:firstLine="105"/>
              <w:jc w:val="center"/>
              <w:keepLines w:val="0"/>
              <w:keepNext w:val="0"/>
              <w:pageBreakBefore w:val="0"/>
              <w:spacing w:before="5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项目的实施方案</w:t>
            </w:r>
            <w:r/>
          </w:p>
          <w:p>
            <w:pPr>
              <w:ind w:right="96" w:firstLine="105"/>
              <w:jc w:val="center"/>
              <w:keepLines w:val="0"/>
              <w:keepNext w:val="0"/>
              <w:pageBreakBefore w:val="0"/>
              <w:spacing w:before="50" w:line="312" w:lineRule="auto"/>
              <w:rPr>
                <w:rFonts w:hint="default"/>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（7分）</w:t>
            </w:r>
            <w:r/>
          </w:p>
        </w:tc>
        <w:tc>
          <w:tcPr>
            <w:tcW w:w="7022" w:type="dxa"/>
            <w:vAlign w:val="center"/>
            <w:textDirection w:val="lrTb"/>
            <w:noWrap w:val="false"/>
          </w:tcPr>
          <w:p>
            <w:pPr>
              <w:ind w:firstLine="482"/>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结合项目需求，投标人提供详细的项目实施方案，从项目实施进度安排、货物运输方案、交验方案、安装、调试方案等方面打分：</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1.</w:t>
            </w:r>
            <w:r>
              <w:rPr>
                <w:color w:val="auto"/>
                <w:sz w:val="24"/>
                <w:szCs w:val="24"/>
                <w:highlight w:val="none"/>
              </w:rPr>
              <w:t xml:space="preserve">项目实施方案（含实施进度、货物运输、交付验收、安装调试）针对性极强，内容全面完整、逻辑严谨、制度措施详尽完善，可操作性极强，得</w:t>
            </w:r>
            <w:r>
              <w:rPr>
                <w:rStyle w:val="717"/>
                <w:b/>
                <w:bCs/>
                <w:color w:val="auto"/>
                <w:sz w:val="24"/>
                <w:szCs w:val="24"/>
                <w:highlight w:val="none"/>
              </w:rPr>
              <w:t xml:space="preserve">7 分</w:t>
            </w:r>
            <w:r>
              <w:rPr>
                <w:color w:val="auto"/>
                <w:sz w:val="24"/>
                <w:szCs w:val="24"/>
                <w:highlight w:val="none"/>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2.</w:t>
            </w:r>
            <w:r>
              <w:rPr>
                <w:color w:val="auto"/>
                <w:sz w:val="24"/>
                <w:szCs w:val="24"/>
                <w:highlight w:val="none"/>
              </w:rPr>
              <w:t xml:space="preserve">项目实施方案（含实施进度、货物运输、交付验收、安装调试）针对性较强，内容较为全面，制度措施较为完善，可操作性较强，得</w:t>
            </w:r>
            <w:r>
              <w:rPr>
                <w:rStyle w:val="717"/>
                <w:rFonts w:hint="eastAsia" w:eastAsia="宋体"/>
                <w:b/>
                <w:bCs/>
                <w:color w:val="auto"/>
                <w:sz w:val="24"/>
                <w:szCs w:val="24"/>
                <w:highlight w:val="none"/>
                <w:lang w:val="en-US" w:eastAsia="zh-CN"/>
              </w:rPr>
              <w:t xml:space="preserve">6</w:t>
            </w:r>
            <w:r>
              <w:rPr>
                <w:rStyle w:val="717"/>
                <w:b/>
                <w:bCs/>
                <w:color w:val="auto"/>
                <w:sz w:val="24"/>
                <w:szCs w:val="24"/>
                <w:highlight w:val="none"/>
              </w:rPr>
              <w:t xml:space="preserve">分</w:t>
            </w:r>
            <w:r>
              <w:rPr>
                <w:color w:val="auto"/>
                <w:sz w:val="24"/>
                <w:szCs w:val="24"/>
                <w:highlight w:val="none"/>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3.</w:t>
            </w:r>
            <w:r>
              <w:rPr>
                <w:color w:val="auto"/>
                <w:sz w:val="24"/>
                <w:szCs w:val="24"/>
                <w:highlight w:val="none"/>
              </w:rPr>
              <w:t xml:space="preserve">项目实施方案（含实施进度、货物运输、交付验收、安装调试）具备基本针对性，内容基本完整，制度措施基本可行，得</w:t>
            </w:r>
            <w:r>
              <w:rPr>
                <w:rStyle w:val="717"/>
                <w:b/>
                <w:bCs/>
                <w:color w:val="auto"/>
                <w:sz w:val="24"/>
                <w:szCs w:val="24"/>
                <w:highlight w:val="none"/>
              </w:rPr>
              <w:t xml:space="preserve">4 分</w:t>
            </w:r>
            <w:r>
              <w:rPr>
                <w:color w:val="auto"/>
                <w:sz w:val="24"/>
                <w:szCs w:val="24"/>
                <w:highlight w:val="none"/>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4.</w:t>
            </w:r>
            <w:r>
              <w:rPr>
                <w:color w:val="auto"/>
                <w:sz w:val="24"/>
                <w:szCs w:val="24"/>
                <w:highlight w:val="none"/>
              </w:rPr>
              <w:t xml:space="preserve">项目实施方案（含实施进度、货物运输、交付验收、安装调试）针对性较弱，内容存在少量缺失，制度措施不够完善，得</w:t>
            </w:r>
            <w:r>
              <w:rPr>
                <w:rFonts w:hint="eastAsia" w:eastAsia="宋体"/>
                <w:color w:val="auto"/>
                <w:sz w:val="24"/>
                <w:szCs w:val="24"/>
                <w:highlight w:val="none"/>
                <w:lang w:val="en-US" w:eastAsia="zh-CN"/>
              </w:rPr>
              <w:t xml:space="preserve">3</w:t>
            </w:r>
            <w:r>
              <w:rPr>
                <w:rStyle w:val="717"/>
                <w:b/>
                <w:bCs/>
                <w:color w:val="auto"/>
                <w:sz w:val="24"/>
                <w:szCs w:val="24"/>
                <w:highlight w:val="none"/>
              </w:rPr>
              <w:t xml:space="preserve">分</w:t>
            </w:r>
            <w:r>
              <w:rPr>
                <w:color w:val="auto"/>
                <w:sz w:val="24"/>
                <w:szCs w:val="24"/>
                <w:highlight w:val="none"/>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color w:val="auto"/>
                <w:sz w:val="24"/>
                <w:szCs w:val="24"/>
                <w:highlight w:val="none"/>
                <w:lang w:val="en-US" w:eastAsia="zh-CN"/>
              </w:rPr>
              <w:t xml:space="preserve">5.</w:t>
            </w:r>
            <w:r>
              <w:rPr>
                <w:color w:val="auto"/>
                <w:sz w:val="24"/>
                <w:szCs w:val="24"/>
                <w:highlight w:val="none"/>
              </w:rPr>
              <w:t xml:space="preserve">项目实施方案（含实施进度、货物运输、交付验收、安装调试）内容缺失较多、不完善，或未提供相应方案的，得</w:t>
            </w:r>
            <w:r>
              <w:rPr>
                <w:rStyle w:val="717"/>
                <w:rFonts w:hint="eastAsia" w:eastAsia="宋体"/>
                <w:b/>
                <w:bCs/>
                <w:color w:val="auto"/>
                <w:sz w:val="24"/>
                <w:szCs w:val="24"/>
                <w:highlight w:val="none"/>
                <w:lang w:val="en-US" w:eastAsia="zh-CN"/>
              </w:rPr>
              <w:t xml:space="preserve">2</w:t>
            </w:r>
            <w:r>
              <w:rPr>
                <w:rStyle w:val="717"/>
                <w:b/>
                <w:bCs/>
                <w:color w:val="auto"/>
                <w:sz w:val="24"/>
                <w:szCs w:val="24"/>
                <w:highlight w:val="none"/>
              </w:rPr>
              <w:t xml:space="preserve"> 分</w:t>
            </w:r>
            <w:r>
              <w:rPr>
                <w:color w:val="auto"/>
                <w:sz w:val="24"/>
                <w:szCs w:val="24"/>
                <w:highlight w:val="none"/>
              </w:rPr>
              <w:t xml:space="preserve">。</w:t>
            </w:r>
            <w:r/>
          </w:p>
          <w:p>
            <w:pPr>
              <w:keepLines w:val="0"/>
              <w:keepNext w:val="0"/>
              <w:pageBreakBefore w:val="0"/>
              <w:spacing w:line="312" w:lineRule="auto"/>
              <w:rPr>
                <w:rFonts w:hint="default" w:ascii="宋体" w:hAnsi="宋体" w:cs="宋体"/>
                <w:color w:val="auto"/>
                <w:sz w:val="24"/>
                <w:szCs w:val="24"/>
                <w:highlight w:val="none"/>
                <w:lang w:val="en-US" w:eastAsia="zh-CN" w:bidi="ar"/>
              </w:rPr>
            </w:pPr>
            <w:r>
              <w:rPr>
                <w:rFonts w:hint="default" w:ascii="宋体" w:hAnsi="宋体" w:cs="宋体"/>
                <w:color w:val="auto"/>
                <w:sz w:val="24"/>
                <w:szCs w:val="24"/>
                <w:highlight w:val="none"/>
                <w:lang w:val="en-US" w:eastAsia="zh-CN" w:bidi="ar"/>
              </w:rPr>
            </w:r>
            <w:r/>
          </w:p>
        </w:tc>
      </w:tr>
      <w:tr>
        <w:trPr/>
        <w:tc>
          <w:tcPr>
            <w:tcW w:w="1565" w:type="dxa"/>
            <w:vAlign w:val="center"/>
            <w:textDirection w:val="lrTb"/>
            <w:noWrap w:val="false"/>
          </w:tcPr>
          <w:p>
            <w:pPr>
              <w:ind w:left="0" w:right="0" w:firstLine="0"/>
              <w:jc w:val="center"/>
              <w:keepLines w:val="0"/>
              <w:keepNext w:val="0"/>
              <w:pageBreakBefore w:val="0"/>
              <w:spacing w:before="0" w:after="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质量保障措施</w:t>
            </w:r>
            <w:r/>
          </w:p>
          <w:p>
            <w:pPr>
              <w:ind w:left="0" w:right="0" w:firstLine="0"/>
              <w:jc w:val="center"/>
              <w:keepLines w:val="0"/>
              <w:keepNext w:val="0"/>
              <w:pageBreakBefore w:val="0"/>
              <w:spacing w:before="0" w:after="0" w:line="312" w:lineRule="auto"/>
              <w:rPr>
                <w:rFonts w:hint="default"/>
                <w:color w:val="auto"/>
                <w:sz w:val="24"/>
                <w:szCs w:val="24"/>
                <w:highlight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022" w:type="dxa"/>
            <w:vAlign w:val="center"/>
            <w:textDirection w:val="lrTb"/>
            <w:noWrap w:val="false"/>
          </w:tcPr>
          <w:p>
            <w:pPr>
              <w:ind w:left="0" w:right="0" w:firstLine="480"/>
              <w:jc w:val="both"/>
              <w:keepLines w:val="0"/>
              <w:keepNext w:val="0"/>
              <w:pageBreakBefore w:val="0"/>
              <w:spacing w:before="0" w:after="0" w:line="312" w:lineRule="auto"/>
              <w:rPr>
                <w:rFonts w:hint="default" w:ascii="宋体" w:hAnsi="宋体" w:cs="宋体"/>
                <w:b/>
                <w:bCs/>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cs="宋体"/>
                <w:b/>
                <w:bCs/>
                <w:color w:val="auto"/>
                <w:sz w:val="24"/>
                <w:szCs w:val="24"/>
                <w:highlight w:val="none"/>
                <w:lang w:val="en-US" w:eastAsia="zh-CN" w:bidi="ar"/>
              </w:rPr>
              <w:t xml:space="preserve">对投标人提供的供货车辆质量保障措施（包括但不限于：车辆生产时质量监督及保证措施、成产后对车辆质量的检测、质检流程图、监管责任表、质保体系、企业的质量文化等）进行综合评审，具体评分标准如下：</w:t>
            </w:r>
            <w:r/>
          </w:p>
          <w:p>
            <w:pPr>
              <w:ind w:left="0" w:right="0" w:firstLine="0"/>
              <w:jc w:val="both"/>
              <w:keepLines w:val="0"/>
              <w:keepNext w:val="0"/>
              <w:pageBreakBefore w:val="0"/>
              <w:spacing w:before="0" w:after="0" w:line="312" w:lineRule="auto"/>
              <w:rPr>
                <w:rFonts w:hint="default" w:ascii="宋体" w:hAnsi="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
              </w:rPr>
              <w:t xml:space="preserve">1.</w:t>
            </w:r>
            <w:r>
              <w:rPr>
                <w:rFonts w:hint="default" w:ascii="宋体" w:hAnsi="宋体" w:cs="宋体"/>
                <w:color w:val="auto"/>
                <w:sz w:val="24"/>
                <w:szCs w:val="24"/>
                <w:highlight w:val="none"/>
                <w:lang w:val="en-US" w:eastAsia="zh-CN" w:bidi="ar"/>
              </w:rPr>
              <w:t xml:space="preserve">质量保障措施内容完整全面、考虑周全细致，各环节（生产监督、产后检测、质检流程、监管责任、质保体系、质量文化等）描述详实具体、针对性极强，可直接落地执行，无任何遗漏，得7分；</w:t>
            </w:r>
            <w:r/>
          </w:p>
          <w:p>
            <w:pPr>
              <w:ind w:left="0" w:right="0" w:firstLine="0"/>
              <w:jc w:val="both"/>
              <w:keepLines w:val="0"/>
              <w:keepNext w:val="0"/>
              <w:pageBreakBefore w:val="0"/>
              <w:spacing w:before="0" w:after="0" w:line="312" w:lineRule="auto"/>
              <w:rPr>
                <w:rFonts w:hint="default" w:ascii="宋体" w:hAnsi="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
              </w:rPr>
              <w:t xml:space="preserve">2.</w:t>
            </w:r>
            <w:r>
              <w:rPr>
                <w:rFonts w:hint="default" w:ascii="宋体" w:hAnsi="宋体" w:cs="宋体"/>
                <w:color w:val="auto"/>
                <w:sz w:val="24"/>
                <w:szCs w:val="24"/>
                <w:highlight w:val="none"/>
                <w:lang w:val="en-US" w:eastAsia="zh-CN" w:bidi="ar"/>
              </w:rPr>
              <w:t xml:space="preserve">质量保障措施内容较完整、考虑较周全，各核心环节描述较具体、针对性较强，无关键内容缺失，可操作性较强，得</w:t>
            </w:r>
            <w:r>
              <w:rPr>
                <w:rFonts w:hint="eastAsia" w:ascii="宋体" w:hAnsi="宋体" w:cs="宋体"/>
                <w:color w:val="auto"/>
                <w:sz w:val="24"/>
                <w:szCs w:val="24"/>
                <w:highlight w:val="none"/>
                <w:lang w:val="en-US" w:eastAsia="zh-CN" w:bidi="ar"/>
              </w:rPr>
              <w:t xml:space="preserve">6</w:t>
            </w:r>
            <w:r>
              <w:rPr>
                <w:rFonts w:hint="default" w:ascii="宋体" w:hAnsi="宋体" w:cs="宋体"/>
                <w:color w:val="auto"/>
                <w:sz w:val="24"/>
                <w:szCs w:val="24"/>
                <w:highlight w:val="none"/>
                <w:lang w:val="en-US" w:eastAsia="zh-CN" w:bidi="ar"/>
              </w:rPr>
              <w:t xml:space="preserve">分；</w:t>
            </w:r>
            <w:r/>
          </w:p>
          <w:p>
            <w:pPr>
              <w:ind w:left="0" w:right="0" w:firstLine="0"/>
              <w:jc w:val="both"/>
              <w:keepLines w:val="0"/>
              <w:keepNext w:val="0"/>
              <w:pageBreakBefore w:val="0"/>
              <w:spacing w:before="0" w:after="0" w:line="312" w:lineRule="auto"/>
              <w:rPr>
                <w:rFonts w:hint="default" w:ascii="宋体" w:hAnsi="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
              </w:rPr>
              <w:t xml:space="preserve">3.</w:t>
            </w:r>
            <w:r>
              <w:rPr>
                <w:rFonts w:hint="default" w:ascii="宋体" w:hAnsi="宋体" w:cs="宋体"/>
                <w:color w:val="auto"/>
                <w:sz w:val="24"/>
                <w:szCs w:val="24"/>
                <w:highlight w:val="none"/>
                <w:lang w:val="en-US" w:eastAsia="zh-CN" w:bidi="ar"/>
              </w:rPr>
              <w:t xml:space="preserve">质量保障措施内容基本完整，各环节有明确表述，无重大内容缺失，描述基本具体、具备基本针对性和可操作性，得4分；</w:t>
            </w:r>
            <w:r/>
          </w:p>
          <w:p>
            <w:pPr>
              <w:ind w:left="0" w:right="0" w:firstLine="0"/>
              <w:jc w:val="both"/>
              <w:keepLines w:val="0"/>
              <w:keepNext w:val="0"/>
              <w:pageBreakBefore w:val="0"/>
              <w:spacing w:before="0" w:after="0" w:line="312" w:lineRule="auto"/>
              <w:rPr>
                <w:rFonts w:hint="default" w:ascii="宋体" w:hAnsi="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
              </w:rPr>
              <w:t xml:space="preserve">4.</w:t>
            </w:r>
            <w:r>
              <w:rPr>
                <w:rFonts w:hint="default" w:ascii="宋体" w:hAnsi="宋体" w:cs="宋体"/>
                <w:color w:val="auto"/>
                <w:sz w:val="24"/>
                <w:szCs w:val="24"/>
                <w:highlight w:val="none"/>
                <w:lang w:val="en-US" w:eastAsia="zh-CN" w:bidi="ar"/>
              </w:rPr>
              <w:t xml:space="preserve">质量保障措施内容不够完整，存在部分核心环节缺失，各环节描述较笼统，针对性较弱，未明确具体操作内容和措施，得</w:t>
            </w:r>
            <w:r>
              <w:rPr>
                <w:rFonts w:hint="eastAsia" w:ascii="宋体" w:hAnsi="宋体" w:cs="宋体"/>
                <w:color w:val="auto"/>
                <w:sz w:val="24"/>
                <w:szCs w:val="24"/>
                <w:highlight w:val="none"/>
                <w:lang w:val="en-US" w:eastAsia="zh-CN" w:bidi="ar"/>
              </w:rPr>
              <w:t xml:space="preserve">3</w:t>
            </w:r>
            <w:r>
              <w:rPr>
                <w:rFonts w:hint="default" w:ascii="宋体" w:hAnsi="宋体" w:cs="宋体"/>
                <w:color w:val="auto"/>
                <w:sz w:val="24"/>
                <w:szCs w:val="24"/>
                <w:highlight w:val="none"/>
                <w:lang w:val="en-US" w:eastAsia="zh-CN" w:bidi="ar"/>
              </w:rPr>
              <w:t xml:space="preserve">分；</w:t>
            </w:r>
            <w:r/>
          </w:p>
          <w:p>
            <w:pPr>
              <w:ind w:left="0" w:right="0" w:firstLine="0"/>
              <w:jc w:val="both"/>
              <w:keepLines w:val="0"/>
              <w:keepNext w:val="0"/>
              <w:pageBreakBefore w:val="0"/>
              <w:spacing w:before="0" w:after="0" w:line="312" w:lineRule="auto"/>
              <w:rPr>
                <w:rFonts w:hint="default" w:ascii="宋体" w:hAnsi="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
              </w:rPr>
              <w:t xml:space="preserve">5.</w:t>
            </w:r>
            <w:r>
              <w:rPr>
                <w:rFonts w:hint="default" w:ascii="宋体" w:hAnsi="宋体" w:cs="宋体"/>
                <w:color w:val="auto"/>
                <w:sz w:val="24"/>
                <w:szCs w:val="24"/>
                <w:highlight w:val="none"/>
                <w:lang w:val="en-US" w:eastAsia="zh-CN" w:bidi="ar"/>
              </w:rPr>
              <w:t xml:space="preserve">质量保障措施内容缺失严重、表述混乱，或未提供任何质量保障措施的，得</w:t>
            </w:r>
            <w:r>
              <w:rPr>
                <w:rFonts w:hint="eastAsia" w:ascii="宋体" w:hAnsi="宋体" w:cs="宋体"/>
                <w:color w:val="auto"/>
                <w:sz w:val="24"/>
                <w:szCs w:val="24"/>
                <w:highlight w:val="none"/>
                <w:lang w:val="en-US" w:eastAsia="zh-CN" w:bidi="ar"/>
              </w:rPr>
              <w:t xml:space="preserve">2</w:t>
            </w:r>
            <w:r>
              <w:rPr>
                <w:rFonts w:hint="default" w:ascii="宋体" w:hAnsi="宋体" w:cs="宋体"/>
                <w:color w:val="auto"/>
                <w:sz w:val="24"/>
                <w:szCs w:val="24"/>
                <w:highlight w:val="none"/>
                <w:lang w:val="en-US" w:eastAsia="zh-CN" w:bidi="ar"/>
              </w:rPr>
              <w:t xml:space="preserve">分。</w:t>
            </w:r>
            <w:r/>
          </w:p>
        </w:tc>
      </w:tr>
    </w:tbl>
    <w:p>
      <w:pPr>
        <w:numPr>
          <w:ilvl w:val="0"/>
          <w:numId w:val="0"/>
        </w:numPr>
        <w:ind w:firstLine="482"/>
        <w:jc w:val="left"/>
        <w:keepLines w:val="0"/>
        <w:keepNext w:val="0"/>
        <w:pageBreakBefore w:val="0"/>
        <w:spacing w:line="360" w:lineRule="auto"/>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（3）商务分（19分）</w:t>
      </w:r>
      <w:r/>
    </w:p>
    <w:tbl>
      <w:tblPr>
        <w:tblStyle w:val="716"/>
        <w:tblW w:w="8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7042"/>
      </w:tblGrid>
      <w:tr>
        <w:trPr/>
        <w:tc>
          <w:tcPr>
            <w:tcW w:w="1545" w:type="dxa"/>
            <w:vAlign w:val="top"/>
            <w:textDirection w:val="lrTb"/>
            <w:noWrap w:val="false"/>
          </w:tcPr>
          <w:p>
            <w:pPr>
              <w:numPr>
                <w:ilvl w:val="0"/>
                <w:numId w:val="0"/>
              </w:numPr>
              <w:jc w:val="center"/>
              <w:keepLines w:val="0"/>
              <w:keepNext w:val="0"/>
              <w:pageBreakBefore w:val="0"/>
              <w:spacing w:after="0" w:line="360" w:lineRule="auto"/>
              <w:rPr>
                <w:rFonts w:hint="eastAsia"/>
                <w:color w:val="auto"/>
                <w:sz w:val="24"/>
                <w:szCs w:val="24"/>
                <w:highlight w:val="none"/>
                <w:vertAlign w:val="baseline"/>
              </w:rPr>
            </w:pPr>
            <w:r>
              <w:rPr>
                <w:rFonts w:hint="eastAsia"/>
                <w:color w:val="auto"/>
                <w:sz w:val="24"/>
                <w:szCs w:val="24"/>
                <w:highlight w:val="none"/>
                <w:vertAlign w:val="baseline"/>
                <w:lang w:val="en-US" w:eastAsia="zh-CN"/>
              </w:rPr>
              <w:t xml:space="preserve">评分因素</w:t>
            </w:r>
            <w:r/>
          </w:p>
        </w:tc>
        <w:tc>
          <w:tcPr>
            <w:tcW w:w="7042" w:type="dxa"/>
            <w:vAlign w:val="top"/>
            <w:textDirection w:val="lrTb"/>
            <w:noWrap w:val="false"/>
          </w:tcPr>
          <w:p>
            <w:pPr>
              <w:numPr>
                <w:ilvl w:val="0"/>
                <w:numId w:val="0"/>
              </w:numPr>
              <w:ind w:left="0" w:firstLine="480"/>
              <w:jc w:val="center"/>
              <w:keepLines w:val="0"/>
              <w:keepNext w:val="0"/>
              <w:pageBreakBefore w:val="0"/>
              <w:spacing w:after="0" w:line="360" w:lineRule="auto"/>
              <w:rPr>
                <w:rFonts w:hint="eastAsia"/>
                <w:color w:val="auto"/>
                <w:sz w:val="24"/>
                <w:szCs w:val="24"/>
                <w:highlight w:val="none"/>
                <w:vertAlign w:val="baseline"/>
              </w:rPr>
            </w:pPr>
            <w:r>
              <w:rPr>
                <w:rFonts w:hint="eastAsia"/>
                <w:color w:val="auto"/>
                <w:sz w:val="24"/>
                <w:szCs w:val="24"/>
                <w:highlight w:val="none"/>
                <w:vertAlign w:val="baseline"/>
                <w:lang w:val="en-US" w:eastAsia="zh-CN"/>
              </w:rPr>
              <w:t xml:space="preserve">评分标准</w:t>
            </w:r>
            <w:r/>
          </w:p>
        </w:tc>
      </w:tr>
      <w:tr>
        <w:trPr/>
        <w:tc>
          <w:tcPr>
            <w:tcW w:w="1545" w:type="dxa"/>
            <w:vAlign w:val="center"/>
            <w:textDirection w:val="lrTb"/>
            <w:noWrap w:val="false"/>
          </w:tcPr>
          <w:p>
            <w:pPr>
              <w:jc w:val="center"/>
              <w:keepLines w:val="0"/>
              <w:keepNext w:val="0"/>
              <w:pageBreakBefore w:val="0"/>
              <w:spacing w:after="0" w:line="360" w:lineRule="auto"/>
              <w:rPr>
                <w:rFonts w:hint="eastAsia"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t xml:space="preserve">业绩</w:t>
            </w:r>
            <w:r/>
          </w:p>
          <w:p>
            <w:pPr>
              <w:jc w:val="center"/>
              <w:keepLines w:val="0"/>
              <w:keepNext w:val="0"/>
              <w:pageBreakBefore w:val="0"/>
              <w:spacing w:after="0" w:line="360" w:lineRule="auto"/>
              <w:rPr>
                <w:rFonts w:hint="eastAsia"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t xml:space="preserve">（10分）</w:t>
            </w:r>
            <w:r/>
          </w:p>
        </w:tc>
        <w:tc>
          <w:tcPr>
            <w:tcW w:w="7042" w:type="dxa"/>
            <w:textDirection w:val="lrTb"/>
            <w:noWrap w:val="false"/>
          </w:tcPr>
          <w:p>
            <w:p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rPr>
              <w:t xml:space="preserve">投标人或所投产品制造商</w:t>
            </w:r>
            <w:r>
              <w:rPr>
                <w:rStyle w:val="717"/>
                <w:rFonts w:ascii="宋体" w:hAnsi="宋体" w:eastAsia="宋体" w:cs="宋体"/>
                <w:b/>
                <w:bCs/>
                <w:color w:val="auto"/>
                <w:sz w:val="24"/>
                <w:szCs w:val="24"/>
                <w:highlight w:val="none"/>
              </w:rPr>
              <w:t xml:space="preserve">自 2021 年 4 月 1 日起（以合同签订时间为准）</w:t>
            </w:r>
            <w:r>
              <w:rPr>
                <w:rFonts w:ascii="宋体" w:hAnsi="宋体" w:eastAsia="宋体" w:cs="宋体"/>
                <w:color w:val="auto"/>
                <w:sz w:val="24"/>
                <w:szCs w:val="24"/>
                <w:highlight w:val="none"/>
              </w:rPr>
              <w:t xml:space="preserve">，具有同类车辆销售业绩的，</w:t>
            </w:r>
            <w:r>
              <w:rPr>
                <w:rStyle w:val="717"/>
                <w:rFonts w:ascii="宋体" w:hAnsi="宋体" w:eastAsia="宋体" w:cs="宋体"/>
                <w:b/>
                <w:bCs/>
                <w:color w:val="auto"/>
                <w:sz w:val="24"/>
                <w:szCs w:val="24"/>
                <w:highlight w:val="none"/>
              </w:rPr>
              <w:t xml:space="preserve">每提供 1 份有效业绩得 2 分，本项最高得 10 分</w:t>
            </w:r>
            <w:r>
              <w:rPr>
                <w:rFonts w:ascii="宋体" w:hAnsi="宋体" w:eastAsia="宋体" w:cs="宋体"/>
                <w:color w:val="auto"/>
                <w:sz w:val="24"/>
                <w:szCs w:val="24"/>
                <w:highlight w:val="none"/>
              </w:rPr>
              <w:t xml:space="preserve">。注：须提供</w:t>
            </w:r>
            <w:r>
              <w:rPr>
                <w:rStyle w:val="717"/>
                <w:rFonts w:ascii="宋体" w:hAnsi="宋体" w:eastAsia="宋体" w:cs="宋体"/>
                <w:b/>
                <w:bCs/>
                <w:color w:val="auto"/>
                <w:sz w:val="24"/>
                <w:szCs w:val="24"/>
                <w:highlight w:val="none"/>
              </w:rPr>
              <w:t xml:space="preserve">中标通知书或合同彩色扫描件</w:t>
            </w:r>
            <w:r>
              <w:rPr>
                <w:rFonts w:ascii="宋体" w:hAnsi="宋体" w:eastAsia="宋体" w:cs="宋体"/>
                <w:color w:val="auto"/>
                <w:sz w:val="24"/>
                <w:szCs w:val="24"/>
                <w:highlight w:val="none"/>
              </w:rPr>
              <w:t xml:space="preserve">作为证明材料，未提供或提供不全的，本项不得分。</w:t>
            </w:r>
            <w:r/>
          </w:p>
        </w:tc>
      </w:tr>
      <w:tr>
        <w:trPr/>
        <w:tc>
          <w:tcPr>
            <w:tcW w:w="1545" w:type="dxa"/>
            <w:vAlign w:val="center"/>
            <w:textDirection w:val="lrTb"/>
            <w:noWrap w:val="false"/>
          </w:tcPr>
          <w:p>
            <w:pPr>
              <w:jc w:val="center"/>
              <w:keepLines w:val="0"/>
              <w:keepNext w:val="0"/>
              <w:pageBreakBefore w:val="0"/>
              <w:spacing w:after="0" w:line="360" w:lineRule="auto"/>
              <w:rPr>
                <w:rFonts w:hint="eastAsia"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t xml:space="preserve">企业实力</w:t>
            </w:r>
            <w:r/>
          </w:p>
          <w:p>
            <w:pPr>
              <w:jc w:val="center"/>
              <w:keepLines w:val="0"/>
              <w:keepNext w:val="0"/>
              <w:pageBreakBefore w:val="0"/>
              <w:spacing w:after="0" w:line="360" w:lineRule="auto"/>
              <w:rPr>
                <w:rFonts w:hint="default"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t xml:space="preserve">（9分）</w:t>
            </w:r>
            <w:r/>
          </w:p>
        </w:tc>
        <w:tc>
          <w:tcPr>
            <w:tcW w:w="7042" w:type="dxa"/>
            <w:textDirection w:val="lrTb"/>
            <w:noWrap w:val="false"/>
          </w:tcPr>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投标人或所投产品制造商具有售后服务相关认证证书的，</w:t>
            </w:r>
            <w:r>
              <w:rPr>
                <w:rStyle w:val="717"/>
                <w:rFonts w:hint="default" w:ascii="宋体" w:hAnsi="宋体" w:eastAsia="宋体" w:cs="宋体"/>
                <w:b/>
                <w:bCs/>
                <w:color w:val="auto"/>
                <w:sz w:val="24"/>
                <w:szCs w:val="24"/>
                <w:highlight w:val="none"/>
                <w:lang w:val="en-US" w:eastAsia="zh-CN" w:bidi="ar"/>
              </w:rPr>
              <w:t xml:space="preserve">五星级以下（不含五星级）得 1 分，达到五星级得 3 分</w:t>
            </w:r>
            <w:r>
              <w:rPr>
                <w:rFonts w:hint="default" w:ascii="宋体" w:hAnsi="宋体" w:eastAsia="宋体" w:cs="宋体"/>
                <w:color w:val="auto"/>
                <w:sz w:val="24"/>
                <w:szCs w:val="24"/>
                <w:highlight w:val="none"/>
                <w:lang w:val="en-US" w:eastAsia="zh-CN" w:bidi="ar"/>
              </w:rPr>
              <w:t xml:space="preserve">。认证结果以</w:t>
            </w:r>
            <w:r>
              <w:rPr>
                <w:rStyle w:val="717"/>
                <w:rFonts w:hint="default" w:ascii="宋体" w:hAnsi="宋体" w:eastAsia="宋体" w:cs="宋体"/>
                <w:b/>
                <w:bCs/>
                <w:color w:val="auto"/>
                <w:sz w:val="24"/>
                <w:szCs w:val="24"/>
                <w:highlight w:val="none"/>
                <w:lang w:val="en-US" w:eastAsia="zh-CN" w:bidi="ar"/>
              </w:rPr>
              <w:t xml:space="preserve">国家认证认可监督管理委员会平台查询结果为准（网址：</w:t>
            </w:r>
            <w:r>
              <w:rPr>
                <w:rStyle w:val="717"/>
                <w:rFonts w:hint="default" w:ascii="宋体" w:hAnsi="宋体" w:eastAsia="宋体" w:cs="宋体"/>
                <w:b/>
                <w:bCs/>
                <w:color w:val="auto"/>
                <w:sz w:val="24"/>
                <w:szCs w:val="24"/>
                <w:highlight w:val="none"/>
                <w:lang w:val="en-US" w:eastAsia="zh-CN" w:bidi="ar"/>
              </w:rPr>
              <w:fldChar w:fldCharType="begin"/>
            </w:r>
            <w:r>
              <w:rPr>
                <w:rStyle w:val="717"/>
                <w:rFonts w:hint="default" w:ascii="宋体" w:hAnsi="宋体" w:eastAsia="宋体" w:cs="宋体"/>
                <w:b/>
                <w:bCs/>
                <w:color w:val="auto"/>
                <w:sz w:val="24"/>
                <w:szCs w:val="24"/>
                <w:highlight w:val="none"/>
                <w:lang w:val="en-US" w:eastAsia="zh-CN" w:bidi="ar"/>
              </w:rPr>
              <w:instrText xml:space="preserve"> HYPERLINK "http://cx.cnca.cn/" \t "_blank" </w:instrText>
            </w:r>
            <w:r>
              <w:rPr>
                <w:rStyle w:val="717"/>
                <w:rFonts w:hint="default" w:ascii="宋体" w:hAnsi="宋体" w:eastAsia="宋体" w:cs="宋体"/>
                <w:b/>
                <w:bCs/>
                <w:color w:val="auto"/>
                <w:sz w:val="24"/>
                <w:szCs w:val="24"/>
                <w:highlight w:val="none"/>
                <w:lang w:val="en-US" w:eastAsia="zh-CN" w:bidi="ar"/>
              </w:rPr>
              <w:fldChar w:fldCharType="separate"/>
            </w:r>
            <w:r>
              <w:rPr>
                <w:rStyle w:val="720"/>
                <w:rFonts w:ascii="宋体" w:hAnsi="宋体" w:eastAsia="宋体" w:cs="宋体"/>
                <w:b/>
                <w:bCs/>
                <w:color w:val="auto"/>
                <w:sz w:val="24"/>
                <w:szCs w:val="24"/>
                <w:highlight w:val="none"/>
              </w:rPr>
              <w:t xml:space="preserve">http://cx.cnca.cn/</w:t>
            </w:r>
            <w:r>
              <w:rPr>
                <w:rStyle w:val="717"/>
                <w:rFonts w:hint="default" w:ascii="宋体" w:hAnsi="宋体" w:eastAsia="宋体" w:cs="宋体"/>
                <w:b/>
                <w:bCs/>
                <w:color w:val="auto"/>
                <w:sz w:val="24"/>
                <w:szCs w:val="24"/>
                <w:highlight w:val="none"/>
                <w:lang w:val="en-US" w:eastAsia="zh-CN" w:bidi="ar"/>
              </w:rPr>
              <w:fldChar w:fldCharType="end"/>
            </w:r>
            <w:r>
              <w:rPr>
                <w:rStyle w:val="717"/>
                <w:rFonts w:hint="default" w:ascii="宋体" w:hAnsi="宋体" w:eastAsia="宋体" w:cs="宋体"/>
                <w:b/>
                <w:bCs/>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，投标文件须附查询结果网页截图，未提供或不符合要求的不得分。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投标人或所投产品制造商具有</w:t>
            </w:r>
            <w:r>
              <w:rPr>
                <w:rStyle w:val="717"/>
                <w:rFonts w:hint="default" w:ascii="宋体" w:hAnsi="宋体" w:eastAsia="宋体" w:cs="宋体"/>
                <w:b/>
                <w:bCs/>
                <w:color w:val="auto"/>
                <w:sz w:val="24"/>
                <w:szCs w:val="24"/>
                <w:highlight w:val="none"/>
                <w:lang w:val="en-US" w:eastAsia="zh-CN" w:bidi="ar"/>
              </w:rPr>
              <w:t xml:space="preserve">质量管理体系认证、环境管理体系认证、职业健康安全管理体系认证</w:t>
            </w:r>
            <w:r>
              <w:rPr>
                <w:rFonts w:hint="default" w:ascii="宋体" w:hAnsi="宋体" w:eastAsia="宋体" w:cs="宋体"/>
                <w:color w:val="auto"/>
                <w:sz w:val="24"/>
                <w:szCs w:val="24"/>
                <w:highlight w:val="none"/>
                <w:lang w:val="en-US" w:eastAsia="zh-CN" w:bidi="ar"/>
              </w:rPr>
              <w:t xml:space="preserve">的，</w:t>
            </w:r>
            <w:r>
              <w:rPr>
                <w:rStyle w:val="717"/>
                <w:rFonts w:hint="default" w:ascii="宋体" w:hAnsi="宋体" w:eastAsia="宋体" w:cs="宋体"/>
                <w:b/>
                <w:bCs/>
                <w:color w:val="auto"/>
                <w:sz w:val="24"/>
                <w:szCs w:val="24"/>
                <w:highlight w:val="none"/>
                <w:lang w:val="en-US" w:eastAsia="zh-CN" w:bidi="ar"/>
              </w:rPr>
              <w:t xml:space="preserve">每具备 1 项得 2 分，本项最高得 6 分</w:t>
            </w:r>
            <w:r>
              <w:rPr>
                <w:rFonts w:hint="default" w:ascii="宋体" w:hAnsi="宋体" w:eastAsia="宋体" w:cs="宋体"/>
                <w:color w:val="auto"/>
                <w:sz w:val="24"/>
                <w:szCs w:val="24"/>
                <w:highlight w:val="none"/>
                <w:lang w:val="en-US" w:eastAsia="zh-CN" w:bidi="ar"/>
              </w:rPr>
              <w:t xml:space="preserve">。须提供证书彩色扫描件及</w:t>
            </w:r>
            <w:r>
              <w:rPr>
                <w:rStyle w:val="717"/>
                <w:rFonts w:hint="default" w:ascii="宋体" w:hAnsi="宋体" w:eastAsia="宋体" w:cs="宋体"/>
                <w:b/>
                <w:bCs/>
                <w:color w:val="auto"/>
                <w:sz w:val="24"/>
                <w:szCs w:val="24"/>
                <w:highlight w:val="none"/>
                <w:lang w:val="en-US" w:eastAsia="zh-CN" w:bidi="ar"/>
              </w:rPr>
              <w:t xml:space="preserve">国家认证认可监督管理委员会官网（</w:t>
            </w:r>
            <w:r>
              <w:rPr>
                <w:rStyle w:val="717"/>
                <w:rFonts w:hint="default" w:ascii="宋体" w:hAnsi="宋体" w:eastAsia="宋体" w:cs="宋体"/>
                <w:b/>
                <w:bCs/>
                <w:color w:val="auto"/>
                <w:sz w:val="24"/>
                <w:szCs w:val="24"/>
                <w:highlight w:val="none"/>
                <w:lang w:val="en-US" w:eastAsia="zh-CN" w:bidi="ar"/>
              </w:rPr>
              <w:fldChar w:fldCharType="begin"/>
            </w:r>
            <w:r>
              <w:rPr>
                <w:rStyle w:val="717"/>
                <w:rFonts w:hint="default" w:ascii="宋体" w:hAnsi="宋体" w:eastAsia="宋体" w:cs="宋体"/>
                <w:b/>
                <w:bCs/>
                <w:color w:val="auto"/>
                <w:sz w:val="24"/>
                <w:szCs w:val="24"/>
                <w:highlight w:val="none"/>
                <w:lang w:val="en-US" w:eastAsia="zh-CN" w:bidi="ar"/>
              </w:rPr>
              <w:instrText xml:space="preserve"> HYPERLINK "http://www.cnca.gov.cn/" \t "_blank" </w:instrText>
            </w:r>
            <w:r>
              <w:rPr>
                <w:rStyle w:val="717"/>
                <w:rFonts w:hint="default" w:ascii="宋体" w:hAnsi="宋体" w:eastAsia="宋体" w:cs="宋体"/>
                <w:b/>
                <w:bCs/>
                <w:color w:val="auto"/>
                <w:sz w:val="24"/>
                <w:szCs w:val="24"/>
                <w:highlight w:val="none"/>
                <w:lang w:val="en-US" w:eastAsia="zh-CN" w:bidi="ar"/>
              </w:rPr>
              <w:fldChar w:fldCharType="separate"/>
            </w:r>
            <w:r>
              <w:rPr>
                <w:rStyle w:val="720"/>
                <w:rFonts w:ascii="宋体" w:hAnsi="宋体" w:eastAsia="宋体" w:cs="宋体"/>
                <w:b/>
                <w:bCs/>
                <w:color w:val="auto"/>
                <w:sz w:val="24"/>
                <w:szCs w:val="24"/>
                <w:highlight w:val="none"/>
              </w:rPr>
              <w:t xml:space="preserve">http://www.cnca.gov.cn/</w:t>
            </w:r>
            <w:r>
              <w:rPr>
                <w:rStyle w:val="717"/>
                <w:rFonts w:hint="default" w:ascii="宋体" w:hAnsi="宋体" w:eastAsia="宋体" w:cs="宋体"/>
                <w:b/>
                <w:bCs/>
                <w:color w:val="auto"/>
                <w:sz w:val="24"/>
                <w:szCs w:val="24"/>
                <w:highlight w:val="none"/>
                <w:lang w:val="en-US" w:eastAsia="zh-CN" w:bidi="ar"/>
              </w:rPr>
              <w:fldChar w:fldCharType="end"/>
            </w:r>
            <w:r>
              <w:rPr>
                <w:rStyle w:val="717"/>
                <w:rFonts w:hint="default" w:ascii="宋体" w:hAnsi="宋体" w:eastAsia="宋体" w:cs="宋体"/>
                <w:b/>
                <w:bCs/>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 证书查询页面截图作为佐证，未提供或材料不全的不得分。</w:t>
            </w:r>
            <w:r/>
          </w:p>
        </w:tc>
      </w:tr>
    </w:tbl>
    <w:p>
      <w:pPr>
        <w:ind w:firstLine="480"/>
        <w:jc w:val="left"/>
        <w:spacing w:line="500" w:lineRule="exact"/>
        <w:rPr>
          <w:rFonts w:hint="eastAsia"/>
          <w:color w:val="auto"/>
          <w:sz w:val="24"/>
          <w:szCs w:val="24"/>
          <w:highlight w:val="none"/>
        </w:rPr>
      </w:pPr>
      <w:r>
        <w:rPr>
          <w:rFonts w:hint="eastAsia"/>
          <w:color w:val="auto"/>
          <w:sz w:val="24"/>
          <w:szCs w:val="24"/>
          <w:highlight w:val="none"/>
        </w:rPr>
        <w:br w:type="page" w:clear="all"/>
      </w:r>
      <w:r/>
    </w:p>
    <w:p>
      <w:pPr>
        <w:pStyle w:val="681"/>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48"/>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color w:val="auto"/>
          <w:sz w:val="32"/>
          <w:szCs w:val="36"/>
          <w:highlight w:val="none"/>
        </w:rPr>
        <w:outlineLvl w:val="1"/>
      </w:pPr>
      <w:r>
        <w:rPr>
          <w:rFonts w:hint="eastAsia" w:ascii="宋体" w:hAnsi="宋体" w:eastAsia="宋体" w:cs="宋体"/>
          <w:color w:val="auto"/>
          <w:sz w:val="32"/>
          <w:szCs w:val="36"/>
          <w:highlight w:val="none"/>
        </w:rPr>
        <w:t xml:space="preserve">一、法人或者其他组织的营业执照等证明文件，自然人的身份证明</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2"/>
          <w:highlight w:val="none"/>
        </w:rPr>
        <w:outlineLvl w:val="1"/>
      </w:pPr>
      <w:r>
        <w:rPr>
          <w:rFonts w:hint="eastAsia" w:ascii="Arial" w:hAnsi="Arial" w:eastAsia="宋体" w:cs="Arial"/>
          <w:color w:val="auto"/>
          <w:sz w:val="32"/>
          <w:highlight w:val="non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b/>
          <w:color w:val="auto"/>
          <w:sz w:val="24"/>
          <w:highlight w:val="none"/>
        </w:rPr>
      </w:pPr>
      <w:r>
        <w:rPr>
          <w:rFonts w:hint="eastAsia"/>
          <w:b/>
          <w:color w:val="auto"/>
          <w:sz w:val="24"/>
          <w:highlight w:val="none"/>
        </w:rPr>
        <w:t xml:space="preserve">承诺函：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color w:val="auto"/>
          <w:sz w:val="24"/>
          <w:szCs w:val="24"/>
          <w:highlight w:val="none"/>
          <w:u w:val="single"/>
        </w:rPr>
        <w:t xml:space="preserve">供应商</w:t>
      </w:r>
      <w:r>
        <w:rPr>
          <w:rFonts w:hint="eastAsia"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四、具备履行合同所必需的设备和专业技术能力的声明及证明材料</w:t>
      </w:r>
      <w:r/>
    </w:p>
    <w:p>
      <w:pPr>
        <w:rPr>
          <w:color w:val="auto"/>
          <w:highlight w:val="none"/>
        </w:rPr>
      </w:pPr>
      <w:r>
        <w:rPr>
          <w:color w:val="auto"/>
          <w:highlight w:val="none"/>
        </w:rPr>
      </w:r>
      <w:r/>
    </w:p>
    <w:p>
      <w:pPr>
        <w:jc w:val="center"/>
        <w:spacing w:line="4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jc w:val="center"/>
        <w:spacing w:line="4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46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五、参加政府采购活动前3年内在经营活动中没有重大违法记录的书面声明</w:t>
      </w:r>
      <w:r/>
    </w:p>
    <w:p>
      <w:pPr>
        <w:rPr>
          <w:color w:val="auto"/>
          <w:highlight w:val="none"/>
        </w:rPr>
      </w:pPr>
      <w:r>
        <w:rPr>
          <w:color w:val="auto"/>
          <w:highlight w:val="none"/>
        </w:rPr>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六、落实政府采购政策需满足的资格要求的证明文件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七、特定资格要求的证明文件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八、法律、行政法规规定的其他条件的证明文件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 联系电话：</w:t>
      </w:r>
      <w:r>
        <w:rPr>
          <w:rFonts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jc w:val="left"/>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，联系电话：</w:t>
      </w:r>
      <w:r>
        <w:rPr>
          <w:rFonts w:hint="eastAsia" w:ascii="Calibri" w:hAnsi="Calibri" w:eastAsia="宋体" w:cs="Times New Roman"/>
          <w:color w:val="auto"/>
          <w:sz w:val="24"/>
          <w:szCs w:val="24"/>
          <w:highlight w:val="none"/>
          <w:u w:val="single"/>
        </w:rPr>
        <w:t xml:space="preserve">         </w:t>
      </w:r>
      <w:r/>
    </w:p>
    <w:p>
      <w:pPr>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，联系电话：</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1.</w:t>
      </w:r>
      <w:r>
        <w:rPr>
          <w:rFonts w:ascii="Calibri" w:hAnsi="Calibri" w:eastAsia="宋体" w:cs="Times New Roman"/>
          <w:color w:val="auto"/>
          <w:sz w:val="24"/>
          <w:szCs w:val="24"/>
          <w:highlight w:val="none"/>
        </w:rPr>
        <w:t xml:space="preserve">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ascii="Calibri" w:hAnsi="Calibri" w:eastAsia="宋体" w:cs="Times New Roman"/>
          <w:color w:val="auto"/>
          <w:sz w:val="24"/>
          <w:szCs w:val="24"/>
          <w:highlight w:val="none"/>
        </w:rPr>
        <w:t xml:space="preserve">4.</w:t>
      </w:r>
      <w:r>
        <w:rPr>
          <w:rFonts w:hint="eastAsia"/>
          <w:color w:val="auto"/>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keepLines/>
        <w:keepNext/>
        <w:spacing w:before="260" w:after="260" w:line="416" w:lineRule="auto"/>
        <w:rPr>
          <w:rFonts w:ascii="黑体" w:hAnsi="黑体" w:eastAsia="黑体" w:cs="Times New Roman"/>
          <w:b/>
          <w:color w:val="auto"/>
          <w:sz w:val="28"/>
          <w:szCs w:val="32"/>
          <w:highlight w:val="none"/>
        </w:rPr>
        <w:outlineLvl w:val="1"/>
      </w:pPr>
      <w:r>
        <w:rPr>
          <w:rFonts w:hint="eastAsia" w:ascii="Arial" w:hAnsi="Arial" w:eastAsia="宋体" w:cs="Arial"/>
          <w:iCs/>
          <w:color w:val="auto"/>
          <w:sz w:val="32"/>
          <w:highlight w:val="non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360" w:lineRule="auto"/>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致：连云港市公共资源</w:t>
      </w:r>
      <w:r>
        <w:rPr>
          <w:rFonts w:hint="eastAsia" w:ascii="宋体" w:hAnsi="宋体" w:eastAsia="宋体" w:cs="Times New Roman"/>
          <w:color w:val="auto"/>
          <w:sz w:val="24"/>
          <w:szCs w:val="21"/>
          <w:highlight w:val="none"/>
          <w:lang w:eastAsia="zh-CN"/>
        </w:rPr>
        <w:t xml:space="preserve">采购代理机构</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根据贵方的JSZC-__________号招标文件，正式授权下述签字人______</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姓名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代表我方_______（投标人的名称），全权处理本次项目投标的有关事宜。</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我方将根据招标文件的规定，严格履行合同的责任和义务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并保证在招标文件规定的时</w:t>
      </w:r>
      <w:r>
        <w:rPr>
          <w:rFonts w:hint="eastAsia" w:ascii="宋体" w:hAnsi="宋体" w:eastAsia="宋体" w:cs="Times New Roman"/>
          <w:color w:val="auto"/>
          <w:sz w:val="24"/>
          <w:szCs w:val="21"/>
          <w:highlight w:val="none"/>
          <w:lang w:eastAsia="zh-CN"/>
        </w:rPr>
        <w:t xml:space="preserve">间内</w:t>
      </w:r>
      <w:r>
        <w:rPr>
          <w:rFonts w:hint="eastAsia" w:ascii="宋体" w:hAnsi="宋体" w:eastAsia="宋体" w:cs="Times New Roman"/>
          <w:color w:val="auto"/>
          <w:sz w:val="24"/>
          <w:szCs w:val="21"/>
          <w:highlight w:val="none"/>
        </w:rPr>
        <w:t xml:space="preserve">完成项目，交付买方验收、使用。</w:t>
      </w:r>
      <w:r/>
    </w:p>
    <w:p>
      <w:pPr>
        <w:ind w:firstLine="480"/>
        <w:jc w:val="left"/>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ascii="Arial" w:hAnsi="Arial" w:eastAsia="宋体" w:cs="Arial"/>
          <w:color w:val="auto"/>
          <w:sz w:val="32"/>
          <w:highlight w:val="none"/>
        </w:rPr>
        <w:outlineLvl w:val="1"/>
      </w:pPr>
      <w:r>
        <w:rPr>
          <w:rFonts w:hint="eastAsia" w:ascii="Arial" w:hAnsi="Arial" w:eastAsia="宋体" w:cs="Arial"/>
          <w:color w:val="auto"/>
          <w:sz w:val="36"/>
          <w:highlight w:val="none"/>
        </w:rPr>
        <w:t xml:space="preserve">十</w:t>
      </w:r>
      <w:r>
        <w:rPr>
          <w:rFonts w:hint="eastAsia" w:ascii="Arial" w:hAnsi="Arial" w:eastAsia="宋体" w:cs="Arial"/>
          <w:color w:val="auto"/>
          <w:sz w:val="32"/>
          <w:highlight w:val="none"/>
        </w:rPr>
        <w:t xml:space="preserve">一、中小企业声明函（货物）</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工信部联企业〔2011〕300号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请供应商如实填写，所填内容须与报价明细表一致，如填写不完整或不一致或填写有误，将</w:t>
      </w:r>
      <w:r>
        <w:rPr>
          <w:rFonts w:hint="eastAsia" w:ascii="宋体" w:hAnsi="宋体" w:eastAsia="宋体" w:cs="Times New Roman"/>
          <w:color w:val="auto"/>
          <w:sz w:val="24"/>
          <w:szCs w:val="24"/>
          <w:highlight w:val="none"/>
          <w:lang w:val="en-US" w:eastAsia="zh-CN"/>
        </w:rPr>
        <w:t xml:space="preserve">承担一切不利后果</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中标人的《中小企业声明函》随中标结果公开。</w:t>
      </w:r>
      <w:r/>
    </w:p>
    <w:p>
      <w:pPr>
        <w:jc w:val="left"/>
        <w:keepLines/>
        <w:keepNext/>
        <w:spacing w:before="360" w:after="200" w:line="360" w:lineRule="auto"/>
        <w:rPr>
          <w:rFonts w:ascii="Arial" w:hAnsi="Arial" w:eastAsia="宋体" w:cs="Arial"/>
          <w:color w:val="auto"/>
          <w:sz w:val="32"/>
          <w:highlight w:val="none"/>
        </w:rPr>
        <w:outlineLvl w:val="1"/>
      </w:pPr>
      <w:r>
        <w:rPr>
          <w:rFonts w:hint="eastAsia" w:ascii="Arial" w:hAnsi="Arial" w:eastAsia="宋体" w:cs="Arial"/>
          <w:color w:val="auto"/>
          <w:sz w:val="32"/>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请供应商如实填写，所填内容须与报价明细表一致，如填写不完整或不一致或填写有误，将</w:t>
      </w:r>
      <w:r>
        <w:rPr>
          <w:rFonts w:hint="eastAsia" w:ascii="宋体" w:hAnsi="宋体" w:eastAsia="宋体" w:cs="Times New Roman"/>
          <w:color w:val="auto"/>
          <w:sz w:val="24"/>
          <w:szCs w:val="24"/>
          <w:highlight w:val="none"/>
          <w:lang w:val="en-US" w:eastAsia="zh-CN"/>
        </w:rPr>
        <w:t xml:space="preserve">承担一切不利后果</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lang w:eastAsia="zh-CN"/>
        </w:rPr>
        <w:t xml:space="preserve">2.</w:t>
      </w:r>
      <w:r>
        <w:rPr>
          <w:rFonts w:hint="eastAsia" w:ascii="宋体" w:hAnsi="宋体" w:eastAsia="宋体" w:cs="Times New Roman"/>
          <w:bCs/>
          <w:color w:val="auto"/>
          <w:sz w:val="24"/>
          <w:szCs w:val="24"/>
          <w:highlight w:val="none"/>
        </w:rPr>
        <w:t xml:space="preserve">中标人的《残疾人福利性单位声明函》随中标结果公开。</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2"/>
          <w:highlight w:val="none"/>
        </w:rPr>
        <w:outlineLvl w:val="1"/>
      </w:pPr>
      <w:r>
        <w:rPr>
          <w:rFonts w:hint="eastAsia" w:ascii="Arial" w:hAnsi="Arial" w:eastAsia="宋体" w:cs="Arial"/>
          <w:color w:val="auto"/>
          <w:sz w:val="32"/>
          <w:highlight w:val="none"/>
        </w:rPr>
        <w:t xml:space="preserve">十三、联合体协议（参考格式）</w:t>
      </w:r>
      <w:r/>
    </w:p>
    <w:p>
      <w:pPr>
        <w:jc w:val="center"/>
        <w:spacing w:line="360" w:lineRule="auto"/>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rPr>
        <w:t xml:space="preserve">连云港市公共资源</w:t>
      </w:r>
      <w:r>
        <w:rPr>
          <w:rFonts w:hint="eastAsia" w:ascii="宋体" w:hAnsi="宋体" w:eastAsia="宋体" w:cs="Times New Roman"/>
          <w:color w:val="auto"/>
          <w:sz w:val="24"/>
          <w:szCs w:val="24"/>
          <w:highlight w:val="none"/>
          <w:lang w:eastAsia="zh-CN"/>
        </w:rPr>
        <w:t xml:space="preserve">采购代理机构</w:t>
      </w:r>
      <w:r>
        <w:rPr>
          <w:rFonts w:hint="eastAsia" w:ascii="宋体" w:hAnsi="宋体" w:eastAsia="宋体" w:cs="Times New Roman"/>
          <w:color w:val="auto"/>
          <w:sz w:val="24"/>
          <w:szCs w:val="21"/>
          <w:highlight w:val="none"/>
        </w:rPr>
        <w:t xml:space="preserve">组织的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备注：本招标文件中要求加盖公章的地方，仅需加盖牵头单位的公章。</w:t>
      </w:r>
      <w:r/>
    </w:p>
    <w:p>
      <w:pPr>
        <w:jc w:val="left"/>
        <w:keepLines/>
        <w:keepNext/>
        <w:spacing w:before="360" w:after="200" w:line="360" w:lineRule="auto"/>
        <w:rPr>
          <w:rFonts w:hint="eastAsia" w:ascii="Arial" w:hAnsi="Arial" w:eastAsia="宋体" w:cs="Arial"/>
          <w:color w:val="auto"/>
          <w:sz w:val="32"/>
          <w:highlight w:val="none"/>
        </w:rPr>
        <w:outlineLvl w:val="1"/>
      </w:pPr>
      <w:r>
        <w:rPr>
          <w:rFonts w:hint="eastAsia" w:ascii="Arial" w:hAnsi="Arial" w:eastAsia="宋体" w:cs="Arial"/>
          <w:color w:val="auto"/>
          <w:sz w:val="32"/>
          <w:highlight w:val="none"/>
        </w:rPr>
        <w:t xml:space="preserve">十四、投标分项报价表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bCs/>
          <w:color w:val="auto"/>
          <w:sz w:val="24"/>
          <w:szCs w:val="24"/>
          <w:highlight w:val="none"/>
        </w:rPr>
      </w:pPr>
      <w:r>
        <w:rPr>
          <w:rFonts w:hint="eastAsia" w:ascii="宋体" w:hAnsi="宋体" w:cs="方正仿宋_GBK"/>
          <w:color w:val="auto"/>
          <w:sz w:val="24"/>
          <w:szCs w:val="24"/>
          <w:highlight w:val="none"/>
        </w:rPr>
        <w:t xml:space="preserve">项目名称：      项目编号：      分包号：</w:t>
      </w:r>
      <w:r/>
    </w:p>
    <w:p>
      <w:pPr>
        <w:jc w:val="right"/>
        <w:spacing w:line="360" w:lineRule="auto"/>
        <w:rPr>
          <w:rFonts w:ascii="宋体" w:hAnsi="宋体"/>
          <w:color w:val="auto"/>
          <w:szCs w:val="24"/>
          <w:highlight w:val="none"/>
        </w:rPr>
      </w:pPr>
      <w:r>
        <w:rPr>
          <w:rFonts w:hint="eastAsia" w:ascii="宋体" w:hAnsi="宋体"/>
          <w:color w:val="auto"/>
          <w:szCs w:val="24"/>
          <w:highlight w:val="none"/>
        </w:rPr>
        <w:t xml:space="preserve">单位：元</w:t>
      </w:r>
      <w:r/>
    </w:p>
    <w:tbl>
      <w:tblPr>
        <w:tblStyle w:val="69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auto"/>
                <w:szCs w:val="24"/>
                <w:highlight w:val="none"/>
                <w:lang w:val="en-US" w:eastAsia="zh-CN"/>
              </w:rPr>
            </w:pPr>
            <w:r>
              <w:rPr>
                <w:rFonts w:hint="eastAsia" w:ascii="Times New Roman" w:hAnsi="Times New Roman"/>
                <w:b/>
                <w:bCs w:val="0"/>
                <w:color w:val="auto"/>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auto"/>
                <w:szCs w:val="24"/>
                <w:highlight w:val="none"/>
              </w:rPr>
            </w:pPr>
            <w:r>
              <w:rPr>
                <w:rFonts w:ascii="Times New Roman" w:hAnsi="Times New Roman"/>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auto"/>
                <w:szCs w:val="24"/>
                <w:highlight w:val="none"/>
              </w:rPr>
            </w:pPr>
            <w:r>
              <w:rPr>
                <w:rFonts w:hint="eastAsia" w:ascii="Times New Roman" w:hAnsi="Times New Roman"/>
                <w:color w:val="auto"/>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1"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4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6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104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2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92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auto"/>
                <w:szCs w:val="24"/>
                <w:highlight w:val="none"/>
              </w:rPr>
            </w:pPr>
            <w:r>
              <w:rPr>
                <w:rFonts w:hint="eastAsia" w:ascii="Times New Roman" w:hAnsi="Times New Roman"/>
                <w:color w:val="auto"/>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1"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4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6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104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2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92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auto"/>
                <w:szCs w:val="24"/>
                <w:highlight w:val="none"/>
              </w:rPr>
            </w:pPr>
            <w:r>
              <w:rPr>
                <w:rFonts w:hint="eastAsia" w:ascii="Times New Roman" w:hAnsi="Times New Roman"/>
                <w:color w:val="auto"/>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1"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4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6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104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2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92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auto"/>
                <w:szCs w:val="24"/>
                <w:highlight w:val="none"/>
              </w:rPr>
            </w:pPr>
            <w:r>
              <w:rPr>
                <w:rFonts w:ascii="Times New Roman" w:hAnsi="Times New Roman"/>
                <w:color w:val="auto"/>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1"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645"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6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gridSpan w:val="2"/>
            <w:tcW w:w="104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722"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106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c>
          <w:tcPr>
            <w:tcW w:w="920" w:type="dxa"/>
            <w:vAlign w:val="center"/>
            <w:textDirection w:val="lrTb"/>
            <w:noWrap/>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auto"/>
                <w:szCs w:val="24"/>
                <w:highlight w:val="none"/>
              </w:rPr>
            </w:pPr>
            <w:r>
              <w:rPr>
                <w:rFonts w:hint="eastAsia" w:ascii="Times New Roman" w:hAnsi="Times New Roman"/>
                <w:color w:val="auto"/>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auto"/>
                <w:szCs w:val="24"/>
                <w:highlight w:val="none"/>
              </w:rPr>
            </w:pPr>
            <w:r>
              <w:rPr>
                <w:rFonts w:hint="eastAsia" w:ascii="Times New Roman" w:hAnsi="Times New Roman"/>
                <w:color w:val="auto"/>
                <w:szCs w:val="24"/>
                <w:highlight w:val="none"/>
              </w:rPr>
            </w:r>
            <w:r/>
          </w:p>
        </w:tc>
        <w:tc>
          <w:tcPr>
            <w:gridSpan w:val="5"/>
            <w:tcW w:w="3916" w:type="dxa"/>
            <w:vAlign w:val="center"/>
            <w:textDirection w:val="lrTb"/>
            <w:noWrap w:val="false"/>
          </w:tcPr>
          <w:p>
            <w:pPr>
              <w:spacing w:line="360" w:lineRule="auto"/>
              <w:widowControl/>
              <w:rPr>
                <w:rFonts w:ascii="Times New Roman" w:hAnsi="Times New Roman"/>
                <w:color w:val="auto"/>
                <w:szCs w:val="24"/>
                <w:highlight w:val="none"/>
              </w:rPr>
            </w:pPr>
            <w:r>
              <w:rPr>
                <w:rFonts w:ascii="Times New Roman" w:hAnsi="Times New Roman"/>
                <w:color w:val="auto"/>
                <w:szCs w:val="24"/>
                <w:highlight w:val="none"/>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auto"/>
          <w:szCs w:val="24"/>
          <w:highlight w:val="none"/>
        </w:rPr>
      </w:pPr>
      <w:r>
        <w:rPr>
          <w:rFonts w:ascii="Times New Roman" w:hAnsi="Times New Roman"/>
          <w:color w:val="auto"/>
          <w:szCs w:val="24"/>
          <w:highlight w:val="none"/>
        </w:rPr>
      </w:r>
      <w:r/>
    </w:p>
    <w:p>
      <w:pPr>
        <w:ind w:firstLine="420"/>
        <w:spacing w:line="360" w:lineRule="auto"/>
        <w:rPr>
          <w:rFonts w:ascii="Times New Roman" w:hAnsi="Times New Roman"/>
          <w:color w:val="auto"/>
          <w:szCs w:val="24"/>
          <w:highlight w:val="none"/>
        </w:rPr>
      </w:pPr>
      <w:r>
        <w:rPr>
          <w:rFonts w:hint="eastAsia" w:ascii="Times New Roman" w:hAnsi="Times New Roman"/>
          <w:color w:val="auto"/>
          <w:szCs w:val="24"/>
          <w:highlight w:val="none"/>
        </w:rPr>
        <w:t xml:space="preserve">投标人（盖章）：</w:t>
      </w:r>
      <w:r/>
    </w:p>
    <w:p>
      <w:pPr>
        <w:ind w:firstLine="420"/>
        <w:spacing w:line="360" w:lineRule="auto"/>
        <w:rPr>
          <w:rFonts w:ascii="Times New Roman" w:hAnsi="Times New Roman"/>
          <w:color w:val="auto"/>
          <w:szCs w:val="24"/>
          <w:highlight w:val="none"/>
        </w:rPr>
      </w:pPr>
      <w:r>
        <w:rPr>
          <w:rFonts w:hint="eastAsia" w:ascii="Times New Roman" w:hAnsi="Times New Roman"/>
          <w:color w:val="auto"/>
          <w:szCs w:val="24"/>
          <w:highlight w:val="none"/>
        </w:rPr>
        <w:t xml:space="preserve">法定代表人</w:t>
      </w:r>
      <w:r>
        <w:rPr>
          <w:rFonts w:ascii="Times New Roman" w:hAnsi="Times New Roman"/>
          <w:color w:val="auto"/>
          <w:szCs w:val="24"/>
          <w:highlight w:val="none"/>
        </w:rPr>
        <w:t xml:space="preserve">（单位负责人）</w:t>
      </w:r>
      <w:r>
        <w:rPr>
          <w:rFonts w:hint="eastAsia" w:ascii="Times New Roman" w:hAnsi="Times New Roman"/>
          <w:color w:val="auto"/>
          <w:szCs w:val="24"/>
          <w:highlight w:val="none"/>
        </w:rPr>
        <w:t xml:space="preserve">或委托代理人（签字或盖章）：</w:t>
      </w:r>
      <w:r/>
    </w:p>
    <w:p>
      <w:pPr>
        <w:ind w:firstLine="420"/>
        <w:spacing w:line="360" w:lineRule="auto"/>
        <w:rPr>
          <w:rFonts w:ascii="宋体" w:hAnsi="宋体"/>
          <w:color w:val="auto"/>
          <w:szCs w:val="24"/>
          <w:highlight w:val="none"/>
        </w:rPr>
      </w:pPr>
      <w:r>
        <w:rPr>
          <w:rFonts w:hint="eastAsia" w:ascii="Times New Roman" w:hAnsi="Times New Roman"/>
          <w:color w:val="auto"/>
          <w:szCs w:val="24"/>
          <w:highlight w:val="none"/>
        </w:rPr>
        <w:t xml:space="preserve">日期：    年     月     日</w:t>
      </w:r>
      <w:r/>
    </w:p>
    <w:p>
      <w:pPr>
        <w:spacing w:line="360" w:lineRule="auto"/>
        <w:rPr>
          <w:rFonts w:ascii="宋体" w:hAnsi="宋体"/>
          <w:color w:val="auto"/>
          <w:szCs w:val="20"/>
          <w:highlight w:val="none"/>
        </w:rPr>
      </w:pPr>
      <w:r>
        <w:rPr>
          <w:rFonts w:ascii="宋体" w:hAnsi="宋体"/>
          <w:color w:val="auto"/>
          <w:szCs w:val="20"/>
          <w:highlight w:val="none"/>
        </w:rPr>
      </w:r>
      <w:r/>
    </w:p>
    <w:p>
      <w:pP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w:t>
      </w:r>
      <w:r>
        <w:rPr>
          <w:rFonts w:hint="eastAsia" w:ascii="宋体" w:hAnsi="宋体" w:eastAsia="宋体" w:cs="宋体"/>
          <w:color w:val="auto"/>
          <w:szCs w:val="24"/>
          <w:highlight w:val="none"/>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color w:val="auto"/>
          <w:highlight w:val="none"/>
        </w:rPr>
      </w:pPr>
      <w:r>
        <w:rPr>
          <w:rFonts w:hint="eastAsia" w:ascii="宋体" w:hAnsi="宋体" w:eastAsia="宋体" w:cs="宋体"/>
          <w:color w:val="auto"/>
          <w:szCs w:val="24"/>
          <w:highlight w:val="none"/>
          <w:lang w:eastAsia="zh-CN"/>
        </w:rPr>
        <w:t xml:space="preserve">4.</w:t>
      </w:r>
      <w:r>
        <w:rPr>
          <w:rFonts w:hint="eastAsia" w:ascii="宋体" w:hAnsi="宋体" w:eastAsia="宋体" w:cs="宋体"/>
          <w:color w:val="auto"/>
          <w:szCs w:val="24"/>
          <w:highlight w:val="none"/>
        </w:rPr>
        <w:t xml:space="preserve">行数或事项不够，可自行增加。投标人需认真填写本报价表，尤其注意规格型号的准确填写。</w:t>
      </w:r>
      <w:r/>
    </w:p>
    <w:p>
      <w:pPr>
        <w:jc w:val="left"/>
        <w:keepLines/>
        <w:keepNext/>
        <w:spacing w:before="360" w:after="200" w:line="360" w:lineRule="auto"/>
        <w:rPr>
          <w:rFonts w:hint="eastAsia" w:ascii="Arial" w:hAnsi="Arial" w:eastAsia="宋体" w:cs="Arial"/>
          <w:color w:val="auto"/>
          <w:sz w:val="32"/>
          <w:highlight w:val="none"/>
        </w:rPr>
        <w:outlineLvl w:val="1"/>
      </w:pPr>
      <w:r>
        <w:rPr>
          <w:rFonts w:hint="eastAsia" w:ascii="Arial" w:hAnsi="Arial" w:eastAsia="宋体" w:cs="Arial"/>
          <w:color w:val="auto"/>
          <w:sz w:val="32"/>
          <w:highlight w:val="none"/>
          <w:lang w:val="en-US" w:eastAsia="zh-CN"/>
        </w:rPr>
        <w:t xml:space="preserve">十五、</w:t>
      </w:r>
      <w:r>
        <w:rPr>
          <w:rFonts w:hint="eastAsia" w:ascii="Arial" w:hAnsi="Arial" w:eastAsia="宋体" w:cs="Arial"/>
          <w:color w:val="auto"/>
          <w:sz w:val="32"/>
          <w:highlight w:val="none"/>
        </w:rPr>
        <w:t xml:space="preserve">关于符合本国产品标准的声明函（</w:t>
      </w:r>
      <w:r>
        <w:rPr>
          <w:rFonts w:hint="eastAsia" w:ascii="Arial" w:hAnsi="Arial" w:eastAsia="宋体" w:cs="Arial"/>
          <w:color w:val="auto"/>
          <w:sz w:val="32"/>
          <w:highlight w:val="none"/>
          <w:lang w:val="en-US" w:eastAsia="zh-CN"/>
        </w:rPr>
        <w:t xml:space="preserve">分</w:t>
      </w:r>
      <w:r>
        <w:rPr>
          <w:rFonts w:hint="eastAsia" w:ascii="Arial" w:hAnsi="Arial" w:eastAsia="宋体" w:cs="Arial"/>
          <w:color w:val="auto"/>
          <w:sz w:val="32"/>
          <w:highlight w:val="none"/>
        </w:rPr>
        <w:t xml:space="preserve">包号：**）</w:t>
      </w:r>
      <w:r/>
    </w:p>
    <w:p>
      <w:pPr>
        <w:pStyle w:val="71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719"/>
          <w:rFonts w:hint="eastAsia" w:ascii="宋体" w:hAnsi="宋体" w:eastAsia="宋体" w:cs="宋体"/>
          <w:i w:val="0"/>
          <w:color w:val="auto"/>
          <w:sz w:val="24"/>
          <w:szCs w:val="24"/>
          <w:highlight w:val="none"/>
          <w:u w:val="single"/>
          <w:shd w:val="clear" w:color="auto" w:fill="ffffff"/>
        </w:rPr>
        <w:t xml:space="preserve">（产品名称1）</w:t>
      </w:r>
      <w:r>
        <w:rPr>
          <w:rStyle w:val="719"/>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19"/>
          <w:rFonts w:hint="eastAsia" w:ascii="宋体" w:hAnsi="宋体" w:eastAsia="宋体" w:cs="宋体"/>
          <w:i w:val="0"/>
          <w:color w:val="auto"/>
          <w:sz w:val="24"/>
          <w:szCs w:val="24"/>
          <w:highlight w:val="none"/>
          <w:u w:val="single"/>
          <w:shd w:val="clear" w:color="auto" w:fill="ffffff"/>
        </w:rPr>
        <w:t xml:space="preserve">（厂名）</w:t>
      </w:r>
      <w:r>
        <w:rPr>
          <w:rStyle w:val="719"/>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1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19"/>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19"/>
          <w:rFonts w:hint="eastAsia" w:ascii="宋体" w:hAnsi="宋体" w:eastAsia="宋体" w:cs="宋体"/>
          <w:i w:val="0"/>
          <w:color w:val="auto"/>
          <w:sz w:val="24"/>
          <w:szCs w:val="24"/>
          <w:highlight w:val="none"/>
          <w:u w:val="single"/>
          <w:shd w:val="clear" w:color="auto" w:fill="ffffff"/>
        </w:rPr>
        <w:t xml:space="preserve">（规定比例）</w:t>
      </w:r>
      <w:r>
        <w:rPr>
          <w:rStyle w:val="719"/>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1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19"/>
          <w:rFonts w:hint="eastAsia" w:ascii="宋体" w:hAnsi="宋体" w:eastAsia="宋体" w:cs="宋体"/>
          <w:i w:val="0"/>
          <w:color w:val="auto"/>
          <w:sz w:val="24"/>
          <w:szCs w:val="24"/>
          <w:highlight w:val="none"/>
          <w:u w:val="single"/>
          <w:shd w:val="clear" w:color="auto" w:fill="ffffff"/>
        </w:rPr>
        <w:t xml:space="preserve">（关键组件）</w:t>
      </w:r>
      <w:r>
        <w:rPr>
          <w:rStyle w:val="719"/>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1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19"/>
          <w:rFonts w:hint="eastAsia" w:ascii="宋体" w:hAnsi="宋体" w:eastAsia="宋体" w:cs="宋体"/>
          <w:i w:val="0"/>
          <w:color w:val="auto"/>
          <w:sz w:val="24"/>
          <w:szCs w:val="24"/>
          <w:highlight w:val="none"/>
          <w:u w:val="single"/>
          <w:shd w:val="clear" w:color="auto" w:fill="ffffff"/>
        </w:rPr>
        <w:t xml:space="preserve">（关键工序）</w:t>
      </w:r>
      <w:r>
        <w:rPr>
          <w:rStyle w:val="719"/>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1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71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19"/>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1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1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19"/>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1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19"/>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19"/>
          <w:rFonts w:hint="eastAsia" w:ascii="宋体" w:hAnsi="宋体" w:eastAsia="宋体" w:cs="宋体"/>
          <w:i w:val="0"/>
          <w:color w:val="auto"/>
          <w:sz w:val="24"/>
          <w:szCs w:val="24"/>
          <w:highlight w:val="none"/>
          <w:u w:val="single"/>
          <w:shd w:val="clear" w:color="auto" w:fill="ffffff"/>
        </w:rPr>
        <w:t xml:space="preserve">（产品名称</w:t>
      </w:r>
      <w:r>
        <w:rPr>
          <w:rStyle w:val="719"/>
          <w:rFonts w:hint="eastAsia" w:ascii="宋体" w:hAnsi="宋体" w:eastAsia="宋体" w:cs="宋体"/>
          <w:i w:val="0"/>
          <w:color w:val="auto"/>
          <w:sz w:val="24"/>
          <w:szCs w:val="24"/>
          <w:highlight w:val="none"/>
          <w:u w:val="single"/>
          <w:shd w:val="clear" w:color="auto" w:fill="ffffff"/>
          <w:lang w:val="en-US" w:eastAsia="zh-CN"/>
        </w:rPr>
        <w:t xml:space="preserve">2</w:t>
      </w:r>
      <w:r>
        <w:rPr>
          <w:rStyle w:val="719"/>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719"/>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1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1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14"/>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14"/>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1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1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1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1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1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请供应商如实填写，如填写有误，将承担一切不利后果。</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供应商提供虚假《声明函》、虚假证明文件谋取中标的，依照《中华人民共和国政府采购法》等法律法规规定追究相应责任。</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rPr>
        <w:t xml:space="preserve">中标人的《声明函》或有关证明文件随中标结果公开，接受社会监督。</w:t>
      </w:r>
      <w:r/>
    </w:p>
    <w:p>
      <w:pPr>
        <w:jc w:val="left"/>
        <w:keepLines/>
        <w:keepNext/>
        <w:spacing w:before="360" w:after="200" w:line="360" w:lineRule="auto"/>
        <w:rPr>
          <w:rFonts w:ascii="Arial" w:hAnsi="Arial" w:eastAsia="宋体" w:cs="Arial"/>
          <w:iCs/>
          <w:color w:val="auto"/>
          <w:sz w:val="32"/>
          <w:highlight w:val="none"/>
        </w:rPr>
        <w:outlineLvl w:val="1"/>
      </w:pPr>
      <w:r>
        <w:rPr>
          <w:rFonts w:hint="eastAsia" w:ascii="Arial" w:hAnsi="Arial" w:eastAsia="宋体" w:cs="Arial"/>
          <w:iCs/>
          <w:color w:val="auto"/>
          <w:sz w:val="32"/>
          <w:highlight w:val="none"/>
        </w:rPr>
        <w:t xml:space="preserve">十</w:t>
      </w:r>
      <w:r>
        <w:rPr>
          <w:rFonts w:hint="eastAsia" w:ascii="Arial" w:hAnsi="Arial" w:eastAsia="宋体" w:cs="Arial"/>
          <w:iCs/>
          <w:color w:val="auto"/>
          <w:sz w:val="32"/>
          <w:highlight w:val="none"/>
          <w:lang w:val="en-US" w:eastAsia="zh-CN"/>
        </w:rPr>
        <w:t xml:space="preserve">六</w:t>
      </w:r>
      <w:r>
        <w:rPr>
          <w:rFonts w:hint="eastAsia" w:ascii="Arial" w:hAnsi="Arial" w:eastAsia="宋体" w:cs="Arial"/>
          <w:iCs/>
          <w:color w:val="auto"/>
          <w:sz w:val="32"/>
          <w:highlight w:val="none"/>
        </w:rPr>
        <w:t xml:space="preserve">、技术要求响应及偏离表</w:t>
      </w:r>
      <w:r/>
    </w:p>
    <w:p>
      <w:pPr>
        <w:rPr>
          <w:color w:val="auto"/>
          <w:highlight w:val="none"/>
        </w:rPr>
      </w:pPr>
      <w:r>
        <w:rPr>
          <w:color w:val="auto"/>
          <w:highlight w:val="none"/>
        </w:rPr>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91"/>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23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23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23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23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2"/>
          <w:highlight w:val="none"/>
        </w:rPr>
        <w:outlineLvl w:val="1"/>
      </w:pPr>
      <w:r/>
      <w:bookmarkStart w:id="49" w:name="_Hlt26955054"/>
      <w:r/>
      <w:bookmarkEnd w:id="49"/>
      <w:r>
        <w:rPr>
          <w:rFonts w:hint="eastAsia" w:ascii="Arial" w:hAnsi="Arial" w:eastAsia="宋体" w:cs="Arial"/>
          <w:iCs/>
          <w:color w:val="auto"/>
          <w:sz w:val="32"/>
          <w:highlight w:val="none"/>
        </w:rPr>
        <w:t xml:space="preserve">十</w:t>
      </w:r>
      <w:r>
        <w:rPr>
          <w:rFonts w:hint="eastAsia" w:ascii="Arial" w:hAnsi="Arial" w:eastAsia="宋体" w:cs="Arial"/>
          <w:iCs/>
          <w:color w:val="auto"/>
          <w:sz w:val="32"/>
          <w:highlight w:val="none"/>
          <w:lang w:val="en-US" w:eastAsia="zh-CN"/>
        </w:rPr>
        <w:t xml:space="preserve">七</w:t>
      </w:r>
      <w:r>
        <w:rPr>
          <w:rFonts w:hint="eastAsia" w:ascii="Arial" w:hAnsi="Arial" w:eastAsia="宋体" w:cs="Arial"/>
          <w:iCs/>
          <w:color w:val="auto"/>
          <w:sz w:val="32"/>
          <w:highlight w:val="none"/>
        </w:rPr>
        <w:t xml:space="preserve">、商务要求响应及偏离表</w:t>
      </w:r>
      <w:r/>
    </w:p>
    <w:p>
      <w:pPr>
        <w:rPr>
          <w:color w:val="auto"/>
          <w:highlight w:val="none"/>
        </w:rPr>
      </w:pPr>
      <w:r>
        <w:rPr>
          <w:color w:val="auto"/>
          <w:highlight w:val="none"/>
        </w:rPr>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91"/>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bookmarkStart w:id="50" w:name="_Hlt26580838"/>
            <w:r/>
            <w:bookmarkEnd w:id="50"/>
            <w:r/>
            <w:bookmarkStart w:id="51" w:name="_Hlt26671343"/>
            <w:r/>
            <w:bookmarkEnd w:id="51"/>
            <w:r/>
            <w:bookmarkStart w:id="52" w:name="_Hlt26955064"/>
            <w:r/>
            <w:bookmarkEnd w:id="52"/>
            <w:r/>
            <w:bookmarkStart w:id="53" w:name="_Hlt26782999"/>
            <w:r/>
            <w:bookmarkEnd w:id="53"/>
            <w:r/>
            <w:bookmarkStart w:id="54" w:name="_Hlt26955056"/>
            <w:r/>
            <w:bookmarkEnd w:id="54"/>
            <w:r/>
            <w:bookmarkStart w:id="55" w:name="_Hlt26609391"/>
            <w:r/>
            <w:bookmarkEnd w:id="55"/>
            <w:r/>
            <w:bookmarkStart w:id="56" w:name="_Hlt24879081"/>
            <w:r/>
            <w:bookmarkEnd w:id="56"/>
            <w:r/>
            <w:bookmarkStart w:id="57" w:name="_Hlt26671372"/>
            <w:r/>
            <w:bookmarkEnd w:id="57"/>
            <w:r>
              <w:rPr>
                <w:rFonts w:hint="eastAsia" w:ascii="宋体" w:hAnsi="宋体" w:eastAsia="宋体" w:cs="Times New Roman"/>
                <w:color w:val="auto"/>
                <w:sz w:val="24"/>
                <w:szCs w:val="24"/>
                <w:highlight w:val="none"/>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3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5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1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3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5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1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3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5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1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3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5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1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58" w:name="_Hlt26955066"/>
      <w:r/>
      <w:bookmarkEnd w:id="58"/>
      <w:r/>
      <w:bookmarkStart w:id="59" w:name="_格式2__法定代表人授权书"/>
      <w:r/>
      <w:bookmarkEnd w:id="59"/>
      <w:r/>
      <w:bookmarkStart w:id="60" w:name="_Hlt26609389"/>
      <w:r/>
      <w:bookmarkEnd w:id="60"/>
      <w:r/>
      <w:bookmarkStart w:id="61" w:name="_Hlt26671374"/>
      <w:r/>
      <w:bookmarkEnd w:id="61"/>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val="en-US" w:eastAsia="zh-CN"/>
        </w:rPr>
        <w:t xml:space="preserve">八</w:t>
      </w:r>
      <w:r>
        <w:rPr>
          <w:rFonts w:hint="eastAsia" w:ascii="Arial" w:hAnsi="Arial" w:eastAsia="宋体" w:cs="Arial"/>
          <w:iCs/>
          <w:color w:val="auto"/>
          <w:sz w:val="36"/>
          <w:highlight w:val="none"/>
        </w:rPr>
        <w:t xml:space="preserve">、类似项目业绩一览表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91"/>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8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8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8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8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6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val="en-US" w:eastAsia="zh-CN"/>
        </w:rPr>
        <w:t xml:space="preserve">九</w:t>
      </w:r>
      <w:r>
        <w:rPr>
          <w:rFonts w:hint="eastAsia" w:ascii="Arial" w:hAnsi="Arial" w:eastAsia="宋体" w:cs="Arial"/>
          <w:iCs/>
          <w:color w:val="auto"/>
          <w:sz w:val="36"/>
          <w:highlight w:val="none"/>
        </w:rPr>
        <w:t xml:space="preserve">、项目团队人员一览表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91"/>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165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63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41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77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5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35"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5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35"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5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35"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5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35"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1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注：表格格式不为固定格式，请各投标人根据招标文件具体内容自行编制。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2"/>
          <w:highlight w:val="none"/>
        </w:rPr>
        <w:outlineLvl w:val="1"/>
      </w:pPr>
      <w:r>
        <w:rPr>
          <w:rFonts w:hint="eastAsia" w:ascii="Arial" w:hAnsi="Arial" w:eastAsia="宋体" w:cs="Arial"/>
          <w:color w:val="auto"/>
          <w:sz w:val="32"/>
          <w:highlight w:val="none"/>
          <w:lang w:val="en-US" w:eastAsia="zh-CN"/>
        </w:rPr>
        <w:t xml:space="preserve">二十</w:t>
      </w:r>
      <w:r>
        <w:rPr>
          <w:rFonts w:hint="eastAsia" w:ascii="Arial" w:hAnsi="Arial" w:eastAsia="宋体" w:cs="Arial"/>
          <w:color w:val="auto"/>
          <w:sz w:val="32"/>
          <w:highlight w:val="non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1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913"/>
        <w:gridCol w:w="3101"/>
      </w:tblGrid>
      <w:tr>
        <w:trPr/>
        <w:tc>
          <w:tcPr>
            <w:tcW w:w="241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913"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10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41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913"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310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元</w:t>
            </w:r>
            <w:r/>
          </w:p>
        </w:tc>
      </w:tr>
      <w:tr>
        <w:trPr/>
        <w:tc>
          <w:tcPr>
            <w:tcW w:w="241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01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jc w:val="center"/>
        <w:rPr>
          <w:color w:val="auto"/>
          <w:highlight w:val="none"/>
        </w:rPr>
      </w:pPr>
      <w:r>
        <w:rPr>
          <w:rFonts w:hint="eastAsia"/>
          <w:color w:val="auto"/>
          <w:highlight w:val="none"/>
        </w:rPr>
        <w:t xml:space="preserve">质疑函范本</w:t>
      </w:r>
      <w:r/>
    </w:p>
    <w:p>
      <w:pPr>
        <w:keepLines w:val="0"/>
        <w:keepNext w:val="0"/>
        <w:pageBreakBefore w:val="0"/>
        <w:spacing w:before="312" w:line="3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keepLines w:val="0"/>
        <w:keepNext w:val="0"/>
        <w:pageBreakBefore w:val="0"/>
        <w:spacing w:line="3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keepLines w:val="0"/>
        <w:keepNext w:val="0"/>
        <w:pageBreakBefore w:val="0"/>
        <w:spacing w:line="3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keepLines w:val="0"/>
        <w:keepNext w:val="0"/>
        <w:pageBreakBefore w:val="0"/>
        <w:spacing w:line="3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keepLines w:val="0"/>
        <w:keepNext w:val="0"/>
        <w:pageBreakBefore w:val="0"/>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keepLines w:val="0"/>
        <w:keepNext w:val="0"/>
        <w:pageBreakBefore w:val="0"/>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keepLines w:val="0"/>
        <w:keepNext w:val="0"/>
        <w:pageBreakBefore w:val="0"/>
        <w:spacing w:line="3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keepLines w:val="0"/>
        <w:keepNext w:val="0"/>
        <w:pageBreakBefore w:val="0"/>
        <w:spacing w:line="3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3.质疑供应商若对项目的某一采购包进行质疑，质疑函中应列明具体采购包号。</w:t>
      </w:r>
      <w:r/>
    </w:p>
    <w:p>
      <w:pPr>
        <w:ind w:firstLine="480"/>
        <w:jc w:val="left"/>
        <w:keepLines w:val="0"/>
        <w:keepNext w:val="0"/>
        <w:pageBreakBefore w:val="0"/>
        <w:spacing w:line="3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keepLines w:val="0"/>
        <w:keepNext w:val="0"/>
        <w:pageBreakBefore w:val="0"/>
        <w:spacing w:line="3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Calibri">
    <w:panose1 w:val="020F0502020204030204"/>
  </w:font>
  <w:font w:name="MS Mincho">
    <w:panose1 w:val="02020603050405090304"/>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pPr>
    <w:r/>
    <w:r/>
  </w:p>
  <w:p>
    <w:pPr>
      <w:pStyle w:val="7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4"/>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7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1">
    <w:name w:val="Heading 1"/>
    <w:basedOn w:val="680"/>
    <w:next w:val="680"/>
    <w:link w:val="872"/>
    <w:uiPriority w:val="9"/>
    <w:qFormat/>
    <w:pPr>
      <w:keepLines/>
      <w:keepNext/>
      <w:spacing w:before="340" w:after="330" w:line="578" w:lineRule="auto"/>
      <w:outlineLvl w:val="0"/>
    </w:pPr>
    <w:rPr>
      <w:b/>
      <w:bCs/>
      <w:sz w:val="44"/>
      <w:szCs w:val="44"/>
    </w:rPr>
  </w:style>
  <w:style w:type="paragraph" w:styleId="682">
    <w:name w:val="Heading 2"/>
    <w:basedOn w:val="680"/>
    <w:next w:val="680"/>
    <w:link w:val="8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875"/>
    <w:uiPriority w:val="9"/>
    <w:unhideWhenUsed/>
    <w:qFormat/>
    <w:pPr>
      <w:keepLines/>
      <w:keepNext/>
      <w:spacing w:before="260" w:after="260" w:line="416" w:lineRule="auto"/>
      <w:outlineLvl w:val="2"/>
    </w:pPr>
    <w:rPr>
      <w:b/>
      <w:bCs/>
      <w:sz w:val="32"/>
      <w:szCs w:val="32"/>
    </w:rPr>
  </w:style>
  <w:style w:type="paragraph" w:styleId="684">
    <w:name w:val="Heading 4"/>
    <w:basedOn w:val="680"/>
    <w:next w:val="680"/>
    <w:link w:val="72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Caption"/>
    <w:basedOn w:val="680"/>
    <w:next w:val="680"/>
    <w:uiPriority w:val="35"/>
    <w:semiHidden/>
    <w:unhideWhenUsed/>
    <w:qFormat/>
    <w:pPr>
      <w:spacing w:line="276" w:lineRule="auto"/>
    </w:pPr>
    <w:rPr>
      <w:b/>
      <w:bCs/>
      <w:color w:val="4f81bd" w:themeColor="accent1"/>
      <w:sz w:val="18"/>
      <w:szCs w:val="18"/>
    </w:rPr>
  </w:style>
  <w:style w:type="paragraph" w:styleId="694">
    <w:name w:val="Document Map"/>
    <w:basedOn w:val="680"/>
    <w:link w:val="873"/>
    <w:uiPriority w:val="99"/>
    <w:semiHidden/>
    <w:unhideWhenUsed/>
    <w:qFormat/>
    <w:rPr>
      <w:rFonts w:ascii="宋体" w:eastAsia="宋体"/>
      <w:sz w:val="18"/>
      <w:szCs w:val="18"/>
    </w:rPr>
  </w:style>
  <w:style w:type="paragraph" w:styleId="695">
    <w:name w:val="annotation text"/>
    <w:basedOn w:val="680"/>
    <w:link w:val="877"/>
    <w:uiPriority w:val="0"/>
    <w:qFormat/>
    <w:pPr>
      <w:ind w:firstLine="922"/>
      <w:jc w:val="left"/>
      <w:spacing w:line="360" w:lineRule="auto"/>
    </w:pPr>
    <w:rPr>
      <w:rFonts w:ascii="Times New Roman" w:hAnsi="Times New Roman" w:eastAsia="宋体" w:cs="Times New Roman"/>
      <w:szCs w:val="24"/>
    </w:rPr>
  </w:style>
  <w:style w:type="paragraph" w:styleId="696">
    <w:name w:val="Body Text"/>
    <w:basedOn w:val="680"/>
    <w:next w:val="680"/>
    <w:uiPriority w:val="1"/>
    <w:qFormat/>
    <w:pPr>
      <w:spacing w:after="120"/>
    </w:pPr>
  </w:style>
  <w:style w:type="paragraph" w:styleId="697">
    <w:name w:val="toc 5"/>
    <w:basedOn w:val="680"/>
    <w:next w:val="680"/>
    <w:uiPriority w:val="39"/>
    <w:unhideWhenUsed/>
    <w:qFormat/>
    <w:pPr>
      <w:ind w:left="1134" w:right="0" w:firstLine="0"/>
      <w:spacing w:after="57"/>
    </w:pPr>
  </w:style>
  <w:style w:type="paragraph" w:styleId="698">
    <w:name w:val="toc 3"/>
    <w:basedOn w:val="680"/>
    <w:next w:val="680"/>
    <w:uiPriority w:val="39"/>
    <w:unhideWhenUsed/>
    <w:qFormat/>
    <w:pPr>
      <w:ind w:left="567" w:right="0" w:firstLine="0"/>
      <w:spacing w:after="57"/>
    </w:pPr>
  </w:style>
  <w:style w:type="paragraph" w:styleId="699">
    <w:name w:val="Plain Text"/>
    <w:basedOn w:val="680"/>
    <w:uiPriority w:val="0"/>
    <w:qFormat/>
    <w:rPr>
      <w:rFonts w:ascii="宋体" w:hAnsi="Courier New" w:eastAsia="宋体" w:cs="Courier New"/>
      <w:szCs w:val="21"/>
    </w:rPr>
  </w:style>
  <w:style w:type="paragraph" w:styleId="700">
    <w:name w:val="toc 8"/>
    <w:basedOn w:val="680"/>
    <w:next w:val="680"/>
    <w:uiPriority w:val="39"/>
    <w:unhideWhenUsed/>
    <w:qFormat/>
    <w:pPr>
      <w:ind w:left="1984" w:right="0" w:firstLine="0"/>
      <w:spacing w:after="57"/>
    </w:pPr>
  </w:style>
  <w:style w:type="paragraph" w:styleId="701">
    <w:name w:val="Date"/>
    <w:basedOn w:val="680"/>
    <w:next w:val="680"/>
    <w:link w:val="876"/>
    <w:uiPriority w:val="99"/>
    <w:semiHidden/>
    <w:unhideWhenUsed/>
    <w:qFormat/>
    <w:pPr>
      <w:ind w:left="100"/>
    </w:pPr>
  </w:style>
  <w:style w:type="paragraph" w:styleId="702">
    <w:name w:val="endnote text"/>
    <w:basedOn w:val="680"/>
    <w:link w:val="868"/>
    <w:uiPriority w:val="99"/>
    <w:semiHidden/>
    <w:unhideWhenUsed/>
    <w:qFormat/>
    <w:pPr>
      <w:spacing w:after="0" w:line="240" w:lineRule="auto"/>
    </w:pPr>
    <w:rPr>
      <w:sz w:val="20"/>
    </w:rPr>
  </w:style>
  <w:style w:type="paragraph" w:styleId="703">
    <w:name w:val="Balloon Text"/>
    <w:basedOn w:val="680"/>
    <w:link w:val="878"/>
    <w:uiPriority w:val="99"/>
    <w:semiHidden/>
    <w:unhideWhenUsed/>
    <w:qFormat/>
    <w:rPr>
      <w:sz w:val="18"/>
      <w:szCs w:val="18"/>
    </w:rPr>
  </w:style>
  <w:style w:type="paragraph" w:styleId="704">
    <w:name w:val="Footer"/>
    <w:basedOn w:val="680"/>
    <w:link w:val="871"/>
    <w:uiPriority w:val="99"/>
    <w:unhideWhenUsed/>
    <w:qFormat/>
    <w:pPr>
      <w:jc w:val="left"/>
      <w:tabs>
        <w:tab w:val="center" w:pos="4153" w:leader="none"/>
        <w:tab w:val="right" w:pos="8306" w:leader="none"/>
      </w:tabs>
    </w:pPr>
    <w:rPr>
      <w:sz w:val="18"/>
      <w:szCs w:val="18"/>
    </w:rPr>
  </w:style>
  <w:style w:type="paragraph" w:styleId="705">
    <w:name w:val="Header"/>
    <w:basedOn w:val="680"/>
    <w:link w:val="8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80"/>
    <w:next w:val="680"/>
    <w:uiPriority w:val="39"/>
    <w:unhideWhenUsed/>
    <w:qFormat/>
    <w:pPr>
      <w:jc w:val="center"/>
      <w:spacing w:line="480" w:lineRule="auto"/>
      <w:tabs>
        <w:tab w:val="right" w:pos="9628" w:leader="dot"/>
      </w:tabs>
    </w:pPr>
    <w:rPr>
      <w:b/>
      <w:sz w:val="44"/>
      <w:szCs w:val="44"/>
    </w:rPr>
  </w:style>
  <w:style w:type="paragraph" w:styleId="707">
    <w:name w:val="toc 4"/>
    <w:basedOn w:val="680"/>
    <w:next w:val="680"/>
    <w:uiPriority w:val="39"/>
    <w:unhideWhenUsed/>
    <w:qFormat/>
    <w:pPr>
      <w:ind w:left="850" w:right="0" w:firstLine="0"/>
      <w:spacing w:after="57"/>
    </w:pPr>
  </w:style>
  <w:style w:type="paragraph" w:styleId="708">
    <w:name w:val="Subtitle"/>
    <w:basedOn w:val="680"/>
    <w:next w:val="680"/>
    <w:link w:val="734"/>
    <w:uiPriority w:val="11"/>
    <w:qFormat/>
    <w:pPr>
      <w:spacing w:before="200" w:after="200"/>
    </w:pPr>
    <w:rPr>
      <w:sz w:val="24"/>
      <w:szCs w:val="24"/>
    </w:rPr>
  </w:style>
  <w:style w:type="paragraph" w:styleId="709">
    <w:name w:val="footnote text"/>
    <w:basedOn w:val="680"/>
    <w:link w:val="867"/>
    <w:uiPriority w:val="99"/>
    <w:semiHidden/>
    <w:unhideWhenUsed/>
    <w:qFormat/>
    <w:pPr>
      <w:spacing w:after="40" w:line="240" w:lineRule="auto"/>
    </w:pPr>
    <w:rPr>
      <w:sz w:val="18"/>
    </w:rPr>
  </w:style>
  <w:style w:type="paragraph" w:styleId="710">
    <w:name w:val="toc 6"/>
    <w:basedOn w:val="680"/>
    <w:next w:val="680"/>
    <w:uiPriority w:val="39"/>
    <w:unhideWhenUsed/>
    <w:qFormat/>
    <w:pPr>
      <w:ind w:left="1417" w:right="0" w:firstLine="0"/>
      <w:spacing w:after="57"/>
    </w:pPr>
  </w:style>
  <w:style w:type="paragraph" w:styleId="711">
    <w:name w:val="table of figures"/>
    <w:basedOn w:val="680"/>
    <w:next w:val="680"/>
    <w:uiPriority w:val="99"/>
    <w:unhideWhenUsed/>
    <w:qFormat/>
    <w:pPr>
      <w:spacing w:after="0" w:afterAutospacing="0"/>
    </w:pPr>
  </w:style>
  <w:style w:type="paragraph" w:styleId="712">
    <w:name w:val="toc 2"/>
    <w:basedOn w:val="680"/>
    <w:next w:val="680"/>
    <w:uiPriority w:val="39"/>
    <w:unhideWhenUsed/>
    <w:qFormat/>
    <w:pPr>
      <w:ind w:left="283" w:right="0" w:firstLine="0"/>
      <w:spacing w:after="57"/>
    </w:pPr>
  </w:style>
  <w:style w:type="paragraph" w:styleId="713">
    <w:name w:val="toc 9"/>
    <w:basedOn w:val="680"/>
    <w:next w:val="680"/>
    <w:uiPriority w:val="39"/>
    <w:unhideWhenUsed/>
    <w:qFormat/>
    <w:pPr>
      <w:ind w:left="2268" w:right="0" w:firstLine="0"/>
      <w:spacing w:after="57"/>
    </w:pPr>
  </w:style>
  <w:style w:type="paragraph" w:styleId="714">
    <w:name w:val="Normal (Web)"/>
    <w:basedOn w:val="680"/>
    <w:uiPriority w:val="99"/>
    <w:unhideWhenUsed/>
    <w:qFormat/>
    <w:pPr>
      <w:ind w:left="0" w:right="0"/>
      <w:jc w:val="left"/>
      <w:spacing w:before="100" w:beforeAutospacing="1" w:after="100" w:afterAutospacing="1"/>
    </w:pPr>
    <w:rPr>
      <w:sz w:val="24"/>
      <w:lang w:val="en-US" w:eastAsia="zh-CN" w:bidi="ar"/>
    </w:rPr>
  </w:style>
  <w:style w:type="paragraph" w:styleId="715">
    <w:name w:val="Title"/>
    <w:basedOn w:val="680"/>
    <w:next w:val="680"/>
    <w:link w:val="733"/>
    <w:uiPriority w:val="10"/>
    <w:qFormat/>
    <w:pPr>
      <w:contextualSpacing/>
      <w:spacing w:before="300" w:after="200"/>
    </w:pPr>
    <w:rPr>
      <w:sz w:val="48"/>
      <w:szCs w:val="48"/>
    </w:rPr>
  </w:style>
  <w:style w:type="table" w:styleId="716">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90"/>
    <w:uiPriority w:val="22"/>
    <w:qFormat/>
    <w:rPr>
      <w:b/>
    </w:rPr>
  </w:style>
  <w:style w:type="character" w:styleId="718">
    <w:name w:val="endnote reference"/>
    <w:basedOn w:val="690"/>
    <w:uiPriority w:val="99"/>
    <w:semiHidden/>
    <w:unhideWhenUsed/>
    <w:qFormat/>
    <w:rPr>
      <w:vertAlign w:val="superscript"/>
    </w:rPr>
  </w:style>
  <w:style w:type="character" w:styleId="719">
    <w:name w:val="Emphasis"/>
    <w:uiPriority w:val="0"/>
    <w:qFormat/>
    <w:rPr>
      <w:i/>
    </w:rPr>
  </w:style>
  <w:style w:type="character" w:styleId="720">
    <w:name w:val="Hyperlink"/>
    <w:uiPriority w:val="99"/>
    <w:qFormat/>
    <w:rPr>
      <w:color w:val="0000ff"/>
      <w:u w:val="none"/>
    </w:rPr>
  </w:style>
  <w:style w:type="character" w:styleId="721">
    <w:name w:val="annotation reference"/>
    <w:uiPriority w:val="0"/>
    <w:qFormat/>
    <w:rPr>
      <w:sz w:val="21"/>
      <w:szCs w:val="21"/>
    </w:rPr>
  </w:style>
  <w:style w:type="character" w:styleId="722">
    <w:name w:val="footnote reference"/>
    <w:basedOn w:val="690"/>
    <w:uiPriority w:val="99"/>
    <w:unhideWhenUsed/>
    <w:qFormat/>
    <w:rPr>
      <w:vertAlign w:val="superscript"/>
    </w:rPr>
  </w:style>
  <w:style w:type="character" w:styleId="723" w:customStyle="1">
    <w:name w:val="Heading 1 Char"/>
    <w:basedOn w:val="690"/>
    <w:uiPriority w:val="9"/>
    <w:qFormat/>
    <w:rPr>
      <w:rFonts w:ascii="Arial" w:hAnsi="Arial" w:eastAsia="Arial" w:cs="Arial"/>
      <w:sz w:val="40"/>
      <w:szCs w:val="40"/>
    </w:rPr>
  </w:style>
  <w:style w:type="character" w:styleId="724" w:customStyle="1">
    <w:name w:val="Heading 2 Char"/>
    <w:basedOn w:val="690"/>
    <w:uiPriority w:val="9"/>
    <w:qFormat/>
    <w:rPr>
      <w:rFonts w:ascii="Arial" w:hAnsi="Arial" w:eastAsia="Arial" w:cs="Arial"/>
      <w:sz w:val="34"/>
    </w:rPr>
  </w:style>
  <w:style w:type="character" w:styleId="725" w:customStyle="1">
    <w:name w:val="Heading 3 Char"/>
    <w:basedOn w:val="690"/>
    <w:uiPriority w:val="9"/>
    <w:qFormat/>
    <w:rPr>
      <w:rFonts w:ascii="Arial" w:hAnsi="Arial" w:eastAsia="Arial" w:cs="Arial"/>
      <w:sz w:val="30"/>
      <w:szCs w:val="30"/>
    </w:rPr>
  </w:style>
  <w:style w:type="character" w:styleId="726" w:customStyle="1">
    <w:name w:val="Heading 4 Char"/>
    <w:basedOn w:val="690"/>
    <w:link w:val="684"/>
    <w:uiPriority w:val="9"/>
    <w:qFormat/>
    <w:rPr>
      <w:rFonts w:ascii="Arial" w:hAnsi="Arial" w:eastAsia="Arial" w:cs="Arial"/>
      <w:b/>
      <w:bCs/>
      <w:sz w:val="26"/>
      <w:szCs w:val="26"/>
    </w:rPr>
  </w:style>
  <w:style w:type="character" w:styleId="727" w:customStyle="1">
    <w:name w:val="Heading 5 Char"/>
    <w:basedOn w:val="690"/>
    <w:link w:val="685"/>
    <w:uiPriority w:val="9"/>
    <w:qFormat/>
    <w:rPr>
      <w:rFonts w:ascii="Arial" w:hAnsi="Arial" w:eastAsia="Arial" w:cs="Arial"/>
      <w:b/>
      <w:bCs/>
      <w:sz w:val="24"/>
      <w:szCs w:val="24"/>
    </w:rPr>
  </w:style>
  <w:style w:type="character" w:styleId="728" w:customStyle="1">
    <w:name w:val="Heading 6 Char"/>
    <w:basedOn w:val="690"/>
    <w:link w:val="686"/>
    <w:uiPriority w:val="9"/>
    <w:qFormat/>
    <w:rPr>
      <w:rFonts w:ascii="Arial" w:hAnsi="Arial" w:eastAsia="Arial" w:cs="Arial"/>
      <w:b/>
      <w:bCs/>
      <w:sz w:val="22"/>
      <w:szCs w:val="22"/>
    </w:rPr>
  </w:style>
  <w:style w:type="character" w:styleId="729" w:customStyle="1">
    <w:name w:val="Heading 7 Char"/>
    <w:basedOn w:val="690"/>
    <w:link w:val="687"/>
    <w:uiPriority w:val="9"/>
    <w:qFormat/>
    <w:rPr>
      <w:rFonts w:ascii="Arial" w:hAnsi="Arial" w:eastAsia="Arial" w:cs="Arial"/>
      <w:b/>
      <w:bCs/>
      <w:i/>
      <w:iCs/>
      <w:sz w:val="22"/>
      <w:szCs w:val="22"/>
    </w:rPr>
  </w:style>
  <w:style w:type="character" w:styleId="730" w:customStyle="1">
    <w:name w:val="Heading 8 Char"/>
    <w:basedOn w:val="690"/>
    <w:link w:val="688"/>
    <w:uiPriority w:val="9"/>
    <w:qFormat/>
    <w:rPr>
      <w:rFonts w:ascii="Arial" w:hAnsi="Arial" w:eastAsia="Arial" w:cs="Arial"/>
      <w:i/>
      <w:iCs/>
      <w:sz w:val="22"/>
      <w:szCs w:val="22"/>
    </w:rPr>
  </w:style>
  <w:style w:type="character" w:styleId="731" w:customStyle="1">
    <w:name w:val="Heading 9 Char"/>
    <w:basedOn w:val="690"/>
    <w:link w:val="689"/>
    <w:uiPriority w:val="9"/>
    <w:qFormat/>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90"/>
    <w:link w:val="715"/>
    <w:uiPriority w:val="10"/>
    <w:qFormat/>
    <w:rPr>
      <w:sz w:val="48"/>
      <w:szCs w:val="48"/>
    </w:rPr>
  </w:style>
  <w:style w:type="character" w:styleId="734" w:customStyle="1">
    <w:name w:val="Subtitle Char"/>
    <w:basedOn w:val="690"/>
    <w:link w:val="708"/>
    <w:uiPriority w:val="11"/>
    <w:qFormat/>
    <w:rPr>
      <w:sz w:val="24"/>
      <w:szCs w:val="24"/>
    </w:rPr>
  </w:style>
  <w:style w:type="paragraph" w:styleId="735">
    <w:name w:val="Quote"/>
    <w:basedOn w:val="680"/>
    <w:next w:val="680"/>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0"/>
    <w:next w:val="68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90"/>
    <w:uiPriority w:val="99"/>
    <w:qFormat/>
  </w:style>
  <w:style w:type="character" w:styleId="740" w:customStyle="1">
    <w:name w:val="Footer Char"/>
    <w:basedOn w:val="690"/>
    <w:uiPriority w:val="99"/>
    <w:qFormat/>
  </w:style>
  <w:style w:type="character" w:styleId="741" w:customStyle="1">
    <w:name w:val="Caption Char"/>
    <w:uiPriority w:val="99"/>
    <w:qFormat/>
  </w:style>
  <w:style w:type="table" w:styleId="742"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9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basedOn w:val="69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basedOn w:val="69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basedOn w:val="69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basedOn w:val="69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basedOn w:val="69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4" w:customStyle="1">
    <w:name w:val="Grid Table 6 Colorful - Accent 1"/>
    <w:basedOn w:val="69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5" w:customStyle="1">
    <w:name w:val="Grid Table 6 Colorful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6" w:customStyle="1">
    <w:name w:val="Grid Table 6 Colorful - Accent 3"/>
    <w:basedOn w:val="69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7" w:customStyle="1">
    <w:name w:val="Grid Table 6 Colorful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8" w:customStyle="1">
    <w:name w:val="Grid Table 6 Colorful - Accent 5"/>
    <w:basedOn w:val="69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6 Colorful - Accent 6"/>
    <w:basedOn w:val="69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9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9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9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9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9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9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9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9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9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9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9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9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9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basedOn w:val="69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basedOn w:val="69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basedOn w:val="69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basedOn w:val="69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basedOn w:val="69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9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9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9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9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9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basedOn w:val="69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basedOn w:val="69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basedOn w:val="69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basedOn w:val="69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basedOn w:val="69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basedOn w:val="69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basedOn w:val="69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basedOn w:val="69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basedOn w:val="69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basedOn w:val="69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basedOn w:val="69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basedOn w:val="69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4" w:customStyle="1">
    <w:name w:val="List Table 6 Colorful - Accent 2"/>
    <w:basedOn w:val="69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5" w:customStyle="1">
    <w:name w:val="List Table 6 Colorful - Accent 3"/>
    <w:basedOn w:val="69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6" w:customStyle="1">
    <w:name w:val="List Table 6 Colorful - Accent 4"/>
    <w:basedOn w:val="69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7" w:customStyle="1">
    <w:name w:val="List Table 6 Colorful - Accent 5"/>
    <w:basedOn w:val="69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8" w:customStyle="1">
    <w:name w:val="List Table 6 Colorful - Accent 6"/>
    <w:basedOn w:val="69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9"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9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91"/>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91"/>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91"/>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91"/>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9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9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basedOn w:val="69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basedOn w:val="69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basedOn w:val="69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basedOn w:val="69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basedOn w:val="69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09"/>
    <w:uiPriority w:val="99"/>
    <w:qFormat/>
    <w:rPr>
      <w:sz w:val="18"/>
    </w:rPr>
  </w:style>
  <w:style w:type="character" w:styleId="868" w:customStyle="1">
    <w:name w:val="Endnote Text Char"/>
    <w:link w:val="702"/>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页眉 Char"/>
    <w:basedOn w:val="690"/>
    <w:link w:val="705"/>
    <w:uiPriority w:val="99"/>
    <w:semiHidden/>
    <w:qFormat/>
    <w:rPr>
      <w:sz w:val="18"/>
      <w:szCs w:val="18"/>
    </w:rPr>
  </w:style>
  <w:style w:type="character" w:styleId="871" w:customStyle="1">
    <w:name w:val="页脚 Char"/>
    <w:basedOn w:val="690"/>
    <w:link w:val="704"/>
    <w:uiPriority w:val="99"/>
    <w:qFormat/>
    <w:rPr>
      <w:sz w:val="18"/>
      <w:szCs w:val="18"/>
    </w:rPr>
  </w:style>
  <w:style w:type="character" w:styleId="872" w:customStyle="1">
    <w:name w:val="标题 1 Char"/>
    <w:basedOn w:val="690"/>
    <w:link w:val="681"/>
    <w:uiPriority w:val="9"/>
    <w:qFormat/>
    <w:rPr>
      <w:b/>
      <w:bCs/>
      <w:sz w:val="44"/>
      <w:szCs w:val="44"/>
    </w:rPr>
  </w:style>
  <w:style w:type="character" w:styleId="873" w:customStyle="1">
    <w:name w:val="文档结构图 Char"/>
    <w:basedOn w:val="690"/>
    <w:link w:val="694"/>
    <w:uiPriority w:val="99"/>
    <w:semiHidden/>
    <w:qFormat/>
    <w:rPr>
      <w:rFonts w:ascii="宋体" w:eastAsia="宋体"/>
      <w:sz w:val="18"/>
      <w:szCs w:val="18"/>
    </w:rPr>
  </w:style>
  <w:style w:type="character" w:styleId="874" w:customStyle="1">
    <w:name w:val="标题 2 Char"/>
    <w:basedOn w:val="690"/>
    <w:link w:val="682"/>
    <w:uiPriority w:val="9"/>
    <w:qFormat/>
    <w:rPr>
      <w:rFonts w:asciiTheme="majorHAnsi" w:hAnsiTheme="majorHAnsi" w:eastAsiaTheme="majorEastAsia" w:cstheme="majorBidi"/>
      <w:b/>
      <w:bCs/>
      <w:sz w:val="32"/>
      <w:szCs w:val="32"/>
    </w:rPr>
  </w:style>
  <w:style w:type="character" w:styleId="875" w:customStyle="1">
    <w:name w:val="标题 3 Char"/>
    <w:basedOn w:val="690"/>
    <w:link w:val="683"/>
    <w:uiPriority w:val="9"/>
    <w:qFormat/>
    <w:rPr>
      <w:b/>
      <w:bCs/>
      <w:sz w:val="32"/>
      <w:szCs w:val="32"/>
    </w:rPr>
  </w:style>
  <w:style w:type="character" w:styleId="876" w:customStyle="1">
    <w:name w:val="日期 Char"/>
    <w:basedOn w:val="690"/>
    <w:link w:val="701"/>
    <w:uiPriority w:val="99"/>
    <w:semiHidden/>
    <w:qFormat/>
  </w:style>
  <w:style w:type="character" w:styleId="877" w:customStyle="1">
    <w:name w:val="批注文字 Char"/>
    <w:basedOn w:val="690"/>
    <w:link w:val="695"/>
    <w:uiPriority w:val="0"/>
    <w:qFormat/>
    <w:rPr>
      <w:rFonts w:ascii="Times New Roman" w:hAnsi="Times New Roman" w:eastAsia="宋体" w:cs="Times New Roman"/>
      <w:szCs w:val="24"/>
    </w:rPr>
  </w:style>
  <w:style w:type="character" w:styleId="878" w:customStyle="1">
    <w:name w:val="批注框文本 Char"/>
    <w:basedOn w:val="690"/>
    <w:link w:val="703"/>
    <w:uiPriority w:val="99"/>
    <w:semiHidden/>
    <w:qFormat/>
    <w:rPr>
      <w:sz w:val="18"/>
      <w:szCs w:val="18"/>
    </w:rPr>
  </w:style>
  <w:style w:type="paragraph" w:styleId="879" w:customStyle="1">
    <w:name w:val="正文首行缩进11"/>
    <w:basedOn w:val="880"/>
    <w:uiPriority w:val="0"/>
    <w:qFormat/>
    <w:pPr>
      <w:ind w:firstLine="200"/>
      <w:spacing w:line="360" w:lineRule="auto"/>
    </w:pPr>
    <w:rPr>
      <w:rFonts w:ascii="仿宋_GB2312" w:hAnsi="Times New Roman" w:eastAsia="仿宋_GB2312"/>
      <w:sz w:val="30"/>
      <w:szCs w:val="30"/>
    </w:rPr>
  </w:style>
  <w:style w:type="paragraph" w:styleId="880" w:customStyle="1">
    <w:name w:val="正文文本11"/>
    <w:basedOn w:val="680"/>
    <w:next w:val="680"/>
    <w:uiPriority w:val="0"/>
    <w:qFormat/>
    <w:rPr>
      <w:rFonts w:ascii="楷体_GB2312" w:hAnsi="Arial" w:eastAsia="楷体_GB2312"/>
      <w:sz w:val="28"/>
      <w:szCs w:val="28"/>
      <w:lang w:eastAsia="en-US"/>
    </w:rPr>
  </w:style>
  <w:style w:type="paragraph" w:styleId="881" w:customStyle="1">
    <w:name w:val="Default"/>
    <w:next w:val="680"/>
    <w:uiPriority w:val="99"/>
    <w:qFormat/>
    <w:pPr>
      <w:widowControl w:val="off"/>
    </w:pPr>
    <w:rPr>
      <w:rFonts w:hint="default" w:ascii="MS Mincho" w:hAnsi="Calibri" w:eastAsia="宋体" w:cs="Times New Roman"/>
      <w:color w:val="000000"/>
      <w:sz w:val="21"/>
      <w:szCs w:val="24"/>
      <w:lang w:val="en-US" w:eastAsia="zh-CN" w:bidi="ar-SA"/>
    </w:rPr>
  </w:style>
  <w:style w:type="paragraph" w:styleId="882">
    <w:name w:val="List Paragraph"/>
    <w:basedOn w:val="680"/>
    <w:uiPriority w:val="34"/>
    <w:qFormat/>
    <w:pPr>
      <w:contextualSpacing/>
      <w:ind w:left="720"/>
    </w:pPr>
  </w:style>
  <w:style w:type="paragraph" w:styleId="883" w:customStyle="1">
    <w:name w:val="正文文本1"/>
    <w:basedOn w:val="680"/>
    <w:next w:val="680"/>
    <w:uiPriority w:val="0"/>
    <w:qFormat/>
    <w:pPr>
      <w:spacing w:after="120"/>
    </w:pPr>
  </w:style>
  <w:style w:type="paragraph" w:styleId="884" w:customStyle="1">
    <w:name w:val="普通(网站)1"/>
    <w:basedOn w:val="680"/>
    <w:uiPriority w:val="0"/>
    <w:qFormat/>
    <w:rPr>
      <w:rFonts w:ascii="Times New Roman" w:hAnsi="Times New Roman"/>
      <w:sz w:val="24"/>
    </w:rPr>
  </w:style>
  <w:style w:type="paragraph" w:styleId="885" w:customStyle="1">
    <w:name w:val="正文文本缩进1"/>
    <w:basedOn w:val="680"/>
    <w:uiPriority w:val="0"/>
    <w:qFormat/>
    <w:pPr>
      <w:ind w:left="420"/>
      <w:spacing w:after="120"/>
    </w:pPr>
    <w:rPr>
      <w:rFonts w:ascii="Times New Roman" w:hAnsi="Times New Roman"/>
      <w:szCs w:val="24"/>
    </w:rPr>
  </w:style>
  <w:style w:type="paragraph" w:styleId="886" w:customStyle="1">
    <w:name w:val="首行缩进"/>
    <w:basedOn w:val="680"/>
    <w:uiPriority w:val="0"/>
    <w:qFormat/>
    <w:pPr>
      <w:ind w:firstLine="480"/>
    </w:pPr>
    <w:rPr>
      <w:lang w:val="zh-CN"/>
    </w:rPr>
  </w:style>
  <w:style w:type="paragraph" w:styleId="887" w:customStyle="1">
    <w:name w:val="Table Paragraph"/>
    <w:basedOn w:val="680"/>
    <w:uiPriority w:val="1"/>
    <w:qFormat/>
  </w:style>
  <w:style w:type="paragraph" w:styleId="888" w:customStyle="1">
    <w:name w:val="无间隔11"/>
    <w:basedOn w:val="680"/>
    <w:uiPriority w:val="0"/>
    <w:qFormat/>
    <w:pPr>
      <w:spacing w:line="400" w:lineRule="exact"/>
    </w:pPr>
    <w:rPr>
      <w:sz w:val="24"/>
      <w:szCs w:val="20"/>
    </w:rPr>
  </w:style>
  <w:style w:type="paragraph" w:styleId="889" w:customStyle="1">
    <w:name w:val="无间隔1"/>
    <w:basedOn w:val="680"/>
    <w:uiPriority w:val="0"/>
    <w:qFormat/>
    <w:rPr>
      <w:rFonts w:ascii="Calibri" w:hAnsi="Calibri" w:cs="黑体"/>
      <w:szCs w:val="32"/>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7753a579-98a3-44d8-b392-dca4e7ad46a7</errorID>
      <errorWord>做</errorWord>
      <group>L1_Word</group>
      <groupName>字词问题</groupName>
      <ability>L2_Typo</ability>
      <abilityName>字词错误</abilityName>
      <candidateList>
        <item>作</item>
      </candidateList>
      <explain>存在发音相同字词的误用。</explain>
      <paraID> 3CD0D73</paraID>
      <start>54</start>
      <end>55</end>
      <status>unmodified</status>
      <modifiedWord/>
      <trackRevisions>false</trackRevisions>
    </reviewItem>
    <reviewItem>
      <errorID>5f14af07-9d20-4c7b-b389-d5671a7bf49e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59C2D8CE</paraID>
      <start>37</start>
      <end>38</end>
      <status>unmodified</status>
      <modifiedWord/>
      <trackRevisions>false</trackRevisions>
    </reviewItem>
    <reviewItem>
      <errorID>5357d9b4-ced7-4cac-a918-e962006a6b82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7FBC74FA</paraID>
      <start>37</start>
      <end>38</end>
      <status>unmodified</status>
      <modifiedWord/>
      <trackRevisions>false</trackRevisions>
    </reviewItem>
    <reviewItem>
      <errorID>75d5def5-dade-43f5-bfec-62b622829410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1EF53BCD</paraID>
      <start>26</start>
      <end>27</end>
      <status>unmodified</status>
      <modifiedWord/>
      <trackRevisions>false</trackRevisions>
    </reviewItem>
    <reviewItem>
      <errorID>67e1e740-1ec4-4669-a5b5-b3fc694161c4</errorID>
      <errorWord>噪音</errorWord>
      <group>L1_Word</group>
      <groupName>字词问题</groupName>
      <ability>L2_Alias</ability>
      <abilityName>也作/曾用词</abilityName>
      <candidateList>
        <item>噪声</item>
      </candidateList>
      <explain>词汇[噪音]为不规范表述或旧称，其规范书面表述为[噪声]。</explain>
      <paraID>3BAB6E72</paraID>
      <start>5</start>
      <end>7</end>
      <status>unmodified</status>
      <modifiedWord/>
      <trackRevisions>false</trackRevisions>
    </reviewItem>
    <reviewItem>
      <errorID>7a7965b6-d955-4e8b-852d-aaa23b535afb</errorID>
      <errorWord>（</errorWord>
      <group>L1_Punc</group>
      <groupName>标点问题</groupName>
      <ability>L2_Punc</ability>
      <abilityName>标点符号检查</abilityName>
      <candidateList>
        <item/>
      </candidateList>
      <explain>同一形式括号套用。</explain>
      <paraID>3BAB6E72</paraID>
      <start>7</start>
      <end>8</end>
      <status>unmodified</status>
      <modifiedWord/>
      <trackRevisions>false</trackRevisions>
    </reviewItem>
    <reviewItem>
      <errorID>0402ae2b-3756-4bf3-89e3-a978cd7f0ed7</errorID>
      <errorWord>(</errorWord>
      <group>L1_Punc</group>
      <groupName>标点问题</groupName>
      <ability>L2_Punc</ability>
      <abilityName>标点符号检查</abilityName>
      <candidateList/>
      <explain>同一形式括号套用。</explain>
      <paraID>3BAB6E72</paraID>
      <start>10</start>
      <end>11</end>
      <status>unmodified</status>
      <modifiedWord/>
      <trackRevisions>false</trackRevisions>
    </reviewItem>
    <reviewItem>
      <errorID>25c5f90b-095d-4b3a-86ad-4f34707e843f</errorID>
      <errorWord>)</errorWord>
      <group>L1_Punc</group>
      <groupName>标点问题</groupName>
      <ability>L2_Punc</ability>
      <abilityName>标点符号检查</abilityName>
      <candidateList/>
      <explain>同一形式括号套用。</explain>
      <paraID>3BAB6E72</paraID>
      <start>12</start>
      <end>13</end>
      <status>unmodified</status>
      <modifiedWord/>
      <trackRevisions>false</trackRevisions>
    </reviewItem>
    <reviewItem>
      <errorID>d3dfb06a-3d3a-41fb-a05b-754b55009be1</errorID>
      <errorWord>）</errorWord>
      <group>L1_Punc</group>
      <groupName>标点问题</groupName>
      <ability>L2_Punc</ability>
      <abilityName>标点符号检查</abilityName>
      <candidateList/>
      <explain>同一形式括号套用。</explain>
      <paraID>3BAB6E72</paraID>
      <start>13</start>
      <end>14</end>
      <status>unmodified</status>
      <modifiedWord/>
      <trackRevisions>false</trackRevisions>
    </reviewItem>
    <reviewItem>
      <errorID>8875f92e-89dd-4fe1-a377-247f33a0b08d</errorID>
      <errorWord>Kw</errorWord>
      <group>L1_Word</group>
      <groupName>字词问题</groupName>
      <ability>L2_Typo</ability>
      <abilityName>字词错误</abilityName>
      <candidateList>
        <item>kW</item>
      </candidateList>
      <explain/>
      <paraID>4FA00EFD</paraID>
      <start>5</start>
      <end>7</end>
      <status>unmodified</status>
      <modifiedWord/>
      <trackRevisions>false</trackRevisions>
    </reviewItem>
    <reviewItem>
      <errorID>3149aef5-30db-460b-badc-975709f35fb5</errorID>
      <errorWord>形</errorWord>
      <group>L1_Word</group>
      <groupName>字词问题</groupName>
      <ability>L2_Typo</ability>
      <abilityName>字词错误</abilityName>
      <candidateList>
        <item>型</item>
      </candidateList>
      <explain>存在发音相同字词的误用。</explain>
      <paraID> 76A7C13</paraID>
      <start>5</start>
      <end>6</end>
      <status>unmodified</status>
      <modifiedWord/>
      <trackRevisions>false</trackRevisions>
    </reviewItem>
    <reviewItem>
      <errorID>76e656d6-1042-45cc-91a4-60fbe45edc90</errorID>
      <errorWord>止动</errorWord>
      <group>L1_Word</group>
      <groupName>字词问题</groupName>
      <ability>L2_Typo</ability>
      <abilityName>字词错误</abilityName>
      <candidateList>
        <item>制动</item>
      </candidateList>
      <explain/>
      <paraID>3A22E896</paraID>
      <start>42</start>
      <end>44</end>
      <status>unmodified</status>
      <modifiedWord/>
      <trackRevisions>false</trackRevisions>
    </reviewItem>
    <reviewItem>
      <errorID>1b2a8e38-99b0-4a10-ad0a-165a4b0c5e70</errorID>
      <errorWord>具有线</errorWord>
      <group>L1_Word</group>
      <groupName>字词问题</groupName>
      <ability>L2_Typo</ability>
      <abilityName>字词错误</abilityName>
      <candidateList>
        <item>具有</item>
      </candidateList>
      <explain>〈动〉有（多用于抽象事物）：～信心｜～伟大的意义。</explain>
      <paraID>2550CAD3</paraID>
      <start>0</start>
      <end>3</end>
      <status>unmodified</status>
      <modifiedWord/>
      <trackRevisions>false</trackRevisions>
    </reviewItem>
    <reviewItem>
      <errorID>ae02f747-896f-48a9-aeda-fb1345c4e5a5</errorID>
      <errorWord>(</errorWord>
      <group>L1_Format</group>
      <groupName>格式问题</groupName>
      <ability>L2_HalfPunc</ability>
      <abilityName>全半角检查</abilityName>
      <candidateList>
        <item>（</item>
      </candidateList>
      <explain>文本全半角错误。</explain>
      <paraID>14BC0DA0</paraID>
      <start>9</start>
      <end>10</end>
      <status>unmodified</status>
      <modifiedWord/>
      <trackRevisions>false</trackRevisions>
    </reviewItem>
    <reviewItem>
      <errorID>c6e4ce26-5699-40dd-b089-02b8deae1981</errorID>
      <errorWord>),</errorWord>
      <group>L1_Format</group>
      <groupName>格式问题</groupName>
      <ability>L2_HalfPunc</ability>
      <abilityName>全半角检查</abilityName>
      <candidateList>
        <item>），</item>
      </candidateList>
      <explain>文本全半角错误。</explain>
      <paraID>14BC0DA0</paraID>
      <start>23</start>
      <end>25</end>
      <status>unmodified</status>
      <modifiedWord/>
      <trackRevisions>false</trackRevisions>
    </reviewItem>
    <reviewItem>
      <errorID>53dfa631-a6e4-4e9c-999c-912806aee9cf</errorID>
      <errorWord>详实</errorWord>
      <group>L1_Word</group>
      <groupName>字词问题</groupName>
      <ability>L2_Typo</ability>
      <abilityName>字词错误</abilityName>
      <candidateList>
        <item>翔实</item>
      </candidateList>
      <explain/>
      <paraID>7B5638AF</paraID>
      <start>59</start>
      <end>61</end>
      <status>unmodified</status>
      <modifiedWord/>
      <trackRevisions>false</trackRevisions>
    </reviewItem>
    <reviewItem>
      <errorID>e5caa317-7223-4352-90fc-f857d28a26ca</errorID>
      <errorWord>较</errorWord>
      <group>L1_Word</group>
      <groupName>字词问题</groupName>
      <ability>L2_Typo</ability>
      <abilityName>字词错误</abilityName>
      <candidateList>
        <item>较为</item>
      </candidateList>
      <explain/>
      <paraID> 6E7B718</paraID>
      <start>31</start>
      <end>32</end>
      <status>unmodified</status>
      <modifiedWord/>
      <trackRevisions>false</trackRevisions>
    </reviewItem>
    <reviewItem>
      <errorID>84b3aef4-7a12-477c-9054-fd799803c6a8</errorID>
      <errorWord>/）</errorWord>
      <group>L1_Punc</group>
      <groupName>标点问题</groupName>
      <ability>L2_Punc</ability>
      <abilityName>标点符号检查</abilityName>
      <candidateList>
        <item>）</item>
      </candidateList>
      <explain/>
      <paraID> AF8C4D6</paraID>
      <start>149</start>
      <end>151</end>
      <status>unmodified</status>
      <modifiedWord/>
      <trackRevisions>false</trackRevisions>
    </reviewItem>
    <reviewItem>
      <errorID>a2d2e19e-8c2c-40b9-be98-9a05bc207044</errorID>
      <errorWord>/）</errorWord>
      <group>L1_Punc</group>
      <groupName>标点问题</groupName>
      <ability>L2_Punc</ability>
      <abilityName>标点符号检查</abilityName>
      <candidateList>
        <item>）</item>
      </candidateList>
      <explain/>
      <paraID>4848582F</paraID>
      <start>170</start>
      <end>172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2113DE6-5A03-4E08-BECE-0B91897EB457}"/>
</file>

<file path=customXml/itemProps2.xml><?xml version="1.0" encoding="utf-8"?>
<ds:datastoreItem xmlns:ds="http://schemas.openxmlformats.org/officeDocument/2006/customXml" ds:itemID="{298E5B2B-544B-40FC-B243-0F9FD9684A4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刘洁</cp:lastModifiedBy>
  <cp:revision>108</cp:revision>
  <dcterms:created xsi:type="dcterms:W3CDTF">2024-01-04T03:50:00Z</dcterms:created>
  <dcterms:modified xsi:type="dcterms:W3CDTF">2026-04-21T07:00:51Z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eyJoZGlkIjoiNDgzOGUwNmMyZDAwN2IzN2M3YzZlYjhlN2UwZGY0YmYiLCJ1c2VySWQiOiIyNjI0ODYxMDEifQ==</vt:lpwstr>
  </property>
  <property fmtid="{D5CDD505-2E9C-101B-9397-08002B2CF9AE}" pid="3" name="KSOProductBuildVer">
    <vt:lpwstr>2052-12.1.0.25225</vt:lpwstr>
  </property>
  <property fmtid="{D5CDD505-2E9C-101B-9397-08002B2CF9AE}" pid="4" name="ICV">
    <vt:lpwstr>3D3FAF88D56346919F7283773FB0313E_12</vt:lpwstr>
  </property>
</Properties>
</file>