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JSZC-320000-SWGC-G2026-0058号</w:t>
      </w:r>
      <w:r>
        <w:rPr>
          <w:rFonts w:hint="eastAsia" w:ascii="Times New Roman" w:hAnsi="Times New Roman" w:eastAsia="宋体"/>
          <w:b/>
          <w:bCs/>
          <w:color w:val="auto"/>
          <w:sz w:val="36"/>
          <w:highlight w:val="none"/>
          <w:lang w:eastAsia="zh-CN"/>
        </w:rPr>
        <w:t xml:space="preserve"> </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扬州大学2026年端午节、中秋节福利项目（二次</w:t>
      </w:r>
      <w:bookmarkStart w:id="109" w:name="_GoBack"/>
      <w:r/>
      <w:bookmarkEnd w:id="109"/>
      <w:r>
        <w:rPr>
          <w:rFonts w:hint="eastAsia" w:ascii="Times New Roman" w:hAnsi="Times New Roman" w:eastAsia="宋体"/>
          <w:b/>
          <w:bCs/>
          <w:color w:val="auto"/>
          <w:sz w:val="36"/>
          <w:highlight w:val="none"/>
          <w:lang w:eastAsia="zh-CN"/>
        </w:rPr>
        <w:t xml:space="preserve">）</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highlight w:val="none"/>
        </w:rPr>
        <mc:AlternateContent>
          <mc:Choice Requires="wpg">
            <w:drawing>
              <wp:inline xmlns:wp="http://schemas.openxmlformats.org/drawingml/2006/wordprocessingDrawing" distT="0" distB="0" distL="0" distR="0">
                <wp:extent cx="5268595" cy="3741420"/>
                <wp:effectExtent l="0" t="0" r="8255"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268595" cy="374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4.6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05</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18</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7"/>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keepLines w:val="0"/>
        <w:keepNext w:val="0"/>
        <w:pageBreakBefore w:val="0"/>
        <w:spacing w:line="360" w:lineRule="auto"/>
        <w:widowControl w:val="off"/>
        <w:rPr>
          <w:rFonts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目录</w:t>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fldChar w:fldCharType="begin"/>
      </w:r>
      <w:r>
        <w:rPr>
          <w:rFonts w:hint="eastAsia" w:ascii="Times New Roman" w:hAnsi="Times New Roman" w:eastAsia="宋体"/>
          <w:color w:val="auto"/>
          <w:sz w:val="28"/>
          <w:szCs w:val="28"/>
          <w:highlight w:val="none"/>
        </w:rPr>
        <w:instrText xml:space="preserve"> TOC \o "1-3" \f </w:instrText>
      </w:r>
      <w:r>
        <w:rPr>
          <w:rFonts w:hint="eastAsia" w:ascii="Times New Roman" w:hAnsi="Times New Roman" w:eastAsia="宋体"/>
          <w:color w:val="auto"/>
          <w:sz w:val="28"/>
          <w:szCs w:val="28"/>
          <w:highlight w:val="none"/>
        </w:rPr>
        <w:fldChar w:fldCharType="separate"/>
      </w:r>
      <w:r>
        <w:rPr>
          <w:rFonts w:hint="eastAsia" w:ascii="Times New Roman" w:hAnsi="Times New Roman" w:eastAsia="宋体"/>
          <w:color w:val="auto"/>
          <w:sz w:val="28"/>
          <w:szCs w:val="28"/>
          <w:highlight w:val="none"/>
        </w:rPr>
        <w:t xml:space="preserve">第一章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投标邀请</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_Toc11664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1</w:t>
      </w:r>
      <w:r>
        <w:rPr>
          <w:rFonts w:ascii="Times New Roman" w:hAnsi="Times New Roman" w:eastAsia="宋体"/>
          <w:color w:val="auto"/>
          <w:sz w:val="28"/>
          <w:szCs w:val="28"/>
        </w:rPr>
        <w:fldChar w:fldCharType="end"/>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t xml:space="preserve">第二章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投标人须知</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_Toc19363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5</w:t>
      </w:r>
      <w:r>
        <w:rPr>
          <w:rFonts w:ascii="Times New Roman" w:hAnsi="Times New Roman" w:eastAsia="宋体"/>
          <w:color w:val="auto"/>
          <w:sz w:val="28"/>
          <w:szCs w:val="28"/>
        </w:rPr>
        <w:fldChar w:fldCharType="end"/>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t xml:space="preserve">第三章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合同条款及格式</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_Toc21800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18</w:t>
      </w:r>
      <w:r>
        <w:rPr>
          <w:rFonts w:ascii="Times New Roman" w:hAnsi="Times New Roman" w:eastAsia="宋体"/>
          <w:color w:val="auto"/>
          <w:sz w:val="28"/>
          <w:szCs w:val="28"/>
        </w:rPr>
        <w:fldChar w:fldCharType="end"/>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t xml:space="preserve">第四章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项目需求</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_Toc8078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20</w:t>
      </w:r>
      <w:r>
        <w:rPr>
          <w:rFonts w:ascii="Times New Roman" w:hAnsi="Times New Roman" w:eastAsia="宋体"/>
          <w:color w:val="auto"/>
          <w:sz w:val="28"/>
          <w:szCs w:val="28"/>
        </w:rPr>
        <w:fldChar w:fldCharType="end"/>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t xml:space="preserve">第五章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评标方法及评标标准</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_Toc5361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22</w:t>
      </w:r>
      <w:r>
        <w:rPr>
          <w:rFonts w:ascii="Times New Roman" w:hAnsi="Times New Roman" w:eastAsia="宋体"/>
          <w:color w:val="auto"/>
          <w:sz w:val="28"/>
          <w:szCs w:val="28"/>
        </w:rPr>
        <w:fldChar w:fldCharType="end"/>
      </w:r>
      <w:r/>
    </w:p>
    <w:p>
      <w:pPr>
        <w:pStyle w:val="899"/>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hint="eastAsia" w:ascii="Times New Roman" w:hAnsi="Times New Roman" w:eastAsia="宋体"/>
          <w:color w:val="auto"/>
          <w:sz w:val="28"/>
          <w:szCs w:val="28"/>
          <w:highlight w:val="none"/>
        </w:rPr>
        <w:t xml:space="preserve">第六章</w:t>
      </w:r>
      <w:r>
        <w:rPr>
          <w:rFonts w:hint="eastAsia" w:ascii="Times New Roman" w:hAnsi="Times New Roman" w:eastAsia="宋体"/>
          <w:color w:val="auto"/>
          <w:sz w:val="28"/>
          <w:szCs w:val="28"/>
          <w:highlight w:val="none"/>
          <w:lang w:val="en-US" w:eastAsia="zh-CN"/>
        </w:rPr>
        <w:t xml:space="preserve"> </w:t>
      </w:r>
      <w:r>
        <w:rPr>
          <w:rFonts w:hint="eastAsia" w:ascii="Times New Roman" w:hAnsi="Times New Roman" w:eastAsia="宋体"/>
          <w:color w:val="auto"/>
          <w:sz w:val="28"/>
          <w:szCs w:val="28"/>
          <w:highlight w:val="none"/>
        </w:rPr>
        <w:t xml:space="preserve">投标文件格式</w:t>
      </w:r>
      <w:r>
        <w:rPr>
          <w:rFonts w:ascii="Times New Roman" w:hAnsi="Times New Roman" w:eastAsia="宋体"/>
          <w:color w:val="auto"/>
          <w:sz w:val="28"/>
          <w:szCs w:val="28"/>
        </w:rPr>
        <w:tab/>
      </w:r>
      <w:r>
        <w:rPr>
          <w:rFonts w:ascii="Times New Roman" w:hAnsi="Times New Roman" w:eastAsia="宋体"/>
          <w:color w:val="auto"/>
          <w:sz w:val="28"/>
          <w:szCs w:val="28"/>
        </w:rPr>
        <w:fldChar w:fldCharType="begin"/>
      </w:r>
      <w:r>
        <w:rPr>
          <w:rFonts w:ascii="Times New Roman" w:hAnsi="Times New Roman" w:eastAsia="宋体"/>
          <w:color w:val="auto"/>
          <w:sz w:val="28"/>
          <w:szCs w:val="28"/>
        </w:rPr>
        <w:instrText xml:space="preserve"> PAGEREF _Toc23223 \h </w:instrText>
      </w:r>
      <w:r>
        <w:rPr>
          <w:rFonts w:ascii="Times New Roman" w:hAnsi="Times New Roman" w:eastAsia="宋体"/>
          <w:color w:val="auto"/>
          <w:sz w:val="28"/>
          <w:szCs w:val="28"/>
        </w:rPr>
        <w:fldChar w:fldCharType="separate"/>
      </w:r>
      <w:r>
        <w:rPr>
          <w:rFonts w:ascii="Times New Roman" w:hAnsi="Times New Roman" w:eastAsia="宋体"/>
          <w:color w:val="auto"/>
          <w:sz w:val="28"/>
          <w:szCs w:val="28"/>
        </w:rPr>
        <w:t xml:space="preserve">26</w:t>
      </w:r>
      <w:r>
        <w:rPr>
          <w:rFonts w:ascii="Times New Roman" w:hAnsi="Times New Roman" w:eastAsia="宋体"/>
          <w:color w:val="auto"/>
          <w:sz w:val="28"/>
          <w:szCs w:val="28"/>
        </w:rPr>
        <w:fldChar w:fldCharType="end"/>
      </w:r>
      <w:r/>
    </w:p>
    <w:p>
      <w:pPr>
        <w:pStyle w:val="900"/>
        <w:keepLines w:val="0"/>
        <w:keepNext w:val="0"/>
        <w:pageBreakBefore w:val="0"/>
        <w:spacing w:line="360" w:lineRule="auto"/>
        <w:widowControl w:val="off"/>
        <w:tabs>
          <w:tab w:val="right" w:pos="8306" w:leader="dot"/>
        </w:tabs>
        <w:rPr>
          <w:rFonts w:ascii="Times New Roman" w:hAnsi="Times New Roman" w:eastAsia="宋体"/>
          <w:color w:val="auto"/>
          <w:sz w:val="28"/>
          <w:szCs w:val="28"/>
        </w:rPr>
      </w:pPr>
      <w:r>
        <w:rPr>
          <w:rFonts w:ascii="Times New Roman" w:hAnsi="Times New Roman" w:eastAsia="宋体"/>
          <w:color w:val="auto"/>
          <w:sz w:val="28"/>
          <w:szCs w:val="28"/>
        </w:rPr>
      </w:r>
      <w:r/>
    </w:p>
    <w:p>
      <w:pPr>
        <w:keepLines w:val="0"/>
        <w:keepNext w:val="0"/>
        <w:pageBreakBefore w:val="0"/>
        <w:spacing w:line="360" w:lineRule="auto"/>
        <w:widowControl w:val="off"/>
        <w:rPr>
          <w:rFonts w:ascii="Times New Roman" w:hAnsi="Times New Roman" w:eastAsia="宋体"/>
          <w:color w:val="auto"/>
          <w:sz w:val="28"/>
          <w:highlight w:val="none"/>
        </w:rPr>
      </w:pPr>
      <w:r>
        <w:rPr>
          <w:rFonts w:hint="eastAsia" w:ascii="Times New Roman" w:hAnsi="Times New Roman" w:eastAsia="宋体"/>
          <w:color w:val="auto"/>
          <w:sz w:val="28"/>
          <w:szCs w:val="28"/>
          <w:highlight w:val="none"/>
        </w:rPr>
        <w:fldChar w:fldCharType="end"/>
      </w:r>
      <w:r/>
    </w:p>
    <w:p>
      <w:pPr>
        <w:pStyle w:val="882"/>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2"/>
        <w:jc w:val="center"/>
        <w:pageBreakBefore w:val="0"/>
        <w:spacing w:before="0" w:after="0" w:line="360" w:lineRule="auto"/>
        <w:rPr>
          <w:rFonts w:ascii="Times New Roman" w:hAnsi="Times New Roman" w:eastAsia="宋体"/>
          <w:color w:val="auto"/>
          <w:sz w:val="36"/>
          <w:szCs w:val="36"/>
          <w:highlight w:val="none"/>
        </w:rPr>
      </w:pPr>
      <w:r/>
      <w:bookmarkStart w:id="1" w:name="_Toc11664"/>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扬州大学</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olor w:val="auto"/>
          <w:highlight w:val="none"/>
          <w:lang w:eastAsia="zh-CN"/>
        </w:rPr>
        <w:t xml:space="preserve">扬州大学2026年端午节、中秋节福利项目（二次）</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JSZC-320000-SWGC-G2026-0058号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highlight w:val="none"/>
          <w:u w:val="single"/>
          <w:lang w:eastAsia="zh-CN"/>
        </w:rPr>
        <w:t xml:space="preserve">扬州大学2026年端午节、中秋节福利项目（二次）</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2026年6月8日下午3:00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79"/>
      <w:r/>
      <w:bookmarkStart w:id="3" w:name="_Toc35393621"/>
      <w:r/>
      <w:bookmarkStart w:id="4" w:name="_Toc38985263"/>
      <w:r/>
      <w:bookmarkStart w:id="5" w:name="_Toc28359002"/>
      <w:r/>
      <w:bookmarkStart w:id="6" w:name="_Toc35393790"/>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JSZC-320000-SWGC-G2026-0058号</w:t>
      </w:r>
      <w:r>
        <w:rPr>
          <w:rFonts w:hint="eastAsia" w:ascii="Times New Roman" w:hAnsi="Times New Roman" w:eastAsia="宋体"/>
          <w:color w:val="auto"/>
          <w:szCs w:val="21"/>
          <w:highlight w:val="none"/>
          <w:lang w:eastAsia="zh-CN"/>
        </w:rPr>
        <w:t xml:space="preserve"> </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eastAsia="宋体"/>
          <w:color w:val="auto"/>
          <w:highlight w:val="none"/>
          <w:lang w:eastAsia="zh-CN"/>
        </w:rPr>
        <w:t xml:space="preserve">扬州大学2026年端午节、中秋节福利项目（二次）</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eastAsia="宋体" w:cs="宋体"/>
          <w:color w:val="auto"/>
          <w:highlight w:val="none"/>
          <w:lang w:val="en-US" w:eastAsia="zh-CN"/>
        </w:rPr>
        <w:t xml:space="preserve">102.75万元</w:t>
      </w:r>
      <w:r>
        <w:rPr>
          <w:rFonts w:hint="eastAsia" w:ascii="Times New Roman" w:hAnsi="Times New Roman" w:eastAsia="宋体" w:cs="宋体"/>
          <w:color w:val="auto"/>
          <w:highlight w:val="none"/>
        </w:rPr>
        <w:t xml:space="preserve">。</w:t>
      </w:r>
      <w:r/>
    </w:p>
    <w:p>
      <w:pPr>
        <w:pStyle w:val="913"/>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最高限价：91.25万元。</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5.采购需求：本次采购以固定价500元/份结算，采购人不保证最低供应量，以教职工在六种套餐中自行选择的结果为准。其余详见招标文件第四章。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详见招标文件第四章。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8985264"/>
      <w:r/>
      <w:bookmarkStart w:id="9" w:name="_Toc28359003"/>
      <w:r/>
      <w:bookmarkStart w:id="10" w:name="_Toc28359080"/>
      <w:r/>
      <w:bookmarkStart w:id="11" w:name="_Toc35393622"/>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5393623"/>
      <w:r/>
      <w:bookmarkStart w:id="14" w:name="_Toc38985265"/>
      <w:r/>
      <w:bookmarkStart w:id="15" w:name="_Toc35393792"/>
      <w:r/>
      <w:bookmarkStart w:id="16" w:name="_Toc28359004"/>
      <w:r/>
      <w:bookmarkStart w:id="17" w:name="_Toc28359081"/>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iCs/>
          <w:color w:val="auto"/>
          <w:szCs w:val="21"/>
          <w:highlight w:val="none"/>
          <w:u w:val="single"/>
          <w:lang w:val="en-US" w:eastAsia="zh-CN"/>
        </w:rPr>
        <w:t xml:space="preserve">无。</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Cs w:val="21"/>
          <w:highlight w:val="none"/>
          <w:u w:val="single"/>
          <w:lang w:val="en-US" w:eastAsia="zh-CN"/>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1.时间：2026年6月8日下午3:00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hint="eastAsia" w:ascii="Times New Roman" w:hAnsi="Times New Roman" w:eastAsia="宋体" w:cs="宋体"/>
          <w:b/>
          <w:bCs/>
          <w:color w:val="auto"/>
          <w:highlight w:val="none"/>
        </w:rPr>
      </w:pPr>
      <w:r/>
      <w:bookmarkStart w:id="23" w:name="_Toc38985267"/>
      <w:r/>
      <w:bookmarkStart w:id="24" w:name="_Toc35393794"/>
      <w:r/>
      <w:bookmarkStart w:id="25" w:name="_Toc35393625"/>
      <w:r/>
      <w:bookmarkStart w:id="26" w:name="_Toc28359084"/>
      <w:r/>
      <w:bookmarkStart w:id="27" w:name="_Toc28359007"/>
      <w:r>
        <w:rPr>
          <w:rFonts w:hint="eastAsia" w:ascii="Times New Roman" w:hAnsi="Times New Roman" w:cs="宋体"/>
          <w:b/>
          <w:bCs/>
          <w:color w:val="auto"/>
          <w:highlight w:val="none"/>
          <w:lang w:val="en-US" w:eastAsia="zh-CN"/>
        </w:rPr>
        <w:t xml:space="preserve">五</w:t>
      </w:r>
      <w:r>
        <w:rPr>
          <w:rFonts w:hint="eastAsia" w:ascii="Times New Roman" w:hAnsi="Times New Roman" w:eastAsia="宋体" w:cs="宋体"/>
          <w:b/>
          <w:bCs/>
          <w:color w:val="auto"/>
          <w:highlight w:val="none"/>
        </w:rPr>
        <w:t xml:space="preserve">、样品提交时间和地点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样品接收开始时间：</w:t>
      </w:r>
      <w:r>
        <w:rPr>
          <w:rFonts w:hint="eastAsia" w:ascii="Times New Roman" w:hAnsi="Times New Roman" w:eastAsia="宋体" w:cs="宋体"/>
          <w:color w:val="auto"/>
          <w:highlight w:val="none"/>
        </w:rPr>
        <w:t xml:space="preserve">2026年6月8日下午</w:t>
      </w:r>
      <w:r>
        <w:rPr>
          <w:rFonts w:hint="eastAsia" w:ascii="Times New Roman" w:hAnsi="Times New Roman" w:cs="宋体"/>
          <w:color w:val="auto"/>
          <w:highlight w:val="none"/>
          <w:lang w:val="en-US" w:eastAsia="zh-CN"/>
        </w:rPr>
        <w:t xml:space="preserve">2</w:t>
      </w:r>
      <w:r>
        <w:rPr>
          <w:rFonts w:hint="eastAsia" w:ascii="Times New Roman" w:hAnsi="Times New Roman" w:eastAsia="宋体" w:cs="宋体"/>
          <w:color w:val="auto"/>
          <w:highlight w:val="none"/>
        </w:rPr>
        <w:t xml:space="preserve">:</w:t>
      </w:r>
      <w:r>
        <w:rPr>
          <w:rFonts w:hint="eastAsia" w:ascii="Times New Roman" w:hAnsi="Times New Roman" w:cs="宋体"/>
          <w:color w:val="auto"/>
          <w:highlight w:val="none"/>
          <w:lang w:val="en-US" w:eastAsia="zh-CN"/>
        </w:rPr>
        <w:t xml:space="preserve">3</w:t>
      </w:r>
      <w:r>
        <w:rPr>
          <w:rFonts w:hint="eastAsia" w:ascii="Times New Roman" w:hAnsi="Times New Roman" w:eastAsia="宋体" w:cs="宋体"/>
          <w:color w:val="auto"/>
          <w:highlight w:val="none"/>
        </w:rPr>
        <w:t xml:space="preserve">0</w:t>
      </w:r>
      <w:r>
        <w:rPr>
          <w:rFonts w:hint="eastAsia" w:ascii="Times New Roman" w:hAnsi="Times New Roman" w:eastAsia="宋体" w:cs="宋体"/>
          <w:color w:val="auto"/>
          <w:szCs w:val="21"/>
          <w:highlight w:val="none"/>
        </w:rPr>
        <w:t xml:space="preserve">（北京时间）</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样品接收结束时间：</w:t>
      </w:r>
      <w:r>
        <w:rPr>
          <w:rFonts w:hint="eastAsia" w:ascii="Times New Roman" w:hAnsi="Times New Roman" w:eastAsia="宋体" w:cs="宋体"/>
          <w:color w:val="auto"/>
          <w:highlight w:val="none"/>
        </w:rPr>
        <w:t xml:space="preserve">2026年6月8日下午3:00</w:t>
      </w:r>
      <w:r>
        <w:rPr>
          <w:rFonts w:hint="eastAsia" w:ascii="Times New Roman" w:hAnsi="Times New Roman" w:eastAsia="宋体" w:cs="宋体"/>
          <w:color w:val="auto"/>
          <w:szCs w:val="21"/>
          <w:highlight w:val="none"/>
        </w:rPr>
        <w:t xml:space="preserve">（北京时间）</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样品接收地点：江苏苏维工程管理有限公司三楼东开标四室（扬州市</w:t>
      </w:r>
      <w:r>
        <w:rPr>
          <w:rFonts w:hint="eastAsia" w:ascii="Times New Roman" w:hAnsi="Times New Roman" w:eastAsia="宋体" w:cs="宋体"/>
          <w:color w:val="auto"/>
          <w:szCs w:val="21"/>
          <w:highlight w:val="none"/>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样品接收人：李韦林</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t xml:space="preserve">注：样品须由法定代表人或其授权委托人现场递交</w:t>
      </w:r>
      <w:r>
        <w:rPr>
          <w:rFonts w:hint="eastAsia" w:ascii="Times New Roman" w:hAnsi="Times New Roman" w:eastAsia="宋体" w:cs="宋体"/>
          <w:b/>
          <w:bCs/>
          <w:i/>
          <w:iCs/>
          <w:color w:val="auto"/>
          <w:szCs w:val="21"/>
          <w:highlight w:val="none"/>
          <w:u w:val="single"/>
          <w:lang w:val="en-US" w:eastAsia="zh-CN"/>
        </w:rPr>
        <w:t xml:space="preserve">样品</w:t>
      </w:r>
      <w:r>
        <w:rPr>
          <w:rFonts w:hint="eastAsia" w:ascii="Times New Roman" w:hAnsi="Times New Roman" w:eastAsia="宋体" w:cs="宋体"/>
          <w:b/>
          <w:bCs/>
          <w:i/>
          <w:iCs/>
          <w:color w:val="auto"/>
          <w:szCs w:val="21"/>
          <w:highlight w:val="none"/>
          <w:u w:val="single"/>
        </w:rPr>
        <w:t xml:space="preserve">，否则不予接收。递交</w:t>
      </w:r>
      <w:r>
        <w:rPr>
          <w:rFonts w:hint="eastAsia" w:ascii="Times New Roman" w:hAnsi="Times New Roman" w:eastAsia="宋体" w:cs="宋体"/>
          <w:b/>
          <w:bCs/>
          <w:i/>
          <w:iCs/>
          <w:color w:val="auto"/>
          <w:szCs w:val="21"/>
          <w:highlight w:val="none"/>
          <w:u w:val="single"/>
          <w:lang w:val="en-US" w:eastAsia="zh-CN"/>
        </w:rPr>
        <w:t xml:space="preserve">样品</w:t>
      </w:r>
      <w:r>
        <w:rPr>
          <w:rFonts w:hint="eastAsia" w:ascii="Times New Roman" w:hAnsi="Times New Roman" w:eastAsia="宋体" w:cs="宋体"/>
          <w:b/>
          <w:bCs/>
          <w:i/>
          <w:iCs/>
          <w:color w:val="auto"/>
          <w:szCs w:val="21"/>
          <w:highlight w:val="none"/>
          <w:u w:val="single"/>
        </w:rPr>
        <w:t xml:space="preserve">时现场核查法定代表人或授权委托人身份证原件</w:t>
      </w:r>
      <w:r>
        <w:rPr>
          <w:rFonts w:hint="eastAsia" w:ascii="Times New Roman" w:hAnsi="Times New Roman" w:eastAsia="宋体" w:cs="宋体"/>
          <w:b/>
          <w:bCs/>
          <w:i/>
          <w:iCs/>
          <w:color w:val="auto"/>
          <w:szCs w:val="21"/>
          <w:highlight w:val="none"/>
          <w:u w:val="single"/>
          <w:lang w:val="en-US" w:eastAsia="zh-CN"/>
        </w:rPr>
        <w:t xml:space="preserve">和纸质版法人</w:t>
      </w:r>
      <w:r>
        <w:rPr>
          <w:rFonts w:hint="eastAsia" w:ascii="Times New Roman" w:hAnsi="Times New Roman" w:eastAsia="宋体" w:cs="宋体"/>
          <w:b/>
          <w:bCs/>
          <w:i/>
          <w:iCs/>
          <w:color w:val="auto"/>
          <w:szCs w:val="21"/>
          <w:highlight w:val="none"/>
          <w:u w:val="single"/>
        </w:rPr>
        <w:t xml:space="preserve">授权委托</w:t>
      </w:r>
      <w:r>
        <w:rPr>
          <w:rFonts w:hint="eastAsia" w:ascii="Times New Roman" w:hAnsi="Times New Roman" w:eastAsia="宋体" w:cs="宋体"/>
          <w:b/>
          <w:bCs/>
          <w:i/>
          <w:iCs/>
          <w:color w:val="auto"/>
          <w:szCs w:val="21"/>
          <w:highlight w:val="none"/>
          <w:u w:val="single"/>
          <w:lang w:val="en-US" w:eastAsia="zh-CN"/>
        </w:rPr>
        <w:t xml:space="preserve">书</w:t>
      </w:r>
      <w:r>
        <w:rPr>
          <w:rFonts w:hint="eastAsia" w:ascii="Times New Roman" w:hAnsi="Times New Roman" w:eastAsia="宋体" w:cs="宋体"/>
          <w:b/>
          <w:bCs/>
          <w:i/>
          <w:iCs/>
          <w:color w:val="auto"/>
          <w:szCs w:val="21"/>
          <w:highlight w:val="none"/>
          <w:u w:val="single"/>
        </w:rPr>
        <w:t xml:space="preserve">原件。</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cs="宋体"/>
          <w:b/>
          <w:bCs/>
          <w:color w:val="auto"/>
          <w:highlight w:val="none"/>
          <w:lang w:val="en-US" w:eastAsia="zh-CN"/>
        </w:rPr>
        <w:t xml:space="preserve">六</w:t>
      </w:r>
      <w:r>
        <w:rPr>
          <w:rFonts w:hint="eastAsia" w:ascii="Times New Roman" w:hAnsi="Times New Roman" w:eastAsia="宋体" w:cs="宋体"/>
          <w:b/>
          <w:bCs/>
          <w:color w:val="auto"/>
          <w:highlight w:val="none"/>
        </w:rPr>
        <w:t xml:space="preserve">、公告期限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8985268"/>
      <w:r/>
      <w:bookmarkStart w:id="29" w:name="_Toc35393795"/>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cs="宋体"/>
          <w:b/>
          <w:bCs/>
          <w:color w:val="auto"/>
          <w:highlight w:val="none"/>
          <w:lang w:val="en-US" w:eastAsia="zh-CN"/>
        </w:rPr>
        <w:t xml:space="preserve">七</w:t>
      </w:r>
      <w:r>
        <w:rPr>
          <w:rFonts w:hint="eastAsia" w:ascii="Times New Roman" w:hAnsi="Times New Roman" w:eastAsia="宋体" w:cs="宋体"/>
          <w:b/>
          <w:bCs/>
          <w:color w:val="auto"/>
          <w:highlight w:val="none"/>
        </w:rPr>
        <w:t xml:space="preserve">、其他补充事宜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627"/>
      <w:r/>
      <w:bookmarkStart w:id="32" w:name="_Toc38985269"/>
      <w:r/>
      <w:bookmarkStart w:id="33" w:name="_Toc28359008"/>
      <w:r/>
      <w:bookmarkStart w:id="34" w:name="_Toc28359085"/>
      <w:r/>
      <w:bookmarkStart w:id="35" w:name="_Toc35393796"/>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lang w:eastAsia="zh-CN"/>
        </w:rPr>
        <w:t xml:space="preserve">“江苏省政府采购网”和“中国政府采购网”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cs="宋体"/>
          <w:b/>
          <w:bCs/>
          <w:color w:val="auto"/>
          <w:highlight w:val="none"/>
          <w:lang w:val="en-US" w:eastAsia="zh-CN"/>
        </w:rPr>
        <w:t xml:space="preserve">八</w:t>
      </w:r>
      <w:r>
        <w:rPr>
          <w:rFonts w:hint="eastAsia" w:ascii="Times New Roman" w:hAnsi="Times New Roman" w:eastAsia="宋体" w:cs="宋体"/>
          <w:b/>
          <w:bCs/>
          <w:color w:val="auto"/>
          <w:highlight w:val="none"/>
        </w:rPr>
        <w:t xml:space="preserve">、本次招标联系方式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扬州大学</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扬州市邗江区大学南路88号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联系人：吴老师</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联系方式：0514-87991352</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lang w:val="en-US" w:eastAsia="zh-CN"/>
        </w:rPr>
        <w:t xml:space="preserve">赵凌云、李韦林</w:t>
      </w:r>
      <w:r/>
    </w:p>
    <w:p>
      <w:pPr>
        <w:ind w:firstLine="420"/>
        <w:pageBreakBefore w:val="0"/>
        <w:spacing w:line="360" w:lineRule="auto"/>
        <w:rPr>
          <w:rFonts w:hint="eastAsia" w:ascii="Times New Roman" w:hAnsi="Times New Roman" w:eastAsia="宋体" w:cs="宋体"/>
          <w:color w:val="auto"/>
          <w:highlight w:val="none"/>
          <w:u w:val="single"/>
          <w:lang w:eastAsia="zh-CN"/>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olor w:val="auto"/>
          <w:szCs w:val="21"/>
          <w:highlight w:val="none"/>
          <w:lang w:eastAsia="zh-CN"/>
        </w:rPr>
        <w:t xml:space="preserve">0514-87982240、0514-87986785</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eastAsia="宋体"/>
          <w:color w:val="auto"/>
          <w:szCs w:val="21"/>
          <w:highlight w:val="none"/>
          <w:lang w:val="en-US" w:eastAsia="zh-CN"/>
        </w:rPr>
        <w:t xml:space="preserve">05</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18</w:t>
      </w:r>
      <w:r>
        <w:rPr>
          <w:rFonts w:hint="eastAsia" w:ascii="Times New Roman" w:hAnsi="Times New Roman" w:eastAsia="宋体"/>
          <w:color w:val="auto"/>
          <w:szCs w:val="21"/>
          <w:highlight w:val="none"/>
        </w:rPr>
        <w:t xml:space="preserve">日</w:t>
      </w:r>
      <w:r/>
    </w:p>
    <w:p>
      <w:pPr>
        <w:pStyle w:val="882"/>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2"/>
        <w:jc w:val="center"/>
        <w:pageBreakBefore w:val="0"/>
        <w:spacing w:before="0" w:after="0" w:line="360" w:lineRule="auto"/>
        <w:rPr>
          <w:rFonts w:ascii="Times New Roman" w:hAnsi="Times New Roman" w:eastAsia="宋体"/>
          <w:color w:val="auto"/>
          <w:sz w:val="36"/>
          <w:szCs w:val="36"/>
          <w:highlight w:val="none"/>
        </w:rPr>
      </w:pPr>
      <w:r/>
      <w:bookmarkStart w:id="41" w:name="_Toc19363"/>
      <w:r>
        <w:rPr>
          <w:rFonts w:hint="eastAsia" w:ascii="Times New Roman" w:hAnsi="Times New Roman" w:eastAsia="宋体"/>
          <w:color w:val="auto"/>
          <w:sz w:val="36"/>
          <w:szCs w:val="36"/>
          <w:highlight w:val="none"/>
        </w:rPr>
        <w:t xml:space="preserve">第二章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JSZC-320000-SWGC-G2026-0058号</w:t>
      </w:r>
      <w:r>
        <w:rPr>
          <w:rFonts w:hint="eastAsia" w:ascii="Times New Roman" w:hAnsi="Times New Roman" w:eastAsia="宋体"/>
          <w:bCs/>
          <w:color w:val="auto"/>
          <w:szCs w:val="21"/>
          <w:highlight w:val="none"/>
          <w:lang w:eastAsia="zh-CN"/>
        </w:rPr>
        <w:t xml:space="preserve"> </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jc w:val="left"/>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4.2</w:t>
      </w:r>
      <w:r>
        <w:rPr>
          <w:rFonts w:hint="eastAsia" w:ascii="Times New Roman" w:hAnsi="Times New Roman" w:eastAsia="宋体" w:cs="宋体"/>
          <w:b/>
          <w:bCs/>
          <w:color w:val="auto"/>
          <w:szCs w:val="21"/>
          <w:highlight w:val="none"/>
        </w:rPr>
        <w:t xml:space="preserve">本次采购由中标人在领取中标通知书前一次性支付给招标代理机构代理服务费（具体计算方式详见下表）。</w:t>
      </w:r>
      <w:r/>
    </w:p>
    <w:tbl>
      <w:tblPr>
        <w:tblStyle w:val="886"/>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pageBreakBefore w:val="0"/>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项目</w:t>
            </w:r>
            <w:r/>
          </w:p>
          <w:p>
            <w:pPr>
              <w:ind w:left="160"/>
              <w:jc w:val="center"/>
              <w:pageBreakBefore w:val="0"/>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pacing w:val="40"/>
                <w:szCs w:val="21"/>
                <w:highlight w:val="none"/>
              </w:rPr>
            </w:pPr>
            <w:r>
              <w:rPr>
                <w:rFonts w:ascii="Times New Roman" w:hAnsi="Times New Roman"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ind w:firstLine="105"/>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27.17  </w:t>
            </w:r>
            <w:r>
              <w:rPr>
                <w:rFonts w:hint="eastAsia" w:ascii="Times New Roman" w:hAnsi="Times New Roman"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27  </w:t>
            </w:r>
            <w:r>
              <w:rPr>
                <w:rFonts w:hint="eastAsia" w:ascii="Times New Roman" w:hAnsi="Times New Roman" w:eastAsia="宋体" w:cs="宋体"/>
                <w:color w:val="auto"/>
                <w:szCs w:val="21"/>
                <w:highlight w:val="none"/>
              </w:rPr>
              <w:t xml:space="preserve">%</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基准费率表</w:t>
      </w:r>
      <w:r/>
    </w:p>
    <w:tbl>
      <w:tblPr>
        <w:tblStyle w:val="886"/>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r>
    </w:tbl>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（2）代理服务费支付方式：一次性以电汇或转账形式支付。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（3）招标代理服务费包含在</w:t>
      </w:r>
      <w:r>
        <w:rPr>
          <w:rFonts w:hint="eastAsia" w:ascii="Times New Roman" w:hAnsi="Times New Roman" w:cs="宋体"/>
          <w:color w:val="auto"/>
          <w:szCs w:val="21"/>
          <w:highlight w:val="none"/>
          <w:lang w:val="en-US" w:eastAsia="zh-CN"/>
        </w:rPr>
        <w:t xml:space="preserve">投标</w:t>
      </w:r>
      <w:r>
        <w:rPr>
          <w:rFonts w:hint="eastAsia" w:ascii="Times New Roman" w:hAnsi="Times New Roman" w:eastAsia="宋体" w:cs="宋体"/>
          <w:color w:val="auto"/>
          <w:szCs w:val="21"/>
          <w:highlight w:val="none"/>
        </w:rPr>
        <w:t xml:space="preserve">总价中，由中标人支付给代理机构。</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招标代理服务费开户银行：</w:t>
      </w:r>
      <w:r>
        <w:rPr>
          <w:rFonts w:hint="eastAsia" w:ascii="Times New Roman" w:hAnsi="Times New Roman" w:eastAsia="宋体" w:cs="宋体"/>
          <w:b/>
          <w:bCs/>
          <w:color w:val="auto"/>
          <w:szCs w:val="21"/>
          <w:highlight w:val="none"/>
        </w:rPr>
        <w:t xml:space="preserve">中国工商银行扬州雍华府支行</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开户账号：</w:t>
      </w:r>
      <w:r>
        <w:rPr>
          <w:rFonts w:hint="eastAsia" w:ascii="Times New Roman" w:hAnsi="Times New Roman" w:eastAsia="宋体" w:cs="宋体"/>
          <w:b/>
          <w:bCs/>
          <w:color w:val="auto"/>
          <w:szCs w:val="21"/>
          <w:highlight w:val="none"/>
        </w:rPr>
        <w:t xml:space="preserve">1108020819100000612</w:t>
      </w:r>
      <w:r/>
    </w:p>
    <w:p>
      <w:pPr>
        <w:ind w:firstLine="422"/>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4.</w:t>
      </w:r>
      <w:r>
        <w:rPr>
          <w:rFonts w:hint="eastAsia" w:ascii="Times New Roman" w:hAnsi="Times New Roman" w:eastAsia="宋体" w:cs="宋体"/>
          <w:b/>
          <w:bCs/>
          <w:color w:val="auto"/>
          <w:szCs w:val="21"/>
          <w:highlight w:val="none"/>
          <w:lang w:val="en-US" w:eastAsia="zh-CN"/>
        </w:rPr>
        <w:t xml:space="preserve">3</w:t>
      </w:r>
      <w:r>
        <w:rPr>
          <w:rFonts w:hint="eastAsia" w:ascii="Times New Roman" w:hAnsi="Times New Roman" w:eastAsia="宋体" w:cs="宋体"/>
          <w:b/>
          <w:bCs/>
          <w:color w:val="auto"/>
          <w:szCs w:val="21"/>
          <w:highlight w:val="none"/>
        </w:rPr>
        <w:t xml:space="preserve">专家评审费按照《关于规范江苏省政府采购专家评审费标准的通知》（苏财购〔2016〕48号）执行，由采购人支付。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w:t>
      </w:r>
      <w:r>
        <w:rPr>
          <w:rFonts w:hint="eastAsia" w:ascii="Times New Roman" w:hAnsi="Times New Roman" w:eastAsia="宋体"/>
          <w:bCs/>
          <w:color w:val="auto"/>
          <w:szCs w:val="21"/>
          <w:highlight w:val="none"/>
          <w:lang w:eastAsia="zh-CN"/>
        </w:rPr>
        <w:t xml:space="preserve">“江苏省政府采购网”和“中国政府采购网”</w:t>
      </w:r>
      <w:r>
        <w:rPr>
          <w:rFonts w:hint="eastAsia" w:ascii="Times New Roman" w:hAnsi="Times New Roman" w:eastAsia="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13、技术参数响应及偏离表、商务条款响应及偏离表及说明</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 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i/>
          <w:color w:val="auto"/>
          <w:szCs w:val="21"/>
          <w:highlight w:val="none"/>
          <w:u w:val="single"/>
        </w:rPr>
      </w:pPr>
      <w:r>
        <w:rPr>
          <w:rFonts w:hint="eastAsia" w:ascii="Times New Roman" w:hAnsi="Times New Roman" w:eastAsia="宋体" w:cs="宋体"/>
          <w:bCs/>
          <w:i/>
          <w:color w:val="auto"/>
          <w:szCs w:val="21"/>
          <w:highlight w:val="none"/>
          <w:u w:val="singl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20823297"/>
      <w:r/>
      <w:bookmarkStart w:id="43" w:name="_Toc462564084"/>
      <w:r/>
      <w:bookmarkStart w:id="44" w:name="_Toc513029225"/>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20823299"/>
      <w:r/>
      <w:bookmarkStart w:id="50" w:name="_Toc513029227"/>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20823300"/>
      <w:r/>
      <w:bookmarkStart w:id="53" w:name="_Toc16938544"/>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keepLines w:val="0"/>
        <w:keepNext w:val="0"/>
        <w:pageBreakBefore w:val="0"/>
        <w:spacing w:line="360" w:lineRule="auto"/>
        <w:widowControl w:val="off"/>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keepLines w:val="0"/>
        <w:keepNext w:val="0"/>
        <w:pageBreakBefore w:val="0"/>
        <w:spacing w:line="360" w:lineRule="auto"/>
        <w:widowControl w:val="off"/>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w:t>
      </w:r>
      <w:r>
        <w:rPr>
          <w:rFonts w:hint="eastAsia" w:ascii="Times New Roman" w:hAnsi="Times New Roman" w:eastAsia="宋体"/>
          <w:bCs/>
          <w:color w:val="auto"/>
          <w:szCs w:val="21"/>
          <w:highlight w:val="none"/>
          <w:lang w:val="en-US" w:eastAsia="zh-CN"/>
        </w:rPr>
        <w:t xml:space="preserve">9</w:t>
      </w:r>
      <w:r>
        <w:rPr>
          <w:rFonts w:hint="eastAsia" w:ascii="Times New Roman" w:hAnsi="Times New Roman" w:eastAsia="宋体"/>
          <w:bCs/>
          <w:color w:val="auto"/>
          <w:szCs w:val="21"/>
          <w:highlight w:val="none"/>
        </w:rPr>
        <w:t xml:space="preserve">.1评标过程中出现下列情形之一的，评标委员会应当启动异常低价投标审查程</w:t>
      </w:r>
      <w:r>
        <w:rPr>
          <w:rFonts w:hint="eastAsia" w:ascii="Times New Roman" w:hAnsi="Times New Roman" w:eastAsia="宋体" w:cs="宋体"/>
          <w:bCs/>
          <w:color w:val="auto"/>
          <w:szCs w:val="21"/>
          <w:highlight w:val="none"/>
        </w:rPr>
        <w:t xml:space="preserve">序:</w:t>
      </w:r>
      <w:r/>
    </w:p>
    <w:p>
      <w:pPr>
        <w:ind w:firstLine="420"/>
        <w:pageBreakBefore w:val="0"/>
        <w:spacing w:line="360" w:lineRule="auto"/>
        <w:rPr>
          <w:rFonts w:hint="eastAsia" w:ascii="Times New Roman" w:hAnsi="Times New Roman" w:eastAsia="宋体" w:cs="宋体"/>
          <w:bCs/>
          <w:color w:val="auto"/>
          <w:szCs w:val="21"/>
          <w:highlight w:val="none"/>
          <w:lang w:eastAsia="zh-CN"/>
        </w:rPr>
      </w:pPr>
      <w:r>
        <w:rPr>
          <w:rFonts w:hint="eastAsia" w:ascii="Times New Roman" w:hAnsi="Times New Roman" w:eastAsia="宋体" w:cs="宋体"/>
          <w:bCs/>
          <w:color w:val="auto"/>
          <w:szCs w:val="21"/>
          <w:highlight w:val="none"/>
        </w:rPr>
        <w:t xml:space="preserve">1</w:t>
      </w:r>
      <w:r>
        <w:rPr>
          <w:rFonts w:hint="eastAsia" w:ascii="Times New Roman" w:hAnsi="Times New Roman" w:eastAsia="宋体" w:cs="宋体"/>
          <w:bCs/>
          <w:color w:val="auto"/>
          <w:szCs w:val="21"/>
          <w:highlight w:val="none"/>
          <w:lang w:val="en-US" w:eastAsia="zh-CN"/>
        </w:rPr>
        <w:t xml:space="preserve">.</w:t>
      </w:r>
      <w:r>
        <w:rPr>
          <w:rFonts w:hint="eastAsia" w:ascii="Times New Roman" w:hAnsi="Times New Roman" w:eastAsia="宋体" w:cs="宋体"/>
          <w:bCs/>
          <w:color w:val="auto"/>
          <w:szCs w:val="21"/>
          <w:highlight w:val="none"/>
        </w:rPr>
        <w:t xml:space="preserve">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报价低于全部通过符合性审查供应商投标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报价平均值50%的，即投标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报价〈全部通过符合性审查供应商投标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报价平均值X50%</w:t>
      </w:r>
      <w:r>
        <w:rPr>
          <w:rFonts w:hint="eastAsia" w:ascii="Times New Roman" w:hAnsi="Times New Roman" w:eastAsia="宋体" w:cs="宋体"/>
          <w:bCs/>
          <w:color w:val="auto"/>
          <w:szCs w:val="21"/>
          <w:highlight w:val="none"/>
          <w:lang w:eastAsia="zh-CN"/>
        </w:rPr>
        <w:t xml:space="preserve">；</w:t>
      </w:r>
      <w:r/>
    </w:p>
    <w:p>
      <w:pPr>
        <w:ind w:firstLine="420"/>
        <w:pageBreakBefore w:val="0"/>
        <w:spacing w:line="360" w:lineRule="auto"/>
        <w:rPr>
          <w:rFonts w:hint="eastAsia" w:ascii="Times New Roman" w:hAnsi="Times New Roman" w:eastAsia="宋体" w:cs="宋体"/>
          <w:bCs/>
          <w:color w:val="auto"/>
          <w:szCs w:val="21"/>
          <w:highlight w:val="none"/>
          <w:lang w:eastAsia="zh-CN"/>
        </w:rPr>
      </w:pPr>
      <w:r>
        <w:rPr>
          <w:rFonts w:hint="eastAsia" w:ascii="Times New Roman" w:hAnsi="Times New Roman" w:eastAsia="宋体" w:cs="宋体"/>
          <w:bCs/>
          <w:color w:val="auto"/>
          <w:szCs w:val="21"/>
          <w:highlight w:val="none"/>
        </w:rPr>
        <w:t xml:space="preserve">2.投标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报价低于通过符合性审查的次低报价供应商投标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报价50%的，即投标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报价〈通过符合性审查的次低报价供应商投标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报价X50%</w:t>
      </w:r>
      <w:r>
        <w:rPr>
          <w:rFonts w:hint="eastAsia" w:ascii="Times New Roman" w:hAnsi="Times New Roman" w:eastAsia="宋体" w:cs="宋体"/>
          <w:bCs/>
          <w:color w:val="auto"/>
          <w:szCs w:val="21"/>
          <w:highlight w:val="none"/>
          <w:lang w:eastAsia="zh-CN"/>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报价低于采购项目最高限价45%的，即投标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报价&lt;采购项目最高限价X45%;</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w:t>
      </w:r>
      <w:r>
        <w:rPr>
          <w:rFonts w:hint="eastAsia" w:ascii="Times New Roman" w:hAnsi="Times New Roman" w:eastAsia="宋体" w:cs="宋体"/>
          <w:bCs/>
          <w:color w:val="auto"/>
          <w:szCs w:val="21"/>
          <w:highlight w:val="none"/>
          <w:lang w:val="en-US" w:eastAsia="zh-CN"/>
        </w:rPr>
        <w:t xml:space="preserve">9</w:t>
      </w:r>
      <w:r>
        <w:rPr>
          <w:rFonts w:hint="eastAsia" w:ascii="Times New Roman" w:hAnsi="Times New Roman" w:eastAsia="宋体" w:cs="宋体"/>
          <w:bCs/>
          <w:color w:val="auto"/>
          <w:szCs w:val="21"/>
          <w:highlight w:val="none"/>
        </w:rPr>
        <w:t xml:space="preserve">.2评审委员会启动异常低价投标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审查后，属于前述第1项至第4项情形的，应当要求相关供应商在评审现场合理的时间内对投标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文件一并提交相关书面说明及必要的证明材料的，在评审现场可不再重复提交。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25.</w:t>
      </w:r>
      <w:r>
        <w:rPr>
          <w:rFonts w:hint="eastAsia" w:ascii="Times New Roman" w:hAnsi="Times New Roman" w:eastAsia="宋体" w:cs="宋体"/>
          <w:bCs/>
          <w:color w:val="auto"/>
          <w:szCs w:val="21"/>
          <w:highlight w:val="none"/>
          <w:lang w:val="en-US" w:eastAsia="zh-CN"/>
        </w:rPr>
        <w:t xml:space="preserve">9</w:t>
      </w:r>
      <w:r>
        <w:rPr>
          <w:rFonts w:hint="eastAsia" w:ascii="Times New Roman" w:hAnsi="Times New Roman" w:eastAsia="宋体" w:cs="宋体"/>
          <w:bCs/>
          <w:color w:val="auto"/>
          <w:szCs w:val="21"/>
          <w:highlight w:val="none"/>
        </w:rPr>
        <w:t xml:space="preserve">.3评审委员会依据专业经验，参考同类项目中标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成交</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价格、类似产品市场价格水平、行业人工费用标准、国家有关部门指导行业协会发布的行业平均成本等情况，对报价合理性进行判断。投标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响应</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处理。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27.1评委会根据本招标文件规定评标方法与评标标准向采购人推荐出3名中标候选人。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27.2采购人应根据评委会推荐的第一中标候选人确定中标人。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w:t>
      </w:r>
      <w:r>
        <w:rPr>
          <w:rFonts w:hint="eastAsia" w:ascii="Times New Roman" w:hAnsi="Times New Roman" w:eastAsia="宋体"/>
          <w:bCs/>
          <w:color w:val="auto"/>
          <w:szCs w:val="21"/>
          <w:highlight w:val="none"/>
          <w:lang w:eastAsia="zh-CN"/>
        </w:rPr>
        <w:t xml:space="preserve">“江苏省政府采购网”和“中国政府采购网”</w:t>
      </w:r>
      <w:r>
        <w:rPr>
          <w:rFonts w:hint="eastAsia" w:ascii="Times New Roman" w:hAnsi="Times New Roman" w:eastAsia="宋体"/>
          <w:bCs/>
          <w:color w:val="auto"/>
          <w:szCs w:val="21"/>
          <w:highlight w:val="none"/>
        </w:rPr>
        <w:t xml:space="preserve">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w:t>
      </w:r>
      <w:r>
        <w:rPr>
          <w:rFonts w:hint="eastAsia" w:ascii="Times New Roman" w:hAnsi="Times New Roman" w:eastAsia="宋体"/>
          <w:b w:val="0"/>
          <w:bCs/>
          <w:color w:val="auto"/>
          <w:szCs w:val="21"/>
          <w:highlight w:val="none"/>
        </w:rPr>
        <w:t xml:space="preserve">订立背离合同实质性内容的协议。所签订的合同不得对招标文件确定事项和中标人投标文件作实质性修改。</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31、电子投标文件要求</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31.1政府采购管理交易系统（苏采云）相关要求是本招标文件的组成部分。</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31.2投标人应对CA证书妥善保管，如被他人盗用投标，因此带来的结果均由投标人自行承担。</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31.3投标人应当对招标文件提出的要求和条件作出实质性响应，并在电子投标系统逐条应答。</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31.4投标人应对要求提供的证明文件扫描上传至投标系统。</w:t>
      </w:r>
      <w:r/>
    </w:p>
    <w:p>
      <w:pPr>
        <w:numPr>
          <w:ilvl w:val="0"/>
          <w:numId w:val="5"/>
        </w:num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提交投标文件的截止时间（投标截止时间）</w:t>
      </w:r>
      <w:r/>
    </w:p>
    <w:p>
      <w:pPr>
        <w:ind w:firstLine="420"/>
        <w:pageBreakBefore w:val="0"/>
        <w:spacing w:line="360" w:lineRule="auto"/>
        <w:rPr>
          <w:rFonts w:ascii="Times New Roman" w:hAnsi="Times New Roman" w:eastAsia="宋体"/>
          <w:b w:val="0"/>
          <w:bCs/>
          <w:color w:val="auto"/>
          <w:szCs w:val="21"/>
          <w:highlight w:val="none"/>
        </w:rPr>
      </w:pPr>
      <w:r>
        <w:rPr>
          <w:rFonts w:hint="eastAsia" w:ascii="Times New Roman" w:hAnsi="Times New Roman" w:eastAsia="宋体"/>
          <w:b w:val="0"/>
          <w:bCs/>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pageBreakBefore w:val="0"/>
        <w:spacing w:line="360" w:lineRule="auto"/>
        <w:rPr>
          <w:rFonts w:ascii="Times New Roman" w:hAnsi="Times New Roman" w:eastAsia="宋体"/>
          <w:b w:val="0"/>
          <w:bCs/>
          <w:color w:val="auto"/>
          <w:highlight w:val="none"/>
        </w:rPr>
      </w:pPr>
      <w:r>
        <w:rPr>
          <w:rFonts w:hint="eastAsia" w:ascii="Times New Roman" w:hAnsi="Times New Roman" w:eastAsia="宋体"/>
          <w:b w:val="0"/>
          <w:bCs/>
          <w:color w:val="auto"/>
          <w:szCs w:val="21"/>
          <w:highlight w:val="none"/>
        </w:rPr>
        <w:t xml:space="preserve">32.2各投标人应在规定时间内凭CA证书进行网上解密。</w:t>
      </w:r>
      <w:r/>
    </w:p>
    <w:p>
      <w:pPr>
        <w:ind w:firstLine="420"/>
        <w:pageBreakBefore w:val="0"/>
        <w:spacing w:line="360" w:lineRule="auto"/>
        <w:rPr>
          <w:rFonts w:hint="eastAsia" w:ascii="Times New Roman" w:hAnsi="Times New Roman" w:eastAsia="宋体" w:cs="宋体"/>
          <w:b w:val="0"/>
          <w:bCs/>
          <w:color w:val="auto"/>
          <w:highlight w:val="none"/>
        </w:rPr>
      </w:pPr>
      <w:r>
        <w:rPr>
          <w:rFonts w:hint="eastAsia" w:ascii="Times New Roman" w:hAnsi="Times New Roman" w:eastAsia="宋体" w:cs="宋体"/>
          <w:b w:val="0"/>
          <w:bCs/>
          <w:color w:val="auto"/>
          <w:highlight w:val="none"/>
          <w:lang w:val="en-US" w:eastAsia="zh-CN"/>
        </w:rPr>
        <w:t xml:space="preserve">32.3</w:t>
      </w:r>
      <w:r>
        <w:rPr>
          <w:rFonts w:hint="eastAsia" w:ascii="Times New Roman" w:hAnsi="Times New Roman" w:eastAsia="宋体" w:cs="宋体"/>
          <w:b w:val="0"/>
          <w:bCs/>
          <w:color w:val="auto"/>
          <w:highlight w:val="none"/>
        </w:rPr>
        <w:t xml:space="preserve">如中标候选人在规定时间不与学校签订合同、主动放弃中标资格或无正当理由终止合同履行的，将列入学校不良行为记录名单，我校有权在学校相关网址公开供应商不良行为黑名单信息，并保留在一至三年内禁止其参加学校采购活动的权利。</w:t>
      </w:r>
      <w:r/>
    </w:p>
    <w:p>
      <w:pPr>
        <w:ind w:left="420" w:firstLine="0"/>
        <w:pageBreakBefore w:val="0"/>
        <w:spacing w:line="360" w:lineRule="auto"/>
        <w:rPr>
          <w:rFonts w:hint="eastAsia" w:ascii="Times New Roman" w:hAnsi="Times New Roman" w:eastAsia="宋体" w:cs="宋体"/>
          <w:b w:val="0"/>
          <w:bCs/>
          <w:color w:val="auto"/>
          <w:highlight w:val="none"/>
        </w:rPr>
      </w:pPr>
      <w:r>
        <w:rPr>
          <w:rFonts w:hint="eastAsia" w:ascii="Times New Roman" w:hAnsi="Times New Roman" w:eastAsia="宋体" w:cs="宋体"/>
          <w:b w:val="0"/>
          <w:bCs/>
          <w:color w:val="auto"/>
          <w:highlight w:val="none"/>
        </w:rPr>
        <w:t xml:space="preserve">33、其他</w:t>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color w:val="auto"/>
          <w:highlight w:val="none"/>
          <w:lang w:val="en-US" w:eastAsia="zh-CN"/>
        </w:rPr>
        <w:t xml:space="preserve">34</w:t>
      </w:r>
      <w:r>
        <w:rPr>
          <w:rFonts w:hint="eastAsia" w:ascii="Times New Roman" w:hAnsi="Times New Roman" w:eastAsia="宋体"/>
          <w:color w:val="auto"/>
          <w:highlight w:val="none"/>
        </w:rPr>
        <w:t xml:space="preserve">、样品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olor w:val="auto"/>
          <w:highlight w:val="none"/>
        </w:rPr>
        <w:t xml:space="preserve">若项目要求提供样品的，中标人的样品由采购人负责保管、封存，并作为履约验收的参考。未中标人的样品将及时退还，请在开标结束后24小时运离代理机构。</w:t>
      </w:r>
      <w:r/>
    </w:p>
    <w:p>
      <w:pPr>
        <w:pStyle w:val="882"/>
        <w:jc w:val="center"/>
        <w:pageBreakBefore w:val="0"/>
        <w:spacing w:before="0" w:after="0" w:line="360" w:lineRule="auto"/>
        <w:rPr>
          <w:rFonts w:ascii="Times New Roman" w:hAnsi="Times New Roman" w:eastAsia="宋体"/>
          <w:color w:val="auto"/>
          <w:sz w:val="36"/>
          <w:szCs w:val="36"/>
          <w:highlight w:val="none"/>
        </w:rPr>
      </w:pPr>
      <w:r/>
      <w:bookmarkStart w:id="55" w:name="_Toc21800"/>
      <w:r/>
      <w:bookmarkStart w:id="56" w:name="_Toc55204179"/>
      <w:r/>
      <w:bookmarkStart w:id="57" w:name="_Hlk69392822"/>
      <w:r>
        <w:rPr>
          <w:rFonts w:hint="eastAsia" w:ascii="Times New Roman" w:hAnsi="Times New Roman" w:eastAsia="宋体"/>
          <w:color w:val="auto"/>
          <w:sz w:val="36"/>
          <w:szCs w:val="36"/>
          <w:highlight w:val="none"/>
        </w:rPr>
        <w:t xml:space="preserve">第三章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合同条款及格式</w:t>
      </w:r>
      <w:bookmarkEnd w:id="55"/>
      <w:r/>
      <w:bookmarkEnd w:id="56"/>
      <w:r/>
      <w:r/>
    </w:p>
    <w:p>
      <w:pPr>
        <w:pStyle w:val="894"/>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扬州大学工会福利食品采购合同</w:t>
      </w:r>
      <w:r>
        <w:rPr>
          <w:rFonts w:hint="eastAsia" w:ascii="Times New Roman" w:hAnsi="Times New Roman" w:eastAsia="宋体" w:cs="宋体"/>
          <w:bCs/>
          <w:color w:val="auto"/>
          <w:szCs w:val="21"/>
          <w:highlight w:val="none"/>
        </w:rPr>
        <w:t xml:space="preserve">（</w:t>
      </w:r>
      <w:r>
        <w:rPr>
          <w:rFonts w:hint="eastAsia" w:ascii="Times New Roman" w:hAnsi="Times New Roman" w:cs="宋体"/>
          <w:bCs/>
          <w:color w:val="auto"/>
          <w:szCs w:val="21"/>
          <w:highlight w:val="none"/>
          <w:lang w:val="en-US" w:eastAsia="zh-CN"/>
        </w:rPr>
        <w:t xml:space="preserve">实物</w:t>
      </w:r>
      <w:r>
        <w:rPr>
          <w:rFonts w:hint="eastAsia" w:ascii="Times New Roman" w:hAnsi="Times New Roman" w:eastAsia="宋体" w:cs="宋体"/>
          <w:bCs/>
          <w:color w:val="auto"/>
          <w:szCs w:val="21"/>
          <w:highlight w:val="none"/>
        </w:rPr>
        <w:t xml:space="preserve">样本）</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甲方：</w:t>
      </w:r>
      <w:r>
        <w:rPr>
          <w:rFonts w:hint="eastAsia" w:ascii="Times New Roman" w:hAnsi="Times New Roman" w:eastAsia="宋体" w:cs="宋体"/>
          <w:bCs/>
          <w:color w:val="auto"/>
          <w:szCs w:val="21"/>
          <w:highlight w:val="none"/>
        </w:rPr>
        <w:t xml:space="preserve">扬州大学</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乙方：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甲乙双方就扬州大学职工福利达成协议如下：</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一、协议期限为：自</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日起至</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w:t>
      </w:r>
      <w:r>
        <w:rPr>
          <w:rFonts w:hint="eastAsia" w:ascii="Times New Roman" w:hAnsi="Times New Roman" w:eastAsia="宋体" w:cs="宋体"/>
          <w:color w:val="auto"/>
          <w:szCs w:val="21"/>
          <w:highlight w:val="none"/>
        </w:rPr>
        <w:t xml:space="preserve">止。</w:t>
      </w:r>
      <w:r/>
    </w:p>
    <w:p>
      <w:pPr>
        <w:ind w:firstLine="420"/>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二、乙方以固定合同价格</w:t>
      </w:r>
      <w:r>
        <w:rPr>
          <w:rFonts w:hint="eastAsia" w:ascii="Times New Roman" w:hAnsi="Times New Roman" w:eastAsia="宋体" w:cs="宋体"/>
          <w:color w:val="auto"/>
          <w:szCs w:val="21"/>
          <w:highlight w:val="none"/>
          <w:u w:val="single"/>
        </w:rPr>
        <w:t xml:space="preserve">　　　　元/套 </w:t>
      </w:r>
      <w:r>
        <w:rPr>
          <w:rFonts w:hint="eastAsia" w:ascii="Times New Roman" w:hAnsi="Times New Roman" w:eastAsia="宋体" w:cs="宋体"/>
          <w:color w:val="auto"/>
          <w:szCs w:val="21"/>
          <w:highlight w:val="none"/>
        </w:rPr>
        <w:t xml:space="preserve">向甲方供应符合国家食品卫生标准的食品和生活用品。所供食品的生产日期在二分之一保质期内。最终以实际订货量结算总金额。</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三、根据甲方的时间、数量要求，乙方送货、卸货到甲方指定的地点，随货提供符合甲方当地质量部门规定的相关证明材料。</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付款方式：第一次付款：合同签订后，乙方和甲方确定初步供货数量后，向甲方开具预付款发票，甲方自收到发票之日起10个工作日内向乙方支付初步合同价（初步供货数量*500）30%的预付款；第二次付款：乙方根据实际供货数量将套餐发放完毕，且售后服务全部完成（无退换货情况且无违约情况发生），乙方向甲方开具尾款发票，甲方自收到发票之日起10个工作日内向乙方支付合同总价（实际供货数量*500）扣除第一次付款后的尾款。</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五、违约处理：</w:t>
      </w:r>
      <w:r/>
    </w:p>
    <w:p>
      <w:pPr>
        <w:ind w:firstLine="464"/>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1．乙方必须讲诚信，所供食品符合国家相关标准，不得短缺，不得与中标清单不符，否则视为乙方违约，由乙方对甲方给予赔偿（按违约货品金额的2倍计算），并终止合同。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2．乙方所供食品如有夹带以次充好等不符合谈判约定要求的食品，按以一罚十的原则（即每发现一件不符合国家相关标准食品赔偿十件），由乙方对甲方给予赔偿，并终止合同。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3．乙方所供商品在使用中给学校或教职工造成不良影响的，甲方有权终止合同，由乙方对甲方给予赔偿。</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4．乙方必须严格按甲方规定的送货日期将</w:t>
      </w:r>
      <w:r>
        <w:rPr>
          <w:rFonts w:hint="eastAsia" w:ascii="Times New Roman" w:hAnsi="Times New Roman" w:eastAsia="宋体" w:cs="宋体"/>
          <w:bCs/>
          <w:color w:val="auto"/>
          <w:szCs w:val="21"/>
          <w:highlight w:val="none"/>
        </w:rPr>
        <w:t xml:space="preserve">实物</w:t>
      </w:r>
      <w:r>
        <w:rPr>
          <w:rFonts w:hint="eastAsia" w:ascii="Times New Roman" w:hAnsi="Times New Roman" w:eastAsia="宋体" w:cs="宋体"/>
          <w:color w:val="auto"/>
          <w:szCs w:val="21"/>
          <w:highlight w:val="none"/>
        </w:rPr>
        <w:t xml:space="preserve">送到甲方指定地点，否则视为违约，甲方有权终止合同，由乙方对甲方给予赔偿。（乙方逾期交付货物的，从逾期之日起每日需赔偿甲方货物总价千分之五的赔偿金。）</w:t>
      </w:r>
      <w:r/>
    </w:p>
    <w:p>
      <w:pPr>
        <w:ind w:firstLine="420"/>
        <w:pageBreakBefore w:val="0"/>
        <w:spacing w:line="360" w:lineRule="auto"/>
        <w:rPr>
          <w:rFonts w:ascii="Times New Roman" w:hAnsi="Times New Roman" w:eastAsia="宋体" w:cs="宋体"/>
          <w:color w:val="auto"/>
          <w:spacing w:val="-8"/>
          <w:szCs w:val="21"/>
          <w:highlight w:val="none"/>
        </w:rPr>
      </w:pPr>
      <w:r>
        <w:rPr>
          <w:rFonts w:hint="eastAsia" w:ascii="Times New Roman" w:hAnsi="Times New Roman" w:eastAsia="宋体" w:cs="宋体"/>
          <w:color w:val="auto"/>
          <w:szCs w:val="21"/>
          <w:highlight w:val="none"/>
        </w:rPr>
        <w:t xml:space="preserve">5．上述四条款中任何一款都由乙方对甲方给予赔偿，赔偿款项在合同应付款项中扣除，情节严重者，</w:t>
      </w:r>
      <w:r>
        <w:rPr>
          <w:rFonts w:hint="eastAsia" w:ascii="Times New Roman" w:hAnsi="Times New Roman" w:eastAsia="宋体" w:cs="宋体"/>
          <w:color w:val="auto"/>
          <w:spacing w:val="-8"/>
          <w:szCs w:val="21"/>
          <w:highlight w:val="none"/>
        </w:rPr>
        <w:t xml:space="preserve">我校保留在一至三年内禁止其参加学校采购活动的权利。</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六、未尽事宜，双方协商解决。协商不成，提请扬州市仲裁委员会仲裁。</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七、本合同以甲乙双方签字盖章后即生效。</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八、本合同一式五份，甲方四份、乙方一份。</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left="-141"/>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甲方：　　</w:t>
      </w:r>
      <w:r>
        <w:rPr>
          <w:rFonts w:hint="eastAsia" w:ascii="Times New Roman" w:hAnsi="Times New Roman" w:eastAsia="宋体" w:cs="宋体"/>
          <w:bCs/>
          <w:color w:val="auto"/>
          <w:szCs w:val="21"/>
          <w:highlight w:val="none"/>
        </w:rPr>
        <w:t xml:space="preserve">扬州大学   </w:t>
      </w:r>
      <w:r>
        <w:rPr>
          <w:rFonts w:hint="eastAsia" w:ascii="Times New Roman" w:hAnsi="Times New Roman" w:eastAsia="宋体" w:cs="宋体"/>
          <w:color w:val="auto"/>
          <w:szCs w:val="21"/>
          <w:highlight w:val="none"/>
        </w:rPr>
        <w:t xml:space="preserve">         　乙方：</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单位地址：扬州市大学南路88号   单位地址：</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负责人：                        法定代表人：</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联系电话：0514-87991351          联系电话：</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签订时间：    年   月   日      签订时间：    年   月   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2"/>
        <w:jc w:val="center"/>
        <w:pageBreakBefore w:val="0"/>
        <w:spacing w:before="0" w:after="0" w:line="360" w:lineRule="auto"/>
        <w:rPr>
          <w:rFonts w:ascii="Times New Roman" w:hAnsi="Times New Roman" w:eastAsia="宋体"/>
          <w:color w:val="auto"/>
          <w:sz w:val="36"/>
          <w:szCs w:val="36"/>
          <w:highlight w:val="none"/>
        </w:rPr>
      </w:pPr>
      <w:r/>
      <w:bookmarkStart w:id="58" w:name="_Toc8078"/>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 w:val="21"/>
          <w:szCs w:val="21"/>
          <w:highlight w:val="none"/>
        </w:rPr>
      </w:pPr>
      <w:r/>
      <w:bookmarkStart w:id="59" w:name="_Toc319408306"/>
      <w:r/>
      <w:bookmarkStart w:id="60" w:name="_Toc55204181"/>
      <w:r>
        <w:rPr>
          <w:rFonts w:hint="eastAsia" w:ascii="Times New Roman" w:hAnsi="Times New Roman" w:eastAsia="宋体"/>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 w:val="21"/>
          <w:szCs w:val="21"/>
          <w:highlight w:val="none"/>
        </w:rPr>
        <w:t xml:space="preserve">“</w:t>
      </w:r>
      <w:r>
        <w:rPr>
          <w:rFonts w:hint="eastAsia" w:ascii="Times New Roman" w:hAnsi="Times New Roman" w:eastAsia="宋体"/>
          <w:b/>
          <w:bCs/>
          <w:color w:val="auto"/>
          <w:sz w:val="21"/>
          <w:szCs w:val="21"/>
          <w:highlight w:val="none"/>
        </w:rPr>
        <w:t xml:space="preserve">符合证明文件格式</w:t>
      </w:r>
      <w:r>
        <w:rPr>
          <w:rFonts w:ascii="Times New Roman" w:hAnsi="Times New Roman" w:eastAsia="宋体"/>
          <w:b/>
          <w:bCs/>
          <w:color w:val="auto"/>
          <w:sz w:val="21"/>
          <w:szCs w:val="21"/>
          <w:highlight w:val="none"/>
        </w:rPr>
        <w:t xml:space="preserve">”</w:t>
      </w:r>
      <w:r>
        <w:rPr>
          <w:rFonts w:hint="eastAsia" w:ascii="Times New Roman" w:hAnsi="Times New Roman" w:eastAsia="宋体"/>
          <w:b/>
          <w:bCs/>
          <w:color w:val="auto"/>
          <w:sz w:val="21"/>
          <w:szCs w:val="21"/>
          <w:highlight w:val="none"/>
        </w:rPr>
        <w:t xml:space="preserve">中准确填写或上传。</w:t>
      </w:r>
      <w:bookmarkEnd w:id="59"/>
      <w:r/>
      <w:r/>
    </w:p>
    <w:p>
      <w:pPr>
        <w:ind w:firstLine="422"/>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一、采购标的清单</w:t>
      </w:r>
      <w:r/>
    </w:p>
    <w:tbl>
      <w:tblPr>
        <w:tblStyle w:val="88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w:t>
            </w:r>
            <w:r/>
          </w:p>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包号</w:t>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采购标的</w:t>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对应中小企业划分标准所属行业</w:t>
            </w:r>
            <w:r/>
          </w:p>
        </w:tc>
      </w:tr>
      <w:tr>
        <w:trPr>
          <w:trHeight w:val="610"/>
        </w:trPr>
        <w:tc>
          <w:tcPr>
            <w:tcW w:w="1245"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eastAsia="zh-CN"/>
              </w:rPr>
              <w:t xml:space="preserve">扬州大学2026年端午节、中秋节福利项目（二次）</w:t>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Style w:val="969"/>
                <w:rFonts w:hint="eastAsia" w:ascii="Times New Roman" w:hAnsi="Times New Roman" w:eastAsia="宋体" w:cs="仿宋"/>
                <w:color w:val="auto"/>
                <w:szCs w:val="21"/>
                <w:highlight w:val="none"/>
              </w:rPr>
              <w:t xml:space="preserve">零售业</w:t>
            </w:r>
            <w:r/>
          </w:p>
        </w:tc>
      </w:tr>
    </w:tbl>
    <w:p>
      <w:pPr>
        <w:ind w:firstLine="422"/>
        <w:pageBreakBefore w:val="0"/>
        <w:spacing w:line="360" w:lineRule="auto"/>
        <w:tabs>
          <w:tab w:val="left" w:pos="900" w:leader="none"/>
        </w:tabs>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二、招标内容</w:t>
      </w:r>
      <w:r/>
    </w:p>
    <w:p>
      <w:pPr>
        <w:ind w:firstLine="420"/>
        <w:pageBreakBefore w:val="0"/>
        <w:spacing w:line="360" w:lineRule="auto"/>
        <w:tabs>
          <w:tab w:val="left" w:pos="900" w:leader="none"/>
        </w:tabs>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rPr>
        <w:t xml:space="preserve">扬州大学2026年端午节、中秋节福利项目共分六种，提货券套餐一（不包含在本次采购范围内），提货券套餐二（不包含在本次采购范围内），提货券套餐三（不包含在本次采购范围内），实物套餐四（不包含在本次采购范围内）</w:t>
      </w:r>
      <w:r>
        <w:rPr>
          <w:rFonts w:hint="eastAsia" w:ascii="Times New Roman" w:hAnsi="Times New Roman" w:eastAsia="宋体" w:cs="宋体"/>
          <w:bCs/>
          <w:color w:val="auto"/>
          <w:sz w:val="21"/>
          <w:szCs w:val="21"/>
          <w:highlight w:val="none"/>
          <w:lang w:eastAsia="zh-CN"/>
        </w:rPr>
        <w:t xml:space="preserve">，</w:t>
      </w:r>
      <w:r>
        <w:rPr>
          <w:rFonts w:hint="eastAsia" w:ascii="Times New Roman" w:hAnsi="Times New Roman" w:eastAsia="宋体" w:cs="宋体"/>
          <w:bCs/>
          <w:color w:val="auto"/>
          <w:sz w:val="21"/>
          <w:szCs w:val="21"/>
          <w:highlight w:val="none"/>
        </w:rPr>
        <w:t xml:space="preserve">实物套餐五（</w:t>
      </w:r>
      <w:r>
        <w:rPr>
          <w:rFonts w:hint="eastAsia" w:ascii="Times New Roman" w:hAnsi="Times New Roman" w:eastAsia="宋体" w:cs="宋体"/>
          <w:bCs/>
          <w:color w:val="auto"/>
          <w:sz w:val="21"/>
          <w:szCs w:val="21"/>
          <w:highlight w:val="none"/>
          <w:lang w:val="en-US" w:eastAsia="zh-CN"/>
        </w:rPr>
        <w:t xml:space="preserve">由本项目中标人提供</w:t>
      </w:r>
      <w:r>
        <w:rPr>
          <w:rFonts w:hint="eastAsia" w:ascii="Times New Roman" w:hAnsi="Times New Roman" w:eastAsia="宋体" w:cs="宋体"/>
          <w:bCs/>
          <w:color w:val="auto"/>
          <w:sz w:val="21"/>
          <w:szCs w:val="21"/>
          <w:highlight w:val="none"/>
        </w:rPr>
        <w:t xml:space="preserve">），牛奶专项套餐六（不包含在本次采购范围内），教职工将在六个套餐中自由选择一种套餐，本次招标仅针对实物套餐五，故预算仅供参考，采购人不保证各包最低供应量，以教职工自行选择的结果为准</w:t>
      </w:r>
      <w:r>
        <w:rPr>
          <w:rFonts w:hint="eastAsia" w:ascii="Times New Roman" w:hAnsi="Times New Roman" w:eastAsia="宋体" w:cs="宋体"/>
          <w:bCs/>
          <w:color w:val="auto"/>
          <w:sz w:val="21"/>
          <w:szCs w:val="21"/>
          <w:highlight w:val="none"/>
          <w:lang w:eastAsia="zh-CN"/>
        </w:rPr>
        <w:t xml:space="preserve">，</w:t>
      </w:r>
      <w:r>
        <w:rPr>
          <w:rFonts w:hint="eastAsia" w:ascii="Times New Roman" w:hAnsi="Times New Roman" w:eastAsia="宋体" w:cs="宋体"/>
          <w:bCs/>
          <w:color w:val="auto"/>
          <w:sz w:val="21"/>
          <w:szCs w:val="21"/>
          <w:highlight w:val="none"/>
        </w:rPr>
        <w:t xml:space="preserve">以固定价500元/份结算</w:t>
      </w:r>
      <w:r>
        <w:rPr>
          <w:rFonts w:hint="eastAsia" w:ascii="Times New Roman" w:hAnsi="Times New Roman" w:eastAsia="宋体" w:cs="宋体"/>
          <w:bCs/>
          <w:color w:val="auto"/>
          <w:sz w:val="21"/>
          <w:szCs w:val="21"/>
          <w:highlight w:val="none"/>
          <w:lang w:eastAsia="zh-CN"/>
        </w:rPr>
        <w:t xml:space="preserve">。</w:t>
      </w:r>
      <w:r/>
    </w:p>
    <w:p>
      <w:pPr>
        <w:numPr>
          <w:ilvl w:val="0"/>
          <w:numId w:val="0"/>
        </w:numPr>
        <w:ind w:firstLine="422"/>
        <w:pageBreakBefore w:val="0"/>
        <w:spacing w:line="360" w:lineRule="auto"/>
        <w:rPr>
          <w:rFonts w:hint="default" w:ascii="Times New Roman" w:hAnsi="Times New Roman" w:eastAsia="宋体" w:cs="宋体"/>
          <w:b/>
          <w:bCs/>
          <w:color w:val="auto"/>
          <w:sz w:val="21"/>
          <w:szCs w:val="21"/>
          <w:highlight w:val="none"/>
          <w:lang w:val="en-US" w:eastAsia="zh-CN"/>
        </w:rPr>
        <w:outlineLvl w:val="0"/>
      </w:pPr>
      <w:r>
        <w:rPr>
          <w:rFonts w:hint="eastAsia" w:ascii="Times New Roman" w:hAnsi="Times New Roman" w:eastAsia="宋体" w:cs="宋体"/>
          <w:b/>
          <w:bCs/>
          <w:color w:val="auto"/>
          <w:sz w:val="21"/>
          <w:szCs w:val="21"/>
          <w:lang w:val="en-US" w:eastAsia="zh-CN" w:bidi="ar-SA"/>
        </w:rPr>
        <w:t xml:space="preserve">三、</w:t>
      </w:r>
      <w:r>
        <w:rPr>
          <w:rFonts w:hint="eastAsia" w:ascii="Times New Roman" w:hAnsi="Times New Roman" w:eastAsia="宋体" w:cs="宋体"/>
          <w:b/>
          <w:bCs/>
          <w:color w:val="auto"/>
          <w:sz w:val="21"/>
          <w:szCs w:val="21"/>
          <w:highlight w:val="none"/>
          <w:lang w:val="en-US" w:eastAsia="zh-CN"/>
        </w:rPr>
        <w:t xml:space="preserve">技术要求</w:t>
      </w:r>
      <w:r/>
    </w:p>
    <w:p>
      <w:pPr>
        <w:numPr>
          <w:ilvl w:val="0"/>
          <w:numId w:val="0"/>
        </w:numPr>
        <w:ind w:firstLine="420"/>
        <w:pageBreakBefore w:val="0"/>
        <w:spacing w:line="360" w:lineRule="auto"/>
        <w:rPr>
          <w:rFonts w:hint="eastAsia" w:ascii="Times New Roman" w:hAnsi="Times New Roman" w:eastAsia="宋体" w:cs="宋体"/>
          <w:color w:val="auto"/>
          <w:sz w:val="21"/>
          <w:szCs w:val="21"/>
          <w:highlight w:val="none"/>
        </w:rPr>
        <w:outlineLvl w:val="0"/>
      </w:pPr>
      <w:r>
        <w:rPr>
          <w:rFonts w:hint="eastAsia" w:ascii="Times New Roman" w:hAnsi="Times New Roman" w:eastAsia="宋体" w:cs="宋体"/>
          <w:color w:val="auto"/>
          <w:sz w:val="21"/>
          <w:szCs w:val="21"/>
          <w:highlight w:val="none"/>
        </w:rPr>
        <w:t xml:space="preserve">实物套餐：</w:t>
      </w:r>
      <w:r>
        <w:rPr>
          <w:rFonts w:hint="eastAsia" w:ascii="Times New Roman" w:hAnsi="Times New Roman" w:cs="宋体"/>
          <w:color w:val="auto"/>
          <w:sz w:val="21"/>
          <w:szCs w:val="21"/>
          <w:highlight w:val="none"/>
          <w:lang w:val="en-US" w:eastAsia="zh-CN"/>
        </w:rPr>
        <w:t xml:space="preserve">中秋节</w:t>
      </w:r>
      <w:r>
        <w:rPr>
          <w:rFonts w:hint="eastAsia" w:ascii="Times New Roman" w:hAnsi="Times New Roman" w:eastAsia="宋体" w:cs="宋体"/>
          <w:color w:val="auto"/>
          <w:sz w:val="21"/>
          <w:szCs w:val="21"/>
          <w:highlight w:val="none"/>
          <w:lang w:val="en-US" w:eastAsia="zh-CN"/>
        </w:rPr>
        <w:t xml:space="preserve">两个套餐（</w:t>
      </w:r>
      <w:r>
        <w:rPr>
          <w:rFonts w:hint="eastAsia" w:ascii="Times New Roman" w:hAnsi="Times New Roman" w:eastAsia="宋体" w:cs="宋体"/>
          <w:color w:val="auto"/>
          <w:sz w:val="21"/>
          <w:szCs w:val="21"/>
          <w:highlight w:val="none"/>
        </w:rPr>
        <w:t xml:space="preserve">基本套餐、生鲜套餐</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w:t>
      </w:r>
      <w:r/>
    </w:p>
    <w:p>
      <w:pPr>
        <w:numPr>
          <w:ilvl w:val="0"/>
          <w:numId w:val="0"/>
        </w:numPr>
        <w:ind w:firstLine="420"/>
        <w:pageBreakBefore w:val="0"/>
        <w:spacing w:line="360" w:lineRule="auto"/>
        <w:rPr>
          <w:rFonts w:hint="eastAsia" w:ascii="Times New Roman" w:hAnsi="Times New Roman" w:eastAsia="宋体" w:cs="宋体"/>
          <w:color w:val="auto"/>
          <w:sz w:val="21"/>
          <w:szCs w:val="21"/>
          <w:highlight w:val="none"/>
        </w:rPr>
        <w:outlineLvl w:val="0"/>
      </w:pPr>
      <w:r>
        <w:rPr>
          <w:rFonts w:hint="eastAsia" w:ascii="Times New Roman" w:hAnsi="Times New Roman" w:eastAsia="宋体" w:cs="宋体"/>
          <w:color w:val="auto"/>
          <w:sz w:val="21"/>
          <w:szCs w:val="21"/>
          <w:highlight w:val="none"/>
        </w:rPr>
        <w:t xml:space="preserve">所供产品的剩余保质期不少于有效保质期的一半</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中秋节供货期2026年9月21日，最终以学校通知为准。</w:t>
      </w:r>
      <w:r/>
    </w:p>
    <w:p>
      <w:pPr>
        <w:numPr>
          <w:ilvl w:val="0"/>
          <w:numId w:val="0"/>
        </w:numPr>
        <w:ind w:left="420"/>
        <w:pageBreakBefore w:val="0"/>
        <w:spacing w:line="360" w:lineRule="auto"/>
        <w:rPr>
          <w:rFonts w:hint="default" w:ascii="Times New Roman" w:hAnsi="Times New Roman" w:eastAsia="宋体" w:cs="宋体"/>
          <w:b/>
          <w:bCs/>
          <w:color w:val="auto"/>
          <w:sz w:val="21"/>
          <w:szCs w:val="21"/>
          <w:highlight w:val="none"/>
          <w:lang w:val="en-US" w:eastAsia="zh-CN"/>
        </w:rPr>
        <w:outlineLvl w:val="0"/>
      </w:pPr>
      <w:r>
        <w:rPr>
          <w:rFonts w:hint="eastAsia" w:ascii="Times New Roman" w:hAnsi="Times New Roman" w:eastAsia="宋体" w:cs="宋体"/>
          <w:b/>
          <w:bCs/>
          <w:color w:val="auto"/>
          <w:sz w:val="21"/>
          <w:szCs w:val="21"/>
          <w:lang w:val="en-US" w:eastAsia="zh-CN" w:bidi="ar-SA"/>
        </w:rPr>
        <w:t xml:space="preserve">四、商务要求</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1.</w:t>
      </w:r>
      <w:r>
        <w:rPr>
          <w:rFonts w:hint="eastAsia" w:ascii="Times New Roman" w:hAnsi="Times New Roman" w:eastAsia="宋体"/>
          <w:color w:val="auto"/>
          <w:sz w:val="21"/>
          <w:szCs w:val="21"/>
          <w:highlight w:val="none"/>
          <w:lang w:val="en-US" w:eastAsia="zh-CN"/>
        </w:rPr>
        <w:t xml:space="preserve">本次招标</w:t>
      </w:r>
      <w:r>
        <w:rPr>
          <w:rFonts w:hint="eastAsia" w:ascii="Times New Roman" w:hAnsi="Times New Roman" w:eastAsia="宋体"/>
          <w:color w:val="auto"/>
          <w:sz w:val="21"/>
          <w:szCs w:val="21"/>
          <w:highlight w:val="none"/>
          <w:lang w:eastAsia="zh-CN"/>
        </w:rPr>
        <w:t xml:space="preserve">包含两个套餐（基本套餐和生鲜套餐），两个套餐采购人实际支付金额为固定价500元/套，投标人在此基础上填报卖场价格。本次招标的食品均为预包装食品，其标签标志应符合《食品标识管理规定》以及《食品安全国家标准预包装食品标签通则》的相关规定。</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2.基本套餐（须含食用油、大米），生鲜套餐以冷冻生鲜食品为主。两个套餐内建议不放入蜂蜜、橄榄油、腌腊类生熟制品。同一品牌的同一规格商品不得在套餐间重复。基本套餐和生鲜套餐必须适用于中秋节，其中基本套餐中食用油单独发放，无需包装，剩余产品合并包装后发放。</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3.两个套餐均须提供全部样品和外包装物，如有样</w:t>
      </w:r>
      <w:r>
        <w:rPr>
          <w:rFonts w:hint="eastAsia" w:ascii="Times New Roman" w:hAnsi="Times New Roman" w:eastAsia="宋体"/>
          <w:color w:val="auto"/>
          <w:sz w:val="21"/>
          <w:szCs w:val="21"/>
          <w:highlight w:val="none"/>
          <w:lang w:eastAsia="zh-CN"/>
        </w:rPr>
        <w:t xml:space="preserve">品摆放需求，投标人应在样品中提供样品摆放的彩色照片，工作人员将参照彩色照片进行摆放，未提供照片的，工作人员将自行摆放。所有样品均需提供对应商品在卖场（如大润发、麦德龙、宏信龙或盒马超市等）的现场实拍价格标签图片或购物小票，每张价格标签图片或购物小票必须清晰。如投标人提供的是现场实拍价格标签图片，应以文字形式注明本次记录的拍摄时间和卖场名称，拍摄时间应在自招标公告发布之日起至投标文件接收结束时间期间。如投标人提供的是购物小票，小票日期应在自招标公告发布之日起至投标文件接收结束时间期间，且小票能够体现卖场名称。</w:t>
      </w:r>
      <w:r>
        <w:rPr>
          <w:rFonts w:hint="eastAsia" w:ascii="Times New Roman" w:hAnsi="Times New Roman" w:eastAsia="宋体"/>
          <w:i/>
          <w:iCs/>
          <w:color w:val="auto"/>
          <w:sz w:val="21"/>
          <w:szCs w:val="21"/>
          <w:highlight w:val="none"/>
          <w:u w:val="single"/>
          <w:lang w:eastAsia="zh-CN"/>
        </w:rPr>
        <w:t xml:space="preserve">分项报价表中的规格应与样品以及投标文件中的图片保持一致，如不一致，以样品规格为准。样品与实拍价格标签图片（或购物小票）不对应或不符合要求的，均视为无效投标。</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4.两个套餐食品分别装于统一的包装物内，除基本套餐中的食用油单独发放外，同一套餐外包装物只有1个。每个套餐外包装上需注明套餐名称（A基本套餐、B生鲜套餐）。</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5.两个套餐中每个套餐只能投一组商品。每个套餐不少于6个品种。</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6.报价包括运输费、装卸费、税金等全部费用，采购单位不再支付其它费用。</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7.所采购食品需按要求送货、卸货到指定的地点。</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8.送标样品为市场常规规格及包装（不接受样品及包装物以外的物品进入样品接收现场）。</w:t>
      </w:r>
      <w:r/>
    </w:p>
    <w:p>
      <w:pPr>
        <w:numPr>
          <w:ilvl w:val="0"/>
          <w:numId w:val="0"/>
        </w:numPr>
        <w:ind w:firstLine="420"/>
        <w:pageBreakBefore w:val="0"/>
        <w:spacing w:line="360" w:lineRule="auto"/>
        <w:rPr>
          <w:rFonts w:hint="eastAsia" w:ascii="Times New Roman" w:hAnsi="Times New Roman" w:eastAsia="宋体"/>
          <w:color w:val="auto"/>
          <w:sz w:val="21"/>
          <w:szCs w:val="21"/>
          <w:highlight w:val="none"/>
          <w:lang w:eastAsia="zh-CN"/>
        </w:rPr>
        <w:outlineLvl w:val="0"/>
      </w:pPr>
      <w:r>
        <w:rPr>
          <w:rFonts w:hint="eastAsia" w:ascii="Times New Roman" w:hAnsi="Times New Roman" w:eastAsia="宋体"/>
          <w:color w:val="auto"/>
          <w:sz w:val="21"/>
          <w:szCs w:val="21"/>
          <w:highlight w:val="none"/>
          <w:lang w:eastAsia="zh-CN"/>
        </w:rPr>
        <w:t xml:space="preserve">9.每张A4纸上放一张实物照片和一张卖场价格标签照片（或购物小票），照片（或购物小票）需清晰可辨，并注明该食品所在卖场门店名称对应的详细地址，按分项报价表的产品顺序排列，放在投标文件中。</w:t>
      </w:r>
      <w:r/>
    </w:p>
    <w:p>
      <w:pPr>
        <w:numPr>
          <w:ilvl w:val="0"/>
          <w:numId w:val="0"/>
        </w:numPr>
        <w:ind w:firstLine="420"/>
        <w:pageBreakBefore w:val="0"/>
        <w:spacing w:line="360" w:lineRule="auto"/>
        <w:rPr>
          <w:rFonts w:hint="eastAsia" w:ascii="Times New Roman" w:hAnsi="Times New Roman" w:eastAsia="宋体" w:cs="Times New Roman"/>
          <w:color w:val="auto"/>
          <w:sz w:val="21"/>
          <w:szCs w:val="21"/>
          <w:highlight w:val="none"/>
          <w:lang w:eastAsia="zh-CN"/>
        </w:rPr>
        <w:outlineLvl w:val="0"/>
      </w:pPr>
      <w:r>
        <w:rPr>
          <w:rFonts w:hint="eastAsia" w:ascii="Times New Roman" w:hAnsi="Times New Roman" w:eastAsia="宋体" w:cs="Times New Roman"/>
          <w:color w:val="auto"/>
          <w:sz w:val="21"/>
          <w:szCs w:val="21"/>
          <w:highlight w:val="none"/>
          <w:lang w:eastAsia="zh-CN"/>
        </w:rPr>
        <w:t xml:space="preserve">10.</w:t>
      </w:r>
      <w:r>
        <w:rPr>
          <w:rFonts w:hint="eastAsia" w:ascii="Times New Roman" w:hAnsi="Times New Roman" w:eastAsia="宋体" w:cs="Times New Roman"/>
          <w:color w:val="auto"/>
          <w:sz w:val="21"/>
          <w:szCs w:val="21"/>
          <w:highlight w:val="none"/>
          <w:lang w:val="en-US" w:eastAsia="zh-CN"/>
        </w:rPr>
        <w:t xml:space="preserve">本项目</w:t>
      </w:r>
      <w:r>
        <w:rPr>
          <w:rFonts w:hint="eastAsia" w:ascii="Times New Roman" w:hAnsi="Times New Roman" w:eastAsia="宋体" w:cs="Times New Roman"/>
          <w:color w:val="auto"/>
          <w:sz w:val="21"/>
          <w:szCs w:val="21"/>
          <w:highlight w:val="none"/>
          <w:lang w:eastAsia="zh-CN"/>
        </w:rPr>
        <w:t xml:space="preserve">中标人负责中秋节供货。</w:t>
      </w:r>
      <w:r/>
    </w:p>
    <w:p>
      <w:pPr>
        <w:numPr>
          <w:ilvl w:val="0"/>
          <w:numId w:val="0"/>
        </w:numPr>
        <w:ind w:firstLine="420"/>
        <w:pageBreakBefore w:val="0"/>
        <w:spacing w:line="360" w:lineRule="auto"/>
        <w:rPr>
          <w:rFonts w:hint="default" w:ascii="Times New Roman" w:hAnsi="Times New Roman" w:eastAsia="宋体" w:cs="Times New Roman"/>
          <w:i/>
          <w:iCs/>
          <w:color w:val="auto"/>
          <w:sz w:val="21"/>
          <w:szCs w:val="21"/>
          <w:highlight w:val="none"/>
          <w:u w:val="single"/>
          <w:lang w:val="en-US" w:eastAsia="zh-CN"/>
        </w:rPr>
        <w:outlineLvl w:val="0"/>
      </w:pPr>
      <w:r>
        <w:rPr>
          <w:rFonts w:hint="eastAsia" w:ascii="Times New Roman" w:hAnsi="Times New Roman" w:eastAsia="宋体" w:cs="Times New Roman"/>
          <w:i/>
          <w:iCs/>
          <w:color w:val="auto"/>
          <w:sz w:val="21"/>
          <w:szCs w:val="21"/>
          <w:highlight w:val="none"/>
          <w:u w:val="single"/>
          <w:lang w:val="en-US" w:eastAsia="zh-CN"/>
        </w:rPr>
        <w:t xml:space="preserve">11.扬州大学2026年端午节、中秋节福利项目包四中标人，不得参与本次采购项目投标。</w:t>
      </w:r>
      <w:r/>
    </w:p>
    <w:p>
      <w:pPr>
        <w:ind w:firstLine="422"/>
        <w:pageBreakBefore w:val="0"/>
        <w:spacing w:line="360" w:lineRule="auto"/>
        <w:rPr>
          <w:rFonts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lang w:val="en-US" w:eastAsia="zh-CN"/>
        </w:rPr>
        <w:t xml:space="preserve">五</w:t>
      </w:r>
      <w:r>
        <w:rPr>
          <w:rFonts w:hint="eastAsia" w:ascii="Times New Roman" w:hAnsi="Times New Roman" w:eastAsia="宋体" w:cs="宋体"/>
          <w:b/>
          <w:color w:val="auto"/>
          <w:sz w:val="21"/>
          <w:szCs w:val="21"/>
          <w:highlight w:val="none"/>
        </w:rPr>
        <w:t xml:space="preserve">、节能产品要求</w:t>
      </w:r>
      <w:r/>
    </w:p>
    <w:p>
      <w:pPr>
        <w:pageBreakBefore w:val="0"/>
        <w:spacing w:line="360" w:lineRule="auto"/>
        <w:rPr>
          <w:rFonts w:hint="eastAsia" w:ascii="Times New Roman" w:hAnsi="Times New Roman" w:eastAsia="宋体" w:cs="宋体"/>
          <w:b/>
          <w:bCs/>
          <w:i/>
          <w:iCs/>
          <w:color w:val="auto"/>
          <w:sz w:val="21"/>
          <w:szCs w:val="21"/>
          <w:highlight w:val="none"/>
          <w:u w:val="single"/>
        </w:rPr>
      </w:pPr>
      <w:r>
        <w:rPr>
          <w:rFonts w:hint="eastAsia" w:ascii="Times New Roman" w:hAnsi="Times New Roman" w:eastAsia="宋体" w:cs="宋体"/>
          <w:iCs/>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Cs/>
          <w:color w:val="auto"/>
          <w:sz w:val="21"/>
          <w:szCs w:val="21"/>
          <w:highlight w:val="none"/>
          <w:lang w:eastAsia="zh-CN"/>
        </w:rPr>
        <w:t xml:space="preserve">，</w:t>
      </w:r>
      <w:r>
        <w:rPr>
          <w:rFonts w:hint="eastAsia" w:ascii="Times New Roman" w:hAnsi="Times New Roman"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 w:val="21"/>
          <w:szCs w:val="21"/>
          <w:highlight w:val="none"/>
          <w:u w:val="single"/>
        </w:rPr>
        <w:t xml:space="preserve">（本项目涉及强制采购范围内产品有：无）</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cs="宋体"/>
          <w:b/>
          <w:bCs/>
          <w:color w:val="auto"/>
          <w:szCs w:val="21"/>
          <w:highlight w:val="none"/>
          <w:lang w:val="en-US" w:eastAsia="zh-CN"/>
        </w:rPr>
        <w:t xml:space="preserve">六</w:t>
      </w:r>
      <w:r>
        <w:rPr>
          <w:rFonts w:hint="eastAsia" w:ascii="Times New Roman" w:hAnsi="Times New Roman" w:eastAsia="宋体" w:cs="宋体"/>
          <w:b/>
          <w:bCs/>
          <w:color w:val="auto"/>
          <w:szCs w:val="21"/>
          <w:highlight w:val="none"/>
        </w:rPr>
        <w:t xml:space="preserve">、政府采购中实施本国产品标准及相关政策</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1.本项目对采购本国产品给予政策支持，具体内容见招标文件“第五章 评标方法与评标标准”。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color w:val="auto"/>
        </w:rPr>
      </w:pPr>
      <w:r>
        <w:rPr>
          <w:rFonts w:hint="eastAsia" w:ascii="Times New Roman" w:hAnsi="Times New Roman" w:eastAsia="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ascii="Times New Roman" w:hAnsi="Times New Roman" w:eastAsia="宋体" w:cs="宋体"/>
          <w:b/>
          <w:color w:val="auto"/>
          <w:sz w:val="21"/>
          <w:szCs w:val="21"/>
          <w:highlight w:val="none"/>
        </w:rPr>
      </w:pPr>
      <w:r>
        <w:rPr>
          <w:rFonts w:ascii="Times New Roman" w:hAnsi="Times New Roman" w:eastAsia="宋体" w:cs="宋体"/>
          <w:b/>
          <w:color w:val="auto"/>
          <w:sz w:val="21"/>
          <w:szCs w:val="21"/>
          <w:highlight w:val="none"/>
        </w:rPr>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882"/>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2"/>
        <w:jc w:val="center"/>
        <w:pageBreakBefore w:val="0"/>
        <w:spacing w:before="0" w:after="0" w:line="360" w:lineRule="auto"/>
        <w:rPr>
          <w:rFonts w:ascii="Times New Roman" w:hAnsi="Times New Roman" w:eastAsia="宋体"/>
          <w:color w:val="auto"/>
          <w:sz w:val="36"/>
          <w:szCs w:val="36"/>
          <w:highlight w:val="none"/>
        </w:rPr>
      </w:pPr>
      <w:r/>
      <w:bookmarkStart w:id="61" w:name="_Toc53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0"/>
      <w:r/>
      <w:bookmarkEnd w:id="61"/>
      <w:r/>
      <w:r/>
    </w:p>
    <w:p>
      <w:pPr>
        <w:pStyle w:val="919"/>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9"/>
        <w:ind w:firstLine="420"/>
        <w:pageBreakBefore w:val="0"/>
        <w:spacing w:before="0" w:after="0" w:line="360" w:lineRule="auto"/>
        <w:rPr>
          <w:rFonts w:ascii="Times New Roman" w:hAnsi="Times New Roman" w:eastAsia="宋体"/>
          <w:color w:val="auto"/>
          <w:sz w:val="21"/>
          <w:szCs w:val="21"/>
          <w:highlight w:val="none"/>
        </w:rPr>
      </w:pPr>
      <w:r/>
      <w:bookmarkStart w:id="62" w:name="_Toc449016388"/>
      <w:r/>
      <w:bookmarkStart w:id="63"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w:t>
      </w:r>
      <w:r>
        <w:rPr>
          <w:rFonts w:hint="eastAsia" w:ascii="Times New Roman" w:hAnsi="Times New Roman" w:eastAsia="宋体"/>
          <w:color w:val="auto"/>
          <w:sz w:val="21"/>
          <w:szCs w:val="21"/>
          <w:highlight w:val="none"/>
        </w:rPr>
        <w:t xml:space="preserve">投标文件满足采购文件全部实质性要求，且按照评审因素的量化指标评审得分最高的前三名供应商为中标候选</w:t>
      </w:r>
      <w:r>
        <w:rPr>
          <w:rFonts w:hint="eastAsia" w:ascii="Times New Roman" w:hAnsi="Times New Roman" w:eastAsia="宋体"/>
          <w:color w:val="auto"/>
          <w:sz w:val="21"/>
          <w:szCs w:val="21"/>
          <w:highlight w:val="none"/>
          <w:lang w:val="en-US" w:eastAsia="zh-CN"/>
        </w:rPr>
        <w:t xml:space="preserve">人</w:t>
      </w:r>
      <w:r>
        <w:rPr>
          <w:rFonts w:hint="eastAsia" w:ascii="Times New Roman" w:hAnsi="Times New Roman" w:eastAsia="宋体"/>
          <w:color w:val="auto"/>
          <w:sz w:val="21"/>
          <w:szCs w:val="21"/>
          <w:highlight w:val="none"/>
        </w:rPr>
        <w:t xml:space="preserve">（文件另有约定的除外）</w:t>
      </w:r>
      <w:r>
        <w:rPr>
          <w:rFonts w:hint="eastAsia" w:ascii="Times New Roman" w:hAnsi="Times New Roman" w:eastAsia="宋体"/>
          <w:color w:val="auto"/>
          <w:sz w:val="21"/>
          <w:szCs w:val="21"/>
          <w:highlight w:val="none"/>
        </w:rPr>
        <w:t xml:space="preserve">。</w:t>
      </w:r>
      <w:r/>
    </w:p>
    <w:p>
      <w:pPr>
        <w:pStyle w:val="919"/>
        <w:ind w:firstLine="420"/>
        <w:pageBreakBefore w:val="0"/>
        <w:spacing w:before="0" w:after="0" w:line="360" w:lineRule="auto"/>
        <w:rPr>
          <w:rFonts w:ascii="Times New Roman" w:hAnsi="Times New Roman" w:eastAsia="宋体"/>
          <w:b/>
          <w:color w:val="auto"/>
          <w:szCs w:val="21"/>
          <w:highlight w:val="none"/>
        </w:rPr>
      </w:pPr>
      <w:r>
        <w:rPr>
          <w:rFonts w:hint="eastAsia" w:ascii="Times New Roman" w:hAnsi="Times New Roman" w:eastAsia="宋体"/>
          <w:color w:val="auto"/>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中标候选人不满三家，该包终止采购。</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2"/>
      <w:r/>
      <w:bookmarkEnd w:id="63"/>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9"/>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%的扣除价格，用扣除后的价格参与评审。</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%的价格扣除，用扣除后的价格参与评审。</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%的价格扣除，用扣除后的价格参与评审。</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含新疆生产建设兵团</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出具的属于监狱企业的证明文件。供应商如不提供上述证明文件，价格将不做相应扣除。</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（3）监狱企业标准请参照《关于政府采购支持监狱企业发展有关问题的通知》（财库[2014]68号）。</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4</w:t>
      </w:r>
      <w:r>
        <w:rPr>
          <w:rFonts w:ascii="Times New Roman" w:hAnsi="Times New Roman" w:eastAsia="宋体"/>
          <w:color w:val="auto"/>
          <w:sz w:val="21"/>
          <w:szCs w:val="21"/>
          <w:highlight w:val="none"/>
        </w:rPr>
        <w:t xml:space="preserve">%的价格扣除，用扣除后的价格参与评审。</w:t>
      </w:r>
      <w:r/>
    </w:p>
    <w:p>
      <w:pPr>
        <w:pStyle w:val="91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%价格扣除，用扣除后的价格参与评审。</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7、大中型企业向小型、微型企业分包的，分包意向协议约定小型、微型企业合同份额占到合同总金额30%以上的，给予4</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的价格扣除，用扣除后的价格参与评审</w:t>
      </w:r>
      <w:r>
        <w:rPr>
          <w:rFonts w:hint="eastAsia" w:ascii="Times New Roman" w:hAnsi="Times New Roman" w:eastAsia="宋体"/>
          <w:color w:val="auto"/>
          <w:sz w:val="21"/>
          <w:szCs w:val="21"/>
          <w:highlight w:val="none"/>
        </w:rPr>
        <w:t xml:space="preserve">。</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9"/>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886"/>
        <w:tblW w:w="7994" w:type="dxa"/>
        <w:tblInd w:w="288"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4761"/>
        <w:gridCol w:w="1914"/>
      </w:tblGrid>
      <w:tr>
        <w:trPr>
          <w:trHeight w:val="568"/>
        </w:trPr>
        <w:tc>
          <w:tcPr>
            <w:tcW w:w="1319"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类　别</w:t>
            </w:r>
            <w:r/>
          </w:p>
        </w:tc>
        <w:tc>
          <w:tcPr>
            <w:tcW w:w="4761" w:type="dxa"/>
            <w:vAlign w:val="center"/>
            <w:textDirection w:val="lrTb"/>
            <w:noWrap w:val="false"/>
          </w:tcPr>
          <w:p>
            <w:pPr>
              <w:ind w:firstLine="949"/>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评分原则</w:t>
            </w:r>
            <w:r/>
          </w:p>
        </w:tc>
        <w:tc>
          <w:tcPr>
            <w:tcW w:w="1914"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备注</w:t>
            </w:r>
            <w:r/>
          </w:p>
        </w:tc>
      </w:tr>
      <w:tr>
        <w:trPr>
          <w:trHeight w:val="1364"/>
        </w:trPr>
        <w:tc>
          <w:tcPr>
            <w:tcW w:w="131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商务报价</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（30分）</w:t>
            </w:r>
            <w:r/>
          </w:p>
        </w:tc>
        <w:tc>
          <w:tcPr>
            <w:tcW w:w="4761"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每个实物套餐满足招标文件要求，两个套餐食品的</w:t>
            </w:r>
            <w:r>
              <w:rPr>
                <w:rFonts w:hint="eastAsia" w:ascii="Times New Roman" w:hAnsi="Times New Roman" w:eastAsia="宋体" w:cs="宋体"/>
                <w:color w:val="auto"/>
                <w:szCs w:val="21"/>
                <w:highlight w:val="none"/>
                <w:lang w:eastAsia="zh-CN"/>
              </w:rPr>
              <w:t xml:space="preserve">卖场</w:t>
            </w:r>
            <w:r>
              <w:rPr>
                <w:rFonts w:hint="eastAsia" w:ascii="Times New Roman" w:hAnsi="Times New Roman" w:eastAsia="宋体" w:cs="宋体"/>
                <w:color w:val="auto"/>
                <w:szCs w:val="21"/>
                <w:highlight w:val="none"/>
              </w:rPr>
              <w:t xml:space="preserve">报价之和的最大值为评标基准价，其价格分为满分30。其他投标人的价格分按照下列公式计算：价格得分=（所投两个套餐总价/评标基准价）×30，保留两位有效小数。</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713"/>
        </w:trPr>
        <w:tc>
          <w:tcPr>
            <w:tcW w:w="1319" w:type="dxa"/>
            <w:vAlign w:val="center"/>
            <w:vMerge w:val="restart"/>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质量保障</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（60分）</w:t>
            </w:r>
            <w:r/>
          </w:p>
        </w:tc>
        <w:tc>
          <w:tcPr>
            <w:tcW w:w="4761"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套餐组合特色（盲评，</w:t>
            </w:r>
            <w:r>
              <w:rPr>
                <w:rFonts w:ascii="Times New Roman" w:hAnsi="Times New Roman" w:eastAsia="宋体" w:cs="宋体"/>
                <w:color w:val="auto"/>
                <w:szCs w:val="21"/>
                <w:highlight w:val="none"/>
              </w:rPr>
              <w:t xml:space="preserve">45</w:t>
            </w:r>
            <w:r>
              <w:rPr>
                <w:rFonts w:hint="eastAsia" w:ascii="Times New Roman" w:hAnsi="Times New Roman" w:eastAsia="宋体" w:cs="宋体"/>
                <w:color w:val="auto"/>
                <w:szCs w:val="21"/>
                <w:highlight w:val="none"/>
              </w:rPr>
              <w:t xml:space="preserve">分）</w:t>
            </w:r>
            <w:r/>
          </w:p>
          <w:p>
            <w:pPr>
              <w:pStyle w:val="889"/>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根据组合的商品品质，搭配的合理性等综合评分。</w:t>
            </w:r>
            <w:r>
              <w:rPr>
                <w:rFonts w:hint="eastAsia" w:ascii="Times New Roman" w:hAnsi="Times New Roman"/>
                <w:color w:val="auto"/>
                <w:szCs w:val="21"/>
                <w:highlight w:val="none"/>
                <w:lang w:val="en-US" w:eastAsia="zh-CN"/>
              </w:rPr>
              <w:t xml:space="preserve">如</w:t>
            </w:r>
            <w:r>
              <w:rPr>
                <w:rFonts w:hint="eastAsia"/>
                <w:color w:val="auto"/>
                <w:lang w:val="en-US" w:eastAsia="zh-CN"/>
              </w:rPr>
              <w:t xml:space="preserve">只有外包装没有实物本项不得分。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第一名得45分，第二名得42分，第三名得40分，第四名得38分，第五名及以后得35分。</w:t>
            </w:r>
            <w:r/>
          </w:p>
        </w:tc>
      </w:tr>
      <w:tr>
        <w:trPr>
          <w:trHeight w:val="1532"/>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产品生产质量控制与内包装（盲评，7分）</w:t>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包括产品获奖、绿色标志及质量认证等。</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第一名得7分，第二名得6分，第三名得5分，第四名及以后得4分。</w:t>
            </w:r>
            <w:r/>
          </w:p>
        </w:tc>
      </w:tr>
      <w:tr>
        <w:trPr>
          <w:trHeight w:val="713"/>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套餐外包装（3分）</w:t>
            </w:r>
            <w:r/>
          </w:p>
          <w:p>
            <w:pPr>
              <w:pStyle w:val="89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根据包装物的结实程度，搬运发放的便利性等综合评分。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第一名得3分，第二名得2分，第三名及以后得1分。</w:t>
            </w:r>
            <w:r/>
          </w:p>
        </w:tc>
      </w:tr>
      <w:tr>
        <w:trPr>
          <w:trHeight w:val="713"/>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服务方案（5分）</w:t>
            </w:r>
            <w:r>
              <w:rPr>
                <w:rFonts w:hint="eastAsia" w:ascii="Times New Roman" w:hAnsi="Times New Roman" w:eastAsia="宋体"/>
                <w:iCs/>
                <w:color w:val="auto"/>
                <w:szCs w:val="21"/>
                <w:highlight w:val="none"/>
              </w:rPr>
              <w:t xml:space="preserve">包括送货方案和售后服务等。</w:t>
            </w:r>
            <w:r/>
          </w:p>
          <w:p>
            <w:pPr>
              <w:pStyle w:val="893"/>
              <w:ind w:left="0"/>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详细、规范、合理、完整、可操作性强得5分；较详细、规范、合理、完整、有一定的可操作性得3分；不详细、规范性、合理性、完整性一般，可操作性不强得1分；合理性差、完整性差、无可操作性或没有提供内容不得分。</w:t>
            </w:r>
            <w:r/>
          </w:p>
        </w:tc>
        <w:tc>
          <w:tcPr>
            <w:tcW w:w="1914" w:type="dxa"/>
            <w:vAlign w:val="center"/>
            <w:textDirection w:val="lrTb"/>
            <w:noWrap w:val="false"/>
          </w:tcPr>
          <w:p>
            <w:pPr>
              <w:pageBreakBefore w:val="0"/>
              <w:spacing w:line="360" w:lineRule="auto"/>
              <w:rPr>
                <w:rFonts w:ascii="Times New Roman" w:hAnsi="Times New Roman" w:eastAsia="宋体" w:cs="宋体"/>
                <w:iCs/>
                <w:color w:val="auto"/>
                <w:szCs w:val="21"/>
                <w:highlight w:val="none"/>
              </w:rPr>
            </w:pPr>
            <w:r>
              <w:rPr>
                <w:rFonts w:ascii="Times New Roman" w:hAnsi="Times New Roman" w:eastAsia="宋体" w:cs="宋体"/>
                <w:iCs/>
                <w:color w:val="auto"/>
                <w:szCs w:val="21"/>
                <w:highlight w:val="none"/>
              </w:rPr>
            </w:r>
            <w:r/>
          </w:p>
          <w:p>
            <w:pPr>
              <w:pageBreakBefore w:val="0"/>
              <w:spacing w:line="360" w:lineRule="auto"/>
              <w:rPr>
                <w:rFonts w:ascii="Times New Roman" w:hAnsi="Times New Roman" w:eastAsia="宋体" w:cs="宋体"/>
                <w:iCs/>
                <w:color w:val="auto"/>
                <w:szCs w:val="21"/>
                <w:highlight w:val="none"/>
              </w:rPr>
            </w:pPr>
            <w:r>
              <w:rPr>
                <w:rFonts w:ascii="Times New Roman" w:hAnsi="Times New Roman" w:eastAsia="宋体" w:cs="宋体"/>
                <w:iCs/>
                <w:color w:val="auto"/>
                <w:szCs w:val="21"/>
                <w:highlight w:val="none"/>
              </w:rPr>
            </w:r>
            <w:r/>
          </w:p>
        </w:tc>
      </w:tr>
      <w:tr>
        <w:trPr>
          <w:trHeight w:val="641"/>
        </w:trPr>
        <w:tc>
          <w:tcPr>
            <w:tcW w:w="1319" w:type="dxa"/>
            <w:vAlign w:val="center"/>
            <w:textDirection w:val="lrTb"/>
            <w:noWrap w:val="false"/>
          </w:tcPr>
          <w:p>
            <w:pPr>
              <w:pStyle w:val="893"/>
              <w:ind w:left="0"/>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类似业绩（10分）</w:t>
            </w:r>
            <w:r/>
          </w:p>
        </w:tc>
        <w:tc>
          <w:tcPr>
            <w:tcW w:w="4761" w:type="dxa"/>
            <w:vAlign w:val="center"/>
            <w:textDirection w:val="lrTb"/>
            <w:noWrap w:val="false"/>
          </w:tcPr>
          <w:p>
            <w:pPr>
              <w:pStyle w:val="893"/>
              <w:ind w:left="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2023年1月1日至今的类似业绩，每提供一份合同得</w:t>
            </w: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rPr>
              <w:t xml:space="preserve">分，满分</w:t>
            </w:r>
            <w:r>
              <w:rPr>
                <w:rFonts w:ascii="Times New Roman" w:hAnsi="Times New Roman" w:eastAsia="宋体"/>
                <w:color w:val="auto"/>
                <w:szCs w:val="21"/>
                <w:highlight w:val="none"/>
              </w:rPr>
              <w:t xml:space="preserve">10</w:t>
            </w:r>
            <w:r>
              <w:rPr>
                <w:rFonts w:hint="eastAsia" w:ascii="Times New Roman" w:hAnsi="Times New Roman" w:eastAsia="宋体"/>
                <w:color w:val="auto"/>
                <w:szCs w:val="21"/>
                <w:highlight w:val="none"/>
              </w:rPr>
              <w:t xml:space="preserve">分。</w:t>
            </w:r>
            <w:r>
              <w:rPr>
                <w:rFonts w:hint="eastAsia" w:ascii="Times New Roman" w:hAnsi="Times New Roman" w:eastAsia="宋体"/>
                <w:b/>
                <w:color w:val="auto"/>
                <w:szCs w:val="21"/>
                <w:highlight w:val="none"/>
                <w:u w:val="single"/>
              </w:rPr>
              <w:t xml:space="preserve">以合同签订时间为准，提供合同</w:t>
            </w:r>
            <w:r>
              <w:rPr>
                <w:rFonts w:hint="eastAsia" w:ascii="Times New Roman" w:hAnsi="Times New Roman" w:eastAsia="宋体"/>
                <w:b/>
                <w:color w:val="auto"/>
                <w:szCs w:val="21"/>
                <w:highlight w:val="none"/>
                <w:u w:val="single"/>
                <w:lang w:val="en-US" w:eastAsia="zh-CN"/>
              </w:rPr>
              <w:t xml:space="preserve">原件扫描上传</w:t>
            </w:r>
            <w:r>
              <w:rPr>
                <w:rFonts w:hint="eastAsia" w:ascii="Times New Roman" w:hAnsi="Times New Roman" w:eastAsia="宋体"/>
                <w:b/>
                <w:color w:val="auto"/>
                <w:szCs w:val="21"/>
                <w:highlight w:val="none"/>
                <w:u w:val="single"/>
              </w:rPr>
              <w:t xml:space="preserve">，未提供不得分。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91"/>
        </w:trPr>
        <w:tc>
          <w:tcPr>
            <w:gridSpan w:val="3"/>
            <w:tcW w:w="799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满分100分</w:t>
            </w:r>
            <w:r/>
          </w:p>
        </w:tc>
      </w:tr>
    </w:tbl>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报价低于全部通过符合性审查供应商投标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报价平均值50%的，即投标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报价〈全部通过符合性审查供应商投标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报价平均值X50%；</w:t>
      </w:r>
      <w:r/>
    </w:p>
    <w:p>
      <w:pPr>
        <w:ind w:firstLine="422"/>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2.投标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报价低于通过符合性审查的次低报价供应商投标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报价50%的，即投标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报价〈通过符合性审查的次低报价供应商投标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报价X50%；</w:t>
      </w:r>
      <w:r/>
    </w:p>
    <w:p>
      <w:pPr>
        <w:ind w:firstLine="422"/>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3.投标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报价低于采购项目最高限价45%的，即投标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报价&lt;采购项目最高限价X45%；</w:t>
      </w:r>
      <w:r/>
    </w:p>
    <w:p>
      <w:pPr>
        <w:ind w:firstLine="422"/>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lang w:val="en-US" w:eastAsia="zh-CN"/>
        </w:rPr>
        <w:t xml:space="preserve">二</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评审委员会启动异常低价投标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审查后，属于前述第1项至第4项情形的，应当要求相关供应商在评审现场合理的时间内对投标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文件一并提交相关书面说明及必要的证明材料的，在评审现场可不再重复提交。</w:t>
      </w:r>
      <w:r/>
    </w:p>
    <w:p>
      <w:pPr>
        <w:ind w:firstLine="420"/>
        <w:pageBreakBefore w:val="0"/>
        <w:spacing w:line="360" w:lineRule="auto"/>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lang w:val="en-US" w:eastAsia="zh-CN"/>
        </w:rPr>
        <w:t xml:space="preserve">三</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评审委员会依据专业经验，参考同类项目中标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成交</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响应</w:t>
      </w: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rPr>
        <w:t xml:space="preserve">处理。</w:t>
      </w:r>
      <w:r/>
    </w:p>
    <w:p>
      <w:pP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br w:type="page" w:clear="all"/>
      </w:r>
      <w:r/>
    </w:p>
    <w:p>
      <w:pPr>
        <w:pStyle w:val="882"/>
        <w:jc w:val="center"/>
        <w:pageBreakBefore w:val="0"/>
        <w:spacing w:before="0" w:after="0" w:line="360" w:lineRule="auto"/>
        <w:rPr>
          <w:rFonts w:ascii="Times New Roman" w:hAnsi="Times New Roman" w:eastAsia="宋体"/>
          <w:color w:val="auto"/>
          <w:sz w:val="36"/>
          <w:highlight w:val="none"/>
        </w:rPr>
      </w:pPr>
      <w:r/>
      <w:bookmarkStart w:id="64" w:name="_Toc23223"/>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4"/>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3"/>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5" w:name="_Toc31039"/>
      <w:r/>
      <w:bookmarkStart w:id="66" w:name="_Toc5792"/>
      <w:r/>
      <w:bookmarkStart w:id="67" w:name="_Toc27779"/>
      <w:r/>
      <w:bookmarkStart w:id="68" w:name="_Toc2029"/>
      <w:r/>
      <w:bookmarkStart w:id="69" w:name="_Toc22934"/>
      <w:r>
        <w:rPr>
          <w:rFonts w:hint="eastAsia" w:ascii="Times New Roman" w:hAnsi="Times New Roman" w:eastAsia="宋体"/>
          <w:color w:val="auto"/>
          <w:sz w:val="32"/>
          <w:highlight w:val="none"/>
        </w:rPr>
        <w:t xml:space="preserve">一、资格审查响应对照表</w:t>
      </w:r>
      <w:bookmarkEnd w:id="65"/>
      <w:r/>
      <w:bookmarkEnd w:id="66"/>
      <w:r/>
      <w:bookmarkEnd w:id="67"/>
      <w:r/>
      <w:bookmarkEnd w:id="68"/>
      <w:r/>
      <w:bookmarkEnd w:id="69"/>
      <w:r/>
      <w:r/>
    </w:p>
    <w:tbl>
      <w:tblPr>
        <w:tblStyle w:val="88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9"/>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9"/>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我方将根据招标文件的规定，严格履行合同的责任和义务</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并保证在招标文件规定的时间完成项目，交付买方验收、使用。</w:t>
      </w:r>
      <w:r/>
    </w:p>
    <w:p>
      <w:pPr>
        <w:pStyle w:val="919"/>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9"/>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0"/>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0"/>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0"/>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0"/>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3"/>
        <w:pageBreakBefore w:val="0"/>
        <w:spacing w:before="0" w:after="0" w:line="360" w:lineRule="auto"/>
        <w:rPr>
          <w:rFonts w:ascii="Times New Roman" w:hAnsi="Times New Roman" w:eastAsia="宋体"/>
          <w:color w:val="auto"/>
          <w:sz w:val="32"/>
          <w:highlight w:val="none"/>
        </w:rPr>
      </w:pPr>
      <w:r/>
      <w:bookmarkStart w:id="70" w:name="_Toc21298"/>
      <w:r/>
      <w:bookmarkStart w:id="71" w:name="_Toc29496"/>
      <w:r/>
      <w:bookmarkStart w:id="72" w:name="_Toc10588"/>
      <w:r/>
      <w:bookmarkStart w:id="73" w:name="_Toc20616"/>
      <w:r/>
      <w:bookmarkStart w:id="74" w:name="_Toc20212"/>
      <w:r>
        <w:rPr>
          <w:rFonts w:hint="eastAsia" w:ascii="Times New Roman" w:hAnsi="Times New Roman" w:eastAsia="宋体"/>
          <w:color w:val="auto"/>
          <w:sz w:val="32"/>
          <w:highlight w:val="none"/>
        </w:rPr>
        <w:t xml:space="preserve">二、符合性审查响应对照表</w:t>
      </w:r>
      <w:bookmarkEnd w:id="70"/>
      <w:r/>
      <w:bookmarkEnd w:id="71"/>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3"/>
        <w:pageBreakBefore w:val="0"/>
        <w:spacing w:before="0" w:after="0" w:line="360" w:lineRule="auto"/>
        <w:rPr>
          <w:rFonts w:ascii="Times New Roman" w:hAnsi="Times New Roman" w:eastAsia="宋体"/>
          <w:color w:val="auto"/>
          <w:sz w:val="32"/>
          <w:highlight w:val="none"/>
        </w:rPr>
      </w:pPr>
      <w:r/>
      <w:bookmarkStart w:id="75" w:name="_Toc23700"/>
      <w:r/>
      <w:bookmarkStart w:id="76" w:name="_Toc23420"/>
      <w:r/>
      <w:bookmarkStart w:id="77" w:name="_Toc13365"/>
      <w:r/>
      <w:bookmarkStart w:id="78" w:name="_Toc3706"/>
      <w:r/>
      <w:bookmarkStart w:id="79" w:name="_Toc13123"/>
      <w:r>
        <w:rPr>
          <w:rFonts w:hint="eastAsia" w:ascii="Times New Roman" w:hAnsi="Times New Roman" w:eastAsia="宋体"/>
          <w:color w:val="auto"/>
          <w:sz w:val="32"/>
          <w:highlight w:val="none"/>
        </w:rPr>
        <w:t xml:space="preserve">三、非实质性响应对照表</w:t>
      </w:r>
      <w:bookmarkEnd w:id="75"/>
      <w:r/>
      <w:bookmarkEnd w:id="76"/>
      <w:r/>
      <w:bookmarkEnd w:id="77"/>
      <w:r/>
      <w:bookmarkEnd w:id="78"/>
      <w:r/>
      <w:bookmarkEnd w:id="79"/>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（零售业）（不得对行业类别修改）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 xml:space="preserve">（零售业）（不得对行业类别修改）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注：1、从业人员（不仅指在职职工）、营业收入、资产总额填报上一年度数据，无上一年度数据的新成立企业可不填报。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3、企业声明函请完整填写，中标后将公示。</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 期：</w:t>
      </w:r>
      <w:r/>
    </w:p>
    <w:p>
      <w:pPr>
        <w:jc w:val="center"/>
        <w:pageBreakBefore w:val="0"/>
        <w:spacing w:line="360" w:lineRule="auto"/>
        <w:rPr>
          <w:rStyle w:val="907"/>
          <w:rFonts w:ascii="Times New Roman" w:hAnsi="Times New Roman" w:eastAsia="宋体" w:cs="仿宋"/>
          <w:color w:val="auto"/>
          <w:szCs w:val="21"/>
          <w:highlight w:val="none"/>
        </w:rPr>
      </w:pPr>
      <w:r>
        <w:rPr>
          <w:rStyle w:val="907"/>
          <w:rFonts w:hint="eastAsia" w:ascii="Times New Roman" w:hAnsi="Times New Roman" w:eastAsia="宋体" w:cs="仿宋"/>
          <w:color w:val="auto"/>
          <w:szCs w:val="21"/>
          <w:highlight w:val="none"/>
        </w:rPr>
        <w:t xml:space="preserve">中小微企业划型标准</w:t>
      </w:r>
      <w:r/>
    </w:p>
    <w:p>
      <w:pPr>
        <w:pStyle w:val="903"/>
        <w:ind w:firstLine="420"/>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中小微企业划型标准如下：</w:t>
      </w:r>
      <w:r/>
    </w:p>
    <w:tbl>
      <w:tblPr>
        <w:tblStyle w:val="886"/>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3"/>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ind w:firstLine="420"/>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bl>
    <w:p>
      <w:pPr>
        <w:pStyle w:val="903"/>
        <w:ind w:firstLine="810"/>
        <w:pageBreakBefore w:val="0"/>
        <w:spacing w:line="360" w:lineRule="auto"/>
        <w:widowControl/>
        <w:rPr>
          <w:rStyle w:val="907"/>
          <w:rFonts w:ascii="Times New Roman" w:hAnsi="Times New Roman" w:eastAsia="宋体" w:cs="仿宋"/>
          <w:color w:val="auto"/>
          <w:sz w:val="21"/>
          <w:szCs w:val="21"/>
          <w:highlight w:val="none"/>
        </w:rPr>
      </w:pPr>
      <w:r>
        <w:rPr>
          <w:rStyle w:val="90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7"/>
          <w:rFonts w:hint="eastAsia" w:ascii="Times New Roman" w:hAnsi="Times New Roman" w:eastAsia="宋体" w:cs="仿宋"/>
          <w:color w:val="auto"/>
          <w:sz w:val="21"/>
          <w:szCs w:val="21"/>
          <w:highlight w:val="none"/>
          <w:lang w:eastAsia="zh-CN"/>
        </w:rPr>
        <w:t xml:space="preserve">〔2011〕300号</w:t>
      </w:r>
      <w:r>
        <w:rPr>
          <w:rStyle w:val="90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pStyle w:val="884"/>
        <w:pageBreakBefore w:val="0"/>
        <w:spacing w:before="0" w:after="0" w:line="360" w:lineRule="auto"/>
        <w:rPr>
          <w:rStyle w:val="907"/>
          <w:rFonts w:ascii="Times New Roman" w:hAnsi="Times New Roman" w:eastAsia="宋体" w:cs="仿宋"/>
          <w:b w:val="0"/>
          <w:color w:val="auto"/>
          <w:sz w:val="21"/>
          <w:szCs w:val="21"/>
          <w:highlight w:val="none"/>
        </w:rPr>
      </w:pPr>
      <w:r>
        <w:rPr>
          <w:rStyle w:val="90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3"/>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08"/>
          <w:rFonts w:hint="eastAsia" w:ascii="Times New Roman" w:hAnsi="Times New Roman" w:eastAsia="宋体" w:cs="宋体"/>
          <w:i w:val="0"/>
          <w:color w:val="auto"/>
          <w:highlight w:val="none"/>
          <w:u w:val="single"/>
          <w:shd w:val="clear" w:color="auto" w:fill="ffffff"/>
        </w:rPr>
        <w:t xml:space="preserve">（产品名称1）</w:t>
      </w:r>
      <w:r>
        <w:rPr>
          <w:rStyle w:val="90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Style w:val="90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0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Style w:val="90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Style w:val="90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Style w:val="90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3"/>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3"/>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3"/>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80" w:name="_Toc19910"/>
      <w:r/>
      <w:r/>
    </w:p>
    <w:p>
      <w:pPr>
        <w:pStyle w:val="883"/>
        <w:pageBreakBefore w:val="0"/>
        <w:spacing w:before="0" w:after="0" w:line="360" w:lineRule="auto"/>
        <w:rPr>
          <w:rFonts w:ascii="Times New Roman" w:hAnsi="Times New Roman" w:eastAsia="宋体"/>
          <w:color w:val="auto"/>
          <w:sz w:val="32"/>
          <w:highlight w:val="none"/>
        </w:rPr>
      </w:pPr>
      <w:r/>
      <w:bookmarkStart w:id="81" w:name="_Toc8142"/>
      <w:r/>
      <w:bookmarkStart w:id="82" w:name="_Toc29012"/>
      <w:r/>
      <w:bookmarkStart w:id="83" w:name="_Toc24565"/>
      <w:r/>
      <w:bookmarkStart w:id="84" w:name="_Toc24459"/>
      <w:r>
        <w:rPr>
          <w:rFonts w:hint="eastAsia" w:ascii="Times New Roman" w:hAnsi="Times New Roman" w:eastAsia="宋体"/>
          <w:color w:val="auto"/>
          <w:sz w:val="32"/>
          <w:highlight w:val="none"/>
        </w:rPr>
        <w:t xml:space="preserve">四、开标一览表</w:t>
      </w:r>
      <w:bookmarkEnd w:id="80"/>
      <w:r/>
      <w:bookmarkEnd w:id="81"/>
      <w:r/>
      <w:bookmarkEnd w:id="82"/>
      <w:r/>
      <w:bookmarkEnd w:id="83"/>
      <w:r/>
      <w:bookmarkEnd w:id="84"/>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小写：（人民币）</w:t>
            </w:r>
            <w:r/>
          </w:p>
          <w:p>
            <w:pPr>
              <w:pStyle w:val="919"/>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年</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月</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日</w:t>
      </w:r>
      <w:r/>
    </w:p>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p>
      <w:pPr>
        <w:pStyle w:val="883"/>
        <w:jc w:val="both"/>
        <w:pageBreakBefore w:val="0"/>
        <w:spacing w:before="0" w:after="0" w:line="360" w:lineRule="auto"/>
        <w:rPr>
          <w:rFonts w:hint="eastAsia" w:ascii="Times New Roman" w:hAnsi="Times New Roman" w:eastAsia="宋体"/>
          <w:color w:val="auto"/>
          <w:sz w:val="32"/>
          <w:highlight w:val="none"/>
          <w:lang w:eastAsia="zh-CN"/>
        </w:rPr>
      </w:pPr>
      <w:r>
        <w:rPr>
          <w:rFonts w:hint="eastAsia" w:ascii="Times New Roman" w:hAnsi="Times New Roman" w:eastAsia="宋体"/>
          <w:color w:val="auto"/>
          <w:sz w:val="32"/>
          <w:highlight w:val="none"/>
          <w:lang w:val="en-US" w:eastAsia="zh-CN"/>
        </w:rPr>
        <w:t xml:space="preserve">注：因苏采云系统限制，投标人投标文件中的电子开标一览表中投标报价应统一填写为最高限价91.25万元。价格分计算以分项报价表的两个套餐食品的卖场报价之和为依据</w:t>
      </w:r>
      <w:r>
        <w:rPr>
          <w:rFonts w:hint="eastAsia" w:ascii="Times New Roman" w:hAnsi="Times New Roman" w:eastAsia="宋体"/>
          <w:color w:val="auto"/>
          <w:sz w:val="32"/>
          <w:highlight w:val="none"/>
          <w:lang w:eastAsia="zh-CN"/>
        </w:rPr>
        <w:t xml:space="preserve">。</w:t>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9"/>
        <w:jc w:val="center"/>
        <w:pageBreakBefore w:val="0"/>
        <w:spacing w:after="0" w:line="360" w:lineRule="auto"/>
        <w:rPr>
          <w:rFonts w:ascii="Times New Roman" w:hAnsi="Times New Roman" w:eastAsia="宋体"/>
          <w:b/>
          <w:bCs/>
          <w:color w:val="auto"/>
          <w:sz w:val="24"/>
          <w:szCs w:val="24"/>
          <w:highlight w:val="none"/>
          <w:lang w:eastAsia="zh-CN"/>
        </w:rPr>
      </w:pPr>
      <w:r/>
      <w:bookmarkStart w:id="85" w:name="_Toc17891"/>
      <w:r>
        <w:rPr>
          <w:rFonts w:hint="eastAsia" w:ascii="Times New Roman" w:hAnsi="Times New Roman" w:eastAsia="宋体"/>
          <w:b/>
          <w:bCs/>
          <w:color w:val="auto"/>
          <w:sz w:val="32"/>
          <w:highlight w:val="none"/>
        </w:rPr>
        <w:t xml:space="preserve">五、分项报价表</w:t>
      </w:r>
      <w:bookmarkEnd w:id="85"/>
      <w:r/>
      <w:r/>
    </w:p>
    <w:p>
      <w:pPr>
        <w:pageBreakBefore w:val="0"/>
        <w:spacing w:line="360" w:lineRule="auto"/>
        <w:rPr>
          <w:rFonts w:ascii="Times New Roman" w:hAnsi="Times New Roman" w:eastAsia="宋体" w:cs="宋体"/>
          <w:color w:val="auto"/>
          <w:szCs w:val="21"/>
          <w:highlight w:val="none"/>
        </w:rPr>
      </w:pPr>
      <w:r/>
      <w:bookmarkStart w:id="86" w:name="_Toc24125"/>
      <w:r/>
      <w:bookmarkStart w:id="87" w:name="_Toc1749"/>
      <w:r/>
      <w:bookmarkStart w:id="88" w:name="_Toc5967"/>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cs="宋体"/>
          <w:color w:val="auto"/>
          <w:szCs w:val="21"/>
          <w:highlight w:val="none"/>
          <w:lang w:eastAsia="zh-CN"/>
        </w:rPr>
        <w:t xml:space="preserve">JSZC-320000-SWGC-G2026-0058号</w:t>
      </w:r>
      <w:r>
        <w:rPr>
          <w:rFonts w:hint="eastAsia" w:ascii="Times New Roman" w:hAnsi="Times New Roman" w:eastAsia="宋体" w:cs="宋体"/>
          <w:color w:val="auto"/>
          <w:szCs w:val="21"/>
          <w:highlight w:val="none"/>
          <w:lang w:eastAsia="zh-CN"/>
        </w:rPr>
        <w:t xml:space="preserve"> </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Style w:val="890"/>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lang w:eastAsia="zh-CN"/>
        </w:rPr>
        <w:t xml:space="preserve">扬州大学2026年端午节、中秋节福利项目（二次）</w:t>
      </w:r>
      <w:r>
        <w:rPr>
          <w:rFonts w:hint="eastAsia" w:ascii="Times New Roman" w:hAnsi="Times New Roman" w:eastAsia="宋体" w:cs="宋体"/>
          <w:color w:val="auto"/>
          <w:sz w:val="21"/>
          <w:szCs w:val="21"/>
          <w:highlight w:val="none"/>
        </w:rPr>
        <w:t xml:space="preserve">采购报价单（A基本套餐）　 单位：元</w:t>
      </w:r>
      <w:r/>
    </w:p>
    <w:tbl>
      <w:tblPr>
        <w:tblStyle w:val="886"/>
        <w:tblW w:w="8784"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59"/>
        <w:gridCol w:w="1095"/>
        <w:gridCol w:w="930"/>
        <w:gridCol w:w="1590"/>
        <w:gridCol w:w="960"/>
        <w:gridCol w:w="885"/>
        <w:gridCol w:w="825"/>
        <w:gridCol w:w="690"/>
      </w:tblGrid>
      <w:tr>
        <w:trPr/>
        <w:tc>
          <w:tcPr>
            <w:tcW w:w="750"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05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09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5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6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8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82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05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834" w:type="dxa"/>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95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Style w:val="890"/>
        <w:jc w:val="center"/>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89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lang w:eastAsia="zh-CN"/>
        </w:rPr>
        <w:t xml:space="preserve">扬州大学2026年端午节、中秋节福利项目（二次）</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cs="宋体"/>
          <w:color w:val="auto"/>
          <w:szCs w:val="21"/>
          <w:highlight w:val="none"/>
          <w:lang w:eastAsia="zh-CN"/>
        </w:rPr>
        <w:t xml:space="preserve">JSZC-320000-SWGC-G2026-0058号</w:t>
      </w:r>
      <w:r>
        <w:rPr>
          <w:rFonts w:hint="eastAsia" w:ascii="Times New Roman" w:hAnsi="Times New Roman" w:eastAsia="宋体" w:cs="宋体"/>
          <w:color w:val="auto"/>
          <w:szCs w:val="21"/>
          <w:highlight w:val="none"/>
          <w:lang w:eastAsia="zh-CN"/>
        </w:rPr>
        <w:t xml:space="preserve"> </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Style w:val="890"/>
        <w:jc w:val="center"/>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lang w:eastAsia="zh-CN"/>
        </w:rPr>
        <w:t xml:space="preserve">扬州大学2026年端午节、中秋节福利项目（二次）</w:t>
      </w:r>
      <w:r>
        <w:rPr>
          <w:rFonts w:hint="eastAsia" w:ascii="Times New Roman" w:hAnsi="Times New Roman" w:eastAsia="宋体" w:cs="宋体"/>
          <w:color w:val="auto"/>
          <w:sz w:val="21"/>
          <w:szCs w:val="21"/>
          <w:highlight w:val="none"/>
        </w:rPr>
        <w:t xml:space="preserve">采购报价单（B生鲜套餐）　单位：元</w:t>
      </w:r>
      <w:r/>
    </w:p>
    <w:tbl>
      <w:tblPr>
        <w:tblStyle w:val="886"/>
        <w:tblW w:w="0" w:type="auto"/>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0"/>
        <w:gridCol w:w="1100"/>
        <w:gridCol w:w="938"/>
        <w:gridCol w:w="1712"/>
        <w:gridCol w:w="905"/>
        <w:gridCol w:w="868"/>
        <w:gridCol w:w="666"/>
        <w:gridCol w:w="589"/>
      </w:tblGrid>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17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10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71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0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6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666"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58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17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973" w:type="dxa"/>
            <w:vAlign w:val="center"/>
            <w:textDirection w:val="lrTb"/>
            <w:noWrap w:val="false"/>
          </w:tcPr>
          <w:p>
            <w:pPr>
              <w:pStyle w:val="89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740" w:type="dxa"/>
            <w:textDirection w:val="lrTb"/>
            <w:noWrap w:val="false"/>
          </w:tcPr>
          <w:p>
            <w:pPr>
              <w:pStyle w:val="89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89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Style w:val="883"/>
        <w:pageBreakBefore w:val="0"/>
        <w:spacing w:before="0" w:after="0" w:line="360" w:lineRule="auto"/>
        <w:rPr>
          <w:rFonts w:ascii="Times New Roman" w:hAnsi="Times New Roman" w:eastAsia="宋体"/>
          <w:color w:val="auto"/>
          <w:sz w:val="32"/>
          <w:highlight w:val="none"/>
        </w:rPr>
      </w:pPr>
      <w:r/>
      <w:bookmarkStart w:id="89" w:name="_Toc13073"/>
      <w:r/>
      <w:bookmarkStart w:id="90" w:name="_Toc6564"/>
      <w:r>
        <w:rPr>
          <w:rFonts w:hint="eastAsia" w:ascii="Times New Roman" w:hAnsi="Times New Roman" w:eastAsia="宋体"/>
          <w:color w:val="auto"/>
          <w:sz w:val="32"/>
          <w:highlight w:val="none"/>
        </w:rPr>
        <w:t xml:space="preserve">六、技术参数响应及偏离表</w:t>
      </w:r>
      <w:bookmarkEnd w:id="86"/>
      <w:r/>
      <w:bookmarkEnd w:id="87"/>
      <w:r/>
      <w:bookmarkEnd w:id="88"/>
      <w:r/>
      <w:bookmarkEnd w:id="89"/>
      <w:r/>
      <w:bookmarkEnd w:id="90"/>
      <w:r/>
      <w:r/>
    </w:p>
    <w:tbl>
      <w:tblPr>
        <w:tblStyle w:val="88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3"/>
        <w:pageBreakBefore w:val="0"/>
        <w:spacing w:before="0" w:after="0" w:line="360" w:lineRule="auto"/>
        <w:rPr>
          <w:rFonts w:ascii="Times New Roman" w:hAnsi="Times New Roman" w:eastAsia="宋体"/>
          <w:color w:val="auto"/>
          <w:sz w:val="32"/>
          <w:highlight w:val="none"/>
        </w:rPr>
      </w:pPr>
      <w:r/>
      <w:bookmarkStart w:id="91" w:name="_Hlt26955054"/>
      <w:r/>
      <w:bookmarkEnd w:id="91"/>
      <w:r/>
      <w:bookmarkStart w:id="92" w:name="_Toc31918"/>
      <w:r/>
      <w:bookmarkStart w:id="93" w:name="_Toc16820"/>
      <w:r/>
      <w:bookmarkStart w:id="94" w:name="_Toc17263"/>
      <w:r/>
      <w:bookmarkStart w:id="95" w:name="_Toc28180"/>
      <w:r/>
      <w:bookmarkStart w:id="96" w:name="_Toc13755"/>
      <w:r>
        <w:rPr>
          <w:rFonts w:hint="eastAsia" w:ascii="Times New Roman" w:hAnsi="Times New Roman" w:eastAsia="宋体"/>
          <w:color w:val="auto"/>
          <w:sz w:val="32"/>
          <w:highlight w:val="none"/>
        </w:rPr>
        <w:t xml:space="preserve">七、商务条款响应及偏离表</w:t>
      </w:r>
      <w:bookmarkEnd w:id="92"/>
      <w:r/>
      <w:bookmarkEnd w:id="93"/>
      <w:r/>
      <w:bookmarkEnd w:id="94"/>
      <w:r/>
      <w:bookmarkEnd w:id="95"/>
      <w:r/>
      <w:bookmarkEnd w:id="96"/>
      <w:r/>
      <w:r/>
    </w:p>
    <w:tbl>
      <w:tblPr>
        <w:tblStyle w:val="88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97" w:name="_Hlt26671343"/>
            <w:r/>
            <w:bookmarkEnd w:id="97"/>
            <w:r/>
            <w:bookmarkStart w:id="98" w:name="_Hlt26580838"/>
            <w:r/>
            <w:bookmarkEnd w:id="98"/>
            <w:r/>
            <w:bookmarkStart w:id="99" w:name="_Hlt26955056"/>
            <w:r/>
            <w:bookmarkEnd w:id="99"/>
            <w:r/>
            <w:bookmarkStart w:id="100" w:name="_Hlt26955064"/>
            <w:r/>
            <w:bookmarkEnd w:id="100"/>
            <w:r/>
            <w:bookmarkStart w:id="101" w:name="_Hlt26671372"/>
            <w:r/>
            <w:bookmarkEnd w:id="101"/>
            <w:r/>
            <w:bookmarkStart w:id="102" w:name="_Hlt26609391"/>
            <w:r/>
            <w:bookmarkEnd w:id="102"/>
            <w:r/>
            <w:bookmarkStart w:id="103" w:name="_Hlt24879081"/>
            <w:r/>
            <w:bookmarkEnd w:id="103"/>
            <w:r/>
            <w:bookmarkStart w:id="104" w:name="_Hlt26782999"/>
            <w:r/>
            <w:bookmarkEnd w:id="104"/>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8"/>
        <w:ind w:firstLine="480"/>
        <w:pageBreakBefore w:val="0"/>
        <w:spacing w:line="360" w:lineRule="auto"/>
        <w:rPr>
          <w:rFonts w:ascii="Times New Roman" w:hAnsi="Times New Roman" w:eastAsia="宋体"/>
          <w:color w:val="auto"/>
          <w:sz w:val="24"/>
          <w:highlight w:val="none"/>
        </w:rPr>
      </w:pPr>
      <w:r/>
      <w:bookmarkStart w:id="105" w:name="_Hlt26955066"/>
      <w:r/>
      <w:bookmarkEnd w:id="105"/>
      <w:r/>
      <w:bookmarkStart w:id="106" w:name="_Hlt26671374"/>
      <w:r/>
      <w:bookmarkEnd w:id="106"/>
      <w:r/>
      <w:bookmarkStart w:id="107" w:name="_Hlt26609389"/>
      <w:r/>
      <w:bookmarkEnd w:id="107"/>
      <w:r/>
      <w:bookmarkStart w:id="108" w:name="_Toc462564146"/>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8"/>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08"/>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1、我们</w:t>
      </w:r>
      <w:r>
        <w:rPr>
          <w:rFonts w:hint="eastAsia" w:ascii="Times New Roman" w:hAnsi="Times New Roman" w:eastAsia="宋体" w:cs="宋体"/>
          <w:color w:val="auto"/>
          <w:sz w:val="21"/>
          <w:szCs w:val="21"/>
          <w:highlight w:val="none"/>
          <w:u w:val="single"/>
        </w:rPr>
        <w:t xml:space="preserve"> （供应商1），（供应商2） ，……</w:t>
      </w:r>
      <w:r>
        <w:rPr>
          <w:rFonts w:hint="eastAsia" w:ascii="Times New Roman" w:hAnsi="Times New Roman" w:eastAsia="宋体" w:cs="宋体"/>
          <w:color w:val="auto"/>
          <w:sz w:val="21"/>
          <w:szCs w:val="21"/>
          <w:highlight w:val="none"/>
        </w:rPr>
        <w:t xml:space="preserve">自愿组成联合体，参加江苏省政府采购中心组织的采购编号为</w:t>
      </w:r>
      <w:r>
        <w:rPr>
          <w:rFonts w:hint="eastAsia" w:ascii="Times New Roman" w:hAnsi="Times New Roman" w:eastAsia="宋体" w:cs="宋体"/>
          <w:color w:val="auto"/>
          <w:sz w:val="21"/>
          <w:szCs w:val="21"/>
          <w:highlight w:val="none"/>
          <w:u w:val="single"/>
        </w:rPr>
        <w:t xml:space="preserve">（编号全称），（项目全称）</w:t>
      </w:r>
      <w:r>
        <w:rPr>
          <w:rFonts w:hint="eastAsia" w:ascii="Times New Roman" w:hAnsi="Times New Roman" w:eastAsia="宋体" w:cs="宋体"/>
          <w:color w:val="auto"/>
          <w:sz w:val="21"/>
          <w:szCs w:val="21"/>
          <w:highlight w:val="none"/>
        </w:rPr>
        <w:t xml:space="preserve">项目（采购包号：**）的政府采购活动，我联合体指定</w:t>
      </w:r>
      <w:r>
        <w:rPr>
          <w:rFonts w:hint="eastAsia" w:ascii="Times New Roman" w:hAnsi="Times New Roman" w:eastAsia="宋体" w:cs="宋体"/>
          <w:color w:val="auto"/>
          <w:sz w:val="21"/>
          <w:szCs w:val="21"/>
          <w:highlight w:val="none"/>
          <w:u w:val="single"/>
        </w:rPr>
        <w:t xml:space="preserve">（供应商*）</w:t>
      </w:r>
      <w:r>
        <w:rPr>
          <w:rFonts w:hint="eastAsia"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3、其中</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（小型、微型企业/残疾人福利性单位/监狱企业全称）为</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 %。</w:t>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p>
      <w:pPr>
        <w:ind w:firstLine="646"/>
        <w:jc w:val="righ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日期：</w:t>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ind w:firstLine="64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 w:val="21"/>
          <w:szCs w:val="21"/>
          <w:highlight w:val="none"/>
        </w:rPr>
        <w:t xml:space="preserve">备注：本招标文件中要求加盖CA电子签章的地方，仅需加盖牵头单位的CA电子签章。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lang w:eastAsia="zh-CN"/>
      </w:rPr>
      <w:t xml:space="preserve">JSZC-320000-SWGC-G2026-0058号 </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pPr>
    <w:r>
      <w:rPr>
        <w:rFonts w:hint="eastAsia"/>
        <w:lang w:eastAsia="zh-CN"/>
      </w:rPr>
      <w:t xml:space="preserve">JSZC-320000-SWGC-G2026-0058号 </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0"/>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decimal"/>
      <w:pStyle w:val="92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3"/>
      <w:isLgl w:val="false"/>
      <w:suff w:val="tab"/>
      <w:lvlText w:val="%1"/>
      <w:lvlJc w:val="left"/>
      <w:pPr>
        <w:ind w:left="432" w:hanging="432"/>
      </w:pPr>
    </w:lvl>
    <w:lvl w:ilvl="1">
      <w:start w:val="1"/>
      <w:numFmt w:val="decimal"/>
      <w:pStyle w:val="954"/>
      <w:isLgl w:val="false"/>
      <w:suff w:val="tab"/>
      <w:lvlText w:val="%1.%2"/>
      <w:lvlJc w:val="left"/>
      <w:pPr>
        <w:ind w:left="576" w:hanging="576"/>
      </w:pPr>
    </w:lvl>
    <w:lvl w:ilvl="2">
      <w:start w:val="1"/>
      <w:numFmt w:val="decimal"/>
      <w:pStyle w:val="956"/>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5"/>
    <w:link w:val="882"/>
    <w:uiPriority w:val="9"/>
    <w:rPr>
      <w:rFonts w:ascii="Arial" w:hAnsi="Arial" w:eastAsia="Arial" w:cs="Arial"/>
      <w:sz w:val="40"/>
      <w:szCs w:val="40"/>
    </w:rPr>
  </w:style>
  <w:style w:type="character" w:styleId="715">
    <w:name w:val="Heading 2 Char"/>
    <w:basedOn w:val="885"/>
    <w:link w:val="883"/>
    <w:uiPriority w:val="9"/>
    <w:rPr>
      <w:rFonts w:ascii="Arial" w:hAnsi="Arial" w:eastAsia="Arial" w:cs="Arial"/>
      <w:sz w:val="34"/>
    </w:rPr>
  </w:style>
  <w:style w:type="character" w:styleId="716">
    <w:name w:val="Heading 3 Char"/>
    <w:basedOn w:val="885"/>
    <w:link w:val="884"/>
    <w:uiPriority w:val="9"/>
    <w:rPr>
      <w:rFonts w:ascii="Arial" w:hAnsi="Arial" w:eastAsia="Arial" w:cs="Arial"/>
      <w:sz w:val="30"/>
      <w:szCs w:val="30"/>
    </w:rPr>
  </w:style>
  <w:style w:type="paragraph" w:styleId="717">
    <w:name w:val="Heading 4"/>
    <w:basedOn w:val="881"/>
    <w:next w:val="881"/>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5"/>
    <w:link w:val="717"/>
    <w:uiPriority w:val="9"/>
    <w:rPr>
      <w:rFonts w:ascii="Arial" w:hAnsi="Arial" w:eastAsia="Arial" w:cs="Arial"/>
      <w:b/>
      <w:bCs/>
      <w:sz w:val="26"/>
      <w:szCs w:val="26"/>
    </w:rPr>
  </w:style>
  <w:style w:type="paragraph" w:styleId="719">
    <w:name w:val="Heading 5"/>
    <w:basedOn w:val="881"/>
    <w:next w:val="881"/>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5"/>
    <w:link w:val="719"/>
    <w:uiPriority w:val="9"/>
    <w:rPr>
      <w:rFonts w:ascii="Arial" w:hAnsi="Arial" w:eastAsia="Arial" w:cs="Arial"/>
      <w:b/>
      <w:bCs/>
      <w:sz w:val="24"/>
      <w:szCs w:val="24"/>
    </w:rPr>
  </w:style>
  <w:style w:type="paragraph" w:styleId="721">
    <w:name w:val="Heading 6"/>
    <w:basedOn w:val="881"/>
    <w:next w:val="881"/>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5"/>
    <w:link w:val="721"/>
    <w:uiPriority w:val="9"/>
    <w:rPr>
      <w:rFonts w:ascii="Arial" w:hAnsi="Arial" w:eastAsia="Arial" w:cs="Arial"/>
      <w:b/>
      <w:bCs/>
      <w:sz w:val="22"/>
      <w:szCs w:val="22"/>
    </w:rPr>
  </w:style>
  <w:style w:type="paragraph" w:styleId="723">
    <w:name w:val="Heading 7"/>
    <w:basedOn w:val="881"/>
    <w:next w:val="881"/>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5"/>
    <w:link w:val="723"/>
    <w:uiPriority w:val="9"/>
    <w:rPr>
      <w:rFonts w:ascii="Arial" w:hAnsi="Arial" w:eastAsia="Arial" w:cs="Arial"/>
      <w:b/>
      <w:bCs/>
      <w:i/>
      <w:iCs/>
      <w:sz w:val="22"/>
      <w:szCs w:val="22"/>
    </w:rPr>
  </w:style>
  <w:style w:type="paragraph" w:styleId="725">
    <w:name w:val="Heading 8"/>
    <w:basedOn w:val="881"/>
    <w:next w:val="881"/>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5"/>
    <w:link w:val="725"/>
    <w:uiPriority w:val="9"/>
    <w:rPr>
      <w:rFonts w:ascii="Arial" w:hAnsi="Arial" w:eastAsia="Arial" w:cs="Arial"/>
      <w:i/>
      <w:iCs/>
      <w:sz w:val="22"/>
      <w:szCs w:val="22"/>
    </w:rPr>
  </w:style>
  <w:style w:type="paragraph" w:styleId="727">
    <w:name w:val="Heading 9"/>
    <w:basedOn w:val="881"/>
    <w:next w:val="881"/>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5"/>
    <w:link w:val="727"/>
    <w:uiPriority w:val="9"/>
    <w:rPr>
      <w:rFonts w:ascii="Arial" w:hAnsi="Arial" w:eastAsia="Arial" w:cs="Arial"/>
      <w:i/>
      <w:iCs/>
      <w:sz w:val="21"/>
      <w:szCs w:val="21"/>
    </w:rPr>
  </w:style>
  <w:style w:type="paragraph" w:styleId="729">
    <w:name w:val="Title"/>
    <w:basedOn w:val="881"/>
    <w:next w:val="881"/>
    <w:link w:val="730"/>
    <w:uiPriority w:val="10"/>
    <w:qFormat/>
    <w:pPr>
      <w:contextualSpacing/>
      <w:spacing w:before="300" w:after="200"/>
    </w:pPr>
    <w:rPr>
      <w:sz w:val="48"/>
      <w:szCs w:val="48"/>
    </w:rPr>
  </w:style>
  <w:style w:type="character" w:styleId="730">
    <w:name w:val="Title Char"/>
    <w:basedOn w:val="885"/>
    <w:link w:val="729"/>
    <w:uiPriority w:val="10"/>
    <w:rPr>
      <w:sz w:val="48"/>
      <w:szCs w:val="48"/>
    </w:rPr>
  </w:style>
  <w:style w:type="paragraph" w:styleId="731">
    <w:name w:val="Subtitle"/>
    <w:basedOn w:val="881"/>
    <w:next w:val="881"/>
    <w:link w:val="732"/>
    <w:uiPriority w:val="11"/>
    <w:qFormat/>
    <w:pPr>
      <w:spacing w:before="200" w:after="200"/>
    </w:pPr>
    <w:rPr>
      <w:sz w:val="24"/>
      <w:szCs w:val="24"/>
    </w:rPr>
  </w:style>
  <w:style w:type="character" w:styleId="732">
    <w:name w:val="Subtitle Char"/>
    <w:basedOn w:val="885"/>
    <w:link w:val="731"/>
    <w:uiPriority w:val="11"/>
    <w:rPr>
      <w:sz w:val="24"/>
      <w:szCs w:val="24"/>
    </w:rPr>
  </w:style>
  <w:style w:type="paragraph" w:styleId="733">
    <w:name w:val="Quote"/>
    <w:basedOn w:val="881"/>
    <w:next w:val="881"/>
    <w:link w:val="734"/>
    <w:uiPriority w:val="29"/>
    <w:qFormat/>
    <w:pPr>
      <w:ind w:left="720" w:right="720"/>
    </w:pPr>
    <w:rPr>
      <w:i/>
    </w:rPr>
  </w:style>
  <w:style w:type="character" w:styleId="734">
    <w:name w:val="Quote Char"/>
    <w:link w:val="733"/>
    <w:uiPriority w:val="29"/>
    <w:rPr>
      <w:i/>
    </w:rPr>
  </w:style>
  <w:style w:type="paragraph" w:styleId="735">
    <w:name w:val="Intense Quote"/>
    <w:basedOn w:val="881"/>
    <w:next w:val="881"/>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5"/>
    <w:link w:val="898"/>
    <w:uiPriority w:val="99"/>
  </w:style>
  <w:style w:type="character" w:styleId="738">
    <w:name w:val="Footer Char"/>
    <w:basedOn w:val="885"/>
    <w:link w:val="897"/>
    <w:uiPriority w:val="99"/>
  </w:style>
  <w:style w:type="paragraph" w:styleId="739">
    <w:name w:val="Caption"/>
    <w:basedOn w:val="881"/>
    <w:next w:val="881"/>
    <w:uiPriority w:val="35"/>
    <w:semiHidden/>
    <w:unhideWhenUsed/>
    <w:qFormat/>
    <w:pPr>
      <w:spacing w:line="276" w:lineRule="auto"/>
    </w:pPr>
    <w:rPr>
      <w:b/>
      <w:bCs/>
      <w:color w:val="4f81bd" w:themeColor="accent1"/>
      <w:sz w:val="18"/>
      <w:szCs w:val="18"/>
    </w:rPr>
  </w:style>
  <w:style w:type="character" w:styleId="740">
    <w:name w:val="Caption Char"/>
    <w:basedOn w:val="739"/>
    <w:link w:val="897"/>
    <w:uiPriority w:val="99"/>
  </w:style>
  <w:style w:type="table" w:styleId="741">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7">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8">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9">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0">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1">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2">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3">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4">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5">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6">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7">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9">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0">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1">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2">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3">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4">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3">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4">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5">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6">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7">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8">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0">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1">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2">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3">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4">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5">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4">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8">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1"/>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5"/>
    <w:uiPriority w:val="99"/>
    <w:unhideWhenUsed/>
    <w:rPr>
      <w:vertAlign w:val="superscript"/>
    </w:rPr>
  </w:style>
  <w:style w:type="paragraph" w:styleId="869">
    <w:name w:val="endnote text"/>
    <w:basedOn w:val="881"/>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5"/>
    <w:uiPriority w:val="99"/>
    <w:semiHidden/>
    <w:unhideWhenUsed/>
    <w:rPr>
      <w:vertAlign w:val="superscript"/>
    </w:r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7"/>
    <w:uiPriority w:val="0"/>
    <w:qFormat/>
    <w:pPr>
      <w:jc w:val="both"/>
      <w:widowControl w:val="off"/>
    </w:pPr>
    <w:rPr>
      <w:rFonts w:ascii="Calibri" w:hAnsi="Calibri" w:eastAsia="宋体" w:cs="Times New Roman"/>
      <w:sz w:val="21"/>
      <w:szCs w:val="22"/>
      <w:lang w:val="en-US" w:eastAsia="zh-CN" w:bidi="ar-SA"/>
    </w:rPr>
  </w:style>
  <w:style w:type="paragraph" w:styleId="882">
    <w:name w:val="Heading 1"/>
    <w:basedOn w:val="881"/>
    <w:next w:val="881"/>
    <w:uiPriority w:val="9"/>
    <w:qFormat/>
    <w:pPr>
      <w:keepLines/>
      <w:keepNext/>
      <w:spacing w:before="340" w:after="330" w:line="578" w:lineRule="auto"/>
      <w:outlineLvl w:val="0"/>
    </w:pPr>
    <w:rPr>
      <w:b/>
      <w:bCs/>
      <w:sz w:val="44"/>
      <w:szCs w:val="44"/>
    </w:rPr>
  </w:style>
  <w:style w:type="paragraph" w:styleId="883">
    <w:name w:val="Heading 2"/>
    <w:basedOn w:val="881"/>
    <w:next w:val="8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name w:val="Heading 3"/>
    <w:basedOn w:val="881"/>
    <w:next w:val="881"/>
    <w:uiPriority w:val="0"/>
    <w:qFormat/>
    <w:pPr>
      <w:keepLines/>
      <w:keepNext/>
      <w:spacing w:before="260" w:after="260" w:line="416" w:lineRule="auto"/>
      <w:outlineLvl w:val="2"/>
    </w:pPr>
    <w:rPr>
      <w:b/>
      <w:bCs/>
      <w:sz w:val="32"/>
      <w:szCs w:val="32"/>
    </w:rPr>
  </w:style>
  <w:style w:type="character" w:styleId="885" w:default="1">
    <w:name w:val="Default Paragraph Font"/>
    <w:uiPriority w:val="1"/>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List Bullet 2"/>
    <w:basedOn w:val="881"/>
    <w:uiPriority w:val="0"/>
    <w:qFormat/>
    <w:pPr>
      <w:numPr>
        <w:ilvl w:val="0"/>
        <w:numId w:val="1"/>
      </w:numPr>
    </w:pPr>
  </w:style>
  <w:style w:type="paragraph" w:styleId="888">
    <w:name w:val="Normal Indent"/>
    <w:basedOn w:val="881"/>
    <w:next w:val="881"/>
    <w:uiPriority w:val="0"/>
    <w:unhideWhenUsed/>
    <w:qFormat/>
    <w:pPr>
      <w:ind w:firstLine="420"/>
    </w:pPr>
  </w:style>
  <w:style w:type="paragraph" w:styleId="889">
    <w:name w:val="annotation text"/>
    <w:basedOn w:val="881"/>
    <w:link w:val="930"/>
    <w:uiPriority w:val="0"/>
    <w:qFormat/>
    <w:pPr>
      <w:jc w:val="left"/>
    </w:pPr>
  </w:style>
  <w:style w:type="paragraph" w:styleId="890">
    <w:name w:val="Body Text"/>
    <w:basedOn w:val="881"/>
    <w:next w:val="888"/>
    <w:uiPriority w:val="0"/>
    <w:qFormat/>
    <w:rPr>
      <w:rFonts w:ascii="楷体_GB2312" w:hAnsi="Arial" w:eastAsia="楷体_GB2312"/>
      <w:sz w:val="28"/>
      <w:szCs w:val="28"/>
    </w:rPr>
  </w:style>
  <w:style w:type="paragraph" w:styleId="891">
    <w:name w:val="Body Text Indent"/>
    <w:basedOn w:val="881"/>
    <w:next w:val="892"/>
    <w:uiPriority w:val="0"/>
    <w:qFormat/>
    <w:pPr>
      <w:ind w:left="420"/>
      <w:spacing w:after="120"/>
    </w:pPr>
    <w:rPr>
      <w:rFonts w:ascii="等线" w:hAnsi="等线" w:eastAsia="等线"/>
    </w:rPr>
  </w:style>
  <w:style w:type="paragraph" w:styleId="892">
    <w:name w:val="envelope return"/>
    <w:basedOn w:val="881"/>
    <w:uiPriority w:val="99"/>
    <w:unhideWhenUsed/>
    <w:qFormat/>
    <w:rPr>
      <w:rFonts w:ascii="Arial" w:hAnsi="Arial"/>
    </w:rPr>
  </w:style>
  <w:style w:type="paragraph" w:styleId="893">
    <w:name w:val="index 4"/>
    <w:basedOn w:val="881"/>
    <w:next w:val="881"/>
    <w:uiPriority w:val="99"/>
    <w:unhideWhenUsed/>
    <w:qFormat/>
    <w:pPr>
      <w:ind w:left="600"/>
    </w:pPr>
    <w:rPr>
      <w:rFonts w:ascii="Verdana" w:hAnsi="Verdana"/>
      <w:szCs w:val="20"/>
    </w:rPr>
  </w:style>
  <w:style w:type="paragraph" w:styleId="894">
    <w:name w:val="Plain Text"/>
    <w:basedOn w:val="881"/>
    <w:uiPriority w:val="99"/>
    <w:qFormat/>
    <w:rPr>
      <w:rFonts w:ascii="宋体" w:hAnsi="Courier New"/>
      <w:sz w:val="20"/>
      <w:szCs w:val="21"/>
    </w:rPr>
  </w:style>
  <w:style w:type="paragraph" w:styleId="895">
    <w:name w:val="Body Text Indent 2"/>
    <w:basedOn w:val="881"/>
    <w:uiPriority w:val="0"/>
    <w:qFormat/>
    <w:pPr>
      <w:ind w:left="640"/>
      <w:spacing w:after="120" w:line="480" w:lineRule="auto"/>
    </w:pPr>
    <w:rPr>
      <w:rFonts w:eastAsia="仿宋_GB2312"/>
      <w:sz w:val="32"/>
      <w:szCs w:val="28"/>
    </w:rPr>
  </w:style>
  <w:style w:type="paragraph" w:styleId="896">
    <w:name w:val="Balloon Text"/>
    <w:basedOn w:val="881"/>
    <w:link w:val="921"/>
    <w:uiPriority w:val="0"/>
    <w:qFormat/>
    <w:rPr>
      <w:sz w:val="18"/>
      <w:szCs w:val="18"/>
    </w:rPr>
  </w:style>
  <w:style w:type="paragraph" w:styleId="897">
    <w:name w:val="Footer"/>
    <w:basedOn w:val="881"/>
    <w:uiPriority w:val="99"/>
    <w:unhideWhenUsed/>
    <w:qFormat/>
    <w:pPr>
      <w:jc w:val="left"/>
      <w:tabs>
        <w:tab w:val="center" w:pos="4153" w:leader="none"/>
        <w:tab w:val="right" w:pos="8306" w:leader="none"/>
      </w:tabs>
    </w:pPr>
    <w:rPr>
      <w:sz w:val="18"/>
      <w:szCs w:val="18"/>
    </w:rPr>
  </w:style>
  <w:style w:type="paragraph" w:styleId="898">
    <w:name w:val="Header"/>
    <w:basedOn w:val="8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81"/>
    <w:next w:val="881"/>
    <w:uiPriority w:val="39"/>
    <w:unhideWhenUsed/>
    <w:qFormat/>
  </w:style>
  <w:style w:type="paragraph" w:styleId="900">
    <w:name w:val="toc 2"/>
    <w:basedOn w:val="881"/>
    <w:next w:val="881"/>
    <w:uiPriority w:val="0"/>
    <w:qFormat/>
    <w:pPr>
      <w:ind w:left="420"/>
    </w:pPr>
  </w:style>
  <w:style w:type="paragraph" w:styleId="901">
    <w:name w:val="Body Text 2"/>
    <w:basedOn w:val="881"/>
    <w:uiPriority w:val="0"/>
    <w:qFormat/>
    <w:pPr>
      <w:spacing w:after="120" w:line="480" w:lineRule="auto"/>
    </w:pPr>
  </w:style>
  <w:style w:type="paragraph" w:styleId="902">
    <w:name w:val="Message Header"/>
    <w:basedOn w:val="881"/>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3">
    <w:name w:val="Normal (Web)"/>
    <w:basedOn w:val="881"/>
    <w:uiPriority w:val="0"/>
    <w:qFormat/>
    <w:rPr>
      <w:rFonts w:ascii="Times New Roman" w:hAnsi="Times New Roman"/>
      <w:sz w:val="24"/>
    </w:rPr>
  </w:style>
  <w:style w:type="paragraph" w:styleId="904">
    <w:name w:val="annotation subject"/>
    <w:basedOn w:val="889"/>
    <w:next w:val="889"/>
    <w:link w:val="931"/>
    <w:uiPriority w:val="0"/>
    <w:qFormat/>
    <w:rPr>
      <w:b/>
      <w:bCs/>
    </w:rPr>
  </w:style>
  <w:style w:type="paragraph" w:styleId="905">
    <w:name w:val="Body Text First Indent 2"/>
    <w:basedOn w:val="891"/>
    <w:uiPriority w:val="0"/>
    <w:qFormat/>
    <w:pPr>
      <w:ind w:firstLine="420"/>
      <w:spacing w:before="100" w:beforeAutospacing="1"/>
    </w:pPr>
    <w:rPr>
      <w:rFonts w:ascii="Times New Roman" w:hAnsi="Times New Roman" w:eastAsia="宋体"/>
      <w:sz w:val="20"/>
      <w:szCs w:val="21"/>
    </w:rPr>
  </w:style>
  <w:style w:type="table" w:styleId="90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rPr>
  </w:style>
  <w:style w:type="character" w:styleId="908">
    <w:name w:val="Emphasis"/>
    <w:uiPriority w:val="0"/>
    <w:qFormat/>
    <w:rPr>
      <w:i/>
    </w:rPr>
  </w:style>
  <w:style w:type="character" w:styleId="909">
    <w:name w:val="Hyperlink"/>
    <w:basedOn w:val="885"/>
    <w:uiPriority w:val="0"/>
    <w:qFormat/>
    <w:rPr>
      <w:color w:val="0000ff"/>
      <w:u w:val="single"/>
    </w:rPr>
  </w:style>
  <w:style w:type="character" w:styleId="910">
    <w:name w:val="annotation reference"/>
    <w:basedOn w:val="885"/>
    <w:uiPriority w:val="0"/>
    <w:qFormat/>
    <w:rPr>
      <w:sz w:val="21"/>
      <w:szCs w:val="21"/>
    </w:rPr>
  </w:style>
  <w:style w:type="paragraph" w:styleId="911" w:customStyle="1">
    <w:name w:val="正文（缩进）"/>
    <w:basedOn w:val="881"/>
    <w:uiPriority w:val="0"/>
    <w:qFormat/>
    <w:pPr>
      <w:ind w:firstLine="480"/>
      <w:spacing w:before="156" w:after="156"/>
    </w:pPr>
  </w:style>
  <w:style w:type="paragraph" w:styleId="912" w:customStyle="1">
    <w:name w:val="首行缩进"/>
    <w:basedOn w:val="881"/>
    <w:uiPriority w:val="0"/>
    <w:qFormat/>
    <w:pPr>
      <w:ind w:firstLine="420"/>
      <w:spacing w:line="360" w:lineRule="auto"/>
    </w:pPr>
  </w:style>
  <w:style w:type="paragraph" w:styleId="913"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4" w:customStyle="1">
    <w:name w:val="正文1"/>
    <w:basedOn w:val="881"/>
    <w:next w:val="915"/>
    <w:uiPriority w:val="0"/>
    <w:qFormat/>
    <w:pPr>
      <w:jc w:val="left"/>
      <w:spacing w:line="360" w:lineRule="atLeast"/>
    </w:pPr>
    <w:rPr>
      <w:rFonts w:ascii="宋体" w:hAnsiTheme="minorHAnsi" w:eastAsiaTheme="minorEastAsia" w:cstheme="minorBidi"/>
      <w:sz w:val="24"/>
      <w:szCs w:val="20"/>
    </w:rPr>
  </w:style>
  <w:style w:type="paragraph" w:styleId="915" w:customStyle="1">
    <w:name w:val="正文文本1"/>
    <w:basedOn w:val="914"/>
    <w:next w:val="916"/>
    <w:uiPriority w:val="0"/>
    <w:qFormat/>
    <w:pPr>
      <w:spacing w:after="120"/>
    </w:pPr>
    <w:rPr>
      <w:lang w:eastAsia="en-US"/>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basedOn w:val="914"/>
    <w:next w:val="881"/>
    <w:uiPriority w:val="0"/>
    <w:qFormat/>
    <w:pPr>
      <w:ind w:firstLine="200"/>
      <w:widowControl/>
    </w:pPr>
    <w:rPr>
      <w:sz w:val="20"/>
    </w:rPr>
  </w:style>
  <w:style w:type="paragraph" w:styleId="919" w:customStyle="1">
    <w:name w:val="普通正文"/>
    <w:basedOn w:val="881"/>
    <w:uiPriority w:val="0"/>
    <w:qFormat/>
    <w:pPr>
      <w:ind w:firstLine="480"/>
      <w:jc w:val="left"/>
      <w:spacing w:before="120" w:after="120" w:line="360" w:lineRule="auto"/>
    </w:pPr>
    <w:rPr>
      <w:rFonts w:ascii="Arial" w:hAnsi="Arial"/>
      <w:sz w:val="24"/>
      <w:szCs w:val="24"/>
    </w:rPr>
  </w:style>
  <w:style w:type="paragraph" w:styleId="920" w:customStyle="1">
    <w:name w:val="Char"/>
    <w:basedOn w:val="881"/>
    <w:uiPriority w:val="0"/>
    <w:qFormat/>
    <w:pPr>
      <w:ind w:firstLine="200"/>
      <w:tabs>
        <w:tab w:val="left" w:pos="360" w:leader="none"/>
      </w:tabs>
    </w:pPr>
    <w:rPr>
      <w:rFonts w:ascii="Times New Roman" w:hAnsi="Times New Roman"/>
      <w:sz w:val="28"/>
      <w:szCs w:val="30"/>
    </w:rPr>
  </w:style>
  <w:style w:type="character" w:styleId="921" w:customStyle="1">
    <w:name w:val="批注框文本 字符"/>
    <w:basedOn w:val="885"/>
    <w:link w:val="896"/>
    <w:uiPriority w:val="0"/>
    <w:qFormat/>
    <w:rPr>
      <w:sz w:val="18"/>
      <w:szCs w:val="18"/>
    </w:rPr>
  </w:style>
  <w:style w:type="paragraph" w:styleId="922" w:customStyle="1">
    <w:name w:val="Table Paragraph"/>
    <w:basedOn w:val="881"/>
    <w:uiPriority w:val="1"/>
    <w:qFormat/>
    <w:rPr>
      <w:rFonts w:ascii="Noto Sans CJK JP Regular" w:hAnsi="Noto Sans CJK JP Regular" w:eastAsia="Noto Sans CJK JP Regular" w:cs="Noto Sans CJK JP Regular"/>
    </w:rPr>
  </w:style>
  <w:style w:type="paragraph" w:styleId="923" w:customStyle="1">
    <w:name w:val="正文（1）"/>
    <w:basedOn w:val="881"/>
    <w:uiPriority w:val="0"/>
    <w:qFormat/>
    <w:pPr>
      <w:numPr>
        <w:ilvl w:val="0"/>
        <w:numId w:val="2"/>
      </w:numPr>
      <w:ind w:firstLine="200"/>
    </w:pPr>
    <w:rPr>
      <w:szCs w:val="24"/>
    </w:rPr>
  </w:style>
  <w:style w:type="paragraph" w:styleId="924" w:customStyle="1">
    <w:name w:val="朱-正文"/>
    <w:basedOn w:val="881"/>
    <w:uiPriority w:val="0"/>
    <w:qFormat/>
    <w:pPr>
      <w:ind w:firstLine="200"/>
    </w:pPr>
    <w:rPr>
      <w:rFonts w:ascii="Times New Roman"/>
      <w:color w:val="000000"/>
      <w:szCs w:val="24"/>
      <w:lang w:val="en-GB"/>
    </w:rPr>
  </w:style>
  <w:style w:type="paragraph" w:styleId="925" w:customStyle="1">
    <w:name w:val="GP正文(首行缩进)"/>
    <w:basedOn w:val="881"/>
    <w:uiPriority w:val="0"/>
    <w:qFormat/>
    <w:pPr>
      <w:ind w:firstLine="480"/>
      <w:jc w:val="left"/>
    </w:pPr>
    <w:rPr>
      <w:rFonts w:ascii="Times New Roman" w:hAnsi="宋体"/>
      <w:sz w:val="24"/>
      <w:szCs w:val="24"/>
    </w:rPr>
  </w:style>
  <w:style w:type="character" w:styleId="926" w:customStyle="1">
    <w:name w:val="font71"/>
    <w:basedOn w:val="885"/>
    <w:uiPriority w:val="0"/>
    <w:qFormat/>
    <w:rPr>
      <w:rFonts w:hint="eastAsia" w:ascii="宋体" w:hAnsi="宋体" w:eastAsia="宋体" w:cs="宋体"/>
      <w:color w:val="ff0000"/>
      <w:sz w:val="21"/>
      <w:szCs w:val="21"/>
      <w:u w:val="none"/>
    </w:rPr>
  </w:style>
  <w:style w:type="character" w:styleId="927" w:customStyle="1">
    <w:name w:val="font41"/>
    <w:basedOn w:val="885"/>
    <w:uiPriority w:val="0"/>
    <w:qFormat/>
    <w:rPr>
      <w:rFonts w:hint="eastAsia" w:ascii="宋体" w:hAnsi="宋体" w:eastAsia="宋体" w:cs="宋体"/>
      <w:color w:val="000000"/>
      <w:sz w:val="21"/>
      <w:szCs w:val="21"/>
      <w:u w:val="none"/>
    </w:rPr>
  </w:style>
  <w:style w:type="paragraph" w:styleId="928">
    <w:name w:val="List Paragraph"/>
    <w:basedOn w:val="881"/>
    <w:uiPriority w:val="0"/>
    <w:qFormat/>
    <w:pPr>
      <w:ind w:firstLine="420"/>
    </w:pPr>
  </w:style>
  <w:style w:type="paragraph" w:styleId="929" w:customStyle="1">
    <w:name w:val="列出段落2"/>
    <w:basedOn w:val="881"/>
    <w:uiPriority w:val="34"/>
    <w:qFormat/>
    <w:pPr>
      <w:ind w:firstLine="420"/>
    </w:pPr>
    <w:rPr>
      <w:rFonts w:ascii="宋体"/>
      <w:color w:val="404040"/>
    </w:rPr>
  </w:style>
  <w:style w:type="character" w:styleId="930" w:customStyle="1">
    <w:name w:val="批注文字 字符"/>
    <w:basedOn w:val="885"/>
    <w:link w:val="889"/>
    <w:uiPriority w:val="0"/>
    <w:qFormat/>
    <w:rPr>
      <w:rFonts w:ascii="Calibri" w:hAnsi="Calibri"/>
      <w:sz w:val="21"/>
      <w:szCs w:val="22"/>
    </w:rPr>
  </w:style>
  <w:style w:type="character" w:styleId="931" w:customStyle="1">
    <w:name w:val="批注主题 字符"/>
    <w:basedOn w:val="930"/>
    <w:link w:val="904"/>
    <w:uiPriority w:val="0"/>
    <w:qFormat/>
    <w:rPr>
      <w:rFonts w:ascii="Calibri" w:hAnsi="Calibri"/>
      <w:b/>
      <w:bCs/>
      <w:sz w:val="21"/>
      <w:szCs w:val="22"/>
    </w:rPr>
  </w:style>
  <w:style w:type="paragraph" w:styleId="932" w:customStyle="1">
    <w:name w:val="列表段落1"/>
    <w:basedOn w:val="881"/>
    <w:uiPriority w:val="0"/>
    <w:qFormat/>
    <w:pPr>
      <w:ind w:firstLine="200"/>
    </w:pPr>
    <w:rPr>
      <w:rFonts w:cs="宋体"/>
    </w:rPr>
  </w:style>
  <w:style w:type="character" w:styleId="933" w:customStyle="1">
    <w:name w:val="font51"/>
    <w:basedOn w:val="885"/>
    <w:uiPriority w:val="0"/>
    <w:qFormat/>
    <w:rPr>
      <w:rFonts w:hint="eastAsia" w:ascii="宋体" w:hAnsi="宋体" w:eastAsia="宋体" w:cs="宋体"/>
      <w:color w:val="000000"/>
      <w:sz w:val="24"/>
      <w:szCs w:val="24"/>
      <w:u w:val="none"/>
      <w:vertAlign w:val="subscript"/>
    </w:rPr>
  </w:style>
  <w:style w:type="character" w:styleId="934" w:customStyle="1">
    <w:name w:val="font61"/>
    <w:basedOn w:val="885"/>
    <w:uiPriority w:val="0"/>
    <w:qFormat/>
    <w:rPr>
      <w:rFonts w:hint="eastAsia" w:ascii="宋体" w:hAnsi="宋体" w:eastAsia="宋体" w:cs="宋体"/>
      <w:color w:val="000000"/>
      <w:sz w:val="24"/>
      <w:szCs w:val="24"/>
      <w:u w:val="none"/>
    </w:rPr>
  </w:style>
  <w:style w:type="character" w:styleId="935" w:customStyle="1">
    <w:name w:val="font01"/>
    <w:basedOn w:val="885"/>
    <w:uiPriority w:val="0"/>
    <w:qFormat/>
    <w:rPr>
      <w:rFonts w:hint="eastAsia" w:ascii="宋体" w:hAnsi="宋体" w:eastAsia="宋体" w:cs="宋体"/>
      <w:color w:val="000000"/>
      <w:sz w:val="24"/>
      <w:szCs w:val="24"/>
      <w:u w:val="none"/>
    </w:rPr>
  </w:style>
  <w:style w:type="character" w:styleId="936" w:customStyle="1">
    <w:name w:val="font81"/>
    <w:basedOn w:val="885"/>
    <w:uiPriority w:val="0"/>
    <w:qFormat/>
    <w:rPr>
      <w:rFonts w:ascii="微软雅黑" w:hAnsi="微软雅黑" w:eastAsia="微软雅黑" w:cs="微软雅黑"/>
      <w:color w:val="000000"/>
      <w:sz w:val="24"/>
      <w:szCs w:val="24"/>
      <w:u w:val="none"/>
    </w:rPr>
  </w:style>
  <w:style w:type="character" w:styleId="937" w:customStyle="1">
    <w:name w:val="font91"/>
    <w:basedOn w:val="885"/>
    <w:uiPriority w:val="0"/>
    <w:qFormat/>
    <w:rPr>
      <w:rFonts w:ascii="Segoe UI Symbol" w:hAnsi="Segoe UI Symbol" w:eastAsia="Segoe UI Symbol" w:cs="Segoe UI Symbol"/>
      <w:color w:val="000000"/>
      <w:sz w:val="24"/>
      <w:szCs w:val="24"/>
      <w:u w:val="none"/>
    </w:rPr>
  </w:style>
  <w:style w:type="character" w:styleId="938" w:customStyle="1">
    <w:name w:val="font101"/>
    <w:basedOn w:val="885"/>
    <w:uiPriority w:val="0"/>
    <w:qFormat/>
    <w:rPr>
      <w:rFonts w:ascii="Calibri" w:hAnsi="Calibri" w:cs="Calibri"/>
      <w:color w:val="000000"/>
      <w:sz w:val="24"/>
      <w:szCs w:val="24"/>
      <w:u w:val="none"/>
    </w:rPr>
  </w:style>
  <w:style w:type="paragraph" w:styleId="939"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0" w:customStyle="1">
    <w:name w:val="TableEmphasis"/>
    <w:basedOn w:val="881"/>
    <w:uiPriority w:val="0"/>
    <w:qFormat/>
    <w:rPr>
      <w:rFonts w:ascii="Times New Roman" w:hAnsi="Times New Roman" w:eastAsia="Times New Roman"/>
      <w:b/>
      <w:bCs/>
      <w:color w:val="3333ff"/>
      <w:sz w:val="16"/>
      <w:szCs w:val="18"/>
    </w:rPr>
  </w:style>
  <w:style w:type="paragraph" w:styleId="941" w:customStyle="1">
    <w:name w:val="修订1"/>
    <w:hidden/>
    <w:uiPriority w:val="99"/>
    <w:unhideWhenUsed/>
    <w:qFormat/>
    <w:rPr>
      <w:rFonts w:ascii="Calibri" w:hAnsi="Calibri" w:eastAsia="宋体" w:cs="Times New Roman"/>
      <w:sz w:val="21"/>
      <w:szCs w:val="22"/>
      <w:lang w:val="en-US" w:eastAsia="zh-CN" w:bidi="ar-SA"/>
    </w:rPr>
  </w:style>
  <w:style w:type="paragraph" w:styleId="942" w:customStyle="1">
    <w:name w:val="修订2"/>
    <w:hidden/>
    <w:uiPriority w:val="99"/>
    <w:semiHidden/>
    <w:qFormat/>
    <w:rPr>
      <w:rFonts w:ascii="Calibri" w:hAnsi="Calibri" w:eastAsia="宋体" w:cs="Times New Roman"/>
      <w:sz w:val="21"/>
      <w:szCs w:val="22"/>
      <w:lang w:val="en-US" w:eastAsia="zh-CN" w:bidi="ar-SA"/>
    </w:rPr>
  </w:style>
  <w:style w:type="character" w:styleId="943" w:customStyle="1">
    <w:name w:val="font11"/>
    <w:basedOn w:val="885"/>
    <w:uiPriority w:val="0"/>
    <w:qFormat/>
    <w:rPr>
      <w:rFonts w:hint="eastAsia" w:ascii="宋体" w:hAnsi="宋体" w:eastAsia="宋体" w:cs="宋体"/>
      <w:color w:val="000000"/>
      <w:sz w:val="24"/>
      <w:szCs w:val="24"/>
      <w:u w:val="none"/>
    </w:rPr>
  </w:style>
  <w:style w:type="character" w:styleId="944" w:customStyle="1">
    <w:name w:val="font21"/>
    <w:basedOn w:val="885"/>
    <w:uiPriority w:val="0"/>
    <w:qFormat/>
    <w:rPr>
      <w:rFonts w:ascii="Segoe UI Symbol" w:hAnsi="Segoe UI Symbol" w:eastAsia="Segoe UI Symbol" w:cs="Segoe UI Symbol"/>
      <w:color w:val="000000"/>
      <w:sz w:val="24"/>
      <w:szCs w:val="24"/>
      <w:u w:val="none"/>
    </w:rPr>
  </w:style>
  <w:style w:type="character" w:styleId="945" w:customStyle="1">
    <w:name w:val="NormalCharacter"/>
    <w:uiPriority w:val="0"/>
    <w:semiHidden/>
    <w:qFormat/>
  </w:style>
  <w:style w:type="paragraph" w:styleId="946" w:customStyle="1">
    <w:name w:val="日期1"/>
    <w:basedOn w:val="881"/>
    <w:next w:val="881"/>
    <w:uiPriority w:val="0"/>
    <w:qFormat/>
    <w:pPr>
      <w:ind w:left="100"/>
    </w:pPr>
    <w:rPr>
      <w:rFonts w:ascii="Times New Roman" w:hAnsi="Times New Roman" w:eastAsia="楷体_GB2312"/>
      <w:b/>
      <w:bCs/>
      <w:sz w:val="32"/>
    </w:rPr>
  </w:style>
  <w:style w:type="paragraph" w:styleId="947" w:customStyle="1">
    <w:name w:val="正文文本缩进1"/>
    <w:basedOn w:val="881"/>
    <w:next w:val="948"/>
    <w:uiPriority w:val="0"/>
    <w:qFormat/>
    <w:pPr>
      <w:ind w:left="420"/>
      <w:spacing w:after="120"/>
    </w:pPr>
    <w:rPr>
      <w:rFonts w:ascii="Times New Roman" w:hAnsi="Times New Roman"/>
      <w:sz w:val="20"/>
      <w:szCs w:val="24"/>
    </w:rPr>
  </w:style>
  <w:style w:type="paragraph" w:styleId="948" w:customStyle="1">
    <w:name w:val="寄信人地址1"/>
    <w:basedOn w:val="881"/>
    <w:uiPriority w:val="0"/>
    <w:qFormat/>
    <w:rPr>
      <w:rFonts w:ascii="Arial" w:hAnsi="Arial"/>
    </w:rPr>
  </w:style>
  <w:style w:type="paragraph" w:styleId="949" w:customStyle="1">
    <w:name w:val="BodyText"/>
    <w:basedOn w:val="881"/>
    <w:uiPriority w:val="0"/>
    <w:qFormat/>
    <w:rPr>
      <w:rFonts w:ascii="楷体_GB2312" w:hAnsi="Arial" w:eastAsia="楷体_GB2312"/>
      <w:sz w:val="28"/>
      <w:szCs w:val="28"/>
    </w:rPr>
  </w:style>
  <w:style w:type="paragraph" w:styleId="950" w:customStyle="1">
    <w:name w:val="UserStyle_0"/>
    <w:basedOn w:val="881"/>
    <w:uiPriority w:val="0"/>
    <w:qFormat/>
    <w:pPr>
      <w:numPr>
        <w:ilvl w:val="0"/>
        <w:numId w:val="3"/>
      </w:numPr>
    </w:pPr>
  </w:style>
  <w:style w:type="character" w:styleId="951" w:customStyle="1">
    <w:name w:val="htd0"/>
    <w:uiPriority w:val="0"/>
    <w:qFormat/>
  </w:style>
  <w:style w:type="paragraph" w:styleId="952"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3" w:customStyle="1">
    <w:name w:val="样式11"/>
    <w:basedOn w:val="882"/>
    <w:uiPriority w:val="0"/>
    <w:qFormat/>
    <w:pPr>
      <w:numPr>
        <w:ilvl w:val="0"/>
        <w:numId w:val="4"/>
      </w:numPr>
      <w:jc w:val="left"/>
      <w:spacing w:before="0" w:after="0"/>
    </w:pPr>
    <w:rPr>
      <w:rFonts w:ascii="黑体" w:hAnsi="黑体" w:eastAsia="黑体"/>
      <w:sz w:val="28"/>
      <w:szCs w:val="28"/>
      <w:lang w:val="zh-CN"/>
    </w:rPr>
  </w:style>
  <w:style w:type="paragraph" w:styleId="954" w:customStyle="1">
    <w:name w:val="样式12"/>
    <w:basedOn w:val="953"/>
    <w:uiPriority w:val="0"/>
    <w:qFormat/>
    <w:pPr>
      <w:numPr>
        <w:ilvl w:val="1"/>
      </w:numPr>
      <w:tabs>
        <w:tab w:val="left" w:pos="567" w:leader="none"/>
      </w:tabs>
      <w:outlineLvl w:val="1"/>
    </w:pPr>
  </w:style>
  <w:style w:type="paragraph" w:styleId="955" w:customStyle="1">
    <w:name w:val="表11"/>
    <w:basedOn w:val="881"/>
    <w:uiPriority w:val="0"/>
    <w:qFormat/>
    <w:pPr>
      <w:jc w:val="center"/>
      <w:tabs>
        <w:tab w:val="left" w:pos="4020" w:leader="none"/>
      </w:tabs>
    </w:pPr>
    <w:rPr>
      <w:rFonts w:ascii="黑体" w:hAnsi="黑体"/>
      <w:szCs w:val="24"/>
      <w:lang w:val="zh-CN"/>
    </w:rPr>
  </w:style>
  <w:style w:type="paragraph" w:styleId="956" w:customStyle="1">
    <w:name w:val="样式13"/>
    <w:basedOn w:val="954"/>
    <w:uiPriority w:val="0"/>
    <w:qFormat/>
    <w:pPr>
      <w:numPr>
        <w:ilvl w:val="2"/>
      </w:numPr>
      <w:ind w:left="510" w:hanging="170"/>
      <w:outlineLvl w:val="2"/>
    </w:pPr>
    <w:rPr>
      <w:sz w:val="24"/>
    </w:rPr>
  </w:style>
  <w:style w:type="paragraph" w:styleId="95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8" w:customStyle="1">
    <w:name w:val="其他"/>
    <w:basedOn w:val="881"/>
    <w:uiPriority w:val="0"/>
    <w:qFormat/>
    <w:pPr>
      <w:spacing w:line="266" w:lineRule="exact"/>
      <w:shd w:val="clear" w:color="auto" w:fill="ffffff"/>
    </w:pPr>
    <w:rPr>
      <w:rFonts w:ascii="MingLiU" w:hAnsi="MingLiU" w:eastAsia="MingLiU" w:cs="MingLiU"/>
      <w:sz w:val="20"/>
      <w:szCs w:val="20"/>
      <w:lang w:val="zh-CN" w:bidi="zh-CN"/>
    </w:rPr>
  </w:style>
  <w:style w:type="paragraph" w:styleId="959" w:customStyle="1">
    <w:name w:val="Body text|1"/>
    <w:basedOn w:val="881"/>
    <w:uiPriority w:val="0"/>
    <w:qFormat/>
    <w:pPr>
      <w:spacing w:after="220"/>
    </w:pPr>
    <w:rPr>
      <w:rFonts w:cs="宋体"/>
      <w:sz w:val="22"/>
      <w:lang w:val="zh-TW" w:eastAsia="zh-TW" w:bidi="zh-TW"/>
    </w:rPr>
  </w:style>
  <w:style w:type="paragraph" w:styleId="960" w:customStyle="1">
    <w:name w:val="Other|1"/>
    <w:basedOn w:val="881"/>
    <w:uiPriority w:val="0"/>
    <w:qFormat/>
    <w:pPr>
      <w:jc w:val="center"/>
    </w:pPr>
    <w:rPr>
      <w:rFonts w:cs="宋体"/>
      <w:sz w:val="20"/>
      <w:szCs w:val="20"/>
      <w:lang w:val="zh-TW" w:eastAsia="zh-TW" w:bidi="zh-TW"/>
    </w:rPr>
  </w:style>
  <w:style w:type="paragraph" w:styleId="961" w:customStyle="1">
    <w:name w:val="Table Text"/>
    <w:basedOn w:val="881"/>
    <w:uiPriority w:val="0"/>
    <w:semiHidden/>
    <w:qFormat/>
    <w:rPr>
      <w:rFonts w:ascii="宋体" w:hAnsi="宋体" w:cs="宋体"/>
      <w:sz w:val="24"/>
      <w:szCs w:val="24"/>
      <w:lang w:eastAsia="en-US"/>
    </w:rPr>
  </w:style>
  <w:style w:type="paragraph" w:styleId="962"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3" w:customStyle="1">
    <w:name w:val="纯文本1"/>
    <w:basedOn w:val="881"/>
    <w:uiPriority w:val="99"/>
    <w:qFormat/>
    <w:rPr>
      <w:rFonts w:ascii="宋体" w:hAnsi="Courier New"/>
      <w:sz w:val="20"/>
      <w:szCs w:val="21"/>
    </w:rPr>
  </w:style>
  <w:style w:type="paragraph" w:styleId="964" w:customStyle="1">
    <w:name w:val="2"/>
    <w:next w:val="881"/>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5" w:customStyle="1">
    <w:name w:val="正文首行缩进 21"/>
    <w:basedOn w:val="947"/>
    <w:next w:val="966"/>
    <w:uiPriority w:val="0"/>
    <w:qFormat/>
    <w:pPr>
      <w:ind w:firstLine="420"/>
    </w:pPr>
  </w:style>
  <w:style w:type="paragraph" w:styleId="966" w:customStyle="1">
    <w:name w:val="正文首行缩进1"/>
    <w:basedOn w:val="967"/>
    <w:next w:val="881"/>
    <w:uiPriority w:val="0"/>
    <w:qFormat/>
    <w:pPr>
      <w:ind w:firstLine="425"/>
      <w:spacing w:before="100" w:after="100" w:line="360" w:lineRule="atLeast"/>
    </w:pPr>
    <w:rPr>
      <w:rFonts w:ascii="Times New Roman" w:hAnsi="Times New Roman" w:eastAsia="宋体"/>
    </w:rPr>
  </w:style>
  <w:style w:type="paragraph" w:styleId="967" w:customStyle="1">
    <w:name w:val="正文文本11"/>
    <w:basedOn w:val="881"/>
    <w:next w:val="881"/>
    <w:uiPriority w:val="99"/>
    <w:unhideWhenUsed/>
    <w:qFormat/>
    <w:rPr>
      <w:rFonts w:ascii="楷体_GB2312" w:hAnsi="Arial" w:eastAsia="楷体_GB2312"/>
      <w:sz w:val="28"/>
      <w:szCs w:val="28"/>
    </w:rPr>
  </w:style>
  <w:style w:type="paragraph" w:styleId="968" w:customStyle="1">
    <w:name w:val="正文空2格  1."/>
    <w:basedOn w:val="881"/>
    <w:uiPriority w:val="0"/>
    <w:qFormat/>
    <w:pPr>
      <w:ind w:firstLine="480"/>
    </w:pPr>
    <w:rPr>
      <w:rFonts w:cs="宋体"/>
      <w:sz w:val="28"/>
      <w:szCs w:val="20"/>
    </w:rPr>
  </w:style>
  <w:style w:type="character" w:styleId="969" w:customStyle="1">
    <w:name w:val="要点1"/>
    <w:uiPriority w:val="0"/>
    <w:qFormat/>
    <w:rPr>
      <w:rFonts w:ascii="Times New Roman" w:hAnsi="Times New Roman" w:eastAsia="宋体" w:cs="Times New Roman"/>
      <w:sz w:val="21"/>
      <w:szCs w:val="22"/>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7</cp:revision>
  <dcterms:created xsi:type="dcterms:W3CDTF">2023-11-29T03:36:00Z</dcterms:created>
  <dcterms:modified xsi:type="dcterms:W3CDTF">2026-05-18T07:17:24Z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75767C2485CD46C69675FB4F9426E320_13</vt:lpwstr>
  </property>
  <property fmtid="{D5CDD505-2E9C-101B-9397-08002B2CF9AE}" pid="4" name="KSOTemplateDocerSaveRecord">
    <vt:lpwstr>eyJoZGlkIjoiMDYwN2NkZDAzMTBkNTllNGY2YWY0NzczNWEwMjM1OWIiLCJ1c2VySWQiOiIzMDc2NjU2NDYifQ==</vt:lpwstr>
  </property>
</Properties>
</file>