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firstLine="0"/>
        <w:rPr>
          <w:rFonts w:hint="eastAsia" w:eastAsia="黑体"/>
          <w:b/>
          <w:bCs/>
          <w:sz w:val="84"/>
        </w:rPr>
      </w:pPr>
      <w:r>
        <w:rPr>
          <w:rFonts w:hint="eastAsia" w:eastAsia="黑体"/>
          <w:b/>
          <w:bCs/>
          <w:sz w:val="84"/>
        </w:rPr>
      </w:r>
      <w:r/>
    </w:p>
    <w:p>
      <w:pPr>
        <w:pStyle w:val="740"/>
        <w:ind w:firstLine="0"/>
        <w:rPr>
          <w:rFonts w:hint="eastAsia" w:eastAsia="黑体"/>
          <w:b/>
          <w:bCs/>
          <w:sz w:val="84"/>
        </w:rPr>
      </w:pPr>
      <w:r>
        <w:rPr>
          <w:rFonts w:hint="eastAsia" w:eastAsia="黑体"/>
          <w:b/>
          <w:bCs/>
          <w:sz w:val="84"/>
        </w:rPr>
      </w:r>
      <w:r/>
    </w:p>
    <w:p>
      <w:pPr>
        <w:pStyle w:val="74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0"/>
        <w:ind w:firstLine="2249"/>
        <w:rPr>
          <w:rFonts w:hint="eastAsia"/>
          <w:b/>
          <w:bCs/>
          <w:sz w:val="32"/>
        </w:rPr>
      </w:pPr>
      <w:r>
        <w:rPr>
          <w:rFonts w:hint="eastAsia"/>
          <w:b/>
          <w:bCs/>
          <w:sz w:val="32"/>
        </w:rPr>
      </w:r>
      <w:r/>
    </w:p>
    <w:p>
      <w:pPr>
        <w:pStyle w:val="740"/>
        <w:ind w:firstLine="2249"/>
        <w:rPr>
          <w:rFonts w:hint="eastAsia"/>
          <w:b/>
          <w:bCs/>
          <w:sz w:val="32"/>
        </w:rPr>
      </w:pPr>
      <w:r>
        <w:rPr>
          <w:rFonts w:hint="eastAsia"/>
          <w:b/>
          <w:bCs/>
          <w:sz w:val="32"/>
        </w:rPr>
      </w:r>
      <w:r/>
    </w:p>
    <w:p>
      <w:pPr>
        <w:pStyle w:val="740"/>
        <w:ind w:firstLine="2249"/>
        <w:rPr>
          <w:rFonts w:hint="eastAsia"/>
          <w:b/>
          <w:bCs/>
          <w:sz w:val="32"/>
        </w:rPr>
      </w:pPr>
      <w:r>
        <w:rPr>
          <w:rFonts w:hint="eastAsia"/>
          <w:b/>
          <w:bCs/>
          <w:sz w:val="32"/>
        </w:rPr>
      </w:r>
      <w:r/>
    </w:p>
    <w:p>
      <w:pPr>
        <w:pStyle w:val="740"/>
        <w:ind w:firstLine="2249"/>
        <w:rPr>
          <w:rFonts w:hint="eastAsia"/>
          <w:b/>
          <w:bCs/>
          <w:sz w:val="32"/>
        </w:rPr>
      </w:pPr>
      <w:r>
        <w:rPr>
          <w:rFonts w:hint="eastAsia"/>
          <w:b/>
          <w:bCs/>
          <w:sz w:val="32"/>
        </w:rPr>
      </w:r>
      <w:r/>
    </w:p>
    <w:p>
      <w:pPr>
        <w:pStyle w:val="740"/>
        <w:ind w:firstLine="964"/>
        <w:rPr>
          <w:rFonts w:hint="eastAsia"/>
          <w:b/>
          <w:bCs/>
          <w:sz w:val="32"/>
          <w:u w:val="single"/>
        </w:rPr>
      </w:pPr>
      <w:r>
        <w:rPr>
          <w:rFonts w:hint="eastAsia"/>
          <w:b/>
          <w:bCs/>
          <w:sz w:val="32"/>
        </w:rPr>
        <w:t xml:space="preserve">项目名称：</w:t>
      </w:r>
      <w:r>
        <w:rPr>
          <w:rFonts w:hint="eastAsia"/>
          <w:b/>
          <w:bCs/>
          <w:sz w:val="32"/>
          <w:u w:val="single"/>
        </w:rPr>
        <w:t xml:space="preserve">江苏省地下水智能化信息平台建设</w:t>
      </w:r>
      <w:r>
        <w:rPr>
          <w:rFonts w:hint="eastAsia"/>
          <w:b/>
          <w:bCs/>
          <w:sz w:val="32"/>
          <w:u w:val="single"/>
        </w:rPr>
      </w:r>
      <w:r/>
    </w:p>
    <w:p>
      <w:pPr>
        <w:pStyle w:val="653"/>
        <w:ind w:firstLine="964"/>
        <w:rPr>
          <w:b/>
          <w:sz w:val="30"/>
          <w:szCs w:val="30"/>
        </w:rPr>
      </w:pPr>
      <w:r>
        <w:rPr>
          <w:rFonts w:hint="eastAsia"/>
          <w:b/>
          <w:bCs/>
          <w:sz w:val="32"/>
        </w:rPr>
        <w:t xml:space="preserve">采购编号：</w:t>
      </w:r>
      <w:r>
        <w:rPr>
          <w:rFonts w:hint="eastAsia" w:ascii="Arial" w:hAnsi="Arial"/>
          <w:b/>
          <w:bCs/>
          <w:sz w:val="32"/>
          <w:szCs w:val="24"/>
        </w:rPr>
        <w:t xml:space="preserve">JSZC-320000-SCZX-G2026-0106</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653"/>
        <w:ind w:left="2811" w:hanging="2811"/>
        <w:jc w:val="center"/>
        <w:rPr>
          <w:rFonts w:hint="eastAsia"/>
          <w:b/>
          <w:color w:val="ff0000"/>
          <w:sz w:val="28"/>
          <w:szCs w:val="28"/>
        </w:rPr>
      </w:pPr>
      <w:r>
        <w:rPr>
          <w:rFonts w:hint="eastAsia"/>
          <w:b/>
          <w:color w:val="ff0000"/>
          <w:sz w:val="28"/>
          <w:szCs w:val="28"/>
        </w:rPr>
      </w:r>
      <w:r/>
    </w:p>
    <w:p>
      <w:pPr>
        <w:pStyle w:val="740"/>
        <w:ind w:firstLine="0"/>
        <w:spacing w:before="0" w:after="0"/>
        <w:rPr>
          <w:rFonts w:hint="eastAsia" w:ascii="宋体" w:hAnsi="宋体"/>
        </w:rPr>
      </w:pPr>
      <w:r>
        <w:rPr>
          <w:rFonts w:hint="eastAsia" w:ascii="宋体" w:hAnsi="宋体"/>
        </w:rPr>
      </w:r>
      <w:r/>
    </w:p>
    <w:p>
      <w:pPr>
        <w:pStyle w:val="740"/>
        <w:ind w:firstLine="0"/>
        <w:spacing w:before="0" w:after="0"/>
        <w:rPr>
          <w:rFonts w:hint="eastAsia" w:ascii="宋体" w:hAnsi="宋体"/>
        </w:rPr>
      </w:pPr>
      <w:r>
        <w:rPr>
          <w:rFonts w:hint="eastAsia" w:ascii="宋体" w:hAnsi="宋体"/>
        </w:rPr>
      </w:r>
      <w:r/>
    </w:p>
    <w:p>
      <w:pPr>
        <w:pStyle w:val="740"/>
        <w:ind w:firstLine="0"/>
        <w:spacing w:before="0" w:after="0"/>
        <w:rPr>
          <w:rFonts w:hint="eastAsia" w:ascii="宋体" w:hAnsi="宋体"/>
        </w:rPr>
      </w:pPr>
      <w:r>
        <w:rPr>
          <w:rFonts w:hint="eastAsia" w:ascii="宋体" w:hAnsi="宋体"/>
        </w:rPr>
      </w:r>
      <w:r/>
    </w:p>
    <w:p>
      <w:pPr>
        <w:pStyle w:val="740"/>
        <w:ind w:firstLine="0"/>
        <w:spacing w:before="0" w:after="0"/>
        <w:rPr>
          <w:rFonts w:hint="eastAsia" w:ascii="宋体" w:hAnsi="宋体"/>
        </w:rPr>
      </w:pPr>
      <w:r>
        <w:rPr>
          <w:rFonts w:hint="eastAsia" w:ascii="宋体" w:hAnsi="宋体"/>
        </w:rPr>
      </w:r>
      <w:r/>
    </w:p>
    <w:p>
      <w:pPr>
        <w:pStyle w:val="740"/>
        <w:ind w:firstLine="0"/>
        <w:spacing w:before="0" w:after="0"/>
        <w:rPr>
          <w:rFonts w:hint="eastAsia" w:ascii="宋体" w:hAnsi="宋体"/>
        </w:rPr>
      </w:pPr>
      <w:r>
        <w:rPr>
          <w:rFonts w:hint="eastAsia" w:ascii="宋体" w:hAnsi="宋体"/>
        </w:rPr>
      </w:r>
      <w:r/>
    </w:p>
    <w:p>
      <w:pPr>
        <w:pStyle w:val="740"/>
        <w:ind w:firstLine="0"/>
        <w:spacing w:before="0" w:after="0"/>
        <w:rPr>
          <w:rFonts w:hint="eastAsia" w:ascii="宋体" w:hAnsi="宋体"/>
        </w:rPr>
      </w:pPr>
      <w:r>
        <w:rPr>
          <w:rFonts w:hint="eastAsia" w:ascii="宋体" w:hAnsi="宋体"/>
        </w:rPr>
      </w:r>
      <w:r/>
    </w:p>
    <w:p>
      <w:pPr>
        <w:pStyle w:val="740"/>
        <w:ind w:firstLine="0"/>
        <w:spacing w:before="0" w:after="0"/>
        <w:rPr>
          <w:rFonts w:hint="eastAsia" w:ascii="宋体" w:hAnsi="宋体"/>
        </w:rPr>
      </w:pPr>
      <w:r>
        <w:rPr>
          <w:rFonts w:hint="eastAsia" w:ascii="宋体" w:hAnsi="宋体"/>
        </w:rPr>
      </w:r>
      <w:r/>
    </w:p>
    <w:p>
      <w:pPr>
        <w:pStyle w:val="740"/>
        <w:ind w:firstLine="0"/>
        <w:jc w:val="center"/>
        <w:rPr>
          <w:rFonts w:hint="eastAsia"/>
          <w:b/>
          <w:bCs/>
          <w:sz w:val="32"/>
        </w:rPr>
      </w:pPr>
      <w:r>
        <w:rPr>
          <w:rFonts w:hint="eastAsia"/>
          <w:b/>
          <w:bCs/>
          <w:sz w:val="32"/>
        </w:rPr>
        <w:t xml:space="preserve">江苏省政府采购中心</w:t>
      </w:r>
      <w:r>
        <w:rPr>
          <w:rFonts w:hint="eastAsia"/>
          <w:b/>
          <w:bCs/>
          <w:sz w:val="32"/>
        </w:rPr>
      </w:r>
      <w:r/>
    </w:p>
    <w:p>
      <w:pPr>
        <w:pStyle w:val="740"/>
        <w:ind w:firstLine="0"/>
        <w:jc w:val="center"/>
        <w:rPr>
          <w:rFonts w:hint="eastAsia"/>
          <w:u w:val="single"/>
        </w:rPr>
      </w:pPr>
      <w:r>
        <w:rPr>
          <w:rFonts w:hint="eastAsia"/>
          <w:b/>
          <w:bCs/>
          <w:sz w:val="32"/>
        </w:rPr>
        <w:t xml:space="preserve">2026年4月</w:t>
      </w:r>
      <w:r>
        <w:rPr>
          <w:rFonts w:hint="eastAsia"/>
        </w:rPr>
        <w:t xml:space="preserve">            </w:t>
      </w:r>
      <w:r>
        <w:rPr>
          <w:rFonts w:hint="eastAsia"/>
          <w:u w:val="single"/>
        </w:rPr>
      </w:r>
      <w:r/>
    </w:p>
    <w:p>
      <w:pPr>
        <w:pStyle w:val="740"/>
        <w:ind w:firstLine="0"/>
        <w:jc w:val="center"/>
        <w:rPr>
          <w:rFonts w:hint="eastAsia"/>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rPr>
      </w:r>
      <w:r/>
    </w:p>
    <w:p>
      <w:pPr>
        <w:pStyle w:val="740"/>
        <w:ind w:firstLine="0"/>
        <w:jc w:val="center"/>
        <w:rPr>
          <w:rFonts w:hint="eastAsia"/>
        </w:rPr>
      </w:pPr>
      <w:r>
        <w:rPr>
          <w:rFonts w:hint="eastAsia"/>
        </w:rPr>
      </w:r>
      <w:r/>
    </w:p>
    <w:p>
      <w:pPr>
        <w:pStyle w:val="653"/>
        <w:jc w:val="center"/>
        <w:spacing w:line="480" w:lineRule="auto"/>
        <w:rPr>
          <w:rFonts w:hint="eastAsia" w:ascii="黑体" w:hAnsi="Arial" w:eastAsia="黑体"/>
          <w:b/>
          <w:sz w:val="44"/>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3"/>
        <w:spacing w:line="480" w:lineRule="auto"/>
        <w:rPr>
          <w:rFonts w:hint="eastAsia" w:ascii="仿宋_GB2312" w:hAnsi="Arial" w:eastAsia="仿宋_GB2312"/>
          <w:b/>
          <w:sz w:val="28"/>
        </w:rPr>
      </w:pPr>
      <w:r>
        <w:rPr>
          <w:rFonts w:hint="eastAsia" w:ascii="仿宋_GB2312" w:hAnsi="Arial" w:eastAsia="仿宋_GB2312"/>
          <w:b/>
          <w:sz w:val="28"/>
        </w:rPr>
      </w:r>
      <w:r/>
    </w:p>
    <w:p>
      <w:pPr>
        <w:pStyle w:val="65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……………………………………2 </w:t>
      </w:r>
      <w:r>
        <w:rPr>
          <w:rFonts w:hint="eastAsia" w:ascii="黑体" w:hAnsi="Showcard Gothic" w:eastAsia="黑体"/>
          <w:sz w:val="32"/>
        </w:rPr>
      </w:r>
      <w:r/>
    </w:p>
    <w:p>
      <w:pPr>
        <w:pStyle w:val="6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………………………………5  </w:t>
      </w:r>
      <w:r>
        <w:rPr>
          <w:rFonts w:hint="eastAsia" w:ascii="黑体" w:hAnsi="Showcard Gothic" w:eastAsia="黑体"/>
          <w:sz w:val="36"/>
        </w:rPr>
      </w:r>
      <w:r/>
    </w:p>
    <w:p>
      <w:pPr>
        <w:pStyle w:val="6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……………………………………14</w:t>
      </w:r>
      <w:r>
        <w:rPr>
          <w:rFonts w:hint="eastAsia" w:ascii="黑体" w:hAnsi="Showcard Gothic" w:eastAsia="黑体"/>
          <w:sz w:val="36"/>
        </w:rPr>
      </w:r>
      <w:r/>
    </w:p>
    <w:p>
      <w:pPr>
        <w:pStyle w:val="6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……………………………………17</w:t>
      </w:r>
      <w:r>
        <w:rPr>
          <w:rFonts w:hint="eastAsia" w:ascii="黑体" w:hAnsi="Showcard Gothic" w:eastAsia="黑体"/>
          <w:sz w:val="36"/>
        </w:rPr>
      </w:r>
      <w:r/>
    </w:p>
    <w:p>
      <w:pPr>
        <w:pStyle w:val="6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w:t>
      </w:r>
      <w:r>
        <w:rPr>
          <w:rFonts w:hint="eastAsia" w:ascii="黑体" w:hAnsi="Showcard Gothic" w:eastAsia="黑体"/>
          <w:sz w:val="36"/>
          <w:lang w:val="en-US" w:eastAsia="zh-CN"/>
        </w:rPr>
        <w:t xml:space="preserve">1</w:t>
      </w:r>
      <w:r>
        <w:rPr>
          <w:rFonts w:hint="eastAsia" w:ascii="黑体" w:hAnsi="Showcard Gothic" w:eastAsia="黑体"/>
          <w:sz w:val="36"/>
        </w:rPr>
      </w:r>
      <w:r/>
    </w:p>
    <w:p>
      <w:pPr>
        <w:pStyle w:val="6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w:t>
      </w:r>
      <w:r>
        <w:rPr>
          <w:rFonts w:hint="eastAsia" w:ascii="黑体" w:hAnsi="Showcard Gothic" w:eastAsia="黑体"/>
          <w:sz w:val="36"/>
          <w:lang w:val="en-US" w:eastAsia="zh-CN"/>
        </w:rPr>
        <w:t xml:space="preserve">5</w:t>
      </w:r>
      <w:r>
        <w:rPr>
          <w:rFonts w:hint="eastAsia" w:ascii="黑体" w:hAnsi="Showcard Gothic" w:eastAsia="黑体"/>
          <w:sz w:val="36"/>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53"/>
        <w:ind w:firstLine="480"/>
        <w:spacing w:line="400" w:lineRule="exact"/>
        <w:rPr>
          <w:rFonts w:ascii="宋体" w:hAnsi="宋体"/>
          <w:sz w:val="24"/>
          <w:szCs w:val="24"/>
        </w:rPr>
      </w:pPr>
      <w:r>
        <w:rPr>
          <w:rFonts w:hint="eastAsia" w:ascii="宋体" w:hAnsi="宋体"/>
          <w:sz w:val="24"/>
          <w:szCs w:val="24"/>
        </w:rPr>
        <w:t xml:space="preserve">受江苏省环境科学研究院的委托，江苏省政府采购中心就江苏省地下水智能化信息平台建设(JSZC-320000-SCZX-G2026-0106)项目进行公开招标采购，欢迎符合条件的投标人投标。</w:t>
      </w:r>
      <w:r>
        <w:rPr>
          <w:rFonts w:ascii="宋体" w:hAnsi="宋体"/>
          <w:sz w:val="24"/>
          <w:szCs w:val="24"/>
        </w:rPr>
      </w:r>
      <w:r/>
    </w:p>
    <w:p>
      <w:pPr>
        <w:pStyle w:val="65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江苏省地下水智能化信息平台建设</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年5月7日9点30分（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56"/>
        <w:ind w:firstLine="498"/>
        <w:spacing w:before="145" w:after="145" w:line="400" w:lineRule="exact"/>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653"/>
        <w:ind w:firstLine="480"/>
        <w:spacing w:line="400" w:lineRule="exact"/>
        <w:rPr>
          <w:rFonts w:ascii="宋体" w:hAnsi="宋体"/>
          <w:sz w:val="24"/>
          <w:szCs w:val="24"/>
        </w:rPr>
      </w:pPr>
      <w:r>
        <w:rPr>
          <w:rFonts w:hint="eastAsia" w:ascii="宋体" w:hAnsi="宋体"/>
          <w:sz w:val="24"/>
          <w:szCs w:val="24"/>
        </w:rPr>
        <w:t xml:space="preserve">1.采购编号：JSZC-320000-SCZX-G2026-0106 </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2.项目名称：江苏省地下水智能化信息平台建设</w:t>
      </w:r>
      <w:r>
        <w:rPr>
          <w:rFonts w:ascii="宋体" w:hAnsi="宋体"/>
          <w:sz w:val="24"/>
          <w:szCs w:val="24"/>
        </w:rPr>
      </w:r>
      <w:r/>
    </w:p>
    <w:p>
      <w:pPr>
        <w:pStyle w:val="653"/>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653"/>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53"/>
              <w:jc w:val="center"/>
              <w:spacing w:line="400" w:lineRule="exact"/>
              <w:rPr>
                <w:rFonts w:ascii="宋体" w:hAnsi="宋体"/>
              </w:rPr>
            </w:pPr>
            <w:r>
              <w:rPr>
                <w:rFonts w:hint="eastAsia" w:ascii="宋体" w:hAnsi="宋体"/>
              </w:rPr>
              <w:t xml:space="preserve">180</w:t>
            </w:r>
            <w:r>
              <w:rPr>
                <w:rFonts w:ascii="宋体" w:hAnsi="宋体"/>
              </w:rPr>
            </w:r>
            <w:r/>
          </w:p>
        </w:tc>
      </w:tr>
    </w:tbl>
    <w:p>
      <w:pPr>
        <w:pStyle w:val="653"/>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653"/>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653"/>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653"/>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653"/>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653"/>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180</w:t>
            </w:r>
            <w:r>
              <w:rPr>
                <w:rFonts w:ascii="方正魏碑_GBK" w:hAnsi="方正魏碑_GBK" w:eastAsia="方正魏碑_GBK" w:cs="方正魏碑_GBK"/>
                <w:sz w:val="24"/>
                <w:szCs w:val="24"/>
              </w:rPr>
            </w:r>
            <w:r/>
          </w:p>
        </w:tc>
      </w:tr>
    </w:tbl>
    <w:p>
      <w:pPr>
        <w:pStyle w:val="653"/>
        <w:ind w:firstLine="480"/>
        <w:spacing w:line="400" w:lineRule="exact"/>
        <w:rPr>
          <w:rFonts w:ascii="宋体" w:hAnsi="宋体"/>
          <w:sz w:val="24"/>
          <w:szCs w:val="24"/>
          <w:u w:val="single"/>
        </w:rPr>
      </w:pPr>
      <w:r>
        <w:rPr>
          <w:rFonts w:hint="eastAsia" w:ascii="宋体" w:hAnsi="宋体"/>
          <w:sz w:val="24"/>
          <w:szCs w:val="24"/>
        </w:rPr>
        <w:t xml:space="preserve">5.采购需求（简介）：本项目基于全省地下水污染源清单、环境监测网络和重点区划定等已有工作基础，开发建设江苏省地下水环境监管信息平台，并完成与江苏省生态环境智慧监管平台集成，形成集数据汇聚、业务管理、分析研判、预警提醒和成果展示于一体的省级地下水环境监管信息平台，为我省地下水污染防治、风险预警和科学决策提供有力支撑。</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3"/>
        <w:ind w:firstLine="480"/>
        <w:spacing w:line="400" w:lineRule="exact"/>
        <w:rPr>
          <w:rFonts w:ascii="宋体" w:hAnsi="宋体"/>
          <w:sz w:val="24"/>
          <w:szCs w:val="24"/>
          <w:u w:val="single"/>
        </w:rPr>
      </w:pPr>
      <w:r>
        <w:rPr>
          <w:rFonts w:hint="eastAsia" w:ascii="宋体" w:hAnsi="宋体"/>
          <w:sz w:val="24"/>
          <w:szCs w:val="24"/>
        </w:rPr>
        <w:t xml:space="preserve">6.合同履行期限：自合同签订之日起至6月30日完成全部功能开发上线。项目通过验收后，投标方须向招标方提供2年运维服务。</w:t>
      </w:r>
      <w:r>
        <w:rPr>
          <w:rFonts w:ascii="宋体" w:hAnsi="宋体"/>
          <w:sz w:val="24"/>
          <w:szCs w:val="24"/>
          <w:u w:val="single"/>
        </w:rPr>
      </w:r>
      <w:r/>
    </w:p>
    <w:p>
      <w:pPr>
        <w:pStyle w:val="656"/>
        <w:ind w:firstLine="498"/>
        <w:spacing w:before="145" w:after="145" w:line="400" w:lineRule="exact"/>
      </w:pPr>
      <w:r/>
      <w:bookmarkStart w:id="12" w:name="_Toc35393622"/>
      <w:r/>
      <w:bookmarkStart w:id="13" w:name="_Toc35393791"/>
      <w:r/>
      <w:bookmarkStart w:id="14" w:name="_Toc38985264"/>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653"/>
        <w:ind w:firstLine="480"/>
        <w:spacing w:line="400" w:lineRule="exact"/>
        <w:rPr>
          <w:rFonts w:hint="eastAsia" w:ascii="宋体" w:hAnsi="宋体"/>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5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53"/>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3.落实政府采购政策需满足的资格要求：本项目采购包</w:t>
      </w:r>
      <w:r>
        <w:rPr>
          <w:rFonts w:hint="eastAsia" w:ascii="宋体" w:hAnsi="宋体"/>
          <w:sz w:val="24"/>
          <w:szCs w:val="24"/>
          <w:lang w:val="en-US" w:eastAsia="zh-CN"/>
        </w:rPr>
        <w:t xml:space="preserve">1</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653"/>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653"/>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53"/>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653"/>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653"/>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5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53"/>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rPr>
      </w:r>
      <w:r/>
    </w:p>
    <w:p>
      <w:pPr>
        <w:pStyle w:val="656"/>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53"/>
        <w:ind w:firstLine="480"/>
        <w:spacing w:line="400" w:lineRule="exact"/>
        <w:rPr>
          <w:rFonts w:ascii="宋体" w:hAnsi="宋体"/>
          <w:bCs/>
          <w:sz w:val="24"/>
          <w:szCs w:val="24"/>
          <w:u w:val="single"/>
        </w:rPr>
      </w:pPr>
      <w:r>
        <w:rPr>
          <w:rFonts w:hint="eastAsia" w:ascii="宋体" w:hAnsi="宋体"/>
          <w:bCs/>
          <w:sz w:val="24"/>
          <w:szCs w:val="24"/>
          <w:u w:val="none"/>
        </w:rPr>
        <w:t xml:space="preserve">1.</w:t>
      </w:r>
      <w:r>
        <w:rPr>
          <w:rFonts w:hint="eastAsia" w:ascii="宋体" w:hAnsi="宋体"/>
          <w:bCs/>
          <w:sz w:val="24"/>
          <w:szCs w:val="24"/>
          <w:u w:val="single"/>
        </w:rPr>
        <w:t xml:space="preserve">202</w:t>
      </w:r>
      <w:r>
        <w:rPr>
          <w:rFonts w:hint="eastAsia" w:ascii="宋体" w:hAnsi="宋体"/>
          <w:bCs/>
          <w:color w:val="000000" w:themeColor="text1"/>
          <w:sz w:val="24"/>
          <w:szCs w:val="24"/>
          <w:u w:val="single"/>
        </w:rPr>
        <w:t xml:space="preserve">6</w:t>
      </w:r>
      <w:r>
        <w:rPr>
          <w:rFonts w:hint="eastAsia" w:ascii="宋体" w:hAnsi="宋体"/>
          <w:bCs/>
          <w:color w:val="000000" w:themeColor="text1"/>
          <w:sz w:val="24"/>
          <w:szCs w:val="24"/>
          <w:u w:val="single"/>
        </w:rPr>
        <w:t xml:space="preserve">年5月7日9点30分</w:t>
      </w:r>
      <w:r>
        <w:rPr>
          <w:rFonts w:hint="eastAsia" w:ascii="宋体" w:hAnsi="宋体"/>
          <w:bCs/>
          <w:color w:val="000000" w:themeColor="text1"/>
          <w:sz w:val="24"/>
          <w:szCs w:val="24"/>
        </w:rPr>
        <w:t xml:space="preserve">（北京时间）</w:t>
      </w:r>
      <w:r>
        <w:rPr>
          <w:rFonts w:ascii="宋体" w:hAnsi="宋体"/>
          <w:bCs/>
          <w:sz w:val="24"/>
          <w:szCs w:val="24"/>
          <w:u w:val="single"/>
        </w:rPr>
      </w:r>
      <w:r/>
    </w:p>
    <w:p>
      <w:pPr>
        <w:pStyle w:val="65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53"/>
        <w:ind w:firstLine="498"/>
        <w:keepLines/>
        <w:keepNext/>
        <w:spacing w:before="145" w:after="145" w:line="360" w:lineRule="auto"/>
        <w:rPr>
          <w:b/>
          <w:bCs/>
          <w:color w:val="000000"/>
          <w:sz w:val="32"/>
          <w:szCs w:val="32"/>
        </w:rPr>
        <w:outlineLvl w:val="2"/>
      </w:pPr>
      <w:r/>
      <w:bookmarkStart w:id="27" w:name="_Toc38985267"/>
      <w:r/>
      <w:bookmarkStart w:id="28" w:name="_Toc28359084"/>
      <w:r/>
      <w:bookmarkStart w:id="29" w:name="_Toc35393794"/>
      <w:r/>
      <w:bookmarkStart w:id="30" w:name="_Toc35393625"/>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56"/>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653"/>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56"/>
        <w:ind w:firstLine="498"/>
        <w:spacing w:before="145" w:after="145" w:line="400" w:lineRule="exact"/>
      </w:pPr>
      <w:r/>
      <w:bookmarkStart w:id="35" w:name="_Toc28359008"/>
      <w:r/>
      <w:bookmarkStart w:id="36" w:name="_Toc28359085"/>
      <w:r/>
      <w:bookmarkStart w:id="37" w:name="_Toc38985269"/>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pStyle w:val="653"/>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3"/>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江苏省环境科学研究院　</w:t>
      </w:r>
      <w:r>
        <w:rPr>
          <w:rFonts w:ascii="宋体" w:hAnsi="宋体"/>
          <w:sz w:val="24"/>
          <w:szCs w:val="24"/>
        </w:rPr>
      </w:r>
      <w:r/>
    </w:p>
    <w:p>
      <w:pPr>
        <w:pStyle w:val="653"/>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江苏省南京市鼓楼区江东北路176号　</w:t>
      </w:r>
      <w:r>
        <w:rPr>
          <w:rFonts w:ascii="宋体" w:hAnsi="宋体"/>
          <w:sz w:val="24"/>
          <w:szCs w:val="24"/>
        </w:rPr>
      </w:r>
      <w:r/>
    </w:p>
    <w:p>
      <w:pPr>
        <w:pStyle w:val="653"/>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傅老师     </w:t>
      </w:r>
      <w:r>
        <w:rPr>
          <w:rFonts w:ascii="宋体" w:hAnsi="宋体"/>
          <w:sz w:val="24"/>
          <w:szCs w:val="24"/>
        </w:rPr>
      </w:r>
      <w:r/>
    </w:p>
    <w:p>
      <w:pPr>
        <w:pStyle w:val="653"/>
        <w:ind w:left="1079" w:hanging="300"/>
        <w:jc w:val="left"/>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025-58527710　　</w:t>
      </w:r>
      <w:r>
        <w:rPr>
          <w:rFonts w:ascii="宋体" w:hAnsi="宋体"/>
          <w:sz w:val="24"/>
          <w:szCs w:val="24"/>
        </w:rPr>
      </w:r>
      <w:r/>
    </w:p>
    <w:p>
      <w:pPr>
        <w:pStyle w:val="653"/>
        <w:ind w:firstLine="787"/>
        <w:jc w:val="left"/>
        <w:spacing w:line="360" w:lineRule="auto"/>
        <w:rPr>
          <w:rFonts w:ascii="宋体" w:hAnsi="宋体"/>
          <w:sz w:val="24"/>
          <w:szCs w:val="24"/>
        </w:rPr>
      </w:pPr>
      <w:r>
        <w:rPr>
          <w:rFonts w:hint="eastAsia" w:ascii="宋体" w:hAnsi="宋体" w:cs="宋体"/>
          <w:sz w:val="24"/>
          <w:szCs w:val="24"/>
        </w:rPr>
        <w:t xml:space="preserve">2.江苏省政府采购中心信息</w:t>
      </w:r>
      <w:r>
        <w:rPr>
          <w:rFonts w:ascii="宋体" w:hAnsi="宋体"/>
          <w:sz w:val="24"/>
          <w:szCs w:val="24"/>
        </w:rPr>
      </w:r>
      <w:r/>
    </w:p>
    <w:p>
      <w:pPr>
        <w:pStyle w:val="653"/>
        <w:ind w:firstLine="787"/>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w:t>
      </w:r>
      <w:r>
        <w:rPr>
          <w:rFonts w:ascii="宋体" w:hAnsi="宋体"/>
          <w:sz w:val="24"/>
          <w:szCs w:val="24"/>
        </w:rPr>
      </w:r>
      <w:r/>
    </w:p>
    <w:p>
      <w:pPr>
        <w:pStyle w:val="653"/>
        <w:ind w:firstLine="787"/>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蔡老师、徐老师</w:t>
      </w:r>
      <w:r>
        <w:rPr>
          <w:rFonts w:hint="eastAsia" w:ascii="宋体" w:hAnsi="宋体"/>
          <w:sz w:val="24"/>
          <w:szCs w:val="24"/>
        </w:rPr>
      </w:r>
      <w:r/>
    </w:p>
    <w:p>
      <w:pPr>
        <w:pStyle w:val="653"/>
        <w:ind w:firstLine="825"/>
        <w:spacing w:line="360" w:lineRule="auto"/>
        <w:rPr>
          <w:rFonts w:ascii="宋体" w:hAnsi="宋体"/>
          <w:sz w:val="24"/>
          <w:szCs w:val="24"/>
        </w:rPr>
      </w:pPr>
      <w:r>
        <w:rPr>
          <w:rFonts w:hint="eastAsia" w:ascii="宋体" w:hAnsi="宋体"/>
          <w:sz w:val="24"/>
          <w:szCs w:val="24"/>
        </w:rPr>
        <w:t xml:space="preserve">联系方式：</w:t>
      </w:r>
      <w:bookmarkStart w:id="40" w:name="OLE_LINK2"/>
      <w:r>
        <w:rPr>
          <w:rFonts w:hint="eastAsia" w:ascii="宋体" w:hAnsi="宋体"/>
          <w:sz w:val="24"/>
          <w:szCs w:val="24"/>
          <w:u w:val="single"/>
        </w:rPr>
        <w:t xml:space="preserve">025-83668561/025-83668521</w:t>
      </w:r>
      <w:bookmarkEnd w:id="40"/>
      <w:r>
        <w:rPr>
          <w:rFonts w:ascii="宋体" w:hAnsi="宋体"/>
          <w:sz w:val="24"/>
          <w:szCs w:val="24"/>
        </w:rPr>
      </w:r>
      <w:r/>
    </w:p>
    <w:p>
      <w:pPr>
        <w:pStyle w:val="656"/>
        <w:ind w:firstLine="498"/>
        <w:spacing w:before="145" w:after="145" w:line="400" w:lineRule="exact"/>
      </w:pPr>
      <w:r>
        <w:rPr>
          <w:rFonts w:hint="eastAsia"/>
        </w:rPr>
        <w:t xml:space="preserve">八、其他</w:t>
      </w:r>
      <w:r/>
    </w:p>
    <w:p>
      <w:pPr>
        <w:pStyle w:val="653"/>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65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5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5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65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53"/>
        <w:ind w:right="840"/>
        <w:rPr>
          <w:rFonts w:ascii="宋体" w:hAnsi="宋体"/>
          <w:sz w:val="24"/>
          <w:szCs w:val="24"/>
        </w:rPr>
      </w:pPr>
      <w:r>
        <w:rPr>
          <w:rFonts w:ascii="宋体" w:hAnsi="宋体"/>
          <w:sz w:val="24"/>
          <w:szCs w:val="24"/>
        </w:rPr>
      </w:r>
      <w:r/>
    </w:p>
    <w:p>
      <w:pPr>
        <w:pStyle w:val="655"/>
        <w:ind w:firstLine="1325"/>
        <w:jc w:val="center"/>
        <w:spacing w:line="400" w:lineRule="exact"/>
        <w:rPr>
          <w:rFonts w:hint="eastAsia" w:ascii="黑体" w:eastAsia="黑体"/>
          <w:b w:val="0"/>
          <w:bCs w:val="0"/>
        </w:rPr>
      </w:pPr>
      <w:r>
        <w:rPr>
          <w:rFonts w:ascii="宋体" w:hAnsi="宋体"/>
          <w:sz w:val="24"/>
          <w:szCs w:val="24"/>
        </w:rPr>
        <w:br w:type="page" w:clear="all"/>
      </w:r>
      <w:bookmarkStart w:id="41" w:name="_Toc120614211"/>
      <w:r>
        <w:rPr>
          <w:rFonts w:hint="eastAsia" w:ascii="黑体" w:eastAsia="黑体"/>
        </w:rPr>
        <w:t xml:space="preserve">第二章  </w:t>
      </w:r>
      <w:bookmarkEnd w:id="1"/>
      <w:r/>
      <w:bookmarkEnd w:id="2"/>
      <w:r/>
      <w:bookmarkEnd w:id="3"/>
      <w:r/>
      <w:bookmarkEnd w:id="4"/>
      <w:r/>
      <w:bookmarkEnd w:id="5"/>
      <w:r/>
      <w:bookmarkEnd w:id="41"/>
      <w:r/>
      <w:bookmarkStart w:id="42" w:name="_Toc120614213"/>
      <w:r/>
      <w:bookmarkStart w:id="43" w:name="_Toc20823274"/>
      <w:r/>
      <w:bookmarkStart w:id="44" w:name="_Toc16938518"/>
      <w:r/>
      <w:bookmarkStart w:id="45" w:name="_Toc513029202"/>
      <w:r>
        <w:rPr>
          <w:rFonts w:hint="eastAsia" w:ascii="黑体" w:eastAsia="黑体"/>
        </w:rPr>
        <w:t xml:space="preserve">投标人须知</w:t>
      </w:r>
      <w:bookmarkEnd w:id="42"/>
      <w:r/>
      <w:bookmarkEnd w:id="43"/>
      <w:r/>
      <w:bookmarkEnd w:id="44"/>
      <w:r/>
      <w:bookmarkEnd w:id="45"/>
      <w:r>
        <w:rPr>
          <w:rFonts w:hint="eastAsia" w:ascii="黑体" w:eastAsia="黑体"/>
          <w:b w:val="0"/>
          <w:bCs w:val="0"/>
        </w:rPr>
      </w:r>
      <w:r/>
    </w:p>
    <w:p>
      <w:pPr>
        <w:pStyle w:val="656"/>
        <w:ind w:firstLine="498"/>
        <w:spacing w:before="145" w:after="145" w:line="400" w:lineRule="exact"/>
        <w:rPr>
          <w:rFonts w:hint="eastAsia"/>
        </w:rPr>
      </w:pPr>
      <w:r/>
      <w:bookmarkStart w:id="46" w:name="_Toc16938519"/>
      <w:r/>
      <w:bookmarkStart w:id="47" w:name="_Toc120614214"/>
      <w:r/>
      <w:bookmarkStart w:id="48" w:name="_Toc513029203"/>
      <w:r/>
      <w:bookmarkStart w:id="49" w:name="_Toc20823275"/>
      <w:r>
        <w:rPr>
          <w:rFonts w:hint="eastAsia"/>
        </w:rPr>
        <w:t xml:space="preserve">一、总则</w:t>
      </w:r>
      <w:bookmarkEnd w:id="46"/>
      <w:r/>
      <w:bookmarkEnd w:id="47"/>
      <w:r/>
      <w:bookmarkEnd w:id="48"/>
      <w:r/>
      <w:bookmarkEnd w:id="49"/>
      <w:r>
        <w:rPr>
          <w:rFonts w:hint="eastAsia"/>
        </w:rPr>
      </w:r>
      <w:r/>
    </w:p>
    <w:p>
      <w:pPr>
        <w:pStyle w:val="657"/>
        <w:ind w:firstLine="420"/>
        <w:spacing w:before="0" w:after="0" w:line="400" w:lineRule="exact"/>
        <w:rPr>
          <w:rFonts w:hint="eastAsia"/>
          <w:b w:val="0"/>
          <w:bCs w:val="0"/>
        </w:rPr>
      </w:pPr>
      <w:r/>
      <w:bookmarkStart w:id="50" w:name="_Hlt16619475"/>
      <w:r/>
      <w:bookmarkEnd w:id="50"/>
      <w:r/>
      <w:bookmarkStart w:id="51" w:name="_Toc458694821"/>
      <w:r/>
      <w:bookmarkStart w:id="52" w:name="_Toc513029204"/>
      <w:r/>
      <w:bookmarkStart w:id="53" w:name="_Toc20823276"/>
      <w:r/>
      <w:bookmarkStart w:id="54" w:name="_Toc16938520"/>
      <w:r>
        <w:rPr>
          <w:rFonts w:hint="eastAsia"/>
          <w:b w:val="0"/>
          <w:bCs w:val="0"/>
        </w:rPr>
        <w:t xml:space="preserve">1</w:t>
      </w:r>
      <w:bookmarkEnd w:id="51"/>
      <w:r>
        <w:rPr>
          <w:rFonts w:hint="eastAsia"/>
          <w:b w:val="0"/>
          <w:bCs w:val="0"/>
        </w:rPr>
        <w:t xml:space="preserve">、招标方式</w:t>
      </w:r>
      <w:bookmarkEnd w:id="52"/>
      <w:r/>
      <w:bookmarkEnd w:id="53"/>
      <w:r/>
      <w:bookmarkEnd w:id="54"/>
      <w:r>
        <w:rPr>
          <w:rFonts w:hint="eastAsia"/>
          <w:b w:val="0"/>
          <w:bCs w:val="0"/>
        </w:rPr>
      </w:r>
      <w:r/>
    </w:p>
    <w:p>
      <w:pPr>
        <w:pStyle w:val="653"/>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57"/>
        <w:ind w:firstLine="420"/>
        <w:spacing w:before="0" w:after="0" w:line="400" w:lineRule="exact"/>
        <w:rPr>
          <w:rFonts w:hint="eastAsia"/>
          <w:b w:val="0"/>
          <w:bCs w:val="0"/>
        </w:rPr>
      </w:pPr>
      <w:r/>
      <w:bookmarkStart w:id="55" w:name="_Toc20823277"/>
      <w:r/>
      <w:bookmarkStart w:id="56" w:name="_Toc16938521"/>
      <w:r/>
      <w:bookmarkStart w:id="57" w:name="_Toc513029205"/>
      <w:r>
        <w:rPr>
          <w:rFonts w:hint="eastAsia"/>
          <w:b w:val="0"/>
          <w:bCs w:val="0"/>
        </w:rPr>
        <w:t xml:space="preserve">2、合格的投标人</w:t>
      </w:r>
      <w:bookmarkEnd w:id="55"/>
      <w:r/>
      <w:bookmarkEnd w:id="56"/>
      <w:r/>
      <w:bookmarkEnd w:id="57"/>
      <w:r>
        <w:rPr>
          <w:rFonts w:hint="eastAsia"/>
          <w:b w:val="0"/>
          <w:bCs w:val="0"/>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2.1满足招标公告中投标人的资格要求的规定。</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657"/>
        <w:ind w:firstLine="422"/>
        <w:spacing w:before="0" w:after="0" w:line="400" w:lineRule="exact"/>
        <w:rPr>
          <w:rFonts w:hint="eastAsia"/>
        </w:rPr>
      </w:pPr>
      <w:r/>
      <w:bookmarkStart w:id="58" w:name="_Toc16938522"/>
      <w:r/>
      <w:bookmarkStart w:id="59" w:name="_Toc20823278"/>
      <w:r/>
      <w:bookmarkStart w:id="60" w:name="_Toc513029206"/>
      <w:r>
        <w:rPr>
          <w:rFonts w:hint="eastAsia"/>
        </w:rPr>
        <w:t xml:space="preserve">3、适用法律</w:t>
      </w:r>
      <w:bookmarkEnd w:id="58"/>
      <w:r/>
      <w:bookmarkEnd w:id="59"/>
      <w:r/>
      <w:bookmarkEnd w:id="60"/>
      <w:r>
        <w:rPr>
          <w:rFonts w:hint="eastAsia"/>
        </w:rPr>
        <w:t xml:space="preserve">和标准</w:t>
      </w:r>
      <w:r>
        <w:rPr>
          <w:rFonts w:hint="eastAsia"/>
        </w:rPr>
      </w:r>
      <w:r/>
    </w:p>
    <w:p>
      <w:pPr>
        <w:pStyle w:val="653"/>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653"/>
        <w:ind w:firstLine="420"/>
        <w:spacing w:line="400" w:lineRule="exact"/>
        <w:rPr>
          <w:rFonts w:hint="eastAsia" w:ascii="宋体" w:hAnsi="宋体"/>
          <w:sz w:val="24"/>
        </w:rPr>
      </w:pPr>
      <w:r/>
      <w:bookmarkStart w:id="61" w:name="_Toc20823279"/>
      <w:r/>
      <w:bookmarkStart w:id="62" w:name="_Toc462564067"/>
      <w:r/>
      <w:bookmarkStart w:id="63" w:name="_Toc16938523"/>
      <w:r/>
      <w:bookmarkStart w:id="64"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657"/>
        <w:ind w:firstLine="420"/>
        <w:spacing w:before="0" w:after="0" w:line="400" w:lineRule="exact"/>
        <w:rPr>
          <w:rFonts w:hint="eastAsia"/>
          <w:b w:val="0"/>
          <w:bCs w:val="0"/>
        </w:rPr>
      </w:pPr>
      <w:r>
        <w:rPr>
          <w:rFonts w:hint="eastAsia"/>
          <w:b w:val="0"/>
          <w:bCs w:val="0"/>
        </w:rPr>
        <w:t xml:space="preserve">4、投标费用</w:t>
      </w:r>
      <w:bookmarkEnd w:id="61"/>
      <w:r/>
      <w:bookmarkEnd w:id="62"/>
      <w:r/>
      <w:bookmarkEnd w:id="63"/>
      <w:r/>
      <w:bookmarkEnd w:id="64"/>
      <w:r>
        <w:rPr>
          <w:rFonts w:hint="eastAsia"/>
          <w:b w:val="0"/>
          <w:bCs w:val="0"/>
        </w:rPr>
      </w:r>
      <w:r/>
    </w:p>
    <w:p>
      <w:pPr>
        <w:pStyle w:val="653"/>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57"/>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53"/>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56"/>
        <w:ind w:firstLine="321"/>
        <w:spacing w:before="145" w:after="145" w:line="400" w:lineRule="exact"/>
        <w:rPr>
          <w:rFonts w:hint="eastAsia"/>
        </w:rPr>
      </w:pPr>
      <w:r/>
      <w:bookmarkStart w:id="65" w:name="_Toc20823281"/>
      <w:r/>
      <w:bookmarkStart w:id="66" w:name="_Toc16938525"/>
      <w:r/>
      <w:bookmarkStart w:id="67" w:name="_Toc120614215"/>
      <w:r/>
      <w:bookmarkStart w:id="68" w:name="_Toc513029209"/>
      <w:r>
        <w:rPr>
          <w:rFonts w:hint="eastAsia"/>
        </w:rPr>
        <w:t xml:space="preserve">二、招标文件</w:t>
      </w:r>
      <w:bookmarkEnd w:id="65"/>
      <w:r/>
      <w:bookmarkEnd w:id="66"/>
      <w:r/>
      <w:bookmarkEnd w:id="67"/>
      <w:r/>
      <w:bookmarkEnd w:id="68"/>
      <w:r>
        <w:rPr>
          <w:rFonts w:hint="eastAsia"/>
        </w:rPr>
      </w:r>
      <w:r/>
    </w:p>
    <w:p>
      <w:pPr>
        <w:pStyle w:val="657"/>
        <w:ind w:firstLine="420"/>
        <w:spacing w:before="0" w:after="0" w:line="400" w:lineRule="exact"/>
        <w:rPr>
          <w:rFonts w:hint="eastAsia"/>
          <w:b w:val="0"/>
          <w:bCs w:val="0"/>
        </w:rPr>
      </w:pPr>
      <w:r/>
      <w:bookmarkStart w:id="69" w:name="_Toc513029210"/>
      <w:r/>
      <w:bookmarkStart w:id="70" w:name="_Toc20823282"/>
      <w:r/>
      <w:bookmarkStart w:id="71" w:name="_Toc16938526"/>
      <w:r>
        <w:rPr>
          <w:rFonts w:hint="eastAsia"/>
          <w:b w:val="0"/>
          <w:bCs w:val="0"/>
        </w:rPr>
        <w:t xml:space="preserve">6、招标文件构成</w:t>
      </w:r>
      <w:bookmarkEnd w:id="69"/>
      <w:r/>
      <w:bookmarkEnd w:id="70"/>
      <w:r/>
      <w:bookmarkEnd w:id="71"/>
      <w:r>
        <w:rPr>
          <w:rFonts w:hint="eastAsia"/>
          <w:b w:val="0"/>
          <w:bCs w:val="0"/>
        </w:rPr>
      </w:r>
      <w:r/>
    </w:p>
    <w:p>
      <w:pPr>
        <w:pStyle w:val="653"/>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53"/>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7"/>
        <w:ind w:firstLine="560"/>
        <w:spacing w:before="0" w:after="0" w:line="400" w:lineRule="exact"/>
        <w:rPr>
          <w:rFonts w:hint="eastAsia"/>
          <w:b w:val="0"/>
          <w:bCs w:val="0"/>
        </w:rPr>
      </w:pPr>
      <w:r/>
      <w:bookmarkStart w:id="72" w:name="_Toc20823284"/>
      <w:r/>
      <w:bookmarkStart w:id="73" w:name="_Toc513029212"/>
      <w:r/>
      <w:bookmarkStart w:id="74" w:name="_Toc16938528"/>
      <w:r/>
      <w:bookmarkStart w:id="75" w:name="_Toc462564071"/>
      <w:r>
        <w:rPr>
          <w:b w:val="0"/>
          <w:bCs w:val="0"/>
        </w:rPr>
        <w:t xml:space="preserve">7</w:t>
      </w:r>
      <w:r>
        <w:rPr>
          <w:rFonts w:hint="eastAsia"/>
          <w:b w:val="0"/>
          <w:bCs w:val="0"/>
        </w:rPr>
        <w:t xml:space="preserve">、招标文件的修改</w:t>
      </w:r>
      <w:bookmarkEnd w:id="72"/>
      <w:r/>
      <w:bookmarkEnd w:id="73"/>
      <w:r/>
      <w:bookmarkEnd w:id="74"/>
      <w:r/>
      <w:bookmarkEnd w:id="75"/>
      <w:r>
        <w:rPr>
          <w:rFonts w:hint="eastAsia"/>
          <w:b w:val="0"/>
          <w:bCs w:val="0"/>
        </w:rPr>
      </w:r>
      <w:r/>
    </w:p>
    <w:p>
      <w:pPr>
        <w:pStyle w:val="653"/>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53"/>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53"/>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56"/>
        <w:ind w:firstLine="482"/>
        <w:spacing w:before="145" w:after="145" w:line="400" w:lineRule="exact"/>
        <w:rPr>
          <w:rFonts w:hint="eastAsia"/>
        </w:rPr>
      </w:pPr>
      <w:r/>
      <w:bookmarkStart w:id="76" w:name="_Toc120614216"/>
      <w:r/>
      <w:bookmarkStart w:id="77" w:name="_Toc462564072"/>
      <w:r/>
      <w:bookmarkStart w:id="78" w:name="_Toc20823285"/>
      <w:r/>
      <w:bookmarkStart w:id="79" w:name="_Toc513029213"/>
      <w:r/>
      <w:bookmarkStart w:id="80" w:name="_Toc16938529"/>
      <w:r>
        <w:rPr>
          <w:rFonts w:hint="eastAsia"/>
        </w:rPr>
        <w:t xml:space="preserve">三、投标文件的编制</w:t>
      </w:r>
      <w:bookmarkEnd w:id="76"/>
      <w:r/>
      <w:bookmarkEnd w:id="77"/>
      <w:r/>
      <w:bookmarkEnd w:id="78"/>
      <w:r/>
      <w:bookmarkEnd w:id="79"/>
      <w:r/>
      <w:bookmarkEnd w:id="80"/>
      <w:r>
        <w:rPr>
          <w:rFonts w:hint="eastAsia"/>
        </w:rPr>
      </w:r>
      <w:r/>
    </w:p>
    <w:p>
      <w:pPr>
        <w:pStyle w:val="657"/>
        <w:ind w:firstLine="560"/>
        <w:spacing w:before="0" w:after="0" w:line="400" w:lineRule="exact"/>
        <w:rPr>
          <w:rFonts w:hint="eastAsia"/>
          <w:bCs w:val="0"/>
        </w:rPr>
      </w:pPr>
      <w:r/>
      <w:bookmarkStart w:id="81" w:name="_Toc513029214"/>
      <w:r/>
      <w:bookmarkStart w:id="82" w:name="_Toc462564073"/>
      <w:r/>
      <w:bookmarkStart w:id="83" w:name="_Toc20823286"/>
      <w:r/>
      <w:bookmarkStart w:id="84" w:name="_Toc16938530"/>
      <w:r>
        <w:rPr>
          <w:b w:val="0"/>
          <w:bCs w:val="0"/>
        </w:rPr>
        <w:t xml:space="preserve">8</w:t>
      </w:r>
      <w:r>
        <w:rPr>
          <w:rFonts w:hint="eastAsia"/>
          <w:b w:val="0"/>
          <w:bCs w:val="0"/>
        </w:rPr>
        <w:t xml:space="preserve">、投标文件的语言及度量衡单位</w:t>
      </w:r>
      <w:bookmarkEnd w:id="81"/>
      <w:r/>
      <w:bookmarkEnd w:id="82"/>
      <w:r/>
      <w:bookmarkEnd w:id="83"/>
      <w:r/>
      <w:bookmarkEnd w:id="84"/>
      <w:r>
        <w:rPr>
          <w:rFonts w:hint="eastAsia"/>
          <w:bCs w:val="0"/>
        </w:rPr>
      </w:r>
      <w:r/>
    </w:p>
    <w:p>
      <w:pPr>
        <w:pStyle w:val="65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57"/>
        <w:ind w:firstLine="420"/>
        <w:spacing w:before="0" w:after="0" w:line="400" w:lineRule="exact"/>
        <w:rPr>
          <w:rFonts w:hint="eastAsia"/>
          <w:b w:val="0"/>
          <w:bCs w:val="0"/>
        </w:rPr>
      </w:pPr>
      <w:r/>
      <w:bookmarkStart w:id="85" w:name="_Toc16938531"/>
      <w:r/>
      <w:bookmarkStart w:id="86" w:name="_Toc462564074"/>
      <w:r/>
      <w:bookmarkStart w:id="87" w:name="_Toc513029215"/>
      <w:r/>
      <w:bookmarkStart w:id="88" w:name="_Toc20823287"/>
      <w:r>
        <w:rPr>
          <w:b w:val="0"/>
          <w:bCs w:val="0"/>
        </w:rPr>
        <w:t xml:space="preserve">9</w:t>
      </w:r>
      <w:r>
        <w:rPr>
          <w:rFonts w:hint="eastAsia"/>
          <w:b w:val="0"/>
          <w:bCs w:val="0"/>
        </w:rPr>
        <w:t xml:space="preserve">、投标文件构成</w:t>
      </w:r>
      <w:bookmarkEnd w:id="85"/>
      <w:r/>
      <w:bookmarkEnd w:id="86"/>
      <w:r/>
      <w:bookmarkEnd w:id="87"/>
      <w:r/>
      <w:bookmarkEnd w:id="88"/>
      <w:r>
        <w:rPr>
          <w:rFonts w:hint="eastAsia"/>
          <w:b w:val="0"/>
          <w:bCs w:val="0"/>
        </w:rPr>
      </w:r>
      <w:r/>
    </w:p>
    <w:p>
      <w:pPr>
        <w:pStyle w:val="653"/>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65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657"/>
        <w:ind w:firstLine="420"/>
        <w:spacing w:before="0" w:after="0" w:line="400" w:lineRule="exact"/>
        <w:rPr>
          <w:rFonts w:hint="eastAsia"/>
          <w:b w:val="0"/>
          <w:bCs w:val="0"/>
        </w:rPr>
      </w:pPr>
      <w:r/>
      <w:bookmarkStart w:id="89" w:name="_Hlt26954838"/>
      <w:r/>
      <w:bookmarkEnd w:id="89"/>
      <w:r/>
      <w:bookmarkStart w:id="90" w:name="_Hlt26670360"/>
      <w:r/>
      <w:bookmarkEnd w:id="90"/>
      <w:r/>
      <w:bookmarkStart w:id="91" w:name="_Hlt26668975"/>
      <w:r/>
      <w:bookmarkEnd w:id="91"/>
      <w:r/>
      <w:bookmarkStart w:id="92" w:name="_Toc14577357"/>
      <w:r/>
      <w:bookmarkStart w:id="93" w:name="_Toc49090509"/>
      <w:r/>
      <w:bookmarkStart w:id="94" w:name="_Toc513029219"/>
      <w:r/>
      <w:bookmarkStart w:id="95" w:name="_Toc513029216"/>
      <w:r/>
      <w:bookmarkStart w:id="96" w:name="_Toc14577354"/>
      <w:r/>
      <w:bookmarkStart w:id="97"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2"/>
      <w:r/>
      <w:bookmarkEnd w:id="93"/>
      <w:r/>
      <w:bookmarkEnd w:id="94"/>
      <w:r>
        <w:rPr>
          <w:rFonts w:hint="eastAsia"/>
          <w:b w:val="0"/>
          <w:bCs w:val="0"/>
        </w:rPr>
      </w:r>
      <w:r/>
    </w:p>
    <w:p>
      <w:pPr>
        <w:pStyle w:val="653"/>
        <w:spacing w:line="400" w:lineRule="exact"/>
        <w:rPr>
          <w:rFonts w:hint="eastAsia" w:ascii="宋体" w:hAnsi="宋体"/>
          <w:sz w:val="24"/>
          <w:szCs w:val="24"/>
        </w:rPr>
      </w:pPr>
      <w:r/>
      <w:bookmarkEnd w:id="95"/>
      <w:r/>
      <w:bookmarkEnd w:id="96"/>
      <w:r/>
      <w:bookmarkEnd w:id="97"/>
      <w:r/>
      <w:bookmarkStart w:id="98" w:name="_Toc14577355"/>
      <w:r/>
      <w:bookmarkStart w:id="99"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57"/>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8"/>
      <w:r/>
      <w:bookmarkStart w:id="100" w:name="_Hlt26670373"/>
      <w:r/>
      <w:bookmarkEnd w:id="100"/>
      <w:r>
        <w:rPr>
          <w:rFonts w:hint="eastAsia"/>
          <w:b w:val="0"/>
          <w:bCs w:val="0"/>
        </w:rPr>
        <w:t xml:space="preserve">表</w:t>
      </w:r>
      <w:bookmarkEnd w:id="99"/>
      <w:r>
        <w:rPr>
          <w:rFonts w:hint="eastAsia"/>
          <w:b w:val="0"/>
          <w:bCs w:val="0"/>
        </w:rPr>
      </w:r>
      <w:r/>
    </w:p>
    <w:p>
      <w:pPr>
        <w:pStyle w:val="653"/>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1" w:name="_Hlt26954840"/>
      <w:r/>
      <w:bookmarkEnd w:id="101"/>
      <w:r>
        <w:rPr>
          <w:rFonts w:hint="eastAsia" w:ascii="宋体" w:hAnsi="宋体"/>
          <w:sz w:val="24"/>
        </w:rPr>
        <w:t xml:space="preserve">标人按照招标文件规定格式填报投标分项报价表</w:t>
      </w:r>
      <w:bookmarkStart w:id="102" w:name="_Hlt26670399"/>
      <w:r/>
      <w:bookmarkEnd w:id="102"/>
      <w:r>
        <w:rPr>
          <w:rFonts w:hint="eastAsia" w:ascii="宋体" w:hAnsi="宋体"/>
          <w:sz w:val="24"/>
        </w:rPr>
        <w:t xml:space="preserve">。</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57"/>
        <w:ind w:firstLine="420"/>
        <w:spacing w:before="0" w:after="0" w:line="400" w:lineRule="exact"/>
        <w:rPr>
          <w:rFonts w:hint="eastAsia"/>
          <w:b w:val="0"/>
          <w:bCs w:val="0"/>
        </w:rPr>
      </w:pPr>
      <w:r/>
      <w:bookmarkStart w:id="103" w:name="_Hlt26954846"/>
      <w:r/>
      <w:bookmarkEnd w:id="103"/>
      <w:r/>
      <w:bookmarkStart w:id="104" w:name="_Hlt26670486"/>
      <w:r/>
      <w:bookmarkEnd w:id="104"/>
      <w:r/>
      <w:bookmarkStart w:id="105" w:name="_Hlt26670482"/>
      <w:r/>
      <w:bookmarkEnd w:id="105"/>
      <w:r/>
      <w:bookmarkStart w:id="106" w:name="_Hlt26670403"/>
      <w:r/>
      <w:bookmarkEnd w:id="106"/>
      <w:r/>
      <w:bookmarkStart w:id="107" w:name="_Hlt26954848"/>
      <w:r/>
      <w:bookmarkEnd w:id="107"/>
      <w:r/>
      <w:bookmarkStart w:id="108" w:name="_Hlt26670425"/>
      <w:r/>
      <w:bookmarkEnd w:id="108"/>
      <w:r/>
      <w:bookmarkStart w:id="109" w:name="_Hlt26954731"/>
      <w:r/>
      <w:bookmarkEnd w:id="109"/>
      <w:r/>
      <w:bookmarkStart w:id="110" w:name="_Hlt26668983"/>
      <w:r/>
      <w:bookmarkEnd w:id="110"/>
      <w:r/>
      <w:bookmarkStart w:id="111" w:name="_Hlt26954842"/>
      <w:r/>
      <w:bookmarkEnd w:id="111"/>
      <w:r/>
      <w:bookmarkStart w:id="112" w:name="_Hlt26954844"/>
      <w:r/>
      <w:bookmarkEnd w:id="11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653"/>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53"/>
        <w:ind w:firstLine="480"/>
        <w:spacing w:line="400" w:lineRule="exact"/>
        <w:rPr>
          <w:rFonts w:hint="eastAsia" w:ascii="宋体" w:hAnsi="Arial" w:cs="宋体"/>
          <w:sz w:val="24"/>
          <w:lang w:val="zh-CN"/>
        </w:rPr>
      </w:pPr>
      <w:r/>
      <w:bookmarkStart w:id="113" w:name="_Toc14577359"/>
      <w:r/>
      <w:bookmarkStart w:id="11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657"/>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65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57"/>
        <w:ind w:firstLine="420"/>
        <w:spacing w:before="0" w:after="0" w:line="400" w:lineRule="exact"/>
        <w:rPr>
          <w:rFonts w:hint="eastAsia"/>
          <w:b w:val="0"/>
          <w:bCs w:val="0"/>
        </w:rPr>
      </w:pPr>
      <w:r/>
      <w:bookmarkEnd w:id="113"/>
      <w:r/>
      <w:bookmarkEnd w:id="114"/>
      <w:r/>
      <w:bookmarkStart w:id="115" w:name="_Hlt26670489"/>
      <w:r/>
      <w:bookmarkEnd w:id="115"/>
      <w:r/>
      <w:bookmarkStart w:id="116" w:name="_Hlt26954734"/>
      <w:r/>
      <w:bookmarkEnd w:id="116"/>
      <w:r/>
      <w:bookmarkStart w:id="117" w:name="_Hlt26954850"/>
      <w:r/>
      <w:bookmarkEnd w:id="117"/>
      <w:r/>
      <w:bookmarkStart w:id="118" w:name="_Toc49090511"/>
      <w:r/>
      <w:bookmarkStart w:id="119" w:name="_Toc14577360"/>
      <w:r>
        <w:rPr>
          <w:rFonts w:hint="eastAsia"/>
          <w:b w:val="0"/>
          <w:bCs w:val="0"/>
        </w:rPr>
        <w:t xml:space="preserve">1</w:t>
      </w:r>
      <w:r>
        <w:rPr>
          <w:b w:val="0"/>
          <w:bCs w:val="0"/>
        </w:rPr>
        <w:t xml:space="preserve">4</w:t>
      </w:r>
      <w:r>
        <w:rPr>
          <w:rFonts w:hint="eastAsia"/>
          <w:b w:val="0"/>
          <w:bCs w:val="0"/>
        </w:rPr>
        <w:t xml:space="preserve">、投标有效期</w:t>
      </w:r>
      <w:bookmarkEnd w:id="118"/>
      <w:r/>
      <w:bookmarkEnd w:id="119"/>
      <w:r>
        <w:rPr>
          <w:rFonts w:hint="eastAsia"/>
          <w:b w:val="0"/>
          <w:bCs w:val="0"/>
        </w:rPr>
      </w:r>
      <w:r/>
    </w:p>
    <w:p>
      <w:pPr>
        <w:pStyle w:val="65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57"/>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65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56"/>
        <w:ind w:firstLine="482"/>
        <w:spacing w:before="145" w:after="145" w:line="400" w:lineRule="exact"/>
        <w:rPr>
          <w:rFonts w:hint="eastAsia"/>
        </w:rPr>
      </w:pPr>
      <w:r/>
      <w:bookmarkStart w:id="120" w:name="_Hlt26954739"/>
      <w:r/>
      <w:bookmarkEnd w:id="120"/>
      <w:r/>
      <w:bookmarkStart w:id="121" w:name="_Hlt26954852"/>
      <w:r/>
      <w:bookmarkEnd w:id="121"/>
      <w:r/>
      <w:bookmarkStart w:id="122" w:name="_Toc120614217"/>
      <w:r/>
      <w:bookmarkStart w:id="123" w:name="_Toc20823296"/>
      <w:r/>
      <w:bookmarkStart w:id="124" w:name="_Toc513029224"/>
      <w:r/>
      <w:bookmarkStart w:id="125" w:name="_Toc16938540"/>
      <w:r>
        <w:rPr>
          <w:rFonts w:hint="eastAsia"/>
        </w:rPr>
        <w:t xml:space="preserve">四、投标文件的递交</w:t>
      </w:r>
      <w:bookmarkEnd w:id="122"/>
      <w:r/>
      <w:bookmarkEnd w:id="123"/>
      <w:r/>
      <w:bookmarkEnd w:id="124"/>
      <w:r/>
      <w:bookmarkEnd w:id="125"/>
      <w:r>
        <w:rPr>
          <w:rFonts w:hint="eastAsia"/>
        </w:rPr>
      </w:r>
      <w:r/>
    </w:p>
    <w:p>
      <w:pPr>
        <w:pStyle w:val="657"/>
        <w:ind w:firstLine="560"/>
        <w:spacing w:before="0" w:after="0" w:line="400" w:lineRule="exact"/>
        <w:rPr>
          <w:rFonts w:hint="eastAsia" w:ascii="黑体"/>
          <w:b w:val="0"/>
          <w:bCs w:val="0"/>
        </w:rPr>
      </w:pPr>
      <w:r/>
      <w:bookmarkStart w:id="126" w:name="_Toc513029225"/>
      <w:r/>
      <w:bookmarkStart w:id="127" w:name="_Toc20823297"/>
      <w:r/>
      <w:bookmarkStart w:id="128" w:name="_Toc16938541"/>
      <w:r/>
      <w:bookmarkStart w:id="129"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6"/>
      <w:r/>
      <w:bookmarkEnd w:id="127"/>
      <w:r/>
      <w:bookmarkEnd w:id="128"/>
      <w:r/>
      <w:bookmarkEnd w:id="129"/>
      <w:r>
        <w:rPr>
          <w:rFonts w:hint="eastAsia" w:ascii="黑体"/>
          <w:b w:val="0"/>
          <w:bCs w:val="0"/>
        </w:rPr>
        <w:t xml:space="preserve">的递交</w:t>
      </w:r>
      <w:r>
        <w:rPr>
          <w:rFonts w:hint="eastAsia" w:ascii="黑体"/>
          <w:b w:val="0"/>
          <w:bCs w:val="0"/>
        </w:rPr>
      </w:r>
      <w:r/>
    </w:p>
    <w:p>
      <w:pPr>
        <w:pStyle w:val="65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765"/>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0" w:name="_Toc513029226"/>
      <w:r/>
      <w:bookmarkStart w:id="131" w:name="_Toc20823298"/>
      <w:r/>
      <w:bookmarkStart w:id="132" w:name="_Toc16938542"/>
      <w:r>
        <w:rPr>
          <w:rFonts w:hint="eastAsia" w:ascii="宋体" w:hAnsi="宋体"/>
          <w:bCs/>
          <w:sz w:val="24"/>
        </w:rPr>
      </w:r>
      <w:r/>
    </w:p>
    <w:p>
      <w:pPr>
        <w:pStyle w:val="657"/>
        <w:ind w:firstLine="560"/>
        <w:spacing w:before="0" w:after="0" w:line="240" w:lineRule="auto"/>
        <w:rPr>
          <w:rFonts w:hint="eastAsia"/>
          <w:b w:val="0"/>
        </w:rPr>
      </w:pPr>
      <w:r>
        <w:rPr>
          <w:rFonts w:hint="eastAsia"/>
          <w:b w:val="0"/>
        </w:rPr>
        <w:t xml:space="preserve">1</w:t>
      </w:r>
      <w:r>
        <w:rPr>
          <w:b w:val="0"/>
        </w:rPr>
        <w:t xml:space="preserve">7</w:t>
      </w:r>
      <w:r>
        <w:rPr>
          <w:rFonts w:hint="eastAsia"/>
          <w:b w:val="0"/>
        </w:rPr>
        <w:t xml:space="preserve">、投标截止</w:t>
      </w:r>
      <w:bookmarkEnd w:id="130"/>
      <w:r/>
      <w:bookmarkEnd w:id="131"/>
      <w:r/>
      <w:bookmarkEnd w:id="132"/>
      <w:r>
        <w:rPr>
          <w:rFonts w:hint="eastAsia"/>
          <w:b w:val="0"/>
        </w:rPr>
        <w:t xml:space="preserve">时间</w:t>
      </w:r>
      <w:r>
        <w:rPr>
          <w:rFonts w:hint="eastAsia"/>
          <w:b w:val="0"/>
        </w:rPr>
      </w:r>
      <w:r/>
    </w:p>
    <w:p>
      <w:pPr>
        <w:pStyle w:val="653"/>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57"/>
        <w:ind w:firstLine="420"/>
        <w:spacing w:before="0" w:after="0" w:line="400" w:lineRule="exact"/>
        <w:rPr>
          <w:rFonts w:hint="eastAsia"/>
          <w:b w:val="0"/>
          <w:bCs w:val="0"/>
        </w:rPr>
      </w:pPr>
      <w:r/>
      <w:bookmarkStart w:id="133" w:name="_Toc16938543"/>
      <w:r/>
      <w:bookmarkStart w:id="134" w:name="_Toc20823299"/>
      <w:r/>
      <w:bookmarkStart w:id="135" w:name="_Toc513029227"/>
      <w:r>
        <w:rPr>
          <w:rFonts w:hint="eastAsia"/>
          <w:b w:val="0"/>
          <w:bCs w:val="0"/>
        </w:rPr>
        <w:t xml:space="preserve">1</w:t>
      </w:r>
      <w:r>
        <w:rPr>
          <w:b w:val="0"/>
          <w:bCs w:val="0"/>
        </w:rPr>
        <w:t xml:space="preserve">8</w:t>
      </w:r>
      <w:r>
        <w:rPr>
          <w:rFonts w:hint="eastAsia"/>
          <w:b w:val="0"/>
          <w:bCs w:val="0"/>
        </w:rPr>
        <w:t xml:space="preserve">、投标文件</w:t>
      </w:r>
      <w:bookmarkEnd w:id="133"/>
      <w:r/>
      <w:bookmarkEnd w:id="134"/>
      <w:r/>
      <w:bookmarkEnd w:id="135"/>
      <w:r>
        <w:rPr>
          <w:rFonts w:hint="eastAsia"/>
          <w:b w:val="0"/>
          <w:bCs w:val="0"/>
        </w:rPr>
        <w:t xml:space="preserve">的拒收</w:t>
      </w:r>
      <w:r>
        <w:rPr>
          <w:rFonts w:hint="eastAsia"/>
          <w:b w:val="0"/>
          <w:bCs w:val="0"/>
        </w:rPr>
      </w:r>
      <w:r/>
    </w:p>
    <w:p>
      <w:pPr>
        <w:pStyle w:val="65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57"/>
        <w:ind w:firstLine="420"/>
        <w:spacing w:before="0" w:after="0" w:line="400" w:lineRule="exact"/>
        <w:rPr>
          <w:rFonts w:hint="eastAsia"/>
          <w:b w:val="0"/>
          <w:bCs w:val="0"/>
        </w:rPr>
      </w:pPr>
      <w:r/>
      <w:bookmarkStart w:id="136" w:name="_Toc16938544"/>
      <w:r/>
      <w:bookmarkStart w:id="137" w:name="_Toc513029228"/>
      <w:r/>
      <w:bookmarkStart w:id="138" w:name="_Toc20823300"/>
      <w:r>
        <w:rPr>
          <w:b w:val="0"/>
          <w:bCs w:val="0"/>
        </w:rPr>
        <w:t xml:space="preserve">19</w:t>
      </w:r>
      <w:r>
        <w:rPr>
          <w:rFonts w:hint="eastAsia"/>
          <w:b w:val="0"/>
          <w:bCs w:val="0"/>
        </w:rPr>
        <w:t xml:space="preserve">、投标文件的撤回和修改</w:t>
      </w:r>
      <w:bookmarkEnd w:id="136"/>
      <w:r/>
      <w:bookmarkEnd w:id="137"/>
      <w:r/>
      <w:bookmarkEnd w:id="138"/>
      <w:r>
        <w:rPr>
          <w:rFonts w:hint="eastAsia"/>
          <w:b w:val="0"/>
          <w:bCs w:val="0"/>
        </w:rPr>
      </w:r>
      <w:r/>
    </w:p>
    <w:p>
      <w:pPr>
        <w:pStyle w:val="653"/>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653"/>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53"/>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653"/>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653"/>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56"/>
        <w:ind w:firstLine="482"/>
        <w:spacing w:before="145" w:after="145" w:line="400" w:lineRule="exact"/>
        <w:rPr>
          <w:rFonts w:hint="eastAsia"/>
        </w:rPr>
      </w:pPr>
      <w:r/>
      <w:bookmarkStart w:id="139" w:name="_Toc513029229"/>
      <w:r/>
      <w:bookmarkStart w:id="140" w:name="_Toc20823301"/>
      <w:r/>
      <w:bookmarkStart w:id="141" w:name="_Toc16938545"/>
      <w:r/>
      <w:bookmarkStart w:id="142" w:name="_Toc120614218"/>
      <w:r>
        <w:rPr>
          <w:rFonts w:hint="eastAsia"/>
        </w:rPr>
        <w:t xml:space="preserve">五、开标与评标</w:t>
      </w:r>
      <w:bookmarkEnd w:id="139"/>
      <w:r/>
      <w:bookmarkEnd w:id="140"/>
      <w:r/>
      <w:bookmarkEnd w:id="141"/>
      <w:r/>
      <w:bookmarkEnd w:id="142"/>
      <w:r>
        <w:rPr>
          <w:rFonts w:hint="eastAsia"/>
        </w:rPr>
      </w:r>
      <w:r/>
    </w:p>
    <w:p>
      <w:pPr>
        <w:pStyle w:val="657"/>
        <w:ind w:firstLine="420"/>
        <w:spacing w:before="0" w:after="0" w:line="400" w:lineRule="exact"/>
        <w:rPr>
          <w:rFonts w:hint="eastAsia"/>
          <w:b w:val="0"/>
          <w:bCs w:val="0"/>
        </w:rPr>
      </w:pPr>
      <w:r/>
      <w:bookmarkStart w:id="143" w:name="_Toc20823302"/>
      <w:r/>
      <w:bookmarkStart w:id="144" w:name="_Toc16938546"/>
      <w:r/>
      <w:bookmarkStart w:id="145" w:name="_Toc513029230"/>
      <w:r>
        <w:rPr>
          <w:rFonts w:hint="eastAsia"/>
          <w:b w:val="0"/>
          <w:bCs w:val="0"/>
        </w:rPr>
        <w:t xml:space="preserve">2</w:t>
      </w:r>
      <w:r>
        <w:rPr>
          <w:b w:val="0"/>
          <w:bCs w:val="0"/>
        </w:rPr>
        <w:t xml:space="preserve">0</w:t>
      </w:r>
      <w:r>
        <w:rPr>
          <w:rFonts w:hint="eastAsia"/>
          <w:b w:val="0"/>
          <w:bCs w:val="0"/>
        </w:rPr>
        <w:t xml:space="preserve">、开标</w:t>
      </w:r>
      <w:bookmarkEnd w:id="143"/>
      <w:r/>
      <w:bookmarkEnd w:id="144"/>
      <w:r/>
      <w:bookmarkEnd w:id="145"/>
      <w:r>
        <w:rPr>
          <w:rFonts w:hint="eastAsia"/>
          <w:b w:val="0"/>
          <w:bCs w:val="0"/>
        </w:rPr>
      </w:r>
      <w:r/>
    </w:p>
    <w:p>
      <w:pPr>
        <w:pStyle w:val="653"/>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53"/>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57"/>
        <w:ind w:firstLine="420"/>
        <w:spacing w:before="0" w:after="0" w:line="400" w:lineRule="exact"/>
        <w:rPr>
          <w:rFonts w:hint="eastAsia"/>
          <w:b w:val="0"/>
          <w:bCs w:val="0"/>
        </w:rPr>
      </w:pPr>
      <w:r/>
      <w:bookmarkStart w:id="146" w:name="_Toc20823303"/>
      <w:r/>
      <w:bookmarkStart w:id="147" w:name="_Toc513029231"/>
      <w:r/>
      <w:bookmarkStart w:id="148"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653"/>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65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65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657"/>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653"/>
        <w:ind w:firstLine="480"/>
        <w:spacing w:line="400" w:lineRule="exact"/>
        <w:rPr>
          <w:rFonts w:hint="eastAsia" w:ascii="宋体" w:hAnsi="宋体"/>
          <w:bCs/>
          <w:sz w:val="24"/>
        </w:rPr>
      </w:pPr>
      <w:r/>
      <w:bookmarkEnd w:id="146"/>
      <w:r/>
      <w:bookmarkEnd w:id="147"/>
      <w:r/>
      <w:bookmarkEnd w:id="148"/>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53"/>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57"/>
        <w:ind w:firstLine="420"/>
        <w:spacing w:before="0" w:after="0" w:line="400" w:lineRule="exact"/>
        <w:rPr>
          <w:rFonts w:hint="eastAsia"/>
          <w:b w:val="0"/>
          <w:bCs w:val="0"/>
        </w:rPr>
      </w:pPr>
      <w:r/>
      <w:bookmarkStart w:id="149" w:name="_Toc16938548"/>
      <w:r/>
      <w:bookmarkStart w:id="150" w:name="_Toc513029232"/>
      <w:r/>
      <w:bookmarkStart w:id="151" w:name="_Toc20823304"/>
      <w:r>
        <w:rPr>
          <w:rFonts w:hint="eastAsia"/>
          <w:b w:val="0"/>
          <w:bCs w:val="0"/>
        </w:rPr>
        <w:t xml:space="preserve">2</w:t>
      </w:r>
      <w:r>
        <w:rPr>
          <w:b w:val="0"/>
          <w:bCs w:val="0"/>
        </w:rPr>
        <w:t xml:space="preserve">3</w:t>
      </w:r>
      <w:r>
        <w:rPr>
          <w:rFonts w:hint="eastAsia"/>
          <w:b w:val="0"/>
          <w:bCs w:val="0"/>
        </w:rPr>
        <w:t xml:space="preserve">、投标文件的澄清</w:t>
      </w:r>
      <w:bookmarkEnd w:id="149"/>
      <w:r/>
      <w:bookmarkEnd w:id="150"/>
      <w:r/>
      <w:bookmarkEnd w:id="151"/>
      <w:r>
        <w:rPr>
          <w:rFonts w:hint="eastAsia"/>
          <w:b w:val="0"/>
          <w:bCs w:val="0"/>
        </w:rPr>
      </w:r>
      <w:r/>
    </w:p>
    <w:p>
      <w:pPr>
        <w:pStyle w:val="653"/>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23.2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653"/>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657"/>
        <w:ind w:firstLine="420"/>
        <w:spacing w:before="0" w:after="0" w:line="400" w:lineRule="exact"/>
        <w:rPr>
          <w:rFonts w:hint="eastAsia"/>
          <w:b w:val="0"/>
          <w:bCs w:val="0"/>
        </w:rPr>
      </w:pPr>
      <w:r/>
      <w:bookmarkStart w:id="152" w:name="_Toc20823305"/>
      <w:r/>
      <w:bookmarkStart w:id="153" w:name="_Toc513029233"/>
      <w:r/>
      <w:bookmarkStart w:id="154"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2"/>
      <w:r/>
      <w:bookmarkEnd w:id="153"/>
      <w:r/>
      <w:bookmarkEnd w:id="154"/>
      <w:r>
        <w:rPr>
          <w:rFonts w:hint="eastAsia"/>
          <w:b w:val="0"/>
          <w:bCs w:val="0"/>
        </w:rPr>
      </w:r>
      <w:r/>
    </w:p>
    <w:p>
      <w:pPr>
        <w:pStyle w:val="653"/>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53"/>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653"/>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653"/>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53"/>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53"/>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53"/>
        <w:ind w:firstLine="420"/>
        <w:spacing w:line="400" w:lineRule="exact"/>
        <w:rPr>
          <w:rFonts w:ascii="宋体" w:hAnsi="宋体"/>
          <w:sz w:val="24"/>
        </w:rPr>
      </w:pPr>
      <w:r/>
      <w:bookmarkStart w:id="155" w:name="_Toc16938550"/>
      <w:r/>
      <w:bookmarkStart w:id="156" w:name="_Toc20823306"/>
      <w:r/>
      <w:bookmarkStart w:id="157"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24.7 异常低价投标审查</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24.7.1 评标过程中出现下列情形之一的，评标委员会应当启动异常低价投标审查程序：</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（1）投标报价低于全部通过符合性审查投标人投标报价平均值50%的，即投标报价&lt;全部通过符合性审查投标人投标报价平均值×50%；</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（2）投标报价低于通过符合性审查的次低报价投标人投标报价50%的，即投标报价&lt;通过符合性审查的次低报价投标人投标报价×50%；</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（4）评标委员会基于专业判断，认为投标人报价过低，有可能影响产品质量或者不能诚信履约的其他情形。</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24.7.2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rPr>
      </w:r>
      <w:r/>
    </w:p>
    <w:p>
      <w:pPr>
        <w:pStyle w:val="653"/>
        <w:ind w:firstLine="420"/>
        <w:spacing w:line="400" w:lineRule="exact"/>
        <w:rPr>
          <w:rFonts w:hint="eastAsia" w:ascii="宋体" w:hAnsi="宋体"/>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r>
        <w:rPr>
          <w:rFonts w:hint="eastAsia" w:ascii="宋体" w:hAnsi="宋体"/>
          <w:sz w:val="24"/>
        </w:rPr>
      </w:r>
      <w:r/>
    </w:p>
    <w:p>
      <w:pPr>
        <w:pStyle w:val="657"/>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5"/>
      <w:r/>
      <w:bookmarkEnd w:id="156"/>
      <w:r/>
      <w:bookmarkEnd w:id="157"/>
      <w:r>
        <w:rPr>
          <w:rFonts w:hint="eastAsia"/>
          <w:b w:val="0"/>
          <w:bCs w:val="0"/>
        </w:rPr>
        <w:t xml:space="preserve">无效投标条款和废标条款</w:t>
      </w:r>
      <w:r>
        <w:rPr>
          <w:rFonts w:hint="eastAsia"/>
          <w:b w:val="0"/>
          <w:bCs w:val="0"/>
        </w:rPr>
      </w:r>
      <w:r/>
    </w:p>
    <w:p>
      <w:pPr>
        <w:pStyle w:val="653"/>
        <w:ind w:left="479"/>
        <w:spacing w:line="400" w:lineRule="exact"/>
        <w:rPr>
          <w:rFonts w:hint="eastAsia" w:ascii="宋体" w:hAnsi="宋体"/>
          <w:bCs/>
          <w:sz w:val="24"/>
        </w:rPr>
      </w:pPr>
      <w:r/>
      <w:bookmarkStart w:id="158" w:name="_Toc513029235"/>
      <w:r/>
      <w:bookmarkStart w:id="159" w:name="_Toc16938551"/>
      <w:r/>
      <w:bookmarkStart w:id="160" w:name="_Toc20823307"/>
      <w:r>
        <w:rPr>
          <w:rFonts w:hint="eastAsia" w:ascii="宋体" w:hAnsi="宋体"/>
          <w:bCs/>
          <w:sz w:val="24"/>
        </w:rPr>
        <w:t xml:space="preserve">25.1无效投标条款</w:t>
      </w:r>
      <w:r>
        <w:rPr>
          <w:rFonts w:hint="eastAsia" w:ascii="宋体" w:hAnsi="宋体"/>
          <w:bCs/>
          <w:sz w:val="24"/>
        </w:rPr>
      </w:r>
      <w:r/>
    </w:p>
    <w:p>
      <w:pPr>
        <w:pStyle w:val="653"/>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53"/>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653"/>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53"/>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53"/>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653"/>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653"/>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25.2.1符合专业条件的投标人或者对招标文件作实质响应的投标人不足三家的。25.2.2出现影响采购公正的违法、违规行为的。</w:t>
      </w:r>
      <w:r>
        <w:rPr>
          <w:rFonts w:hint="eastAsia"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653"/>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53"/>
        <w:ind w:left="479"/>
        <w:spacing w:line="400" w:lineRule="exact"/>
        <w:rPr>
          <w:rFonts w:hint="eastAsia" w:ascii="宋体" w:hAnsi="宋体"/>
          <w:bCs/>
          <w:sz w:val="24"/>
        </w:rPr>
      </w:pPr>
      <w:r>
        <w:rPr>
          <w:rFonts w:hint="eastAsia" w:ascii="宋体" w:hAnsi="宋体"/>
          <w:bCs/>
          <w:sz w:val="24"/>
        </w:rPr>
        <w:t xml:space="preserve">25.3 投标截止时间结束后参加投标的投标人不足三家的处理：</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25.3.1如出现投标截止时间结束后参加投标的投标人或者在评标期间对招标文件做出实质响应的投标人不足三家情况，按政府采购相关规定执行。</w:t>
      </w:r>
      <w:r>
        <w:rPr>
          <w:rFonts w:hint="eastAsia" w:ascii="宋体" w:hAnsi="宋体"/>
          <w:bCs/>
          <w:sz w:val="24"/>
        </w:rPr>
      </w:r>
      <w:r/>
    </w:p>
    <w:p>
      <w:pPr>
        <w:pStyle w:val="656"/>
        <w:ind w:firstLine="482"/>
        <w:spacing w:before="145" w:after="145" w:line="400" w:lineRule="exact"/>
        <w:rPr>
          <w:rFonts w:hint="eastAsia"/>
        </w:rPr>
      </w:pPr>
      <w:r/>
      <w:bookmarkStart w:id="161" w:name="_Toc120614219"/>
      <w:r>
        <w:rPr>
          <w:rFonts w:hint="eastAsia"/>
        </w:rPr>
        <w:t xml:space="preserve">六、</w:t>
      </w:r>
      <w:bookmarkEnd w:id="158"/>
      <w:r/>
      <w:bookmarkEnd w:id="159"/>
      <w:r/>
      <w:bookmarkEnd w:id="160"/>
      <w:r>
        <w:rPr>
          <w:rFonts w:hint="eastAsia"/>
        </w:rPr>
        <w:t xml:space="preserve">定标</w:t>
      </w:r>
      <w:bookmarkEnd w:id="161"/>
      <w:r>
        <w:rPr>
          <w:rFonts w:hint="eastAsia"/>
        </w:rPr>
      </w:r>
      <w:r/>
    </w:p>
    <w:p>
      <w:pPr>
        <w:pStyle w:val="657"/>
        <w:ind w:firstLine="600"/>
        <w:spacing w:before="0" w:after="0" w:line="400" w:lineRule="exact"/>
        <w:rPr>
          <w:rFonts w:hint="eastAsia" w:ascii="黑体" w:hAnsi="宋体" w:cs="Times New Roman"/>
          <w:b w:val="0"/>
          <w:sz w:val="30"/>
          <w:szCs w:val="30"/>
        </w:rPr>
      </w:pPr>
      <w:r/>
      <w:bookmarkStart w:id="162" w:name="_Toc513029238"/>
      <w:r/>
      <w:bookmarkStart w:id="163" w:name="_Toc20823310"/>
      <w:r/>
      <w:bookmarkStart w:id="164"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2"/>
      <w:r>
        <w:rPr>
          <w:rFonts w:hint="eastAsia" w:ascii="黑体" w:hAnsi="宋体" w:cs="Times New Roman"/>
          <w:b w:val="0"/>
          <w:sz w:val="30"/>
          <w:szCs w:val="30"/>
        </w:rPr>
        <w:t xml:space="preserve">确定</w:t>
      </w:r>
      <w:bookmarkEnd w:id="163"/>
      <w:r/>
      <w:bookmarkEnd w:id="164"/>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53"/>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653"/>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采购人应根据评标委员会推荐的中标候选人确定中标投标人。</w:t>
      </w:r>
      <w:r>
        <w:rPr>
          <w:rFonts w:hint="eastAsia" w:ascii="宋体" w:hAnsi="宋体"/>
          <w:bCs/>
          <w:sz w:val="24"/>
        </w:rPr>
      </w:r>
      <w:r/>
    </w:p>
    <w:p>
      <w:pPr>
        <w:pStyle w:val="653"/>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26.4  若有充分证据证明，中标投标人出现下列情况之一的，一经查实，将被取消中标资格：</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26.4.4与采购人或者其他投标人恶意串通的。</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26.4.5采取不正当手段诋毁、排挤其他投标人的。</w:t>
      </w:r>
      <w:r>
        <w:rPr>
          <w:rFonts w:hint="eastAsia" w:ascii="宋体" w:hAnsi="宋体"/>
          <w:sz w:val="24"/>
          <w:szCs w:val="24"/>
        </w:rPr>
      </w:r>
      <w:r/>
    </w:p>
    <w:p>
      <w:pPr>
        <w:pStyle w:val="653"/>
        <w:ind w:firstLine="480"/>
        <w:spacing w:line="400" w:lineRule="exact"/>
        <w:rPr>
          <w:rFonts w:ascii="宋体" w:hAnsi="宋体"/>
          <w:sz w:val="24"/>
          <w:szCs w:val="24"/>
        </w:rPr>
      </w:pPr>
      <w:r/>
      <w:bookmarkStart w:id="165"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65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5"/>
      <w:r>
        <w:rPr>
          <w:rFonts w:hint="eastAsia" w:ascii="黑体" w:hAnsi="宋体" w:cs="Times New Roman"/>
          <w:b w:val="0"/>
          <w:sz w:val="30"/>
          <w:szCs w:val="30"/>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提出质疑的投标人应当是参与所质疑项目采购活动的投标人。潜在投标人依法获取其可质疑的采购文件的，可以对采购文件提出质疑。</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.2投标人认为采购文件、采购过程和采购结果使自己的权益受到损害的，可以在知道或应知其权益受到损害之日起七个工作日内，以书面形式根据下述2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653"/>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53"/>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53"/>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53"/>
        <w:ind w:firstLine="480"/>
        <w:spacing w:line="400" w:lineRule="exact"/>
        <w:rPr>
          <w:rFonts w:hint="eastAsia"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将只对投标人第一次质疑作出答复。</w:t>
      </w:r>
      <w:r>
        <w:rPr>
          <w:rFonts w:hint="eastAsia" w:hAnsi="宋体" w:cs="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sz w:val="24"/>
          <w:szCs w:val="24"/>
        </w:rPr>
      </w:r>
      <w:r/>
    </w:p>
    <w:p>
      <w:pPr>
        <w:pStyle w:val="653"/>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.4投标人（含</w:t>
      </w:r>
      <w:r>
        <w:rPr>
          <w:rFonts w:ascii="宋体" w:hAnsi="宋体"/>
          <w:sz w:val="24"/>
          <w:szCs w:val="24"/>
        </w:rPr>
        <w:t xml:space="preserve">潜在</w:t>
      </w:r>
      <w:r>
        <w:rPr>
          <w:rFonts w:hint="eastAsia" w:ascii="宋体" w:hAnsi="宋体"/>
          <w:sz w:val="24"/>
          <w:szCs w:val="24"/>
        </w:rPr>
        <w:t xml:space="preserve">投标人</w:t>
      </w:r>
      <w:r>
        <w:rPr>
          <w:rFonts w:ascii="宋体" w:hAnsi="宋体"/>
          <w:sz w:val="24"/>
          <w:szCs w:val="24"/>
        </w:rPr>
        <w:t xml:space="preserve">）</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投标人对除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采购中心及采购人只接收以纸质原件形式送达的质疑,建议投标人尽量通过邮寄方式提交质疑（采购人和采购中心不接受无快递运单号的快递）。</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27.5.4 未参加投标活动的投标人或在投标活动中自身权益未受到损害的投标人所提出的质疑。</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27.5.5投标人组成联合体参加投标，联合体中任何一方或多方未按要求签字、盖章、加盖公章的质疑。</w:t>
      </w:r>
      <w:r>
        <w:rPr>
          <w:rFonts w:hint="eastAsia" w:ascii="宋体" w:hAnsi="宋体"/>
          <w:sz w:val="24"/>
          <w:szCs w:val="24"/>
        </w:rPr>
      </w:r>
      <w:r/>
    </w:p>
    <w:p>
      <w:pPr>
        <w:pStyle w:val="653"/>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rPr>
          <w:rFonts w:hint="eastAsia" w:ascii="宋体" w:hAnsi="宋体"/>
          <w:sz w:val="24"/>
          <w:szCs w:val="24"/>
        </w:rPr>
      </w:r>
      <w:r/>
    </w:p>
    <w:p>
      <w:pPr>
        <w:pStyle w:val="65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53"/>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投标人发出中标通知书。请中标投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投标人自行承担。</w:t>
      </w:r>
      <w:r>
        <w:rPr>
          <w:rFonts w:hint="eastAsia" w:ascii="宋体" w:hAnsi="宋体"/>
          <w:sz w:val="24"/>
          <w:szCs w:val="24"/>
        </w:rPr>
      </w:r>
      <w:r/>
    </w:p>
    <w:p>
      <w:pPr>
        <w:pStyle w:val="653"/>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中标通知书将是合同的一个组成部分。对采购人和中标投标人均具有法律效力。中标通知书发出后，采购人改变中标结果的，或者中标投标人放弃中标项目的，应当依法承担法律责任。</w:t>
      </w:r>
      <w:r>
        <w:rPr>
          <w:rFonts w:hint="eastAsia" w:ascii="宋体" w:hAnsi="宋体"/>
          <w:sz w:val="24"/>
          <w:szCs w:val="24"/>
        </w:rPr>
      </w:r>
      <w:r/>
    </w:p>
    <w:p>
      <w:pPr>
        <w:pStyle w:val="656"/>
        <w:spacing w:before="145" w:after="145" w:line="400" w:lineRule="exact"/>
        <w:rPr>
          <w:rFonts w:hint="eastAsia"/>
        </w:rPr>
      </w:pPr>
      <w:r/>
      <w:bookmarkStart w:id="166" w:name="_Toc120614220"/>
      <w:r/>
      <w:bookmarkStart w:id="167" w:name="_Toc513029236"/>
      <w:r/>
      <w:bookmarkStart w:id="168" w:name="_Toc20823308"/>
      <w:r/>
      <w:bookmarkStart w:id="169" w:name="_Toc16938552"/>
      <w:r>
        <w:rPr>
          <w:rFonts w:hint="eastAsia"/>
        </w:rPr>
        <w:t xml:space="preserve">七、授予合同</w:t>
      </w:r>
      <w:bookmarkEnd w:id="166"/>
      <w:r>
        <w:rPr>
          <w:rFonts w:hint="eastAsia"/>
        </w:rPr>
      </w:r>
      <w:r/>
    </w:p>
    <w:p>
      <w:pPr>
        <w:pStyle w:val="657"/>
        <w:ind w:firstLine="600"/>
        <w:spacing w:before="0" w:after="0" w:line="400" w:lineRule="exact"/>
        <w:rPr>
          <w:rFonts w:hint="eastAsia" w:ascii="黑体" w:hAnsi="宋体" w:cs="Times New Roman"/>
          <w:b w:val="0"/>
          <w:sz w:val="30"/>
          <w:szCs w:val="30"/>
        </w:rPr>
      </w:pPr>
      <w:r/>
      <w:bookmarkEnd w:id="167"/>
      <w:r/>
      <w:bookmarkEnd w:id="168"/>
      <w:r/>
      <w:bookmarkEnd w:id="169"/>
      <w:r/>
      <w:bookmarkStart w:id="170" w:name="_Toc16938553"/>
      <w:r/>
      <w:bookmarkStart w:id="171" w:name="_Toc20823309"/>
      <w:r/>
      <w:bookmarkStart w:id="172"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653"/>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l中标投标人应当在中标通知书发出之日起三十日内，按照招标文件确定的事项与采购人签订政府采购合同。</w:t>
      </w:r>
      <w:r>
        <w:rPr>
          <w:rFonts w:hint="eastAsia" w:ascii="宋体" w:hAnsi="宋体"/>
          <w:sz w:val="24"/>
          <w:szCs w:val="24"/>
        </w:rPr>
      </w:r>
      <w:r/>
    </w:p>
    <w:p>
      <w:pPr>
        <w:pStyle w:val="653"/>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招标文件、中标投标人的投标文件及招标过程中有关澄清、承诺文件均应作为合同附件。</w:t>
      </w:r>
      <w:r>
        <w:rPr>
          <w:rFonts w:hint="eastAsia" w:ascii="宋体" w:hAnsi="宋体"/>
          <w:sz w:val="24"/>
          <w:szCs w:val="24"/>
        </w:rPr>
      </w:r>
      <w:r/>
    </w:p>
    <w:p>
      <w:pPr>
        <w:pStyle w:val="653"/>
        <w:ind w:firstLine="600"/>
        <w:spacing w:line="400" w:lineRule="exact"/>
        <w:rPr>
          <w:rFonts w:hint="eastAsia" w:ascii="宋体" w:hAnsi="宋体"/>
          <w:sz w:val="24"/>
          <w:szCs w:val="24"/>
        </w:rPr>
      </w:pPr>
      <w:r>
        <w:rPr>
          <w:rFonts w:hint="eastAsia" w:ascii="宋体" w:hAnsi="宋体"/>
          <w:sz w:val="24"/>
          <w:szCs w:val="24"/>
        </w:rPr>
        <w:t xml:space="preserve">29.3 签订合同后，中标投标人不得将合同标的进行转包。未经采购人同意，中标投标人也不得采用分包的形式履行合同，否则采购人有权终止合同。转包或分包造成采购人损失的，中标投标人应承担相应赔偿责任。</w:t>
      </w:r>
      <w:r>
        <w:rPr>
          <w:rFonts w:hint="eastAsia" w:ascii="宋体" w:hAnsi="宋体"/>
          <w:sz w:val="24"/>
          <w:szCs w:val="24"/>
        </w:rPr>
      </w:r>
      <w:r/>
    </w:p>
    <w:p>
      <w:pPr>
        <w:pStyle w:val="657"/>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投标人协商签订补充合同，但所有补充合同的采购金额不超过原合同金额10%。</w:t>
      </w:r>
      <w:r>
        <w:rPr>
          <w:rFonts w:hint="eastAsia" w:ascii="宋体" w:hAnsi="宋体"/>
          <w:sz w:val="24"/>
          <w:szCs w:val="24"/>
        </w:rPr>
      </w:r>
      <w:r/>
    </w:p>
    <w:p>
      <w:pPr>
        <w:pStyle w:val="657"/>
        <w:ind w:firstLine="600"/>
        <w:spacing w:before="0" w:after="0" w:line="400" w:lineRule="exact"/>
        <w:rPr>
          <w:rFonts w:ascii="黑体" w:hAnsi="宋体" w:cs="Times New Roman"/>
          <w:b w:val="0"/>
          <w:sz w:val="30"/>
          <w:szCs w:val="30"/>
        </w:rPr>
      </w:pPr>
      <w:r/>
      <w:bookmarkEnd w:id="170"/>
      <w:r/>
      <w:bookmarkEnd w:id="171"/>
      <w:r/>
      <w:bookmarkEnd w:id="172"/>
      <w:r/>
      <w:bookmarkStart w:id="173" w:name="_Toc16938558"/>
      <w:r/>
      <w:bookmarkStart w:id="174" w:name="_Toc513029242"/>
      <w:r/>
      <w:bookmarkStart w:id="175" w:name="_Toc479757207"/>
      <w:r/>
      <w:bookmarkStart w:id="176" w:name="_Toc120614221"/>
      <w:r/>
      <w:bookmarkStart w:id="177"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68"/>
        <w:spacing w:line="400" w:lineRule="exact"/>
        <w:rPr>
          <w:rFonts w:hint="eastAsia" w:ascii="宋体" w:hAnsi="宋体"/>
          <w:bCs/>
          <w:sz w:val="24"/>
        </w:rPr>
      </w:pPr>
      <w:r>
        <w:rPr>
          <w:rFonts w:hint="eastAsia" w:ascii="宋体" w:hAnsi="宋体"/>
          <w:bCs/>
          <w:sz w:val="24"/>
        </w:rPr>
        <w:t xml:space="preserve">中标投标人可凭政府采购合同办理融资贷款，详情请见江苏政府采购网“政采贷”专栏。</w:t>
      </w:r>
      <w:r>
        <w:rPr>
          <w:rFonts w:hint="eastAsia" w:ascii="宋体" w:hAnsi="宋体"/>
          <w:bCs/>
          <w:sz w:val="24"/>
        </w:rPr>
      </w:r>
      <w:r/>
    </w:p>
    <w:p>
      <w:pPr>
        <w:pStyle w:val="654"/>
        <w:rPr>
          <w:rFonts w:hint="eastAsia" w:ascii="黑体" w:eastAsia="黑体"/>
          <w:bCs/>
          <w:sz w:val="44"/>
        </w:rPr>
      </w:pPr>
      <w:r>
        <w:rPr>
          <w:rFonts w:hint="eastAsia" w:ascii="黑体" w:eastAsia="黑体"/>
          <w:bCs/>
          <w:sz w:val="44"/>
        </w:rPr>
        <w:t xml:space="preserve">第三章  合同</w:t>
      </w:r>
      <w:bookmarkEnd w:id="173"/>
      <w:r/>
      <w:bookmarkEnd w:id="174"/>
      <w:r/>
      <w:bookmarkEnd w:id="175"/>
      <w:r/>
      <w:bookmarkEnd w:id="176"/>
      <w:r/>
      <w:bookmarkEnd w:id="177"/>
      <w:r>
        <w:rPr>
          <w:rFonts w:hint="eastAsia" w:ascii="黑体" w:eastAsia="黑体"/>
          <w:bCs/>
          <w:sz w:val="44"/>
        </w:rPr>
        <w:t xml:space="preserve">文本</w:t>
      </w:r>
      <w:r>
        <w:rPr>
          <w:rFonts w:hint="eastAsia" w:ascii="黑体" w:eastAsia="黑体"/>
          <w:bCs/>
          <w:sz w:val="44"/>
        </w:rPr>
      </w:r>
      <w:r/>
    </w:p>
    <w:p>
      <w:pPr>
        <w:pStyle w:val="653"/>
        <w:jc w:val="center"/>
        <w:spacing w:before="145" w:after="145"/>
        <w:rPr>
          <w:rFonts w:hint="eastAsia" w:ascii="宋体" w:hAnsi="宋体"/>
          <w:b/>
          <w:sz w:val="30"/>
        </w:rPr>
        <w:outlineLvl w:val="0"/>
      </w:pPr>
      <w:r/>
      <w:bookmarkStart w:id="178" w:name="_Toc20823315"/>
      <w:r/>
      <w:bookmarkStart w:id="179" w:name="_Toc16938559"/>
      <w:r/>
      <w:bookmarkStart w:id="180" w:name="_Toc513029243"/>
      <w:r>
        <w:rPr>
          <w:rFonts w:hint="eastAsia" w:ascii="宋体" w:hAnsi="宋体"/>
          <w:b/>
          <w:sz w:val="30"/>
        </w:rPr>
      </w:r>
      <w:r/>
    </w:p>
    <w:p>
      <w:pPr>
        <w:pStyle w:val="653"/>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53"/>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653"/>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653"/>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9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69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/中标投标人</w:t>
      </w:r>
      <w:r>
        <w:rPr>
          <w:rFonts w:hAnsi="宋体"/>
          <w:sz w:val="24"/>
          <w:szCs w:val="24"/>
        </w:rPr>
        <w:t xml:space="preserve">）_________</w:t>
      </w:r>
      <w:r>
        <w:rPr>
          <w:rFonts w:hint="eastAsia" w:hAnsi="宋体"/>
          <w:sz w:val="24"/>
          <w:szCs w:val="24"/>
        </w:rPr>
      </w:r>
      <w:r/>
    </w:p>
    <w:p>
      <w:pPr>
        <w:pStyle w:val="69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9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69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69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69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69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69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69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69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69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69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69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69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69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69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69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69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69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69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69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69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69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69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69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653"/>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3"/>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53"/>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5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653"/>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653"/>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653"/>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65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69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69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69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692"/>
        <w:ind w:left="480" w:hanging="480"/>
        <w:spacing w:before="120" w:after="120"/>
        <w:rPr>
          <w:rFonts w:hint="eastAsia" w:hAnsi="宋体"/>
          <w:sz w:val="24"/>
          <w:szCs w:val="24"/>
        </w:rPr>
      </w:pPr>
      <w:r>
        <w:rPr>
          <w:rFonts w:hint="eastAsia" w:hAnsi="宋体"/>
          <w:sz w:val="24"/>
          <w:szCs w:val="24"/>
        </w:rPr>
        <w:t xml:space="preserve">10.4 如有必要，甲方邀请参加本项目的其他投标人或第三方专业机构及专家参与验收，相关意见将作为验收书的参考资料。</w:t>
      </w:r>
      <w:r>
        <w:rPr>
          <w:rFonts w:hint="eastAsia" w:hAnsi="宋体"/>
          <w:sz w:val="24"/>
          <w:szCs w:val="24"/>
        </w:rPr>
      </w:r>
      <w:r/>
    </w:p>
    <w:p>
      <w:pPr>
        <w:pStyle w:val="69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69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6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6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6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6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69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6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6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6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69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69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69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69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6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69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69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69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69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69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69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692"/>
        <w:jc w:val="center"/>
        <w:spacing w:before="120" w:after="120" w:line="0" w:lineRule="atLeast"/>
      </w:pPr>
      <w:r>
        <w:rPr>
          <w:rFonts w:hint="eastAsia"/>
        </w:rPr>
        <w:t xml:space="preserve">                                         </w:t>
      </w:r>
      <w:r/>
    </w:p>
    <w:p>
      <w:pPr>
        <w:pStyle w:val="692"/>
        <w:jc w:val="right"/>
        <w:spacing w:before="120" w:after="120" w:line="0" w:lineRule="atLeast"/>
        <w:rPr>
          <w:sz w:val="24"/>
          <w:szCs w:val="24"/>
        </w:rPr>
      </w:pPr>
      <w:r>
        <w:rPr>
          <w:rFonts w:hint="eastAsia"/>
          <w:sz w:val="24"/>
          <w:szCs w:val="24"/>
        </w:rPr>
        <w:t xml:space="preserve"> </w:t>
      </w:r>
      <w:r>
        <w:rPr>
          <w:sz w:val="24"/>
          <w:szCs w:val="24"/>
        </w:rPr>
      </w:r>
      <w:r/>
    </w:p>
    <w:p>
      <w:pPr>
        <w:pStyle w:val="69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8"/>
      <w:r/>
      <w:bookmarkEnd w:id="179"/>
      <w:r/>
      <w:bookmarkEnd w:id="180"/>
      <w:r/>
      <w:bookmarkStart w:id="181" w:name="_Hlt16619369"/>
      <w:r/>
      <w:bookmarkEnd w:id="181"/>
      <w:r/>
      <w:bookmarkStart w:id="182" w:name="_Hlt16619350"/>
      <w:r/>
      <w:bookmarkStart w:id="183" w:name="_Toc120614244"/>
      <w:r/>
      <w:bookmarkStart w:id="184" w:name="_Toc16938590"/>
      <w:r/>
      <w:bookmarkStart w:id="185" w:name="_Toc20823346"/>
      <w:r/>
      <w:bookmarkStart w:id="186" w:name="_Toc479757211"/>
      <w:r/>
      <w:bookmarkStart w:id="187" w:name="_Toc462564139"/>
      <w:r>
        <w:rPr>
          <w:rFonts w:ascii="黑体" w:eastAsia="黑体"/>
          <w:bCs/>
          <w:sz w:val="44"/>
        </w:rPr>
        <w:br w:type="page" w:clear="all"/>
      </w:r>
      <w:r>
        <w:rPr>
          <w:rFonts w:hint="eastAsia" w:ascii="黑体" w:hAnsi="Times New Roman" w:eastAsia="黑体" w:cs="Times New Roman"/>
          <w:bCs/>
          <w:sz w:val="44"/>
          <w:szCs w:val="28"/>
        </w:rPr>
        <w:t xml:space="preserve">第</w:t>
      </w:r>
      <w:bookmarkEnd w:id="182"/>
      <w:r>
        <w:rPr>
          <w:rFonts w:hint="eastAsia" w:ascii="黑体" w:hAnsi="Times New Roman" w:eastAsia="黑体" w:cs="Times New Roman"/>
          <w:bCs/>
          <w:sz w:val="44"/>
          <w:szCs w:val="28"/>
        </w:rPr>
        <w:t xml:space="preserve">四章 采购需求</w:t>
      </w:r>
      <w:bookmarkEnd w:id="183"/>
      <w:r/>
      <w:bookmarkEnd w:id="184"/>
      <w:r/>
      <w:bookmarkEnd w:id="185"/>
      <w:r>
        <w:rPr>
          <w:rFonts w:hint="eastAsia" w:hAnsi="宋体"/>
          <w:sz w:val="24"/>
          <w:szCs w:val="24"/>
        </w:rPr>
      </w:r>
      <w:r/>
    </w:p>
    <w:p>
      <w:pPr>
        <w:pStyle w:val="653"/>
        <w:spacing w:line="0" w:lineRule="atLeast"/>
        <w:rPr>
          <w:rFonts w:ascii="宋体" w:hAnsi="宋体"/>
          <w:b/>
          <w:color w:val="000000"/>
          <w:sz w:val="24"/>
          <w:szCs w:val="24"/>
        </w:rPr>
      </w:pPr>
      <w:r/>
      <w:bookmarkStart w:id="188" w:name="_Toc49090575"/>
      <w:r/>
      <w:bookmarkStart w:id="189"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4378"/>
        <w:gridCol w:w="2640"/>
      </w:tblGrid>
      <w:tr>
        <w:trPr>
          <w:cantSplit/>
        </w:trPr>
        <w:tc>
          <w:tcPr>
            <w:tcW w:w="545" w:type="dxa"/>
            <w:vAlign w:val="top"/>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378"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640"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vMerge w:val="restart"/>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545" w:type="dxa"/>
            <w:vAlign w:val="top"/>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378" w:type="dxa"/>
            <w:vAlign w:val="top"/>
            <w:textDirection w:val="lrTb"/>
            <w:noWrap w:val="false"/>
          </w:tcPr>
          <w:p>
            <w:pPr>
              <w:pStyle w:val="653"/>
              <w:jc w:val="left"/>
              <w:spacing w:line="0" w:lineRule="atLeast"/>
              <w:tabs>
                <w:tab w:val="left" w:pos="1296" w:leader="none"/>
              </w:tabs>
              <w:rPr>
                <w:rFonts w:hint="eastAsia" w:ascii="宋体" w:hAnsi="宋体"/>
                <w:sz w:val="24"/>
                <w:szCs w:val="24"/>
              </w:rPr>
            </w:pPr>
            <w:r>
              <w:rPr>
                <w:rFonts w:hint="eastAsia" w:ascii="宋体" w:hAnsi="宋体"/>
                <w:sz w:val="24"/>
                <w:szCs w:val="24"/>
              </w:rPr>
              <w:t xml:space="preserve">江苏省地下水环境监管信息平台建设</w:t>
            </w:r>
            <w:r>
              <w:rPr>
                <w:rFonts w:hint="eastAsia" w:ascii="宋体" w:hAnsi="宋体"/>
                <w:sz w:val="24"/>
                <w:szCs w:val="24"/>
              </w:rPr>
            </w:r>
            <w:r/>
          </w:p>
        </w:tc>
        <w:tc>
          <w:tcPr>
            <w:tcW w:w="2640" w:type="dxa"/>
            <w:vAlign w:val="top"/>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653"/>
        <w:spacing w:line="0" w:lineRule="atLeast"/>
        <w:rPr>
          <w:rFonts w:ascii="宋体" w:hAnsi="宋体"/>
          <w:b/>
          <w:color w:val="000000"/>
          <w:sz w:val="24"/>
          <w:szCs w:val="24"/>
        </w:rPr>
      </w:pPr>
      <w:r>
        <w:rPr>
          <w:rFonts w:ascii="宋体" w:hAnsi="宋体"/>
          <w:b/>
          <w:color w:val="000000"/>
          <w:sz w:val="24"/>
          <w:szCs w:val="24"/>
        </w:rPr>
      </w:r>
      <w:r/>
    </w:p>
    <w:p>
      <w:pPr>
        <w:pStyle w:val="653"/>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653"/>
        <w:numPr>
          <w:ilvl w:val="2"/>
          <w:numId w:val="0"/>
        </w:numPr>
        <w:contextualSpacing/>
        <w:ind w:firstLine="482"/>
        <w:keepLines/>
        <w:keepNext/>
        <w:spacing w:before="145" w:after="145"/>
        <w:rPr>
          <w:rFonts w:hint="eastAsia" w:ascii="宋体" w:hAnsi="宋体"/>
          <w:b/>
          <w:bCs/>
          <w:sz w:val="24"/>
        </w:rPr>
        <w:outlineLvl w:val="2"/>
      </w:pPr>
      <w:r>
        <w:rPr>
          <w:rFonts w:ascii="宋体" w:hAnsi="宋体"/>
          <w:b/>
          <w:bCs/>
          <w:sz w:val="24"/>
        </w:rPr>
        <w:t xml:space="preserve">（一）项目背景</w:t>
      </w:r>
      <w:r>
        <w:rPr>
          <w:rFonts w:hint="eastAsia" w:ascii="宋体" w:hAnsi="宋体"/>
          <w:b/>
          <w:bCs/>
          <w:sz w:val="24"/>
        </w:rPr>
      </w:r>
      <w:r/>
    </w:p>
    <w:p>
      <w:pPr>
        <w:pStyle w:val="653"/>
        <w:contextualSpacing/>
        <w:ind w:firstLine="480"/>
        <w:rPr>
          <w:sz w:val="24"/>
          <w:szCs w:val="24"/>
        </w:rPr>
      </w:pPr>
      <w:r>
        <w:rPr>
          <w:sz w:val="24"/>
          <w:szCs w:val="24"/>
        </w:rPr>
        <w:t xml:space="preserve">为贯彻落实国家和省关于地下水污染防治、环境监测网络建设及信息化监管的部署要求，系统提升江苏省地下水环境监管能力，有必要加快推进地下水环境监管信息平台建设。该项目将基于全省地下水污染源清单、环境监测网络和重点区划定等已有工作基础，推动监测数据集中管理、综合分析和共享应用，提升地下水环境监管的标准化、信息化和智能化水平，为地下水污染防治、风险预警和科学决策提供有力支撑。</w:t>
      </w:r>
      <w:r>
        <w:rPr>
          <w:sz w:val="24"/>
          <w:szCs w:val="24"/>
        </w:rPr>
      </w:r>
      <w:r/>
    </w:p>
    <w:p>
      <w:pPr>
        <w:pStyle w:val="653"/>
        <w:numPr>
          <w:ilvl w:val="2"/>
          <w:numId w:val="0"/>
        </w:numPr>
        <w:contextualSpacing/>
        <w:ind w:firstLine="482"/>
        <w:keepLines/>
        <w:keepNext/>
        <w:spacing w:before="145" w:after="145"/>
        <w:rPr>
          <w:rFonts w:hint="eastAsia" w:ascii="宋体" w:hAnsi="宋体"/>
          <w:b/>
          <w:bCs/>
          <w:sz w:val="24"/>
        </w:rPr>
        <w:outlineLvl w:val="2"/>
      </w:pPr>
      <w:r>
        <w:rPr>
          <w:rFonts w:hint="eastAsia" w:ascii="宋体" w:hAnsi="宋体"/>
          <w:b/>
          <w:bCs/>
          <w:sz w:val="24"/>
        </w:rPr>
        <w:t xml:space="preserve">（二）建设内容</w:t>
      </w:r>
      <w:r>
        <w:rPr>
          <w:rFonts w:hint="eastAsia" w:ascii="宋体" w:hAnsi="宋体"/>
          <w:b/>
          <w:bCs/>
          <w:sz w:val="24"/>
        </w:rPr>
      </w:r>
      <w:r/>
    </w:p>
    <w:p>
      <w:pPr>
        <w:pStyle w:val="653"/>
        <w:numPr>
          <w:ilvl w:val="2"/>
          <w:numId w:val="0"/>
        </w:numPr>
        <w:contextualSpacing/>
        <w:ind w:firstLine="482"/>
        <w:keepLines/>
        <w:keepNext/>
        <w:spacing w:before="145" w:after="145"/>
        <w:rPr>
          <w:b/>
          <w:bCs/>
          <w:sz w:val="24"/>
          <w:szCs w:val="24"/>
        </w:rPr>
        <w:outlineLvl w:val="2"/>
      </w:pPr>
      <w:r/>
      <w:bookmarkStart w:id="190" w:name="_Toc181347677"/>
      <w:r/>
      <w:bookmarkStart w:id="191" w:name="_Hlk110672011"/>
      <w:r>
        <w:rPr>
          <w:b/>
          <w:bCs/>
          <w:sz w:val="24"/>
          <w:szCs w:val="24"/>
        </w:rPr>
        <w:t xml:space="preserve">1. 地下水环境基础数据库建设</w:t>
      </w:r>
      <w:bookmarkEnd w:id="190"/>
      <w:r>
        <w:rPr>
          <w:b/>
          <w:bCs/>
          <w:sz w:val="24"/>
          <w:szCs w:val="24"/>
        </w:rPr>
      </w:r>
      <w:r/>
    </w:p>
    <w:p>
      <w:pPr>
        <w:pStyle w:val="653"/>
        <w:contextualSpacing/>
        <w:ind w:firstLine="480"/>
        <w:rPr>
          <w:sz w:val="24"/>
          <w:szCs w:val="24"/>
        </w:rPr>
      </w:pPr>
      <w:r>
        <w:rPr>
          <w:sz w:val="24"/>
          <w:szCs w:val="24"/>
        </w:rPr>
        <w:t xml:space="preserve">地下水环境基础数据库主要包括地下水污染源数据库、水文地质结构数据库和地下水监测点位数据库三大类别，将收集到的信息，通过规定统一标准化的数据格式，建设江苏省地下水环境基础数据库，实现“统一存储、统一维护、统一检索、统一应用”，同时数据库结合后续地下水污染防治各类项目进行动态更新和持续积累，建立水土环境要素时空演变数据库。</w:t>
      </w:r>
      <w:r>
        <w:rPr>
          <w:rFonts w:hint="eastAsia"/>
          <w:sz w:val="24"/>
          <w:szCs w:val="24"/>
        </w:rPr>
        <w:t xml:space="preserve">同步建设动态更新的地下水环境向量知识库，针对专业术语、污染因子别名等专项优化，形成可复用语义模型，提升检索与语义理解精度。</w:t>
      </w:r>
      <w:r>
        <w:rPr>
          <w:sz w:val="24"/>
          <w:szCs w:val="24"/>
        </w:rPr>
      </w:r>
      <w:r/>
    </w:p>
    <w:p>
      <w:pPr>
        <w:pStyle w:val="653"/>
        <w:numPr>
          <w:ilvl w:val="3"/>
          <w:numId w:val="0"/>
        </w:numPr>
        <w:contextualSpacing/>
        <w:ind w:firstLine="482"/>
        <w:keepLines/>
        <w:keepNext/>
        <w:rPr>
          <w:b/>
          <w:bCs/>
          <w:sz w:val="24"/>
          <w:szCs w:val="24"/>
        </w:rPr>
        <w:outlineLvl w:val="3"/>
      </w:pPr>
      <w:r>
        <w:rPr>
          <w:b/>
          <w:bCs/>
          <w:sz w:val="24"/>
          <w:szCs w:val="24"/>
        </w:rPr>
        <w:t xml:space="preserve">1.1 地下水污染源数据库</w:t>
      </w:r>
      <w:r>
        <w:rPr>
          <w:b/>
          <w:bCs/>
          <w:sz w:val="24"/>
          <w:szCs w:val="24"/>
        </w:rPr>
      </w:r>
      <w:r/>
    </w:p>
    <w:p>
      <w:pPr>
        <w:pStyle w:val="653"/>
        <w:contextualSpacing/>
        <w:ind w:firstLine="480"/>
        <w:rPr>
          <w:sz w:val="24"/>
          <w:szCs w:val="24"/>
        </w:rPr>
      </w:pPr>
      <w:r>
        <w:rPr>
          <w:sz w:val="24"/>
          <w:szCs w:val="24"/>
        </w:rPr>
        <w:t xml:space="preserve">地下水污染源主要基于项目地下水污染源清单及数据库更新工作，建设江苏省八大类污染源（包括：</w:t>
      </w:r>
      <w:bookmarkStart w:id="192" w:name="OLE_LINK56"/>
      <w:r>
        <w:rPr>
          <w:sz w:val="24"/>
          <w:szCs w:val="24"/>
        </w:rPr>
        <w:t xml:space="preserve">工业污染源、矿山开采区、危废处置场、垃圾填埋场、加油站、农业污染源、高尔夫球场及地表污水</w:t>
      </w:r>
      <w:bookmarkEnd w:id="192"/>
      <w:r>
        <w:rPr>
          <w:sz w:val="24"/>
          <w:szCs w:val="24"/>
        </w:rPr>
        <w:t xml:space="preserve">）基础数据库，同时增加土壤污染重点监管单位、地下水重点排污单位、涉重工业园区及化工园区等三大类作为重点污染源。通过收集环境影响评价报告、重点排污单位名录、污染源普查、重点行业企业详细调查、土壤污染状况调查、区域地下水环境状况调查、污染地块管理系统调查资料、环境统计报表等相关资料，获取以下基本信息。</w:t>
      </w:r>
      <w:r>
        <w:rPr>
          <w:sz w:val="24"/>
          <w:szCs w:val="24"/>
        </w:rPr>
      </w:r>
      <w:r/>
    </w:p>
    <w:p>
      <w:pPr>
        <w:pStyle w:val="653"/>
        <w:contextualSpacing/>
        <w:ind w:firstLine="480"/>
        <w:rPr>
          <w:sz w:val="24"/>
          <w:szCs w:val="24"/>
        </w:rPr>
      </w:pPr>
      <w:r>
        <w:rPr>
          <w:sz w:val="24"/>
          <w:szCs w:val="24"/>
        </w:rPr>
        <w:t xml:space="preserve">（1）八大类污染源数据库</w:t>
      </w:r>
      <w:r>
        <w:rPr>
          <w:sz w:val="24"/>
          <w:szCs w:val="24"/>
        </w:rPr>
      </w:r>
      <w:r/>
    </w:p>
    <w:p>
      <w:pPr>
        <w:pStyle w:val="653"/>
        <w:contextualSpacing/>
        <w:ind w:firstLine="480"/>
        <w:rPr>
          <w:sz w:val="24"/>
          <w:szCs w:val="24"/>
        </w:rPr>
      </w:pPr>
      <w:r>
        <w:rPr>
          <w:sz w:val="24"/>
          <w:szCs w:val="24"/>
        </w:rPr>
        <w:t xml:space="preserve">基本内容包括：污染源名称、土地使用权人、地理位置、经纬度、占地面积、成立时间、行业类别、平面布置、产生的污染物类别，污染物产生及排放量、涉及的有毒有害物质、污染源所在区域的地下水类型、埋藏条件、地下水埋深、渗透性能及含水层分布情况等信息，以及环境影响评价和批复资料、排污许可证申报资料、周边敏感受体分布资料、已开展的土壤和地下水调查成果资料（土壤和地下水监测点位分布、监测指标和监测结果）等。</w:t>
      </w:r>
      <w:r>
        <w:rPr>
          <w:sz w:val="24"/>
          <w:szCs w:val="24"/>
        </w:rPr>
      </w:r>
      <w:r/>
    </w:p>
    <w:p>
      <w:pPr>
        <w:pStyle w:val="653"/>
        <w:contextualSpacing/>
        <w:ind w:firstLine="480"/>
        <w:rPr>
          <w:sz w:val="24"/>
          <w:szCs w:val="24"/>
        </w:rPr>
      </w:pPr>
      <w:r>
        <w:rPr>
          <w:sz w:val="24"/>
          <w:szCs w:val="24"/>
        </w:rPr>
        <w:t xml:space="preserve">（2）土壤污染重点监管单位和地下水重点排污单位数据库</w:t>
      </w:r>
      <w:r>
        <w:rPr>
          <w:sz w:val="24"/>
          <w:szCs w:val="24"/>
        </w:rPr>
      </w:r>
      <w:r/>
    </w:p>
    <w:p>
      <w:pPr>
        <w:pStyle w:val="653"/>
        <w:contextualSpacing/>
        <w:ind w:firstLine="480"/>
        <w:rPr>
          <w:sz w:val="24"/>
          <w:szCs w:val="24"/>
        </w:rPr>
      </w:pPr>
      <w:r>
        <w:rPr>
          <w:sz w:val="24"/>
          <w:szCs w:val="24"/>
        </w:rPr>
        <w:t xml:space="preserve">基本内容包括：企业名称、地理位置、土地使用现状及历史情况、土地使用权人、经纬度、占地面积、成立时间、行业类别、企业平面布置、产生的污染物类别，污染物产生及排放量、涉及的有毒有害物质、重点监管单位所在区域的地下水类型、埋藏条件、地下水埋深、渗透性能及含水层分布情况等信息，以及环境影响评价和批复资料、排污许可证申报资料、周边敏感受体分布资料、已开展的土壤和地下水调查成果资料（土壤和地下水监测点位分布、监测指标和监测结果）等。</w:t>
      </w:r>
      <w:r>
        <w:rPr>
          <w:sz w:val="24"/>
          <w:szCs w:val="24"/>
        </w:rPr>
      </w:r>
      <w:r/>
    </w:p>
    <w:p>
      <w:pPr>
        <w:pStyle w:val="653"/>
        <w:contextualSpacing/>
        <w:ind w:firstLine="480"/>
        <w:rPr>
          <w:sz w:val="24"/>
          <w:szCs w:val="24"/>
        </w:rPr>
      </w:pPr>
      <w:r>
        <w:rPr>
          <w:sz w:val="24"/>
          <w:szCs w:val="24"/>
        </w:rPr>
        <w:t xml:space="preserve">（3）工业园区及化工园区数据库</w:t>
      </w:r>
      <w:r>
        <w:rPr>
          <w:sz w:val="24"/>
          <w:szCs w:val="24"/>
        </w:rPr>
      </w:r>
      <w:r/>
    </w:p>
    <w:p>
      <w:pPr>
        <w:pStyle w:val="653"/>
        <w:contextualSpacing/>
        <w:ind w:firstLine="480"/>
        <w:rPr>
          <w:sz w:val="24"/>
          <w:szCs w:val="24"/>
        </w:rPr>
      </w:pPr>
      <w:r>
        <w:rPr>
          <w:sz w:val="24"/>
          <w:szCs w:val="24"/>
        </w:rPr>
        <w:t xml:space="preserve">基本内容包括：省级工业园区名单（关注涉重及化工）、类</w:t>
      </w:r>
      <w:r>
        <w:rPr>
          <w:sz w:val="24"/>
          <w:szCs w:val="24"/>
        </w:rPr>
        <w:t xml:space="preserve">型、地理位置、成立时间、入住企业基本情况（企业名称、土地权属、经纬度、占地面积、成立时间、行业类别、污染物产生及排放等）、重点关注企业情况、园区已发生的环境污染事故基本情况及事故处理情况、园区水文地质条件资料（园区地下水类型、埋藏条件、地下水埋深、渗透性能及含水层分布情况等信息），园区已开展的地下水和土壤调查评估方案、地下水环境状况初步调查报告和详细调查报告（包括调查过程收集的园区基础资料、产排污资料、地下水和土壤历史监测资料、污染事故资料、调查点位分布，监测因子，调查结果资料等），园区周边敏感目标分布等。</w:t>
      </w:r>
      <w:r>
        <w:rPr>
          <w:sz w:val="24"/>
          <w:szCs w:val="24"/>
        </w:rPr>
      </w:r>
      <w:r/>
    </w:p>
    <w:p>
      <w:pPr>
        <w:pStyle w:val="653"/>
        <w:numPr>
          <w:ilvl w:val="3"/>
          <w:numId w:val="0"/>
        </w:numPr>
        <w:contextualSpacing/>
        <w:ind w:firstLine="482"/>
        <w:keepLines/>
        <w:keepNext/>
        <w:rPr>
          <w:b/>
          <w:bCs/>
          <w:sz w:val="24"/>
          <w:szCs w:val="24"/>
        </w:rPr>
        <w:outlineLvl w:val="3"/>
      </w:pPr>
      <w:r>
        <w:rPr>
          <w:b/>
          <w:bCs/>
          <w:sz w:val="24"/>
          <w:szCs w:val="24"/>
        </w:rPr>
        <w:t xml:space="preserve">1.2 水文地质条件数据库</w:t>
      </w:r>
      <w:r>
        <w:rPr>
          <w:b/>
          <w:bCs/>
          <w:sz w:val="24"/>
          <w:szCs w:val="24"/>
        </w:rPr>
      </w:r>
      <w:r/>
    </w:p>
    <w:p>
      <w:pPr>
        <w:pStyle w:val="653"/>
        <w:contextualSpacing/>
        <w:ind w:firstLine="480"/>
        <w:rPr>
          <w:sz w:val="24"/>
          <w:szCs w:val="24"/>
        </w:rPr>
      </w:pPr>
      <w:r>
        <w:rPr>
          <w:sz w:val="24"/>
          <w:szCs w:val="24"/>
        </w:rPr>
        <w:t xml:space="preserve">通过整合我省已完成的水文地质勘查、水资源调查、工程地质勘查、地下水监测孔钻孔、水文地质剖面等相关成果，及污染防治重点区划定过程中脆弱性评估成果，获取我省不同类型浅层地下水（孔隙水、裂隙水、岩溶水）区域钻孔资料，并进行数字化，初步构建江苏省水文地质数据库及江苏省地层结构模型。</w:t>
      </w:r>
      <w:r>
        <w:rPr>
          <w:rFonts w:hint="eastAsia"/>
          <w:sz w:val="24"/>
          <w:szCs w:val="24"/>
        </w:rPr>
        <w:t xml:space="preserve">并指导采购人与已建智慧数据分析与反演系统完成集成对接工作。</w:t>
      </w:r>
      <w:r>
        <w:rPr>
          <w:sz w:val="24"/>
          <w:szCs w:val="24"/>
        </w:rPr>
      </w:r>
      <w:r/>
    </w:p>
    <w:p>
      <w:pPr>
        <w:pStyle w:val="653"/>
        <w:contextualSpacing/>
        <w:ind w:firstLine="480"/>
        <w:rPr>
          <w:sz w:val="24"/>
          <w:szCs w:val="24"/>
        </w:rPr>
      </w:pPr>
      <w:r>
        <w:rPr>
          <w:sz w:val="24"/>
          <w:szCs w:val="24"/>
        </w:rPr>
        <w:t xml:space="preserve">（1）地层数据库</w:t>
      </w:r>
      <w:r>
        <w:rPr>
          <w:sz w:val="24"/>
          <w:szCs w:val="24"/>
        </w:rPr>
      </w:r>
      <w:r/>
    </w:p>
    <w:p>
      <w:pPr>
        <w:pStyle w:val="653"/>
        <w:contextualSpacing/>
        <w:ind w:firstLine="480"/>
        <w:rPr>
          <w:sz w:val="24"/>
          <w:szCs w:val="24"/>
        </w:rPr>
      </w:pPr>
      <w:r>
        <w:rPr>
          <w:sz w:val="24"/>
          <w:szCs w:val="24"/>
        </w:rPr>
        <w:t xml:space="preserve">基本内容包括：收集各地区开展的工程地质或水文地质勘查成果，获取各地各层土层的顶板埋深、底板埋深、土层厚度等资料；</w:t>
      </w:r>
      <w:r>
        <w:rPr>
          <w:sz w:val="24"/>
          <w:szCs w:val="24"/>
        </w:rPr>
      </w:r>
      <w:r/>
    </w:p>
    <w:p>
      <w:pPr>
        <w:pStyle w:val="653"/>
        <w:contextualSpacing/>
        <w:ind w:firstLine="480"/>
        <w:rPr>
          <w:sz w:val="24"/>
          <w:szCs w:val="24"/>
        </w:rPr>
      </w:pPr>
      <w:r>
        <w:rPr>
          <w:sz w:val="24"/>
          <w:szCs w:val="24"/>
        </w:rPr>
        <w:t xml:space="preserve">（2）水文地质条件数据库</w:t>
      </w:r>
      <w:r>
        <w:rPr>
          <w:sz w:val="24"/>
          <w:szCs w:val="24"/>
        </w:rPr>
      </w:r>
      <w:r/>
    </w:p>
    <w:p>
      <w:pPr>
        <w:pStyle w:val="653"/>
        <w:contextualSpacing/>
        <w:ind w:firstLine="480"/>
        <w:rPr>
          <w:rFonts w:hint="eastAsia"/>
          <w:sz w:val="24"/>
          <w:szCs w:val="24"/>
        </w:rPr>
      </w:pPr>
      <w:r>
        <w:rPr>
          <w:sz w:val="24"/>
          <w:szCs w:val="24"/>
        </w:rPr>
        <w:t xml:space="preserve">基本内容包括：通过收集各地区开展的工程地质或水文地质勘查成果，获取各地地下水水位埋深、含水层及隔水层分布、地下水赋存类型及条件、地下水补给、径流、排泄条件等资料</w:t>
      </w:r>
      <w:r>
        <w:rPr>
          <w:rFonts w:hint="eastAsia"/>
          <w:sz w:val="24"/>
          <w:szCs w:val="24"/>
        </w:rPr>
        <w:t xml:space="preserve">。</w:t>
      </w:r>
      <w:r>
        <w:rPr>
          <w:rFonts w:hint="eastAsia"/>
          <w:sz w:val="24"/>
          <w:szCs w:val="24"/>
        </w:rPr>
      </w:r>
      <w:r/>
    </w:p>
    <w:p>
      <w:pPr>
        <w:pStyle w:val="653"/>
        <w:numPr>
          <w:ilvl w:val="3"/>
          <w:numId w:val="0"/>
        </w:numPr>
        <w:contextualSpacing/>
        <w:ind w:firstLine="482"/>
        <w:keepLines/>
        <w:keepNext/>
        <w:rPr>
          <w:b/>
          <w:bCs/>
          <w:sz w:val="24"/>
          <w:szCs w:val="24"/>
        </w:rPr>
        <w:outlineLvl w:val="3"/>
      </w:pPr>
      <w:r>
        <w:rPr>
          <w:b/>
          <w:bCs/>
          <w:sz w:val="24"/>
          <w:szCs w:val="24"/>
        </w:rPr>
        <w:t xml:space="preserve">1.3 地下水监测点位数据库</w:t>
      </w:r>
      <w:r>
        <w:rPr>
          <w:b/>
          <w:bCs/>
          <w:sz w:val="24"/>
          <w:szCs w:val="24"/>
        </w:rPr>
      </w:r>
      <w:r/>
    </w:p>
    <w:p>
      <w:pPr>
        <w:pStyle w:val="653"/>
        <w:contextualSpacing/>
        <w:ind w:firstLine="480"/>
        <w:rPr>
          <w:sz w:val="24"/>
          <w:szCs w:val="24"/>
        </w:rPr>
      </w:pPr>
      <w:r>
        <w:rPr>
          <w:sz w:val="24"/>
          <w:szCs w:val="24"/>
        </w:rPr>
        <w:t xml:space="preserve">通过整合我省已开展的地下水环境国家考核点位</w:t>
      </w:r>
      <w:r>
        <w:rPr>
          <w:sz w:val="24"/>
          <w:szCs w:val="24"/>
        </w:rPr>
        <w:t xml:space="preserve">、省控地下水环境监测点位、化工园区地下水环境状况初步调查点位、化工园区地下水环境状况详细调查点位、垃圾填埋场和危废处置场地下水环境状况初步调查点位、重点监管单位周边监测地下水点位、土壤污染重点监管单位及地下水重点排污单位地下水自行监测点位等我省已建设或正在建设的地下水监测点位，建立我省地下水监测井清单，收集监测井建设资料（包括点位类型、点位名称、经纬度、建井深度、筛管深度、井管材质、管径大小、地面高程、井口高程、水位埋深、监测井照片、标识牌设立情况）等，并统一和规范数据格式，构建江苏省地下水监测点位数据库。</w:t>
      </w:r>
      <w:r>
        <w:rPr>
          <w:sz w:val="24"/>
          <w:szCs w:val="24"/>
        </w:rPr>
      </w:r>
      <w:r/>
    </w:p>
    <w:p>
      <w:pPr>
        <w:pStyle w:val="653"/>
        <w:numPr>
          <w:ilvl w:val="2"/>
          <w:numId w:val="0"/>
        </w:numPr>
        <w:contextualSpacing/>
        <w:ind w:firstLine="482"/>
        <w:keepLines/>
        <w:keepNext/>
        <w:spacing w:before="145" w:after="145"/>
        <w:rPr>
          <w:b/>
          <w:bCs/>
          <w:sz w:val="24"/>
          <w:szCs w:val="24"/>
        </w:rPr>
        <w:outlineLvl w:val="2"/>
      </w:pPr>
      <w:r/>
      <w:bookmarkStart w:id="193" w:name="_Hlk181365807"/>
      <w:r>
        <w:rPr>
          <w:b/>
          <w:bCs/>
          <w:sz w:val="24"/>
          <w:szCs w:val="24"/>
        </w:rPr>
        <w:t xml:space="preserve">2. 地下水重点污染源监管模块</w:t>
      </w:r>
      <w:r>
        <w:rPr>
          <w:b/>
          <w:bCs/>
          <w:sz w:val="24"/>
          <w:szCs w:val="24"/>
        </w:rPr>
      </w:r>
      <w:r/>
    </w:p>
    <w:p>
      <w:pPr>
        <w:pStyle w:val="653"/>
        <w:contextualSpacing/>
        <w:ind w:firstLine="480"/>
        <w:rPr>
          <w:rFonts w:hint="eastAsia"/>
          <w:sz w:val="24"/>
          <w:szCs w:val="24"/>
        </w:rPr>
      </w:pPr>
      <w:r>
        <w:rPr>
          <w:sz w:val="24"/>
          <w:szCs w:val="24"/>
        </w:rPr>
        <w:t xml:space="preserve">地下水重点污染源包括：土壤污染重点监管单位、地下水重点排污单位、涉重工业园区及化工园区、污染地块、修复或风险管控地块、基于地下水污染源清单及数据库更新工作获取的八大类污染源企业。每个重点污染源监管为一个子模块，共5个子模块，分别为：八大类污染源监管子模块、土壤和地下水重点监管单位监管子模块、涉重工业园区及化工园区监管子模块、污染地块监管子模块、修复或风险管控地块监管子模块，每个子模块根据污染特点不同设置不同的产品功能，但均涵盖数据录入、信息查询、数据分析、一张图展示等相关功能。</w:t>
      </w:r>
      <w:r>
        <w:rPr>
          <w:rFonts w:hint="eastAsia"/>
          <w:sz w:val="24"/>
          <w:szCs w:val="24"/>
        </w:rPr>
        <w:t xml:space="preserve">同时，系统提供智能文档解析，按模板提取结构化数据，实现一次上传、自动入库、规范存储。</w:t>
      </w:r>
      <w:r>
        <w:rPr>
          <w:rFonts w:hint="eastAsia"/>
          <w:sz w:val="24"/>
          <w:szCs w:val="24"/>
        </w:rPr>
      </w:r>
      <w:r/>
    </w:p>
    <w:p>
      <w:pPr>
        <w:pStyle w:val="653"/>
        <w:numPr>
          <w:ilvl w:val="3"/>
          <w:numId w:val="0"/>
        </w:numPr>
        <w:contextualSpacing/>
        <w:ind w:firstLine="482"/>
        <w:keepLines/>
        <w:keepNext/>
        <w:rPr>
          <w:b/>
          <w:bCs/>
          <w:sz w:val="24"/>
          <w:szCs w:val="24"/>
        </w:rPr>
        <w:outlineLvl w:val="3"/>
      </w:pPr>
      <w:r>
        <w:rPr>
          <w:rFonts w:hint="eastAsia"/>
          <w:b/>
          <w:bCs/>
          <w:sz w:val="24"/>
          <w:szCs w:val="24"/>
        </w:rPr>
        <w:t xml:space="preserve">2.1 </w:t>
      </w:r>
      <w:r>
        <w:rPr>
          <w:b/>
          <w:bCs/>
          <w:sz w:val="24"/>
          <w:szCs w:val="24"/>
        </w:rPr>
        <w:t xml:space="preserve">八大类污染源监管子模块</w:t>
      </w:r>
      <w:r>
        <w:rPr>
          <w:b/>
          <w:bCs/>
          <w:sz w:val="24"/>
          <w:szCs w:val="24"/>
        </w:rPr>
      </w:r>
      <w:r/>
    </w:p>
    <w:p>
      <w:pPr>
        <w:pStyle w:val="653"/>
        <w:contextualSpacing/>
        <w:ind w:firstLine="480"/>
        <w:rPr>
          <w:sz w:val="24"/>
          <w:szCs w:val="24"/>
        </w:rPr>
      </w:pPr>
      <w:r>
        <w:rPr>
          <w:sz w:val="24"/>
          <w:szCs w:val="24"/>
        </w:rPr>
        <w:t xml:space="preserve">信息录入：污染源名称、类型、地理位置、空间范围、若为工业污染源需录入工业企业的具体信息（经纬度、占地面积、成立时间、行业类别、平面布置、产生的污染物类别，污染物产生及排放量、涉及的有毒有害物质）等相关内容，以及该污染源信息采集报告及收集的相关资料（包括企业基本信息、地块权属人、地块使用人、环评报告、水文地质情况、周边敏感受体分布资料等），重点行业企业用地调查方案、土壤及地下水自行监测方案及监测报告、企业土壤污染隐患排查报告、地下水和土壤调查点位分布、涉及的有毒有害物质、监测因子，监测结果资料等。</w:t>
      </w:r>
      <w:r>
        <w:rPr>
          <w:rFonts w:hint="eastAsia"/>
          <w:sz w:val="24"/>
          <w:szCs w:val="24"/>
        </w:rPr>
        <w:t xml:space="preserve">系统支持上传上述文档材料后，抽取关键信息填充至对应字段，减少人工录入工作量。</w:t>
      </w:r>
      <w:r>
        <w:rPr>
          <w:sz w:val="24"/>
          <w:szCs w:val="24"/>
        </w:rPr>
      </w:r>
      <w:r/>
    </w:p>
    <w:p>
      <w:pPr>
        <w:pStyle w:val="653"/>
        <w:contextualSpacing/>
        <w:ind w:firstLine="480"/>
        <w:rPr>
          <w:sz w:val="24"/>
          <w:szCs w:val="24"/>
        </w:rPr>
      </w:pPr>
      <w:r>
        <w:rPr>
          <w:sz w:val="24"/>
          <w:szCs w:val="24"/>
        </w:rPr>
        <w:t xml:space="preserve">信息查询：对上述信息录入内容实现数据清单列表查看，支持按照地块名称、点位名称、所属行政区、所属行业、调查时间、是否超标等条件进行查询，并支持地图定位操作，从而查看该点位的地理位置及周边地理环境要素情况。</w:t>
      </w:r>
      <w:r>
        <w:rPr>
          <w:rFonts w:hint="eastAsia"/>
          <w:sz w:val="24"/>
          <w:szCs w:val="24"/>
        </w:rPr>
        <w:t xml:space="preserve">同时提供自然语言语义查询。</w:t>
      </w:r>
      <w:r>
        <w:rPr>
          <w:sz w:val="24"/>
          <w:szCs w:val="24"/>
        </w:rPr>
      </w:r>
      <w:r/>
    </w:p>
    <w:p>
      <w:pPr>
        <w:pStyle w:val="653"/>
        <w:contextualSpacing/>
        <w:ind w:firstLine="480"/>
        <w:rPr>
          <w:sz w:val="24"/>
          <w:szCs w:val="24"/>
        </w:rPr>
      </w:pPr>
      <w:r>
        <w:rPr>
          <w:sz w:val="24"/>
          <w:szCs w:val="24"/>
        </w:rPr>
        <w:t xml:space="preserve">数据分析：系统可对污染源的地下水监测数据进行趋势分析，如可点击某一污染源调查结果，显示该污染源历史上所有地下水调查结果并以趋势线进行分析，还可以按行政区划、所属行业，分布统计工业污染源、加油站填埋场、以及危废处置场等污染源数量情况，以及分类统计地下水监测结果的超标情况。</w:t>
      </w:r>
      <w:r>
        <w:rPr>
          <w:rFonts w:hint="eastAsia"/>
          <w:sz w:val="24"/>
          <w:szCs w:val="24"/>
        </w:rPr>
        <w:t xml:space="preserve">系统分析结果由大语言模型自动生成智能解读，辅助风险研判。</w:t>
      </w:r>
      <w:r>
        <w:rPr>
          <w:sz w:val="24"/>
          <w:szCs w:val="24"/>
        </w:rPr>
      </w:r>
      <w:r/>
    </w:p>
    <w:p>
      <w:pPr>
        <w:pStyle w:val="653"/>
        <w:contextualSpacing/>
        <w:ind w:firstLine="482"/>
        <w:rPr>
          <w:sz w:val="24"/>
          <w:szCs w:val="24"/>
        </w:rPr>
      </w:pPr>
      <w:r>
        <w:rPr>
          <w:b/>
          <w:bCs/>
          <w:sz w:val="24"/>
          <w:szCs w:val="24"/>
        </w:rPr>
        <w:t xml:space="preserve">一张图展示：</w:t>
      </w:r>
      <w:r>
        <w:rPr>
          <w:sz w:val="24"/>
          <w:szCs w:val="24"/>
        </w:rPr>
        <w:t xml:space="preserve">对上述所有信息进行可视化展示功能。</w:t>
      </w:r>
      <w:r>
        <w:rPr>
          <w:sz w:val="24"/>
          <w:szCs w:val="24"/>
        </w:rPr>
      </w:r>
      <w:r/>
    </w:p>
    <w:p>
      <w:pPr>
        <w:pStyle w:val="653"/>
        <w:numPr>
          <w:ilvl w:val="3"/>
          <w:numId w:val="0"/>
        </w:numPr>
        <w:contextualSpacing/>
        <w:ind w:firstLine="482"/>
        <w:keepLines/>
        <w:keepNext/>
        <w:rPr>
          <w:b/>
          <w:bCs/>
          <w:sz w:val="24"/>
          <w:szCs w:val="24"/>
        </w:rPr>
        <w:outlineLvl w:val="3"/>
      </w:pPr>
      <w:r>
        <w:rPr>
          <w:rFonts w:hint="eastAsia"/>
          <w:b/>
          <w:bCs/>
          <w:sz w:val="24"/>
          <w:szCs w:val="24"/>
        </w:rPr>
        <w:t xml:space="preserve">2.2 </w:t>
      </w:r>
      <w:r>
        <w:rPr>
          <w:b/>
          <w:bCs/>
          <w:sz w:val="24"/>
          <w:szCs w:val="24"/>
        </w:rPr>
        <w:t xml:space="preserve">土壤和地下水重点监管单位监管子模块</w:t>
      </w:r>
      <w:r>
        <w:rPr>
          <w:b/>
          <w:bCs/>
          <w:sz w:val="24"/>
          <w:szCs w:val="24"/>
        </w:rPr>
      </w:r>
      <w:r/>
    </w:p>
    <w:p>
      <w:pPr>
        <w:pStyle w:val="653"/>
        <w:contextualSpacing/>
        <w:ind w:firstLine="480"/>
        <w:rPr>
          <w:sz w:val="24"/>
          <w:szCs w:val="24"/>
        </w:rPr>
      </w:pPr>
      <w:r>
        <w:rPr>
          <w:sz w:val="24"/>
          <w:szCs w:val="24"/>
        </w:rPr>
        <w:t xml:space="preserve">信息录入：土壤和地下水重点监管单位名录相关信息，江苏省2021年-2024年土壤和地下水重点监管单位名录发布情况、土壤和地下水重点监管单位信息（企业名称、纳入名录时间、土地使用现状及历史情况、土地使用权人、地理位置、经纬度、占地面积、成立时间、行业类别、企业平面布置、产生的污染物类别，污染物产生及排放量、涉及的有毒有害物质）、重点监管单位所在区域的地下水类型、埋藏条件、地下水埋深、渗透性能及含水层分布情况等信息，土壤和地下水监测点位分布、监测指标和监测结果。</w:t>
      </w:r>
      <w:r>
        <w:rPr>
          <w:rFonts w:hint="eastAsia"/>
          <w:sz w:val="24"/>
          <w:szCs w:val="24"/>
        </w:rPr>
        <w:t xml:space="preserve">系统支持依据监测数据动态评估企业风险等级。</w:t>
      </w:r>
      <w:r>
        <w:rPr>
          <w:sz w:val="24"/>
          <w:szCs w:val="24"/>
        </w:rPr>
      </w:r>
      <w:r/>
    </w:p>
    <w:p>
      <w:pPr>
        <w:pStyle w:val="653"/>
        <w:contextualSpacing/>
        <w:ind w:firstLine="480"/>
        <w:rPr>
          <w:sz w:val="24"/>
          <w:szCs w:val="24"/>
        </w:rPr>
      </w:pPr>
      <w:r>
        <w:rPr>
          <w:sz w:val="24"/>
          <w:szCs w:val="24"/>
        </w:rPr>
        <w:t xml:space="preserve">名录管理：提供重点监管单位名录管理功能，管理部门在线统一维护重点监管单位名录，支持名录增加移出以及条件查询等操作。提供重点监管单位信息管理功能，并实现“一企一档”。重点监管单位信息包括企业基础信息、厂区边界、厂区内重点区域边界矢量文件等信息。系统可根据企业风险等级变化、监测结果等，智能推荐新增或移除名录建议。</w:t>
      </w:r>
      <w:r>
        <w:rPr>
          <w:sz w:val="24"/>
          <w:szCs w:val="24"/>
        </w:rPr>
      </w:r>
      <w:r/>
    </w:p>
    <w:p>
      <w:pPr>
        <w:pStyle w:val="653"/>
        <w:contextualSpacing/>
        <w:ind w:firstLine="480"/>
        <w:rPr>
          <w:sz w:val="24"/>
          <w:szCs w:val="24"/>
        </w:rPr>
      </w:pPr>
      <w:r>
        <w:rPr>
          <w:sz w:val="24"/>
          <w:szCs w:val="24"/>
        </w:rPr>
        <w:t xml:space="preserve">信息查询：对上述信息录入内容实现数据清单列表查看，支持按照企业名称、点位名称、所属行政区、所属行业、调查时间、自行监测方案、自行监测报告、隐患排查报告、自行监测结果、自行监测结果是否超标等条件进行查询，并支持地图定位操作，从而查看该点位的地理位置及周边地理环境要素情况。支持语义查询和智能关联检索。</w:t>
      </w:r>
      <w:r>
        <w:rPr>
          <w:sz w:val="24"/>
          <w:szCs w:val="24"/>
        </w:rPr>
      </w:r>
      <w:r/>
    </w:p>
    <w:p>
      <w:pPr>
        <w:pStyle w:val="653"/>
        <w:contextualSpacing/>
        <w:ind w:firstLine="480"/>
        <w:rPr>
          <w:rFonts w:hint="eastAsia"/>
          <w:sz w:val="24"/>
          <w:szCs w:val="24"/>
        </w:rPr>
      </w:pPr>
      <w:r>
        <w:rPr>
          <w:sz w:val="24"/>
          <w:szCs w:val="24"/>
        </w:rPr>
        <w:t xml:space="preserve">一张图展示：对上述所有信息进行可视化展示功能。</w:t>
      </w:r>
      <w:r>
        <w:rPr>
          <w:rFonts w:hint="eastAsia"/>
          <w:sz w:val="24"/>
          <w:szCs w:val="24"/>
        </w:rPr>
      </w:r>
      <w:r/>
    </w:p>
    <w:p>
      <w:pPr>
        <w:pStyle w:val="653"/>
        <w:numPr>
          <w:ilvl w:val="3"/>
          <w:numId w:val="0"/>
        </w:numPr>
        <w:contextualSpacing/>
        <w:ind w:firstLine="482"/>
        <w:keepLines/>
        <w:keepNext/>
        <w:rPr>
          <w:b/>
          <w:bCs/>
          <w:sz w:val="24"/>
          <w:szCs w:val="24"/>
        </w:rPr>
        <w:outlineLvl w:val="3"/>
      </w:pPr>
      <w:r>
        <w:rPr>
          <w:rFonts w:hint="eastAsia"/>
          <w:b/>
          <w:bCs/>
          <w:sz w:val="24"/>
          <w:szCs w:val="24"/>
        </w:rPr>
        <w:t xml:space="preserve">2.3 </w:t>
      </w:r>
      <w:r>
        <w:rPr>
          <w:b/>
          <w:bCs/>
          <w:sz w:val="24"/>
          <w:szCs w:val="24"/>
        </w:rPr>
        <w:t xml:space="preserve">涉重工业园区及化工园区监管子模块</w:t>
      </w:r>
      <w:r>
        <w:rPr>
          <w:b/>
          <w:bCs/>
          <w:sz w:val="24"/>
          <w:szCs w:val="24"/>
        </w:rPr>
      </w:r>
      <w:r/>
    </w:p>
    <w:p>
      <w:pPr>
        <w:pStyle w:val="653"/>
        <w:contextualSpacing/>
        <w:ind w:firstLine="480"/>
        <w:rPr>
          <w:sz w:val="24"/>
          <w:szCs w:val="24"/>
        </w:rPr>
      </w:pPr>
      <w:r>
        <w:rPr>
          <w:sz w:val="24"/>
          <w:szCs w:val="24"/>
        </w:rPr>
        <w:t xml:space="preserve">信息录入：录入</w:t>
      </w:r>
      <w:r>
        <w:rPr>
          <w:rFonts w:hint="eastAsia"/>
          <w:sz w:val="24"/>
          <w:szCs w:val="24"/>
        </w:rPr>
        <w:t xml:space="preserve">相关</w:t>
      </w:r>
      <w:r>
        <w:rPr>
          <w:sz w:val="24"/>
          <w:szCs w:val="24"/>
        </w:rPr>
        <w:t xml:space="preserve">工业园区及化工园区基本信息，园区类型、地理位置、成立时间、入住企业基本情况等、园区水文地质条件资料（园区地下水类型、埋藏条件、地下水埋深、渗透性能及含水层分布情况等信息），园区已开展的地下水和土壤调查评估方案、地下水环境状况初步调查报告和详细调查报告，园区周边敏感目标分布等。</w:t>
      </w:r>
      <w:r>
        <w:rPr>
          <w:rFonts w:hint="eastAsia"/>
          <w:sz w:val="24"/>
          <w:szCs w:val="24"/>
        </w:rPr>
        <w:t xml:space="preserve">系统支持整合多源信息形成园区污染知识图谱与画像。</w:t>
      </w:r>
      <w:r>
        <w:rPr>
          <w:sz w:val="24"/>
          <w:szCs w:val="24"/>
        </w:rPr>
      </w:r>
      <w:r/>
    </w:p>
    <w:p>
      <w:pPr>
        <w:pStyle w:val="653"/>
        <w:contextualSpacing/>
        <w:ind w:firstLine="480"/>
        <w:rPr>
          <w:sz w:val="24"/>
          <w:szCs w:val="24"/>
        </w:rPr>
      </w:pPr>
      <w:r>
        <w:rPr>
          <w:sz w:val="24"/>
          <w:szCs w:val="24"/>
        </w:rPr>
        <w:t xml:space="preserve">信息查询：对上述信息录入内容实现数据清单列表查看，支持按照园区名称、所属行政区、所属行业、企业信息、是否超标等条件进行查询，并支持地图定位操作，从而查看该点位的地理位置及周边地理环境要素情况。</w:t>
      </w:r>
      <w:r>
        <w:rPr>
          <w:rFonts w:hint="eastAsia"/>
          <w:sz w:val="24"/>
          <w:szCs w:val="24"/>
        </w:rPr>
        <w:t xml:space="preserve">支持园区横向对比查询，自动生成污染风险热力图。</w:t>
      </w:r>
      <w:r>
        <w:rPr>
          <w:sz w:val="24"/>
          <w:szCs w:val="24"/>
        </w:rPr>
      </w:r>
      <w:r/>
    </w:p>
    <w:p>
      <w:pPr>
        <w:pStyle w:val="653"/>
        <w:contextualSpacing/>
        <w:ind w:firstLine="480"/>
        <w:rPr>
          <w:rFonts w:hint="eastAsia"/>
          <w:sz w:val="24"/>
          <w:szCs w:val="24"/>
        </w:rPr>
      </w:pPr>
      <w:r>
        <w:rPr>
          <w:sz w:val="24"/>
          <w:szCs w:val="24"/>
        </w:rPr>
        <w:t xml:space="preserve">一张图展示：</w:t>
      </w:r>
      <w:r>
        <w:rPr>
          <w:rFonts w:hint="eastAsia"/>
          <w:sz w:val="24"/>
          <w:szCs w:val="24"/>
        </w:rPr>
        <w:t xml:space="preserve">对上述所有信息进行可视化展示功能。</w:t>
      </w:r>
      <w:r>
        <w:rPr>
          <w:rFonts w:hint="eastAsia"/>
          <w:sz w:val="24"/>
          <w:szCs w:val="24"/>
        </w:rPr>
      </w:r>
      <w:r/>
    </w:p>
    <w:p>
      <w:pPr>
        <w:pStyle w:val="653"/>
        <w:numPr>
          <w:ilvl w:val="3"/>
          <w:numId w:val="0"/>
        </w:numPr>
        <w:contextualSpacing/>
        <w:ind w:firstLine="482"/>
        <w:keepLines/>
        <w:keepNext/>
        <w:rPr>
          <w:b/>
          <w:bCs/>
          <w:sz w:val="24"/>
          <w:szCs w:val="24"/>
        </w:rPr>
        <w:outlineLvl w:val="3"/>
      </w:pPr>
      <w:r>
        <w:rPr>
          <w:rFonts w:hint="eastAsia"/>
          <w:b/>
          <w:bCs/>
          <w:sz w:val="24"/>
          <w:szCs w:val="24"/>
        </w:rPr>
        <w:t xml:space="preserve">2.4 </w:t>
      </w:r>
      <w:r>
        <w:rPr>
          <w:b/>
          <w:bCs/>
          <w:sz w:val="24"/>
          <w:szCs w:val="24"/>
        </w:rPr>
        <w:t xml:space="preserve">污染地块监管子模块</w:t>
      </w:r>
      <w:r>
        <w:rPr>
          <w:b/>
          <w:bCs/>
          <w:sz w:val="24"/>
          <w:szCs w:val="24"/>
        </w:rPr>
      </w:r>
      <w:r/>
    </w:p>
    <w:p>
      <w:pPr>
        <w:pStyle w:val="653"/>
        <w:contextualSpacing/>
        <w:ind w:firstLine="480"/>
        <w:rPr>
          <w:rFonts w:hint="eastAsia"/>
          <w:sz w:val="24"/>
          <w:szCs w:val="24"/>
        </w:rPr>
      </w:pPr>
      <w:r>
        <w:rPr>
          <w:sz w:val="24"/>
          <w:szCs w:val="24"/>
        </w:rPr>
        <w:t xml:space="preserve">信息录入：</w:t>
      </w:r>
      <w:r>
        <w:rPr>
          <w:rFonts w:hint="eastAsia"/>
          <w:sz w:val="24"/>
          <w:szCs w:val="24"/>
        </w:rPr>
        <w:t xml:space="preserve">录入污染地块全要素信息，关联上传地块调查报告、风险评估报告、修复方案、管控方案、专家论证意见、后期监测等资料；系统支持从相关文档自动提取污染因子、超标情况、敏感受体、风险结论、修复建议等关键信息，建立 “一地一档” 精细化管理。</w:t>
      </w:r>
      <w:r>
        <w:rPr>
          <w:rFonts w:hint="eastAsia"/>
          <w:sz w:val="24"/>
          <w:szCs w:val="24"/>
        </w:rPr>
      </w:r>
      <w:r/>
    </w:p>
    <w:p>
      <w:pPr>
        <w:pStyle w:val="653"/>
        <w:contextualSpacing/>
        <w:ind w:firstLine="480"/>
        <w:rPr>
          <w:sz w:val="24"/>
          <w:szCs w:val="24"/>
        </w:rPr>
      </w:pPr>
      <w:r>
        <w:rPr>
          <w:sz w:val="24"/>
          <w:szCs w:val="24"/>
        </w:rPr>
        <w:t xml:space="preserve">信息查询：</w:t>
      </w:r>
      <w:r>
        <w:rPr>
          <w:rFonts w:hint="eastAsia"/>
          <w:sz w:val="24"/>
          <w:szCs w:val="24"/>
        </w:rPr>
        <w:t xml:space="preserve">支持按地块名称、行政区、规划用途、污染物、风险等级、地下水污染、敏感目标、再开发条件等多条件查询；可地图定位，联动展示周边污染源与敏感目标，支持自然语言语义查询。</w:t>
      </w:r>
      <w:r>
        <w:rPr>
          <w:sz w:val="24"/>
          <w:szCs w:val="24"/>
        </w:rPr>
      </w:r>
      <w:r/>
    </w:p>
    <w:p>
      <w:pPr>
        <w:pStyle w:val="653"/>
        <w:contextualSpacing/>
        <w:ind w:firstLine="480"/>
        <w:rPr>
          <w:sz w:val="24"/>
          <w:szCs w:val="24"/>
        </w:rPr>
      </w:pPr>
      <w:r>
        <w:rPr>
          <w:sz w:val="24"/>
          <w:szCs w:val="24"/>
        </w:rPr>
        <w:t xml:space="preserve">数据分析：系统</w:t>
      </w:r>
      <w:r>
        <w:rPr>
          <w:rFonts w:hint="eastAsia"/>
          <w:sz w:val="24"/>
          <w:szCs w:val="24"/>
        </w:rPr>
        <w:t xml:space="preserve">整合</w:t>
      </w:r>
      <w:r>
        <w:rPr>
          <w:sz w:val="24"/>
          <w:szCs w:val="24"/>
        </w:rPr>
        <w:t xml:space="preserve">污染地块调查监测数据、水文地质条件、周边敏感受体分布和规划用途，开展污染地块风险分级评价，对地块污染程度、地下水迁移风险、敏感受体暴露风险及再利用约束条件进行综合研判</w:t>
      </w:r>
      <w:r>
        <w:rPr>
          <w:rFonts w:hint="eastAsia"/>
          <w:sz w:val="24"/>
          <w:szCs w:val="24"/>
        </w:rPr>
        <w:t xml:space="preserve">，，识别典型情景并生成差异化管理建议</w:t>
      </w:r>
      <w:r>
        <w:rPr>
          <w:sz w:val="24"/>
          <w:szCs w:val="24"/>
        </w:rPr>
        <w:t xml:space="preserve">。针对不同风险等级和再利用场景，系统可构建治理修复和后期管理技术矩阵，综合比较技术适用性、实施成本、环境效益和后期维护要求，形成“一地一策”的安全再利用辅助决策方案。</w:t>
      </w:r>
      <w:r>
        <w:rPr>
          <w:sz w:val="24"/>
          <w:szCs w:val="24"/>
        </w:rPr>
      </w:r>
      <w:r/>
    </w:p>
    <w:p>
      <w:pPr>
        <w:pStyle w:val="653"/>
        <w:contextualSpacing/>
        <w:ind w:firstLine="480"/>
        <w:rPr>
          <w:sz w:val="24"/>
          <w:szCs w:val="24"/>
        </w:rPr>
      </w:pPr>
      <w:r>
        <w:rPr>
          <w:sz w:val="24"/>
          <w:szCs w:val="24"/>
        </w:rPr>
        <w:t xml:space="preserve">一张图展示：对污染地块空间分布、污染范围、风险等级、地下水流向、敏感受体分布、再利用限制分区及重点关注地块清单等信息进行可视化展示。</w:t>
      </w:r>
      <w:r>
        <w:rPr>
          <w:sz w:val="24"/>
          <w:szCs w:val="24"/>
        </w:rPr>
      </w:r>
      <w:r/>
    </w:p>
    <w:p>
      <w:pPr>
        <w:pStyle w:val="653"/>
        <w:numPr>
          <w:ilvl w:val="3"/>
          <w:numId w:val="0"/>
        </w:numPr>
        <w:contextualSpacing/>
        <w:ind w:firstLine="482"/>
        <w:keepLines/>
        <w:keepNext/>
        <w:rPr>
          <w:b/>
          <w:bCs/>
          <w:sz w:val="24"/>
          <w:szCs w:val="24"/>
        </w:rPr>
        <w:outlineLvl w:val="3"/>
      </w:pPr>
      <w:r>
        <w:rPr>
          <w:rFonts w:hint="eastAsia"/>
          <w:b/>
          <w:bCs/>
          <w:sz w:val="24"/>
          <w:szCs w:val="24"/>
        </w:rPr>
        <w:t xml:space="preserve">2.5 </w:t>
      </w:r>
      <w:r>
        <w:rPr>
          <w:b/>
          <w:bCs/>
          <w:sz w:val="24"/>
          <w:szCs w:val="24"/>
        </w:rPr>
        <w:t xml:space="preserve">修复或风险管控地块监管子模块</w:t>
      </w:r>
      <w:r>
        <w:rPr>
          <w:b/>
          <w:bCs/>
          <w:sz w:val="24"/>
          <w:szCs w:val="24"/>
        </w:rPr>
      </w:r>
      <w:r/>
    </w:p>
    <w:p>
      <w:pPr>
        <w:pStyle w:val="653"/>
        <w:contextualSpacing/>
        <w:ind w:firstLine="480"/>
        <w:rPr>
          <w:sz w:val="24"/>
          <w:szCs w:val="24"/>
        </w:rPr>
      </w:pPr>
      <w:r>
        <w:rPr>
          <w:sz w:val="24"/>
          <w:szCs w:val="24"/>
        </w:rPr>
        <w:t xml:space="preserve">信息录入：可录入修复或风险管控地块基本信息、污染状况、</w:t>
      </w:r>
      <w:r>
        <w:rPr>
          <w:rFonts w:hint="eastAsia"/>
          <w:sz w:val="24"/>
          <w:szCs w:val="24"/>
        </w:rPr>
        <w:t xml:space="preserve">修复或风险管控等相关信息，并关联上传修复方案、风险管控方案、施工记录、工程监理资料、过程监测报告、效果评估报告、验收材料、后期管理台账等资料。系统支持对相关文档自动提取关键信息自动录入，实现全过程电子化归档与 “一地块一档案”管理。</w:t>
      </w:r>
      <w:r>
        <w:rPr>
          <w:sz w:val="24"/>
          <w:szCs w:val="24"/>
        </w:rPr>
      </w:r>
      <w:r/>
    </w:p>
    <w:p>
      <w:pPr>
        <w:pStyle w:val="653"/>
        <w:contextualSpacing/>
        <w:ind w:firstLine="480"/>
        <w:rPr>
          <w:sz w:val="24"/>
          <w:szCs w:val="24"/>
        </w:rPr>
      </w:pPr>
      <w:r>
        <w:rPr>
          <w:sz w:val="24"/>
          <w:szCs w:val="24"/>
        </w:rPr>
        <w:t xml:space="preserve">信息查询：</w:t>
      </w:r>
      <w:r>
        <w:rPr>
          <w:rFonts w:hint="eastAsia"/>
          <w:sz w:val="24"/>
          <w:szCs w:val="24"/>
        </w:rPr>
        <w:t xml:space="preserve">支持按地块名称、行政区、修复 / 管控类型、实施阶段、验收状态、后期监管、地下水超标、制度控制等多条件查询；可地图定位，展示工程进度并关联查询历史资料。</w:t>
      </w:r>
      <w:r>
        <w:rPr>
          <w:sz w:val="24"/>
          <w:szCs w:val="24"/>
        </w:rPr>
      </w:r>
      <w:r/>
    </w:p>
    <w:p>
      <w:pPr>
        <w:pStyle w:val="653"/>
        <w:contextualSpacing/>
        <w:ind w:firstLine="480"/>
        <w:rPr>
          <w:sz w:val="24"/>
          <w:szCs w:val="24"/>
        </w:rPr>
      </w:pPr>
      <w:r>
        <w:rPr>
          <w:sz w:val="24"/>
          <w:szCs w:val="24"/>
        </w:rPr>
        <w:t xml:space="preserve">数据分析：</w:t>
      </w:r>
      <w:r>
        <w:rPr>
          <w:rFonts w:hint="eastAsia"/>
          <w:sz w:val="24"/>
          <w:szCs w:val="24"/>
        </w:rPr>
        <w:t xml:space="preserve">系统综合分析修复或管控地块的工程进展、治理效果、管控落实、监测数据及制度执行情况。对高风险、管理薄弱地块自动生成重点监管清单，支撑日常巡查与问题整改闭环管理。</w:t>
      </w:r>
      <w:r>
        <w:rPr>
          <w:sz w:val="24"/>
          <w:szCs w:val="24"/>
        </w:rPr>
      </w:r>
      <w:r/>
    </w:p>
    <w:p>
      <w:pPr>
        <w:pStyle w:val="653"/>
        <w:contextualSpacing/>
        <w:ind w:firstLine="480"/>
        <w:rPr>
          <w:rFonts w:hint="eastAsia"/>
          <w:sz w:val="24"/>
          <w:szCs w:val="24"/>
        </w:rPr>
      </w:pPr>
      <w:r>
        <w:rPr>
          <w:sz w:val="24"/>
          <w:szCs w:val="24"/>
        </w:rPr>
        <w:t xml:space="preserve">一张图展示：</w:t>
      </w:r>
      <w:r>
        <w:rPr>
          <w:rFonts w:hint="eastAsia"/>
          <w:sz w:val="24"/>
          <w:szCs w:val="24"/>
        </w:rPr>
        <w:t xml:space="preserve">对上述所有信息进行可视化展示功能。</w:t>
      </w:r>
      <w:r>
        <w:rPr>
          <w:rFonts w:hint="eastAsia"/>
          <w:sz w:val="24"/>
          <w:szCs w:val="24"/>
        </w:rPr>
      </w:r>
      <w:r/>
    </w:p>
    <w:p>
      <w:pPr>
        <w:pStyle w:val="653"/>
        <w:numPr>
          <w:ilvl w:val="2"/>
          <w:numId w:val="0"/>
        </w:numPr>
        <w:contextualSpacing/>
        <w:ind w:firstLine="482"/>
        <w:keepLines/>
        <w:keepNext/>
        <w:spacing w:before="145" w:after="145"/>
        <w:rPr>
          <w:b/>
          <w:bCs/>
          <w:sz w:val="24"/>
          <w:szCs w:val="24"/>
        </w:rPr>
        <w:outlineLvl w:val="2"/>
      </w:pPr>
      <w:r/>
      <w:bookmarkStart w:id="194" w:name="OLE_LINK64"/>
      <w:r>
        <w:rPr>
          <w:b/>
          <w:bCs/>
          <w:sz w:val="24"/>
          <w:szCs w:val="24"/>
        </w:rPr>
        <w:t xml:space="preserve">3. 地下水重点污染源调查评估模块</w:t>
      </w:r>
      <w:r>
        <w:rPr>
          <w:b/>
          <w:bCs/>
          <w:sz w:val="24"/>
          <w:szCs w:val="24"/>
        </w:rPr>
      </w:r>
      <w:r/>
    </w:p>
    <w:p>
      <w:pPr>
        <w:pStyle w:val="653"/>
        <w:contextualSpacing/>
        <w:ind w:firstLine="480"/>
        <w:rPr>
          <w:rFonts w:hint="eastAsia"/>
          <w:sz w:val="24"/>
          <w:szCs w:val="24"/>
        </w:rPr>
      </w:pPr>
      <w:r/>
      <w:bookmarkEnd w:id="194"/>
      <w:r>
        <w:rPr>
          <w:rFonts w:hint="eastAsia"/>
          <w:sz w:val="24"/>
          <w:szCs w:val="24"/>
        </w:rPr>
        <w:t xml:space="preserve">基于《地下水污染防治实施方案》《“十四五”土壤、地下水和农村生态环境保护规划》《化工园区地下水环境状况调查评估工作方案》（环办便函〔2021〕100号）等相关文件，系统提供化工园区、垃圾填埋场、危废处置场、加油站及工业企业地下水调查评估项目成果与过程资料管理功能。</w:t>
      </w:r>
      <w:r>
        <w:rPr>
          <w:rFonts w:hint="eastAsia"/>
          <w:sz w:val="24"/>
          <w:szCs w:val="24"/>
        </w:rPr>
      </w:r>
      <w:r/>
    </w:p>
    <w:p>
      <w:pPr>
        <w:pStyle w:val="653"/>
        <w:contextualSpacing/>
        <w:ind w:firstLine="482"/>
        <w:rPr>
          <w:b/>
          <w:bCs/>
          <w:sz w:val="24"/>
          <w:szCs w:val="24"/>
        </w:rPr>
      </w:pPr>
      <w:r>
        <w:rPr>
          <w:b/>
          <w:bCs/>
          <w:sz w:val="24"/>
          <w:szCs w:val="24"/>
        </w:rPr>
        <w:t xml:space="preserve">（1）信息录入</w:t>
      </w:r>
      <w:r>
        <w:rPr>
          <w:b/>
          <w:bCs/>
          <w:sz w:val="24"/>
          <w:szCs w:val="24"/>
        </w:rPr>
      </w:r>
      <w:r/>
    </w:p>
    <w:p>
      <w:pPr>
        <w:pStyle w:val="653"/>
        <w:contextualSpacing/>
        <w:ind w:firstLine="480"/>
        <w:rPr>
          <w:sz w:val="24"/>
          <w:szCs w:val="24"/>
        </w:rPr>
      </w:pPr>
      <w:r>
        <w:rPr>
          <w:sz w:val="24"/>
          <w:szCs w:val="24"/>
        </w:rPr>
        <w:t xml:space="preserve">整理已开展地下水调查评估的项目清单，梳理具体污染源信息，录入系统平台，可衔接地下水重点源监管模块相关信息，补充各污染源的调查评估开展情况，包括调查时间、调查单位、调查点位分布、调查点位属性基本信息（含点位名称、编码、经纬度、类别、含水层类型、监测层位、井深、高程、水位埋深、监测井类型、水文地质单元名称、建井时间、成井结构等）、检测指标、调查结果、监测井运营及管理情况等、各类地下水环境状况调查评估报告、详细调查报告、周边监测报告、自行监测报告等。</w:t>
      </w:r>
      <w:r>
        <w:rPr>
          <w:rFonts w:hint="eastAsia"/>
          <w:sz w:val="24"/>
          <w:szCs w:val="24"/>
        </w:rPr>
        <w:t xml:space="preserve">系统支持对相关报告或材料关键数据提取并实现自动录入，同时同步更新向量知识库。</w:t>
      </w:r>
      <w:r>
        <w:rPr>
          <w:sz w:val="24"/>
          <w:szCs w:val="24"/>
        </w:rPr>
      </w:r>
      <w:r/>
    </w:p>
    <w:p>
      <w:pPr>
        <w:pStyle w:val="653"/>
        <w:contextualSpacing/>
        <w:ind w:firstLine="482"/>
        <w:rPr>
          <w:b/>
          <w:bCs/>
          <w:sz w:val="24"/>
          <w:szCs w:val="24"/>
        </w:rPr>
      </w:pPr>
      <w:r>
        <w:rPr>
          <w:b/>
          <w:bCs/>
          <w:sz w:val="24"/>
          <w:szCs w:val="24"/>
        </w:rPr>
        <w:t xml:space="preserve">（2）信息查询</w:t>
      </w:r>
      <w:r>
        <w:rPr>
          <w:b/>
          <w:bCs/>
          <w:sz w:val="24"/>
          <w:szCs w:val="24"/>
        </w:rPr>
      </w:r>
      <w:r/>
    </w:p>
    <w:p>
      <w:pPr>
        <w:pStyle w:val="653"/>
        <w:contextualSpacing/>
        <w:ind w:firstLine="480"/>
        <w:rPr>
          <w:sz w:val="24"/>
          <w:szCs w:val="24"/>
        </w:rPr>
      </w:pPr>
      <w:r>
        <w:rPr>
          <w:sz w:val="24"/>
          <w:szCs w:val="24"/>
        </w:rPr>
        <w:t xml:space="preserve">支持对各污染源调查结果进行查询，支持按照地块名称、点位名称、所属行政区、所属行业、调查时间、是否超标等条件进行查询，并支持地图定位操作，从而查看该点位的地理位置及周边地理环境要素情况。支持语义检索和调查项目关联查询。</w:t>
      </w:r>
      <w:r>
        <w:rPr>
          <w:sz w:val="24"/>
          <w:szCs w:val="24"/>
        </w:rPr>
      </w:r>
      <w:r/>
    </w:p>
    <w:p>
      <w:pPr>
        <w:pStyle w:val="653"/>
        <w:contextualSpacing/>
        <w:ind w:firstLine="482"/>
        <w:rPr>
          <w:b/>
          <w:bCs/>
          <w:sz w:val="24"/>
          <w:szCs w:val="24"/>
        </w:rPr>
      </w:pPr>
      <w:r>
        <w:rPr>
          <w:b/>
          <w:bCs/>
          <w:sz w:val="24"/>
          <w:szCs w:val="24"/>
        </w:rPr>
        <w:t xml:space="preserve">（3）数据分析</w:t>
      </w:r>
      <w:r>
        <w:rPr>
          <w:b/>
          <w:bCs/>
          <w:sz w:val="24"/>
          <w:szCs w:val="24"/>
        </w:rPr>
      </w:r>
      <w:r/>
    </w:p>
    <w:p>
      <w:pPr>
        <w:pStyle w:val="653"/>
        <w:contextualSpacing/>
        <w:ind w:firstLine="480"/>
        <w:rPr>
          <w:sz w:val="24"/>
          <w:szCs w:val="24"/>
        </w:rPr>
      </w:pPr>
      <w:r>
        <w:rPr>
          <w:sz w:val="24"/>
          <w:szCs w:val="24"/>
        </w:rPr>
        <w:t xml:space="preserve">系统可按行政区划、项目类型，分类统计各污染源调查结果具体情况。可根据调查结果直接对调查对象进行管理分析，还可对调查对象周边敏感受体情况来统计对象数量，还可根统计调查对象监测点数量、样品采集数量、各检测指标检出率、超IV类点位数量等。</w:t>
      </w:r>
      <w:r>
        <w:rPr>
          <w:rFonts w:hint="eastAsia"/>
          <w:sz w:val="24"/>
          <w:szCs w:val="24"/>
        </w:rPr>
        <w:t xml:space="preserve">分析结果由大模型自动生成调查报告草稿，包括调查概况、主要发现、问题诊断和后续建议，辅助管理人员快速掌握情况。</w:t>
      </w:r>
      <w:r>
        <w:rPr>
          <w:sz w:val="24"/>
          <w:szCs w:val="24"/>
        </w:rPr>
      </w:r>
      <w:r/>
    </w:p>
    <w:p>
      <w:pPr>
        <w:pStyle w:val="653"/>
        <w:contextualSpacing/>
        <w:ind w:firstLine="482"/>
        <w:rPr>
          <w:b/>
          <w:bCs/>
          <w:sz w:val="24"/>
          <w:szCs w:val="24"/>
        </w:rPr>
      </w:pPr>
      <w:r>
        <w:rPr>
          <w:b/>
          <w:bCs/>
          <w:sz w:val="24"/>
          <w:szCs w:val="24"/>
        </w:rPr>
        <w:t xml:space="preserve">（4）一张图展示</w:t>
      </w:r>
      <w:r>
        <w:rPr>
          <w:b/>
          <w:bCs/>
          <w:sz w:val="24"/>
          <w:szCs w:val="24"/>
        </w:rPr>
      </w:r>
      <w:r/>
    </w:p>
    <w:p>
      <w:pPr>
        <w:pStyle w:val="653"/>
        <w:contextualSpacing/>
        <w:ind w:firstLine="480"/>
        <w:rPr>
          <w:sz w:val="24"/>
          <w:szCs w:val="24"/>
        </w:rPr>
      </w:pPr>
      <w:r>
        <w:rPr>
          <w:sz w:val="24"/>
          <w:szCs w:val="24"/>
        </w:rPr>
        <w:t xml:space="preserve">对上述所有信息进行可视化展示功能。</w:t>
      </w:r>
      <w:r>
        <w:rPr>
          <w:sz w:val="24"/>
          <w:szCs w:val="24"/>
        </w:rPr>
      </w:r>
      <w:r/>
    </w:p>
    <w:p>
      <w:pPr>
        <w:pStyle w:val="653"/>
        <w:numPr>
          <w:ilvl w:val="2"/>
          <w:numId w:val="0"/>
        </w:numPr>
        <w:contextualSpacing/>
        <w:ind w:firstLine="482"/>
        <w:keepLines/>
        <w:keepNext/>
        <w:spacing w:before="145" w:after="145"/>
        <w:rPr>
          <w:b/>
          <w:bCs/>
          <w:sz w:val="24"/>
          <w:szCs w:val="24"/>
        </w:rPr>
        <w:outlineLvl w:val="2"/>
      </w:pPr>
      <w:r/>
      <w:bookmarkStart w:id="195" w:name="OLE_LINK65"/>
      <w:r>
        <w:rPr>
          <w:b/>
          <w:bCs/>
          <w:sz w:val="24"/>
          <w:szCs w:val="24"/>
        </w:rPr>
        <w:t xml:space="preserve">4. 地下水国考点位、省控点位监管模块</w:t>
      </w:r>
      <w:r>
        <w:rPr>
          <w:b/>
          <w:bCs/>
          <w:sz w:val="24"/>
          <w:szCs w:val="24"/>
        </w:rPr>
      </w:r>
      <w:r/>
    </w:p>
    <w:p>
      <w:pPr>
        <w:pStyle w:val="653"/>
        <w:contextualSpacing/>
        <w:ind w:firstLine="480"/>
        <w:rPr>
          <w:sz w:val="24"/>
          <w:szCs w:val="24"/>
        </w:rPr>
      </w:pPr>
      <w:r/>
      <w:bookmarkEnd w:id="195"/>
      <w:r>
        <w:rPr>
          <w:sz w:val="24"/>
          <w:szCs w:val="24"/>
        </w:rPr>
        <w:t xml:space="preserve">将江苏省104个</w:t>
      </w:r>
      <w:bookmarkStart w:id="196" w:name="OLE_LINK66"/>
      <w:r>
        <w:rPr>
          <w:sz w:val="24"/>
          <w:szCs w:val="24"/>
        </w:rPr>
        <w:t xml:space="preserve">国考点位</w:t>
      </w:r>
      <w:bookmarkEnd w:id="196"/>
      <w:r>
        <w:rPr>
          <w:sz w:val="24"/>
          <w:szCs w:val="24"/>
        </w:rPr>
        <w:t xml:space="preserve">，136个</w:t>
      </w:r>
      <w:bookmarkStart w:id="197" w:name="OLE_LINK67"/>
      <w:r>
        <w:rPr>
          <w:sz w:val="24"/>
          <w:szCs w:val="24"/>
        </w:rPr>
        <w:t xml:space="preserve">省控点位</w:t>
      </w:r>
      <w:bookmarkEnd w:id="197"/>
      <w:r>
        <w:rPr>
          <w:sz w:val="24"/>
          <w:szCs w:val="24"/>
        </w:rPr>
        <w:t xml:space="preserve">相关信息构建地下水国考点位、省控点位监管模块，数据内容包括：国考点位、省控点位监测井基本信息，历史监测数据，周边敏感受体和污染源分布信息；成果数据：“一井一策”，点位达标或保持（改善）方案（包括超标成因，污染趋势分析，达标目标和措施等），定期排查记录等。形成国考、省考点位“一井一档”、“一井一策”文档；监测点位空间位置，水文地质条件、周边敏感受体和污染源分布、超标点位和超标深度、水流变化等实现二维一体化空间可视。</w:t>
      </w:r>
      <w:r>
        <w:rPr>
          <w:sz w:val="24"/>
          <w:szCs w:val="24"/>
        </w:rPr>
      </w:r>
      <w:r/>
    </w:p>
    <w:p>
      <w:pPr>
        <w:pStyle w:val="653"/>
        <w:contextualSpacing/>
        <w:ind w:firstLine="482"/>
        <w:rPr>
          <w:b/>
          <w:bCs/>
          <w:sz w:val="24"/>
          <w:szCs w:val="24"/>
        </w:rPr>
      </w:pPr>
      <w:r>
        <w:rPr>
          <w:b/>
          <w:bCs/>
          <w:sz w:val="24"/>
          <w:szCs w:val="24"/>
        </w:rPr>
        <w:t xml:space="preserve">（1）“一井一档”建立</w:t>
      </w:r>
      <w:r>
        <w:rPr>
          <w:b/>
          <w:bCs/>
          <w:sz w:val="24"/>
          <w:szCs w:val="24"/>
        </w:rPr>
      </w:r>
      <w:r/>
    </w:p>
    <w:p>
      <w:pPr>
        <w:pStyle w:val="653"/>
        <w:contextualSpacing/>
        <w:ind w:firstLine="480"/>
        <w:rPr>
          <w:sz w:val="24"/>
          <w:szCs w:val="24"/>
        </w:rPr>
      </w:pPr>
      <w:r>
        <w:rPr>
          <w:sz w:val="24"/>
          <w:szCs w:val="24"/>
        </w:rPr>
        <w:t xml:space="preserve">对资料进行录入，包括点位基本信息、周边环境、监测方案及历年监测数据；建立监测地下水点位“一井一档”管理应用，对监测点位基本信息、点位现状照片、点位历年监测结果进行统一的电子化管理，支持管理人员对国考点位进行信息编辑维护、信息查看等操作。</w:t>
      </w:r>
      <w:r>
        <w:rPr>
          <w:sz w:val="24"/>
          <w:szCs w:val="24"/>
        </w:rPr>
      </w:r>
      <w:r/>
    </w:p>
    <w:p>
      <w:pPr>
        <w:pStyle w:val="653"/>
        <w:contextualSpacing/>
        <w:ind w:firstLine="482"/>
        <w:rPr>
          <w:b/>
          <w:bCs/>
          <w:sz w:val="24"/>
          <w:szCs w:val="24"/>
        </w:rPr>
      </w:pPr>
      <w:r>
        <w:rPr>
          <w:b/>
          <w:bCs/>
          <w:sz w:val="24"/>
          <w:szCs w:val="24"/>
        </w:rPr>
        <w:t xml:space="preserve">（2）点位概览信息</w:t>
      </w:r>
      <w:r>
        <w:rPr>
          <w:b/>
          <w:bCs/>
          <w:sz w:val="24"/>
          <w:szCs w:val="24"/>
        </w:rPr>
      </w:r>
      <w:r/>
    </w:p>
    <w:p>
      <w:pPr>
        <w:pStyle w:val="653"/>
        <w:contextualSpacing/>
        <w:ind w:firstLine="480"/>
        <w:rPr>
          <w:sz w:val="24"/>
          <w:szCs w:val="24"/>
        </w:rPr>
      </w:pPr>
      <w:r>
        <w:rPr>
          <w:sz w:val="24"/>
          <w:szCs w:val="24"/>
        </w:rPr>
        <w:t xml:space="preserve">以列表和地图形式对全省所有地下水监测点位进行呈现，并按区域进行排序，点击具体监测点位，可查看其详细信息，包括点位名称、点位编码、行政区、地理坐标（经纬度）、含水层类型、成井深度、地下水力类型、砖井结构类型等基础信息，以及点位现状照片和点位历年监测结果（水质等级、超Ⅳ限值及倍数）。</w:t>
      </w:r>
      <w:r>
        <w:rPr>
          <w:rFonts w:hint="eastAsia"/>
          <w:sz w:val="24"/>
          <w:szCs w:val="24"/>
        </w:rPr>
        <w:t xml:space="preserve">支持自然语言查询，快速定位问题点位。</w:t>
      </w:r>
      <w:r>
        <w:rPr>
          <w:sz w:val="24"/>
          <w:szCs w:val="24"/>
        </w:rPr>
      </w:r>
      <w:r/>
    </w:p>
    <w:p>
      <w:pPr>
        <w:pStyle w:val="653"/>
        <w:contextualSpacing/>
        <w:ind w:firstLine="482"/>
        <w:rPr>
          <w:b/>
          <w:bCs/>
          <w:sz w:val="24"/>
          <w:szCs w:val="24"/>
        </w:rPr>
      </w:pPr>
      <w:r>
        <w:rPr>
          <w:b/>
          <w:bCs/>
          <w:sz w:val="24"/>
          <w:szCs w:val="24"/>
        </w:rPr>
        <w:t xml:space="preserve">（3）点位信息筛选</w:t>
      </w:r>
      <w:r>
        <w:rPr>
          <w:b/>
          <w:bCs/>
          <w:sz w:val="24"/>
          <w:szCs w:val="24"/>
        </w:rPr>
      </w:r>
      <w:r/>
    </w:p>
    <w:p>
      <w:pPr>
        <w:pStyle w:val="653"/>
        <w:contextualSpacing/>
        <w:ind w:firstLine="480"/>
        <w:rPr>
          <w:sz w:val="24"/>
          <w:szCs w:val="24"/>
        </w:rPr>
      </w:pPr>
      <w:r>
        <w:rPr>
          <w:sz w:val="24"/>
          <w:szCs w:val="24"/>
        </w:rPr>
        <w:t xml:space="preserve">提供时间、区域、自定义搜索等筛选搜索条件，用户可按需对地下水监测点位进行信息筛选和汇总，汇总结果支持导出。</w:t>
      </w:r>
      <w:r>
        <w:rPr>
          <w:sz w:val="24"/>
          <w:szCs w:val="24"/>
        </w:rPr>
      </w:r>
      <w:r/>
    </w:p>
    <w:p>
      <w:pPr>
        <w:pStyle w:val="653"/>
        <w:contextualSpacing/>
        <w:ind w:firstLine="482"/>
        <w:rPr>
          <w:b/>
          <w:bCs/>
          <w:sz w:val="24"/>
          <w:szCs w:val="24"/>
        </w:rPr>
      </w:pPr>
      <w:r>
        <w:rPr>
          <w:b/>
          <w:bCs/>
          <w:sz w:val="24"/>
          <w:szCs w:val="24"/>
        </w:rPr>
        <w:t xml:space="preserve">（4）数据查询分析</w:t>
      </w:r>
      <w:r>
        <w:rPr>
          <w:b/>
          <w:bCs/>
          <w:sz w:val="24"/>
          <w:szCs w:val="24"/>
        </w:rPr>
      </w:r>
      <w:r/>
    </w:p>
    <w:p>
      <w:pPr>
        <w:pStyle w:val="653"/>
        <w:contextualSpacing/>
        <w:ind w:firstLine="480"/>
        <w:rPr>
          <w:sz w:val="24"/>
          <w:szCs w:val="24"/>
        </w:rPr>
      </w:pPr>
      <w:r>
        <w:rPr>
          <w:sz w:val="24"/>
          <w:szCs w:val="24"/>
        </w:rPr>
        <w:t xml:space="preserve">提供地下水水质数据服务，用户可人工维护相关数据或新增地下水监测项目导入其相关数据。提供地下水数据查询功能，支持自定义时间段查询，自定义监测点位查询，对某一个或者多个监测指标进行查询。系统可根据行政区划分类统计各市国考省控地下水点位考核情况，还可对国考省控地下水点位周边污染源情况和敏感受体情况进行统计。</w:t>
      </w:r>
      <w:r>
        <w:rPr>
          <w:rFonts w:hint="eastAsia"/>
          <w:sz w:val="24"/>
          <w:szCs w:val="24"/>
        </w:rPr>
        <w:t xml:space="preserve">系统支持与知识库互通，辅助用户进行水质变化原因推断。</w:t>
      </w:r>
      <w:r>
        <w:rPr>
          <w:sz w:val="24"/>
          <w:szCs w:val="24"/>
        </w:rPr>
      </w:r>
      <w:r/>
    </w:p>
    <w:p>
      <w:pPr>
        <w:pStyle w:val="653"/>
        <w:contextualSpacing/>
        <w:ind w:firstLine="482"/>
        <w:rPr>
          <w:b/>
          <w:bCs/>
          <w:sz w:val="24"/>
          <w:szCs w:val="24"/>
        </w:rPr>
      </w:pPr>
      <w:r>
        <w:rPr>
          <w:b/>
          <w:bCs/>
          <w:sz w:val="24"/>
          <w:szCs w:val="24"/>
        </w:rPr>
        <w:t xml:space="preserve">（5）一张图展示</w:t>
      </w:r>
      <w:r>
        <w:rPr>
          <w:b/>
          <w:bCs/>
          <w:sz w:val="24"/>
          <w:szCs w:val="24"/>
        </w:rPr>
      </w:r>
      <w:r/>
    </w:p>
    <w:p>
      <w:pPr>
        <w:pStyle w:val="653"/>
        <w:contextualSpacing/>
        <w:ind w:firstLine="480"/>
        <w:rPr>
          <w:sz w:val="24"/>
          <w:szCs w:val="24"/>
        </w:rPr>
      </w:pPr>
      <w:r>
        <w:rPr>
          <w:sz w:val="24"/>
          <w:szCs w:val="24"/>
        </w:rPr>
        <w:t xml:space="preserve">对上述所有信息进行可视化展示功能。</w:t>
      </w:r>
      <w:r>
        <w:rPr>
          <w:sz w:val="24"/>
          <w:szCs w:val="24"/>
        </w:rPr>
      </w:r>
      <w:r/>
    </w:p>
    <w:p>
      <w:pPr>
        <w:pStyle w:val="653"/>
        <w:numPr>
          <w:ilvl w:val="2"/>
          <w:numId w:val="0"/>
        </w:numPr>
        <w:contextualSpacing/>
        <w:ind w:firstLine="482"/>
        <w:keepLines/>
        <w:keepNext/>
        <w:spacing w:before="145" w:after="145"/>
        <w:rPr>
          <w:b/>
          <w:bCs/>
          <w:sz w:val="24"/>
          <w:szCs w:val="24"/>
        </w:rPr>
        <w:outlineLvl w:val="2"/>
      </w:pPr>
      <w:r>
        <w:rPr>
          <w:b/>
          <w:bCs/>
          <w:sz w:val="24"/>
          <w:szCs w:val="24"/>
        </w:rPr>
        <w:t xml:space="preserve">5. 地下水重点区划定模块</w:t>
      </w:r>
      <w:r>
        <w:rPr>
          <w:b/>
          <w:bCs/>
          <w:sz w:val="24"/>
          <w:szCs w:val="24"/>
        </w:rPr>
      </w:r>
      <w:r/>
    </w:p>
    <w:p>
      <w:pPr>
        <w:pStyle w:val="653"/>
        <w:contextualSpacing/>
        <w:ind w:firstLine="480"/>
        <w:rPr>
          <w:sz w:val="24"/>
          <w:szCs w:val="24"/>
        </w:rPr>
      </w:pPr>
      <w:r>
        <w:rPr>
          <w:sz w:val="24"/>
          <w:szCs w:val="24"/>
        </w:rPr>
        <w:t xml:space="preserve">基于地下水污染防治重点区划定成果，包括：</w:t>
      </w:r>
      <w:bookmarkStart w:id="198" w:name="OLE_LINK68"/>
      <w:r>
        <w:rPr>
          <w:sz w:val="24"/>
          <w:szCs w:val="24"/>
        </w:rPr>
        <w:t xml:space="preserve">八大污染源</w:t>
      </w:r>
      <w:bookmarkEnd w:id="198"/>
      <w:r>
        <w:rPr>
          <w:sz w:val="24"/>
          <w:szCs w:val="24"/>
        </w:rPr>
        <w:t xml:space="preserve">基本信息（位置分布、类型、有毒有害物质、排污情况等）、水文地质资料；八大污染源荷载评估结果及分级</w:t>
      </w:r>
      <w:bookmarkStart w:id="199" w:name="OLE_LINK70"/>
      <w:r>
        <w:rPr>
          <w:sz w:val="24"/>
          <w:szCs w:val="24"/>
        </w:rPr>
        <w:t xml:space="preserve">情况</w:t>
      </w:r>
      <w:bookmarkEnd w:id="199"/>
      <w:r>
        <w:rPr>
          <w:sz w:val="24"/>
          <w:szCs w:val="24"/>
        </w:rPr>
        <w:t xml:space="preserve">，地下水环境质量监测点位信息资料，地下水脆弱性评估</w:t>
      </w:r>
      <w:bookmarkStart w:id="200" w:name="OLE_LINK69"/>
      <w:r/>
      <w:bookmarkStart w:id="201" w:name="OLE_LINK71"/>
      <w:r>
        <w:rPr>
          <w:sz w:val="24"/>
          <w:szCs w:val="24"/>
        </w:rPr>
        <w:t xml:space="preserve">结果及分级</w:t>
      </w:r>
      <w:bookmarkEnd w:id="200"/>
      <w:r>
        <w:rPr>
          <w:sz w:val="24"/>
          <w:szCs w:val="24"/>
        </w:rPr>
        <w:t xml:space="preserve">情况，</w:t>
      </w:r>
      <w:bookmarkEnd w:id="201"/>
      <w:r>
        <w:rPr>
          <w:sz w:val="24"/>
          <w:szCs w:val="24"/>
        </w:rPr>
        <w:t xml:space="preserve">地下水富水性评估</w:t>
      </w:r>
      <w:bookmarkStart w:id="202" w:name="OLE_LINK72"/>
      <w:r>
        <w:rPr>
          <w:sz w:val="24"/>
          <w:szCs w:val="24"/>
        </w:rPr>
        <w:t xml:space="preserve">结果及分级情况，</w:t>
      </w:r>
      <w:bookmarkEnd w:id="202"/>
      <w:r>
        <w:rPr>
          <w:sz w:val="24"/>
          <w:szCs w:val="24"/>
        </w:rPr>
        <w:t xml:space="preserve">地下水功能价值评估结果及分级情况，地下水保护区划定情况、地下水管控类区域划定情况，地下水一级</w:t>
      </w:r>
      <w:bookmarkStart w:id="203" w:name="OLE_LINK73"/>
      <w:r>
        <w:rPr>
          <w:sz w:val="24"/>
          <w:szCs w:val="24"/>
        </w:rPr>
        <w:t xml:space="preserve">管控类区域划定情况，</w:t>
      </w:r>
      <w:bookmarkEnd w:id="203"/>
      <w:r>
        <w:rPr>
          <w:sz w:val="24"/>
          <w:szCs w:val="24"/>
        </w:rPr>
        <w:t xml:space="preserve">地下水二级管控类区域划定情况，不同管控区域相对应的环境管理措施及建议等内容。</w:t>
      </w:r>
      <w:r>
        <w:rPr>
          <w:sz w:val="24"/>
          <w:szCs w:val="24"/>
        </w:rPr>
      </w:r>
      <w:r/>
    </w:p>
    <w:p>
      <w:pPr>
        <w:pStyle w:val="653"/>
        <w:contextualSpacing/>
        <w:ind w:firstLine="480"/>
        <w:rPr>
          <w:sz w:val="24"/>
          <w:szCs w:val="24"/>
        </w:rPr>
      </w:pPr>
      <w:r>
        <w:rPr>
          <w:sz w:val="24"/>
          <w:szCs w:val="24"/>
        </w:rPr>
        <w:t xml:space="preserve">该模块共分为地下水污染源荷载评估子模块、地下水脆弱性评估子模块、地下水质量现状评估子模块、地下水富水性评估子模块、地下水功能价值评估子模块、地下水重点区划定子模块。</w:t>
      </w:r>
      <w:r>
        <w:rPr>
          <w:sz w:val="24"/>
          <w:szCs w:val="24"/>
        </w:rPr>
      </w:r>
      <w:r/>
    </w:p>
    <w:p>
      <w:pPr>
        <w:pStyle w:val="653"/>
        <w:contextualSpacing/>
        <w:ind w:firstLine="480"/>
        <w:rPr>
          <w:sz w:val="24"/>
          <w:szCs w:val="24"/>
        </w:rPr>
      </w:pPr>
      <w:r>
        <w:rPr>
          <w:sz w:val="24"/>
          <w:szCs w:val="24"/>
        </w:rPr>
        <w:t xml:space="preserve">系统支持查询、录入、详情查看等功能，展示地下水污染源荷载评估，地下水脆弱性评估，地下水污染现状评估，地下水富水性评估、地下水功能价值评估、地下水重点区划定结果展示。通过可视化地图方式展示整体各地下水调查点位浓度值、是否超标等信息，通过列表、折线图、柱状图、饼图等分析比对各点位污染情况及变化形式，通过在线GIS展示各污染源的立体分布等，通过点位管理、用户管理等台账管理模式综合管理信息，实现实时、可视、全面、系统地掌握地下水污染防治重点区基本情况的功能。</w:t>
      </w:r>
      <w:r>
        <w:rPr>
          <w:sz w:val="24"/>
          <w:szCs w:val="24"/>
        </w:rPr>
      </w:r>
      <w:r/>
    </w:p>
    <w:p>
      <w:pPr>
        <w:pStyle w:val="653"/>
        <w:contextualSpacing/>
        <w:ind w:firstLine="482"/>
        <w:rPr>
          <w:b/>
          <w:bCs/>
          <w:sz w:val="24"/>
          <w:szCs w:val="24"/>
        </w:rPr>
      </w:pPr>
      <w:r>
        <w:rPr>
          <w:b/>
          <w:bCs/>
          <w:sz w:val="24"/>
          <w:szCs w:val="24"/>
        </w:rPr>
        <w:t xml:space="preserve">（1）地下水污染源荷载评估子模块</w:t>
      </w:r>
      <w:r>
        <w:rPr>
          <w:b/>
          <w:bCs/>
          <w:sz w:val="24"/>
          <w:szCs w:val="24"/>
        </w:rPr>
      </w:r>
      <w:r/>
    </w:p>
    <w:p>
      <w:pPr>
        <w:pStyle w:val="653"/>
        <w:contextualSpacing/>
        <w:ind w:firstLine="480"/>
        <w:rPr>
          <w:sz w:val="24"/>
          <w:szCs w:val="24"/>
        </w:rPr>
      </w:pPr>
      <w:r>
        <w:rPr>
          <w:sz w:val="24"/>
          <w:szCs w:val="24"/>
        </w:rPr>
        <w:t xml:space="preserve">支持单个污染源荷载评估计算，对工业污染源、矿山开采区、危险废物处置场、垃圾填埋场、加油站、农业污染源、高尔夫球场和地表污水等污染源信息进行评估展示。支持单个污染源荷载评估指标数据上传，具体包括污染源毒性指标数据、污染源释放可能性评价指标数据、可能释放污染物的量等，支持一键导入和分析评价。</w:t>
      </w:r>
      <w:r>
        <w:rPr>
          <w:sz w:val="24"/>
          <w:szCs w:val="24"/>
        </w:rPr>
      </w:r>
      <w:r/>
    </w:p>
    <w:p>
      <w:pPr>
        <w:pStyle w:val="653"/>
        <w:contextualSpacing/>
        <w:ind w:firstLine="480"/>
        <w:rPr>
          <w:sz w:val="24"/>
          <w:szCs w:val="24"/>
        </w:rPr>
      </w:pPr>
      <w:r>
        <w:rPr>
          <w:sz w:val="24"/>
          <w:szCs w:val="24"/>
        </w:rPr>
        <w:t xml:space="preserve">根据地下水污染源荷载评价标准，对区域地下水污染源荷载评分结果进行分级，按污染源荷载综合指数值由大到小依次为高、中等、低3个等级，形成地下水污染源荷载评估分区图。</w:t>
      </w:r>
      <w:r>
        <w:rPr>
          <w:sz w:val="24"/>
          <w:szCs w:val="24"/>
        </w:rPr>
      </w:r>
      <w:r/>
    </w:p>
    <w:p>
      <w:pPr>
        <w:pStyle w:val="653"/>
        <w:contextualSpacing/>
        <w:ind w:firstLine="482"/>
        <w:rPr>
          <w:b/>
          <w:bCs/>
          <w:sz w:val="24"/>
          <w:szCs w:val="24"/>
        </w:rPr>
      </w:pPr>
      <w:r>
        <w:rPr>
          <w:b/>
          <w:bCs/>
          <w:sz w:val="24"/>
          <w:szCs w:val="24"/>
        </w:rPr>
        <w:t xml:space="preserve">（2）地下水脆弱性评估子模块</w:t>
      </w:r>
      <w:r>
        <w:rPr>
          <w:b/>
          <w:bCs/>
          <w:sz w:val="24"/>
          <w:szCs w:val="24"/>
        </w:rPr>
      </w:r>
      <w:r/>
    </w:p>
    <w:p>
      <w:pPr>
        <w:pStyle w:val="653"/>
        <w:contextualSpacing/>
        <w:ind w:firstLine="480"/>
        <w:rPr>
          <w:sz w:val="24"/>
          <w:szCs w:val="24"/>
        </w:rPr>
      </w:pPr>
      <w:r>
        <w:rPr>
          <w:sz w:val="24"/>
          <w:szCs w:val="24"/>
        </w:rPr>
        <w:t xml:space="preserve">支持对地下水脆弱性评估信息进行查询、重置、导入和详情查看。对孔隙水/裂隙水脆弱性评估、岩溶水脆弱性评估结果及总体脆弱性评估结果进行展示。对孔隙水/裂隙水脆弱性评估参数进行展示，具体包括地下水位埋深、垂向净补给量、含水层厚度、土壤介质、地形坡度、包气带介质类型和含水层渗透系数。对岩溶水脆弱性评估参数进行展示，具体包括保护性盖层厚度，土地利用类型，表层岩溶带发育强度，补给类型，岩溶网络系统发育程度。</w:t>
      </w:r>
      <w:r>
        <w:rPr>
          <w:sz w:val="24"/>
          <w:szCs w:val="24"/>
        </w:rPr>
      </w:r>
      <w:r/>
    </w:p>
    <w:p>
      <w:pPr>
        <w:pStyle w:val="653"/>
        <w:contextualSpacing/>
        <w:ind w:firstLine="480"/>
        <w:rPr>
          <w:sz w:val="24"/>
          <w:szCs w:val="24"/>
        </w:rPr>
      </w:pPr>
      <w:r>
        <w:rPr>
          <w:sz w:val="24"/>
          <w:szCs w:val="24"/>
        </w:rPr>
        <w:t xml:space="preserve">对地下水脆弱性评估结果进行分级展示，一般按脆弱性由高到低依次为高、中等、低3个等级，在GIS</w:t>
      </w:r>
      <w:r>
        <w:rPr>
          <w:rFonts w:hint="eastAsia"/>
          <w:sz w:val="24"/>
          <w:szCs w:val="24"/>
        </w:rPr>
        <w:t xml:space="preserve">展示</w:t>
      </w:r>
      <w:r>
        <w:rPr>
          <w:sz w:val="24"/>
          <w:szCs w:val="24"/>
        </w:rPr>
        <w:t xml:space="preserve">地下水脆弱性评估分区图。</w:t>
      </w:r>
      <w:r>
        <w:rPr>
          <w:sz w:val="24"/>
          <w:szCs w:val="24"/>
        </w:rPr>
      </w:r>
      <w:r/>
    </w:p>
    <w:p>
      <w:pPr>
        <w:pStyle w:val="653"/>
        <w:contextualSpacing/>
        <w:ind w:firstLine="482"/>
        <w:rPr>
          <w:b/>
          <w:bCs/>
          <w:sz w:val="24"/>
          <w:szCs w:val="24"/>
        </w:rPr>
      </w:pPr>
      <w:r>
        <w:rPr>
          <w:b/>
          <w:bCs/>
          <w:sz w:val="24"/>
          <w:szCs w:val="24"/>
        </w:rPr>
        <w:t xml:space="preserve">（3）地下水质量现状评估子模块</w:t>
      </w:r>
      <w:r>
        <w:rPr>
          <w:b/>
          <w:bCs/>
          <w:sz w:val="24"/>
          <w:szCs w:val="24"/>
        </w:rPr>
      </w:r>
      <w:r/>
    </w:p>
    <w:p>
      <w:pPr>
        <w:pStyle w:val="653"/>
        <w:contextualSpacing/>
        <w:ind w:firstLine="480"/>
        <w:rPr>
          <w:sz w:val="24"/>
          <w:szCs w:val="24"/>
        </w:rPr>
      </w:pPr>
      <w:r>
        <w:rPr>
          <w:sz w:val="24"/>
          <w:szCs w:val="24"/>
        </w:rPr>
        <w:t xml:space="preserve">支持对地下水质量现状评估进行查询、重置、导入和详情查看。具体包括地下水质量现状评估点位、评估指标、评估结果，根据调查结果，对照《地下水质量标准》（GB14848-2017），将水质类别Ⅰ~Ⅲ、Ⅳ、Ⅴ类分别评估为好、中等、差三个级别，在GIS</w:t>
      </w:r>
      <w:r>
        <w:rPr>
          <w:rFonts w:hint="eastAsia"/>
          <w:sz w:val="24"/>
          <w:szCs w:val="24"/>
        </w:rPr>
        <w:t xml:space="preserve">展示</w:t>
      </w:r>
      <w:r>
        <w:rPr>
          <w:sz w:val="24"/>
          <w:szCs w:val="24"/>
        </w:rPr>
        <w:t xml:space="preserve">地下水质量现状分区图。</w:t>
      </w:r>
      <w:r>
        <w:rPr>
          <w:sz w:val="24"/>
          <w:szCs w:val="24"/>
        </w:rPr>
      </w:r>
      <w:r/>
    </w:p>
    <w:p>
      <w:pPr>
        <w:pStyle w:val="653"/>
        <w:contextualSpacing/>
        <w:ind w:firstLine="482"/>
        <w:rPr>
          <w:b/>
          <w:bCs/>
          <w:sz w:val="24"/>
          <w:szCs w:val="24"/>
        </w:rPr>
      </w:pPr>
      <w:r>
        <w:rPr>
          <w:b/>
          <w:bCs/>
          <w:sz w:val="24"/>
          <w:szCs w:val="24"/>
        </w:rPr>
        <w:t xml:space="preserve">（4）地下水富水性评估子模块</w:t>
      </w:r>
      <w:r>
        <w:rPr>
          <w:b/>
          <w:bCs/>
          <w:sz w:val="24"/>
          <w:szCs w:val="24"/>
        </w:rPr>
      </w:r>
      <w:r/>
    </w:p>
    <w:p>
      <w:pPr>
        <w:pStyle w:val="653"/>
        <w:contextualSpacing/>
        <w:ind w:firstLine="480"/>
        <w:rPr>
          <w:sz w:val="24"/>
          <w:szCs w:val="24"/>
        </w:rPr>
      </w:pPr>
      <w:r>
        <w:rPr>
          <w:sz w:val="24"/>
          <w:szCs w:val="24"/>
        </w:rPr>
        <w:t xml:space="preserve">支持对地下水富水性评估进行查询、重置、导入和详情查看。具体包括各区域单井涌水量数据，根据地下水丰富程度，将富水性等级分为强、中等、弱三个级别。在GIS</w:t>
      </w:r>
      <w:r>
        <w:rPr>
          <w:rFonts w:hint="eastAsia"/>
          <w:sz w:val="24"/>
          <w:szCs w:val="24"/>
        </w:rPr>
        <w:t xml:space="preserve">展示</w:t>
      </w:r>
      <w:r>
        <w:rPr>
          <w:sz w:val="24"/>
          <w:szCs w:val="24"/>
        </w:rPr>
        <w:t xml:space="preserve">地下水富水性评估分区图。</w:t>
      </w:r>
      <w:r>
        <w:rPr>
          <w:sz w:val="24"/>
          <w:szCs w:val="24"/>
        </w:rPr>
      </w:r>
      <w:r/>
    </w:p>
    <w:p>
      <w:pPr>
        <w:pStyle w:val="653"/>
        <w:contextualSpacing/>
        <w:ind w:firstLine="482"/>
        <w:rPr>
          <w:b/>
          <w:bCs/>
          <w:sz w:val="24"/>
          <w:szCs w:val="24"/>
        </w:rPr>
      </w:pPr>
      <w:r>
        <w:rPr>
          <w:b/>
          <w:bCs/>
          <w:sz w:val="24"/>
          <w:szCs w:val="24"/>
        </w:rPr>
        <w:t xml:space="preserve">（5）地下水功能价值评估子模块</w:t>
      </w:r>
      <w:r>
        <w:rPr>
          <w:b/>
          <w:bCs/>
          <w:sz w:val="24"/>
          <w:szCs w:val="24"/>
        </w:rPr>
      </w:r>
      <w:r/>
    </w:p>
    <w:p>
      <w:pPr>
        <w:pStyle w:val="653"/>
        <w:contextualSpacing/>
        <w:ind w:firstLine="480"/>
        <w:rPr>
          <w:sz w:val="24"/>
          <w:szCs w:val="24"/>
        </w:rPr>
      </w:pPr>
      <w:r>
        <w:rPr>
          <w:sz w:val="24"/>
          <w:szCs w:val="24"/>
        </w:rPr>
        <w:t xml:space="preserve">支持对地下水功能价值评估进行查询、重置、导入和详情查看。根据地下水富水性和质量现状评估结果，叠加形成地下水功能价值矩阵，地下水功能价值高的区域原则上包括富水性强水质好、富水性强水质中等、富水性中等水质好的区域，以及将地下水作为唯一供水来源的区域、地下水储备区。将地下水功能价值划分为高、中等、低三个级别。在GIS</w:t>
      </w:r>
      <w:r>
        <w:rPr>
          <w:rFonts w:hint="eastAsia"/>
          <w:sz w:val="24"/>
          <w:szCs w:val="24"/>
        </w:rPr>
        <w:t xml:space="preserve">展示</w:t>
      </w:r>
      <w:r>
        <w:rPr>
          <w:sz w:val="24"/>
          <w:szCs w:val="24"/>
        </w:rPr>
        <w:t xml:space="preserve">地下水功能价值评估分区图。</w:t>
      </w:r>
      <w:r>
        <w:rPr>
          <w:sz w:val="24"/>
          <w:szCs w:val="24"/>
        </w:rPr>
      </w:r>
      <w:r/>
    </w:p>
    <w:p>
      <w:pPr>
        <w:pStyle w:val="653"/>
        <w:contextualSpacing/>
        <w:ind w:firstLine="482"/>
        <w:rPr>
          <w:b/>
          <w:bCs/>
          <w:sz w:val="24"/>
          <w:szCs w:val="24"/>
        </w:rPr>
      </w:pPr>
      <w:r>
        <w:rPr>
          <w:b/>
          <w:bCs/>
          <w:sz w:val="24"/>
          <w:szCs w:val="24"/>
        </w:rPr>
        <w:t xml:space="preserve">（6）地下水重点区划定子模块</w:t>
      </w:r>
      <w:r>
        <w:rPr>
          <w:b/>
          <w:bCs/>
          <w:sz w:val="24"/>
          <w:szCs w:val="24"/>
        </w:rPr>
      </w:r>
      <w:r/>
    </w:p>
    <w:p>
      <w:pPr>
        <w:pStyle w:val="653"/>
        <w:contextualSpacing/>
        <w:ind w:firstLine="480"/>
        <w:rPr>
          <w:sz w:val="24"/>
          <w:szCs w:val="24"/>
        </w:rPr>
      </w:pPr>
      <w:r>
        <w:rPr>
          <w:sz w:val="24"/>
          <w:szCs w:val="24"/>
        </w:rPr>
        <w:t xml:space="preserve">支持对地下水重点区结果进行查询、重置、导入和详情查看。根据污染源荷载评估结果、地下水水脆弱性评估结果、地下水功能价值评估等叠加形成地下水污染防治重点区，包括保护区和管控区，其中管控区进一步划分为一级管控区和二级管控区，在GIS环境下展示地下水重点区划定分级图。</w:t>
      </w:r>
      <w:r>
        <w:rPr>
          <w:sz w:val="24"/>
          <w:szCs w:val="24"/>
        </w:rPr>
      </w:r>
      <w:r/>
    </w:p>
    <w:p>
      <w:pPr>
        <w:pStyle w:val="653"/>
        <w:numPr>
          <w:ilvl w:val="2"/>
          <w:numId w:val="0"/>
        </w:numPr>
        <w:contextualSpacing/>
        <w:ind w:firstLine="482"/>
        <w:keepLines/>
        <w:keepNext/>
        <w:spacing w:before="145" w:after="145"/>
        <w:rPr>
          <w:b/>
          <w:bCs/>
          <w:sz w:val="24"/>
          <w:szCs w:val="24"/>
        </w:rPr>
        <w:outlineLvl w:val="2"/>
      </w:pPr>
      <w:r>
        <w:rPr>
          <w:b/>
          <w:bCs/>
          <w:sz w:val="24"/>
          <w:szCs w:val="24"/>
        </w:rPr>
        <w:t xml:space="preserve">6. 地下水环境监测网络模块</w:t>
      </w:r>
      <w:r>
        <w:rPr>
          <w:b/>
          <w:bCs/>
          <w:sz w:val="24"/>
          <w:szCs w:val="24"/>
        </w:rPr>
      </w:r>
      <w:r/>
    </w:p>
    <w:p>
      <w:pPr>
        <w:pStyle w:val="653"/>
        <w:contextualSpacing/>
        <w:ind w:firstLine="480"/>
        <w:rPr>
          <w:sz w:val="24"/>
          <w:szCs w:val="24"/>
        </w:rPr>
      </w:pPr>
      <w:r>
        <w:rPr>
          <w:sz w:val="24"/>
          <w:szCs w:val="24"/>
        </w:rPr>
        <w:t xml:space="preserve">江苏省地下水环境监测网包括双源地下水环境监测网，和区域地下水环境监测网，展示监测点类型、名称、位置、结构信息、检测数据结果、检测时间、检测结果二维空间分布、检测结果时间分布等相关内容。针对超标点位设置预警信息。</w:t>
      </w:r>
      <w:r>
        <w:rPr>
          <w:sz w:val="24"/>
          <w:szCs w:val="24"/>
        </w:rPr>
      </w:r>
      <w:r/>
    </w:p>
    <w:p>
      <w:pPr>
        <w:pStyle w:val="653"/>
        <w:contextualSpacing/>
        <w:ind w:firstLine="482"/>
        <w:rPr>
          <w:b/>
          <w:bCs/>
          <w:sz w:val="24"/>
          <w:szCs w:val="24"/>
        </w:rPr>
      </w:pPr>
      <w:r>
        <w:rPr>
          <w:b/>
          <w:bCs/>
          <w:sz w:val="24"/>
          <w:szCs w:val="24"/>
        </w:rPr>
        <w:t xml:space="preserve">（1）信息导入功能</w:t>
      </w:r>
      <w:r>
        <w:rPr>
          <w:b/>
          <w:bCs/>
          <w:sz w:val="24"/>
          <w:szCs w:val="24"/>
        </w:rPr>
      </w:r>
      <w:r/>
    </w:p>
    <w:p>
      <w:pPr>
        <w:pStyle w:val="653"/>
        <w:contextualSpacing/>
        <w:ind w:firstLine="480"/>
        <w:rPr>
          <w:sz w:val="24"/>
          <w:szCs w:val="24"/>
        </w:rPr>
      </w:pPr>
      <w:r>
        <w:rPr>
          <w:sz w:val="24"/>
          <w:szCs w:val="24"/>
        </w:rPr>
        <w:t xml:space="preserve">提供地下水水质数据服务，管理人员用户可人工维护相关数据或新增土壤地下水监测项目导入其相关数据。</w:t>
      </w:r>
      <w:r>
        <w:rPr>
          <w:sz w:val="24"/>
          <w:szCs w:val="24"/>
        </w:rPr>
      </w:r>
      <w:r/>
    </w:p>
    <w:p>
      <w:pPr>
        <w:pStyle w:val="653"/>
        <w:contextualSpacing/>
        <w:ind w:firstLine="480"/>
        <w:rPr>
          <w:sz w:val="24"/>
          <w:szCs w:val="24"/>
        </w:rPr>
      </w:pPr>
      <w:r>
        <w:rPr>
          <w:sz w:val="24"/>
          <w:szCs w:val="24"/>
        </w:rPr>
        <w:t xml:space="preserve">根据地下水的监测情况，提供地下水环境数据人工维护填报功能，提供地下水监测点信息、水质水位信息录入、修改、删除功能。数据录入包含：色、嗅和味、浑浊度、肉眼可见物、pH、总硬度、溶解性总固体、硫酸盐、氯化物、铁、锰、钢、锌、铝、挥发性酚类、阴离子表面活性剂、耗氧量、氨氮、硫化物、钠、总大肠菌群等内容。</w:t>
      </w:r>
      <w:r>
        <w:rPr>
          <w:sz w:val="24"/>
          <w:szCs w:val="24"/>
        </w:rPr>
      </w:r>
      <w:r/>
    </w:p>
    <w:p>
      <w:pPr>
        <w:pStyle w:val="653"/>
        <w:contextualSpacing/>
        <w:ind w:firstLine="480"/>
        <w:rPr>
          <w:sz w:val="24"/>
          <w:szCs w:val="24"/>
        </w:rPr>
      </w:pPr>
      <w:r>
        <w:rPr>
          <w:sz w:val="24"/>
          <w:szCs w:val="24"/>
        </w:rPr>
        <w:t xml:space="preserve">根据地下水的监测数据，提供数据导入功能，支持excel格式、csv格式。系统支持导入数据自动校验和异常值识别，对明显异常数据提示人工复核。</w:t>
      </w:r>
      <w:r>
        <w:rPr>
          <w:sz w:val="24"/>
          <w:szCs w:val="24"/>
        </w:rPr>
      </w:r>
      <w:r/>
    </w:p>
    <w:p>
      <w:pPr>
        <w:pStyle w:val="653"/>
        <w:contextualSpacing/>
        <w:ind w:firstLine="482"/>
        <w:rPr>
          <w:b/>
          <w:bCs/>
          <w:sz w:val="24"/>
          <w:szCs w:val="24"/>
        </w:rPr>
      </w:pPr>
      <w:r>
        <w:rPr>
          <w:b/>
          <w:bCs/>
          <w:sz w:val="24"/>
          <w:szCs w:val="24"/>
        </w:rPr>
        <w:t xml:space="preserve">（2）地下水数据查询</w:t>
      </w:r>
      <w:r>
        <w:rPr>
          <w:b/>
          <w:bCs/>
          <w:sz w:val="24"/>
          <w:szCs w:val="24"/>
        </w:rPr>
      </w:r>
      <w:r/>
    </w:p>
    <w:p>
      <w:pPr>
        <w:pStyle w:val="653"/>
        <w:contextualSpacing/>
        <w:ind w:firstLine="480"/>
        <w:rPr>
          <w:sz w:val="24"/>
          <w:szCs w:val="24"/>
        </w:rPr>
      </w:pPr>
      <w:r>
        <w:rPr>
          <w:sz w:val="24"/>
          <w:szCs w:val="24"/>
        </w:rPr>
        <w:t xml:space="preserve">根据地下水录入以及导入数据，提供地下水数据查询功能，支持实时数据查询以及历史数据查询；数据查询支持自定义时间段查询，自定义监测点位查询，对某一个或者多个监测指标进行查询；数据查询支持根据企业进行查询，根据行业类别进行查询，根据常见污染物类别进行查询。支持自然语言交互查询。</w:t>
      </w:r>
      <w:r>
        <w:rPr>
          <w:sz w:val="24"/>
          <w:szCs w:val="24"/>
        </w:rPr>
      </w:r>
      <w:r/>
    </w:p>
    <w:p>
      <w:pPr>
        <w:pStyle w:val="653"/>
        <w:contextualSpacing/>
        <w:ind w:firstLine="480"/>
        <w:rPr>
          <w:sz w:val="24"/>
          <w:szCs w:val="24"/>
        </w:rPr>
      </w:pPr>
      <w:r>
        <w:rPr>
          <w:sz w:val="24"/>
          <w:szCs w:val="24"/>
        </w:rPr>
        <w:t xml:space="preserve">提供根据地下水水质变化情况查询功能，能够快速定位时间周期内改善点位、恶化点位、超标点位。支持钻取查看监测数据曲线，查看数据变化趋势。系统可对变化趋势进行智能解读，结合周边污染源、水文地质条件等信息，分析变化可能原因。</w:t>
      </w:r>
      <w:r>
        <w:rPr>
          <w:sz w:val="24"/>
          <w:szCs w:val="24"/>
        </w:rPr>
      </w:r>
      <w:r/>
    </w:p>
    <w:p>
      <w:pPr>
        <w:pStyle w:val="653"/>
        <w:contextualSpacing/>
        <w:ind w:firstLine="482"/>
        <w:rPr>
          <w:b/>
          <w:bCs/>
          <w:sz w:val="24"/>
          <w:szCs w:val="24"/>
        </w:rPr>
      </w:pPr>
      <w:r>
        <w:rPr>
          <w:b/>
          <w:bCs/>
          <w:sz w:val="24"/>
          <w:szCs w:val="24"/>
        </w:rPr>
        <w:t xml:space="preserve">（3）地下水监测空间分析</w:t>
      </w:r>
      <w:r>
        <w:rPr>
          <w:b/>
          <w:bCs/>
          <w:sz w:val="24"/>
          <w:szCs w:val="24"/>
        </w:rPr>
      </w:r>
      <w:r/>
    </w:p>
    <w:p>
      <w:pPr>
        <w:pStyle w:val="653"/>
        <w:contextualSpacing/>
        <w:ind w:firstLine="480"/>
        <w:rPr>
          <w:sz w:val="24"/>
          <w:szCs w:val="24"/>
        </w:rPr>
      </w:pPr>
      <w:r>
        <w:rPr>
          <w:sz w:val="24"/>
          <w:szCs w:val="24"/>
        </w:rPr>
        <w:t xml:space="preserve">提供空间信息展示分析能力，提供地图网格分析能力，对全省监测点位布点合理性分析，查缺补漏。对全省地下水问题生成问题热力图，辅助定位问题高发区域。结合向量知识库中的历史资料，对热点区域的污染成因进行智能推断。</w:t>
      </w:r>
      <w:r>
        <w:rPr>
          <w:sz w:val="24"/>
          <w:szCs w:val="24"/>
        </w:rPr>
      </w:r>
      <w:r/>
    </w:p>
    <w:p>
      <w:pPr>
        <w:pStyle w:val="653"/>
        <w:contextualSpacing/>
        <w:ind w:firstLine="482"/>
        <w:rPr>
          <w:b/>
          <w:bCs/>
          <w:sz w:val="24"/>
          <w:szCs w:val="24"/>
        </w:rPr>
      </w:pPr>
      <w:r>
        <w:rPr>
          <w:b/>
          <w:bCs/>
          <w:sz w:val="24"/>
          <w:szCs w:val="24"/>
        </w:rPr>
        <w:t xml:space="preserve">（4）水质变化趋势分析</w:t>
      </w:r>
      <w:r>
        <w:rPr>
          <w:b/>
          <w:bCs/>
          <w:sz w:val="24"/>
          <w:szCs w:val="24"/>
        </w:rPr>
      </w:r>
      <w:r/>
    </w:p>
    <w:p>
      <w:pPr>
        <w:pStyle w:val="653"/>
        <w:contextualSpacing/>
        <w:ind w:firstLine="480"/>
        <w:rPr>
          <w:sz w:val="24"/>
          <w:szCs w:val="24"/>
        </w:rPr>
      </w:pPr>
      <w:r>
        <w:rPr>
          <w:sz w:val="24"/>
          <w:szCs w:val="24"/>
        </w:rPr>
        <w:t xml:space="preserve">对地下水环境质量达标情况进行分析，根据地下水环境质量评价分析结果，综合展示整体地下水环境质量状况，通过不同的颜色区分各类水体，同时以饼状图的形式展示各类水体的占比情况，并实现水质变化趋势分析，从而全面掌握地下水环境质量现状。</w:t>
      </w:r>
      <w:r>
        <w:rPr>
          <w:rFonts w:hint="eastAsia"/>
          <w:sz w:val="24"/>
          <w:szCs w:val="24"/>
        </w:rPr>
        <w:t xml:space="preserve">可通过大模型自动生成分析报告，包含变化特征、成因研判与管控建议。</w:t>
      </w:r>
      <w:r>
        <w:rPr>
          <w:sz w:val="24"/>
          <w:szCs w:val="24"/>
        </w:rPr>
      </w:r>
      <w:r/>
    </w:p>
    <w:p>
      <w:pPr>
        <w:pStyle w:val="653"/>
        <w:contextualSpacing/>
        <w:ind w:firstLine="482"/>
        <w:rPr>
          <w:b/>
          <w:bCs/>
          <w:sz w:val="24"/>
          <w:szCs w:val="24"/>
        </w:rPr>
      </w:pPr>
      <w:r>
        <w:rPr>
          <w:b/>
          <w:bCs/>
          <w:sz w:val="24"/>
          <w:szCs w:val="24"/>
        </w:rPr>
        <w:t xml:space="preserve">（5）地下水监测数据预警</w:t>
      </w:r>
      <w:r>
        <w:rPr>
          <w:b/>
          <w:bCs/>
          <w:sz w:val="24"/>
          <w:szCs w:val="24"/>
        </w:rPr>
      </w:r>
      <w:r/>
    </w:p>
    <w:p>
      <w:pPr>
        <w:pStyle w:val="653"/>
        <w:contextualSpacing/>
        <w:ind w:firstLine="480"/>
        <w:rPr>
          <w:sz w:val="24"/>
          <w:szCs w:val="24"/>
        </w:rPr>
      </w:pPr>
      <w:r>
        <w:rPr>
          <w:sz w:val="24"/>
          <w:szCs w:val="24"/>
        </w:rPr>
        <w:t xml:space="preserve">根据录入的地下水监测数据和导入的地下水的监测数据，根据不同的管控类型设置不同的地下水监测数据提醒阈值。平台提供数据预警的提醒功能，当监测站点监测数据超过提醒阈值，根据超过百分比进行标记提醒，及时加强水质情况改善以及采取相对应的措施降低生产对地下水污染产生的影响。</w:t>
      </w:r>
      <w:r>
        <w:rPr>
          <w:rFonts w:hint="eastAsia"/>
          <w:sz w:val="24"/>
          <w:szCs w:val="24"/>
        </w:rPr>
        <w:t xml:space="preserve">预警信息可结合历史资料和模型预测，给出预警可信度判定。</w:t>
      </w:r>
      <w:r>
        <w:rPr>
          <w:sz w:val="24"/>
          <w:szCs w:val="24"/>
        </w:rPr>
      </w:r>
      <w:r/>
    </w:p>
    <w:p>
      <w:pPr>
        <w:pStyle w:val="653"/>
        <w:contextualSpacing/>
        <w:ind w:firstLine="482"/>
        <w:rPr>
          <w:b/>
          <w:bCs/>
          <w:sz w:val="24"/>
          <w:szCs w:val="24"/>
        </w:rPr>
      </w:pPr>
      <w:r>
        <w:rPr>
          <w:b/>
          <w:bCs/>
          <w:sz w:val="24"/>
          <w:szCs w:val="24"/>
        </w:rPr>
        <w:t xml:space="preserve">（6）地下水质量管理</w:t>
      </w:r>
      <w:r>
        <w:rPr>
          <w:b/>
          <w:bCs/>
          <w:sz w:val="24"/>
          <w:szCs w:val="24"/>
        </w:rPr>
      </w:r>
      <w:r/>
    </w:p>
    <w:p>
      <w:pPr>
        <w:pStyle w:val="653"/>
        <w:contextualSpacing/>
        <w:ind w:firstLine="480"/>
        <w:rPr>
          <w:sz w:val="24"/>
          <w:szCs w:val="24"/>
        </w:rPr>
      </w:pPr>
      <w:r>
        <w:rPr>
          <w:sz w:val="24"/>
          <w:szCs w:val="24"/>
        </w:rPr>
        <w:t xml:space="preserve">对地下水水质手工监测结果进行达标统计分析及应急分析。按月、累计、年呈现地下水达标率与变化趋势、水质级别构成与变化趋势，测点水质级别、达标情况、主要污染物，以及污染物浓度变化趋势，并提供地下水水质排名情况。对于排名靠后或持续恶化点位，系统可自动生成重点关注清单，并提供调参建议或补充监测方案。</w:t>
      </w:r>
      <w:r>
        <w:rPr>
          <w:sz w:val="24"/>
          <w:szCs w:val="24"/>
        </w:rPr>
      </w:r>
      <w:r/>
    </w:p>
    <w:p>
      <w:pPr>
        <w:pStyle w:val="653"/>
        <w:numPr>
          <w:ilvl w:val="2"/>
          <w:numId w:val="0"/>
        </w:numPr>
        <w:contextualSpacing/>
        <w:ind w:firstLine="482"/>
        <w:keepLines/>
        <w:keepNext/>
        <w:spacing w:before="145" w:after="145"/>
        <w:rPr>
          <w:b/>
          <w:bCs/>
          <w:sz w:val="24"/>
          <w:szCs w:val="24"/>
        </w:rPr>
        <w:outlineLvl w:val="2"/>
      </w:pPr>
      <w:r/>
      <w:bookmarkEnd w:id="191"/>
      <w:r/>
      <w:bookmarkEnd w:id="193"/>
      <w:r>
        <w:rPr>
          <w:b/>
          <w:bCs/>
          <w:sz w:val="24"/>
          <w:szCs w:val="24"/>
        </w:rPr>
        <w:t xml:space="preserve">7. </w:t>
      </w:r>
      <w:r>
        <w:rPr>
          <w:rFonts w:hint="eastAsia"/>
          <w:b/>
          <w:bCs/>
          <w:sz w:val="24"/>
          <w:szCs w:val="24"/>
        </w:rPr>
        <w:t xml:space="preserve">配套移动端应用建设</w:t>
      </w:r>
      <w:r>
        <w:rPr>
          <w:b/>
          <w:bCs/>
          <w:sz w:val="24"/>
          <w:szCs w:val="24"/>
        </w:rPr>
      </w:r>
      <w:r/>
    </w:p>
    <w:p>
      <w:pPr>
        <w:pStyle w:val="653"/>
        <w:contextualSpacing/>
        <w:ind w:firstLine="480"/>
        <w:rPr>
          <w:sz w:val="24"/>
          <w:szCs w:val="24"/>
        </w:rPr>
      </w:pPr>
      <w:r>
        <w:rPr>
          <w:sz w:val="24"/>
          <w:szCs w:val="24"/>
        </w:rPr>
        <w:t xml:space="preserve">为提升平台使用的便捷性和响应速度，同步开发移动端APP应用，主要功能包括：</w:t>
      </w:r>
      <w:r>
        <w:rPr>
          <w:sz w:val="24"/>
          <w:szCs w:val="24"/>
        </w:rPr>
      </w:r>
      <w:r/>
    </w:p>
    <w:p>
      <w:pPr>
        <w:pStyle w:val="653"/>
        <w:contextualSpacing/>
        <w:ind w:firstLine="480"/>
        <w:rPr>
          <w:sz w:val="24"/>
          <w:szCs w:val="24"/>
        </w:rPr>
      </w:pPr>
      <w:r>
        <w:rPr>
          <w:rFonts w:hint="eastAsia" w:ascii="Cambria Math" w:hAnsi="Cambria Math" w:cs="Cambria Math"/>
          <w:sz w:val="24"/>
          <w:szCs w:val="24"/>
        </w:rPr>
        <w:t xml:space="preserve">（1）</w:t>
      </w:r>
      <w:r>
        <w:rPr>
          <w:sz w:val="24"/>
          <w:szCs w:val="24"/>
        </w:rPr>
        <w:t xml:space="preserve">数据移动查询：支持用户通过手机端进行信息查询，包括污染源信息、监测点位数据、调查评估报告等。支持语音输入查询，能够将用户的自然语言口语准确转化为专业的查询条件，并返回简洁明了的答案。</w:t>
      </w:r>
      <w:r>
        <w:rPr>
          <w:sz w:val="24"/>
          <w:szCs w:val="24"/>
        </w:rPr>
      </w:r>
      <w:r/>
    </w:p>
    <w:p>
      <w:pPr>
        <w:pStyle w:val="653"/>
        <w:contextualSpacing/>
        <w:ind w:firstLine="480"/>
        <w:rPr>
          <w:sz w:val="24"/>
          <w:szCs w:val="24"/>
        </w:rPr>
      </w:pPr>
      <w:r>
        <w:rPr>
          <w:rFonts w:hint="eastAsia" w:ascii="Cambria Math" w:hAnsi="Cambria Math" w:cs="Cambria Math"/>
          <w:sz w:val="24"/>
          <w:szCs w:val="24"/>
        </w:rPr>
        <w:t xml:space="preserve">（2）</w:t>
      </w:r>
      <w:r>
        <w:rPr>
          <w:sz w:val="24"/>
          <w:szCs w:val="24"/>
        </w:rPr>
        <w:t xml:space="preserve">预警信息接收：实时接收监测数据预警信息，支持推送通知，用户可查看预警详情、历史处置记录，并在线反馈初步处置意见。</w:t>
      </w:r>
      <w:r>
        <w:rPr>
          <w:sz w:val="24"/>
          <w:szCs w:val="24"/>
        </w:rPr>
      </w:r>
      <w:r/>
    </w:p>
    <w:p>
      <w:pPr>
        <w:pStyle w:val="653"/>
        <w:contextualSpacing/>
        <w:ind w:firstLine="480"/>
        <w:rPr>
          <w:sz w:val="24"/>
          <w:szCs w:val="24"/>
        </w:rPr>
      </w:pPr>
      <w:r>
        <w:rPr>
          <w:rFonts w:hint="eastAsia" w:ascii="Cambria Math" w:hAnsi="Cambria Math" w:cs="Cambria Math"/>
          <w:sz w:val="24"/>
          <w:szCs w:val="24"/>
        </w:rPr>
        <w:t xml:space="preserve">（3）</w:t>
      </w:r>
      <w:r>
        <w:rPr>
          <w:sz w:val="24"/>
          <w:szCs w:val="24"/>
        </w:rPr>
        <w:t xml:space="preserve">现场数据填报：支持现场工作人员通过手机端填报监测数据、上传现场照片、记录巡查情况，填报数据自动同步至平台数据库。</w:t>
      </w:r>
      <w:r>
        <w:rPr>
          <w:sz w:val="24"/>
          <w:szCs w:val="24"/>
        </w:rPr>
      </w:r>
      <w:r/>
    </w:p>
    <w:p>
      <w:pPr>
        <w:pStyle w:val="653"/>
        <w:contextualSpacing/>
        <w:ind w:firstLine="480"/>
        <w:rPr>
          <w:sz w:val="24"/>
          <w:szCs w:val="24"/>
        </w:rPr>
      </w:pPr>
      <w:r>
        <w:rPr>
          <w:rFonts w:hint="eastAsia" w:ascii="Cambria Math" w:hAnsi="Cambria Math" w:cs="Cambria Math"/>
          <w:sz w:val="24"/>
          <w:szCs w:val="24"/>
        </w:rPr>
        <w:t xml:space="preserve">（4）</w:t>
      </w:r>
      <w:r>
        <w:rPr>
          <w:sz w:val="24"/>
          <w:szCs w:val="24"/>
        </w:rPr>
        <w:t xml:space="preserve">移动端智能助手：集成轻量级智能问答功能，支持用户随时随地咨询专业知识、查询政策标准、获取技术案例。系统应能记录用户的查询习惯和常用问题，逐步优化语义理解准确率。</w:t>
      </w:r>
      <w:r>
        <w:rPr>
          <w:sz w:val="24"/>
          <w:szCs w:val="24"/>
        </w:rPr>
      </w:r>
      <w:r/>
    </w:p>
    <w:p>
      <w:pPr>
        <w:pStyle w:val="653"/>
        <w:numPr>
          <w:ilvl w:val="2"/>
          <w:numId w:val="0"/>
        </w:numPr>
        <w:contextualSpacing/>
        <w:ind w:firstLine="482"/>
        <w:keepLines/>
        <w:keepNext/>
        <w:spacing w:before="145" w:after="145"/>
        <w:rPr>
          <w:rFonts w:hint="eastAsia"/>
          <w:b/>
          <w:bCs/>
          <w:sz w:val="24"/>
          <w:szCs w:val="24"/>
        </w:rPr>
        <w:outlineLvl w:val="2"/>
      </w:pPr>
      <w:r>
        <w:rPr>
          <w:rFonts w:hint="eastAsia"/>
          <w:b/>
          <w:bCs/>
          <w:sz w:val="24"/>
          <w:szCs w:val="24"/>
        </w:rPr>
        <w:t xml:space="preserve">8. 系统集成要求</w:t>
      </w:r>
      <w:r>
        <w:rPr>
          <w:rFonts w:hint="eastAsia"/>
          <w:b/>
          <w:bCs/>
          <w:sz w:val="24"/>
          <w:szCs w:val="24"/>
        </w:rPr>
      </w:r>
      <w:r/>
    </w:p>
    <w:p>
      <w:pPr>
        <w:pStyle w:val="653"/>
        <w:contextualSpacing/>
        <w:ind w:firstLine="480"/>
        <w:rPr>
          <w:rFonts w:hint="eastAsia"/>
          <w:sz w:val="24"/>
          <w:szCs w:val="24"/>
        </w:rPr>
      </w:pPr>
      <w:r>
        <w:rPr>
          <w:rFonts w:hint="eastAsia"/>
          <w:sz w:val="24"/>
          <w:szCs w:val="24"/>
        </w:rPr>
        <w:t xml:space="preserve">（1）江苏省生态环境智慧监管平台集成要求</w:t>
      </w:r>
      <w:r>
        <w:rPr>
          <w:rFonts w:hint="eastAsia"/>
          <w:sz w:val="24"/>
          <w:szCs w:val="24"/>
        </w:rPr>
      </w:r>
      <w:r/>
    </w:p>
    <w:p>
      <w:pPr>
        <w:pStyle w:val="653"/>
        <w:contextualSpacing/>
        <w:ind w:firstLine="480"/>
        <w:rPr>
          <w:rFonts w:hint="eastAsia"/>
          <w:sz w:val="24"/>
          <w:szCs w:val="24"/>
        </w:rPr>
      </w:pPr>
      <w:r>
        <w:rPr>
          <w:rFonts w:hint="eastAsia"/>
          <w:sz w:val="24"/>
          <w:szCs w:val="24"/>
        </w:rPr>
        <w:t xml:space="preserve">本系统将完成与江苏省生态环境智慧监管平台及数据底座、江苏省生态环境智慧监管平台土壤环境综合管理模块集成。江苏省生态环境智慧监管平台接口等为规范化标准，无条件进行开放，免费对接。</w:t>
      </w:r>
      <w:r>
        <w:rPr>
          <w:rFonts w:hint="eastAsia"/>
          <w:sz w:val="24"/>
          <w:szCs w:val="24"/>
        </w:rPr>
      </w:r>
      <w:r/>
    </w:p>
    <w:p>
      <w:pPr>
        <w:pStyle w:val="653"/>
        <w:contextualSpacing/>
        <w:ind w:firstLine="480"/>
        <w:rPr>
          <w:rFonts w:hint="eastAsia"/>
          <w:sz w:val="24"/>
          <w:szCs w:val="24"/>
        </w:rPr>
      </w:pPr>
      <w:r>
        <w:rPr>
          <w:rFonts w:hint="eastAsia"/>
          <w:sz w:val="24"/>
          <w:szCs w:val="24"/>
        </w:rPr>
        <w:t xml:space="preserve">（2）国家系统对接承诺要求</w:t>
      </w:r>
      <w:r>
        <w:rPr>
          <w:rFonts w:hint="eastAsia"/>
          <w:sz w:val="24"/>
          <w:szCs w:val="24"/>
        </w:rPr>
      </w:r>
      <w:r/>
    </w:p>
    <w:p>
      <w:pPr>
        <w:pStyle w:val="653"/>
        <w:contextualSpacing/>
        <w:ind w:firstLine="480"/>
        <w:rPr>
          <w:rFonts w:hint="eastAsia"/>
          <w:sz w:val="24"/>
          <w:szCs w:val="24"/>
        </w:rPr>
      </w:pPr>
      <w:r>
        <w:rPr>
          <w:rFonts w:hint="eastAsia"/>
          <w:sz w:val="24"/>
          <w:szCs w:val="24"/>
        </w:rPr>
        <w:t xml:space="preserve">若全国建设用地土壤环境管理信息系统（重点监管单位模块、地块开发利用模块）、全国地下水生态环境监管系统（化工园区专项模块、地下水综合管理模块、地下水污染防治重点区管理模块）开放对接接口或具备开发对接条件的情况下，投标人须配合采购人完成国家系统对接工作。</w:t>
      </w:r>
      <w:r>
        <w:rPr>
          <w:rFonts w:hint="eastAsia"/>
          <w:sz w:val="24"/>
          <w:szCs w:val="24"/>
        </w:rPr>
      </w:r>
      <w:r/>
    </w:p>
    <w:p>
      <w:pPr>
        <w:pStyle w:val="653"/>
        <w:contextualSpacing/>
        <w:ind w:firstLine="480"/>
        <w:rPr>
          <w:i/>
          <w:iCs/>
          <w:sz w:val="24"/>
          <w:szCs w:val="24"/>
          <w:u w:val="single"/>
        </w:rPr>
      </w:pPr>
      <w:r>
        <w:rPr>
          <w:rFonts w:hint="eastAsia"/>
          <w:i/>
          <w:iCs/>
          <w:sz w:val="24"/>
          <w:szCs w:val="24"/>
          <w:u w:val="single"/>
        </w:rPr>
        <w:t xml:space="preserve">投标人须提供对接承诺，不提供视为无效标书。</w:t>
      </w:r>
      <w:r>
        <w:rPr>
          <w:i/>
          <w:iCs/>
          <w:sz w:val="24"/>
          <w:szCs w:val="24"/>
          <w:u w:val="single"/>
        </w:rPr>
      </w:r>
      <w:r/>
    </w:p>
    <w:p>
      <w:pPr>
        <w:pStyle w:val="653"/>
        <w:numPr>
          <w:ilvl w:val="2"/>
          <w:numId w:val="0"/>
        </w:numPr>
        <w:contextualSpacing/>
        <w:ind w:firstLine="482"/>
        <w:keepLines/>
        <w:keepNext/>
        <w:spacing w:before="145" w:after="145"/>
        <w:rPr>
          <w:rFonts w:hint="eastAsia" w:ascii="宋体" w:hAnsi="宋体"/>
          <w:b/>
          <w:bCs/>
          <w:sz w:val="24"/>
        </w:rPr>
        <w:outlineLvl w:val="2"/>
      </w:pPr>
      <w:r>
        <w:rPr>
          <w:rFonts w:hint="eastAsia" w:ascii="宋体" w:hAnsi="宋体"/>
          <w:b/>
          <w:bCs/>
          <w:sz w:val="24"/>
        </w:rPr>
        <w:t xml:space="preserve">（三）技术需求</w:t>
      </w:r>
      <w:r>
        <w:rPr>
          <w:rFonts w:hint="eastAsia" w:ascii="宋体" w:hAnsi="宋体"/>
          <w:b/>
          <w:bCs/>
          <w:sz w:val="24"/>
        </w:rPr>
      </w:r>
      <w:r/>
    </w:p>
    <w:p>
      <w:pPr>
        <w:pStyle w:val="653"/>
        <w:numPr>
          <w:ilvl w:val="2"/>
          <w:numId w:val="0"/>
        </w:numPr>
        <w:contextualSpacing/>
        <w:ind w:firstLine="482"/>
        <w:keepLines/>
        <w:keepNext/>
        <w:spacing w:before="145" w:after="145"/>
        <w:rPr>
          <w:b/>
          <w:bCs/>
          <w:sz w:val="24"/>
          <w:szCs w:val="24"/>
        </w:rPr>
        <w:outlineLvl w:val="2"/>
      </w:pPr>
      <w:r>
        <w:rPr>
          <w:rFonts w:hint="eastAsia"/>
          <w:b/>
          <w:bCs/>
          <w:sz w:val="24"/>
          <w:szCs w:val="24"/>
        </w:rPr>
        <w:t xml:space="preserve">1. 总体技术要求</w:t>
      </w:r>
      <w:r>
        <w:rPr>
          <w:b/>
          <w:bCs/>
          <w:sz w:val="24"/>
          <w:szCs w:val="24"/>
        </w:rPr>
      </w:r>
      <w:r/>
    </w:p>
    <w:p>
      <w:pPr>
        <w:pStyle w:val="653"/>
        <w:contextualSpacing/>
        <w:ind w:firstLine="480"/>
        <w:rPr>
          <w:rFonts w:hint="eastAsia"/>
          <w:sz w:val="24"/>
          <w:szCs w:val="24"/>
        </w:rPr>
      </w:pPr>
      <w:r>
        <w:rPr>
          <w:rFonts w:hint="eastAsia"/>
          <w:sz w:val="24"/>
          <w:szCs w:val="24"/>
        </w:rPr>
        <w:t xml:space="preserve">本项目系统开发必须按软件工程的实施规范进行，保证系统先进、操作方便、维护简单、实施规范，具体要求如下：</w:t>
      </w:r>
      <w:r>
        <w:rPr>
          <w:rFonts w:hint="eastAsia"/>
          <w:sz w:val="24"/>
          <w:szCs w:val="24"/>
        </w:rPr>
      </w:r>
      <w:r/>
    </w:p>
    <w:p>
      <w:pPr>
        <w:pStyle w:val="653"/>
        <w:contextualSpacing/>
        <w:ind w:firstLine="480"/>
        <w:rPr>
          <w:rFonts w:hint="eastAsia"/>
          <w:sz w:val="24"/>
          <w:szCs w:val="24"/>
        </w:rPr>
      </w:pPr>
      <w:r>
        <w:rPr>
          <w:rFonts w:hint="eastAsia"/>
          <w:sz w:val="24"/>
          <w:szCs w:val="24"/>
        </w:rPr>
        <w:t xml:space="preserve">（1）标准规范要求：系统建设符合《江苏省生态环境厅软件应用系统建设技术规范（试行）》，业务数据按要求接入江苏省生态环境智慧监管平台数据底座，使用科学合理的运行管理机制作为系统建设运行的保障条件。对于不按要求接入的系统一律不予验收。</w:t>
      </w:r>
      <w:r>
        <w:rPr>
          <w:rFonts w:hint="eastAsia"/>
          <w:sz w:val="24"/>
          <w:szCs w:val="24"/>
        </w:rPr>
      </w:r>
      <w:r/>
    </w:p>
    <w:p>
      <w:pPr>
        <w:pStyle w:val="653"/>
        <w:contextualSpacing/>
        <w:ind w:firstLine="480"/>
        <w:rPr>
          <w:rFonts w:hint="eastAsia"/>
          <w:sz w:val="24"/>
          <w:szCs w:val="24"/>
        </w:rPr>
      </w:pPr>
      <w:r>
        <w:rPr>
          <w:rFonts w:hint="eastAsia"/>
          <w:sz w:val="24"/>
          <w:szCs w:val="24"/>
        </w:rPr>
        <w:t xml:space="preserve">（2）系统设计要求：系统应采用组件化、微服务化的开发方式，各模块之间相互独立，任何一个应用模块的损坏和更换均不能影响其它模块的使用。对于存在已建系统的，需基于已有系统进行设计，确保数据结构、系统架构、业务流程、系统界面等与已建设的系统无缝衔接，与已有技术成果、数据成果和已有数据标准等进行无缝集成及整合。</w:t>
      </w:r>
      <w:r>
        <w:rPr>
          <w:rFonts w:hint="eastAsia"/>
          <w:sz w:val="24"/>
          <w:szCs w:val="24"/>
        </w:rPr>
      </w:r>
      <w:r/>
    </w:p>
    <w:p>
      <w:pPr>
        <w:pStyle w:val="653"/>
        <w:contextualSpacing/>
        <w:ind w:firstLine="480"/>
        <w:rPr>
          <w:rFonts w:hint="eastAsia"/>
          <w:sz w:val="24"/>
          <w:szCs w:val="24"/>
        </w:rPr>
      </w:pPr>
      <w:r>
        <w:rPr>
          <w:rFonts w:hint="eastAsia"/>
          <w:sz w:val="24"/>
          <w:szCs w:val="24"/>
        </w:rPr>
        <w:t xml:space="preserve">（3）功能设计要求：应经过充分调研，在了解相关政策要求和建设单位用户的需求的基础上编制《需求规格说明书》和相关设计文档，系统的功能必须满足用户所提出的需求和最新的相关政策要求。</w:t>
      </w:r>
      <w:r>
        <w:rPr>
          <w:rFonts w:hint="eastAsia"/>
          <w:sz w:val="24"/>
          <w:szCs w:val="24"/>
        </w:rPr>
      </w:r>
      <w:r/>
    </w:p>
    <w:p>
      <w:pPr>
        <w:pStyle w:val="653"/>
        <w:contextualSpacing/>
        <w:ind w:firstLine="480"/>
        <w:rPr>
          <w:rFonts w:hint="eastAsia"/>
          <w:sz w:val="24"/>
          <w:szCs w:val="24"/>
        </w:rPr>
      </w:pPr>
      <w:r>
        <w:rPr>
          <w:rFonts w:hint="eastAsia"/>
          <w:sz w:val="24"/>
          <w:szCs w:val="24"/>
        </w:rPr>
        <w:t xml:space="preserve">（4）安装部署要求：系统应按照要求部署在省政务云的互联网区、电子政务外网区，部分有特殊要求的应用部署在生态环境业务专网内。同时，根据省有关部门及采购人关于信息安全的统一部署要求，支持基于国产CPU、国产操作系统、国产数据库、国产中间件的开发、部署、实施、使用，部署于省政务云互联网区、电子政务外网区以及生态环境业务专网内的系统应按采购人实际需求实现数据交换和应用跨网穿透式访问。</w:t>
      </w:r>
      <w:r>
        <w:rPr>
          <w:rFonts w:hint="eastAsia"/>
          <w:sz w:val="24"/>
          <w:szCs w:val="24"/>
        </w:rPr>
      </w:r>
      <w:r/>
    </w:p>
    <w:p>
      <w:pPr>
        <w:pStyle w:val="653"/>
        <w:contextualSpacing/>
        <w:ind w:firstLine="480"/>
        <w:rPr>
          <w:rFonts w:hint="eastAsia"/>
          <w:sz w:val="24"/>
          <w:szCs w:val="24"/>
        </w:rPr>
      </w:pPr>
      <w:r>
        <w:rPr>
          <w:rFonts w:hint="eastAsia"/>
          <w:sz w:val="24"/>
          <w:szCs w:val="24"/>
        </w:rPr>
        <w:t xml:space="preserve">（5）系统性能设计要求：应用系统可满足100用户同时在线，满足至少20个用户的并发访问；系统功能点满足非高峰时段响应时间小于1秒，高峰时段响应时间小于3秒要求；系统年平均故障时间小于1天，平均故障修复时间小于1小时。</w:t>
      </w:r>
      <w:r>
        <w:rPr>
          <w:rFonts w:hint="eastAsia"/>
          <w:sz w:val="24"/>
          <w:szCs w:val="24"/>
        </w:rPr>
      </w:r>
      <w:r/>
    </w:p>
    <w:p>
      <w:pPr>
        <w:pStyle w:val="653"/>
        <w:contextualSpacing/>
        <w:ind w:firstLine="480"/>
        <w:rPr>
          <w:rFonts w:hint="eastAsia"/>
          <w:sz w:val="24"/>
          <w:szCs w:val="24"/>
        </w:rPr>
      </w:pPr>
      <w:r>
        <w:rPr>
          <w:rFonts w:hint="eastAsia"/>
          <w:sz w:val="24"/>
          <w:szCs w:val="24"/>
        </w:rPr>
        <w:t xml:space="preserve">（6）数据库设计要求：应使用采购人统一要求的数据库，对于有集群化、分布式部署要求的系统，应按要求使用相关技术进行部署。</w:t>
      </w:r>
      <w:r>
        <w:rPr>
          <w:rFonts w:hint="eastAsia"/>
          <w:sz w:val="24"/>
          <w:szCs w:val="24"/>
        </w:rPr>
      </w:r>
      <w:r/>
    </w:p>
    <w:p>
      <w:pPr>
        <w:pStyle w:val="653"/>
        <w:contextualSpacing/>
        <w:ind w:firstLine="480"/>
        <w:rPr>
          <w:rFonts w:hint="eastAsia"/>
          <w:sz w:val="24"/>
          <w:szCs w:val="24"/>
        </w:rPr>
      </w:pPr>
      <w:r>
        <w:rPr>
          <w:rFonts w:hint="eastAsia"/>
          <w:sz w:val="24"/>
          <w:szCs w:val="24"/>
        </w:rPr>
        <w:t xml:space="preserve">（7）系统实施要求：提供必要的建库、建表语句供江苏省生态环境智慧监管平台数据底座统一建库，做到数据统一归集；应根据应用的资源占用情况，登录江苏省政务云资源管理平台或江苏省生态环境厅应用资源管理系统进行资源申请，并根据确认的系统资源进行应用系统的部署；部署完成后，应将应用部署的实际情况在应用资源管理系统中进行完善，经采购人审核后纳入统一管理；系统应部署在非操作系统所在的指定目录，系统桌面上不得存放任何文件，如涉及使用第三方软件，需经采购人同意；数据库、数据表、数据、视图、函数等均应通过脚本生成。</w:t>
      </w:r>
      <w:r>
        <w:rPr>
          <w:rFonts w:hint="eastAsia"/>
          <w:sz w:val="24"/>
          <w:szCs w:val="24"/>
        </w:rPr>
      </w:r>
      <w:r/>
    </w:p>
    <w:p>
      <w:pPr>
        <w:pStyle w:val="653"/>
        <w:contextualSpacing/>
        <w:ind w:firstLine="480"/>
        <w:rPr>
          <w:rFonts w:hint="eastAsia"/>
          <w:sz w:val="24"/>
          <w:szCs w:val="24"/>
        </w:rPr>
      </w:pPr>
      <w:r>
        <w:rPr>
          <w:rFonts w:hint="eastAsia"/>
          <w:sz w:val="24"/>
          <w:szCs w:val="24"/>
        </w:rPr>
        <w:t xml:space="preserve">（8）易用性要求：整体页面风格与已有系统一致，对于用户客户端需要安装的插件等采用一键安装的集中打包方式进行，具备完善的联机帮助功能。</w:t>
      </w:r>
      <w:r>
        <w:rPr>
          <w:rFonts w:hint="eastAsia"/>
          <w:sz w:val="24"/>
          <w:szCs w:val="24"/>
        </w:rPr>
      </w:r>
      <w:r/>
    </w:p>
    <w:p>
      <w:pPr>
        <w:pStyle w:val="653"/>
        <w:contextualSpacing/>
        <w:ind w:firstLine="480"/>
        <w:rPr>
          <w:rFonts w:hint="eastAsia"/>
          <w:sz w:val="24"/>
          <w:szCs w:val="24"/>
        </w:rPr>
      </w:pPr>
      <w:r>
        <w:rPr>
          <w:rFonts w:hint="eastAsia"/>
          <w:sz w:val="24"/>
          <w:szCs w:val="24"/>
        </w:rPr>
        <w:t xml:space="preserve">（9）兼容性要求：操作系统兼容性（windows、麒麟等国产操作系统）、浏览器兼容性（chrome、IE、360安全浏览器等）。</w:t>
      </w:r>
      <w:r>
        <w:rPr>
          <w:rFonts w:hint="eastAsia"/>
          <w:sz w:val="24"/>
          <w:szCs w:val="24"/>
        </w:rPr>
      </w:r>
      <w:r/>
    </w:p>
    <w:p>
      <w:pPr>
        <w:pStyle w:val="653"/>
        <w:contextualSpacing/>
        <w:ind w:firstLine="480"/>
        <w:rPr>
          <w:rFonts w:hint="eastAsia"/>
          <w:sz w:val="24"/>
          <w:szCs w:val="24"/>
        </w:rPr>
      </w:pPr>
      <w:r>
        <w:rPr>
          <w:rFonts w:hint="eastAsia"/>
          <w:sz w:val="24"/>
          <w:szCs w:val="24"/>
        </w:rPr>
        <w:t xml:space="preserve">（10）终端集成要求：根据采购人要求开发移动端的，应集成到采购人指定的统一移动端入口中。电脑端按采购人要求统一集成到江苏省生态环境厅环保云桌面，并按要求提供相关数据输出到江苏省生态环境智慧监管平台建设项目中开发的一站式工作台中。</w:t>
      </w:r>
      <w:r>
        <w:rPr>
          <w:rFonts w:hint="eastAsia"/>
          <w:sz w:val="24"/>
          <w:szCs w:val="24"/>
        </w:rPr>
      </w:r>
      <w:r/>
    </w:p>
    <w:p>
      <w:pPr>
        <w:pStyle w:val="653"/>
        <w:numPr>
          <w:ilvl w:val="2"/>
          <w:numId w:val="0"/>
        </w:numPr>
        <w:contextualSpacing/>
        <w:ind w:firstLine="482"/>
        <w:keepLines/>
        <w:keepNext/>
        <w:spacing w:before="145" w:after="145"/>
        <w:rPr>
          <w:b/>
          <w:bCs/>
          <w:sz w:val="24"/>
          <w:szCs w:val="24"/>
        </w:rPr>
        <w:outlineLvl w:val="2"/>
      </w:pPr>
      <w:r>
        <w:rPr>
          <w:rFonts w:hint="eastAsia"/>
          <w:b/>
          <w:bCs/>
          <w:sz w:val="24"/>
          <w:szCs w:val="24"/>
        </w:rPr>
        <w:t xml:space="preserve">2. 系统设计要求</w:t>
      </w:r>
      <w:r>
        <w:rPr>
          <w:b/>
          <w:bCs/>
          <w:sz w:val="24"/>
          <w:szCs w:val="24"/>
        </w:rPr>
      </w:r>
      <w:r/>
    </w:p>
    <w:p>
      <w:pPr>
        <w:pStyle w:val="653"/>
        <w:contextualSpacing/>
        <w:ind w:firstLine="480"/>
        <w:rPr>
          <w:rFonts w:hint="eastAsia"/>
          <w:sz w:val="24"/>
          <w:szCs w:val="24"/>
        </w:rPr>
      </w:pPr>
      <w:r>
        <w:rPr>
          <w:rFonts w:hint="eastAsia"/>
          <w:sz w:val="24"/>
          <w:szCs w:val="24"/>
        </w:rPr>
        <w:t xml:space="preserve">投标人须根据自身实际情况与对本项目的理解，编制技术方案，技术方案至少包括以下内容：</w:t>
      </w:r>
      <w:r>
        <w:rPr>
          <w:rFonts w:hint="eastAsia"/>
          <w:sz w:val="24"/>
          <w:szCs w:val="24"/>
        </w:rPr>
      </w:r>
      <w:r/>
    </w:p>
    <w:p>
      <w:pPr>
        <w:pStyle w:val="653"/>
        <w:numPr>
          <w:ilvl w:val="3"/>
          <w:numId w:val="0"/>
        </w:numPr>
        <w:contextualSpacing/>
        <w:ind w:firstLine="482"/>
        <w:keepLines/>
        <w:keepNext/>
        <w:rPr>
          <w:rFonts w:hint="eastAsia"/>
          <w:b/>
          <w:bCs/>
          <w:sz w:val="24"/>
          <w:szCs w:val="24"/>
        </w:rPr>
        <w:outlineLvl w:val="3"/>
      </w:pPr>
      <w:r>
        <w:rPr>
          <w:rFonts w:hint="eastAsia"/>
          <w:b/>
          <w:bCs/>
          <w:sz w:val="24"/>
          <w:szCs w:val="24"/>
        </w:rPr>
        <w:t xml:space="preserve">2.1 系统功能设计</w:t>
      </w:r>
      <w:r>
        <w:rPr>
          <w:rFonts w:hint="eastAsia"/>
          <w:b/>
          <w:bCs/>
          <w:sz w:val="24"/>
          <w:szCs w:val="24"/>
        </w:rPr>
      </w:r>
      <w:r/>
    </w:p>
    <w:p>
      <w:pPr>
        <w:pStyle w:val="653"/>
        <w:contextualSpacing/>
        <w:ind w:firstLine="480"/>
        <w:rPr>
          <w:sz w:val="24"/>
          <w:szCs w:val="24"/>
        </w:rPr>
      </w:pPr>
      <w:r>
        <w:rPr>
          <w:rFonts w:hint="eastAsia"/>
          <w:sz w:val="24"/>
          <w:szCs w:val="24"/>
        </w:rPr>
        <w:t xml:space="preserve">（1）针对采购需求章节“地下水环境基础数据库建设”需求,投标人应提供地下水环境基础数据库建设设计方案，至少包括地下水污染源、水文地质结构、地下水监测点位等内容。</w:t>
      </w:r>
      <w:r>
        <w:rPr>
          <w:sz w:val="24"/>
          <w:szCs w:val="24"/>
        </w:rPr>
      </w:r>
      <w:r/>
    </w:p>
    <w:p>
      <w:pPr>
        <w:pStyle w:val="653"/>
        <w:contextualSpacing/>
        <w:ind w:firstLine="480"/>
        <w:rPr>
          <w:sz w:val="24"/>
          <w:szCs w:val="24"/>
        </w:rPr>
      </w:pPr>
      <w:r>
        <w:rPr>
          <w:rFonts w:hint="eastAsia"/>
          <w:sz w:val="24"/>
          <w:szCs w:val="24"/>
        </w:rPr>
        <w:t xml:space="preserve">（2）针对采购需求章节“地下水重点污染源监管模块”需求,投标人应提供地下水重点污染源监管模块设计方案，至少包括八</w:t>
      </w:r>
      <w:r>
        <w:rPr>
          <w:sz w:val="24"/>
          <w:szCs w:val="24"/>
        </w:rPr>
        <w:t xml:space="preserve">大类污染源监管子模块、土壤和地下水重点监管单位监管子模块、涉重工业园区及化工园区监管子模块、污染地块监管子模块、修复或风险管控地块监管子模块</w:t>
      </w:r>
      <w:r>
        <w:rPr>
          <w:rFonts w:hint="eastAsia"/>
          <w:sz w:val="24"/>
          <w:szCs w:val="24"/>
        </w:rPr>
        <w:t xml:space="preserve">等内容。</w:t>
      </w:r>
      <w:r>
        <w:rPr>
          <w:sz w:val="24"/>
          <w:szCs w:val="24"/>
        </w:rPr>
      </w:r>
      <w:r/>
    </w:p>
    <w:p>
      <w:pPr>
        <w:pStyle w:val="653"/>
        <w:contextualSpacing/>
        <w:ind w:firstLine="480"/>
        <w:rPr>
          <w:sz w:val="24"/>
          <w:szCs w:val="24"/>
        </w:rPr>
      </w:pPr>
      <w:r>
        <w:rPr>
          <w:rFonts w:hint="eastAsia"/>
          <w:sz w:val="24"/>
          <w:szCs w:val="24"/>
        </w:rPr>
        <w:t xml:space="preserve">（3）针对采购需求章节“地下水重点污染源调查评估模块”需求,投标人应提供地下水重点污染源调查评估模块设计方案，至少包括信息录入、信息查询、数据分析以及一张图展示等内容。</w:t>
      </w:r>
      <w:r>
        <w:rPr>
          <w:sz w:val="24"/>
          <w:szCs w:val="24"/>
        </w:rPr>
      </w:r>
      <w:r/>
    </w:p>
    <w:p>
      <w:pPr>
        <w:pStyle w:val="653"/>
        <w:contextualSpacing/>
        <w:ind w:firstLine="480"/>
        <w:rPr>
          <w:sz w:val="24"/>
          <w:szCs w:val="24"/>
        </w:rPr>
      </w:pPr>
      <w:r>
        <w:rPr>
          <w:rFonts w:hint="eastAsia"/>
          <w:sz w:val="24"/>
          <w:szCs w:val="24"/>
        </w:rPr>
        <w:t xml:space="preserve">（4）针对采购需求章节“地下水国考点位、省控点位监管模块”需求,投标人应提供地下水国考点位、省控点位监管模块设计方案，至少包括“一井一档”、点位概览信息、点位信息筛选、数据查询分析、一张图展示等内容。</w:t>
      </w:r>
      <w:r>
        <w:rPr>
          <w:sz w:val="24"/>
          <w:szCs w:val="24"/>
        </w:rPr>
      </w:r>
      <w:r/>
    </w:p>
    <w:p>
      <w:pPr>
        <w:pStyle w:val="653"/>
        <w:contextualSpacing/>
        <w:ind w:firstLine="480"/>
        <w:rPr>
          <w:sz w:val="24"/>
          <w:szCs w:val="24"/>
        </w:rPr>
      </w:pPr>
      <w:r>
        <w:rPr>
          <w:rFonts w:hint="eastAsia"/>
          <w:sz w:val="24"/>
          <w:szCs w:val="24"/>
        </w:rPr>
        <w:t xml:space="preserve">（5）针对采购需求章节“地下水重点区划定模块”需求，投标人应提供地下水重点区划定模块设计方案，至少包括</w:t>
      </w:r>
      <w:r>
        <w:rPr>
          <w:sz w:val="24"/>
          <w:szCs w:val="24"/>
        </w:rPr>
        <w:t xml:space="preserve">地下水污染源荷载评估子模块、地下水脆弱性评估子模块、地下水质量现状评估子模块、地下水富水性评估子模块、地下水功能价值评估子模块、地下水重点区划定子模块</w:t>
      </w:r>
      <w:r>
        <w:rPr>
          <w:rFonts w:hint="eastAsia"/>
          <w:sz w:val="24"/>
          <w:szCs w:val="24"/>
        </w:rPr>
        <w:t xml:space="preserve">等内容。</w:t>
      </w:r>
      <w:r>
        <w:rPr>
          <w:sz w:val="24"/>
          <w:szCs w:val="24"/>
        </w:rPr>
      </w:r>
      <w:r/>
    </w:p>
    <w:p>
      <w:pPr>
        <w:pStyle w:val="653"/>
        <w:contextualSpacing/>
        <w:ind w:firstLine="480"/>
        <w:rPr>
          <w:sz w:val="24"/>
          <w:szCs w:val="24"/>
        </w:rPr>
      </w:pPr>
      <w:r>
        <w:rPr>
          <w:rFonts w:hint="eastAsia"/>
          <w:sz w:val="24"/>
          <w:szCs w:val="24"/>
        </w:rPr>
        <w:t xml:space="preserve">（6）针对采购需求章节“地下水环境监测网络模块”需求,投标人应提供地下水环境监测网络模块设计方案，至少包括信息导入功能、地下水数据查询、地下水监测空间分析、水质变化趋势分析、地下水监测数据预警、地下水质量管理等内容。</w:t>
      </w:r>
      <w:r>
        <w:rPr>
          <w:sz w:val="24"/>
          <w:szCs w:val="24"/>
        </w:rPr>
      </w:r>
      <w:r/>
    </w:p>
    <w:p>
      <w:pPr>
        <w:pStyle w:val="653"/>
        <w:contextualSpacing/>
        <w:ind w:firstLine="480"/>
        <w:rPr>
          <w:sz w:val="24"/>
          <w:szCs w:val="24"/>
        </w:rPr>
      </w:pPr>
      <w:r>
        <w:rPr>
          <w:rFonts w:hint="eastAsia"/>
          <w:sz w:val="24"/>
          <w:szCs w:val="24"/>
        </w:rPr>
        <w:t xml:space="preserve">（7）针对采购需求章节“配套移动端应用建设”需求,投标人应提供配套移动端应用建设设计方案，至少包括数据移动查询、预警信息接收、现场数据填报、移动端智能助手等内容。</w:t>
      </w:r>
      <w:r>
        <w:rPr>
          <w:sz w:val="24"/>
          <w:szCs w:val="24"/>
        </w:rPr>
      </w:r>
      <w:r/>
    </w:p>
    <w:p>
      <w:pPr>
        <w:pStyle w:val="653"/>
        <w:numPr>
          <w:ilvl w:val="2"/>
          <w:numId w:val="0"/>
        </w:numPr>
        <w:contextualSpacing/>
        <w:ind w:firstLine="482"/>
        <w:keepLines/>
        <w:keepNext/>
        <w:spacing w:before="145" w:after="145"/>
        <w:rPr>
          <w:b/>
          <w:bCs/>
          <w:sz w:val="24"/>
          <w:szCs w:val="24"/>
        </w:rPr>
        <w:outlineLvl w:val="2"/>
      </w:pPr>
      <w:r>
        <w:rPr>
          <w:rFonts w:hint="eastAsia"/>
          <w:b/>
          <w:bCs/>
          <w:sz w:val="24"/>
          <w:szCs w:val="24"/>
        </w:rPr>
        <w:t xml:space="preserve">3. 项目实施要求</w:t>
      </w:r>
      <w:r>
        <w:rPr>
          <w:b/>
          <w:bCs/>
          <w:sz w:val="24"/>
          <w:szCs w:val="24"/>
        </w:rPr>
      </w:r>
      <w:r/>
    </w:p>
    <w:p>
      <w:pPr>
        <w:pStyle w:val="653"/>
        <w:contextualSpacing/>
        <w:ind w:firstLine="480"/>
        <w:rPr>
          <w:rFonts w:hint="eastAsia"/>
          <w:sz w:val="24"/>
          <w:szCs w:val="24"/>
        </w:rPr>
      </w:pPr>
      <w:r>
        <w:rPr>
          <w:rFonts w:hint="eastAsia"/>
          <w:sz w:val="24"/>
          <w:szCs w:val="24"/>
        </w:rPr>
        <w:t xml:space="preserve">投标人应提供项目实施方案，至少包括项目实施管理方案内容、项目质量保障方案、项目培训方案等。具体要求如下：</w:t>
      </w:r>
      <w:r>
        <w:rPr>
          <w:rFonts w:hint="eastAsia"/>
          <w:sz w:val="24"/>
          <w:szCs w:val="24"/>
        </w:rPr>
      </w:r>
      <w:r/>
    </w:p>
    <w:p>
      <w:pPr>
        <w:pStyle w:val="653"/>
        <w:numPr>
          <w:ilvl w:val="3"/>
          <w:numId w:val="0"/>
        </w:numPr>
        <w:contextualSpacing/>
        <w:ind w:firstLine="482"/>
        <w:keepLines/>
        <w:keepNext/>
        <w:rPr>
          <w:b/>
          <w:bCs/>
          <w:sz w:val="24"/>
          <w:szCs w:val="24"/>
        </w:rPr>
        <w:outlineLvl w:val="3"/>
      </w:pPr>
      <w:r>
        <w:rPr>
          <w:rFonts w:hint="eastAsia"/>
          <w:b/>
          <w:bCs/>
          <w:sz w:val="24"/>
          <w:szCs w:val="24"/>
        </w:rPr>
        <w:t xml:space="preserve">3.1 实施管理方案要求</w:t>
      </w:r>
      <w:r>
        <w:rPr>
          <w:b/>
          <w:bCs/>
          <w:sz w:val="24"/>
          <w:szCs w:val="24"/>
        </w:rPr>
      </w:r>
      <w:r/>
    </w:p>
    <w:p>
      <w:pPr>
        <w:pStyle w:val="653"/>
        <w:contextualSpacing/>
        <w:ind w:firstLine="480"/>
        <w:rPr>
          <w:rFonts w:hint="eastAsia"/>
          <w:sz w:val="24"/>
          <w:szCs w:val="24"/>
        </w:rPr>
      </w:pPr>
      <w:r>
        <w:rPr>
          <w:rFonts w:hint="eastAsia"/>
          <w:sz w:val="24"/>
          <w:szCs w:val="24"/>
        </w:rPr>
        <w:t xml:space="preserve">应包括实施服务地点、实施计划、实施阶段管理及进度保障。为了确保按期完成建设和服务内容，并明确完成各项工作预计所需时间及达到的阶段目标，提供各阶段服务内容。应包括合理组织架构、沟通与协调机制和项目团队说明；其中项目团队要求安排足够的高素质专业技术人员参加本项目建设工作，参与此项目的技术人员必须具有强烈的服务意识和高度的责任感，项目团队至少应包含项目经理、项目技术负责人以及专业技术人员等岗位。</w:t>
      </w:r>
      <w:r>
        <w:rPr>
          <w:rFonts w:hint="eastAsia"/>
          <w:sz w:val="24"/>
          <w:szCs w:val="24"/>
        </w:rPr>
      </w:r>
      <w:r/>
    </w:p>
    <w:p>
      <w:pPr>
        <w:pStyle w:val="653"/>
        <w:numPr>
          <w:ilvl w:val="3"/>
          <w:numId w:val="0"/>
        </w:numPr>
        <w:contextualSpacing/>
        <w:ind w:firstLine="482"/>
        <w:keepLines/>
        <w:keepNext/>
        <w:rPr>
          <w:rFonts w:hint="eastAsia"/>
          <w:b/>
          <w:bCs/>
          <w:sz w:val="24"/>
          <w:szCs w:val="24"/>
        </w:rPr>
        <w:outlineLvl w:val="3"/>
      </w:pPr>
      <w:r>
        <w:rPr>
          <w:rFonts w:hint="eastAsia"/>
          <w:b/>
          <w:bCs/>
          <w:sz w:val="24"/>
          <w:szCs w:val="24"/>
        </w:rPr>
        <w:t xml:space="preserve">3.2 项目质量保障方案要求</w:t>
      </w:r>
      <w:r>
        <w:rPr>
          <w:rFonts w:hint="eastAsia"/>
          <w:b/>
          <w:bCs/>
          <w:sz w:val="24"/>
          <w:szCs w:val="24"/>
        </w:rPr>
      </w:r>
      <w:r/>
    </w:p>
    <w:p>
      <w:pPr>
        <w:pStyle w:val="653"/>
        <w:contextualSpacing/>
        <w:ind w:firstLine="480"/>
        <w:rPr>
          <w:rFonts w:hint="eastAsia"/>
          <w:sz w:val="24"/>
          <w:szCs w:val="24"/>
        </w:rPr>
      </w:pPr>
      <w:r>
        <w:rPr>
          <w:rFonts w:hint="eastAsia"/>
          <w:sz w:val="24"/>
          <w:szCs w:val="24"/>
        </w:rPr>
        <w:t xml:space="preserve">应包括组织保障体系、质量管理防范、质量管理措施、软件配置管理、项目风险管理及全流程档案管理。为了确保项目高质量实施，应从项目沟通、需求变更、评审和审核等方面建立质量管理措施。应识别不少于5项项目风险并提供完整应对措施。</w:t>
      </w:r>
      <w:r>
        <w:rPr>
          <w:rFonts w:hint="eastAsia"/>
          <w:sz w:val="24"/>
          <w:szCs w:val="24"/>
        </w:rPr>
      </w:r>
      <w:r/>
    </w:p>
    <w:p>
      <w:pPr>
        <w:pStyle w:val="653"/>
        <w:numPr>
          <w:ilvl w:val="3"/>
          <w:numId w:val="0"/>
        </w:numPr>
        <w:contextualSpacing/>
        <w:ind w:firstLine="482"/>
        <w:keepLines/>
        <w:keepNext/>
        <w:rPr>
          <w:rFonts w:hint="eastAsia"/>
          <w:b/>
          <w:bCs/>
          <w:sz w:val="24"/>
          <w:szCs w:val="24"/>
        </w:rPr>
        <w:outlineLvl w:val="3"/>
      </w:pPr>
      <w:r>
        <w:rPr>
          <w:rFonts w:hint="eastAsia"/>
          <w:b/>
          <w:bCs/>
          <w:sz w:val="24"/>
          <w:szCs w:val="24"/>
        </w:rPr>
        <w:t xml:space="preserve">3.3 项目培训方案要求</w:t>
      </w:r>
      <w:r>
        <w:rPr>
          <w:rFonts w:hint="eastAsia"/>
          <w:b/>
          <w:bCs/>
          <w:sz w:val="24"/>
          <w:szCs w:val="24"/>
        </w:rPr>
      </w:r>
      <w:r/>
    </w:p>
    <w:p>
      <w:pPr>
        <w:pStyle w:val="653"/>
        <w:contextualSpacing/>
        <w:ind w:firstLine="480"/>
        <w:rPr>
          <w:rFonts w:hint="eastAsia"/>
          <w:sz w:val="24"/>
          <w:szCs w:val="24"/>
        </w:rPr>
      </w:pPr>
      <w:r>
        <w:rPr>
          <w:rFonts w:hint="eastAsia"/>
          <w:sz w:val="24"/>
          <w:szCs w:val="24"/>
        </w:rPr>
        <w:t xml:space="preserve">（1）投标人须安排具有项目相关专业背景的技术人员作为培训教师。</w:t>
      </w:r>
      <w:r>
        <w:rPr>
          <w:rFonts w:hint="eastAsia"/>
          <w:sz w:val="24"/>
          <w:szCs w:val="24"/>
        </w:rPr>
      </w:r>
      <w:r/>
    </w:p>
    <w:p>
      <w:pPr>
        <w:pStyle w:val="653"/>
        <w:contextualSpacing/>
        <w:ind w:firstLine="480"/>
        <w:rPr>
          <w:rFonts w:hint="eastAsia"/>
          <w:sz w:val="24"/>
          <w:szCs w:val="24"/>
        </w:rPr>
      </w:pPr>
      <w:r>
        <w:rPr>
          <w:rFonts w:hint="eastAsia"/>
          <w:sz w:val="24"/>
          <w:szCs w:val="24"/>
        </w:rPr>
        <w:t xml:space="preserve">（2）投标人应为采购人提供包括但不限于下列几个方面的培训:项目管理培训；系统业务操作培训；系统管理、维护工具培训；投标人认为必要的其他培训。</w:t>
      </w:r>
      <w:r>
        <w:rPr>
          <w:rFonts w:hint="eastAsia"/>
          <w:sz w:val="24"/>
          <w:szCs w:val="24"/>
        </w:rPr>
      </w:r>
      <w:r/>
    </w:p>
    <w:p>
      <w:pPr>
        <w:pStyle w:val="653"/>
        <w:contextualSpacing/>
        <w:ind w:firstLine="480"/>
        <w:rPr>
          <w:rFonts w:hint="eastAsia"/>
          <w:sz w:val="24"/>
          <w:szCs w:val="24"/>
        </w:rPr>
      </w:pPr>
      <w:r>
        <w:rPr>
          <w:rFonts w:hint="eastAsia"/>
          <w:sz w:val="24"/>
          <w:szCs w:val="24"/>
        </w:rPr>
        <w:t xml:space="preserve">（3）投标人负责提供培训所需计划和电子版资料，培训教材包括视频教材、WORD用户手册、培训PPT，培训所使用的语言和教材必须是中文。用户单位有权在系统内部使用这些培训资料。</w:t>
      </w:r>
      <w:r>
        <w:rPr>
          <w:rFonts w:hint="eastAsia"/>
          <w:sz w:val="24"/>
          <w:szCs w:val="24"/>
        </w:rPr>
      </w:r>
      <w:r/>
    </w:p>
    <w:p>
      <w:pPr>
        <w:pStyle w:val="653"/>
        <w:contextualSpacing/>
        <w:ind w:firstLine="480"/>
        <w:rPr>
          <w:rFonts w:hint="eastAsia"/>
          <w:sz w:val="24"/>
          <w:szCs w:val="24"/>
        </w:rPr>
      </w:pPr>
      <w:r>
        <w:rPr>
          <w:rFonts w:hint="eastAsia"/>
          <w:sz w:val="24"/>
          <w:szCs w:val="24"/>
        </w:rPr>
        <w:t xml:space="preserve">（4）投标人在投标文件中需提供详细的培训方案，应包括培训目标、培训内容、培训方式、培训质量保障等。应开展系统使用用户分析并设定不同培训目标、培训内容，至少涵盖管理人员、业务人员以及系统运维人员；应提供不少于3种培训方式，组织不少于3次的系统培训活动。</w:t>
      </w:r>
      <w:r>
        <w:rPr>
          <w:rFonts w:hint="eastAsia"/>
          <w:sz w:val="24"/>
          <w:szCs w:val="24"/>
        </w:rPr>
      </w:r>
      <w:r/>
    </w:p>
    <w:p>
      <w:pPr>
        <w:pStyle w:val="653"/>
        <w:numPr>
          <w:ilvl w:val="2"/>
          <w:numId w:val="0"/>
        </w:numPr>
        <w:contextualSpacing/>
        <w:ind w:firstLine="482"/>
        <w:keepLines/>
        <w:keepNext/>
        <w:spacing w:before="145" w:after="145"/>
        <w:rPr>
          <w:b/>
          <w:bCs/>
          <w:sz w:val="24"/>
          <w:szCs w:val="24"/>
        </w:rPr>
        <w:outlineLvl w:val="2"/>
      </w:pPr>
      <w:r>
        <w:rPr>
          <w:rFonts w:hint="eastAsia"/>
          <w:b/>
          <w:bCs/>
          <w:sz w:val="24"/>
          <w:szCs w:val="24"/>
        </w:rPr>
        <w:t xml:space="preserve">4. 售后服务要求</w:t>
      </w:r>
      <w:r>
        <w:rPr>
          <w:b/>
          <w:bCs/>
          <w:sz w:val="24"/>
          <w:szCs w:val="24"/>
        </w:rPr>
      </w:r>
      <w:r/>
    </w:p>
    <w:p>
      <w:pPr>
        <w:pStyle w:val="653"/>
        <w:contextualSpacing/>
        <w:ind w:firstLine="480"/>
        <w:rPr>
          <w:rFonts w:hint="eastAsia"/>
          <w:sz w:val="24"/>
          <w:szCs w:val="24"/>
        </w:rPr>
      </w:pPr>
      <w:r>
        <w:rPr>
          <w:rFonts w:hint="eastAsia"/>
          <w:sz w:val="24"/>
          <w:szCs w:val="24"/>
        </w:rPr>
        <w:t xml:space="preserve">（1）售后服务方案要求。应包括售后服务机构、售后服务流程、售后服务计划及售后服务保障。提供软件运行、升级更新、系统迁移、持续培训以及日常巡查等服务内容。针对可能出现的重大故障、安全事故等情况，提供完善应急处置预案。提供技术支持方式及内容，包括软件运行技术支持、重大活动技术保障、远程诊断技术支持、文档档案管理技术支持等。</w:t>
      </w:r>
      <w:r>
        <w:rPr>
          <w:rFonts w:hint="eastAsia"/>
          <w:sz w:val="24"/>
          <w:szCs w:val="24"/>
        </w:rPr>
      </w:r>
      <w:r/>
    </w:p>
    <w:p>
      <w:pPr>
        <w:pStyle w:val="653"/>
        <w:contextualSpacing/>
        <w:ind w:firstLine="480"/>
        <w:rPr>
          <w:rFonts w:hint="eastAsia" w:ascii="宋体" w:hAnsi="宋体"/>
          <w:b/>
          <w:bCs/>
          <w:sz w:val="24"/>
          <w:szCs w:val="24"/>
        </w:rPr>
      </w:pPr>
      <w:r>
        <w:rPr>
          <w:rFonts w:hint="eastAsia"/>
          <w:sz w:val="24"/>
          <w:szCs w:val="24"/>
        </w:rPr>
        <w:t xml:space="preserve">（2）售后服务承诺要求。投标人应承诺自验收合格之日起二年免费维护服务，在免费维护服务期内，成交投标人应提供7×24小时服务专线和技术支持，在采购人提出服务要求后，成交投标人需在1小时内响应，4小时内到达现场并提出解决方案，8小时内处理完毕；投标人必须保证运维人员原则上为建设期间团队成员且不得随意更换，如需更换至少提前1个月向采购人申请，采购人同意后方可更换。</w:t>
      </w:r>
      <w:r>
        <w:rPr>
          <w:rFonts w:hint="eastAsia" w:ascii="宋体" w:hAnsi="宋体"/>
          <w:b/>
          <w:bCs/>
          <w:sz w:val="24"/>
          <w:szCs w:val="24"/>
        </w:rPr>
      </w:r>
      <w:r/>
    </w:p>
    <w:p>
      <w:pPr>
        <w:pStyle w:val="653"/>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（一）服务期</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1.项目实施工期：合同签订之日起至6月30日完成全部功能开发上线。</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2.项目服务期：2年（项目通过验收后起算）。</w:t>
      </w:r>
      <w:r>
        <w:rPr>
          <w:rFonts w:hint="eastAsia"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（二）预算说明</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项目预算包含投标人开展本项目工作所需一切费用（投标人与其他系统对接费用包含在本次项目预算中，采购人协调解决其他系统承建单位免费配合提供对接技术支持）。</w:t>
      </w:r>
      <w:r>
        <w:rPr>
          <w:rFonts w:hint="eastAsia"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（三）货款支付</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签订合同后支付合同总价50%；项目验收合格并交付使用后，支付至合同价款的100%。</w:t>
      </w:r>
      <w:r>
        <w:rPr>
          <w:rFonts w:hint="eastAsia"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（四）履约保证金</w:t>
      </w:r>
      <w:r>
        <w:rPr>
          <w:rFonts w:hint="eastAsia" w:ascii="宋体" w:hAnsi="宋体" w:cs="宋体"/>
          <w:bCs w:val="0"/>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本项目履约保证金为合同总价的10%，合同签订后中标人5天内向采购人支付履约保证金。</w:t>
      </w:r>
      <w:r>
        <w:rPr>
          <w:rFonts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履约保证金在项目验收合格并交付使用，且中标人无任何违约责任的情况下退还（不计息）。如中标人违反合同规定，采购人有权根据合同条款从履约保证金中扣除相应的违约金额。中标人因自身原因未能完全履行合同的，履约保证金不予退回。</w:t>
      </w:r>
      <w:r>
        <w:rPr>
          <w:rFonts w:hint="eastAsia"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（五）投标货币</w:t>
      </w:r>
      <w:r>
        <w:rPr>
          <w:rFonts w:hint="eastAsia" w:ascii="宋体" w:hAnsi="宋体" w:cs="宋体"/>
          <w:bCs w:val="0"/>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人民币。</w:t>
      </w:r>
      <w:r>
        <w:rPr>
          <w:rFonts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（六）交付成果要求</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（1）《江苏省地下水污染源数据库建设报告》、《江苏省地下水环境监测网络数据库建设报告》及专家意见。</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（2）源代码交付：系统验收后，投标人应向采购人移交本项目产生相关源代码，包括：模型加载代码、推理服务代码、API接口代码、工具函数库、配置文件等。</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（3）模型资产交付：所有在项目实施过程中训练、微调或优化的模型文件（包括Embedding模型、实体识别模型、文本生成模型、预测模型等）均需交付原始格式文件及对应的训练代码、训练数据说明。</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（4）技术文档交付：需交付完整的开发文档，包括：架构设计文档、接口规范说明、数据库设计文档、部署运维手册、二次开发指南等。</w:t>
      </w:r>
      <w:r>
        <w:rPr>
          <w:rFonts w:hint="eastAsia" w:ascii="宋体" w:hAnsi="宋体" w:cs="宋体"/>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（5）测试用例交付：每个模块需提供单元测试和集成测试用例，确保甲方后续修改代码后能够验证功能正确性。</w:t>
      </w:r>
      <w:r>
        <w:rPr>
          <w:rFonts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（七）验收要求</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项目按照招标文件及采购人要求完成所有建设内容和接入相应的数据，并且连续稳定运行1个月，经采购人确认满足验收条件后组织专家对项目进行验收。若项目验收不合格时，成交投标人应负责修改系统，并在达到验收条件时，再次向采购人提出书面验收申请。因成交投标人原因导致系统验收不合格产生的延期及其它系统建设工作成本，由成交投标人承担。成交投标人在本项目招标总报价中应包含项目有关验收费用。</w:t>
      </w:r>
      <w:r>
        <w:rPr>
          <w:rFonts w:hint="eastAsia"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（八）知识产权要求</w:t>
      </w:r>
      <w:r>
        <w:rPr>
          <w:rFonts w:hint="eastAsia" w:ascii="宋体" w:hAnsi="宋体" w:cs="宋体"/>
          <w:bCs w:val="0"/>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本项目产生的所有源代码、模型文件、技术文档、设计图纸、研究报告等智力成果，其知识产权（包括但不限于著作权、专利申请权、技术秘密等）全部归采购方所有。中标方不得将本项目技术用于其他项目或对外提供服务，不得基于本项目技术申请专利或软件著作权。中标方协助采购方申请相关知识产权。</w:t>
      </w:r>
      <w:r>
        <w:rPr>
          <w:rFonts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（九）售后服务要求</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1.总体要求</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（1）项目通过验收后进入服务期，服务期为期2年。服务期间，中标人应按照国家有关要求，结合系统运行实际，及时开展优化完善、升级改造和日常运维，保障系统稳定运行。（服务期内不收取任何费用）。</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（2）投标人在投标文件中应提供售后运维服务方案，包括但不限于运维内容、运维流程、运维方式、服务质量保障等内容。</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3）投标人应在进入免费服务期前安排专人运维服务团队负责本项目的运维工作，提供7*24小时技术支持和服务。投标人必须保证运维人员原则上为建设期间团队成员，且不得随意更换，如需更换至少提前1个月向采购人申请，采购人同意后方可更换。</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2.运维内容</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运维工作包括但不限于以下内容：</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（1）及时协调解决用户投诉及故障问题，每日开展运行情况分析，持续优化系统性能。</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（2）确保本项目应用系统现有功能、接口和服务能满足采购人实际工作需要，及时改正系统使用过程中发现的缺陷问题。</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（3）根据采购人的实际业务开展需求，在规定时间节点内对本项目进行应用拓展，并纳入统一运维管理。</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（4）根据采购人的实际需求，在采购人的统筹安排和组织下开展技术培训和应用培训。</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（5）在采购人的统筹安排下，协助开展网络故障排查、性能评估与调优等相关基础设施环境的维保工作，提出系统资源分配与效率改进、软件配置规划和性能优化、系统容量预测等方面优化建议。</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（6）在采购人的统筹安排下，配合做好等保测评、渗透测试、安全演练等相关工作。</w:t>
      </w:r>
      <w:r>
        <w:rPr>
          <w:rFonts w:hint="eastAsia" w:ascii="宋体" w:hAnsi="宋体" w:cs="宋体"/>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（7）根据采购人要求，提供7*24小时无间断现场重保服务。</w:t>
      </w:r>
      <w:r>
        <w:rPr>
          <w:rFonts w:ascii="宋体" w:hAnsi="宋体" w:cs="宋体"/>
          <w:color w:val="000000"/>
          <w:sz w:val="24"/>
          <w:szCs w:val="24"/>
        </w:rPr>
      </w:r>
      <w:r/>
    </w:p>
    <w:p>
      <w:pPr>
        <w:pStyle w:val="766"/>
        <w:ind w:firstLine="482"/>
        <w:spacing w:before="0" w:after="0" w:line="240" w:lineRule="auto"/>
        <w:rPr>
          <w:rFonts w:hint="eastAsia" w:ascii="宋体" w:hAnsi="宋体" w:cs="宋体"/>
          <w:bCs w:val="0"/>
          <w:color w:val="000000"/>
          <w:sz w:val="24"/>
          <w:szCs w:val="24"/>
        </w:rPr>
      </w:pPr>
      <w:r>
        <w:rPr>
          <w:rFonts w:hint="eastAsia" w:ascii="宋体" w:hAnsi="宋体" w:cs="宋体"/>
          <w:bCs w:val="0"/>
          <w:color w:val="000000"/>
          <w:sz w:val="24"/>
          <w:szCs w:val="24"/>
        </w:rPr>
        <w:t xml:space="preserve">（十）保密要求</w:t>
      </w:r>
      <w:r>
        <w:rPr>
          <w:rFonts w:hint="eastAsia" w:ascii="宋体" w:hAnsi="宋体" w:cs="宋体"/>
          <w:bCs w:val="0"/>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投标人必须对项目技术文件以及由采购人提供的所有内部资料、技术文档、数据和信息予以保密。投标人必须遵守与采购人签订的保密协议，未经采购人书面许可，投标人不得以任何形式向第三方透露本项目标书以及本项目的任何内容。未经采购人同意，不得将采购人的数据透露给第三方或利用采购人的数据从事盈利性工作。</w:t>
      </w:r>
      <w:r>
        <w:rPr>
          <w:rFonts w:hint="eastAsia" w:ascii="宋体" w:hAnsi="宋体" w:cs="宋体"/>
          <w:color w:val="000000"/>
          <w:sz w:val="24"/>
          <w:szCs w:val="24"/>
        </w:rPr>
      </w:r>
      <w:r/>
    </w:p>
    <w:p>
      <w:pPr>
        <w:pStyle w:val="766"/>
        <w:ind w:firstLine="482"/>
        <w:spacing w:before="0" w:after="0" w:line="240" w:lineRule="auto"/>
        <w:rPr>
          <w:rFonts w:ascii="宋体" w:hAnsi="宋体" w:cs="宋体"/>
          <w:bCs w:val="0"/>
          <w:color w:val="000000"/>
          <w:sz w:val="24"/>
          <w:szCs w:val="24"/>
        </w:rPr>
      </w:pPr>
      <w:r>
        <w:rPr>
          <w:rFonts w:hint="eastAsia" w:ascii="宋体" w:hAnsi="宋体" w:cs="宋体"/>
          <w:bCs w:val="0"/>
          <w:color w:val="000000"/>
          <w:sz w:val="24"/>
          <w:szCs w:val="24"/>
        </w:rPr>
        <w:t xml:space="preserve">（十一）企业资信</w:t>
      </w:r>
      <w:r>
        <w:rPr>
          <w:rFonts w:ascii="宋体" w:hAnsi="宋体" w:cs="宋体"/>
          <w:bCs w:val="0"/>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（1）投标人具备有效的</w:t>
      </w:r>
      <w:r>
        <w:rPr>
          <w:rFonts w:ascii="宋体" w:hAnsi="宋体" w:cs="宋体"/>
          <w:color w:val="000000"/>
          <w:sz w:val="24"/>
          <w:szCs w:val="24"/>
        </w:rPr>
        <w:t xml:space="preserve">ISO9001</w:t>
      </w:r>
      <w:r>
        <w:rPr>
          <w:rFonts w:hint="eastAsia" w:ascii="宋体" w:hAnsi="宋体" w:cs="宋体"/>
          <w:color w:val="000000"/>
          <w:sz w:val="24"/>
          <w:szCs w:val="24"/>
        </w:rPr>
        <w:t xml:space="preserve">质量管理体系认证证书、ISO20000信息技术服务管理体系认证、ISO27001信息安全管理体系认证证书，提供有效期内证书扫描件或复印件证明材料。投标人应当确保证书开标当天处于有效期内，否则不予认可。</w:t>
      </w:r>
      <w:r>
        <w:rPr>
          <w:rFonts w:ascii="宋体" w:hAnsi="宋体" w:cs="宋体"/>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（2）本项目属于信息化建设项目，</w:t>
      </w:r>
      <w:r>
        <w:rPr>
          <w:rFonts w:ascii="宋体" w:hAnsi="宋体" w:cs="宋体"/>
          <w:color w:val="000000"/>
          <w:sz w:val="24"/>
          <w:szCs w:val="24"/>
        </w:rPr>
        <w:t xml:space="preserve">ISO 22301</w:t>
      </w:r>
      <w:r>
        <w:rPr>
          <w:rFonts w:hint="eastAsia" w:ascii="宋体" w:hAnsi="宋体" w:cs="宋体"/>
          <w:color w:val="000000"/>
          <w:sz w:val="24"/>
          <w:szCs w:val="24"/>
        </w:rPr>
        <w:t xml:space="preserve">业务连续性管理体系认证证书、</w:t>
      </w:r>
      <w:r>
        <w:rPr>
          <w:rFonts w:ascii="宋体" w:hAnsi="宋体" w:cs="宋体"/>
          <w:color w:val="000000"/>
          <w:sz w:val="24"/>
          <w:szCs w:val="24"/>
        </w:rPr>
        <w:t xml:space="preserve">ISO/IEC27017</w:t>
      </w:r>
      <w:r>
        <w:rPr>
          <w:rFonts w:hint="eastAsia" w:ascii="宋体" w:hAnsi="宋体" w:cs="宋体"/>
          <w:color w:val="000000"/>
          <w:sz w:val="24"/>
          <w:szCs w:val="24"/>
        </w:rPr>
        <w:t xml:space="preserve">云服务信息安全管理体系认证证书、数据管理能力成熟度等级证书-DCMM等证明材料的投标人。投标人应当确保证书开标当天处于有效期内，否则不予认可。</w:t>
      </w:r>
      <w:r>
        <w:rPr>
          <w:rFonts w:ascii="宋体" w:hAnsi="宋体" w:cs="宋体"/>
          <w:color w:val="000000"/>
          <w:sz w:val="24"/>
          <w:szCs w:val="24"/>
        </w:rPr>
      </w:r>
      <w:r/>
    </w:p>
    <w:p>
      <w:pPr>
        <w:pStyle w:val="653"/>
        <w:ind w:firstLine="480"/>
      </w:pPr>
      <w:r>
        <w:rPr>
          <w:rFonts w:hint="eastAsia" w:ascii="宋体" w:hAnsi="宋体" w:cs="宋体"/>
          <w:color w:val="000000"/>
          <w:sz w:val="24"/>
          <w:szCs w:val="24"/>
        </w:rPr>
        <w:t xml:space="preserve">（3）投标人具有与本次项目相关的计算机软件著作权证书，证书包含环境监管类、AI+生态驾驶舱类、AI基础服务类等类型，须提供有效期内证书扫描件或复印件证明材料。</w:t>
      </w:r>
      <w:r/>
    </w:p>
    <w:p>
      <w:pPr>
        <w:pStyle w:val="766"/>
        <w:ind w:firstLine="482"/>
        <w:spacing w:before="0" w:after="0" w:line="240" w:lineRule="auto"/>
        <w:rPr>
          <w:rFonts w:ascii="宋体" w:hAnsi="宋体" w:cs="宋体"/>
          <w:bCs w:val="0"/>
          <w:color w:val="000000"/>
          <w:sz w:val="24"/>
          <w:szCs w:val="24"/>
        </w:rPr>
      </w:pPr>
      <w:r>
        <w:rPr>
          <w:rFonts w:hint="eastAsia" w:ascii="宋体" w:hAnsi="宋体" w:cs="宋体"/>
          <w:bCs w:val="0"/>
          <w:color w:val="000000"/>
          <w:sz w:val="24"/>
          <w:szCs w:val="24"/>
        </w:rPr>
        <w:t xml:space="preserve">（十二）项目团队</w:t>
      </w:r>
      <w:r>
        <w:rPr>
          <w:rFonts w:ascii="宋体" w:hAnsi="宋体" w:cs="宋体"/>
          <w:bCs w:val="0"/>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为了本项目更好的实施，投标人按照采购需求安排好项目管理团队参加本项目的建设。项目团队至少应包含项目经理（1人）、技术负责人（1人）以及项目管理、软件设计、系统集成、网络工程、数据库开发等专业成员。投标人应明确项目经理和技术负责人在本项目中的岗位职责。</w:t>
      </w:r>
      <w:r>
        <w:rPr>
          <w:rFonts w:ascii="宋体" w:hAnsi="宋体" w:cs="宋体"/>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项目经理负责项目的整体统筹策划，对项目的质量和进度目标进行总体把控，</w:t>
      </w:r>
      <w:r>
        <w:rPr>
          <w:rFonts w:hint="eastAsia"/>
          <w:sz w:val="24"/>
          <w:szCs w:val="24"/>
        </w:rPr>
        <w:t xml:space="preserve">需要</w:t>
      </w:r>
      <w:r>
        <w:rPr>
          <w:rFonts w:hint="eastAsia" w:ascii="宋体" w:hAnsi="宋体" w:cs="Arial"/>
          <w:color w:val="000000"/>
          <w:sz w:val="24"/>
          <w:szCs w:val="24"/>
        </w:rPr>
        <w:t xml:space="preserve">环境、计算机等相关</w:t>
      </w:r>
      <w:r>
        <w:rPr>
          <w:rFonts w:hint="eastAsia"/>
          <w:sz w:val="24"/>
          <w:szCs w:val="24"/>
        </w:rPr>
        <w:t xml:space="preserve">专业中级及以上职称证书等材料证明业务的专业能力。</w:t>
      </w:r>
      <w:r>
        <w:rPr>
          <w:rFonts w:hint="eastAsia" w:ascii="宋体" w:hAnsi="宋体" w:cs="宋体"/>
          <w:color w:val="000000"/>
          <w:sz w:val="24"/>
          <w:szCs w:val="24"/>
        </w:rPr>
        <w:t xml:space="preserve">同时提供国家人力资源和社会保障部或工业和信息化部等相关部门颁发的系统集成项目管理工程师资格证书、高级网络与信息安全工程师证书等材料证明其项目管理及安全建设方面能力。</w:t>
      </w:r>
      <w:r>
        <w:rPr>
          <w:rFonts w:ascii="宋体" w:hAnsi="宋体" w:cs="宋体"/>
          <w:color w:val="000000"/>
          <w:sz w:val="24"/>
          <w:szCs w:val="24"/>
        </w:rPr>
      </w:r>
      <w:r/>
    </w:p>
    <w:p>
      <w:pPr>
        <w:pStyle w:val="653"/>
        <w:ind w:firstLine="480"/>
        <w:rPr>
          <w:rFonts w:ascii="宋体" w:hAnsi="宋体" w:cs="宋体"/>
          <w:color w:val="000000"/>
          <w:sz w:val="24"/>
          <w:szCs w:val="24"/>
        </w:rPr>
      </w:pPr>
      <w:r>
        <w:rPr>
          <w:rFonts w:hint="eastAsia" w:ascii="宋体" w:hAnsi="宋体" w:cs="宋体"/>
          <w:color w:val="000000"/>
          <w:sz w:val="24"/>
          <w:szCs w:val="24"/>
        </w:rPr>
        <w:t xml:space="preserve">技术负责人（项目经理除外）帮助项目经理完成技术路线论证、系统设计及安全技术实现等技术工作，需要提供具有国家人力资源和社会保障部或工业和信息化部等相关部门颁发的系统集成项目管理工程师资格证书、软件设计师证书、高级网络与信息安全工程师证书等材料证明其能力。</w:t>
      </w:r>
      <w:r>
        <w:rPr>
          <w:rFonts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项目组成员（除项目经理和技术负责人外）具有国家人力资源和社会保障部或工业和信息化部批准颁发的信息系统项目管理师证书、软件设计师证书、网络工程师证书、系统集成项目管理工程师证书和数据库系统工程师证书的优先。项目组成员至少应配置5人。</w:t>
      </w:r>
      <w:r>
        <w:rPr>
          <w:rFonts w:hint="eastAsia" w:ascii="宋体" w:hAnsi="宋体" w:cs="宋体"/>
          <w:color w:val="000000"/>
          <w:sz w:val="24"/>
          <w:szCs w:val="24"/>
        </w:rPr>
      </w:r>
      <w:r/>
    </w:p>
    <w:p>
      <w:pPr>
        <w:pStyle w:val="766"/>
        <w:ind w:firstLine="482"/>
        <w:spacing w:before="0" w:after="0" w:line="240" w:lineRule="auto"/>
        <w:rPr>
          <w:rFonts w:ascii="宋体" w:hAnsi="宋体" w:cs="宋体"/>
          <w:bCs w:val="0"/>
          <w:color w:val="000000"/>
          <w:sz w:val="24"/>
          <w:szCs w:val="24"/>
        </w:rPr>
      </w:pPr>
      <w:r>
        <w:rPr>
          <w:rFonts w:hint="eastAsia" w:ascii="宋体" w:hAnsi="宋体" w:cs="宋体"/>
          <w:bCs w:val="0"/>
          <w:color w:val="000000"/>
          <w:sz w:val="24"/>
          <w:szCs w:val="24"/>
        </w:rPr>
        <w:t xml:space="preserve">（十三）业绩证明</w:t>
      </w:r>
      <w:r>
        <w:rPr>
          <w:rFonts w:ascii="宋体" w:hAnsi="宋体" w:cs="宋体"/>
          <w:bCs w:val="0"/>
          <w:color w:val="000000"/>
          <w:sz w:val="24"/>
          <w:szCs w:val="24"/>
        </w:rPr>
      </w:r>
      <w:r/>
    </w:p>
    <w:p>
      <w:pPr>
        <w:pStyle w:val="653"/>
        <w:ind w:firstLine="480"/>
        <w:rPr>
          <w:rFonts w:hint="eastAsia" w:ascii="宋体" w:hAnsi="宋体"/>
          <w:color w:val="000000"/>
          <w:sz w:val="24"/>
          <w:szCs w:val="24"/>
        </w:rPr>
      </w:pPr>
      <w:r>
        <w:rPr>
          <w:rFonts w:hint="eastAsia" w:ascii="宋体" w:hAnsi="宋体" w:cs="Arial"/>
          <w:color w:val="000000"/>
          <w:sz w:val="24"/>
          <w:szCs w:val="24"/>
        </w:rPr>
        <w:t xml:space="preserve">投标人提供自2023年1月1日（以合同签订时间为准）以来已完成的与本项目类似的信息化系统建设案例</w:t>
      </w:r>
      <w:r>
        <w:rPr>
          <w:rFonts w:hint="eastAsia" w:ascii="宋体" w:hAnsi="宋体" w:cs="宋体"/>
          <w:color w:val="000000"/>
          <w:sz w:val="32"/>
          <w:szCs w:val="32"/>
        </w:rPr>
        <w:t xml:space="preserve">。</w:t>
      </w:r>
      <w:r>
        <w:rPr>
          <w:rFonts w:hint="eastAsia" w:ascii="宋体" w:hAnsi="宋体"/>
          <w:color w:val="000000"/>
          <w:sz w:val="24"/>
          <w:szCs w:val="24"/>
        </w:rPr>
      </w:r>
      <w:r/>
    </w:p>
    <w:p>
      <w:pPr>
        <w:pStyle w:val="653"/>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653"/>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653"/>
        <w:rPr>
          <w:rFonts w:hint="eastAsia" w:ascii="宋体" w:hAnsi="宋体" w:cs="宋体"/>
          <w:color w:val="000000"/>
          <w:sz w:val="24"/>
          <w:szCs w:val="24"/>
        </w:rPr>
      </w:pPr>
      <w:r>
        <w:rPr>
          <w:rFonts w:hint="eastAsia" w:ascii="宋体" w:hAnsi="宋体" w:cs="宋体"/>
          <w:color w:val="000000"/>
          <w:sz w:val="24"/>
          <w:szCs w:val="24"/>
        </w:rPr>
        <w:t xml:space="preserve">2.演示要求</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演示内容如下：</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（1）根据地下水重点污染源监管模块建设要求，演示在线开展地块风险及地块管控修复全流程评估。</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ascii="宋体" w:hAnsi="宋体" w:cs="宋体"/>
          <w:color w:val="000000"/>
          <w:sz w:val="24"/>
          <w:szCs w:val="24"/>
        </w:rPr>
        <w:t xml:space="preserve">①演示土地所有权人通过账户登录土壤及地下水环境综合管理平台，查看地块基本信息、地块权属人信息及信息变更历史；②演示在线完成污染状况调查、风险评估及风险评估依赖资料等申请信息登记并发起风险评估流程；③分别使用省级业务人员、专家等账户演示省厅形式审查、专家评审、专家复核及完成风险评估等业务工作；④演示若地块完成风险评估，土地所有权人在线完成风险管控 / 修复评估申请，并跟踪评审全流程。</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（2）根据地下水国考点位、省控点位监管模块建设要求，演示AI查询、空间搜索与智能分析能力。</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ascii="宋体" w:hAnsi="宋体" w:cs="宋体"/>
          <w:color w:val="000000"/>
          <w:sz w:val="24"/>
          <w:szCs w:val="24"/>
        </w:rPr>
        <w:t xml:space="preserve">①演示用户通过语音交互动态绘制全省地下水点位分布一张图，并按照指令完成点位定位和查看点位信息；②演示通过用户指令智能绘制点位水质变化趋势图，并智能解读水质变化趋势；③演示用户通过语音指令动态设置周边搜索半径，开展周边重点污染源检索服务；④查看废水超标污染源的废水排放数据、自行监测、企业“环保脸谱”、排污许可、建设项目、举报投诉、执法处罚、应急管理等污染源企业“一企一档”数据。</w:t>
      </w:r>
      <w:r>
        <w:rPr>
          <w:rFonts w:hint="eastAsia" w:ascii="宋体" w:hAnsi="宋体" w:cs="宋体"/>
          <w:color w:val="000000"/>
          <w:sz w:val="24"/>
          <w:szCs w:val="24"/>
        </w:rPr>
      </w:r>
      <w:r/>
    </w:p>
    <w:p>
      <w:pPr>
        <w:pStyle w:val="653"/>
        <w:ind w:firstLine="480"/>
        <w:rPr>
          <w:rFonts w:hint="eastAsia" w:ascii="宋体" w:hAnsi="宋体" w:cs="宋体"/>
          <w:color w:val="000000"/>
          <w:sz w:val="24"/>
          <w:szCs w:val="24"/>
        </w:rPr>
      </w:pPr>
      <w:r>
        <w:rPr>
          <w:rFonts w:hint="eastAsia" w:ascii="宋体" w:hAnsi="宋体" w:cs="宋体"/>
          <w:color w:val="000000"/>
          <w:sz w:val="24"/>
          <w:szCs w:val="24"/>
        </w:rPr>
        <w:t xml:space="preserve">（3）根据地下水环境基础数据库建设要求，演示AI提取相关文档关键数据。</w:t>
      </w:r>
      <w:r>
        <w:rPr>
          <w:rFonts w:hint="eastAsia" w:ascii="宋体" w:hAnsi="宋体" w:cs="宋体"/>
          <w:color w:val="000000"/>
          <w:sz w:val="24"/>
          <w:szCs w:val="24"/>
        </w:rPr>
      </w:r>
      <w:r/>
    </w:p>
    <w:p>
      <w:pPr>
        <w:pStyle w:val="653"/>
        <w:ind w:firstLine="480"/>
        <w:rPr>
          <w:rFonts w:hint="eastAsia" w:ascii="宋体" w:hAnsi="宋体"/>
          <w:sz w:val="24"/>
        </w:rPr>
      </w:pPr>
      <w:r>
        <w:rPr>
          <w:rFonts w:ascii="宋体" w:hAnsi="宋体" w:cs="宋体"/>
          <w:color w:val="000000"/>
          <w:sz w:val="24"/>
          <w:szCs w:val="24"/>
        </w:rPr>
        <w:t xml:space="preserve">①演示用户分别上传重点污染源手工监测数据实验室报告、地下水监测结果等文件，系统可以自动识别采样数据；用户可以通过章节定位查询数据、比对原始文件，经确认无误后方标准化入库；②演示系统自动解析污染源真实环境影响评价报告文件，系统可以识别文件章节目录、提取废水等污染物数据。</w:t>
      </w:r>
      <w:r>
        <w:rPr>
          <w:rFonts w:hint="eastAsia" w:ascii="宋体" w:hAnsi="宋体"/>
          <w:sz w:val="24"/>
        </w:rPr>
      </w:r>
      <w:r/>
    </w:p>
    <w:p>
      <w:pPr>
        <w:pStyle w:val="654"/>
        <w:rPr>
          <w:rFonts w:hint="eastAsia" w:ascii="黑体" w:eastAsia="黑体"/>
          <w:bCs/>
          <w:sz w:val="44"/>
        </w:rPr>
      </w:pPr>
      <w:r/>
      <w:bookmarkStart w:id="204" w:name="_Toc120614281"/>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53"/>
        <w:rPr>
          <w:rFonts w:hint="eastAsia"/>
        </w:rPr>
      </w:pPr>
      <w:r>
        <w:rPr>
          <w:rFonts w:hint="eastAsia"/>
        </w:rPr>
      </w:r>
      <w:r/>
    </w:p>
    <w:p>
      <w:pPr>
        <w:pStyle w:val="740"/>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53"/>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653"/>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653"/>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653"/>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653"/>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53"/>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r>
        <w:trPr/>
        <w:tc>
          <w:tcPr>
            <w:tcW w:w="1148" w:type="dxa"/>
            <w:vAlign w:val="top"/>
            <w:textDirection w:val="lrTb"/>
            <w:noWrap w:val="false"/>
          </w:tcPr>
          <w:p>
            <w:pPr>
              <w:pStyle w:val="653"/>
              <w:jc w:val="center"/>
              <w:rPr>
                <w:rFonts w:hint="eastAsia" w:ascii="宋体" w:hAnsi="宋体"/>
              </w:rPr>
            </w:pPr>
            <w:r>
              <w:rPr>
                <w:rFonts w:ascii="宋体" w:hAnsi="宋体"/>
              </w:rPr>
              <w:t xml:space="preserve">……</w:t>
            </w:r>
            <w:r>
              <w:rPr>
                <w:rFonts w:hint="eastAsia" w:ascii="宋体" w:hAnsi="宋体"/>
              </w:rPr>
            </w:r>
            <w:r/>
          </w:p>
        </w:tc>
        <w:tc>
          <w:tcPr>
            <w:tcW w:w="1610" w:type="dxa"/>
            <w:vAlign w:val="top"/>
            <w:textDirection w:val="lrTb"/>
            <w:noWrap w:val="false"/>
          </w:tcPr>
          <w:p>
            <w:pPr>
              <w:pStyle w:val="653"/>
              <w:rPr>
                <w:rFonts w:ascii="宋体" w:hAnsi="宋体"/>
              </w:rPr>
            </w:pPr>
            <w:r>
              <w:rPr>
                <w:rFonts w:ascii="宋体" w:hAnsi="宋体"/>
              </w:rPr>
            </w:r>
            <w:r/>
          </w:p>
        </w:tc>
        <w:tc>
          <w:tcPr>
            <w:tcW w:w="4325" w:type="dxa"/>
            <w:vAlign w:val="top"/>
            <w:textDirection w:val="lrTb"/>
            <w:noWrap w:val="false"/>
          </w:tcPr>
          <w:p>
            <w:pPr>
              <w:pStyle w:val="653"/>
              <w:rPr>
                <w:rFonts w:ascii="宋体" w:hAnsi="宋体"/>
              </w:rPr>
            </w:pPr>
            <w:r>
              <w:rPr>
                <w:rFonts w:ascii="宋体" w:hAnsi="宋体"/>
              </w:rPr>
            </w:r>
            <w:r/>
          </w:p>
        </w:tc>
      </w:tr>
    </w:tbl>
    <w:p>
      <w:pPr>
        <w:pStyle w:val="740"/>
        <w:ind w:firstLine="482"/>
        <w:spacing w:line="0" w:lineRule="atLeast"/>
        <w:rPr>
          <w:rFonts w:ascii="宋体" w:hAnsi="宋体"/>
          <w:b/>
        </w:rPr>
      </w:pPr>
      <w:r>
        <w:rPr>
          <w:rFonts w:hint="eastAsia" w:ascii="宋体" w:hAnsi="宋体"/>
          <w:b/>
        </w:rPr>
        <w:t xml:space="preserve">评标方法与评标标准</w:t>
      </w:r>
      <w:r>
        <w:rPr>
          <w:rFonts w:ascii="宋体" w:hAnsi="宋体"/>
          <w:b/>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69"/>
        <w:gridCol w:w="7284"/>
        <w:gridCol w:w="816"/>
      </w:tblGrid>
      <w:tr>
        <w:trPr>
          <w:trHeight w:val="480"/>
        </w:trPr>
        <w:tc>
          <w:tcPr>
            <w:shd w:val="clear" w:color="000000" w:fill="ffffff"/>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653"/>
              <w:jc w:val="left"/>
              <w:widowControl/>
              <w:rPr>
                <w:rFonts w:hint="eastAsia" w:ascii="宋体" w:hAnsi="宋体" w:cs="Arial"/>
                <w:b/>
                <w:bCs/>
                <w:color w:val="000000"/>
              </w:rPr>
            </w:pPr>
            <w:r>
              <w:rPr>
                <w:rFonts w:hint="eastAsia" w:ascii="宋体" w:hAnsi="宋体" w:cs="Arial"/>
                <w:b/>
                <w:bCs/>
                <w:color w:val="000000"/>
              </w:rPr>
              <w:t xml:space="preserve">评审项目</w:t>
            </w:r>
            <w:r>
              <w:rPr>
                <w:rFonts w:hint="eastAsia" w:ascii="宋体" w:hAnsi="宋体" w:cs="Arial"/>
                <w:b/>
                <w:bCs/>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jc w:val="center"/>
              <w:widowControl/>
              <w:rPr>
                <w:rFonts w:hint="eastAsia" w:ascii="宋体" w:hAnsi="宋体" w:cs="Arial"/>
                <w:b/>
                <w:bCs/>
                <w:color w:val="000000"/>
              </w:rPr>
            </w:pPr>
            <w:r>
              <w:rPr>
                <w:rFonts w:hint="eastAsia" w:ascii="宋体" w:hAnsi="宋体" w:cs="Arial"/>
                <w:b/>
                <w:bCs/>
                <w:color w:val="000000"/>
              </w:rPr>
              <w:t xml:space="preserve">评审标准</w:t>
            </w:r>
            <w:r>
              <w:rPr>
                <w:rFonts w:hint="eastAsia" w:ascii="宋体" w:hAnsi="宋体" w:cs="Arial"/>
                <w:b/>
                <w:bCs/>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b/>
                <w:bCs/>
                <w:color w:val="000000"/>
              </w:rPr>
            </w:pPr>
            <w:r>
              <w:rPr>
                <w:rFonts w:hint="eastAsia" w:ascii="宋体" w:hAnsi="宋体" w:cs="Arial"/>
                <w:b/>
                <w:bCs/>
                <w:color w:val="000000"/>
              </w:rPr>
              <w:t xml:space="preserve">分值</w:t>
            </w:r>
            <w:r>
              <w:rPr>
                <w:rFonts w:hint="eastAsia" w:ascii="宋体" w:hAnsi="宋体" w:cs="Arial"/>
                <w:b/>
                <w:bCs/>
                <w:color w:val="000000"/>
              </w:rPr>
            </w:r>
            <w:r/>
          </w:p>
        </w:tc>
      </w:tr>
      <w:tr>
        <w:trPr>
          <w:trHeight w:val="600"/>
        </w:trPr>
        <w:tc>
          <w:tcPr>
            <w:gridSpan w:val="3"/>
            <w:shd w:val="clear" w:color="000000" w:fill="ffffff"/>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一、价格：10分</w:t>
            </w:r>
            <w:r>
              <w:rPr>
                <w:rFonts w:hint="eastAsia" w:ascii="宋体" w:hAnsi="宋体" w:cs="Arial"/>
                <w:color w:val="000000"/>
              </w:rPr>
            </w:r>
            <w:r/>
          </w:p>
        </w:tc>
      </w:tr>
      <w:tr>
        <w:trPr>
          <w:trHeight w:val="90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投标</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价格分采用低价优先法计算，即满足招标文件要求且投标价格最低的投标报价为评标基准价，其价格分为满分。其他投标人的价格分统一按照下列公式计算：投标报价得分=(评标基准价／投标报价)×10（小数点保留两位）</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10</w:t>
            </w:r>
            <w:r>
              <w:rPr>
                <w:rFonts w:hint="eastAsia" w:ascii="宋体" w:hAnsi="宋体" w:cs="Arial"/>
                <w:color w:val="000000"/>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二、技术要求：55分</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系统功能设计</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05" w:name="RANGE!B6"/>
            <w:r>
              <w:rPr>
                <w:rFonts w:hint="eastAsia" w:ascii="宋体" w:hAnsi="宋体" w:cs="Arial"/>
                <w:color w:val="000000"/>
              </w:rPr>
              <w:t xml:space="preserve">2.1针对采购需求章节“地下水环境基础数据库建设”需求,投标人应提供地下水环境基础数据库建设设计方案，至少包括地下水污染源、水文地质结构、地下水监测点位等内容。根据方案综合评价，优于项目需求的得4分；符合项目需求的得2分；不符合项目需求或未提供的不得分。</w:t>
            </w:r>
            <w:bookmarkEnd w:id="205"/>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5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06" w:name="RANGE!B7"/>
            <w:r>
              <w:rPr>
                <w:rFonts w:hint="eastAsia" w:ascii="宋体" w:hAnsi="宋体" w:cs="Arial"/>
                <w:color w:val="000000"/>
              </w:rPr>
              <w:t xml:space="preserve">2.2针对采购需求章节“地下水重点污染源监管模块”需求,投标人应提供地下水重点污染源监管模块设计方案，至少包括八大类污染源监管子模块、土壤和地下水重点监管单位监管子模块、涉重工业园区及化工园区监管子模块、污染地块监管子模块、修复或风险管控地块监管子模块等内容。根据方案综合评价，优于项目需求的得4分；符合项目需求的得2分；不符合项目需求或未提供的不得分。</w:t>
            </w:r>
            <w:bookmarkEnd w:id="206"/>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07" w:name="RANGE!B8"/>
            <w:r>
              <w:rPr>
                <w:rFonts w:hint="eastAsia" w:ascii="宋体" w:hAnsi="宋体" w:cs="Arial"/>
                <w:color w:val="000000"/>
              </w:rPr>
              <w:t xml:space="preserve">2.3针对采购需求章节“地下水重点污染源调查评估模块”需求,投标人应提供地下水重点污染源调查评估模块设计方案，至少包括信息录入、信息查询、数据分析以及一张图展示等内容。根据方案综合评价，优于项目需求的得4分；符合项目需求的得2分；不符合项目需求或未提供的不得分。</w:t>
            </w:r>
            <w:bookmarkEnd w:id="207"/>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5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2.4针对采购需求章节“地下水国考点位、省控点位监管模块”需求,投标人应提供地下水国考点位、省控点位监管模块设计方案，至少包括“一井一档”、点位概览信息、点位信息筛选、数据查询分析、一张图展示等内容。根据方案综合评价，优于项目需求的得4分；符合项目需求的得2分；不符合项目需求或未提供的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5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2.5针对采购需求章节“地下水重点区划定模块”需求,投标人应提供地下水重点区划定模块设计方案，至少包括地下水污染源荷载评估子模块、地下水脆弱性评估子模块、地下水质量现状评估子模块、地下水富水性评估子模块、地下水功能价值评估子模块、地下水重点区划定子模块等内容。根据方案综合评价，优于项目需求的得4分；符合项目需求的得2分；不符合项目需求或未提供的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5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2.6针对采购需求章节“地下水环境监测网络模块”需求,投标人应提供地下水环境监测网络模块设计方案，至少包括信息导入功能、地下水数据查询、地下水监测空间分析、水质变化趋势分析、地下水监测数据预警、地下水质量管理等内容。根据方案综合评价，优于项目需求的得4分；符合项目需求的得2分；不符合项目需求或未提供的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2.7针对采购需求章节“配套移动端应用建设”需求,投标人应提供配套移动端应用建设设计方案，至少包括数据移动查询、预警信息接收、现场数据填报、移动端智能助手等内容。根据方案综合评价，优于项目需求的得4分；符合项目需求的得2分；不符合项目需求或未提供的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项目实施方案</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2.8投标人提供项目实施管理方案，应包括实施组织架构及团队说明、实施服务地点、实施计划、实施阶段管理及进度保障。为了确保按期完成建设和服务内容，需明确完成各项工作预计所需时间及达到的阶段目标等。根据方案综合评价，优于项目需求的得4分；符合项目需求的得2分；不符合项目需求或未提供的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08" w:name="RANGE!B14"/>
            <w:r>
              <w:rPr>
                <w:rFonts w:hint="eastAsia" w:ascii="宋体" w:hAnsi="宋体" w:cs="Arial"/>
                <w:color w:val="000000"/>
              </w:rPr>
              <w:t xml:space="preserve">2.9投标人提供项目质量保障方案，应包括组织保障体系、质量管理防范、质量管理措施、软件配置管理、项目风险管理及全流程档案管理等内容。根据方案综合评价，优于项目需求的得4分；符合项目需求的得2分；不符合项目需求或未提供的不得分。</w:t>
            </w:r>
            <w:bookmarkEnd w:id="208"/>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9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09" w:name="RANGE!B15"/>
            <w:r>
              <w:rPr>
                <w:rFonts w:hint="eastAsia" w:ascii="宋体" w:hAnsi="宋体" w:cs="Arial"/>
                <w:color w:val="000000"/>
              </w:rPr>
              <w:t xml:space="preserve">2.10投标人提供项目培训方案，应包括培训目标、培训用户、培训内容、培训方式、培训质量保障等内容。根据方案综合评价，优于项目需求的得4分；符合项目需求的得2分；不符合项目需求或未提供的不得分。</w:t>
            </w:r>
            <w:bookmarkEnd w:id="209"/>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4</w:t>
            </w:r>
            <w:r>
              <w:rPr>
                <w:rFonts w:hint="eastAsia" w:ascii="宋体" w:hAnsi="宋体" w:cs="Arial"/>
                <w:color w:val="000000"/>
              </w:rPr>
            </w:r>
            <w:r/>
          </w:p>
        </w:tc>
      </w:tr>
      <w:tr>
        <w:trPr>
          <w:trHeight w:val="90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售后服务方案</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10" w:name="RANGE!B16"/>
            <w:r>
              <w:rPr>
                <w:rFonts w:hint="eastAsia" w:ascii="宋体" w:hAnsi="宋体" w:cs="Arial"/>
                <w:color w:val="000000"/>
              </w:rPr>
              <w:t xml:space="preserve">2.11投标人提供售后服务方案，应包括售后服务体系、维护服务内容、技术支撑以及故障响应等内容。根据方案综合评价，优于项目需求的得5分；符合项目需求的得3分；不符合项目需求或未提供的不得分。</w:t>
            </w:r>
            <w:bookmarkEnd w:id="210"/>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5</w:t>
            </w:r>
            <w:r>
              <w:rPr>
                <w:rFonts w:hint="eastAsia" w:ascii="宋体" w:hAnsi="宋体" w:cs="Arial"/>
                <w:color w:val="000000"/>
              </w:rPr>
            </w:r>
            <w:r/>
          </w:p>
        </w:tc>
      </w:tr>
      <w:tr>
        <w:trPr>
          <w:trHeight w:val="913"/>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系统演示</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top"/>
            <w:textDirection w:val="lrTb"/>
            <w:noWrap w:val="false"/>
          </w:tcPr>
          <w:p>
            <w:pPr>
              <w:pStyle w:val="653"/>
              <w:widowControl/>
              <w:rPr>
                <w:rStyle w:val="729"/>
                <w:rFonts w:hint="eastAsia" w:ascii="宋体" w:hAnsi="宋体" w:cs="Arial"/>
                <w:color w:val="000000"/>
              </w:rPr>
            </w:pPr>
            <w:r>
              <w:rPr>
                <w:rFonts w:hint="eastAsia" w:ascii="宋体" w:hAnsi="宋体" w:cs="Arial"/>
                <w:color w:val="000000"/>
                <w:lang w:val="en-US" w:eastAsia="zh-CN"/>
              </w:rPr>
              <w:t xml:space="preserve">2.12</w:t>
            </w:r>
            <w:r>
              <w:rPr>
                <w:rFonts w:hint="eastAsia" w:ascii="宋体" w:hAnsi="宋体" w:cs="Arial"/>
                <w:color w:val="000000"/>
              </w:rPr>
              <w:t xml:space="preserve">投标人需按照招标文件规定的功能演示要求，提供真实系统或原型系统录屏制作演示视频，采用PPT、WORD、截图等来制作演示视频的，不得分。本项共10分，演示一条得1分，不符合要求或未演示不得分。总时间不超过15分钟。</w:t>
            </w:r>
            <w:r>
              <w:rPr>
                <w:rStyle w:val="729"/>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lang w:val="en-US" w:eastAsia="zh-CN"/>
              </w:rPr>
              <w:t xml:space="preserve">2.12.1</w:t>
            </w:r>
            <w:r>
              <w:rPr>
                <w:rFonts w:hint="eastAsia" w:ascii="宋体" w:hAnsi="宋体" w:cs="Arial"/>
                <w:color w:val="000000"/>
              </w:rPr>
              <w:t xml:space="preserve">根据地下水重点污染源监管模块建设要求，演示在线开展地块风险及地块管控修复全流程评估。</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①演示土地所有权人通过账户登录土壤及地下水环境综合管理平台，查看地块基本信息、地块权属人信息及信息变更历史；</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②演示在线完成污染状况调查、风险评估及风险评估依赖资料等申请信息登记并发起风险评估流程；</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③分别使用省级业务人员、专家等账户演示省厅形式审查、专家评审、专家复核及完成风险评估等业务工作；</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④演示若地块完成风险评估，土地所有权人在线完成风险管控/修复评估申请，并跟踪评审全流程。</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lang w:val="en-US" w:eastAsia="zh-CN"/>
              </w:rPr>
              <w:t xml:space="preserve">2.12.2</w:t>
            </w:r>
            <w:r>
              <w:rPr>
                <w:rFonts w:hint="eastAsia" w:ascii="宋体" w:hAnsi="宋体" w:cs="Arial"/>
                <w:color w:val="000000"/>
              </w:rPr>
              <w:t xml:space="preserve">根据地下水国考点位、省控点位监管模块建设要求，演示AI查询、空间搜索与智能分析能力。</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①演示用户通过语音交互动态绘制全省地下水点位分布一张图，并按照指令完成点位定位和查看点位信息；</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②演示通过用户指令智能绘制点位水质变化趋势图，并智能解读水质变化趋势；</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③演示用户通过语音指令动态设置周边搜索半径，开展周边重点污染源检索服务；</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④查看废水超标污染源的废水排放数据、自行监测、企业“环保脸谱”、排污许可、建设项目、举报投诉、执法处罚、应急管理等污染源企业“一企一档”数据。</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lang w:val="en-US" w:eastAsia="zh-CN"/>
              </w:rPr>
              <w:t xml:space="preserve">2.12.3</w:t>
            </w:r>
            <w:r>
              <w:rPr>
                <w:rFonts w:hint="eastAsia" w:ascii="宋体" w:hAnsi="宋体" w:cs="Arial"/>
                <w:color w:val="000000"/>
              </w:rPr>
              <w:t xml:space="preserve">根据地下水环境基础数据库建设要求，演示AI提取相关文档关键数据。</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①演示用户分别上传重点污染源手工监测数据实验室报告、地下水监测结果等文件，系统可以自动识别采样数据；用户可以通过章节定位查询数据、比对原始文件，经确认无误后方标准化入库；</w:t>
            </w:r>
            <w:r>
              <w:rPr>
                <w:rFonts w:hint="eastAsia" w:ascii="宋体" w:hAnsi="宋体" w:cs="Arial"/>
                <w:color w:val="000000"/>
              </w:rPr>
            </w:r>
            <w:r/>
          </w:p>
          <w:p>
            <w:pPr>
              <w:pStyle w:val="653"/>
              <w:widowControl/>
              <w:rPr>
                <w:rFonts w:hint="eastAsia" w:ascii="宋体" w:hAnsi="宋体" w:cs="Arial"/>
                <w:color w:val="000000"/>
              </w:rPr>
            </w:pPr>
            <w:r>
              <w:rPr>
                <w:rFonts w:hint="eastAsia" w:ascii="宋体" w:hAnsi="宋体" w:cs="Arial"/>
                <w:color w:val="000000"/>
              </w:rPr>
              <w:t xml:space="preserve">②演示系统自动解析污染源真实环境影响评价报告文件，系统可以识别文件章节目录、提取废水等污染物数据。</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10</w:t>
            </w:r>
            <w:r>
              <w:rPr>
                <w:rFonts w:hint="eastAsia" w:ascii="宋体" w:hAnsi="宋体" w:cs="Arial"/>
                <w:color w:val="000000"/>
              </w:rPr>
            </w:r>
            <w:r/>
          </w:p>
        </w:tc>
      </w:tr>
      <w:tr>
        <w:trPr>
          <w:trHeight w:val="600"/>
        </w:trPr>
        <w:tc>
          <w:tcPr>
            <w:gridSpan w:val="3"/>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三、商务能力：35分</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3.1企业资信</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3.1.1投标人提供有效的ISO9001质量管理体系认证证书、ISO20000信息技术服务管理体系认证、ISO27001信息安全管理体系认证证书，每提供一个得2分，最高得6分。</w:t>
            </w:r>
            <w:r>
              <w:rPr>
                <w:rFonts w:hint="eastAsia" w:ascii="宋体" w:hAnsi="宋体" w:cs="Arial"/>
                <w:color w:val="000000"/>
              </w:rPr>
              <w:br w:type="textWrapping" w:clear="all"/>
            </w:r>
            <w:r>
              <w:rPr>
                <w:rFonts w:hint="eastAsia" w:ascii="宋体" w:hAnsi="宋体" w:cs="Arial"/>
                <w:b/>
                <w:bCs/>
                <w:color w:val="000000"/>
              </w:rPr>
              <w:t xml:space="preserve">注：提供有效期内证书扫描件或复印件并加盖投标人公章，否则不得分。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6</w:t>
            </w: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bookmarkStart w:id="211" w:name="RANGE!B21"/>
            <w:r>
              <w:rPr>
                <w:rFonts w:hint="eastAsia" w:ascii="宋体" w:hAnsi="宋体" w:cs="Arial"/>
                <w:color w:val="000000"/>
              </w:rPr>
              <w:t xml:space="preserve">3.1.2投标人具有数据管理能力成熟度等级证书-DCMM，得2分；具有</w:t>
            </w:r>
            <w:r>
              <w:rPr>
                <w:rFonts w:ascii="宋体" w:hAnsi="宋体" w:cs="Arial"/>
                <w:color w:val="000000"/>
              </w:rPr>
              <w:t xml:space="preserve">ISO 22301</w:t>
            </w:r>
            <w:r>
              <w:rPr>
                <w:rFonts w:hint="eastAsia" w:ascii="宋体" w:hAnsi="宋体" w:cs="Arial"/>
                <w:color w:val="000000"/>
              </w:rPr>
              <w:t xml:space="preserve">业务连续性管理体系认证证书，得2分；具有</w:t>
            </w:r>
            <w:r>
              <w:rPr>
                <w:rFonts w:ascii="宋体" w:hAnsi="宋体" w:cs="Arial"/>
                <w:color w:val="000000"/>
              </w:rPr>
              <w:t xml:space="preserve">ISO/IEC27017</w:t>
            </w:r>
            <w:r>
              <w:rPr>
                <w:rFonts w:hint="eastAsia" w:ascii="宋体" w:hAnsi="宋体" w:cs="Arial"/>
                <w:color w:val="000000"/>
              </w:rPr>
              <w:t xml:space="preserve">云服务信息安全管理体系认证证书，得2分。</w:t>
            </w:r>
            <w:r>
              <w:rPr>
                <w:rFonts w:hint="eastAsia" w:ascii="宋体" w:hAnsi="宋体" w:cs="Arial"/>
                <w:color w:val="000000"/>
              </w:rPr>
              <w:br w:type="textWrapping" w:clear="all"/>
            </w:r>
            <w:r>
              <w:rPr>
                <w:rFonts w:hint="eastAsia" w:ascii="宋体" w:hAnsi="宋体" w:cs="Arial"/>
                <w:b/>
                <w:bCs/>
                <w:color w:val="000000"/>
              </w:rPr>
              <w:t xml:space="preserve">注：提供有效期内证书扫描件或复印件并加盖投标人公章，否则不得分。</w:t>
            </w:r>
            <w:bookmarkEnd w:id="211"/>
            <w:r>
              <w:rPr>
                <w:rFonts w:hint="eastAsia" w:ascii="宋体" w:hAnsi="宋体" w:cs="Arial"/>
                <w:color w:val="000000"/>
              </w:rPr>
            </w:r>
            <w:r/>
          </w:p>
        </w:tc>
        <w:tc>
          <w:tcPr>
            <w:tcBorders>
              <w:top w:val="none" w:color="000000" w:sz="4" w:space="0"/>
              <w:left w:val="none" w:color="000000" w:sz="4" w:space="0"/>
              <w:bottom w:val="none" w:color="000000" w:sz="4" w:space="0"/>
              <w:right w:val="single" w:color="000000" w:sz="4" w:space="0"/>
            </w:tcBorders>
            <w:tcW w:w="445" w:type="dxa"/>
            <w:vAlign w:val="center"/>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6</w:t>
            </w:r>
            <w:r>
              <w:rPr>
                <w:rFonts w:hint="eastAsia" w:ascii="宋体" w:hAnsi="宋体" w:cs="Arial"/>
                <w:color w:val="000000"/>
              </w:rPr>
            </w:r>
            <w:r/>
          </w:p>
        </w:tc>
      </w:tr>
      <w:tr>
        <w:trPr>
          <w:trHeight w:val="1413"/>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b/>
                <w:bCs/>
                <w:color w:val="000000"/>
              </w:rPr>
            </w:pPr>
            <w:r/>
            <w:bookmarkStart w:id="212" w:name="RANGE!B22"/>
            <w:r>
              <w:rPr>
                <w:rFonts w:hint="eastAsia" w:ascii="宋体" w:hAnsi="宋体" w:cs="Arial"/>
                <w:color w:val="000000"/>
              </w:rPr>
              <w:t xml:space="preserve">3.1.3投标人具有自主研发能力，具备与本项目相关的自主知识产权的软件著作权证书，相关的软件著作权证书包含环境监管类、AI+生态驾驶舱类、AI基础服务类等类型，每类最多得1分，最高得</w:t>
            </w:r>
            <w:r>
              <w:rPr>
                <w:rFonts w:hint="eastAsia" w:ascii="宋体" w:hAnsi="宋体" w:cs="Arial"/>
                <w:color w:val="000000"/>
                <w:lang w:val="en-US" w:eastAsia="zh-CN"/>
              </w:rPr>
              <w:t xml:space="preserve">3</w:t>
            </w:r>
            <w:r>
              <w:rPr>
                <w:rFonts w:hint="eastAsia" w:ascii="宋体" w:hAnsi="宋体" w:cs="Arial"/>
                <w:color w:val="000000"/>
              </w:rPr>
              <w:t xml:space="preserve">分。</w:t>
            </w:r>
            <w:r>
              <w:rPr>
                <w:rFonts w:hint="eastAsia" w:ascii="宋体" w:hAnsi="宋体" w:cs="Arial"/>
                <w:color w:val="000000"/>
              </w:rPr>
              <w:br w:type="textWrapping" w:clear="all"/>
            </w:r>
            <w:r>
              <w:rPr>
                <w:rFonts w:hint="eastAsia" w:ascii="宋体" w:hAnsi="宋体" w:cs="Arial"/>
                <w:b/>
                <w:bCs/>
                <w:color w:val="000000"/>
              </w:rPr>
              <w:t xml:space="preserve">注：须提供有效期内证书扫描件或复印件证明材料并加盖投标人公章。</w:t>
            </w:r>
            <w:bookmarkEnd w:id="212"/>
            <w:r>
              <w:rPr>
                <w:rFonts w:hint="eastAsia" w:ascii="宋体" w:hAnsi="宋体" w:cs="Arial"/>
                <w:b/>
                <w:bCs/>
                <w:color w:val="000000"/>
              </w:rPr>
            </w:r>
            <w:r/>
          </w:p>
          <w:p>
            <w:pPr>
              <w:pStyle w:val="665"/>
              <w:rPr>
                <w:rFonts w:hint="eastAsia"/>
              </w:rPr>
            </w:pPr>
            <w:r>
              <w:rPr>
                <w:rFonts w:hint="eastAsia" w:ascii="宋体" w:hAnsi="宋体" w:cs="宋体"/>
                <w:sz w:val="24"/>
                <w:szCs w:val="24"/>
              </w:rPr>
              <w:t xml:space="preserve">如响应文件中提供的著作权名称表述与评审标准描述的关键字段不一致，能够在响应文件中证明供应商拥有的著作权具有相同或相似功能和效果的，视同符合要求。</w:t>
            </w:r>
            <w:r>
              <w:rPr>
                <w:rFonts w:hint="eastAsia"/>
              </w:rPr>
            </w:r>
            <w:r/>
          </w:p>
        </w:tc>
        <w:tc>
          <w:tcPr>
            <w:tcBorders>
              <w:top w:val="singl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eastAsia="宋体" w:cs="Arial"/>
                <w:color w:val="000000"/>
                <w:lang w:eastAsia="zh-CN"/>
              </w:rPr>
            </w:pPr>
            <w:r>
              <w:rPr>
                <w:rFonts w:hint="eastAsia" w:ascii="宋体" w:hAnsi="宋体" w:cs="Arial"/>
                <w:color w:val="000000"/>
                <w:lang w:val="en-US" w:eastAsia="zh-CN"/>
              </w:rPr>
              <w:t xml:space="preserve">3</w:t>
            </w:r>
            <w:r>
              <w:rPr>
                <w:rFonts w:hint="eastAsia" w:ascii="宋体" w:hAnsi="宋体" w:eastAsia="宋体" w:cs="Arial"/>
                <w:color w:val="000000"/>
                <w:lang w:eastAsia="zh-CN"/>
              </w:rPr>
            </w:r>
            <w:r/>
          </w:p>
        </w:tc>
      </w:tr>
      <w:tr>
        <w:trPr>
          <w:trHeight w:val="90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3.2人员配备</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3.2.1投标人拟投入的项目经理具备环境或计算机等相关专业中级及以上职称证书、系统集成项目管理工程师资格证书、高级网络与信息安全工程师证书，每提供一个得2分，最高得6分。</w:t>
            </w:r>
            <w:r>
              <w:rPr>
                <w:rFonts w:hint="eastAsia" w:ascii="宋体" w:hAnsi="宋体" w:cs="Arial"/>
                <w:color w:val="000000"/>
              </w:rPr>
            </w:r>
            <w:r/>
          </w:p>
        </w:tc>
        <w:tc>
          <w:tcPr>
            <w:tcBorders>
              <w:top w:val="none" w:color="000000" w:sz="4" w:space="0"/>
              <w:left w:val="single" w:color="000000" w:sz="4" w:space="0"/>
              <w:bottom w:val="single" w:color="000000" w:sz="4" w:space="0"/>
              <w:right w:val="single" w:color="000000" w:sz="4" w:space="0"/>
            </w:tcBorders>
            <w:tcW w:w="445" w:type="dxa"/>
            <w:vAlign w:val="center"/>
            <w:vMerge w:val="restart"/>
            <w:textDirection w:val="lrTb"/>
            <w:noWrap w:val="false"/>
          </w:tcPr>
          <w:p>
            <w:pPr>
              <w:pStyle w:val="653"/>
              <w:jc w:val="center"/>
              <w:widowControl/>
              <w:rPr>
                <w:rFonts w:hint="eastAsia" w:ascii="宋体" w:hAnsi="宋体" w:cs="Arial"/>
                <w:color w:val="000000"/>
              </w:rPr>
            </w:pPr>
            <w:r>
              <w:rPr>
                <w:rFonts w:hint="eastAsia" w:ascii="宋体" w:hAnsi="宋体" w:cs="Arial"/>
                <w:color w:val="000000"/>
              </w:rPr>
              <w:t xml:space="preserve">14</w:t>
            </w:r>
            <w:r>
              <w:rPr>
                <w:rFonts w:hint="eastAsia" w:ascii="宋体" w:hAnsi="宋体" w:cs="Arial"/>
                <w:color w:val="000000"/>
              </w:rPr>
            </w:r>
            <w:r/>
          </w:p>
        </w:tc>
      </w:tr>
      <w:tr>
        <w:trPr>
          <w:trHeight w:val="9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3.2.2投标人拟投入的技术负责人（项目经理除外）具备系统集成项目管理工程师资格证书、软件设计师证书、高级网络与信息安全工程师证书，每提供一个得1分，最高得3分。</w:t>
            </w:r>
            <w:r>
              <w:rPr>
                <w:rFonts w:hint="eastAsia" w:ascii="宋体" w:hAnsi="宋体" w:cs="Arial"/>
                <w:color w:val="000000"/>
              </w:rPr>
            </w:r>
            <w:r/>
          </w:p>
        </w:tc>
        <w:tc>
          <w:tcPr>
            <w:tcBorders>
              <w:top w:val="none" w:color="000000" w:sz="4" w:space="0"/>
              <w:left w:val="single" w:color="000000" w:sz="4" w:space="0"/>
              <w:bottom w:val="single" w:color="000000" w:sz="4" w:space="0"/>
              <w:right w:val="single" w:color="000000" w:sz="4" w:space="0"/>
            </w:tcBorders>
            <w:tcW w:w="445"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r>
      <w:tr>
        <w:trPr>
          <w:trHeight w:val="12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3.2.3主要项目成员（不包括项目经理和技术负责人）具备信息系统项目管理师证书、软件设计师证书、网络工程师证书、系统集成项目管理工程师证书、数据库系统工程师证书，每提供一个得1分，最高得5分。(一人具备多个证书不重复计分)</w:t>
            </w:r>
            <w:r>
              <w:rPr>
                <w:rFonts w:hint="eastAsia" w:ascii="宋体" w:hAnsi="宋体" w:cs="Arial"/>
                <w:color w:val="000000"/>
              </w:rPr>
            </w:r>
            <w:r/>
          </w:p>
        </w:tc>
        <w:tc>
          <w:tcPr>
            <w:tcBorders>
              <w:top w:val="none" w:color="000000" w:sz="4" w:space="0"/>
              <w:left w:val="single" w:color="000000" w:sz="4" w:space="0"/>
              <w:bottom w:val="single" w:color="000000" w:sz="4" w:space="0"/>
              <w:right w:val="single" w:color="000000" w:sz="4" w:space="0"/>
            </w:tcBorders>
            <w:tcW w:w="445"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r>
      <w:tr>
        <w:trPr>
          <w:trHeight w:val="90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b/>
                <w:bCs/>
                <w:color w:val="000000"/>
              </w:rPr>
            </w:pPr>
            <w:r>
              <w:rPr>
                <w:rFonts w:hint="eastAsia" w:ascii="宋体" w:hAnsi="宋体" w:cs="Arial"/>
                <w:b/>
                <w:bCs/>
                <w:color w:val="000000"/>
              </w:rPr>
              <w:t xml:space="preserve">注：上述人员须提供相关证书扫描件或复印件并加盖投标人公章，同时提供投标人近3个月任意一个月为上述项目成员缴纳社保的证明材料，材料提供不全或未提供的不得分）</w:t>
            </w:r>
            <w:r>
              <w:rPr>
                <w:rFonts w:hint="eastAsia" w:ascii="宋体" w:hAnsi="宋体" w:cs="Arial"/>
                <w:b/>
                <w:bCs/>
                <w:color w:val="000000"/>
              </w:rPr>
            </w:r>
            <w:r/>
          </w:p>
        </w:tc>
        <w:tc>
          <w:tcPr>
            <w:tcBorders>
              <w:top w:val="none" w:color="000000" w:sz="4" w:space="0"/>
              <w:left w:val="single" w:color="000000" w:sz="4" w:space="0"/>
              <w:bottom w:val="single" w:color="000000" w:sz="4" w:space="0"/>
              <w:right w:val="single" w:color="000000" w:sz="4" w:space="0"/>
            </w:tcBorders>
            <w:tcW w:w="445" w:type="dxa"/>
            <w:vAlign w:val="center"/>
            <w:vMerge w:val="continue"/>
            <w:textDirection w:val="lrTb"/>
            <w:noWrap w:val="false"/>
          </w:tcPr>
          <w:p>
            <w:pPr>
              <w:pStyle w:val="653"/>
              <w:jc w:val="left"/>
              <w:widowControl/>
              <w:rPr>
                <w:rFonts w:hint="eastAsia" w:ascii="宋体" w:hAnsi="宋体" w:cs="Arial"/>
                <w:color w:val="000000"/>
              </w:rPr>
            </w:pPr>
            <w:r>
              <w:rPr>
                <w:rFonts w:hint="eastAsia" w:ascii="宋体" w:hAnsi="宋体" w:cs="Arial"/>
                <w:color w:val="000000"/>
              </w:rPr>
            </w:r>
            <w:r/>
          </w:p>
        </w:tc>
      </w:tr>
      <w:tr>
        <w:trPr>
          <w:trHeight w:val="210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val="false"/>
          </w:tcPr>
          <w:p>
            <w:pPr>
              <w:pStyle w:val="653"/>
              <w:jc w:val="left"/>
              <w:widowControl/>
              <w:rPr>
                <w:rFonts w:hint="eastAsia" w:ascii="宋体" w:hAnsi="宋体" w:cs="Arial"/>
                <w:color w:val="000000"/>
              </w:rPr>
            </w:pPr>
            <w:r>
              <w:rPr>
                <w:rFonts w:hint="eastAsia" w:ascii="宋体" w:hAnsi="宋体" w:cs="Arial"/>
                <w:color w:val="000000"/>
              </w:rPr>
              <w:t xml:space="preserve">3.3企业业绩</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3972" w:type="dxa"/>
            <w:vAlign w:val="center"/>
            <w:textDirection w:val="lrTb"/>
            <w:noWrap w:val="false"/>
          </w:tcPr>
          <w:p>
            <w:pPr>
              <w:pStyle w:val="653"/>
              <w:widowControl/>
              <w:rPr>
                <w:rFonts w:hint="eastAsia" w:ascii="宋体" w:hAnsi="宋体" w:cs="Arial"/>
                <w:color w:val="000000"/>
              </w:rPr>
            </w:pPr>
            <w:r>
              <w:rPr>
                <w:rFonts w:hint="eastAsia" w:ascii="宋体" w:hAnsi="宋体" w:cs="Arial"/>
                <w:color w:val="000000"/>
              </w:rPr>
              <w:t xml:space="preserve">投标人提供自2023年1月1日（以合同签订时间为准）以来已完成的与本项目类似的信息化系统建设案例，每提供一个业绩案例得1分，最高得</w:t>
            </w:r>
            <w:r>
              <w:rPr>
                <w:rFonts w:hint="eastAsia" w:ascii="宋体" w:hAnsi="宋体" w:cs="Arial"/>
                <w:color w:val="000000"/>
                <w:lang w:val="en-US" w:eastAsia="zh-CN"/>
              </w:rPr>
              <w:t xml:space="preserve">6</w:t>
            </w:r>
            <w:r>
              <w:rPr>
                <w:rFonts w:hint="eastAsia" w:ascii="宋体" w:hAnsi="宋体" w:cs="Arial"/>
                <w:color w:val="000000"/>
              </w:rPr>
              <w:t xml:space="preserve">分。</w:t>
            </w:r>
            <w:r>
              <w:rPr>
                <w:rFonts w:hint="eastAsia" w:ascii="宋体" w:hAnsi="宋体" w:cs="Arial"/>
                <w:color w:val="000000"/>
              </w:rPr>
              <w:br w:type="textWrapping" w:clear="all"/>
            </w:r>
            <w:r>
              <w:rPr>
                <w:rFonts w:hint="eastAsia" w:ascii="宋体" w:hAnsi="宋体" w:cs="Arial"/>
                <w:b/>
                <w:bCs/>
                <w:color w:val="000000"/>
              </w:rPr>
              <w:t xml:space="preserve">注：提供有效的合同全本或展示合同签订时间、内容等关键页扫描件或复印件，时间、内容均以合同为准，加盖投标人公章。不提供不得分。</w:t>
            </w:r>
            <w:r>
              <w:rPr>
                <w:rFonts w:hint="eastAsia" w:ascii="宋体" w:hAnsi="宋体" w:cs="Arial"/>
                <w:color w:val="000000"/>
              </w:rPr>
            </w:r>
            <w:r/>
          </w:p>
        </w:tc>
        <w:tc>
          <w:tcPr>
            <w:tcBorders>
              <w:top w:val="none" w:color="000000" w:sz="4" w:space="0"/>
              <w:left w:val="none" w:color="000000" w:sz="4" w:space="0"/>
              <w:bottom w:val="single" w:color="000000" w:sz="4" w:space="0"/>
              <w:right w:val="single" w:color="000000" w:sz="4" w:space="0"/>
            </w:tcBorders>
            <w:tcW w:w="445" w:type="dxa"/>
            <w:vAlign w:val="center"/>
            <w:textDirection w:val="lrTb"/>
            <w:noWrap w:val="false"/>
          </w:tcPr>
          <w:p>
            <w:pPr>
              <w:pStyle w:val="653"/>
              <w:jc w:val="center"/>
              <w:widowControl/>
              <w:rPr>
                <w:rFonts w:hint="eastAsia" w:ascii="宋体" w:hAnsi="宋体" w:eastAsia="宋体" w:cs="Arial"/>
                <w:color w:val="000000"/>
                <w:lang w:eastAsia="zh-CN"/>
              </w:rPr>
            </w:pPr>
            <w:r>
              <w:rPr>
                <w:rFonts w:hint="eastAsia" w:ascii="宋体" w:hAnsi="宋体" w:cs="Arial"/>
                <w:color w:val="000000"/>
                <w:lang w:val="en-US" w:eastAsia="zh-CN"/>
              </w:rPr>
              <w:t xml:space="preserve">6</w:t>
            </w:r>
            <w:r>
              <w:rPr>
                <w:rFonts w:hint="eastAsia" w:ascii="宋体" w:hAnsi="宋体" w:eastAsia="宋体" w:cs="Arial"/>
                <w:color w:val="000000"/>
                <w:lang w:eastAsia="zh-CN"/>
              </w:rPr>
            </w:r>
            <w:r/>
          </w:p>
        </w:tc>
      </w:tr>
    </w:tbl>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4"/>
        <w:jc w:val="both"/>
        <w:rPr>
          <w:rFonts w:ascii="黑体" w:eastAsia="黑体"/>
          <w:bCs/>
          <w:sz w:val="44"/>
        </w:rPr>
      </w:pPr>
      <w:r>
        <w:rPr>
          <w:rFonts w:ascii="黑体" w:eastAsia="黑体"/>
          <w:bCs/>
          <w:sz w:val="44"/>
        </w:rPr>
        <w:br w:type="page" w:clear="all"/>
      </w:r>
      <w:r>
        <w:rPr>
          <w:rFonts w:ascii="黑体" w:eastAsia="黑体"/>
          <w:bCs/>
          <w:sz w:val="44"/>
        </w:rPr>
      </w:r>
      <w:r/>
    </w:p>
    <w:p>
      <w:pPr>
        <w:pStyle w:val="654"/>
        <w:rPr>
          <w:rFonts w:ascii="黑体" w:eastAsia="黑体"/>
          <w:bCs/>
          <w:sz w:val="44"/>
        </w:rPr>
      </w:pPr>
      <w:r>
        <w:rPr>
          <w:rFonts w:ascii="黑体" w:eastAsia="黑体"/>
          <w:bCs/>
          <w:sz w:val="44"/>
        </w:rPr>
      </w:r>
      <w:r/>
    </w:p>
    <w:p>
      <w:pPr>
        <w:pStyle w:val="654"/>
        <w:rPr>
          <w:rFonts w:hint="eastAsia" w:ascii="黑体" w:eastAsia="黑体"/>
          <w:bCs/>
          <w:sz w:val="44"/>
        </w:rPr>
      </w:pPr>
      <w:r>
        <w:rPr>
          <w:rFonts w:hint="eastAsia" w:ascii="黑体" w:eastAsia="黑体"/>
          <w:bCs/>
          <w:sz w:val="44"/>
        </w:rPr>
        <w:t xml:space="preserve">第六章  投标</w:t>
      </w:r>
      <w:bookmarkEnd w:id="188"/>
      <w:r/>
      <w:bookmarkEnd w:id="189"/>
      <w:r/>
      <w:bookmarkEnd w:id="204"/>
      <w:r>
        <w:rPr>
          <w:rFonts w:hint="eastAsia" w:ascii="黑体" w:eastAsia="黑体"/>
          <w:bCs/>
          <w:sz w:val="44"/>
        </w:rPr>
        <w:t xml:space="preserve">文件格式 </w:t>
      </w:r>
      <w:r>
        <w:rPr>
          <w:rFonts w:hint="eastAsia" w:ascii="黑体" w:eastAsia="黑体"/>
          <w:bCs/>
          <w:sz w:val="44"/>
        </w:rPr>
      </w:r>
      <w:r/>
    </w:p>
    <w:p>
      <w:pPr>
        <w:pStyle w:val="653"/>
        <w:jc w:val="center"/>
        <w:rPr>
          <w:rFonts w:hint="eastAsia" w:ascii="宋体" w:hAnsi="宋体"/>
          <w:b/>
          <w:sz w:val="72"/>
        </w:rPr>
      </w:pPr>
      <w:r/>
      <w:bookmarkStart w:id="213" w:name="_Hlt26955039"/>
      <w:r/>
      <w:bookmarkEnd w:id="213"/>
      <w:r/>
      <w:bookmarkStart w:id="214" w:name="_Hlt26671244"/>
      <w:r/>
      <w:bookmarkEnd w:id="214"/>
      <w:r/>
      <w:bookmarkStart w:id="215" w:name="_Toc49090576"/>
      <w:r/>
      <w:bookmarkStart w:id="216" w:name="_Toc26554094"/>
      <w:r/>
      <w:bookmarkStart w:id="217" w:name="_Toc120614282"/>
      <w:r>
        <w:rPr>
          <w:rFonts w:hint="eastAsia" w:ascii="宋体" w:hAnsi="宋体"/>
          <w:b/>
          <w:sz w:val="72"/>
        </w:rPr>
      </w:r>
      <w:r/>
    </w:p>
    <w:p>
      <w:pPr>
        <w:pStyle w:val="65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3"/>
        <w:jc w:val="center"/>
        <w:rPr>
          <w:rFonts w:hint="eastAsia" w:ascii="宋体" w:hAnsi="宋体"/>
          <w:b/>
          <w:sz w:val="72"/>
        </w:rPr>
      </w:pPr>
      <w:r>
        <w:rPr>
          <w:rFonts w:hint="eastAsia" w:ascii="宋体" w:hAnsi="宋体"/>
          <w:b/>
          <w:sz w:val="72"/>
        </w:rPr>
      </w:r>
      <w:r/>
    </w:p>
    <w:p>
      <w:pPr>
        <w:pStyle w:val="653"/>
        <w:jc w:val="center"/>
        <w:rPr>
          <w:rFonts w:hint="eastAsia" w:ascii="宋体" w:hAnsi="宋体"/>
          <w:b/>
          <w:sz w:val="72"/>
        </w:rPr>
      </w:pPr>
      <w:r>
        <w:rPr>
          <w:rFonts w:hint="eastAsia" w:ascii="宋体" w:hAnsi="宋体"/>
          <w:b/>
          <w:sz w:val="72"/>
        </w:rPr>
      </w:r>
      <w:r/>
    </w:p>
    <w:p>
      <w:pPr>
        <w:pStyle w:val="653"/>
        <w:jc w:val="center"/>
        <w:rPr>
          <w:rFonts w:hint="eastAsia" w:ascii="宋体" w:hAnsi="宋体"/>
          <w:b/>
          <w:sz w:val="36"/>
        </w:rPr>
      </w:pPr>
      <w:r>
        <w:rPr>
          <w:rFonts w:hint="eastAsia" w:ascii="宋体" w:hAnsi="宋体"/>
          <w:b/>
          <w:sz w:val="36"/>
        </w:rPr>
      </w:r>
      <w:r/>
    </w:p>
    <w:p>
      <w:pPr>
        <w:pStyle w:val="653"/>
        <w:jc w:val="center"/>
        <w:rPr>
          <w:rFonts w:hint="eastAsia" w:ascii="宋体" w:hAnsi="宋体"/>
          <w:b/>
          <w:sz w:val="36"/>
        </w:rPr>
      </w:pPr>
      <w:r>
        <w:rPr>
          <w:rFonts w:hint="eastAsia" w:ascii="宋体" w:hAnsi="宋体"/>
          <w:b/>
          <w:sz w:val="36"/>
        </w:rPr>
      </w:r>
      <w:r/>
    </w:p>
    <w:p>
      <w:pPr>
        <w:pStyle w:val="653"/>
        <w:jc w:val="center"/>
        <w:rPr>
          <w:rFonts w:hint="eastAsia" w:ascii="宋体" w:hAnsi="宋体"/>
          <w:b/>
          <w:sz w:val="36"/>
        </w:rPr>
      </w:pPr>
      <w:r>
        <w:rPr>
          <w:rFonts w:hint="eastAsia" w:ascii="宋体" w:hAnsi="宋体"/>
          <w:b/>
          <w:sz w:val="36"/>
        </w:rPr>
      </w:r>
      <w:r/>
    </w:p>
    <w:p>
      <w:pPr>
        <w:pStyle w:val="65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53"/>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65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53"/>
        <w:jc w:val="left"/>
        <w:rPr>
          <w:rFonts w:hint="eastAsia" w:ascii="宋体" w:hAnsi="宋体"/>
          <w:b/>
          <w:bCs/>
          <w:sz w:val="32"/>
          <w:szCs w:val="32"/>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r>
      <w:r/>
    </w:p>
    <w:p>
      <w:pPr>
        <w:pStyle w:val="65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53"/>
        <w:jc w:val="center"/>
        <w:spacing w:line="440" w:lineRule="exact"/>
        <w:rPr>
          <w:rFonts w:hint="eastAsia" w:ascii="宋体" w:hAnsi="宋体"/>
          <w:b/>
          <w:bCs/>
          <w:sz w:val="32"/>
          <w:szCs w:val="32"/>
        </w:rPr>
      </w:pPr>
      <w:r>
        <w:rPr>
          <w:rFonts w:hint="eastAsia" w:ascii="宋体" w:hAnsi="宋体"/>
          <w:b/>
          <w:bCs/>
          <w:sz w:val="32"/>
          <w:szCs w:val="32"/>
        </w:rPr>
      </w:r>
      <w:r/>
    </w:p>
    <w:p>
      <w:pPr>
        <w:pStyle w:val="653"/>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53"/>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653"/>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53"/>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53"/>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53"/>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53"/>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653"/>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rPr>
          <w:rFonts w:hint="eastAsia" w:ascii="宋体" w:hAnsi="宋体"/>
          <w:sz w:val="24"/>
        </w:rPr>
      </w:r>
      <w:r/>
    </w:p>
    <w:p>
      <w:pPr>
        <w:pStyle w:val="653"/>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53"/>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653"/>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53"/>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53"/>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653"/>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53"/>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投标人为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53"/>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653"/>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653"/>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53"/>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653"/>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653"/>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53"/>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rPr>
          <w:rFonts w:ascii="宋体" w:hAnsi="宋体"/>
          <w:b/>
          <w:color w:val="ff0000"/>
          <w:sz w:val="24"/>
          <w:szCs w:val="24"/>
        </w:rPr>
      </w:pPr>
      <w:r>
        <w:rPr>
          <w:rFonts w:ascii="宋体" w:hAnsi="宋体"/>
          <w:b/>
          <w:color w:val="ff0000"/>
          <w:sz w:val="24"/>
          <w:szCs w:val="24"/>
        </w:rPr>
      </w:r>
      <w:r/>
    </w:p>
    <w:p>
      <w:pPr>
        <w:pStyle w:val="653"/>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53"/>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53"/>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53"/>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653"/>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4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53"/>
        <w:ind w:firstLine="480"/>
        <w:rPr>
          <w:rFonts w:hint="eastAsia" w:ascii="宋体" w:hAnsi="宋体"/>
          <w:sz w:val="24"/>
          <w:szCs w:val="24"/>
        </w:rPr>
      </w:pPr>
      <w:r>
        <w:rPr>
          <w:rFonts w:hint="eastAsia" w:ascii="宋体" w:hAnsi="宋体"/>
          <w:sz w:val="24"/>
          <w:szCs w:val="24"/>
        </w:rPr>
      </w:r>
      <w:r/>
    </w:p>
    <w:p>
      <w:pPr>
        <w:pStyle w:val="653"/>
        <w:rPr>
          <w:rFonts w:ascii="宋体" w:hAnsi="宋体"/>
          <w:sz w:val="24"/>
          <w:szCs w:val="24"/>
        </w:rPr>
      </w:pPr>
      <w:r>
        <w:rPr>
          <w:rFonts w:ascii="宋体" w:hAnsi="宋体"/>
          <w:sz w:val="24"/>
          <w:szCs w:val="24"/>
        </w:rPr>
      </w:r>
      <w:r/>
    </w:p>
    <w:p>
      <w:pPr>
        <w:pStyle w:val="653"/>
        <w:jc w:val="center"/>
        <w:rPr>
          <w:rFonts w:ascii="宋体" w:hAnsi="宋体"/>
          <w:b/>
          <w:sz w:val="24"/>
          <w:szCs w:val="24"/>
        </w:rPr>
      </w:pPr>
      <w:r>
        <w:rPr>
          <w:rFonts w:ascii="宋体" w:hAnsi="宋体"/>
          <w:b/>
          <w:sz w:val="24"/>
          <w:szCs w:val="24"/>
        </w:rPr>
      </w:r>
      <w:r/>
    </w:p>
    <w:p>
      <w:pPr>
        <w:pStyle w:val="653"/>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5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5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5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653"/>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5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653"/>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653"/>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3"/>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653"/>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53"/>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53"/>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53"/>
        <w:spacing w:line="0" w:lineRule="atLeast"/>
        <w:rPr>
          <w:rFonts w:hint="eastAsia" w:ascii="宋体" w:hAnsi="宋体"/>
          <w:sz w:val="24"/>
          <w:szCs w:val="24"/>
        </w:rPr>
      </w:pPr>
      <w:r>
        <w:rPr>
          <w:rFonts w:hint="eastAsia" w:ascii="宋体" w:hAnsi="宋体"/>
          <w:sz w:val="24"/>
          <w:szCs w:val="24"/>
        </w:rPr>
      </w:r>
      <w:r/>
    </w:p>
    <w:p>
      <w:pPr>
        <w:pStyle w:val="653"/>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5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bl>
    <w:p>
      <w:pPr>
        <w:pStyle w:val="65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3"/>
        <w:spacing w:line="400" w:lineRule="exact"/>
        <w:rPr>
          <w:rFonts w:ascii="宋体" w:hAnsi="宋体"/>
          <w:sz w:val="24"/>
          <w:szCs w:val="24"/>
        </w:rPr>
      </w:pP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3"/>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3"/>
        <w:spacing w:line="400" w:lineRule="exact"/>
        <w:rPr>
          <w:rFonts w:hint="eastAsia" w:ascii="宋体" w:hAnsi="宋体"/>
          <w:sz w:val="24"/>
          <w:szCs w:val="24"/>
        </w:rPr>
      </w:pPr>
      <w:r>
        <w:rPr>
          <w:rFonts w:hint="eastAsia" w:ascii="宋体" w:hAnsi="宋体"/>
          <w:sz w:val="24"/>
          <w:szCs w:val="24"/>
        </w:rPr>
      </w:r>
      <w:r/>
    </w:p>
    <w:p>
      <w:pPr>
        <w:pStyle w:val="653"/>
        <w:spacing w:line="400" w:lineRule="exact"/>
        <w:rPr>
          <w:rFonts w:hint="eastAsia" w:ascii="宋体" w:hAnsi="宋体"/>
          <w:sz w:val="24"/>
          <w:szCs w:val="24"/>
        </w:rPr>
      </w:pPr>
      <w:r>
        <w:rPr>
          <w:rFonts w:hint="eastAsia" w:ascii="宋体" w:hAnsi="宋体"/>
          <w:sz w:val="24"/>
          <w:szCs w:val="24"/>
        </w:rPr>
      </w:r>
      <w:r/>
    </w:p>
    <w:p>
      <w:pPr>
        <w:pStyle w:val="65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5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bl>
    <w:p>
      <w:pPr>
        <w:pStyle w:val="65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53"/>
        <w:spacing w:line="400" w:lineRule="exact"/>
        <w:rPr>
          <w:rFonts w:ascii="宋体" w:hAnsi="宋体"/>
          <w:sz w:val="24"/>
          <w:szCs w:val="24"/>
        </w:rPr>
      </w:pP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3"/>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65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53"/>
        <w:rPr>
          <w:rFonts w:hint="eastAsia" w:ascii="宋体" w:hAnsi="宋体"/>
          <w:b/>
          <w:sz w:val="24"/>
        </w:rPr>
      </w:pPr>
      <w:r>
        <w:rPr>
          <w:rFonts w:hint="eastAsia" w:ascii="宋体" w:hAnsi="宋体"/>
          <w:b/>
          <w:sz w:val="24"/>
        </w:rPr>
      </w:r>
      <w:r/>
    </w:p>
    <w:p>
      <w:pPr>
        <w:pStyle w:val="653"/>
        <w:ind w:firstLine="480"/>
        <w:spacing w:line="440" w:lineRule="exact"/>
        <w:rPr>
          <w:rFonts w:ascii="宋体" w:hAnsi="宋体"/>
          <w:sz w:val="24"/>
        </w:rPr>
      </w:pPr>
      <w:r>
        <w:rPr>
          <w:rFonts w:ascii="宋体" w:hAnsi="宋体"/>
          <w:sz w:val="24"/>
        </w:rPr>
      </w:r>
      <w:r/>
    </w:p>
    <w:p>
      <w:pPr>
        <w:pStyle w:val="65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53"/>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53"/>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53"/>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53"/>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53"/>
        <w:ind w:left="480"/>
        <w:rPr>
          <w:rFonts w:ascii="宋体" w:hAnsi="宋体"/>
          <w:b/>
          <w:color w:val="000000"/>
          <w:sz w:val="24"/>
        </w:rPr>
      </w:pPr>
      <w:r>
        <w:rPr>
          <w:rFonts w:ascii="宋体" w:hAnsi="宋体"/>
          <w:b/>
          <w:color w:val="000000"/>
          <w:sz w:val="24"/>
        </w:rPr>
      </w:r>
      <w:r/>
    </w:p>
    <w:p>
      <w:pPr>
        <w:pStyle w:val="653"/>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53"/>
        <w:jc w:val="center"/>
        <w:spacing w:line="460" w:lineRule="exact"/>
        <w:rPr>
          <w:rFonts w:ascii="宋体" w:hAnsi="宋体"/>
          <w:b/>
          <w:bCs/>
          <w:color w:val="000000"/>
          <w:sz w:val="24"/>
        </w:rPr>
      </w:pPr>
      <w:r>
        <w:rPr>
          <w:rFonts w:ascii="宋体" w:hAnsi="宋体"/>
          <w:b/>
          <w:bCs/>
          <w:color w:val="000000"/>
          <w:sz w:val="24"/>
        </w:rPr>
      </w:r>
      <w:r/>
    </w:p>
    <w:p>
      <w:pPr>
        <w:pStyle w:val="653"/>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53"/>
        <w:ind w:left="480"/>
        <w:rPr>
          <w:rFonts w:ascii="宋体" w:hAnsi="宋体"/>
          <w:b/>
          <w:color w:val="ff0000"/>
          <w:sz w:val="24"/>
        </w:rPr>
      </w:pPr>
      <w:r>
        <w:rPr>
          <w:rFonts w:ascii="宋体" w:hAnsi="宋体"/>
          <w:b/>
          <w:color w:val="ff0000"/>
          <w:sz w:val="24"/>
        </w:rPr>
      </w:r>
      <w:r/>
    </w:p>
    <w:p>
      <w:pPr>
        <w:pStyle w:val="653"/>
        <w:ind w:firstLine="480"/>
        <w:spacing w:line="460" w:lineRule="exact"/>
        <w:rPr>
          <w:rFonts w:ascii="宋体" w:hAnsi="宋体"/>
          <w:b/>
          <w:color w:val="000000"/>
          <w:sz w:val="24"/>
        </w:rPr>
      </w:pPr>
      <w:r>
        <w:rPr>
          <w:rFonts w:ascii="宋体" w:hAnsi="宋体"/>
          <w:b/>
          <w:color w:val="000000"/>
          <w:sz w:val="24"/>
        </w:rPr>
      </w:r>
      <w:r/>
    </w:p>
    <w:p>
      <w:pPr>
        <w:pStyle w:val="653"/>
        <w:ind w:firstLine="480"/>
        <w:spacing w:line="460" w:lineRule="exact"/>
        <w:rPr>
          <w:rFonts w:ascii="宋体" w:hAnsi="宋体"/>
          <w:b/>
          <w:color w:val="000000"/>
          <w:sz w:val="24"/>
        </w:rPr>
      </w:pPr>
      <w:r>
        <w:rPr>
          <w:rFonts w:ascii="宋体" w:hAnsi="宋体"/>
          <w:b/>
          <w:color w:val="000000"/>
          <w:sz w:val="24"/>
        </w:rPr>
      </w:r>
      <w:r/>
    </w:p>
    <w:p>
      <w:pPr>
        <w:pStyle w:val="653"/>
        <w:ind w:firstLine="480"/>
        <w:spacing w:line="460" w:lineRule="exact"/>
        <w:rPr>
          <w:rFonts w:hint="eastAsia" w:ascii="宋体" w:hAnsi="宋体"/>
          <w:b/>
          <w:color w:val="000000"/>
          <w:sz w:val="24"/>
        </w:rPr>
      </w:pPr>
      <w:r>
        <w:rPr>
          <w:rFonts w:hint="eastAsia" w:ascii="宋体" w:hAnsi="宋体"/>
          <w:b/>
          <w:color w:val="000000"/>
          <w:sz w:val="24"/>
        </w:rPr>
      </w:r>
      <w:r/>
    </w:p>
    <w:p>
      <w:pPr>
        <w:pStyle w:val="653"/>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5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65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5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53"/>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653"/>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653"/>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53"/>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653"/>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53"/>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5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53"/>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40"/>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74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4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4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4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4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4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4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40"/>
        <w:ind w:left="420"/>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65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ind w:firstLine="480"/>
        <w:spacing w:line="440" w:lineRule="exact"/>
        <w:rPr>
          <w:rFonts w:ascii="宋体" w:hAnsi="宋体"/>
          <w:sz w:val="24"/>
        </w:rPr>
      </w:pPr>
      <w:r>
        <w:rPr>
          <w:rFonts w:ascii="宋体" w:hAnsi="宋体"/>
          <w:sz w:val="24"/>
        </w:rPr>
      </w:r>
      <w:r/>
    </w:p>
    <w:p>
      <w:pPr>
        <w:pStyle w:val="653"/>
        <w:spacing w:line="460" w:lineRule="exact"/>
        <w:rPr>
          <w:rFonts w:hint="eastAsia" w:ascii="黑体" w:hAnsi="黑体" w:eastAsia="黑体"/>
          <w:b/>
          <w:sz w:val="32"/>
          <w:szCs w:val="32"/>
        </w:rPr>
      </w:pPr>
      <w:r/>
      <w:bookmarkEnd w:id="215"/>
      <w:r/>
      <w:bookmarkEnd w:id="216"/>
      <w:r/>
      <w:bookmarkEnd w:id="217"/>
      <w:r/>
      <w:bookmarkStart w:id="218" w:name="_Toc120614284"/>
      <w:r>
        <w:rPr>
          <w:rFonts w:hint="eastAsia" w:ascii="黑体" w:hAnsi="黑体" w:eastAsia="黑体"/>
          <w:b/>
          <w:sz w:val="32"/>
          <w:szCs w:val="32"/>
        </w:rPr>
      </w:r>
      <w:r/>
    </w:p>
    <w:p>
      <w:pPr>
        <w:pStyle w:val="653"/>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5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5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3"/>
        <w:ind w:right="720"/>
        <w:spacing w:line="400" w:lineRule="exact"/>
        <w:rPr>
          <w:rFonts w:hint="eastAsia" w:ascii="宋体" w:hAnsi="宋体"/>
          <w:sz w:val="24"/>
          <w:szCs w:val="24"/>
        </w:rPr>
      </w:pPr>
      <w:r>
        <w:rPr>
          <w:rFonts w:hint="eastAsia" w:ascii="宋体" w:hAnsi="宋体"/>
          <w:sz w:val="24"/>
          <w:szCs w:val="24"/>
        </w:rPr>
      </w:r>
      <w:r/>
    </w:p>
    <w:p>
      <w:pPr>
        <w:pStyle w:val="653"/>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653"/>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5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5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投标人如不提供此声明函，价格将不做相应扣除。</w:t>
      </w:r>
      <w:r>
        <w:rPr>
          <w:rFonts w:ascii="宋体" w:hAnsi="宋体"/>
          <w:sz w:val="24"/>
          <w:szCs w:val="24"/>
        </w:rPr>
      </w:r>
      <w:r/>
    </w:p>
    <w:p>
      <w:pPr>
        <w:pStyle w:val="653"/>
        <w:ind w:left="540" w:hanging="120"/>
        <w:spacing w:line="400" w:lineRule="exact"/>
        <w:rPr>
          <w:rFonts w:ascii="宋体" w:hAnsi="宋体"/>
          <w:sz w:val="24"/>
          <w:szCs w:val="24"/>
        </w:rPr>
      </w:pPr>
      <w:r>
        <w:rPr>
          <w:rFonts w:hint="eastAsia" w:ascii="宋体" w:hAnsi="宋体"/>
          <w:sz w:val="24"/>
          <w:szCs w:val="24"/>
        </w:rPr>
        <w:t xml:space="preserve">3.投标人应对照《工业和信息化部、国家统计局、国家发展和改革委员会、财政部</w:t>
      </w:r>
      <w:r>
        <w:rPr>
          <w:rFonts w:ascii="宋体" w:hAnsi="宋体"/>
          <w:sz w:val="24"/>
          <w:szCs w:val="24"/>
        </w:rPr>
      </w:r>
      <w:r/>
    </w:p>
    <w:p>
      <w:pPr>
        <w:pStyle w:val="653"/>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653"/>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653"/>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53"/>
        <w:ind w:firstLine="480"/>
        <w:spacing w:line="0" w:lineRule="atLeast"/>
        <w:rPr>
          <w:rFonts w:hint="eastAsia" w:ascii="宋体" w:hAnsi="宋体"/>
          <w:sz w:val="24"/>
        </w:rPr>
      </w:pPr>
      <w:r>
        <w:rPr>
          <w:rFonts w:hint="eastAsia" w:ascii="宋体" w:hAnsi="宋体"/>
          <w:sz w:val="24"/>
        </w:rPr>
      </w:r>
      <w:r/>
    </w:p>
    <w:p>
      <w:pPr>
        <w:pStyle w:val="653"/>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53"/>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，投标人为残疾人福利性单位并提供服务的必须提供此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53"/>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，投标人如不提供此声明函，价格将不做相应扣除。</w:t>
      </w:r>
      <w:r>
        <w:rPr>
          <w:rFonts w:ascii="宋体" w:hAnsi="宋体"/>
          <w:sz w:val="24"/>
        </w:rPr>
      </w:r>
      <w:r/>
    </w:p>
    <w:p>
      <w:pPr>
        <w:pStyle w:val="653"/>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.中标/成交投标人为残疾人福利性单位的，此声明函将随中标/成交结果同时公告，接受社会监督</w:t>
      </w:r>
      <w:r>
        <w:rPr>
          <w:rFonts w:ascii="宋体" w:hAnsi="宋体"/>
          <w:sz w:val="24"/>
        </w:rPr>
      </w:r>
      <w:r/>
    </w:p>
    <w:p>
      <w:pPr>
        <w:pStyle w:val="65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53"/>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投标人全称（加盖CA电子公章）：</w:t>
      </w:r>
      <w:r>
        <w:rPr>
          <w:rFonts w:ascii="宋体" w:hAnsi="宋体"/>
          <w:sz w:val="24"/>
        </w:rPr>
      </w:r>
      <w:r/>
    </w:p>
    <w:p>
      <w:pPr>
        <w:pStyle w:val="653"/>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6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3"/>
        <w:spacing w:line="560" w:lineRule="exact"/>
        <w:rPr>
          <w:rFonts w:hint="eastAsia" w:ascii="黑体" w:hAnsi="黑体" w:eastAsia="黑体"/>
          <w:b/>
          <w:sz w:val="32"/>
          <w:szCs w:val="32"/>
        </w:rPr>
      </w:pPr>
      <w:r>
        <w:rPr>
          <w:rFonts w:hint="eastAsia" w:ascii="黑体" w:hAnsi="黑体" w:eastAsia="黑体"/>
          <w:b/>
          <w:sz w:val="32"/>
          <w:szCs w:val="32"/>
        </w:rPr>
      </w:r>
      <w:r/>
    </w:p>
    <w:p>
      <w:pPr>
        <w:pStyle w:val="653"/>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653"/>
        <w:spacing w:line="0" w:lineRule="atLeast"/>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653"/>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（投标人*）</w:t>
      </w:r>
      <w:r>
        <w:rPr>
          <w:rFonts w:hint="eastAsia" w:ascii="宋体" w:hAnsi="宋体"/>
          <w:sz w:val="24"/>
        </w:rPr>
        <w:t xml:space="preserve">为牵头单位（牵头单位必须为联合体成员）。</w:t>
      </w:r>
      <w:r>
        <w:rPr>
          <w:rFonts w:ascii="宋体" w:hAnsi="宋体"/>
          <w:sz w:val="24"/>
        </w:rPr>
      </w:r>
      <w:r/>
    </w:p>
    <w:p>
      <w:pPr>
        <w:pStyle w:val="653"/>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、若我们联合中标、成交，（投标人单位</w:t>
      </w:r>
      <w:r>
        <w:rPr>
          <w:rFonts w:ascii="宋体" w:hAnsi="宋体"/>
          <w:sz w:val="24"/>
        </w:rPr>
        <w:t xml:space="preserve">1</w:t>
      </w:r>
      <w:r>
        <w:rPr>
          <w:rFonts w:hint="eastAsia" w:ascii="宋体" w:hAnsi="宋体"/>
          <w:sz w:val="24"/>
        </w:rPr>
        <w:t xml:space="preserve">全称）实施项目中（工作内容）部分工作，并承担相应的责任。（投标人单位</w:t>
      </w:r>
      <w:r>
        <w:rPr>
          <w:rFonts w:ascii="宋体" w:hAnsi="宋体"/>
          <w:sz w:val="24"/>
        </w:rPr>
        <w:t xml:space="preserve">2</w:t>
      </w:r>
      <w:r>
        <w:rPr>
          <w:rFonts w:hint="eastAsia" w:ascii="宋体" w:hAnsi="宋体"/>
          <w:sz w:val="24"/>
        </w:rPr>
        <w:t xml:space="preserve">全称）实施项目中（工作内容）部分工作，并承担相应的责任……。（注：联合体中各投标人都应明示所承担的工作和相应的责任）。</w:t>
      </w:r>
      <w:r>
        <w:rPr>
          <w:rFonts w:ascii="宋体" w:hAnsi="宋体"/>
          <w:sz w:val="24"/>
        </w:rPr>
      </w:r>
      <w:r/>
    </w:p>
    <w:p>
      <w:pPr>
        <w:pStyle w:val="653"/>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53"/>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3"/>
        <w:ind w:firstLine="645"/>
        <w:jc w:val="right"/>
        <w:spacing w:line="0" w:lineRule="atLeast"/>
        <w:rPr>
          <w:rFonts w:ascii="宋体" w:hAnsi="宋体"/>
          <w:sz w:val="24"/>
        </w:rPr>
      </w:pPr>
      <w:r>
        <w:rPr>
          <w:rFonts w:hint="eastAsia" w:ascii="宋体" w:hAnsi="宋体"/>
          <w:sz w:val="24"/>
        </w:rPr>
        <w:t xml:space="preserve">联合体中各投标人全称（公章）：</w:t>
      </w:r>
      <w:r>
        <w:rPr>
          <w:rFonts w:ascii="宋体" w:hAnsi="宋体"/>
          <w:sz w:val="24"/>
        </w:rPr>
        <w:t xml:space="preserve">     </w:t>
      </w:r>
      <w:r>
        <w:rPr>
          <w:rFonts w:ascii="宋体" w:hAnsi="宋体"/>
          <w:sz w:val="24"/>
        </w:rPr>
      </w:r>
      <w:r/>
    </w:p>
    <w:p>
      <w:pPr>
        <w:pStyle w:val="653"/>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653"/>
        <w:ind w:firstLine="645"/>
        <w:spacing w:line="0" w:lineRule="atLeast"/>
        <w:rPr>
          <w:rFonts w:hint="eastAsia" w:ascii="宋体" w:hAnsi="宋体"/>
          <w:sz w:val="24"/>
        </w:rPr>
      </w:pPr>
      <w:r>
        <w:rPr>
          <w:rFonts w:hint="eastAsia" w:ascii="宋体" w:hAnsi="宋体"/>
          <w:sz w:val="24"/>
        </w:rPr>
      </w:r>
      <w:r/>
    </w:p>
    <w:p>
      <w:pPr>
        <w:pStyle w:val="653"/>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53"/>
        <w:ind w:firstLine="645"/>
        <w:spacing w:line="560" w:lineRule="exact"/>
        <w:rPr>
          <w:rFonts w:hint="eastAsia" w:ascii="宋体" w:hAnsi="宋体"/>
          <w:sz w:val="24"/>
        </w:rPr>
      </w:pPr>
      <w:r>
        <w:rPr>
          <w:rFonts w:hint="eastAsia" w:ascii="宋体" w:hAnsi="宋体"/>
          <w:sz w:val="24"/>
        </w:rPr>
      </w:r>
      <w:r/>
    </w:p>
    <w:p>
      <w:pPr>
        <w:pStyle w:val="65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5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53"/>
              <w:jc w:val="center"/>
              <w:spacing w:line="400" w:lineRule="exact"/>
              <w:rPr>
                <w:rFonts w:hint="eastAsia" w:ascii="宋体" w:hAnsi="宋体"/>
                <w:sz w:val="24"/>
                <w:szCs w:val="24"/>
              </w:rPr>
            </w:pPr>
            <w:r>
              <w:rPr>
                <w:rFonts w:hint="eastAsia" w:ascii="宋体" w:hAnsi="宋体"/>
                <w:sz w:val="24"/>
                <w:szCs w:val="24"/>
              </w:rPr>
            </w:r>
            <w:r/>
          </w:p>
        </w:tc>
      </w:tr>
    </w:tbl>
    <w:p>
      <w:pPr>
        <w:pStyle w:val="65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53"/>
        <w:spacing w:line="400" w:lineRule="exact"/>
        <w:rPr>
          <w:rFonts w:ascii="宋体" w:hAnsi="宋体"/>
          <w:sz w:val="24"/>
          <w:szCs w:val="24"/>
        </w:rPr>
      </w:pP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5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5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53"/>
        <w:spacing w:line="400" w:lineRule="exact"/>
        <w:rPr>
          <w:rFonts w:hint="eastAsia" w:ascii="宋体" w:hAnsi="宋体"/>
          <w:color w:val="ff0000"/>
          <w:sz w:val="24"/>
          <w:szCs w:val="24"/>
        </w:rPr>
      </w:pPr>
      <w:r>
        <w:rPr>
          <w:rFonts w:hint="eastAsia" w:ascii="宋体" w:hAnsi="宋体"/>
          <w:color w:val="ff0000"/>
          <w:sz w:val="24"/>
          <w:szCs w:val="24"/>
        </w:rPr>
      </w:r>
      <w:r/>
    </w:p>
    <w:p>
      <w:pPr>
        <w:pStyle w:val="653"/>
        <w:spacing w:line="460" w:lineRule="exact"/>
        <w:rPr>
          <w:rFonts w:hint="eastAsia" w:ascii="宋体" w:hAnsi="宋体"/>
          <w:bCs/>
          <w:sz w:val="24"/>
        </w:rPr>
      </w:pPr>
      <w:r>
        <w:rPr>
          <w:rFonts w:hint="eastAsia" w:ascii="宋体" w:hAnsi="宋体"/>
          <w:bCs/>
          <w:sz w:val="24"/>
        </w:rPr>
      </w:r>
      <w:r/>
    </w:p>
    <w:p>
      <w:pPr>
        <w:pStyle w:val="653"/>
        <w:spacing w:line="460" w:lineRule="exact"/>
        <w:rPr>
          <w:rFonts w:hint="eastAsia" w:ascii="宋体" w:hAnsi="宋体"/>
          <w:bCs/>
          <w:sz w:val="24"/>
        </w:rPr>
      </w:pPr>
      <w:r>
        <w:rPr>
          <w:rFonts w:hint="eastAsia" w:ascii="宋体" w:hAnsi="宋体"/>
          <w:bCs/>
          <w:sz w:val="24"/>
        </w:rPr>
      </w:r>
      <w:r/>
    </w:p>
    <w:p>
      <w:pPr>
        <w:pStyle w:val="653"/>
        <w:spacing w:line="460" w:lineRule="exact"/>
        <w:rPr>
          <w:rFonts w:hint="eastAsia" w:ascii="宋体" w:hAnsi="宋体"/>
          <w:bCs/>
          <w:sz w:val="24"/>
        </w:rPr>
      </w:pPr>
      <w:r>
        <w:rPr>
          <w:rFonts w:hint="eastAsia" w:ascii="宋体" w:hAnsi="宋体"/>
          <w:bCs/>
          <w:sz w:val="24"/>
        </w:rPr>
      </w:r>
      <w:r/>
    </w:p>
    <w:p>
      <w:pPr>
        <w:pStyle w:val="653"/>
        <w:spacing w:line="460" w:lineRule="exact"/>
        <w:rPr>
          <w:rFonts w:hint="eastAsia" w:ascii="宋体" w:hAnsi="宋体"/>
          <w:bCs/>
          <w:sz w:val="24"/>
        </w:rPr>
      </w:pPr>
      <w:r>
        <w:rPr>
          <w:rFonts w:hint="eastAsia" w:ascii="宋体" w:hAnsi="宋体"/>
          <w:bCs/>
          <w:sz w:val="24"/>
        </w:rPr>
      </w:r>
      <w:r/>
    </w:p>
    <w:p>
      <w:pPr>
        <w:pStyle w:val="653"/>
        <w:spacing w:line="460" w:lineRule="exact"/>
        <w:rPr>
          <w:rFonts w:hint="eastAsia" w:ascii="宋体" w:hAnsi="宋体"/>
          <w:bCs/>
          <w:sz w:val="24"/>
        </w:rPr>
      </w:pPr>
      <w:r>
        <w:rPr>
          <w:rFonts w:hint="eastAsia" w:ascii="宋体" w:hAnsi="宋体"/>
          <w:bCs/>
          <w:sz w:val="24"/>
        </w:rPr>
      </w:r>
      <w:r/>
    </w:p>
    <w:p>
      <w:pPr>
        <w:pStyle w:val="653"/>
        <w:rPr>
          <w:rFonts w:hint="eastAsia"/>
        </w:rPr>
      </w:pPr>
      <w:r>
        <w:rPr>
          <w:rFonts w:hint="eastAsia"/>
        </w:rPr>
      </w:r>
      <w:r/>
    </w:p>
    <w:p>
      <w:pPr>
        <w:pStyle w:val="653"/>
        <w:jc w:val="center"/>
        <w:rPr>
          <w:rFonts w:hint="eastAsia" w:ascii="黑体" w:hAnsi="黑体" w:eastAsia="黑体"/>
          <w:b/>
          <w:sz w:val="32"/>
          <w:szCs w:val="32"/>
        </w:rPr>
      </w:pPr>
      <w:r>
        <w:rPr>
          <w:rFonts w:hint="eastAsia" w:ascii="黑体" w:hAnsi="黑体" w:eastAsia="黑体"/>
          <w:b/>
          <w:sz w:val="32"/>
          <w:szCs w:val="32"/>
        </w:rPr>
      </w:r>
      <w:r/>
    </w:p>
    <w:p>
      <w:pPr>
        <w:pStyle w:val="653"/>
        <w:jc w:val="center"/>
        <w:rPr>
          <w:rFonts w:hint="eastAsia" w:ascii="黑体" w:hAnsi="黑体" w:eastAsia="黑体"/>
          <w:b/>
          <w:sz w:val="32"/>
          <w:szCs w:val="32"/>
        </w:rPr>
      </w:pPr>
      <w:r>
        <w:rPr>
          <w:rFonts w:hint="eastAsia" w:ascii="黑体" w:hAnsi="黑体" w:eastAsia="黑体"/>
          <w:b/>
          <w:sz w:val="32"/>
          <w:szCs w:val="32"/>
        </w:rPr>
      </w:r>
      <w:r/>
    </w:p>
    <w:p>
      <w:pPr>
        <w:pStyle w:val="653"/>
        <w:jc w:val="center"/>
        <w:rPr>
          <w:rFonts w:hint="eastAsia" w:ascii="黑体" w:hAnsi="黑体" w:eastAsia="黑体"/>
          <w:b/>
          <w:sz w:val="32"/>
          <w:szCs w:val="32"/>
        </w:rPr>
      </w:pPr>
      <w:r>
        <w:rPr>
          <w:rFonts w:hint="eastAsia" w:ascii="黑体" w:hAnsi="黑体" w:eastAsia="黑体"/>
          <w:b/>
          <w:sz w:val="32"/>
          <w:szCs w:val="32"/>
        </w:rPr>
      </w:r>
      <w:r/>
    </w:p>
    <w:p>
      <w:pPr>
        <w:pStyle w:val="653"/>
        <w:jc w:val="center"/>
        <w:rPr>
          <w:rFonts w:hint="eastAsia" w:ascii="黑体" w:hAnsi="黑体" w:eastAsia="黑体"/>
          <w:b/>
          <w:sz w:val="32"/>
          <w:szCs w:val="32"/>
        </w:rPr>
      </w:pPr>
      <w:r>
        <w:rPr>
          <w:rFonts w:hint="eastAsia" w:ascii="黑体" w:hAnsi="黑体" w:eastAsia="黑体"/>
          <w:b/>
          <w:sz w:val="32"/>
          <w:szCs w:val="32"/>
        </w:rPr>
      </w:r>
      <w:r/>
    </w:p>
    <w:p>
      <w:pPr>
        <w:pStyle w:val="653"/>
        <w:jc w:val="center"/>
        <w:rPr>
          <w:rFonts w:hint="eastAsia" w:ascii="黑体" w:hAnsi="黑体" w:eastAsia="黑体"/>
          <w:b/>
          <w:sz w:val="32"/>
          <w:szCs w:val="32"/>
        </w:rPr>
      </w:pPr>
      <w:r>
        <w:rPr>
          <w:rFonts w:hint="eastAsia" w:ascii="黑体" w:hAnsi="黑体" w:eastAsia="黑体"/>
          <w:b/>
          <w:sz w:val="32"/>
          <w:szCs w:val="32"/>
        </w:rPr>
      </w:r>
      <w:r/>
    </w:p>
    <w:p>
      <w:pPr>
        <w:pStyle w:val="653"/>
        <w:rPr>
          <w:rFonts w:hint="eastAsia" w:ascii="黑体" w:hAnsi="黑体" w:eastAsia="黑体"/>
          <w:b/>
          <w:sz w:val="32"/>
          <w:szCs w:val="32"/>
        </w:rPr>
      </w:pPr>
      <w:r>
        <w:rPr>
          <w:rFonts w:hint="eastAsia" w:ascii="黑体" w:hAnsi="黑体" w:eastAsia="黑体"/>
          <w:b/>
          <w:sz w:val="32"/>
          <w:szCs w:val="32"/>
        </w:rPr>
      </w:r>
      <w:r/>
    </w:p>
    <w:p>
      <w:pPr>
        <w:pStyle w:val="653"/>
        <w:rPr>
          <w:rFonts w:hint="eastAsia" w:ascii="宋体" w:hAnsi="宋体" w:cs="仿宋"/>
          <w:b/>
          <w:bCs/>
          <w:sz w:val="32"/>
          <w:szCs w:val="32"/>
        </w:rPr>
      </w:pPr>
      <w:r/>
      <w:bookmarkEnd w:id="186"/>
      <w:r/>
      <w:bookmarkEnd w:id="187"/>
      <w:r/>
      <w:bookmarkEnd w:id="218"/>
      <w:r>
        <w:rPr>
          <w:rFonts w:hint="eastAsia" w:ascii="宋体" w:hAnsi="宋体" w:cs="仿宋"/>
          <w:b/>
          <w:bCs/>
          <w:sz w:val="32"/>
          <w:szCs w:val="32"/>
        </w:rPr>
      </w:r>
      <w:r/>
    </w:p>
    <w:p>
      <w:pPr>
        <w:pStyle w:val="65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53"/>
        <w:spacing w:before="290" w:line="360" w:lineRule="auto"/>
        <w:rPr>
          <w:rFonts w:ascii="宋体" w:hAnsi="宋体" w:cs="仿宋"/>
          <w:bCs/>
          <w:sz w:val="24"/>
          <w:szCs w:val="24"/>
        </w:rPr>
      </w:pPr>
      <w:r>
        <w:rPr>
          <w:rFonts w:hint="eastAsia" w:ascii="宋体" w:hAnsi="宋体" w:cs="仿宋"/>
          <w:bCs/>
          <w:sz w:val="24"/>
          <w:szCs w:val="24"/>
        </w:rPr>
        <w:t xml:space="preserve">一、质疑投标人基本信息</w:t>
      </w:r>
      <w:r>
        <w:rPr>
          <w:rFonts w:ascii="宋体" w:hAnsi="宋体" w:cs="仿宋"/>
          <w:bCs/>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1.投标人提出质疑时，应提交质疑函和必要的证明材料。</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w:t>
      </w:r>
      <w:r>
        <w:rPr>
          <w:rFonts w:hint="eastAsia" w:ascii="宋体" w:hAnsi="宋体" w:cs="宋体"/>
          <w:sz w:val="24"/>
          <w:szCs w:val="24"/>
        </w:rPr>
        <w:t xml:space="preserve">投标人签署的授权委托书。授权委托书应载明代理人的姓名或者名称、代理事项、具体权限、期限和相关事项。</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3.质疑投标人若对项目的某一采购包进行质疑，质疑函中应列明具体采购包号。</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3"/>
        <w:ind w:firstLine="480"/>
        <w:jc w:val="left"/>
        <w:spacing w:line="400" w:lineRule="exact"/>
        <w:widowControl/>
        <w:rPr>
          <w:rFonts w:ascii="宋体" w:hAnsi="宋体"/>
          <w:sz w:val="24"/>
          <w:szCs w:val="24"/>
        </w:rPr>
      </w:pPr>
      <w:r>
        <w:rPr>
          <w:rFonts w:hint="eastAsia" w:ascii="宋体" w:hAnsi="宋体"/>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rPr>
      </w:r>
      <w:r/>
    </w:p>
    <w:p>
      <w:pPr>
        <w:pStyle w:val="668"/>
        <w:rPr>
          <w:rFonts w:hint="eastAsia"/>
          <w:sz w:val="24"/>
          <w:szCs w:val="24"/>
        </w:rPr>
      </w:pPr>
      <w:r>
        <w:rPr>
          <w:rFonts w:hint="eastAsia"/>
          <w:sz w:val="24"/>
          <w:szCs w:val="24"/>
        </w:rPr>
      </w:r>
      <w:r/>
    </w:p>
    <w:p>
      <w:pPr>
        <w:pStyle w:val="668"/>
        <w:rPr>
          <w:sz w:val="24"/>
          <w:szCs w:val="24"/>
        </w:rPr>
      </w:pPr>
      <w:r>
        <w:rPr>
          <w:sz w:val="24"/>
          <w:szCs w:val="24"/>
        </w:rPr>
      </w:r>
      <w:r/>
    </w:p>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Cambria Math">
    <w:panose1 w:val="02040503050406030204"/>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6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6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2"/>
      <w:isLgl w:val="false"/>
      <w:suff w:val="tab"/>
      <w:lvlText w:val="附录%1."/>
      <w:lvlJc w:val="left"/>
      <w:pPr>
        <w:pStyle w:val="6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9"/>
      <w:isLgl w:val="false"/>
      <w:suff w:val="tab"/>
      <w:lvlText w:val="%1."/>
      <w:lvlJc w:val="left"/>
      <w:pPr>
        <w:pStyle w:val="653"/>
        <w:ind w:left="709" w:hanging="709"/>
        <w:tabs>
          <w:tab w:val="num" w:pos="709" w:leader="none"/>
        </w:tabs>
      </w:pPr>
      <w:rPr>
        <w:rFonts w:hint="eastAsia"/>
      </w:rPr>
    </w:lvl>
    <w:lvl w:ilvl="1">
      <w:start w:val="1"/>
      <w:numFmt w:val="decimal"/>
      <w:isLgl w:val="false"/>
      <w:suff w:val="tab"/>
      <w:lvlText w:val="%1.%2"/>
      <w:lvlJc w:val="left"/>
      <w:pPr>
        <w:pStyle w:val="653"/>
        <w:ind w:left="709" w:hanging="709"/>
        <w:tabs>
          <w:tab w:val="num" w:pos="709" w:leader="none"/>
        </w:tabs>
      </w:pPr>
      <w:rPr>
        <w:rFonts w:hint="eastAsia"/>
      </w:rPr>
    </w:lvl>
    <w:lvl w:ilvl="2">
      <w:start w:val="1"/>
      <w:numFmt w:val="decimal"/>
      <w:isLgl w:val="false"/>
      <w:suff w:val="tab"/>
      <w:lvlText w:val="%1.%2.%3."/>
      <w:lvlJc w:val="left"/>
      <w:pPr>
        <w:pStyle w:val="653"/>
        <w:ind w:left="425" w:hanging="425"/>
        <w:tabs>
          <w:tab w:val="num" w:pos="425" w:leader="none"/>
        </w:tabs>
      </w:pPr>
      <w:rPr>
        <w:rFonts w:hint="eastAsia"/>
      </w:rPr>
    </w:lvl>
    <w:lvl w:ilvl="3">
      <w:start w:val="1"/>
      <w:numFmt w:val="decimal"/>
      <w:isLgl w:val="false"/>
      <w:suff w:val="tab"/>
      <w:lvlText w:val="%1.%2.%3.%4."/>
      <w:lvlJc w:val="left"/>
      <w:pPr>
        <w:pStyle w:val="653"/>
        <w:ind w:left="851" w:hanging="851"/>
        <w:tabs>
          <w:tab w:val="num" w:pos="851" w:leader="none"/>
        </w:tabs>
      </w:pPr>
      <w:rPr>
        <w:rFonts w:hint="eastAsia"/>
      </w:rPr>
    </w:lvl>
    <w:lvl w:ilvl="4">
      <w:start w:val="1"/>
      <w:numFmt w:val="decimal"/>
      <w:isLgl w:val="false"/>
      <w:suff w:val="tab"/>
      <w:lvlText w:val="%1.%2.%3.%4.%5."/>
      <w:lvlJc w:val="left"/>
      <w:pPr>
        <w:pStyle w:val="653"/>
        <w:ind w:left="992" w:hanging="992"/>
        <w:tabs>
          <w:tab w:val="num" w:pos="992" w:leader="none"/>
        </w:tabs>
      </w:pPr>
      <w:rPr>
        <w:rFonts w:hint="eastAsia"/>
      </w:rPr>
    </w:lvl>
    <w:lvl w:ilvl="5">
      <w:start w:val="1"/>
      <w:numFmt w:val="decimal"/>
      <w:isLgl w:val="false"/>
      <w:suff w:val="tab"/>
      <w:lvlText w:val="%1.%2.%3.%4.%5.%6."/>
      <w:lvlJc w:val="left"/>
      <w:pPr>
        <w:pStyle w:val="653"/>
        <w:ind w:left="1134" w:hanging="1134"/>
        <w:tabs>
          <w:tab w:val="num" w:pos="1134" w:leader="none"/>
        </w:tabs>
      </w:pPr>
      <w:rPr>
        <w:rFonts w:hint="eastAsia"/>
      </w:rPr>
    </w:lvl>
    <w:lvl w:ilvl="6">
      <w:start w:val="1"/>
      <w:numFmt w:val="decimal"/>
      <w:isLgl w:val="false"/>
      <w:suff w:val="tab"/>
      <w:lvlText w:val="%1.%2.%3.%4.%5.%6.%7."/>
      <w:lvlJc w:val="left"/>
      <w:pPr>
        <w:pStyle w:val="653"/>
        <w:ind w:left="1276" w:hanging="1276"/>
        <w:tabs>
          <w:tab w:val="num" w:pos="1276" w:leader="none"/>
        </w:tabs>
      </w:pPr>
      <w:rPr>
        <w:rFonts w:hint="eastAsia"/>
      </w:rPr>
    </w:lvl>
    <w:lvl w:ilvl="7">
      <w:start w:val="1"/>
      <w:numFmt w:val="decimal"/>
      <w:isLgl w:val="false"/>
      <w:suff w:val="tab"/>
      <w:lvlText w:val="%1.%2.%3.%4.%5.%6.%7.%8."/>
      <w:lvlJc w:val="left"/>
      <w:pPr>
        <w:pStyle w:val="653"/>
        <w:ind w:left="1418" w:hanging="1418"/>
        <w:tabs>
          <w:tab w:val="num" w:pos="1418" w:leader="none"/>
        </w:tabs>
      </w:pPr>
      <w:rPr>
        <w:rFonts w:hint="eastAsia"/>
      </w:rPr>
    </w:lvl>
    <w:lvl w:ilvl="8">
      <w:start w:val="1"/>
      <w:numFmt w:val="decimal"/>
      <w:isLgl w:val="false"/>
      <w:suff w:val="tab"/>
      <w:lvlText w:val="%1.%2.%3.%4.%5.%6.%7.%8.%9."/>
      <w:lvlJc w:val="left"/>
      <w:pPr>
        <w:pStyle w:val="65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3"/>
        <w:ind w:left="0" w:firstLine="0"/>
      </w:pPr>
      <w:rPr>
        <w:rFonts w:hint="eastAsia"/>
      </w:rPr>
    </w:lvl>
    <w:lvl w:ilvl="1">
      <w:start w:val="1"/>
      <w:numFmt w:val="decimal"/>
      <w:isLgl w:val="false"/>
      <w:suff w:val="nothing"/>
      <w:lvlText w:val="%2、"/>
      <w:lvlJc w:val="left"/>
      <w:pPr>
        <w:pStyle w:val="653"/>
        <w:ind w:left="0" w:firstLine="0"/>
      </w:pPr>
      <w:rPr>
        <w:rFonts w:hint="eastAsia"/>
      </w:rPr>
    </w:lvl>
    <w:lvl w:ilvl="2">
      <w:start w:val="1"/>
      <w:numFmt w:val="decimal"/>
      <w:isLgl w:val="false"/>
      <w:suff w:val="nothing"/>
      <w:lvlText w:val="%2.%3 "/>
      <w:lvlJc w:val="left"/>
      <w:pPr>
        <w:pStyle w:val="653"/>
        <w:ind w:left="0" w:firstLine="0"/>
      </w:pPr>
      <w:rPr>
        <w:rFonts w:hint="eastAsia"/>
      </w:rPr>
    </w:lvl>
    <w:lvl w:ilvl="3">
      <w:start w:val="1"/>
      <w:numFmt w:val="decimal"/>
      <w:isLgl w:val="false"/>
      <w:suff w:val="nothing"/>
      <w:lvlText w:val="%2.%3.%4 "/>
      <w:lvlJc w:val="left"/>
      <w:pPr>
        <w:pStyle w:val="653"/>
        <w:ind w:left="0" w:firstLine="0"/>
      </w:pPr>
      <w:rPr>
        <w:rFonts w:hint="eastAsia"/>
      </w:rPr>
    </w:lvl>
    <w:lvl w:ilvl="4">
      <w:start w:val="1"/>
      <w:numFmt w:val="decimal"/>
      <w:isLgl w:val="false"/>
      <w:suff w:val="nothing"/>
      <w:lvlText w:val="%2.%3.%4.%5 "/>
      <w:lvlJc w:val="left"/>
      <w:pPr>
        <w:pStyle w:val="653"/>
        <w:ind w:left="0" w:firstLine="0"/>
      </w:pPr>
      <w:rPr>
        <w:rFonts w:hint="eastAsia"/>
      </w:rPr>
    </w:lvl>
    <w:lvl w:ilvl="5">
      <w:start w:val="1"/>
      <w:numFmt w:val="decimal"/>
      <w:pStyle w:val="659"/>
      <w:isLgl w:val="false"/>
      <w:suff w:val="nothing"/>
      <w:lvlText w:val=""/>
      <w:lvlJc w:val="left"/>
      <w:pPr>
        <w:pStyle w:val="653"/>
        <w:ind w:left="0" w:firstLine="0"/>
      </w:pPr>
      <w:rPr>
        <w:rFonts w:hint="eastAsia"/>
      </w:rPr>
    </w:lvl>
    <w:lvl w:ilvl="6">
      <w:start w:val="1"/>
      <w:numFmt w:val="decimal"/>
      <w:pStyle w:val="660"/>
      <w:isLgl w:val="false"/>
      <w:suff w:val="nothing"/>
      <w:lvlText w:val=""/>
      <w:lvlJc w:val="left"/>
      <w:pPr>
        <w:pStyle w:val="653"/>
        <w:ind w:left="0" w:firstLine="0"/>
      </w:pPr>
      <w:rPr>
        <w:rFonts w:hint="eastAsia"/>
      </w:rPr>
    </w:lvl>
    <w:lvl w:ilvl="7">
      <w:start w:val="1"/>
      <w:numFmt w:val="decimal"/>
      <w:pStyle w:val="661"/>
      <w:isLgl w:val="false"/>
      <w:suff w:val="nothing"/>
      <w:lvlText w:val=""/>
      <w:lvlJc w:val="left"/>
      <w:pPr>
        <w:pStyle w:val="653"/>
        <w:ind w:left="0" w:firstLine="0"/>
      </w:pPr>
      <w:rPr>
        <w:rFonts w:hint="eastAsia"/>
      </w:rPr>
    </w:lvl>
    <w:lvl w:ilvl="8">
      <w:start w:val="1"/>
      <w:numFmt w:val="decimal"/>
      <w:pStyle w:val="662"/>
      <w:isLgl w:val="false"/>
      <w:suff w:val="nothing"/>
      <w:lvlText w:val=""/>
      <w:lvlJc w:val="left"/>
      <w:pPr>
        <w:pStyle w:val="653"/>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5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65"/>
    <w:link w:val="653"/>
    <w:qFormat/>
    <w:pPr>
      <w:jc w:val="both"/>
      <w:widowControl w:val="off"/>
    </w:pPr>
    <w:rPr>
      <w:rFonts w:ascii="Times New Roman" w:hAnsi="Times New Roman"/>
      <w:sz w:val="21"/>
      <w:szCs w:val="21"/>
      <w:lang w:val="en-US" w:eastAsia="zh-CN" w:bidi="ar-SA"/>
    </w:rPr>
  </w:style>
  <w:style w:type="paragraph" w:styleId="654">
    <w:name w:val="标题 1"/>
    <w:basedOn w:val="653"/>
    <w:next w:val="653"/>
    <w:link w:val="666"/>
    <w:qFormat/>
    <w:pPr>
      <w:jc w:val="center"/>
      <w:keepNext/>
      <w:outlineLvl w:val="0"/>
    </w:pPr>
    <w:rPr>
      <w:rFonts w:ascii="楷体_GB2312" w:eastAsia="楷体_GB2312"/>
      <w:sz w:val="28"/>
      <w:szCs w:val="28"/>
    </w:rPr>
  </w:style>
  <w:style w:type="paragraph" w:styleId="655">
    <w:name w:val="标题 2"/>
    <w:basedOn w:val="653"/>
    <w:next w:val="668"/>
    <w:link w:val="667"/>
    <w:qFormat/>
    <w:pPr>
      <w:jc w:val="center"/>
      <w:keepLines/>
      <w:keepNext/>
      <w:spacing w:before="260" w:after="260" w:line="416" w:lineRule="auto"/>
      <w:outlineLvl w:val="1"/>
    </w:pPr>
    <w:rPr>
      <w:rFonts w:ascii="Arial" w:hAnsi="Arial" w:eastAsia="幼圆" w:cs="Arial"/>
      <w:b/>
      <w:bCs/>
      <w:sz w:val="44"/>
      <w:szCs w:val="44"/>
    </w:rPr>
  </w:style>
  <w:style w:type="paragraph" w:styleId="656">
    <w:name w:val="标题 3"/>
    <w:basedOn w:val="653"/>
    <w:next w:val="668"/>
    <w:link w:val="670"/>
    <w:qFormat/>
    <w:pPr>
      <w:keepLines/>
      <w:keepNext/>
      <w:spacing w:before="260" w:after="260" w:line="416" w:lineRule="auto"/>
      <w:outlineLvl w:val="2"/>
    </w:pPr>
    <w:rPr>
      <w:b/>
      <w:bCs/>
      <w:sz w:val="32"/>
      <w:szCs w:val="32"/>
    </w:rPr>
  </w:style>
  <w:style w:type="paragraph" w:styleId="657">
    <w:name w:val="标题 4"/>
    <w:basedOn w:val="653"/>
    <w:next w:val="668"/>
    <w:link w:val="671"/>
    <w:qFormat/>
    <w:pPr>
      <w:keepLines/>
      <w:keepNext/>
      <w:spacing w:before="280" w:after="290" w:line="376" w:lineRule="auto"/>
      <w:outlineLvl w:val="3"/>
    </w:pPr>
    <w:rPr>
      <w:rFonts w:ascii="Arial" w:hAnsi="Arial" w:eastAsia="黑体" w:cs="Arial"/>
      <w:b/>
      <w:bCs/>
      <w:sz w:val="28"/>
      <w:szCs w:val="28"/>
    </w:rPr>
  </w:style>
  <w:style w:type="paragraph" w:styleId="658">
    <w:name w:val="标题 5"/>
    <w:basedOn w:val="653"/>
    <w:next w:val="668"/>
    <w:link w:val="672"/>
    <w:qFormat/>
    <w:pPr>
      <w:keepNext/>
      <w:outlineLvl w:val="4"/>
    </w:pPr>
    <w:rPr>
      <w:rFonts w:ascii="宋体"/>
      <w:color w:val="000000"/>
      <w:sz w:val="28"/>
      <w:szCs w:val="28"/>
    </w:rPr>
  </w:style>
  <w:style w:type="paragraph" w:styleId="659">
    <w:name w:val="标题 6"/>
    <w:basedOn w:val="653"/>
    <w:next w:val="653"/>
    <w:link w:val="67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0">
    <w:name w:val="标题 7"/>
    <w:basedOn w:val="653"/>
    <w:next w:val="653"/>
    <w:link w:val="674"/>
    <w:qFormat/>
    <w:pPr>
      <w:numPr>
        <w:ilvl w:val="6"/>
        <w:numId w:val="1"/>
      </w:numPr>
      <w:keepLines/>
      <w:keepNext/>
      <w:spacing w:before="240" w:after="64" w:line="320" w:lineRule="auto"/>
      <w:outlineLvl w:val="6"/>
    </w:pPr>
    <w:rPr>
      <w:b/>
      <w:bCs/>
      <w:sz w:val="24"/>
      <w:szCs w:val="24"/>
    </w:rPr>
  </w:style>
  <w:style w:type="paragraph" w:styleId="661">
    <w:name w:val="标题 8"/>
    <w:basedOn w:val="653"/>
    <w:next w:val="653"/>
    <w:link w:val="675"/>
    <w:qFormat/>
    <w:pPr>
      <w:numPr>
        <w:ilvl w:val="7"/>
        <w:numId w:val="1"/>
      </w:numPr>
      <w:keepLines/>
      <w:keepNext/>
      <w:spacing w:before="240" w:after="64" w:line="320" w:lineRule="auto"/>
      <w:outlineLvl w:val="7"/>
    </w:pPr>
    <w:rPr>
      <w:rFonts w:ascii="Arial" w:hAnsi="Arial" w:eastAsia="黑体"/>
      <w:sz w:val="24"/>
      <w:szCs w:val="24"/>
    </w:rPr>
  </w:style>
  <w:style w:type="paragraph" w:styleId="662">
    <w:name w:val="标题 9"/>
    <w:basedOn w:val="653"/>
    <w:next w:val="653"/>
    <w:link w:val="676"/>
    <w:qFormat/>
    <w:pPr>
      <w:numPr>
        <w:ilvl w:val="8"/>
        <w:numId w:val="1"/>
      </w:numPr>
      <w:keepLines/>
      <w:keepNext/>
      <w:spacing w:before="240" w:after="64" w:line="320" w:lineRule="auto"/>
      <w:outlineLvl w:val="8"/>
    </w:pPr>
    <w:rPr>
      <w:rFonts w:ascii="Arial" w:hAnsi="Arial" w:eastAsia="黑体"/>
    </w:rPr>
  </w:style>
  <w:style w:type="character" w:styleId="663">
    <w:name w:val="默认段落字体"/>
    <w:next w:val="663"/>
    <w:link w:val="653"/>
    <w:uiPriority w:val="1"/>
    <w:unhideWhenUsed/>
  </w:style>
  <w:style w:type="table" w:styleId="664">
    <w:name w:val="普通表格"/>
    <w:next w:val="664"/>
    <w:link w:val="653"/>
    <w:uiPriority w:val="99"/>
    <w:unhideWhenUsed/>
    <w:tblPr/>
  </w:style>
  <w:style w:type="paragraph" w:styleId="665">
    <w:name w:val="标题 41"/>
    <w:basedOn w:val="653"/>
    <w:next w:val="653"/>
    <w:link w:val="653"/>
    <w:qFormat/>
    <w:pPr>
      <w:keepLines/>
      <w:keepNext/>
      <w:spacing w:before="280" w:after="290" w:line="376" w:lineRule="auto"/>
      <w:outlineLvl w:val="3"/>
    </w:pPr>
    <w:rPr>
      <w:rFonts w:ascii="Arial" w:hAnsi="Arial" w:eastAsia="黑体" w:cs="Arial"/>
      <w:b/>
      <w:bCs/>
      <w:sz w:val="28"/>
      <w:szCs w:val="28"/>
    </w:rPr>
  </w:style>
  <w:style w:type="character" w:styleId="666">
    <w:name w:val="标题 1 字符"/>
    <w:next w:val="666"/>
    <w:link w:val="654"/>
    <w:rPr>
      <w:rFonts w:ascii="楷体_GB2312" w:hAnsi="Times New Roman" w:eastAsia="楷体_GB2312" w:cs="Times New Roman"/>
      <w:sz w:val="28"/>
      <w:szCs w:val="28"/>
    </w:rPr>
  </w:style>
  <w:style w:type="character" w:styleId="667">
    <w:name w:val="标题 2 字符"/>
    <w:next w:val="667"/>
    <w:link w:val="655"/>
    <w:rPr>
      <w:rFonts w:ascii="Arial" w:hAnsi="Arial" w:eastAsia="幼圆" w:cs="Arial"/>
      <w:b/>
      <w:bCs/>
      <w:sz w:val="44"/>
      <w:szCs w:val="44"/>
    </w:rPr>
  </w:style>
  <w:style w:type="paragraph" w:styleId="668">
    <w:name w:val="正文缩进"/>
    <w:basedOn w:val="653"/>
    <w:next w:val="668"/>
    <w:link w:val="669"/>
    <w:pPr>
      <w:ind w:firstLine="420"/>
    </w:pPr>
  </w:style>
  <w:style w:type="character" w:styleId="669">
    <w:name w:val="正文缩进 字符"/>
    <w:next w:val="669"/>
    <w:link w:val="668"/>
    <w:rPr>
      <w:rFonts w:ascii="Times New Roman" w:hAnsi="Times New Roman" w:eastAsia="宋体" w:cs="Times New Roman"/>
      <w:szCs w:val="21"/>
    </w:rPr>
  </w:style>
  <w:style w:type="character" w:styleId="670">
    <w:name w:val="标题 3 字符"/>
    <w:next w:val="670"/>
    <w:link w:val="656"/>
    <w:rPr>
      <w:rFonts w:ascii="Times New Roman" w:hAnsi="Times New Roman" w:eastAsia="宋体" w:cs="Times New Roman"/>
      <w:b/>
      <w:bCs/>
      <w:sz w:val="32"/>
      <w:szCs w:val="32"/>
    </w:rPr>
  </w:style>
  <w:style w:type="character" w:styleId="671">
    <w:name w:val="标题 4 字符"/>
    <w:next w:val="671"/>
    <w:link w:val="657"/>
    <w:rPr>
      <w:rFonts w:ascii="Arial" w:hAnsi="Arial" w:eastAsia="黑体" w:cs="Arial"/>
      <w:b/>
      <w:bCs/>
      <w:sz w:val="28"/>
      <w:szCs w:val="28"/>
    </w:rPr>
  </w:style>
  <w:style w:type="character" w:styleId="672">
    <w:name w:val="标题 5 字符"/>
    <w:next w:val="672"/>
    <w:link w:val="658"/>
    <w:rPr>
      <w:rFonts w:ascii="宋体" w:hAnsi="Times New Roman" w:eastAsia="宋体" w:cs="Times New Roman"/>
      <w:color w:val="000000"/>
      <w:sz w:val="28"/>
      <w:szCs w:val="28"/>
    </w:rPr>
  </w:style>
  <w:style w:type="character" w:styleId="673">
    <w:name w:val="标题 6 字符"/>
    <w:next w:val="673"/>
    <w:link w:val="659"/>
    <w:rPr>
      <w:rFonts w:ascii="Arial" w:hAnsi="Arial" w:eastAsia="黑体" w:cs="Times New Roman"/>
      <w:b/>
      <w:bCs/>
      <w:sz w:val="24"/>
      <w:szCs w:val="24"/>
    </w:rPr>
  </w:style>
  <w:style w:type="character" w:styleId="674">
    <w:name w:val="标题 7 字符"/>
    <w:next w:val="674"/>
    <w:link w:val="660"/>
    <w:rPr>
      <w:rFonts w:ascii="Times New Roman" w:hAnsi="Times New Roman" w:eastAsia="宋体" w:cs="Times New Roman"/>
      <w:b/>
      <w:bCs/>
      <w:sz w:val="24"/>
      <w:szCs w:val="24"/>
    </w:rPr>
  </w:style>
  <w:style w:type="character" w:styleId="675">
    <w:name w:val="标题 8 字符"/>
    <w:next w:val="675"/>
    <w:link w:val="661"/>
    <w:rPr>
      <w:rFonts w:ascii="Arial" w:hAnsi="Arial" w:eastAsia="黑体" w:cs="Times New Roman"/>
      <w:sz w:val="24"/>
      <w:szCs w:val="24"/>
    </w:rPr>
  </w:style>
  <w:style w:type="character" w:styleId="676">
    <w:name w:val="标题 9 字符"/>
    <w:next w:val="676"/>
    <w:link w:val="662"/>
    <w:rPr>
      <w:rFonts w:ascii="Arial" w:hAnsi="Arial" w:eastAsia="黑体" w:cs="Times New Roman"/>
      <w:szCs w:val="21"/>
    </w:rPr>
  </w:style>
  <w:style w:type="paragraph" w:styleId="677">
    <w:name w:val="列表 3"/>
    <w:basedOn w:val="653"/>
    <w:next w:val="677"/>
    <w:link w:val="653"/>
    <w:pPr>
      <w:ind w:left="100" w:hanging="200"/>
    </w:pPr>
  </w:style>
  <w:style w:type="paragraph" w:styleId="678">
    <w:name w:val="目录 7"/>
    <w:basedOn w:val="653"/>
    <w:next w:val="653"/>
    <w:link w:val="653"/>
    <w:semiHidden/>
    <w:pPr>
      <w:ind w:left="1260"/>
      <w:jc w:val="left"/>
    </w:pPr>
  </w:style>
  <w:style w:type="paragraph" w:styleId="679">
    <w:name w:val="文档结构图"/>
    <w:basedOn w:val="653"/>
    <w:next w:val="679"/>
    <w:link w:val="680"/>
    <w:semiHidden/>
    <w:pPr>
      <w:shd w:val="clear" w:color="auto" w:fill="000080"/>
    </w:pPr>
  </w:style>
  <w:style w:type="character" w:styleId="680">
    <w:name w:val="文档结构图 字符"/>
    <w:next w:val="680"/>
    <w:link w:val="679"/>
    <w:semiHidden/>
    <w:rPr>
      <w:rFonts w:ascii="Times New Roman" w:hAnsi="Times New Roman" w:eastAsia="宋体" w:cs="Times New Roman"/>
      <w:szCs w:val="21"/>
      <w:shd w:val="clear" w:color="auto" w:fill="000080"/>
    </w:rPr>
  </w:style>
  <w:style w:type="paragraph" w:styleId="681">
    <w:name w:val="批注文字"/>
    <w:basedOn w:val="653"/>
    <w:next w:val="681"/>
    <w:link w:val="682"/>
    <w:semiHidden/>
    <w:pPr>
      <w:jc w:val="left"/>
    </w:pPr>
  </w:style>
  <w:style w:type="character" w:styleId="682">
    <w:name w:val="批注文字 字符"/>
    <w:next w:val="682"/>
    <w:link w:val="681"/>
    <w:semiHidden/>
    <w:rPr>
      <w:rFonts w:ascii="Times New Roman" w:hAnsi="Times New Roman" w:eastAsia="宋体" w:cs="Times New Roman"/>
      <w:szCs w:val="21"/>
    </w:rPr>
  </w:style>
  <w:style w:type="paragraph" w:styleId="683">
    <w:name w:val="正文文本 3"/>
    <w:basedOn w:val="653"/>
    <w:next w:val="683"/>
    <w:link w:val="684"/>
    <w:rPr>
      <w:rFonts w:ascii="仿宋_GB2312" w:hAnsi="Arial" w:eastAsia="仿宋_GB2312"/>
      <w:sz w:val="32"/>
      <w:szCs w:val="32"/>
    </w:rPr>
  </w:style>
  <w:style w:type="character" w:styleId="684">
    <w:name w:val="正文文本 3 字符"/>
    <w:next w:val="684"/>
    <w:link w:val="683"/>
    <w:rPr>
      <w:rFonts w:ascii="仿宋_GB2312" w:hAnsi="Arial" w:eastAsia="仿宋_GB2312" w:cs="Times New Roman"/>
      <w:sz w:val="32"/>
      <w:szCs w:val="32"/>
    </w:rPr>
  </w:style>
  <w:style w:type="paragraph" w:styleId="685">
    <w:name w:val="正文文本"/>
    <w:basedOn w:val="653"/>
    <w:next w:val="685"/>
    <w:link w:val="686"/>
    <w:rPr>
      <w:rFonts w:ascii="楷体_GB2312" w:hAnsi="Arial" w:eastAsia="楷体_GB2312"/>
      <w:sz w:val="28"/>
      <w:szCs w:val="28"/>
    </w:rPr>
  </w:style>
  <w:style w:type="character" w:styleId="686">
    <w:name w:val="正文文本 字符"/>
    <w:next w:val="686"/>
    <w:link w:val="685"/>
    <w:rPr>
      <w:rFonts w:ascii="楷体_GB2312" w:hAnsi="Arial" w:eastAsia="楷体_GB2312" w:cs="Times New Roman"/>
      <w:sz w:val="28"/>
      <w:szCs w:val="28"/>
    </w:rPr>
  </w:style>
  <w:style w:type="paragraph" w:styleId="687">
    <w:name w:val="正文文本缩进"/>
    <w:basedOn w:val="653"/>
    <w:next w:val="687"/>
    <w:link w:val="688"/>
    <w:pPr>
      <w:ind w:firstLine="645"/>
    </w:pPr>
    <w:rPr>
      <w:rFonts w:ascii="楷体_GB2312" w:eastAsia="楷体_GB2312"/>
      <w:sz w:val="32"/>
      <w:szCs w:val="32"/>
    </w:rPr>
  </w:style>
  <w:style w:type="character" w:styleId="688">
    <w:name w:val="正文文本缩进 字符"/>
    <w:next w:val="688"/>
    <w:link w:val="687"/>
    <w:rPr>
      <w:rFonts w:ascii="楷体_GB2312" w:hAnsi="Times New Roman" w:eastAsia="楷体_GB2312" w:cs="Times New Roman"/>
      <w:sz w:val="32"/>
      <w:szCs w:val="32"/>
    </w:rPr>
  </w:style>
  <w:style w:type="paragraph" w:styleId="689">
    <w:name w:val="列表 2"/>
    <w:basedOn w:val="653"/>
    <w:next w:val="689"/>
    <w:link w:val="653"/>
    <w:pPr>
      <w:ind w:left="100" w:hanging="200"/>
    </w:pPr>
  </w:style>
  <w:style w:type="paragraph" w:styleId="690">
    <w:name w:val="目录 5"/>
    <w:basedOn w:val="653"/>
    <w:next w:val="653"/>
    <w:link w:val="653"/>
    <w:semiHidden/>
    <w:pPr>
      <w:ind w:left="840"/>
      <w:jc w:val="left"/>
    </w:pPr>
  </w:style>
  <w:style w:type="paragraph" w:styleId="691">
    <w:name w:val="目录 3"/>
    <w:basedOn w:val="653"/>
    <w:next w:val="653"/>
    <w:link w:val="653"/>
    <w:semiHidden/>
    <w:pPr>
      <w:ind w:left="420"/>
      <w:jc w:val="left"/>
    </w:pPr>
    <w:rPr>
      <w:i/>
      <w:iCs/>
      <w:szCs w:val="24"/>
    </w:rPr>
  </w:style>
  <w:style w:type="paragraph" w:styleId="692">
    <w:name w:val="纯文本"/>
    <w:basedOn w:val="653"/>
    <w:next w:val="692"/>
    <w:link w:val="693"/>
    <w:rPr>
      <w:rFonts w:ascii="宋体" w:hAnsi="Courier New" w:cs="Courier New"/>
    </w:rPr>
  </w:style>
  <w:style w:type="character" w:styleId="693">
    <w:name w:val="纯文本 字符"/>
    <w:next w:val="693"/>
    <w:link w:val="692"/>
    <w:rPr>
      <w:rFonts w:ascii="宋体" w:hAnsi="Courier New" w:eastAsia="宋体" w:cs="Courier New"/>
      <w:szCs w:val="21"/>
    </w:rPr>
  </w:style>
  <w:style w:type="paragraph" w:styleId="694">
    <w:name w:val="目录 8"/>
    <w:basedOn w:val="653"/>
    <w:next w:val="653"/>
    <w:link w:val="653"/>
    <w:semiHidden/>
    <w:pPr>
      <w:ind w:left="1470"/>
      <w:jc w:val="left"/>
    </w:pPr>
  </w:style>
  <w:style w:type="paragraph" w:styleId="695">
    <w:name w:val="日期"/>
    <w:basedOn w:val="653"/>
    <w:next w:val="653"/>
    <w:link w:val="696"/>
    <w:rPr>
      <w:sz w:val="24"/>
      <w:szCs w:val="24"/>
    </w:rPr>
  </w:style>
  <w:style w:type="character" w:styleId="696">
    <w:name w:val="日期 字符"/>
    <w:next w:val="696"/>
    <w:link w:val="695"/>
    <w:rPr>
      <w:rFonts w:ascii="Times New Roman" w:hAnsi="Times New Roman" w:eastAsia="宋体" w:cs="Times New Roman"/>
      <w:sz w:val="24"/>
      <w:szCs w:val="24"/>
    </w:rPr>
  </w:style>
  <w:style w:type="paragraph" w:styleId="697">
    <w:name w:val="正文文本缩进 2"/>
    <w:basedOn w:val="653"/>
    <w:next w:val="697"/>
    <w:link w:val="698"/>
    <w:pPr>
      <w:ind w:left="630" w:firstLine="645"/>
    </w:pPr>
    <w:rPr>
      <w:rFonts w:ascii="Arial" w:hAnsi="Arial" w:eastAsia="仿宋_GB2312" w:cs="Arial"/>
      <w:sz w:val="32"/>
      <w:szCs w:val="32"/>
    </w:rPr>
  </w:style>
  <w:style w:type="character" w:styleId="698">
    <w:name w:val="正文文本缩进 2 字符"/>
    <w:next w:val="698"/>
    <w:link w:val="697"/>
    <w:rPr>
      <w:rFonts w:ascii="Arial" w:hAnsi="Arial" w:eastAsia="仿宋_GB2312" w:cs="Arial"/>
      <w:sz w:val="32"/>
      <w:szCs w:val="32"/>
    </w:rPr>
  </w:style>
  <w:style w:type="paragraph" w:styleId="699">
    <w:name w:val="批注框文本"/>
    <w:basedOn w:val="653"/>
    <w:next w:val="699"/>
    <w:link w:val="700"/>
    <w:semiHidden/>
    <w:rPr>
      <w:sz w:val="18"/>
      <w:szCs w:val="18"/>
    </w:rPr>
  </w:style>
  <w:style w:type="character" w:styleId="700">
    <w:name w:val="批注框文本 字符"/>
    <w:next w:val="700"/>
    <w:link w:val="699"/>
    <w:semiHidden/>
    <w:rPr>
      <w:rFonts w:ascii="Times New Roman" w:hAnsi="Times New Roman" w:eastAsia="宋体" w:cs="Times New Roman"/>
      <w:sz w:val="18"/>
      <w:szCs w:val="18"/>
    </w:rPr>
  </w:style>
  <w:style w:type="paragraph" w:styleId="701">
    <w:name w:val="页脚"/>
    <w:basedOn w:val="653"/>
    <w:next w:val="701"/>
    <w:link w:val="702"/>
    <w:uiPriority w:val="99"/>
    <w:pPr>
      <w:jc w:val="left"/>
      <w:tabs>
        <w:tab w:val="center" w:pos="4153" w:leader="none"/>
        <w:tab w:val="right" w:pos="8306" w:leader="none"/>
      </w:tabs>
    </w:pPr>
    <w:rPr>
      <w:sz w:val="18"/>
      <w:szCs w:val="18"/>
    </w:rPr>
  </w:style>
  <w:style w:type="character" w:styleId="702">
    <w:name w:val="页脚 字符"/>
    <w:next w:val="702"/>
    <w:link w:val="701"/>
    <w:uiPriority w:val="99"/>
    <w:rPr>
      <w:rFonts w:ascii="Times New Roman" w:hAnsi="Times New Roman" w:eastAsia="宋体" w:cs="Times New Roman"/>
      <w:sz w:val="18"/>
      <w:szCs w:val="18"/>
    </w:rPr>
  </w:style>
  <w:style w:type="paragraph" w:styleId="703">
    <w:name w:val="页眉"/>
    <w:basedOn w:val="653"/>
    <w:next w:val="703"/>
    <w:link w:val="704"/>
    <w:pPr>
      <w:jc w:val="center"/>
      <w:tabs>
        <w:tab w:val="center" w:pos="4153" w:leader="none"/>
        <w:tab w:val="right" w:pos="8306" w:leader="none"/>
      </w:tabs>
      <w:pBdr>
        <w:bottom w:val="single" w:color="000000" w:sz="6" w:space="1"/>
      </w:pBdr>
    </w:pPr>
    <w:rPr>
      <w:sz w:val="18"/>
      <w:szCs w:val="18"/>
    </w:rPr>
  </w:style>
  <w:style w:type="character" w:styleId="704">
    <w:name w:val="页眉 字符"/>
    <w:next w:val="704"/>
    <w:link w:val="703"/>
    <w:rPr>
      <w:rFonts w:ascii="Times New Roman" w:hAnsi="Times New Roman" w:eastAsia="宋体" w:cs="Times New Roman"/>
      <w:sz w:val="18"/>
      <w:szCs w:val="18"/>
    </w:rPr>
  </w:style>
  <w:style w:type="paragraph" w:styleId="705">
    <w:name w:val="目录 1"/>
    <w:basedOn w:val="653"/>
    <w:next w:val="653"/>
    <w:link w:val="653"/>
    <w:semiHidden/>
    <w:pPr>
      <w:jc w:val="left"/>
      <w:spacing w:before="120" w:after="120" w:line="400" w:lineRule="exact"/>
      <w:tabs>
        <w:tab w:val="right" w:pos="8720" w:leader="dot"/>
      </w:tabs>
    </w:pPr>
    <w:rPr>
      <w:rFonts w:ascii="宋体" w:hAnsi="宋体"/>
      <w:caps/>
      <w:sz w:val="24"/>
      <w:szCs w:val="24"/>
    </w:rPr>
  </w:style>
  <w:style w:type="paragraph" w:styleId="706">
    <w:name w:val="目录 4"/>
    <w:basedOn w:val="653"/>
    <w:next w:val="653"/>
    <w:link w:val="653"/>
    <w:semiHidden/>
    <w:pPr>
      <w:ind w:left="630"/>
      <w:jc w:val="left"/>
    </w:pPr>
  </w:style>
  <w:style w:type="paragraph" w:styleId="707">
    <w:name w:val="列表"/>
    <w:basedOn w:val="653"/>
    <w:next w:val="707"/>
    <w:link w:val="653"/>
    <w:pPr>
      <w:ind w:left="200" w:hanging="200"/>
    </w:pPr>
  </w:style>
  <w:style w:type="paragraph" w:styleId="708">
    <w:name w:val="目录 6"/>
    <w:basedOn w:val="653"/>
    <w:next w:val="653"/>
    <w:link w:val="653"/>
    <w:semiHidden/>
    <w:pPr>
      <w:ind w:left="1050"/>
      <w:jc w:val="left"/>
    </w:pPr>
  </w:style>
  <w:style w:type="paragraph" w:styleId="709">
    <w:name w:val="正文文本缩进 3"/>
    <w:basedOn w:val="653"/>
    <w:next w:val="709"/>
    <w:link w:val="710"/>
    <w:pPr>
      <w:ind w:left="645" w:firstLine="645"/>
    </w:pPr>
    <w:rPr>
      <w:rFonts w:ascii="Arial" w:hAnsi="Arial" w:eastAsia="仿宋_GB2312" w:cs="Arial"/>
      <w:color w:val="ffff00"/>
      <w:sz w:val="32"/>
      <w:szCs w:val="32"/>
    </w:rPr>
  </w:style>
  <w:style w:type="character" w:styleId="710">
    <w:name w:val="正文文本缩进 3 字符"/>
    <w:next w:val="710"/>
    <w:link w:val="709"/>
    <w:rPr>
      <w:rFonts w:ascii="Arial" w:hAnsi="Arial" w:eastAsia="仿宋_GB2312" w:cs="Arial"/>
      <w:color w:val="ffff00"/>
      <w:sz w:val="32"/>
      <w:szCs w:val="32"/>
    </w:rPr>
  </w:style>
  <w:style w:type="paragraph" w:styleId="711">
    <w:name w:val="图表目录"/>
    <w:basedOn w:val="653"/>
    <w:next w:val="653"/>
    <w:link w:val="653"/>
    <w:semiHidden/>
    <w:pPr>
      <w:ind w:left="840" w:hanging="420"/>
    </w:pPr>
  </w:style>
  <w:style w:type="paragraph" w:styleId="712">
    <w:name w:val="目录 2"/>
    <w:basedOn w:val="653"/>
    <w:next w:val="653"/>
    <w:link w:val="653"/>
    <w:semiHidden/>
    <w:pPr>
      <w:ind w:left="210"/>
      <w:jc w:val="left"/>
    </w:pPr>
    <w:rPr>
      <w:smallCaps/>
      <w:szCs w:val="24"/>
    </w:rPr>
  </w:style>
  <w:style w:type="paragraph" w:styleId="713">
    <w:name w:val="目录 9"/>
    <w:basedOn w:val="653"/>
    <w:next w:val="653"/>
    <w:link w:val="653"/>
    <w:semiHidden/>
    <w:pPr>
      <w:ind w:left="1680"/>
      <w:jc w:val="left"/>
    </w:pPr>
  </w:style>
  <w:style w:type="paragraph" w:styleId="714">
    <w:name w:val="正文文本 2"/>
    <w:basedOn w:val="653"/>
    <w:next w:val="714"/>
    <w:link w:val="715"/>
    <w:pPr>
      <w:jc w:val="center"/>
      <w:widowControl/>
    </w:pPr>
    <w:rPr>
      <w:rFonts w:ascii="楷体_GB2312" w:eastAsia="楷体_GB2312"/>
      <w:sz w:val="28"/>
      <w:szCs w:val="28"/>
    </w:rPr>
  </w:style>
  <w:style w:type="character" w:styleId="715">
    <w:name w:val="正文文本 2 字符"/>
    <w:next w:val="715"/>
    <w:link w:val="714"/>
    <w:rPr>
      <w:rFonts w:ascii="楷体_GB2312" w:hAnsi="Times New Roman" w:eastAsia="楷体_GB2312" w:cs="Times New Roman"/>
      <w:sz w:val="28"/>
      <w:szCs w:val="28"/>
    </w:rPr>
  </w:style>
  <w:style w:type="paragraph" w:styleId="716">
    <w:name w:val="普通(网站)"/>
    <w:basedOn w:val="653"/>
    <w:next w:val="716"/>
    <w:link w:val="653"/>
    <w:uiPriority w:val="99"/>
    <w:pPr>
      <w:jc w:val="left"/>
      <w:spacing w:before="100" w:beforeAutospacing="1" w:after="100" w:afterAutospacing="1"/>
      <w:widowControl/>
    </w:pPr>
    <w:rPr>
      <w:rFonts w:ascii="宋体" w:hAnsi="宋体" w:cs="宋体"/>
      <w:sz w:val="24"/>
      <w:szCs w:val="24"/>
    </w:rPr>
  </w:style>
  <w:style w:type="paragraph" w:styleId="717">
    <w:name w:val="索引 1"/>
    <w:basedOn w:val="653"/>
    <w:next w:val="653"/>
    <w:link w:val="653"/>
    <w:semiHidden/>
    <w:pPr>
      <w:spacing w:line="240" w:lineRule="atLeast"/>
    </w:pPr>
    <w:rPr>
      <w:b/>
      <w:bCs/>
    </w:rPr>
  </w:style>
  <w:style w:type="paragraph" w:styleId="718">
    <w:name w:val="批注主题"/>
    <w:basedOn w:val="681"/>
    <w:next w:val="681"/>
    <w:link w:val="719"/>
    <w:semiHidden/>
    <w:rPr>
      <w:b/>
      <w:bCs/>
    </w:rPr>
  </w:style>
  <w:style w:type="character" w:styleId="719">
    <w:name w:val="批注主题 字符"/>
    <w:next w:val="719"/>
    <w:link w:val="718"/>
    <w:semiHidden/>
    <w:rPr>
      <w:rFonts w:ascii="Times New Roman" w:hAnsi="Times New Roman" w:eastAsia="宋体" w:cs="Times New Roman"/>
      <w:b/>
      <w:bCs/>
      <w:szCs w:val="21"/>
    </w:rPr>
  </w:style>
  <w:style w:type="paragraph" w:styleId="720">
    <w:name w:val="正文首行缩进"/>
    <w:basedOn w:val="653"/>
    <w:next w:val="720"/>
    <w:link w:val="721"/>
    <w:pPr>
      <w:ind w:firstLine="200"/>
      <w:spacing w:line="360" w:lineRule="auto"/>
    </w:pPr>
    <w:rPr>
      <w:rFonts w:ascii="仿宋_GB2312" w:eastAsia="仿宋_GB2312"/>
      <w:sz w:val="30"/>
      <w:szCs w:val="30"/>
    </w:rPr>
  </w:style>
  <w:style w:type="character" w:styleId="721">
    <w:name w:val="正文文本首行缩进 字符"/>
    <w:next w:val="721"/>
    <w:link w:val="720"/>
    <w:rPr>
      <w:rFonts w:ascii="仿宋_GB2312" w:hAnsi="Times New Roman" w:eastAsia="仿宋_GB2312" w:cs="Times New Roman"/>
      <w:sz w:val="30"/>
      <w:szCs w:val="30"/>
    </w:rPr>
  </w:style>
  <w:style w:type="paragraph" w:styleId="722">
    <w:name w:val="正文首行缩进 2"/>
    <w:basedOn w:val="687"/>
    <w:next w:val="722"/>
    <w:link w:val="723"/>
    <w:pPr>
      <w:ind w:firstLine="420"/>
      <w:spacing w:line="360" w:lineRule="auto"/>
    </w:pPr>
    <w:rPr>
      <w:rFonts w:ascii="宋体" w:hAnsi="宋体" w:eastAsia="宋体"/>
      <w:sz w:val="21"/>
      <w:szCs w:val="20"/>
    </w:rPr>
  </w:style>
  <w:style w:type="character" w:styleId="723">
    <w:name w:val="正文文本首行缩进 2 字符"/>
    <w:next w:val="723"/>
    <w:link w:val="722"/>
    <w:rPr>
      <w:rFonts w:ascii="宋体" w:hAnsi="宋体" w:eastAsia="宋体" w:cs="Times New Roman"/>
      <w:sz w:val="32"/>
      <w:szCs w:val="20"/>
    </w:rPr>
  </w:style>
  <w:style w:type="table" w:styleId="724">
    <w:name w:val="网格型"/>
    <w:basedOn w:val="664"/>
    <w:next w:val="724"/>
    <w:link w:val="653"/>
    <w:pPr>
      <w:jc w:val="both"/>
      <w:widowControl w:val="off"/>
    </w:pPr>
    <w:rPr>
      <w:rFonts w:ascii="Times New Roman" w:hAnsi="Times New Roman" w:eastAsia="宋体" w:cs="Times New Roman"/>
      <w:sz w:val="20"/>
      <w:szCs w:val="20"/>
    </w:rPr>
    <w:tblPr/>
  </w:style>
  <w:style w:type="character" w:styleId="725">
    <w:name w:val="要点"/>
    <w:next w:val="725"/>
    <w:link w:val="653"/>
    <w:qFormat/>
    <w:rPr>
      <w:b/>
      <w:bCs/>
    </w:rPr>
  </w:style>
  <w:style w:type="character" w:styleId="726">
    <w:name w:val="页码"/>
    <w:next w:val="726"/>
    <w:link w:val="653"/>
  </w:style>
  <w:style w:type="character" w:styleId="727">
    <w:name w:val="已访问的超链接"/>
    <w:next w:val="727"/>
    <w:link w:val="653"/>
    <w:rPr>
      <w:color w:val="800080"/>
      <w:u w:val="single"/>
    </w:rPr>
  </w:style>
  <w:style w:type="character" w:styleId="728">
    <w:name w:val="超链接"/>
    <w:next w:val="728"/>
    <w:link w:val="653"/>
    <w:rPr>
      <w:color w:val="0000ff"/>
      <w:u w:val="single"/>
    </w:rPr>
  </w:style>
  <w:style w:type="character" w:styleId="729">
    <w:name w:val="批注引用"/>
    <w:next w:val="729"/>
    <w:link w:val="653"/>
    <w:semiHidden/>
    <w:rPr>
      <w:sz w:val="21"/>
      <w:szCs w:val="21"/>
    </w:rPr>
  </w:style>
  <w:style w:type="character" w:styleId="730">
    <w:name w:val="font5 Char"/>
    <w:next w:val="730"/>
    <w:link w:val="653"/>
    <w:rPr>
      <w:rFonts w:ascii="宋体" w:hAnsi="宋体" w:eastAsia="宋体"/>
      <w:sz w:val="28"/>
      <w:szCs w:val="28"/>
      <w:lang w:val="en-US" w:eastAsia="zh-CN" w:bidi="ar-SA"/>
    </w:rPr>
  </w:style>
  <w:style w:type="character" w:styleId="731">
    <w:name w:val="二级目录 Char"/>
    <w:next w:val="731"/>
    <w:link w:val="732"/>
    <w:rPr>
      <w:b/>
      <w:sz w:val="30"/>
      <w:szCs w:val="28"/>
    </w:rPr>
  </w:style>
  <w:style w:type="paragraph" w:styleId="732">
    <w:name w:val="二级目录"/>
    <w:next w:val="653"/>
    <w:link w:val="731"/>
    <w:pPr>
      <w:numPr>
        <w:ilvl w:val="0"/>
        <w:numId w:val="2"/>
      </w:numPr>
      <w:tabs>
        <w:tab w:val="left" w:pos="907" w:leader="none"/>
        <w:tab w:val="left" w:pos="1145" w:leader="none"/>
      </w:tabs>
      <w:outlineLvl w:val="1"/>
    </w:pPr>
    <w:rPr>
      <w:b/>
      <w:sz w:val="30"/>
      <w:szCs w:val="28"/>
      <w:lang w:val="en-US" w:eastAsia="zh-CN" w:bidi="ar-SA"/>
    </w:rPr>
  </w:style>
  <w:style w:type="character" w:styleId="733">
    <w:name w:val="列出段落 Char,Bullet List Char,numbered Char,FooterText Char,List Paragraph1 Char,Paragraphe de liste1 Char"/>
    <w:next w:val="733"/>
    <w:link w:val="734"/>
    <w:rPr>
      <w:rFonts w:ascii="Calibri" w:hAnsi="Calibri"/>
      <w:sz w:val="24"/>
      <w:szCs w:val="24"/>
      <w:lang w:eastAsia="en-US" w:bidi="en-US"/>
    </w:rPr>
  </w:style>
  <w:style w:type="paragraph" w:styleId="734">
    <w:name w:val="列出段落1"/>
    <w:basedOn w:val="653"/>
    <w:next w:val="734"/>
    <w:link w:val="733"/>
    <w:qFormat/>
    <w:pPr>
      <w:contextualSpacing/>
      <w:ind w:left="720"/>
      <w:jc w:val="left"/>
      <w:widowControl/>
    </w:pPr>
    <w:rPr>
      <w:rFonts w:ascii="Calibri" w:hAnsi="Calibri" w:eastAsia="宋体" w:cs="Times New Roman"/>
      <w:sz w:val="24"/>
      <w:szCs w:val="24"/>
      <w:lang w:eastAsia="en-US" w:bidi="en-US"/>
    </w:rPr>
  </w:style>
  <w:style w:type="paragraph" w:styleId="735">
    <w:name w:val="Body Text(ch)"/>
    <w:basedOn w:val="653"/>
    <w:next w:val="685"/>
    <w:link w:val="653"/>
    <w:pPr>
      <w:spacing w:after="120"/>
    </w:pPr>
    <w:rPr>
      <w:rFonts w:ascii="宋体" w:hAnsi="Arial"/>
      <w:bCs/>
      <w:iCs/>
      <w:szCs w:val="24"/>
    </w:rPr>
  </w:style>
  <w:style w:type="paragraph" w:styleId="736">
    <w:name w:val="xl27"/>
    <w:basedOn w:val="653"/>
    <w:next w:val="736"/>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37">
    <w:name w:val="xl26"/>
    <w:basedOn w:val="653"/>
    <w:next w:val="737"/>
    <w:link w:val="6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38">
    <w:name w:val="Char"/>
    <w:basedOn w:val="653"/>
    <w:next w:val="738"/>
    <w:link w:val="653"/>
    <w:pPr>
      <w:ind w:firstLine="200"/>
      <w:tabs>
        <w:tab w:val="left" w:pos="360" w:leader="none"/>
      </w:tabs>
    </w:pPr>
    <w:rPr>
      <w:sz w:val="28"/>
      <w:szCs w:val="30"/>
    </w:rPr>
  </w:style>
  <w:style w:type="paragraph" w:styleId="739">
    <w:name w:val=" Char"/>
    <w:basedOn w:val="679"/>
    <w:next w:val="739"/>
    <w:link w:val="653"/>
    <w:rPr>
      <w:rFonts w:ascii="Tahoma" w:hAnsi="Tahoma"/>
      <w:sz w:val="24"/>
      <w:szCs w:val="24"/>
    </w:rPr>
  </w:style>
  <w:style w:type="paragraph" w:styleId="740">
    <w:name w:val="普通正文"/>
    <w:basedOn w:val="653"/>
    <w:next w:val="740"/>
    <w:link w:val="653"/>
    <w:pPr>
      <w:ind w:firstLine="480"/>
      <w:jc w:val="left"/>
      <w:spacing w:before="120" w:after="120" w:line="360" w:lineRule="auto"/>
    </w:pPr>
    <w:rPr>
      <w:rFonts w:ascii="Arial" w:hAnsi="Arial"/>
      <w:sz w:val="24"/>
      <w:szCs w:val="24"/>
    </w:rPr>
  </w:style>
  <w:style w:type="paragraph" w:styleId="741">
    <w:name w:val="table_lines"/>
    <w:basedOn w:val="653"/>
    <w:next w:val="741"/>
    <w:link w:val="653"/>
    <w:pPr>
      <w:jc w:val="left"/>
      <w:widowControl/>
    </w:pPr>
    <w:rPr>
      <w:sz w:val="20"/>
      <w:szCs w:val="20"/>
      <w:lang w:val="de-DE" w:eastAsia="de-DE"/>
    </w:rPr>
  </w:style>
  <w:style w:type="paragraph" w:styleId="742">
    <w:name w:val="附录1"/>
    <w:next w:val="742"/>
    <w:link w:val="65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3">
    <w:name w:val="font7"/>
    <w:basedOn w:val="653"/>
    <w:next w:val="743"/>
    <w:link w:val="653"/>
    <w:pPr>
      <w:jc w:val="left"/>
      <w:spacing w:before="100" w:beforeAutospacing="1" w:after="100" w:afterAutospacing="1"/>
      <w:widowControl/>
    </w:pPr>
    <w:rPr>
      <w:rFonts w:hint="eastAsia" w:ascii="宋体" w:hAnsi="宋体"/>
      <w:sz w:val="18"/>
      <w:szCs w:val="18"/>
    </w:rPr>
  </w:style>
  <w:style w:type="paragraph" w:styleId="744">
    <w:name w:val=" Char Char Char Char"/>
    <w:basedOn w:val="679"/>
    <w:next w:val="744"/>
    <w:link w:val="653"/>
    <w:pPr>
      <w:spacing w:line="360" w:lineRule="auto"/>
    </w:pPr>
    <w:rPr>
      <w:rFonts w:ascii="Tahoma" w:hAnsi="Tahoma"/>
      <w:sz w:val="24"/>
      <w:szCs w:val="24"/>
    </w:rPr>
  </w:style>
  <w:style w:type="paragraph" w:styleId="745">
    <w:name w:val="列表段落"/>
    <w:basedOn w:val="653"/>
    <w:next w:val="745"/>
    <w:link w:val="653"/>
    <w:qFormat/>
    <w:pPr>
      <w:contextualSpacing/>
      <w:ind w:left="720"/>
      <w:jc w:val="left"/>
      <w:widowControl/>
    </w:pPr>
    <w:rPr>
      <w:rFonts w:ascii="Calibri" w:hAnsi="Calibri"/>
      <w:sz w:val="24"/>
      <w:szCs w:val="24"/>
      <w:lang w:eastAsia="en-US" w:bidi="en-US"/>
    </w:rPr>
  </w:style>
  <w:style w:type="paragraph" w:styleId="746">
    <w:name w:val="4"/>
    <w:basedOn w:val="653"/>
    <w:next w:val="709"/>
    <w:link w:val="653"/>
    <w:pPr>
      <w:ind w:firstLine="420"/>
      <w:spacing w:line="360" w:lineRule="auto"/>
    </w:pPr>
    <w:rPr>
      <w:color w:val="ff0000"/>
      <w:sz w:val="24"/>
      <w:szCs w:val="24"/>
    </w:rPr>
  </w:style>
  <w:style w:type="paragraph" w:styleId="747">
    <w:name w:val="普通 (Web)"/>
    <w:basedOn w:val="653"/>
    <w:next w:val="747"/>
    <w:link w:val="653"/>
    <w:pPr>
      <w:jc w:val="left"/>
      <w:spacing w:before="100" w:beforeAutospacing="1" w:after="100" w:afterAutospacing="1"/>
      <w:widowControl/>
    </w:pPr>
    <w:rPr>
      <w:rFonts w:ascii="宋体" w:hAnsi="宋体"/>
      <w:sz w:val="24"/>
      <w:szCs w:val="24"/>
    </w:rPr>
  </w:style>
  <w:style w:type="paragraph" w:styleId="748">
    <w:name w:val=" Char Char Char Char Char Char Char Char Char Char"/>
    <w:basedOn w:val="653"/>
    <w:next w:val="748"/>
    <w:link w:val="653"/>
    <w:pPr>
      <w:spacing w:line="360" w:lineRule="auto"/>
    </w:pPr>
    <w:rPr>
      <w:sz w:val="24"/>
      <w:szCs w:val="20"/>
    </w:rPr>
  </w:style>
  <w:style w:type="paragraph" w:styleId="749">
    <w:name w:val="样式1"/>
    <w:basedOn w:val="653"/>
    <w:next w:val="749"/>
    <w:link w:val="653"/>
    <w:pPr>
      <w:numPr>
        <w:ilvl w:val="0"/>
        <w:numId w:val="3"/>
      </w:numPr>
      <w:tabs>
        <w:tab w:val="left" w:pos="709" w:leader="none"/>
      </w:tabs>
    </w:pPr>
    <w:rPr>
      <w:rFonts w:ascii="宋体" w:hAnsi="宋体"/>
    </w:rPr>
  </w:style>
  <w:style w:type="paragraph" w:styleId="750">
    <w:name w:val="font6"/>
    <w:basedOn w:val="653"/>
    <w:next w:val="750"/>
    <w:link w:val="653"/>
    <w:pPr>
      <w:jc w:val="left"/>
      <w:spacing w:before="100" w:beforeAutospacing="1" w:after="100" w:afterAutospacing="1"/>
      <w:widowControl/>
    </w:pPr>
    <w:rPr>
      <w:rFonts w:hint="eastAsia" w:ascii="宋体" w:hAnsi="宋体"/>
      <w:sz w:val="28"/>
      <w:szCs w:val="28"/>
      <w:u w:val="single"/>
    </w:rPr>
  </w:style>
  <w:style w:type="paragraph" w:styleId="751">
    <w:name w:val="xl25"/>
    <w:basedOn w:val="653"/>
    <w:next w:val="751"/>
    <w:link w:val="6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2">
    <w:name w:val="图标"/>
    <w:basedOn w:val="653"/>
    <w:next w:val="653"/>
    <w:link w:val="65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3">
    <w:name w:val="标题3"/>
    <w:basedOn w:val="653"/>
    <w:next w:val="653"/>
    <w:link w:val="653"/>
    <w:pPr>
      <w:ind w:firstLine="624"/>
      <w:spacing w:line="590" w:lineRule="atLeast"/>
    </w:pPr>
    <w:rPr>
      <w:rFonts w:ascii="方正黑体_GBK" w:eastAsia="方正黑体_GBK"/>
      <w:sz w:val="32"/>
      <w:szCs w:val="32"/>
    </w:rPr>
  </w:style>
  <w:style w:type="paragraph" w:styleId="754">
    <w:name w:val="xl24"/>
    <w:basedOn w:val="653"/>
    <w:next w:val="754"/>
    <w:link w:val="6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5">
    <w:name w:val="xl29"/>
    <w:basedOn w:val="653"/>
    <w:next w:val="755"/>
    <w:link w:val="65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56">
    <w:name w:val="Char Char Char Char Char Char Char Char"/>
    <w:basedOn w:val="653"/>
    <w:next w:val="756"/>
    <w:link w:val="653"/>
    <w:pPr>
      <w:jc w:val="left"/>
      <w:spacing w:after="160" w:line="240" w:lineRule="exact"/>
      <w:widowControl/>
    </w:pPr>
    <w:rPr>
      <w:rFonts w:ascii="Verdana" w:hAnsi="Verdana"/>
      <w:sz w:val="20"/>
      <w:szCs w:val="20"/>
      <w:lang w:eastAsia="en-US"/>
    </w:rPr>
  </w:style>
  <w:style w:type="paragraph" w:styleId="757">
    <w:name w:val="xl28"/>
    <w:basedOn w:val="653"/>
    <w:next w:val="757"/>
    <w:link w:val="6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58">
    <w:name w:val=" Char Char Char Char Char Char Char Char"/>
    <w:basedOn w:val="653"/>
    <w:next w:val="758"/>
    <w:link w:val="653"/>
    <w:pPr>
      <w:jc w:val="left"/>
      <w:spacing w:after="160" w:line="240" w:lineRule="exact"/>
      <w:widowControl/>
    </w:pPr>
    <w:rPr>
      <w:rFonts w:ascii="Verdana" w:hAnsi="Verdana"/>
      <w:sz w:val="20"/>
      <w:szCs w:val="20"/>
      <w:lang w:eastAsia="en-US"/>
    </w:rPr>
  </w:style>
  <w:style w:type="paragraph" w:styleId="759">
    <w:name w:val="xl30"/>
    <w:basedOn w:val="653"/>
    <w:next w:val="759"/>
    <w:link w:val="653"/>
    <w:pPr>
      <w:jc w:val="center"/>
      <w:spacing w:before="100" w:beforeAutospacing="1" w:after="100" w:afterAutospacing="1"/>
      <w:widowControl/>
    </w:pPr>
    <w:rPr>
      <w:rFonts w:ascii="宋体" w:hAnsi="宋体"/>
      <w:b/>
      <w:bCs/>
      <w:sz w:val="36"/>
      <w:szCs w:val="36"/>
    </w:rPr>
  </w:style>
  <w:style w:type="paragraph" w:styleId="760">
    <w:name w:val="Char Char Char Char"/>
    <w:basedOn w:val="679"/>
    <w:next w:val="760"/>
    <w:link w:val="653"/>
    <w:pPr>
      <w:spacing w:line="360" w:lineRule="auto"/>
    </w:pPr>
    <w:rPr>
      <w:rFonts w:ascii="Tahoma" w:hAnsi="Tahoma"/>
      <w:sz w:val="24"/>
      <w:szCs w:val="24"/>
    </w:rPr>
  </w:style>
  <w:style w:type="paragraph" w:styleId="761">
    <w:name w:val="table_1stline"/>
    <w:basedOn w:val="653"/>
    <w:next w:val="761"/>
    <w:link w:val="653"/>
    <w:pPr>
      <w:jc w:val="left"/>
      <w:spacing w:before="120"/>
      <w:widowControl/>
    </w:pPr>
    <w:rPr>
      <w:bCs/>
      <w:sz w:val="20"/>
      <w:szCs w:val="20"/>
      <w:lang w:val="de-DE" w:eastAsia="de-DE"/>
    </w:rPr>
  </w:style>
  <w:style w:type="paragraph" w:styleId="762">
    <w:name w:val="font5"/>
    <w:basedOn w:val="653"/>
    <w:next w:val="762"/>
    <w:link w:val="653"/>
    <w:pPr>
      <w:jc w:val="left"/>
      <w:spacing w:before="100" w:beforeAutospacing="1" w:after="100" w:afterAutospacing="1"/>
      <w:widowControl/>
    </w:pPr>
    <w:rPr>
      <w:rFonts w:hint="eastAsia" w:ascii="宋体" w:hAnsi="宋体"/>
      <w:sz w:val="28"/>
      <w:szCs w:val="28"/>
    </w:rPr>
  </w:style>
  <w:style w:type="paragraph" w:styleId="763">
    <w:name w:val="标题1"/>
    <w:basedOn w:val="653"/>
    <w:next w:val="653"/>
    <w:link w:val="653"/>
    <w:pPr>
      <w:jc w:val="center"/>
      <w:spacing w:line="700" w:lineRule="atLeast"/>
      <w:tabs>
        <w:tab w:val="left" w:pos="9193" w:leader="none"/>
        <w:tab w:val="left" w:pos="9827" w:leader="none"/>
      </w:tabs>
    </w:pPr>
    <w:rPr>
      <w:rFonts w:ascii="方正小标宋_GBK" w:eastAsia="方正小标宋_GBK"/>
      <w:sz w:val="44"/>
      <w:szCs w:val="20"/>
    </w:rPr>
  </w:style>
  <w:style w:type="paragraph" w:styleId="764">
    <w:name w:val="修订"/>
    <w:next w:val="764"/>
    <w:link w:val="653"/>
    <w:uiPriority w:val="99"/>
    <w:semiHidden/>
    <w:rPr>
      <w:rFonts w:ascii="Times New Roman" w:hAnsi="Times New Roman"/>
      <w:sz w:val="21"/>
      <w:szCs w:val="21"/>
      <w:lang w:val="en-US" w:eastAsia="zh-CN" w:bidi="ar-SA"/>
    </w:rPr>
  </w:style>
  <w:style w:type="paragraph" w:styleId="765">
    <w:name w:val="无间隔"/>
    <w:next w:val="765"/>
    <w:link w:val="653"/>
    <w:uiPriority w:val="99"/>
    <w:qFormat/>
    <w:pPr>
      <w:jc w:val="both"/>
      <w:widowControl w:val="off"/>
    </w:pPr>
    <w:rPr>
      <w:rFonts w:ascii="Times New Roman" w:hAnsi="Times New Roman"/>
      <w:sz w:val="21"/>
      <w:szCs w:val="21"/>
      <w:lang w:val="en-US" w:eastAsia="zh-CN" w:bidi="ar-SA"/>
    </w:rPr>
  </w:style>
  <w:style w:type="paragraph" w:styleId="766">
    <w:name w:val="标题 31"/>
    <w:basedOn w:val="653"/>
    <w:next w:val="653"/>
    <w:link w:val="653"/>
    <w:qFormat/>
    <w:pPr>
      <w:keepLines/>
      <w:keepNext/>
      <w:spacing w:before="260" w:after="260" w:line="416" w:lineRule="auto"/>
      <w:outlineLvl w:val="2"/>
    </w:pPr>
    <w:rPr>
      <w:b/>
      <w:bCs/>
      <w:sz w:val="32"/>
      <w:szCs w:val="32"/>
    </w:rPr>
  </w:style>
  <w:style w:type="character" w:styleId="8566" w:default="1">
    <w:name w:val="Default Paragraph Font"/>
    <w:uiPriority w:val="1"/>
    <w:semiHidden/>
    <w:unhideWhenUsed/>
  </w:style>
  <w:style w:type="numbering" w:styleId="8567" w:default="1">
    <w:name w:val="No List"/>
    <w:uiPriority w:val="99"/>
    <w:semiHidden/>
    <w:unhideWhenUsed/>
  </w:style>
  <w:style w:type="table" w:styleId="85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4</cp:revision>
  <dcterms:created xsi:type="dcterms:W3CDTF">2023-03-16T02:16:00Z</dcterms:created>
  <dcterms:modified xsi:type="dcterms:W3CDTF">2026-04-13T01:22:24Z</dcterms:modified>
</cp:coreProperties>
</file>