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52"/>
          <w:szCs w:val="20"/>
          <w:highlight w:val="none"/>
        </w:rPr>
      </w:pPr>
      <w:r>
        <w:rPr>
          <w:rFonts w:hint="eastAsia" w:ascii="宋体" w:hAnsi="宋体" w:eastAsia="宋体" w:cs="Times New Roman"/>
          <w:b/>
          <w:bCs/>
          <w:color w:val="000000"/>
          <w:sz w:val="52"/>
          <w:szCs w:val="20"/>
          <w:highlight w:val="none"/>
        </w:rPr>
        <w:t xml:space="preserve">宜 兴 市 政 府 采 购</w:t>
      </w:r>
      <w:r/>
    </w:p>
    <w:p>
      <w:pPr>
        <w:pStyle w:val="849"/>
        <w:ind w:left="0" w:firstLine="0"/>
        <w:rPr>
          <w:rFonts w:ascii="宋体" w:hAnsi="宋体" w:eastAsia="宋体" w:cs="Times New Roman"/>
          <w:b/>
          <w:bCs/>
          <w:color w:val="000000"/>
          <w:sz w:val="52"/>
          <w:szCs w:val="20"/>
          <w:highlight w:val="none"/>
        </w:rPr>
      </w:pPr>
      <w:r>
        <w:rPr>
          <w:rFonts w:ascii="宋体" w:hAnsi="宋体" w:eastAsia="宋体" w:cs="Times New Roman"/>
          <w:b/>
          <w:bCs/>
          <w:color w:val="000000"/>
          <w:sz w:val="52"/>
          <w:szCs w:val="20"/>
          <w:highlight w:val="none"/>
        </w:rPr>
      </w:r>
      <w:r/>
    </w:p>
    <w:p>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招</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件</w:t>
      </w:r>
      <w:r/>
    </w:p>
    <w:p>
      <w:pPr>
        <w:jc w:val="center"/>
        <w:rPr>
          <w:rFonts w:hint="eastAsia"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1027"/>
        <w:ind w:firstLine="480"/>
        <w:rPr>
          <w:rFonts w:hint="eastAsia"/>
          <w:color w:val="000000"/>
          <w:highlight w:val="none"/>
        </w:rPr>
      </w:pPr>
      <w:r>
        <w:rPr>
          <w:rFonts w:hint="eastAsia"/>
          <w:color w:val="000000"/>
          <w:highlight w:val="none"/>
        </w:rPr>
      </w:r>
      <w:r/>
    </w:p>
    <w:p>
      <w:pPr>
        <w:pStyle w:val="1027"/>
        <w:ind w:firstLine="480"/>
        <w:rPr>
          <w:rFonts w:hint="eastAsia"/>
          <w:color w:val="000000"/>
          <w:highlight w:val="none"/>
        </w:rPr>
      </w:pPr>
      <w:r>
        <w:rPr>
          <w:rFonts w:hint="eastAsia"/>
          <w:color w:val="000000"/>
          <w:highlight w:val="none"/>
        </w:rPr>
      </w:r>
      <w:r/>
    </w:p>
    <w:p>
      <w:pPr>
        <w:pStyle w:val="849"/>
        <w:ind w:left="0" w:firstLine="0"/>
        <w:rPr>
          <w:rFonts w:hint="eastAsia"/>
        </w:rPr>
      </w:pPr>
      <w:r>
        <w:rPr>
          <w:rFonts w:hint="eastAsia"/>
        </w:rPr>
      </w:r>
      <w:r/>
    </w:p>
    <w:p>
      <w:pPr>
        <w:rPr>
          <w:rFonts w:hint="eastAsia"/>
        </w:rPr>
      </w:pPr>
      <w:r>
        <w:rPr>
          <w:rFonts w:hint="eastAsia"/>
        </w:rPr>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宜兴市人民医院202</w:t>
      </w:r>
      <w:r>
        <w:rPr>
          <w:rFonts w:hint="eastAsia" w:ascii="宋体" w:hAnsi="宋体" w:cs="宋体"/>
          <w:color w:val="000000"/>
          <w:sz w:val="32"/>
          <w:szCs w:val="32"/>
          <w:highlight w:val="none"/>
          <w:lang w:val="en-US" w:eastAsia="zh-CN"/>
        </w:rPr>
        <w:t xml:space="preserve">6</w:t>
      </w:r>
      <w:r>
        <w:rPr>
          <w:rFonts w:hint="eastAsia" w:ascii="宋体" w:hAnsi="宋体" w:cs="宋体"/>
          <w:color w:val="000000"/>
          <w:sz w:val="32"/>
          <w:szCs w:val="32"/>
          <w:highlight w:val="none"/>
          <w:lang w:eastAsia="zh-CN"/>
        </w:rPr>
        <w:t xml:space="preserve">年医疗责任险</w:t>
      </w:r>
      <w:r/>
    </w:p>
    <w:p>
      <w:pPr>
        <w:ind w:firstLine="96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项目编号：JSZC-320282-ZDQY-G2026-0003</w:t>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宜兴市人民医院</w:t>
      </w:r>
      <w:r/>
    </w:p>
    <w:p>
      <w:pPr>
        <w:ind w:firstLine="96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招标代理机构：</w:t>
      </w:r>
      <w:r>
        <w:rPr>
          <w:rFonts w:hint="eastAsia" w:ascii="宋体" w:hAnsi="宋体" w:cs="宋体"/>
          <w:color w:val="000000"/>
          <w:sz w:val="32"/>
          <w:szCs w:val="32"/>
          <w:highlight w:val="none"/>
          <w:lang w:eastAsia="zh-CN"/>
        </w:rPr>
        <w:t xml:space="preserve">宜兴市中达企业管理咨询服务有限公司</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eastAsia="zh-CN"/>
        </w:rPr>
        <w:t xml:space="preserve">四</w:t>
      </w:r>
      <w:r>
        <w:rPr>
          <w:rFonts w:hint="eastAsia" w:ascii="宋体" w:hAnsi="宋体" w:cs="宋体"/>
          <w:color w:val="000000"/>
          <w:sz w:val="32"/>
          <w:szCs w:val="32"/>
          <w:highlight w:val="none"/>
        </w:rPr>
        <w:t xml:space="preserve">月</w:t>
      </w:r>
      <w:r/>
    </w:p>
    <w:p>
      <w:pPr>
        <w:rPr>
          <w:rStyle w:val="1030"/>
          <w:rFonts w:hint="eastAsia" w:eastAsia="黑体"/>
          <w:bCs/>
          <w:color w:val="000000"/>
          <w:sz w:val="48"/>
          <w:highlight w:val="none"/>
        </w:rPr>
      </w:pPr>
      <w:r>
        <w:rPr>
          <w:rFonts w:hint="eastAsia"/>
          <w:color w:val="000000"/>
          <w:highlight w:val="none"/>
        </w:rPr>
        <w:t xml:space="preserve">                    </w:t>
      </w:r>
      <w:r/>
    </w:p>
    <w:p>
      <w:pPr>
        <w:rPr>
          <w:rStyle w:val="1030"/>
          <w:rFonts w:hint="eastAsia" w:eastAsia="黑体"/>
          <w:bCs/>
          <w:color w:val="000000"/>
          <w:sz w:val="48"/>
          <w:highlight w:val="none"/>
        </w:rPr>
        <w:sectPr>
          <w:headerReference w:type="even" r:id="rId9"/>
          <w:footerReference w:type="default" r:id="rId10"/>
          <w:footerReference w:type="even" r:id="rId11"/>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000000"/>
          <w:sz w:val="48"/>
          <w:highlight w:val="none"/>
        </w:rPr>
      </w:r>
      <w:r/>
    </w:p>
    <w:p>
      <w:pPr>
        <w:jc w:val="center"/>
        <w:rPr>
          <w:rStyle w:val="1030"/>
          <w:rFonts w:eastAsia="黑体"/>
          <w:bCs/>
          <w:color w:val="000000"/>
          <w:sz w:val="48"/>
          <w:highlight w:val="none"/>
        </w:rPr>
      </w:pPr>
      <w:r>
        <w:rPr>
          <w:rStyle w:val="1030"/>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21"/>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_Toc2870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rFonts w:hint="eastAsia"/>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p>
    <w:p>
      <w:pPr>
        <w:pStyle w:val="1021"/>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_Toc24238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rFonts w:hint="eastAsia"/>
          <w:color w:val="000000"/>
          <w:sz w:val="32"/>
          <w:szCs w:val="32"/>
          <w:highlight w:val="none"/>
          <w:lang w:val="en-US" w:eastAsia="zh-CN"/>
        </w:rPr>
        <w:t xml:space="preserve">5</w:t>
      </w:r>
      <w:r>
        <w:rPr>
          <w:rFonts w:hint="eastAsia" w:ascii="黑体" w:hAnsi="黑体" w:eastAsia="黑体" w:cs="黑体"/>
          <w:color w:val="000000"/>
          <w:sz w:val="32"/>
          <w:szCs w:val="32"/>
          <w:highlight w:val="none"/>
        </w:rPr>
        <w:fldChar w:fldCharType="end"/>
      </w:r>
      <w:r/>
    </w:p>
    <w:p>
      <w:pPr>
        <w:pStyle w:val="1021"/>
        <w:spacing w:line="360" w:lineRule="auto"/>
        <w:tabs>
          <w:tab w:val="right" w:pos="9639" w:leader="dot"/>
        </w:tabs>
        <w:rPr>
          <w:rFonts w:hint="default"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_Toc4094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20</w:t>
      </w:r>
      <w:r/>
    </w:p>
    <w:p>
      <w:pPr>
        <w:pStyle w:val="1021"/>
        <w:spacing w:line="360" w:lineRule="auto"/>
        <w:tabs>
          <w:tab w:val="right" w:pos="9639" w:leader="dot"/>
        </w:tabs>
        <w:rPr>
          <w:rFonts w:hint="default"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_Toc27472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第四章 评标方法和标准</w:t>
      </w:r>
      <w:r>
        <w:rPr>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25</w:t>
      </w:r>
      <w:r/>
    </w:p>
    <w:p>
      <w:pPr>
        <w:pStyle w:val="1021"/>
        <w:spacing w:line="360" w:lineRule="auto"/>
        <w:tabs>
          <w:tab w:val="right" w:pos="9639" w:leader="dot"/>
        </w:tabs>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_Toc29764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rFonts w:hint="eastAsia"/>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7</w:t>
      </w:r>
      <w:r/>
    </w:p>
    <w:p>
      <w:pPr>
        <w:pStyle w:val="1021"/>
        <w:spacing w:line="360" w:lineRule="auto"/>
        <w:tabs>
          <w:tab w:val="right" w:pos="9639" w:leader="dot"/>
        </w:tabs>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_Toc3743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rFonts w:hint="eastAsia"/>
          <w:color w:val="000000"/>
          <w:sz w:val="32"/>
          <w:szCs w:val="32"/>
          <w:highlight w:val="none"/>
          <w:lang w:val="en-US" w:eastAsia="zh-CN"/>
        </w:rPr>
        <w:t xml:space="preserve">3</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6</w:t>
      </w:r>
      <w:r/>
    </w:p>
    <w:p>
      <w:pPr>
        <w:spacing w:line="360" w:lineRule="auto"/>
        <w:rPr>
          <w:rFonts w:hint="eastAsia" w:ascii="黑体" w:hAnsi="黑体" w:eastAsia="黑体"/>
          <w:color w:val="000000"/>
          <w:sz w:val="28"/>
          <w:highlight w:val="none"/>
        </w:rPr>
        <w:sectPr>
          <w:footerReference w:type="default" r:id="rId12"/>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ab/>
      </w:r>
      <w:bookmarkStart w:id="1" w:name="_Toc2870"/>
      <w:r/>
      <w:r/>
    </w:p>
    <w:p>
      <w:pPr>
        <w:jc w:val="center"/>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0"/>
      <w:r/>
      <w:bookmarkEnd w:id="1"/>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r>
      <w:r/>
    </w:p>
    <w:p>
      <w:pPr>
        <w:ind w:firstLine="480"/>
        <w:spacing w:line="360" w:lineRule="auto"/>
        <w:rPr>
          <w:rFonts w:hint="eastAsia"/>
        </w:rPr>
      </w:pPr>
      <w:r>
        <w:rPr>
          <w:rFonts w:hint="eastAsia" w:ascii="宋体" w:hAnsi="宋体"/>
          <w:bCs/>
          <w:color w:val="auto"/>
          <w:sz w:val="24"/>
          <w:szCs w:val="24"/>
          <w:highlight w:val="none"/>
          <w:lang w:eastAsia="zh-CN"/>
        </w:rPr>
        <w:t xml:space="preserve">宜兴市人民医院</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宜兴市人民医院202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年医疗责任险</w:t>
      </w:r>
      <w:r>
        <w:rPr>
          <w:rFonts w:hint="eastAsia" w:ascii="宋体" w:hAnsi="宋体"/>
          <w:color w:val="auto"/>
          <w:sz w:val="24"/>
          <w:szCs w:val="28"/>
          <w:highlight w:val="none"/>
        </w:rPr>
        <w:t xml:space="preserve">进行公开招标，</w:t>
      </w:r>
      <w:r>
        <w:rPr>
          <w:rFonts w:hint="eastAsia" w:ascii="宋体" w:hAnsi="宋体"/>
          <w:bCs/>
          <w:color w:val="auto"/>
          <w:sz w:val="24"/>
          <w:szCs w:val="24"/>
          <w:highlight w:val="none"/>
        </w:rPr>
        <w:t xml:space="preserve">欢迎你单位参加投标并提请注意下列附表中的相关事项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请贵单位依法依规参加本次政府采购活动。</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967"/>
        <w:gridCol w:w="1833"/>
        <w:gridCol w:w="6282"/>
      </w:tblGrid>
      <w:tr>
        <w:trPr>
          <w:jc w:val="center"/>
          <w:trHeight w:val="300"/>
        </w:trPr>
        <w:tc>
          <w:tcPr>
            <w:tcW w:w="820" w:type="dxa"/>
            <w:vAlign w:val="top"/>
            <w:textDirection w:val="lrTb"/>
            <w:noWrap w:val="false"/>
          </w:tcPr>
          <w:p>
            <w:pPr>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p>
        </w:tc>
        <w:tc>
          <w:tcPr>
            <w:tcW w:w="967"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115"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820"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967"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
          </w:p>
        </w:tc>
        <w:tc>
          <w:tcPr>
            <w:gridSpan w:val="2"/>
            <w:tcW w:w="8115" w:type="dxa"/>
            <w:vAlign w:val="top"/>
            <w:textDirection w:val="lrTb"/>
            <w:noWrap w:val="false"/>
          </w:tcPr>
          <w:p>
            <w:pPr>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宜兴市人民医院2026年医疗责任险</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val="en-US" w:eastAsia="zh-CN"/>
              </w:rPr>
              <w:t xml:space="preserve">JSZC-320282-ZDQY-G2026-0003</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sz w:val="24"/>
                <w:szCs w:val="24"/>
                <w:highlight w:val="none"/>
              </w:rPr>
              <w:t xml:space="preserve">品    目：服务</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否</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bookmarkEnd w:id="5"/>
            <w:r/>
            <w:r/>
          </w:p>
          <w:p>
            <w:pPr>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390万元</w:t>
            </w:r>
            <w:r/>
          </w:p>
          <w:p>
            <w:pPr>
              <w:rPr>
                <w:rFonts w:hint="default" w:ascii="宋体" w:hAnsi="宋体" w:eastAsia="宋体"/>
                <w:bCs/>
                <w:color w:val="auto"/>
                <w:sz w:val="24"/>
                <w:szCs w:val="24"/>
                <w:highlight w:val="none"/>
              </w:rPr>
            </w:pPr>
            <w:r>
              <w:rPr>
                <w:rFonts w:hint="eastAsia" w:ascii="宋体" w:hAnsi="宋体"/>
                <w:bCs/>
                <w:color w:val="000000"/>
                <w:sz w:val="24"/>
                <w:szCs w:val="24"/>
                <w:highlight w:val="none"/>
              </w:rPr>
              <w:t xml:space="preserve">最高限价：</w:t>
            </w:r>
            <w:r>
              <w:rPr>
                <w:rFonts w:hint="eastAsia" w:ascii="宋体" w:hAnsi="宋体"/>
                <w:bCs/>
                <w:color w:val="auto"/>
                <w:sz w:val="24"/>
                <w:szCs w:val="24"/>
                <w:highlight w:val="none"/>
                <w:lang w:val="en-US" w:eastAsia="zh-CN"/>
              </w:rPr>
              <w:t xml:space="preserve">390万元，超出最高限价的无效。</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本项目标的所属行业：其他未列明行业</w:t>
            </w:r>
            <w:r/>
          </w:p>
          <w:p>
            <w:pPr>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jc w:val="left"/>
              <w:rPr>
                <w:rFonts w:hint="eastAsia" w:eastAsia="宋体"/>
                <w:color w:val="000000"/>
                <w:highlight w:val="none"/>
                <w:lang w:val="zh-CN" w:eastAsia="zh-CN"/>
              </w:rPr>
            </w:pPr>
            <w:r>
              <w:rPr>
                <w:rFonts w:hint="eastAsia" w:ascii="宋体" w:hAnsi="宋体"/>
                <w:bCs/>
                <w:color w:val="000000"/>
                <w:sz w:val="24"/>
                <w:szCs w:val="24"/>
                <w:highlight w:val="none"/>
              </w:rPr>
              <w:t xml:space="preserve">本项目不接受联合体，不接受</w:t>
            </w:r>
            <w:r>
              <w:rPr>
                <w:rFonts w:hint="eastAsia" w:ascii="宋体" w:hAnsi="宋体"/>
                <w:bCs/>
                <w:color w:val="000000"/>
                <w:sz w:val="24"/>
                <w:szCs w:val="24"/>
                <w:highlight w:val="none"/>
                <w:lang w:val="en-US" w:eastAsia="zh-CN"/>
              </w:rPr>
              <w:t xml:space="preserve">中标后</w:t>
            </w:r>
            <w:r>
              <w:rPr>
                <w:rFonts w:hint="eastAsia" w:ascii="宋体" w:hAnsi="宋体"/>
                <w:bCs/>
                <w:color w:val="000000"/>
                <w:sz w:val="24"/>
                <w:szCs w:val="24"/>
                <w:highlight w:val="none"/>
              </w:rPr>
              <w:t xml:space="preserve">分包</w:t>
            </w:r>
            <w:r>
              <w:rPr>
                <w:rFonts w:hint="eastAsia" w:ascii="宋体" w:hAnsi="宋体"/>
                <w:bCs/>
                <w:color w:val="000000"/>
                <w:sz w:val="24"/>
                <w:szCs w:val="24"/>
                <w:highlight w:val="none"/>
                <w:lang w:eastAsia="zh-CN"/>
              </w:rPr>
              <w:t xml:space="preserve">。</w:t>
            </w:r>
            <w:r/>
          </w:p>
        </w:tc>
      </w:tr>
      <w:tr>
        <w:trPr>
          <w:jc w:val="center"/>
          <w:trHeight w:val="1556"/>
        </w:trPr>
        <w:tc>
          <w:tcPr>
            <w:tcW w:w="820" w:type="dxa"/>
            <w:vAlign w:val="center"/>
            <w:textDirection w:val="lrTb"/>
            <w:noWrap w:val="false"/>
          </w:tcPr>
          <w:p>
            <w:pPr>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p>
        </w:tc>
        <w:tc>
          <w:tcPr>
            <w:tcW w:w="967" w:type="dxa"/>
            <w:vAlign w:val="center"/>
            <w:textDirection w:val="lrTb"/>
            <w:noWrap w:val="false"/>
          </w:tcPr>
          <w:p>
            <w:pPr>
              <w:pStyle w:val="1040"/>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p>
          <w:p>
            <w:pPr>
              <w:pStyle w:val="1040"/>
              <w:jc w:val="center"/>
              <w:spacing w:line="276" w:lineRule="auto"/>
              <w:rPr>
                <w:rFonts w:hint="eastAsia"/>
                <w:b/>
                <w:bCs/>
                <w:color w:val="000000"/>
                <w:highlight w:val="none"/>
                <w:lang w:val="zh-CN"/>
              </w:rPr>
            </w:pPr>
            <w:r>
              <w:rPr>
                <w:rFonts w:hint="eastAsia"/>
                <w:b/>
                <w:bCs/>
                <w:color w:val="000000"/>
                <w:highlight w:val="none"/>
                <w:lang w:val="zh-CN"/>
              </w:rPr>
              <w:t xml:space="preserve">格</w:t>
            </w:r>
            <w:r/>
          </w:p>
          <w:p>
            <w:pPr>
              <w:pStyle w:val="1040"/>
              <w:jc w:val="center"/>
              <w:spacing w:line="276" w:lineRule="auto"/>
              <w:rPr>
                <w:rFonts w:hint="eastAsia"/>
                <w:b/>
                <w:bCs/>
                <w:color w:val="000000"/>
                <w:highlight w:val="none"/>
                <w:lang w:val="zh-CN"/>
              </w:rPr>
            </w:pPr>
            <w:r>
              <w:rPr>
                <w:rFonts w:hint="eastAsia"/>
                <w:b/>
                <w:bCs/>
                <w:color w:val="000000"/>
                <w:highlight w:val="none"/>
                <w:lang w:val="zh-CN"/>
              </w:rPr>
              <w:t xml:space="preserve">审</w:t>
            </w:r>
            <w:r/>
          </w:p>
          <w:p>
            <w:pPr>
              <w:pStyle w:val="1040"/>
              <w:jc w:val="center"/>
              <w:spacing w:line="276" w:lineRule="auto"/>
              <w:rPr>
                <w:color w:val="000000"/>
                <w:highlight w:val="none"/>
              </w:rPr>
            </w:pPr>
            <w:r>
              <w:rPr>
                <w:rFonts w:hint="eastAsia"/>
                <w:b/>
                <w:bCs/>
                <w:color w:val="000000"/>
                <w:highlight w:val="none"/>
                <w:lang w:val="zh-CN"/>
              </w:rPr>
              <w:t xml:space="preserve">查</w:t>
            </w:r>
            <w:bookmarkEnd w:id="7"/>
            <w:r/>
            <w:r/>
          </w:p>
        </w:tc>
        <w:tc>
          <w:tcPr>
            <w:gridSpan w:val="2"/>
            <w:tcW w:w="8115" w:type="dxa"/>
            <w:vAlign w:val="top"/>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000000"/>
                <w:sz w:val="24"/>
                <w:szCs w:val="24"/>
                <w:highlight w:val="none"/>
                <w:lang w:eastAsia="zh-CN"/>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eastAsia="宋体" w:cs="宋体"/>
                <w:bCs/>
                <w:color w:val="000000"/>
                <w:sz w:val="24"/>
                <w:szCs w:val="24"/>
                <w:highlight w:val="none"/>
              </w:rPr>
              <w:t xml:space="preserve">落实政府采购政策需满足的资格要求：本项目</w:t>
            </w:r>
            <w:r>
              <w:rPr>
                <w:rFonts w:hint="eastAsia" w:ascii="宋体" w:hAnsi="宋体" w:cs="宋体"/>
                <w:bCs/>
                <w:color w:val="000000"/>
                <w:sz w:val="24"/>
                <w:szCs w:val="24"/>
                <w:highlight w:val="none"/>
                <w:lang w:val="en-US" w:eastAsia="zh-CN"/>
              </w:rPr>
              <w:t xml:space="preserve">非</w:t>
            </w:r>
            <w:r>
              <w:rPr>
                <w:rFonts w:hint="eastAsia" w:ascii="宋体" w:hAnsi="宋体" w:eastAsia="宋体" w:cs="宋体"/>
                <w:bCs/>
                <w:color w:val="000000"/>
                <w:sz w:val="24"/>
                <w:szCs w:val="24"/>
                <w:highlight w:val="none"/>
              </w:rPr>
              <w:t xml:space="preserve">专门面向中小企业采购</w:t>
            </w:r>
            <w:r>
              <w:rPr>
                <w:rFonts w:hint="eastAsia" w:ascii="宋体" w:hAnsi="宋体" w:cs="宋体"/>
                <w:bCs/>
                <w:color w:val="000000"/>
                <w:sz w:val="24"/>
                <w:szCs w:val="24"/>
                <w:highlight w:val="none"/>
                <w:lang w:eastAsia="zh-CN"/>
              </w:rPr>
              <w:t xml:space="preserve">；</w:t>
            </w:r>
            <w:r/>
          </w:p>
          <w:p>
            <w:pPr>
              <w:numPr>
                <w:ilvl w:val="0"/>
                <w:numId w:val="0"/>
              </w:numPr>
              <w:rPr>
                <w:rFonts w:hint="eastAsia" w:eastAsia="仿宋_GB2312"/>
                <w:highlight w:val="none"/>
                <w:lang w:val="zh-CN" w:eastAsia="zh-CN"/>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val="zh-CN"/>
              </w:rPr>
              <w:t xml:space="preserve">由于时间紧迫，投标人需承诺服务期限自</w:t>
            </w:r>
            <w:r>
              <w:rPr>
                <w:rFonts w:hint="eastAsia" w:ascii="宋体" w:hAnsi="宋体" w:cs="宋体"/>
                <w:bCs/>
                <w:color w:val="000000"/>
                <w:sz w:val="24"/>
                <w:szCs w:val="24"/>
                <w:highlight w:val="none"/>
                <w:lang w:val="en-US" w:eastAsia="zh-CN"/>
              </w:rPr>
              <w:t xml:space="preserve">2026年6月30日零时起，保险期限为一年。</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投标人须</w:t>
            </w:r>
            <w:r>
              <w:rPr>
                <w:rFonts w:hint="eastAsia" w:ascii="宋体" w:hAnsi="宋体" w:cs="宋体"/>
                <w:bCs/>
                <w:color w:val="000000"/>
                <w:sz w:val="24"/>
                <w:szCs w:val="24"/>
                <w:highlight w:val="none"/>
                <w:lang w:val="zh-CN"/>
              </w:rPr>
              <w:t xml:space="preserve">提供</w:t>
            </w:r>
            <w:r>
              <w:rPr>
                <w:rFonts w:hint="eastAsia" w:ascii="宋体" w:hAnsi="宋体" w:cs="宋体"/>
                <w:bCs/>
                <w:color w:val="000000"/>
                <w:sz w:val="24"/>
                <w:szCs w:val="24"/>
                <w:highlight w:val="none"/>
                <w:lang w:val="en-US" w:eastAsia="zh-CN"/>
              </w:rPr>
              <w:t xml:space="preserve">加盖公章的</w:t>
            </w:r>
            <w:r>
              <w:rPr>
                <w:rFonts w:hint="eastAsia" w:ascii="宋体" w:hAnsi="宋体" w:cs="宋体"/>
                <w:bCs/>
                <w:color w:val="000000"/>
                <w:sz w:val="24"/>
                <w:szCs w:val="24"/>
                <w:highlight w:val="none"/>
                <w:lang w:val="zh-CN"/>
              </w:rPr>
              <w:t xml:space="preserve">承诺书</w:t>
            </w:r>
            <w:r>
              <w:rPr>
                <w:rFonts w:hint="eastAsia" w:ascii="宋体" w:hAnsi="宋体" w:cs="宋体"/>
                <w:bCs/>
                <w:color w:val="000000"/>
                <w:sz w:val="24"/>
                <w:szCs w:val="24"/>
                <w:highlight w:val="none"/>
                <w:lang w:val="en-US" w:eastAsia="zh-CN"/>
              </w:rPr>
              <w:t xml:space="preserve">扫描件，格式自拟。</w:t>
            </w:r>
            <w:r>
              <w:rPr>
                <w:rFonts w:hint="eastAsia" w:ascii="宋体" w:hAnsi="宋体" w:cs="宋体"/>
                <w:bCs/>
                <w:color w:val="000000"/>
                <w:sz w:val="24"/>
                <w:szCs w:val="24"/>
                <w:highlight w:val="none"/>
                <w:lang w:val="zh-CN"/>
              </w:rPr>
              <w:t xml:space="preserve">）</w:t>
            </w:r>
            <w:bookmarkEnd w:id="6"/>
            <w:r/>
            <w:r/>
          </w:p>
        </w:tc>
      </w:tr>
      <w:tr>
        <w:trPr>
          <w:jc w:val="center"/>
          <w:trHeight w:val="590"/>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招标</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w:t>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bookmarkStart w:id="8"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8"/>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3</w:t>
            </w:r>
            <w:r>
              <w:rPr>
                <w:rFonts w:hint="eastAsia" w:ascii="宋体" w:hAnsi="宋体" w:cs="宋体"/>
                <w:bCs/>
                <w:color w:val="000000"/>
                <w:sz w:val="24"/>
                <w:szCs w:val="21"/>
                <w:highlight w:val="none"/>
              </w:rPr>
              <w:t xml:space="preserve">.</w:t>
            </w:r>
            <w:r>
              <w:rPr>
                <w:rFonts w:hint="eastAsia" w:ascii="宋体" w:hAnsi="宋体" w:cs="宋体"/>
                <w:bCs/>
                <w:color w:val="000000"/>
                <w:sz w:val="24"/>
                <w:szCs w:val="21"/>
                <w:highlight w:val="none"/>
                <w:lang w:val="en-US" w:eastAsia="zh-CN"/>
              </w:rPr>
              <w:t xml:space="preserve">中标</w:t>
            </w:r>
            <w:r>
              <w:rPr>
                <w:rFonts w:hint="eastAsia" w:ascii="宋体" w:hAnsi="宋体" w:cs="宋体"/>
                <w:bCs/>
                <w:color w:val="000000"/>
                <w:sz w:val="24"/>
                <w:szCs w:val="21"/>
                <w:highlight w:val="none"/>
              </w:rPr>
              <w:t xml:space="preserve">供应商在</w:t>
            </w:r>
            <w:r>
              <w:rPr>
                <w:rFonts w:hint="eastAsia" w:ascii="宋体" w:hAnsi="宋体" w:cs="宋体"/>
                <w:bCs/>
                <w:color w:val="000000"/>
                <w:sz w:val="24"/>
                <w:szCs w:val="21"/>
                <w:highlight w:val="none"/>
                <w:lang w:val="en-US" w:eastAsia="zh-CN"/>
              </w:rPr>
              <w:t xml:space="preserve">领取中标</w:t>
            </w:r>
            <w:r>
              <w:rPr>
                <w:rFonts w:hint="eastAsia" w:ascii="宋体" w:hAnsi="宋体" w:cs="宋体"/>
                <w:bCs/>
                <w:color w:val="000000"/>
                <w:sz w:val="24"/>
                <w:szCs w:val="21"/>
                <w:highlight w:val="none"/>
              </w:rPr>
              <w:t xml:space="preserve">通知书前，提供</w:t>
            </w:r>
            <w:r>
              <w:rPr>
                <w:rFonts w:hint="eastAsia" w:ascii="宋体" w:hAnsi="宋体" w:cs="宋体"/>
                <w:bCs/>
                <w:color w:val="000000"/>
                <w:sz w:val="24"/>
                <w:szCs w:val="21"/>
                <w:highlight w:val="none"/>
                <w:lang w:val="en-US" w:eastAsia="zh-CN"/>
              </w:rPr>
              <w:t xml:space="preserve">贰</w:t>
            </w:r>
            <w:r>
              <w:rPr>
                <w:rFonts w:hint="eastAsia" w:ascii="宋体" w:hAnsi="宋体" w:cs="宋体"/>
                <w:bCs/>
                <w:color w:val="000000"/>
                <w:sz w:val="24"/>
                <w:szCs w:val="21"/>
                <w:highlight w:val="none"/>
              </w:rPr>
              <w:t xml:space="preserve">份纸质</w:t>
            </w:r>
            <w:r>
              <w:rPr>
                <w:rFonts w:hint="eastAsia" w:ascii="宋体" w:hAnsi="宋体" w:cs="宋体"/>
                <w:bCs/>
                <w:color w:val="000000"/>
                <w:sz w:val="24"/>
                <w:szCs w:val="21"/>
                <w:highlight w:val="none"/>
                <w:lang w:val="en-US" w:eastAsia="zh-CN"/>
              </w:rPr>
              <w:t xml:space="preserve">投标</w:t>
            </w:r>
            <w:r>
              <w:rPr>
                <w:rFonts w:hint="eastAsia" w:ascii="宋体" w:hAnsi="宋体" w:cs="宋体"/>
                <w:bCs/>
                <w:color w:val="000000"/>
                <w:sz w:val="24"/>
                <w:szCs w:val="21"/>
                <w:highlight w:val="none"/>
              </w:rPr>
              <w:t xml:space="preserve">文件(必须与电子</w:t>
            </w:r>
            <w:r>
              <w:rPr>
                <w:rFonts w:hint="eastAsia" w:ascii="宋体" w:hAnsi="宋体" w:cs="宋体"/>
                <w:bCs/>
                <w:color w:val="000000"/>
                <w:sz w:val="24"/>
                <w:szCs w:val="21"/>
                <w:highlight w:val="none"/>
                <w:lang w:eastAsia="zh-CN"/>
              </w:rPr>
              <w:t xml:space="preserve">投标</w:t>
            </w:r>
            <w:r>
              <w:rPr>
                <w:rFonts w:hint="eastAsia" w:ascii="宋体" w:hAnsi="宋体" w:cs="宋体"/>
                <w:bCs/>
                <w:color w:val="000000"/>
                <w:sz w:val="24"/>
                <w:szCs w:val="21"/>
                <w:highlight w:val="none"/>
              </w:rPr>
              <w:t xml:space="preserve">文件一致)。</w:t>
            </w:r>
            <w:r/>
          </w:p>
        </w:tc>
      </w:tr>
      <w:tr>
        <w:trPr>
          <w:jc w:val="center"/>
          <w:trHeight w:val="60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967" w:type="dxa"/>
            <w:vAlign w:val="center"/>
            <w:textDirection w:val="lrTb"/>
            <w:noWrap w:val="false"/>
          </w:tcPr>
          <w:p>
            <w:pPr>
              <w:pStyle w:val="1040"/>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115"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967" w:type="dxa"/>
            <w:vAlign w:val="center"/>
            <w:textDirection w:val="lrTb"/>
            <w:noWrap w:val="false"/>
          </w:tcPr>
          <w:p>
            <w:pPr>
              <w:pStyle w:val="1040"/>
              <w:jc w:val="center"/>
              <w:rPr>
                <w:b/>
                <w:bCs/>
                <w:color w:val="000000"/>
                <w:szCs w:val="22"/>
                <w:highlight w:val="none"/>
                <w:lang w:val="zh-CN"/>
              </w:rPr>
            </w:pPr>
            <w:r>
              <w:rPr>
                <w:rFonts w:hint="eastAsia"/>
                <w:b/>
                <w:bCs/>
                <w:color w:val="000000"/>
                <w:szCs w:val="22"/>
                <w:highlight w:val="none"/>
                <w:lang w:val="zh-CN"/>
              </w:rPr>
              <w:t xml:space="preserve">其他</w:t>
            </w:r>
            <w:r/>
          </w:p>
          <w:p>
            <w:pPr>
              <w:pStyle w:val="1040"/>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115"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967"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115" w:type="dxa"/>
            <w:vAlign w:val="top"/>
            <w:textDirection w:val="lrTb"/>
            <w:noWrap w:val="false"/>
          </w:tcPr>
          <w:p>
            <w:pPr>
              <w:ind w:firstLine="480"/>
              <w:rPr>
                <w:rFonts w:ascii="宋体" w:hAnsi="宋体" w:cs="宋体"/>
                <w:bCs/>
                <w:color w:val="000000"/>
                <w:sz w:val="24"/>
                <w:szCs w:val="21"/>
                <w:highlight w:val="none"/>
              </w:rPr>
            </w:pPr>
            <w:r/>
            <w:bookmarkStart w:id="9"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1.</w:t>
            </w:r>
            <w:r>
              <w:rPr>
                <w:rFonts w:hint="eastAsia" w:ascii="宋体" w:hAnsi="宋体" w:cs="宋体"/>
                <w:b/>
                <w:bCs w:val="0"/>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0"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2.</w:t>
            </w:r>
            <w:r>
              <w:rPr>
                <w:rFonts w:hint="eastAsia" w:ascii="宋体" w:hAnsi="宋体" w:cs="宋体"/>
                <w:b/>
                <w:bCs w:val="0"/>
                <w:color w:val="000000"/>
                <w:sz w:val="24"/>
                <w:szCs w:val="21"/>
                <w:highlight w:val="none"/>
              </w:rPr>
              <w:t xml:space="preserve">采购活动时间：</w:t>
            </w:r>
            <w:r/>
          </w:p>
          <w:p>
            <w:pPr>
              <w:rPr>
                <w:rFonts w:hint="default" w:ascii="宋体" w:hAnsi="宋体" w:cs="宋体"/>
                <w:bCs/>
                <w:color w:val="000000"/>
                <w:sz w:val="24"/>
                <w:szCs w:val="21"/>
                <w:highlight w:val="none"/>
                <w:lang w:val="en-US" w:eastAsia="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w:t>
            </w:r>
            <w:r>
              <w:rPr>
                <w:rFonts w:hint="eastAsia" w:ascii="宋体" w:hAnsi="宋体" w:cs="宋体"/>
                <w:bCs/>
                <w:color w:val="000000"/>
                <w:sz w:val="24"/>
                <w:szCs w:val="21"/>
                <w:highlight w:val="none"/>
                <w:lang w:val="en-US" w:eastAsia="zh-CN"/>
              </w:rPr>
              <w:t xml:space="preserve">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820" w:type="dxa"/>
            <w:vAlign w:val="center"/>
            <w:vMerge w:val="restart"/>
            <w:textDirection w:val="lrTb"/>
            <w:noWrap w:val="false"/>
          </w:tcPr>
          <w:p>
            <w:pPr>
              <w:jc w:val="center"/>
              <w:rPr>
                <w:rFonts w:hint="eastAsia" w:ascii="宋体" w:hAnsi="宋体"/>
                <w:bCs/>
                <w:color w:val="000000"/>
                <w:sz w:val="24"/>
                <w:szCs w:val="24"/>
                <w:highlight w:val="none"/>
              </w:rPr>
            </w:pPr>
            <w:r/>
            <w:bookmarkStart w:id="11" w:name="OLE_LINK84"/>
            <w:r>
              <w:rPr>
                <w:rFonts w:hint="eastAsia" w:ascii="宋体" w:hAnsi="宋体"/>
                <w:bCs/>
                <w:color w:val="000000"/>
                <w:sz w:val="24"/>
                <w:szCs w:val="24"/>
                <w:highlight w:val="none"/>
              </w:rPr>
              <w:t xml:space="preserve">8</w:t>
            </w:r>
            <w:r/>
          </w:p>
        </w:tc>
        <w:tc>
          <w:tcPr>
            <w:tcW w:w="967" w:type="dxa"/>
            <w:vAlign w:val="center"/>
            <w:vMerge w:val="restart"/>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联系</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方式</w:t>
            </w:r>
            <w:r/>
          </w:p>
        </w:tc>
        <w:tc>
          <w:tcPr>
            <w:tcW w:w="1833" w:type="dxa"/>
            <w:vAlign w:val="center"/>
            <w:textDirection w:val="lrTb"/>
            <w:noWrap w:val="false"/>
          </w:tcPr>
          <w:p>
            <w:pPr>
              <w:jc w:val="center"/>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宜兴市人民医院</w:t>
            </w:r>
            <w:r/>
          </w:p>
          <w:p>
            <w:pPr>
              <w:jc w:val="left"/>
              <w:rPr>
                <w:rFonts w:hint="default"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许先生</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联系电话：0510-83055650</w:t>
            </w:r>
            <w:r>
              <w:rPr>
                <w:rFonts w:hint="eastAsia" w:ascii="宋体" w:hAnsi="宋体"/>
                <w:bCs/>
                <w:color w:val="000000"/>
                <w:sz w:val="24"/>
                <w:szCs w:val="24"/>
                <w:highlight w:val="none"/>
                <w:lang w:val="en-US" w:eastAsia="zh-CN"/>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联系地址：江苏省无锡市宜兴市</w:t>
            </w:r>
            <w:r>
              <w:rPr>
                <w:rFonts w:hint="eastAsia" w:ascii="宋体" w:hAnsi="宋体"/>
                <w:bCs/>
                <w:color w:val="000000"/>
                <w:sz w:val="24"/>
                <w:szCs w:val="24"/>
                <w:highlight w:val="none"/>
                <w:lang w:val="en-US" w:eastAsia="zh-CN"/>
              </w:rPr>
              <w:t xml:space="preserve">新城路1588号</w:t>
            </w:r>
            <w:r>
              <w:rPr>
                <w:rFonts w:hint="eastAsia" w:ascii="宋体" w:hAnsi="宋体" w:eastAsia="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邮政编码：214200</w:t>
            </w:r>
            <w:r/>
          </w:p>
        </w:tc>
      </w:tr>
      <w:tr>
        <w:trPr>
          <w:jc w:val="center"/>
          <w:trHeight w:val="9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宜兴市中达企业管理咨询服务有限公司</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黄女士</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lang w:val="en-US" w:eastAsia="zh-CN"/>
              </w:rPr>
              <w:t xml:space="preserve">18036066058</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联系地址：</w:t>
            </w:r>
            <w:r>
              <w:rPr>
                <w:rFonts w:hint="eastAsia" w:ascii="宋体" w:hAnsi="宋体"/>
                <w:bCs/>
                <w:color w:val="auto"/>
                <w:sz w:val="24"/>
                <w:szCs w:val="24"/>
                <w:highlight w:val="none"/>
                <w:lang w:eastAsia="zh-CN"/>
              </w:rPr>
              <w:t xml:space="preserve">宜兴市环科园绿园路</w:t>
            </w:r>
            <w:r>
              <w:rPr>
                <w:rFonts w:hint="eastAsia" w:ascii="宋体" w:hAnsi="宋体"/>
                <w:bCs/>
                <w:color w:val="auto"/>
                <w:sz w:val="24"/>
                <w:szCs w:val="24"/>
                <w:highlight w:val="none"/>
                <w:lang w:val="en-US" w:eastAsia="zh-CN"/>
              </w:rPr>
              <w:t xml:space="preserve">108号</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2"/>
            <w:r/>
            <w:bookmarkEnd w:id="11"/>
            <w:r/>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2" w:name="_Toc24238"/>
      <w:r/>
      <w:bookmarkStart w:id="13" w:name="OLE_LINK38"/>
      <w:r>
        <w:rPr>
          <w:rFonts w:hint="eastAsia" w:ascii="黑体" w:hAnsi="黑体" w:eastAsia="黑体"/>
          <w:color w:val="000000"/>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4"/>
      <w:r>
        <w:rPr>
          <w:rFonts w:hint="eastAsia" w:ascii="宋体" w:hAnsi="宋体"/>
          <w:bCs/>
          <w:color w:val="000000"/>
          <w:sz w:val="24"/>
          <w:szCs w:val="24"/>
          <w:highlight w:val="none"/>
        </w:rPr>
        <w:t xml:space="preserve">；</w:t>
      </w:r>
      <w:bookmarkStart w:id="15"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6"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17" w:name="_Hlk151624258"/>
      <w:r/>
      <w:bookmarkStart w:id="18" w:name="_Hlk151624234"/>
      <w:r>
        <w:rPr>
          <w:rFonts w:hint="eastAsia" w:ascii="宋体" w:hAnsi="宋体"/>
          <w:bCs/>
          <w:color w:val="000000"/>
          <w:sz w:val="24"/>
          <w:szCs w:val="24"/>
          <w:highlight w:val="none"/>
          <w:lang w:val="zh-CN"/>
        </w:rPr>
        <w:t xml:space="preserve">3、政府采购政策</w:t>
      </w:r>
      <w:bookmarkEnd w:id="17"/>
      <w:r/>
      <w:bookmarkEnd w:id="18"/>
      <w:r/>
      <w:r/>
    </w:p>
    <w:p>
      <w:pPr>
        <w:ind w:firstLine="480"/>
        <w:spacing w:line="360" w:lineRule="auto"/>
        <w:rPr>
          <w:rFonts w:hint="eastAsia" w:ascii="宋体" w:hAnsi="宋体" w:eastAsia="宋体" w:cs="Times New Roman"/>
          <w:bCs/>
          <w:color w:val="000000"/>
          <w:sz w:val="24"/>
          <w:szCs w:val="24"/>
          <w:highlight w:val="none"/>
          <w:lang w:val="zh-CN"/>
        </w:rPr>
      </w:pPr>
      <w:r/>
      <w:bookmarkStart w:id="19" w:name="_Hlk151625314"/>
      <w:r>
        <w:rPr>
          <w:rFonts w:hint="eastAsia" w:ascii="宋体" w:hAnsi="宋体" w:eastAsia="宋体" w:cs="Times New Roman"/>
          <w:bCs/>
          <w:color w:val="000000"/>
          <w:sz w:val="24"/>
          <w:szCs w:val="24"/>
          <w:highlight w:val="none"/>
          <w:lang w:val="zh-CN"/>
        </w:rPr>
        <w:t xml:space="preserve">3.1 </w:t>
      </w:r>
      <w:bookmarkEnd w:id="19"/>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zh-CN"/>
        </w:rPr>
        <w:t xml:space="preserve">政府采购支持中小企业发展</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对于专门面向中小企业的项目</w:t>
      </w:r>
      <w:r>
        <w:rPr>
          <w:rFonts w:hint="eastAsia" w:ascii="宋体" w:hAnsi="宋体" w:eastAsia="宋体" w:cs="Times New Roman"/>
          <w:bCs/>
          <w:color w:val="000000"/>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22"/>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000000"/>
          <w:sz w:val="24"/>
          <w:szCs w:val="24"/>
          <w:highlight w:val="none"/>
          <w:lang w:val="zh-CN"/>
        </w:rPr>
        <w:t xml:space="preserve">若投标人提供的货物</w:t>
      </w:r>
      <w:bookmarkEnd w:id="23"/>
      <w:r>
        <w:rPr>
          <w:rFonts w:hint="eastAsia" w:ascii="宋体" w:hAnsi="宋体" w:eastAsia="宋体" w:cs="Times New Roman"/>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鼓励</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numPr>
          <w:ilvl w:val="0"/>
          <w:numId w:val="2"/>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numPr>
          <w:ilvl w:val="0"/>
          <w:numId w:val="0"/>
        </w:num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bookmarkStart w:id="24" w:name="OLE_LINK107"/>
      <w:r/>
      <w:bookmarkStart w:id="25" w:name="OLE_LINK88"/>
      <w:r/>
      <w:r/>
    </w:p>
    <w:p>
      <w:pPr>
        <w:numPr>
          <w:ilvl w:val="0"/>
          <w:numId w:val="0"/>
        </w:numPr>
        <w:ind w:firstLine="480"/>
        <w:jc w:val="left"/>
        <w:spacing w:line="360" w:lineRule="auto"/>
        <w:rPr>
          <w:rFonts w:ascii="宋体" w:hAnsi="宋体"/>
          <w:color w:val="auto"/>
          <w:sz w:val="24"/>
          <w:highlight w:val="none"/>
          <w:u w:val="none"/>
        </w:rPr>
      </w:pPr>
      <w:r>
        <w:rPr>
          <w:rFonts w:hint="eastAsia" w:ascii="宋体" w:hAnsi="宋体"/>
          <w:bCs/>
          <w:color w:val="auto"/>
          <w:sz w:val="24"/>
          <w:szCs w:val="24"/>
          <w:highlight w:val="none"/>
        </w:rPr>
        <w:t xml:space="preserve">4.2 </w:t>
      </w:r>
      <w:bookmarkEnd w:id="24"/>
      <w:r/>
      <w:bookmarkEnd w:id="25"/>
      <w:r>
        <w:rPr>
          <w:rFonts w:hint="eastAsia" w:ascii="宋体" w:hAnsi="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none"/>
          <w:lang w:eastAsia="zh-CN"/>
        </w:rPr>
        <w:t xml:space="preserve">按照中标金额</w:t>
      </w:r>
      <w:r>
        <w:rPr>
          <w:rFonts w:hint="eastAsia" w:ascii="宋体" w:hAnsi="宋体" w:eastAsia="宋体" w:cs="宋体"/>
          <w:bCs/>
          <w:color w:val="auto"/>
          <w:sz w:val="24"/>
          <w:szCs w:val="24"/>
          <w:highlight w:val="none"/>
          <w:u w:val="none"/>
          <w:lang w:val="en-US" w:eastAsia="zh-CN"/>
        </w:rPr>
        <w:t xml:space="preserve">*费率*63</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none"/>
          <w:lang w:val="en-US" w:eastAsia="zh-CN"/>
        </w:rPr>
        <w:t xml:space="preserve">收</w:t>
      </w:r>
      <w:r>
        <w:rPr>
          <w:rFonts w:hint="eastAsia" w:ascii="宋体" w:hAnsi="宋体" w:eastAsia="宋体" w:cs="宋体"/>
          <w:bCs/>
          <w:color w:val="auto"/>
          <w:sz w:val="24"/>
          <w:szCs w:val="24"/>
          <w:highlight w:val="none"/>
          <w:u w:val="none"/>
        </w:rPr>
        <w:t xml:space="preserve">取</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u w:val="none"/>
        </w:rPr>
        <w:t xml:space="preserve">投标人自行考虑在本次报价中，由中标</w:t>
      </w:r>
      <w:r>
        <w:rPr>
          <w:rFonts w:hint="eastAsia" w:ascii="宋体" w:hAnsi="宋体" w:eastAsia="宋体" w:cs="宋体"/>
          <w:bCs/>
          <w:color w:val="auto"/>
          <w:sz w:val="24"/>
          <w:szCs w:val="24"/>
          <w:highlight w:val="none"/>
          <w:u w:val="none"/>
          <w:lang w:val="en-US" w:eastAsia="zh-CN"/>
        </w:rPr>
        <w:t xml:space="preserve">单位</w:t>
      </w:r>
      <w:r>
        <w:rPr>
          <w:rFonts w:hint="eastAsia" w:ascii="宋体" w:hAnsi="宋体" w:eastAsia="宋体" w:cs="宋体"/>
          <w:bCs/>
          <w:color w:val="auto"/>
          <w:sz w:val="24"/>
          <w:szCs w:val="24"/>
          <w:highlight w:val="none"/>
          <w:u w:val="none"/>
        </w:rPr>
        <w:t xml:space="preserve">向代理机构一次性付清。</w:t>
      </w:r>
      <w:r/>
    </w:p>
    <w:p>
      <w:pPr>
        <w:ind w:firstLine="480"/>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zh-CN"/>
        </w:rPr>
        <w:t xml:space="preserve">保密要求</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6"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6"/>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7" w:name="OLE_LINK253"/>
      <w:r>
        <w:rPr>
          <w:rFonts w:hint="eastAsia" w:ascii="宋体" w:hAnsi="宋体"/>
          <w:bCs/>
          <w:color w:val="000000"/>
          <w:sz w:val="24"/>
          <w:szCs w:val="24"/>
          <w:highlight w:val="none"/>
        </w:rPr>
        <w:t xml:space="preserve">采购人或者</w:t>
      </w:r>
      <w:bookmarkEnd w:id="27"/>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8" w:name="OLE_LINK21"/>
      <w:r>
        <w:rPr>
          <w:rFonts w:hint="eastAsia" w:ascii="宋体" w:hAnsi="宋体"/>
          <w:bCs/>
          <w:color w:val="000000"/>
          <w:sz w:val="24"/>
          <w:szCs w:val="24"/>
          <w:highlight w:val="none"/>
        </w:rPr>
        <w:t xml:space="preserve">第四章 评标方法和标准</w:t>
      </w:r>
      <w:bookmarkEnd w:id="28"/>
      <w:r>
        <w:rPr>
          <w:rFonts w:hint="eastAsia" w:ascii="宋体" w:hAnsi="宋体"/>
          <w:bCs/>
          <w:color w:val="000000"/>
          <w:sz w:val="24"/>
          <w:szCs w:val="24"/>
          <w:highlight w:val="none"/>
        </w:rPr>
        <w:t xml:space="preserve">”由</w:t>
      </w:r>
      <w:bookmarkStart w:id="29" w:name="OLE_LINK13"/>
      <w:r>
        <w:rPr>
          <w:rFonts w:hint="eastAsia" w:ascii="宋体" w:hAnsi="宋体"/>
          <w:bCs/>
          <w:color w:val="000000"/>
          <w:sz w:val="24"/>
          <w:szCs w:val="24"/>
          <w:highlight w:val="none"/>
        </w:rPr>
        <w:t xml:space="preserve">采购人负责解释</w:t>
      </w:r>
      <w:bookmarkEnd w:id="29"/>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30"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30"/>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31" w:name="_Hlk151557699"/>
      <w:r>
        <w:rPr>
          <w:rFonts w:hint="eastAsia" w:ascii="宋体" w:hAnsi="宋体"/>
          <w:b/>
          <w:color w:val="000000"/>
          <w:sz w:val="24"/>
          <w:szCs w:val="24"/>
          <w:highlight w:val="none"/>
        </w:rPr>
        <w:t xml:space="preserve">9、</w:t>
      </w:r>
      <w:bookmarkStart w:id="32" w:name="OLE_LINK62"/>
      <w:r>
        <w:rPr>
          <w:rFonts w:hint="eastAsia" w:ascii="宋体" w:hAnsi="宋体"/>
          <w:b/>
          <w:color w:val="000000"/>
          <w:sz w:val="24"/>
          <w:szCs w:val="24"/>
          <w:highlight w:val="none"/>
        </w:rPr>
        <w:t xml:space="preserve">投标文件的组成</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3" w:name="OLE_LINK20"/>
      <w:r/>
      <w:bookmarkStart w:id="34"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35" w:name="_Hlk151555273"/>
      <w:r/>
      <w:bookmarkStart w:id="36" w:name="_Hlk151448723"/>
      <w:r>
        <w:rPr>
          <w:rFonts w:hint="eastAsia" w:ascii="宋体" w:hAnsi="宋体"/>
          <w:bCs/>
          <w:color w:val="000000"/>
          <w:sz w:val="24"/>
          <w:szCs w:val="24"/>
          <w:highlight w:val="none"/>
        </w:rPr>
        <w:t xml:space="preserve">资格</w:t>
      </w:r>
      <w:bookmarkEnd w:id="33"/>
      <w:r>
        <w:rPr>
          <w:rFonts w:hint="eastAsia" w:ascii="宋体" w:hAnsi="宋体"/>
          <w:bCs/>
          <w:color w:val="000000"/>
          <w:sz w:val="24"/>
          <w:szCs w:val="24"/>
          <w:highlight w:val="none"/>
        </w:rPr>
        <w:t xml:space="preserve">条件</w:t>
      </w:r>
      <w:bookmarkEnd w:id="35"/>
      <w:r/>
      <w:bookmarkStart w:id="37"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38" w:name="_Hlk151448601"/>
      <w:r>
        <w:rPr>
          <w:rFonts w:hint="eastAsia" w:ascii="宋体" w:hAnsi="宋体"/>
          <w:bCs/>
          <w:color w:val="000000"/>
          <w:sz w:val="24"/>
          <w:szCs w:val="24"/>
          <w:highlight w:val="none"/>
          <w:lang w:val="zh-CN"/>
        </w:rPr>
        <w:t xml:space="preserve">提供《关于资格的声明函》；</w:t>
      </w:r>
      <w:bookmarkEnd w:id="38"/>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r>
        <w:rPr>
          <w:rFonts w:hint="eastAsia" w:ascii="宋体" w:hAnsi="宋体"/>
          <w:b/>
          <w:bCs w:val="0"/>
          <w:color w:val="000000"/>
          <w:sz w:val="24"/>
          <w:szCs w:val="24"/>
          <w:highlight w:val="none"/>
          <w:lang w:val="zh-CN"/>
        </w:rPr>
        <w:t xml:space="preserve">被授权代表身份证明</w:t>
      </w:r>
      <w:bookmarkStart w:id="39" w:name="_Hlk163378222"/>
      <w:r>
        <w:rPr>
          <w:rFonts w:hint="eastAsia" w:ascii="宋体" w:hAnsi="宋体"/>
          <w:b/>
          <w:bCs w:val="0"/>
          <w:color w:val="000000"/>
          <w:sz w:val="24"/>
          <w:szCs w:val="24"/>
          <w:highlight w:val="none"/>
          <w:lang w:val="zh-CN"/>
        </w:rPr>
        <w:t xml:space="preserve">（授权委托书）</w:t>
      </w:r>
      <w:bookmarkEnd w:id="39"/>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
          <w:bCs w:val="0"/>
          <w:color w:val="000000"/>
          <w:sz w:val="24"/>
          <w:szCs w:val="24"/>
          <w:highlight w:val="none"/>
          <w:lang w:val="zh-CN"/>
        </w:rPr>
        <w:t xml:space="preserve">无不良信用记录</w:t>
      </w:r>
      <w:r>
        <w:rPr>
          <w:rFonts w:hint="eastAsia" w:ascii="宋体" w:hAnsi="宋体"/>
          <w:bCs/>
          <w:color w:val="000000"/>
          <w:sz w:val="24"/>
          <w:szCs w:val="24"/>
          <w:highlight w:val="none"/>
          <w:lang w:val="zh-CN"/>
        </w:rPr>
        <w:t xml:space="preserve">：</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40" w:name="_Hlk139976635"/>
      <w:r>
        <w:rPr>
          <w:rFonts w:hint="eastAsia" w:ascii="宋体" w:hAnsi="宋体"/>
          <w:bCs/>
          <w:color w:val="000000"/>
          <w:sz w:val="24"/>
          <w:szCs w:val="24"/>
          <w:highlight w:val="none"/>
          <w:lang w:val="zh-CN"/>
        </w:rPr>
        <w:t xml:space="preserve">人提供的资格声明函中作出的无不良信用记录承诺为准</w:t>
      </w:r>
      <w:bookmarkEnd w:id="40"/>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cs="宋体"/>
          <w:b/>
          <w:bCs w:val="0"/>
          <w:color w:val="000000"/>
          <w:sz w:val="24"/>
          <w:szCs w:val="24"/>
          <w:highlight w:val="none"/>
          <w:lang w:val="zh-CN"/>
        </w:rPr>
      </w:pPr>
      <w:r/>
      <w:bookmarkStart w:id="41" w:name="_Hlk151448642"/>
      <w:r>
        <w:rPr>
          <w:rFonts w:hint="eastAsia" w:ascii="宋体" w:hAnsi="宋体"/>
          <w:bCs/>
          <w:color w:val="000000"/>
          <w:sz w:val="24"/>
          <w:szCs w:val="24"/>
          <w:highlight w:val="none"/>
          <w:lang w:val="zh-CN"/>
        </w:rPr>
        <w:t xml:space="preserve">⑧</w:t>
      </w:r>
      <w:r>
        <w:rPr>
          <w:rFonts w:hint="eastAsia" w:ascii="宋体" w:hAnsi="宋体"/>
          <w:b/>
          <w:bCs w:val="0"/>
          <w:color w:val="000000"/>
          <w:sz w:val="24"/>
          <w:szCs w:val="24"/>
          <w:highlight w:val="none"/>
          <w:lang w:val="zh-CN"/>
        </w:rPr>
        <w:t xml:space="preserve">本项目的</w:t>
      </w:r>
      <w:r>
        <w:rPr>
          <w:rFonts w:hint="eastAsia" w:ascii="宋体" w:hAnsi="宋体" w:cs="宋体"/>
          <w:b/>
          <w:bCs w:val="0"/>
          <w:color w:val="000000"/>
          <w:sz w:val="24"/>
          <w:szCs w:val="24"/>
          <w:highlight w:val="none"/>
        </w:rPr>
        <w:t xml:space="preserve">特定资格要求</w:t>
      </w:r>
      <w:r>
        <w:rPr>
          <w:rFonts w:hint="eastAsia" w:ascii="宋体" w:hAnsi="宋体"/>
          <w:b/>
          <w:bCs w:val="0"/>
          <w:color w:val="000000"/>
          <w:sz w:val="24"/>
          <w:szCs w:val="24"/>
          <w:highlight w:val="none"/>
          <w:lang w:val="zh-CN"/>
        </w:rPr>
        <w:t xml:space="preserve">：</w:t>
      </w:r>
      <w:bookmarkEnd w:id="41"/>
      <w:r/>
      <w:bookmarkStart w:id="42" w:name="OLE_LINK114"/>
      <w:r>
        <w:rPr>
          <w:rFonts w:hint="eastAsia" w:ascii="宋体" w:hAnsi="宋体" w:cs="宋体"/>
          <w:b/>
          <w:bCs w:val="0"/>
          <w:color w:val="000000"/>
          <w:sz w:val="24"/>
          <w:szCs w:val="24"/>
          <w:highlight w:val="none"/>
          <w:lang w:val="zh-CN"/>
        </w:rPr>
        <w:t xml:space="preserve">由于时间紧迫，投标人需承诺服务期限自</w:t>
      </w:r>
      <w:r>
        <w:rPr>
          <w:rFonts w:hint="eastAsia" w:ascii="宋体" w:hAnsi="宋体" w:cs="宋体"/>
          <w:b/>
          <w:bCs w:val="0"/>
          <w:color w:val="000000"/>
          <w:sz w:val="24"/>
          <w:szCs w:val="24"/>
          <w:highlight w:val="none"/>
          <w:lang w:val="en-US" w:eastAsia="zh-CN"/>
        </w:rPr>
        <w:t xml:space="preserve">2026年6月30日零时起，保险期限为一年。</w:t>
      </w:r>
      <w:r>
        <w:rPr>
          <w:rFonts w:hint="eastAsia" w:ascii="宋体" w:hAnsi="宋体" w:cs="宋体"/>
          <w:b/>
          <w:bCs w:val="0"/>
          <w:color w:val="000000"/>
          <w:sz w:val="24"/>
          <w:szCs w:val="24"/>
          <w:highlight w:val="none"/>
          <w:lang w:val="zh-CN"/>
        </w:rPr>
        <w:t xml:space="preserve">（</w:t>
      </w:r>
      <w:r>
        <w:rPr>
          <w:rFonts w:hint="eastAsia" w:ascii="宋体" w:hAnsi="宋体" w:cs="宋体"/>
          <w:b/>
          <w:bCs w:val="0"/>
          <w:color w:val="000000"/>
          <w:sz w:val="24"/>
          <w:szCs w:val="24"/>
          <w:highlight w:val="none"/>
          <w:lang w:val="en-US" w:eastAsia="zh-CN"/>
        </w:rPr>
        <w:t xml:space="preserve">投标人须</w:t>
      </w:r>
      <w:r>
        <w:rPr>
          <w:rFonts w:hint="eastAsia" w:ascii="宋体" w:hAnsi="宋体" w:cs="宋体"/>
          <w:b/>
          <w:bCs w:val="0"/>
          <w:color w:val="000000"/>
          <w:sz w:val="24"/>
          <w:szCs w:val="24"/>
          <w:highlight w:val="none"/>
          <w:lang w:val="zh-CN"/>
        </w:rPr>
        <w:t xml:space="preserve">提供</w:t>
      </w:r>
      <w:r>
        <w:rPr>
          <w:rFonts w:hint="eastAsia" w:ascii="宋体" w:hAnsi="宋体" w:cs="宋体"/>
          <w:b/>
          <w:bCs w:val="0"/>
          <w:color w:val="000000"/>
          <w:sz w:val="24"/>
          <w:szCs w:val="24"/>
          <w:highlight w:val="none"/>
          <w:lang w:val="en-US" w:eastAsia="zh-CN"/>
        </w:rPr>
        <w:t xml:space="preserve">加盖公章的</w:t>
      </w:r>
      <w:r>
        <w:rPr>
          <w:rFonts w:hint="eastAsia" w:ascii="宋体" w:hAnsi="宋体" w:cs="宋体"/>
          <w:b/>
          <w:bCs w:val="0"/>
          <w:color w:val="000000"/>
          <w:sz w:val="24"/>
          <w:szCs w:val="24"/>
          <w:highlight w:val="none"/>
          <w:lang w:val="zh-CN"/>
        </w:rPr>
        <w:t xml:space="preserve">承诺书</w:t>
      </w:r>
      <w:r>
        <w:rPr>
          <w:rFonts w:hint="eastAsia" w:ascii="宋体" w:hAnsi="宋体" w:cs="宋体"/>
          <w:b/>
          <w:bCs w:val="0"/>
          <w:color w:val="000000"/>
          <w:sz w:val="24"/>
          <w:szCs w:val="24"/>
          <w:highlight w:val="none"/>
          <w:lang w:val="en-US" w:eastAsia="zh-CN"/>
        </w:rPr>
        <w:t xml:space="preserve">扫描件，</w:t>
      </w:r>
      <w:bookmarkStart w:id="324" w:name="_GoBack"/>
      <w:r/>
      <w:bookmarkEnd w:id="324"/>
      <w:r>
        <w:rPr>
          <w:rFonts w:hint="eastAsia" w:ascii="宋体" w:hAnsi="宋体" w:cs="宋体"/>
          <w:b/>
          <w:bCs w:val="0"/>
          <w:color w:val="000000"/>
          <w:sz w:val="24"/>
          <w:szCs w:val="24"/>
          <w:highlight w:val="none"/>
          <w:lang w:val="en-US" w:eastAsia="zh-CN"/>
        </w:rPr>
        <w:t xml:space="preserve">格式自拟。</w:t>
      </w:r>
      <w:r>
        <w:rPr>
          <w:rFonts w:hint="eastAsia" w:ascii="宋体" w:hAnsi="宋体" w:cs="宋体"/>
          <w:b/>
          <w:bCs w:val="0"/>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43"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6"/>
      <w:r/>
      <w:bookmarkEnd w:id="37"/>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44" w:name="_Hlk151555369"/>
      <w:r>
        <w:rPr>
          <w:rFonts w:hint="eastAsia" w:ascii="宋体" w:hAnsi="宋体"/>
          <w:bCs/>
          <w:color w:val="000000"/>
          <w:sz w:val="24"/>
          <w:szCs w:val="24"/>
          <w:highlight w:val="none"/>
        </w:rPr>
        <w:t xml:space="preserve">符合条件</w:t>
      </w:r>
      <w:bookmarkEnd w:id="44"/>
      <w:r/>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45"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bookmarkEnd w:id="45"/>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r>
        <w:rPr>
          <w:rFonts w:ascii="宋体" w:hAnsi="宋体"/>
          <w:bCs/>
          <w:color w:val="000000"/>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hint="eastAsia" w:ascii="宋体" w:hAnsi="宋体" w:eastAsia="宋体" w:cs="Times New Roman"/>
          <w:color w:val="000000"/>
          <w:sz w:val="24"/>
          <w:szCs w:val="24"/>
          <w:highlight w:val="none"/>
          <w:lang w:val="zh-CN"/>
        </w:rPr>
        <w:t xml:space="preserve">项目人员配置清单</w:t>
      </w:r>
      <w:r/>
    </w:p>
    <w:p>
      <w:pPr>
        <w:pStyle w:val="1026"/>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cs="宋体"/>
          <w:color w:val="000000"/>
          <w:szCs w:val="24"/>
          <w:highlight w:val="none"/>
        </w:rPr>
        <w:t xml:space="preserve">④</w:t>
      </w:r>
      <w:r>
        <w:rPr>
          <w:rFonts w:hint="eastAsia" w:ascii="宋体" w:hAnsi="宋体"/>
          <w:sz w:val="24"/>
          <w:szCs w:val="21"/>
          <w:highlight w:val="none"/>
          <w:lang w:val="zh-CN"/>
        </w:rPr>
        <w:t xml:space="preserve">服务内容详细说明（格式自拟）</w:t>
      </w:r>
      <w:r/>
    </w:p>
    <w:p>
      <w:pPr>
        <w:pStyle w:val="1026"/>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⑤</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价格折扣文件</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其他相关材料</w:t>
      </w:r>
      <w:bookmarkEnd w:id="32"/>
      <w:r/>
      <w:bookmarkEnd w:id="34"/>
      <w:r/>
      <w:bookmarkEnd w:id="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000000"/>
          <w:sz w:val="24"/>
          <w:szCs w:val="24"/>
          <w:highlight w:val="none"/>
        </w:rPr>
        <w:t xml:space="preserve">不需要缴纳社会保障资金</w:t>
      </w:r>
      <w:bookmarkEnd w:id="46"/>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1"/>
      <w:r/>
      <w:r/>
    </w:p>
    <w:p>
      <w:pPr>
        <w:ind w:firstLine="480"/>
        <w:jc w:val="left"/>
        <w:spacing w:line="360" w:lineRule="auto"/>
        <w:rPr>
          <w:rFonts w:ascii="宋体" w:hAnsi="宋体"/>
          <w:bCs/>
          <w:color w:val="000000"/>
          <w:sz w:val="24"/>
          <w:szCs w:val="24"/>
          <w:highlight w:val="none"/>
        </w:rPr>
      </w:pPr>
      <w:r/>
      <w:bookmarkStart w:id="47" w:name="OLE_LINK219"/>
      <w:r>
        <w:rPr>
          <w:rFonts w:hint="eastAsia" w:ascii="宋体" w:hAnsi="宋体"/>
          <w:bCs/>
          <w:color w:val="000000"/>
          <w:sz w:val="24"/>
          <w:szCs w:val="24"/>
          <w:highlight w:val="none"/>
        </w:rPr>
        <w:t xml:space="preserve">10、</w:t>
      </w:r>
      <w:bookmarkStart w:id="48" w:name="_Toc515647770"/>
      <w:r/>
      <w:bookmarkStart w:id="49" w:name="_Toc520356155"/>
      <w:r/>
      <w:bookmarkStart w:id="50" w:name="_Toc2248"/>
      <w:r/>
      <w:bookmarkStart w:id="51" w:name="_Toc19624"/>
      <w:r/>
      <w:bookmarkStart w:id="52" w:name="_Toc23231"/>
      <w:r>
        <w:rPr>
          <w:rFonts w:hint="eastAsia" w:ascii="宋体" w:hAnsi="宋体"/>
          <w:bCs/>
          <w:color w:val="000000"/>
          <w:sz w:val="24"/>
          <w:szCs w:val="24"/>
          <w:highlight w:val="none"/>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3" w:name="OLE_LINK204"/>
      <w:r>
        <w:rPr>
          <w:rFonts w:hint="eastAsia" w:ascii="宋体" w:hAnsi="宋体"/>
          <w:bCs/>
          <w:color w:val="000000"/>
          <w:sz w:val="24"/>
          <w:szCs w:val="24"/>
          <w:highlight w:val="none"/>
          <w:lang w:val="zh-CN"/>
        </w:rPr>
        <w:t xml:space="preserve">。</w:t>
      </w:r>
      <w:bookmarkEnd w:id="53"/>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7"/>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54"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55"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56"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5"/>
      <w:r/>
      <w:bookmarkEnd w:id="5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7"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58"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59" w:name="_Hlk151449127"/>
      <w:r/>
      <w:bookmarkStart w:id="60"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000000"/>
          <w:sz w:val="24"/>
          <w:szCs w:val="24"/>
          <w:highlight w:val="none"/>
        </w:rPr>
        <w:t xml:space="preserve">。</w:t>
      </w:r>
      <w:bookmarkEnd w:id="54"/>
      <w:r/>
      <w:bookmarkEnd w:id="58"/>
      <w:r/>
      <w:bookmarkEnd w:id="60"/>
      <w:r/>
      <w:bookmarkEnd w:id="61"/>
      <w:r/>
      <w:r/>
    </w:p>
    <w:p>
      <w:pPr>
        <w:ind w:firstLine="480"/>
        <w:jc w:val="left"/>
        <w:spacing w:line="360" w:lineRule="auto"/>
        <w:rPr>
          <w:rFonts w:ascii="宋体" w:hAnsi="宋体"/>
          <w:bCs/>
          <w:color w:val="000000"/>
          <w:sz w:val="24"/>
          <w:szCs w:val="24"/>
          <w:highlight w:val="none"/>
        </w:rPr>
      </w:pPr>
      <w:r/>
      <w:bookmarkStart w:id="62"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3" w:name="OLE_LINK227"/>
      <w:r>
        <w:rPr>
          <w:rFonts w:hint="eastAsia" w:ascii="宋体" w:hAnsi="宋体"/>
          <w:bCs/>
          <w:color w:val="000000"/>
          <w:sz w:val="24"/>
          <w:szCs w:val="28"/>
          <w:highlight w:val="none"/>
        </w:rPr>
        <w:t xml:space="preserve">如</w:t>
      </w:r>
      <w:bookmarkStart w:id="64" w:name="OLE_LINK45"/>
      <w:r>
        <w:rPr>
          <w:rFonts w:hint="eastAsia" w:ascii="宋体" w:hAnsi="宋体"/>
          <w:bCs/>
          <w:color w:val="000000"/>
          <w:sz w:val="24"/>
          <w:szCs w:val="28"/>
          <w:highlight w:val="none"/>
        </w:rPr>
        <w:t xml:space="preserve">采购人、</w:t>
      </w:r>
      <w:bookmarkEnd w:id="64"/>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5" w:name="OLE_LINK260"/>
      <w:r>
        <w:rPr>
          <w:rFonts w:hint="eastAsia" w:ascii="宋体" w:hAnsi="宋体"/>
          <w:bCs/>
          <w:color w:val="000000"/>
          <w:sz w:val="24"/>
          <w:szCs w:val="24"/>
          <w:highlight w:val="none"/>
        </w:rPr>
        <w:t xml:space="preserve">补充、修改或者撤回</w:t>
      </w:r>
      <w:bookmarkEnd w:id="6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6" w:name="OLE_LINK228"/>
      <w:r>
        <w:rPr>
          <w:rFonts w:hint="eastAsia" w:ascii="宋体" w:hAnsi="宋体"/>
          <w:bCs/>
          <w:color w:val="000000"/>
          <w:sz w:val="24"/>
          <w:szCs w:val="24"/>
          <w:highlight w:val="none"/>
        </w:rPr>
        <w:t xml:space="preserve">在投标截止时间之后，</w:t>
      </w:r>
      <w:bookmarkStart w:id="67" w:name="_Hlk128404679"/>
      <w:r>
        <w:rPr>
          <w:rFonts w:hint="eastAsia" w:ascii="宋体" w:hAnsi="宋体"/>
          <w:bCs/>
          <w:color w:val="000000"/>
          <w:sz w:val="24"/>
          <w:szCs w:val="24"/>
          <w:highlight w:val="none"/>
        </w:rPr>
        <w:t xml:space="preserve">采购人、采购代理机构、评标委员会不接受</w:t>
      </w:r>
      <w:bookmarkEnd w:id="67"/>
      <w:r>
        <w:rPr>
          <w:rFonts w:hint="eastAsia" w:ascii="宋体" w:hAnsi="宋体"/>
          <w:bCs/>
          <w:color w:val="000000"/>
          <w:sz w:val="24"/>
          <w:szCs w:val="24"/>
          <w:highlight w:val="none"/>
        </w:rPr>
        <w:t xml:space="preserve">投标人主动对其投标文件做任何</w:t>
      </w:r>
      <w:bookmarkStart w:id="68" w:name="OLE_LINK54"/>
      <w:r>
        <w:rPr>
          <w:rFonts w:hint="eastAsia" w:ascii="宋体" w:hAnsi="宋体"/>
          <w:bCs/>
          <w:color w:val="000000"/>
          <w:sz w:val="24"/>
          <w:szCs w:val="24"/>
          <w:highlight w:val="none"/>
        </w:rPr>
        <w:t xml:space="preserve">补充、</w:t>
      </w:r>
      <w:bookmarkEnd w:id="68"/>
      <w:r>
        <w:rPr>
          <w:rFonts w:hint="eastAsia" w:ascii="宋体" w:hAnsi="宋体"/>
          <w:bCs/>
          <w:color w:val="000000"/>
          <w:sz w:val="24"/>
          <w:szCs w:val="24"/>
          <w:highlight w:val="none"/>
        </w:rPr>
        <w:t xml:space="preserve">修改</w:t>
      </w:r>
      <w:bookmarkEnd w:id="66"/>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69" w:name="OLE_LINK137"/>
      <w:r>
        <w:rPr>
          <w:rFonts w:hint="eastAsia" w:ascii="宋体" w:hAnsi="宋体" w:cs="宋体"/>
          <w:bCs/>
          <w:color w:val="000000"/>
          <w:sz w:val="24"/>
          <w:szCs w:val="24"/>
          <w:highlight w:val="none"/>
          <w:lang w:val="zh-CN"/>
        </w:rPr>
        <w:t xml:space="preserve">（含虚假承诺）</w:t>
      </w:r>
      <w:bookmarkEnd w:id="69"/>
      <w:r>
        <w:rPr>
          <w:rFonts w:hint="eastAsia" w:ascii="宋体" w:hAnsi="宋体" w:cs="宋体"/>
          <w:bCs/>
          <w:color w:val="000000"/>
          <w:sz w:val="24"/>
          <w:szCs w:val="24"/>
          <w:highlight w:val="none"/>
          <w:lang w:val="zh-CN"/>
        </w:rPr>
        <w:t xml:space="preserve">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70"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70"/>
      <w:r>
        <w:rPr>
          <w:rFonts w:hint="eastAsia" w:ascii="宋体" w:hAnsi="宋体" w:cs="宋体"/>
          <w:bCs/>
          <w:color w:val="000000"/>
          <w:sz w:val="24"/>
          <w:szCs w:val="24"/>
          <w:highlight w:val="none"/>
          <w:lang w:val="zh-CN"/>
        </w:rPr>
        <w:t xml:space="preserve">；</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sz w:val="24"/>
          <w:szCs w:val="24"/>
        </w:rPr>
        <w:t xml:space="preserve">（12）评审委员会</w:t>
      </w:r>
      <w:r>
        <w:rPr>
          <w:rFonts w:hint="eastAsia" w:ascii="宋体" w:hAnsi="宋体" w:cs="宋体"/>
          <w:bCs/>
          <w:sz w:val="24"/>
          <w:szCs w:val="24"/>
          <w:lang w:val="zh-CN"/>
        </w:rPr>
        <w:t xml:space="preserve">认定</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的报价明显低于其他通过符合性审查</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sz w:val="24"/>
          <w:szCs w:val="24"/>
        </w:rPr>
        <w:t xml:space="preserve">招标文件</w:t>
      </w:r>
      <w:r>
        <w:rPr>
          <w:rFonts w:hint="eastAsia" w:ascii="宋体" w:hAnsi="宋体" w:cs="宋体"/>
          <w:bCs/>
          <w:sz w:val="24"/>
          <w:szCs w:val="24"/>
          <w:lang w:val="zh-CN"/>
        </w:rPr>
        <w:t xml:space="preserve">规定的异常低价情形，</w:t>
      </w:r>
      <w:r>
        <w:rPr>
          <w:rFonts w:hint="eastAsia" w:ascii="宋体" w:hAnsi="宋体" w:cs="宋体"/>
          <w:sz w:val="24"/>
          <w:szCs w:val="24"/>
        </w:rPr>
        <w:t xml:space="preserve">评审委员会</w:t>
      </w:r>
      <w:r>
        <w:rPr>
          <w:rFonts w:hint="eastAsia" w:ascii="宋体" w:hAnsi="宋体" w:cs="宋体"/>
          <w:bCs/>
          <w:sz w:val="24"/>
          <w:szCs w:val="24"/>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sz w:val="24"/>
          <w:szCs w:val="24"/>
        </w:rPr>
        <w:t xml:space="preserve">评审委员会</w:t>
      </w:r>
      <w:r>
        <w:rPr>
          <w:rFonts w:hint="eastAsia" w:ascii="宋体" w:hAnsi="宋体" w:cs="宋体"/>
          <w:bCs/>
          <w:sz w:val="24"/>
          <w:szCs w:val="24"/>
          <w:lang w:val="zh-CN"/>
        </w:rPr>
        <w:t xml:space="preserve">的法律责任。</w:t>
      </w:r>
      <w:r/>
    </w:p>
    <w:p>
      <w:pPr>
        <w:ind w:firstLine="480"/>
        <w:jc w:val="left"/>
        <w:spacing w:line="360" w:lineRule="auto"/>
        <w:tabs>
          <w:tab w:val="left" w:pos="425" w:leader="none"/>
        </w:tabs>
        <w:rPr>
          <w:rFonts w:ascii="宋体" w:hAnsi="宋体" w:cs="宋体"/>
          <w:b/>
          <w:bCs/>
          <w:sz w:val="24"/>
          <w:szCs w:val="24"/>
          <w:lang w:val="zh-CN"/>
        </w:rPr>
      </w:pPr>
      <w:r>
        <w:rPr>
          <w:rFonts w:hint="eastAsia" w:ascii="宋体" w:hAnsi="宋体" w:cs="宋体"/>
          <w:b/>
          <w:bCs/>
          <w:sz w:val="24"/>
          <w:szCs w:val="24"/>
        </w:rPr>
        <w:t xml:space="preserve">评审委员会</w:t>
      </w:r>
      <w:r>
        <w:rPr>
          <w:rFonts w:hint="eastAsia" w:ascii="宋体" w:hAnsi="宋体" w:cs="宋体"/>
          <w:b/>
          <w:bCs/>
          <w:sz w:val="24"/>
          <w:szCs w:val="24"/>
          <w:lang w:val="zh-CN"/>
        </w:rPr>
        <w:t xml:space="preserve">启动异常低价投标（响应）审查的情形和具体要求，包括：</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评审过程中出现下列情形之一的，</w:t>
      </w:r>
      <w:r>
        <w:rPr>
          <w:rFonts w:hint="eastAsia" w:ascii="宋体" w:hAnsi="宋体" w:cs="宋体"/>
          <w:sz w:val="24"/>
          <w:szCs w:val="24"/>
        </w:rPr>
        <w:t xml:space="preserve">评审委员会</w:t>
      </w:r>
      <w:r>
        <w:rPr>
          <w:rFonts w:hint="eastAsia" w:ascii="宋体" w:hAnsi="宋体" w:cs="宋体"/>
          <w:bCs/>
          <w:sz w:val="24"/>
          <w:szCs w:val="24"/>
          <w:lang w:val="zh-CN"/>
        </w:rPr>
        <w:t xml:space="preserve">应当启动异常低价投标（响应）审查程序：</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①</w:t>
      </w:r>
      <w:r>
        <w:rPr>
          <w:rFonts w:hint="eastAsia" w:ascii="宋体" w:hAnsi="宋体" w:cs="宋体"/>
          <w:bCs/>
          <w:sz w:val="24"/>
          <w:szCs w:val="24"/>
          <w:lang w:val="zh-CN"/>
        </w:rPr>
        <w:t xml:space="preserve">投标（响应）报价低于全部通过符合性审查供应商投标（响应）报价平均值50%的，即投标（响应）报价〈全部通过符合性审查供应商投标（响应）报价平均值×50%；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②</w:t>
      </w:r>
      <w:r>
        <w:rPr>
          <w:rFonts w:hint="eastAsia" w:ascii="宋体" w:hAnsi="宋体" w:cs="宋体"/>
          <w:bCs/>
          <w:sz w:val="24"/>
          <w:szCs w:val="24"/>
          <w:lang w:val="zh-CN"/>
        </w:rPr>
        <w:t xml:space="preserve">投标（响应）报价低于通过符合性审查的次低报价供应商投标（响应）报价50%的，即投标（响应）报价〈通过符合性审查的次低报价供应商投标（响应）报价×50%；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③</w:t>
      </w:r>
      <w:r>
        <w:rPr>
          <w:rFonts w:hint="eastAsia" w:ascii="宋体" w:hAnsi="宋体" w:cs="宋体"/>
          <w:bCs/>
          <w:sz w:val="24"/>
          <w:szCs w:val="24"/>
          <w:lang w:val="zh-CN"/>
        </w:rPr>
        <w:t xml:space="preserve">投标（响应）报价低于采购项目最高限价45%的，即投标（响应）报价〈采购项目最高限价×45%；</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④</w:t>
      </w:r>
      <w:r>
        <w:rPr>
          <w:rFonts w:hint="eastAsia" w:ascii="宋体" w:hAnsi="宋体" w:cs="宋体"/>
          <w:bCs/>
          <w:sz w:val="24"/>
          <w:szCs w:val="24"/>
          <w:lang w:val="zh-CN"/>
        </w:rPr>
        <w:t xml:space="preserve">评审委员会基于专业判断，认为供应商报价过低，有可能影响产品质量或者不能诚信履约的其他情形。</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tabs>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sz w:val="24"/>
          <w:szCs w:val="24"/>
          <w:lang w:val="zh-CN"/>
        </w:rPr>
        <w:t xml:space="preserve">（</w:t>
      </w:r>
      <w:r>
        <w:rPr>
          <w:rFonts w:hint="eastAsia" w:ascii="宋体" w:hAnsi="宋体" w:cs="宋体"/>
          <w:bCs/>
          <w:sz w:val="24"/>
          <w:szCs w:val="24"/>
          <w:lang w:val="en-US" w:eastAsia="zh-CN"/>
        </w:rPr>
        <w:t xml:space="preserve">13）</w:t>
      </w:r>
      <w:r>
        <w:rPr>
          <w:rFonts w:hint="eastAsia" w:ascii="宋体" w:hAnsi="宋体" w:cs="宋体"/>
          <w:bCs/>
          <w:color w:val="000000"/>
          <w:sz w:val="24"/>
          <w:szCs w:val="24"/>
          <w:highlight w:val="none"/>
          <w:lang w:val="zh-CN"/>
        </w:rPr>
        <w:t xml:space="preserve">法律、法规和招标文件规定的其他无效情形。</w:t>
      </w:r>
      <w:r/>
    </w:p>
    <w:p>
      <w:pPr>
        <w:numPr>
          <w:ilvl w:val="0"/>
          <w:numId w:val="6"/>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ind w:firstLine="480"/>
        <w:jc w:val="left"/>
        <w:spacing w:line="360" w:lineRule="auto"/>
        <w:rPr>
          <w:rFonts w:ascii="宋体" w:hAnsi="宋体"/>
          <w:bCs/>
          <w:color w:val="000000"/>
          <w:sz w:val="24"/>
          <w:szCs w:val="24"/>
          <w:highlight w:val="none"/>
        </w:rPr>
      </w:pPr>
      <w:r/>
      <w:bookmarkStart w:id="71" w:name="_Hlk151449361"/>
      <w:r/>
      <w:bookmarkStart w:id="72" w:name="OLE_LINK96"/>
      <w:r>
        <w:rPr>
          <w:rFonts w:hint="eastAsia" w:ascii="宋体" w:hAnsi="宋体"/>
          <w:bCs/>
          <w:color w:val="000000"/>
          <w:sz w:val="24"/>
          <w:szCs w:val="24"/>
          <w:highlight w:val="none"/>
        </w:rPr>
        <w:t xml:space="preserve">19、</w:t>
      </w:r>
      <w:bookmarkStart w:id="73" w:name="_Hlk151562826"/>
      <w:r>
        <w:rPr>
          <w:rFonts w:hint="eastAsia" w:ascii="宋体" w:hAnsi="宋体"/>
          <w:bCs/>
          <w:color w:val="000000"/>
          <w:sz w:val="24"/>
          <w:szCs w:val="24"/>
          <w:highlight w:val="none"/>
        </w:rPr>
        <w:t xml:space="preserve">联合体、中标后分包（如有）</w:t>
      </w:r>
      <w:bookmarkEnd w:id="71"/>
      <w:r/>
      <w:bookmarkEnd w:id="7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7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74"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5" w:name="OLE_LINK199"/>
      <w:r>
        <w:rPr>
          <w:rFonts w:hint="eastAsia" w:ascii="宋体" w:hAnsi="宋体"/>
          <w:bCs/>
          <w:color w:val="000000"/>
          <w:sz w:val="24"/>
          <w:szCs w:val="24"/>
          <w:highlight w:val="none"/>
          <w:lang w:val="zh-CN"/>
        </w:rPr>
        <w:t xml:space="preserve">订联合体协议书</w:t>
      </w:r>
      <w:bookmarkEnd w:id="75"/>
      <w:r>
        <w:rPr>
          <w:rFonts w:hint="eastAsia" w:ascii="宋体" w:hAnsi="宋体"/>
          <w:bCs/>
          <w:color w:val="000000"/>
          <w:sz w:val="24"/>
          <w:szCs w:val="24"/>
          <w:highlight w:val="none"/>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7"/>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80"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81"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8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82" w:name="_Hlk151562848"/>
      <w:r>
        <w:rPr>
          <w:rFonts w:hint="eastAsia" w:ascii="宋体" w:hAnsi="宋体"/>
          <w:bCs/>
          <w:color w:val="000000"/>
          <w:sz w:val="24"/>
          <w:szCs w:val="24"/>
          <w:highlight w:val="none"/>
          <w:lang w:val="zh-CN"/>
        </w:rPr>
        <w:t xml:space="preserve">在“苏采云开标大厅”开标，相关注意事项详见投标邀请函。</w:t>
      </w:r>
      <w:bookmarkEnd w:id="8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83" w:name="_Hlk151562868"/>
      <w:r>
        <w:rPr>
          <w:rFonts w:hint="eastAsia" w:ascii="宋体" w:hAnsi="宋体"/>
          <w:bCs/>
          <w:color w:val="000000"/>
          <w:sz w:val="24"/>
          <w:szCs w:val="24"/>
          <w:highlight w:val="none"/>
          <w:lang w:val="zh-CN"/>
        </w:rPr>
        <w:t xml:space="preserve">开标</w:t>
      </w:r>
      <w:bookmarkStart w:id="84"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000000"/>
          <w:sz w:val="24"/>
          <w:szCs w:val="24"/>
          <w:highlight w:val="none"/>
          <w:lang w:val="zh-CN"/>
        </w:rPr>
        <w:t xml:space="preserve">投标人未参加开标的，视同认可开标结果。</w:t>
      </w:r>
      <w:bookmarkEnd w:id="8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85" w:name="OLE_LINK131"/>
      <w:r/>
      <w:bookmarkStart w:id="86"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6"/>
      <w:r/>
      <w:bookmarkEnd w:id="87"/>
      <w:r>
        <w:rPr>
          <w:rFonts w:hint="eastAsia" w:ascii="宋体" w:hAnsi="宋体"/>
          <w:bCs/>
          <w:color w:val="000000"/>
          <w:sz w:val="24"/>
          <w:szCs w:val="24"/>
          <w:highlight w:val="none"/>
          <w:lang w:val="zh-CN"/>
        </w:rPr>
        <w:t xml:space="preserve">。</w:t>
      </w:r>
      <w:bookmarkEnd w:id="80"/>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88" w:name="OLE_LINK257"/>
      <w:r/>
      <w:bookmarkStart w:id="89" w:name="OLE_LINK261"/>
      <w:r>
        <w:rPr>
          <w:rFonts w:hint="eastAsia" w:ascii="宋体" w:hAnsi="宋体" w:cs="宋体"/>
          <w:bCs/>
          <w:color w:val="000000"/>
          <w:sz w:val="24"/>
          <w:szCs w:val="24"/>
          <w:highlight w:val="none"/>
        </w:rPr>
        <w:t xml:space="preserve">21.2.1 </w:t>
      </w:r>
      <w:bookmarkEnd w:id="88"/>
      <w:r/>
      <w:bookmarkStart w:id="90"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90"/>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89"/>
      <w:r/>
      <w:bookmarkStart w:id="91"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92"/>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93"/>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4"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4"/>
      <w:r/>
      <w:bookmarkStart w:id="95"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5"/>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96"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6"/>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7"/>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8" w:name="_Hlk128408333"/>
      <w:r>
        <w:rPr>
          <w:rFonts w:hint="eastAsia" w:ascii="宋体" w:hAnsi="宋体"/>
          <w:bCs/>
          <w:color w:val="000000"/>
          <w:sz w:val="24"/>
          <w:szCs w:val="24"/>
          <w:highlight w:val="none"/>
          <w:lang w:val="zh-CN"/>
        </w:rPr>
        <w:t xml:space="preserve">并作为中标候选人排序，</w:t>
      </w:r>
      <w:bookmarkStart w:id="99"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99"/>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8"/>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00" w:name="OLE_LINK201"/>
      <w:r>
        <w:rPr>
          <w:rFonts w:hint="eastAsia" w:ascii="宋体" w:hAnsi="宋体" w:cs="宋体"/>
          <w:bCs/>
          <w:color w:val="000000"/>
          <w:sz w:val="24"/>
          <w:szCs w:val="24"/>
          <w:highlight w:val="none"/>
        </w:rPr>
        <w:t xml:space="preserve">（</w:t>
      </w:r>
      <w:bookmarkStart w:id="101" w:name="OLE_LINK202"/>
      <w:r>
        <w:rPr>
          <w:rFonts w:hint="eastAsia" w:ascii="宋体" w:hAnsi="宋体" w:cs="宋体"/>
          <w:bCs/>
          <w:color w:val="000000"/>
          <w:sz w:val="24"/>
          <w:szCs w:val="24"/>
          <w:highlight w:val="none"/>
        </w:rPr>
        <w:t xml:space="preserve">22.5.2</w:t>
      </w:r>
      <w:bookmarkEnd w:id="101"/>
      <w:r>
        <w:rPr>
          <w:rFonts w:hint="eastAsia" w:ascii="宋体" w:hAnsi="宋体" w:cs="宋体"/>
          <w:bCs/>
          <w:color w:val="000000"/>
          <w:sz w:val="24"/>
          <w:szCs w:val="24"/>
          <w:highlight w:val="none"/>
        </w:rPr>
        <w:t xml:space="preserve">）</w:t>
      </w:r>
      <w:bookmarkEnd w:id="100"/>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02"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02"/>
      <w:r/>
      <w:bookmarkStart w:id="103" w:name="OLE_LINK135"/>
      <w:r/>
      <w:bookmarkEnd w:id="10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8"/>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4"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en-US" w:eastAsia="zh-CN"/>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5"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000000"/>
          <w:sz w:val="24"/>
          <w:szCs w:val="24"/>
          <w:highlight w:val="none"/>
          <w:lang w:val="zh-CN"/>
        </w:rPr>
        <w:t xml:space="preserve">。</w:t>
      </w:r>
      <w:bookmarkEnd w:id="105"/>
      <w:r/>
      <w:bookmarkEnd w:id="106"/>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7"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lang w:val="en-US" w:eastAsia="zh-CN"/>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0"/>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08"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09"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09"/>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10"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11"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8"/>
      <w:r/>
      <w:bookmarkEnd w:id="11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hint="eastAsia" w:ascii="宋体" w:hAnsi="宋体" w:eastAsia="宋体" w:cs="宋体"/>
          <w:sz w:val="24"/>
          <w:szCs w:val="24"/>
          <w:highlight w:val="none"/>
        </w:rPr>
      </w:pPr>
      <w:r>
        <w:rPr>
          <w:rFonts w:ascii="黑体" w:hAnsi="黑体" w:eastAsia="黑体"/>
          <w:color w:val="000000"/>
          <w:sz w:val="28"/>
          <w:highlight w:val="none"/>
        </w:rPr>
        <w:br w:type="page" w:clear="all"/>
      </w:r>
      <w:bookmarkEnd w:id="104"/>
      <w:r/>
      <w:bookmarkStart w:id="113" w:name="_Toc23355"/>
      <w:r>
        <w:rPr>
          <w:rFonts w:hint="eastAsia" w:ascii="黑体" w:hAnsi="黑体" w:eastAsia="黑体"/>
          <w:color w:val="000000"/>
          <w:sz w:val="28"/>
          <w:highlight w:val="none"/>
        </w:rPr>
        <w:t xml:space="preserve">第三章 项目技术要求和有关说明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w:t>
      </w:r>
      <w:r>
        <w:rPr>
          <w:rFonts w:hint="eastAsia" w:ascii="宋体" w:hAnsi="宋体" w:cs="宋体"/>
          <w:sz w:val="24"/>
          <w:szCs w:val="24"/>
          <w:highlight w:val="none"/>
          <w:lang w:val="en-US" w:eastAsia="zh-CN"/>
        </w:rPr>
        <w:t xml:space="preserve">宜兴市人民医院2026年医疗责任险，</w:t>
      </w:r>
      <w:r>
        <w:rPr>
          <w:rFonts w:hint="eastAsia" w:ascii="宋体" w:hAnsi="宋体" w:eastAsia="宋体" w:cs="宋体"/>
          <w:sz w:val="24"/>
          <w:szCs w:val="24"/>
          <w:highlight w:val="none"/>
        </w:rPr>
        <w:t xml:space="preserve">具体要求如下：</w:t>
      </w:r>
      <w:r/>
    </w:p>
    <w:p>
      <w:pPr>
        <w:numPr>
          <w:ilvl w:val="0"/>
          <w:numId w:val="0"/>
        </w:numPr>
        <w:ind w:firstLine="241"/>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rPr>
        <w:t xml:space="preserve">保险具体要求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（1）保险期限</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要求</w:t>
      </w:r>
      <w:r>
        <w:rPr>
          <w:rFonts w:hint="eastAsia" w:ascii="宋体" w:hAnsi="宋体" w:eastAsia="宋体" w:cs="宋体"/>
          <w:sz w:val="24"/>
          <w:szCs w:val="24"/>
          <w:highlight w:val="none"/>
          <w:lang w:val="en-US" w:eastAsia="zh-CN"/>
        </w:rPr>
        <w:t xml:space="preserve">起保日期为</w:t>
      </w:r>
      <w:r>
        <w:rPr>
          <w:rFonts w:hint="eastAsia" w:ascii="宋体" w:hAnsi="宋体" w:cs="宋体"/>
          <w:sz w:val="24"/>
          <w:szCs w:val="24"/>
          <w:highlight w:val="none"/>
          <w:lang w:val="en-US" w:eastAsia="zh-CN"/>
        </w:rPr>
        <w:t xml:space="preserve">2026年6</w:t>
      </w:r>
      <w:r>
        <w:rPr>
          <w:rFonts w:hint="eastAsia" w:ascii="宋体" w:hAnsi="宋体" w:eastAsia="宋体" w:cs="宋体"/>
          <w:sz w:val="24"/>
          <w:szCs w:val="24"/>
          <w:highlight w:val="none"/>
          <w:lang w:val="en-US" w:eastAsia="zh-CN"/>
        </w:rPr>
        <w:t xml:space="preserve">月30日零时</w:t>
      </w:r>
      <w:r>
        <w:rPr>
          <w:rFonts w:hint="eastAsia" w:ascii="宋体" w:hAnsi="宋体" w:cs="宋体"/>
          <w:sz w:val="24"/>
          <w:szCs w:val="24"/>
          <w:highlight w:val="none"/>
          <w:lang w:val="en-US" w:eastAsia="zh-CN"/>
        </w:rPr>
        <w:t xml:space="preserve">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保险期限为</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（2）保险险种名称</w:t>
      </w:r>
      <w:r/>
    </w:p>
    <w:p>
      <w:pPr>
        <w:ind w:firstLine="48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sz w:val="24"/>
          <w:szCs w:val="24"/>
        </w:rPr>
        <w:t xml:space="preserve">本项目保险险种主险为“医疗责任保险”</w:t>
      </w:r>
      <w:r>
        <w:rPr>
          <w:rFonts w:hint="eastAsia" w:ascii="宋体" w:hAnsi="宋体" w:cs="宋体"/>
          <w:sz w:val="24"/>
          <w:szCs w:val="24"/>
          <w:lang w:eastAsia="zh-CN"/>
        </w:rPr>
        <w:t xml:space="preserve">，</w:t>
      </w:r>
      <w:r>
        <w:rPr>
          <w:rFonts w:hint="eastAsia" w:ascii="宋体" w:hAnsi="宋体" w:eastAsia="宋体" w:cs="宋体"/>
          <w:sz w:val="24"/>
          <w:szCs w:val="24"/>
          <w:highlight w:val="none"/>
        </w:rPr>
        <w:t xml:space="preserve">以上险种由本项目</w:t>
      </w:r>
      <w:r>
        <w:rPr>
          <w:rFonts w:hint="eastAsia" w:ascii="宋体" w:hAnsi="宋体" w:eastAsia="宋体" w:cs="宋体"/>
          <w:sz w:val="24"/>
          <w:szCs w:val="24"/>
        </w:rPr>
        <w:t xml:space="preserve">独家承保人</w:t>
      </w:r>
      <w:r>
        <w:rPr>
          <w:rFonts w:hint="eastAsia" w:ascii="宋体" w:hAnsi="宋体" w:eastAsia="宋体" w:cs="宋体"/>
          <w:b w:val="0"/>
          <w:bCs/>
          <w:color w:val="auto"/>
          <w:sz w:val="24"/>
          <w:szCs w:val="24"/>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rPr>
        <w:t xml:space="preserve">报备为准</w:t>
      </w:r>
      <w:r>
        <w:rPr>
          <w:rFonts w:hint="eastAsia" w:ascii="宋体" w:hAnsi="宋体" w:eastAsia="宋体" w:cs="宋体"/>
          <w:sz w:val="24"/>
          <w:szCs w:val="24"/>
          <w:lang w:eastAsia="zh-CN"/>
        </w:rPr>
        <w:t xml:space="preserve">。</w:t>
      </w:r>
      <w:r/>
    </w:p>
    <w:p>
      <w:pPr>
        <w:numPr>
          <w:ilvl w:val="0"/>
          <w:numId w:val="11"/>
        </w:num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主险</w:t>
      </w:r>
      <w:r>
        <w:rPr>
          <w:rFonts w:hint="eastAsia" w:ascii="宋体" w:hAnsi="宋体" w:eastAsia="宋体" w:cs="宋体"/>
          <w:b w:val="0"/>
          <w:bCs/>
          <w:color w:val="auto"/>
          <w:sz w:val="24"/>
          <w:szCs w:val="24"/>
        </w:rPr>
        <w:t xml:space="preserve">保险责任范围</w:t>
      </w:r>
      <w:r/>
    </w:p>
    <w:p>
      <w:pPr>
        <w:numPr>
          <w:ilvl w:val="0"/>
          <w:numId w:val="0"/>
        </w:numPr>
        <w:ind w:firstLine="48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sz w:val="24"/>
          <w:szCs w:val="24"/>
        </w:rPr>
        <w:t xml:space="preserve">在保险单列明的保险期间或追溯期及承保区域范围内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在保险单中载明的被保险人的医务人员（以下简称投保医务人员）在诊疗活动中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因执业过失造成患者人身损害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在本保险期间内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由患者或其近亲属首次向被保险人提出索赔申请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依法应由被保险人承担民事赔偿责任时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保险人按照本保险合同的约定负责赔偿</w:t>
      </w:r>
      <w:r>
        <w:rPr>
          <w:rFonts w:hint="eastAsia" w:ascii="宋体" w:hAnsi="宋体" w:eastAsia="宋体" w:cs="宋体"/>
          <w:sz w:val="24"/>
          <w:szCs w:val="24"/>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追溯期是指从保险期间开始之时起向前追溯的约定的期间。追溯期的具体起止时间以保险单载明的时间为准。诊疗活动是指通过各种检查，使用药物、器械及手术等方法，对疾病作出判断和消除疾病、缓解病情、减轻痛苦、改善功能、延长生命、帮助患者恢复健康的活动，包括诊断、治疗、护理环节。以治疗为目的的整形美容、体检等属于本项目医责险赔付责任范围。</w:t>
      </w:r>
      <w:r/>
    </w:p>
    <w:p>
      <w:pPr>
        <w:numPr>
          <w:ilvl w:val="0"/>
          <w:numId w:val="0"/>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保险责任范围内的事故发生后，包括事故鉴定费</w:t>
      </w:r>
      <w:r>
        <w:rPr>
          <w:rFonts w:hint="eastAsia" w:ascii="宋体" w:hAnsi="宋体" w:cs="宋体"/>
          <w:b w:val="0"/>
          <w:bCs/>
          <w:color w:val="auto"/>
          <w:sz w:val="24"/>
          <w:szCs w:val="24"/>
          <w:lang w:val="en-US" w:eastAsia="zh-CN"/>
        </w:rPr>
        <w:t xml:space="preserve">、</w:t>
      </w:r>
      <w:r>
        <w:rPr>
          <w:rFonts w:hint="eastAsia" w:ascii="宋体" w:hAnsi="宋体" w:eastAsia="宋体" w:cs="宋体"/>
          <w:b w:val="0"/>
          <w:bCs/>
          <w:color w:val="auto"/>
          <w:sz w:val="24"/>
          <w:szCs w:val="24"/>
          <w:lang w:val="en-US" w:eastAsia="zh-CN"/>
        </w:rPr>
        <w:t xml:space="preserve">查勘费、取证费、仲裁或诉讼费、被保险人由此支付的律师费等，保险人按照约定也负责赔偿。</w:t>
      </w:r>
      <w:r/>
    </w:p>
    <w:p>
      <w:pPr>
        <w:numPr>
          <w:ilvl w:val="0"/>
          <w:numId w:val="11"/>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保险方案</w:t>
      </w:r>
      <w:r/>
    </w:p>
    <w:tbl>
      <w:tblPr>
        <w:tblStyle w:val="845"/>
        <w:tblW w:w="9805"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4017"/>
        <w:gridCol w:w="4056"/>
      </w:tblGrid>
      <w:tr>
        <w:trPr>
          <w:trHeight w:val="368"/>
        </w:trPr>
        <w:tc>
          <w:tcPr>
            <w:tcW w:w="1732" w:type="dxa"/>
            <w:vAlign w:val="top"/>
            <w:vMerge w:val="restart"/>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p>
            <w:pPr>
              <w:jc w:val="center"/>
              <w:spacing w:after="0"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 xml:space="preserve">主险</w:t>
            </w:r>
            <w:r/>
          </w:p>
        </w:tc>
        <w:tc>
          <w:tcPr>
            <w:tcW w:w="4017"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累计赔偿限额</w:t>
            </w:r>
            <w:r/>
          </w:p>
        </w:tc>
        <w:tc>
          <w:tcPr>
            <w:tcW w:w="405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500万元</w:t>
            </w:r>
            <w:r/>
          </w:p>
        </w:tc>
      </w:tr>
      <w:tr>
        <w:trPr>
          <w:trHeight w:val="369"/>
        </w:trPr>
        <w:tc>
          <w:tcPr>
            <w:tcW w:w="1732" w:type="dxa"/>
            <w:vAlign w:val="top"/>
            <w:vMerge w:val="continue"/>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01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每次事故责任限额</w:t>
            </w:r>
            <w:r/>
          </w:p>
        </w:tc>
        <w:tc>
          <w:tcPr>
            <w:tcW w:w="405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60万元</w:t>
            </w:r>
            <w:r/>
          </w:p>
        </w:tc>
      </w:tr>
      <w:tr>
        <w:trPr>
          <w:trHeight w:val="356"/>
        </w:trPr>
        <w:tc>
          <w:tcPr>
            <w:tcW w:w="1732" w:type="dxa"/>
            <w:vAlign w:val="top"/>
            <w:vMerge w:val="continue"/>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01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每次事故每人赔偿限额</w:t>
            </w:r>
            <w:r/>
          </w:p>
        </w:tc>
        <w:tc>
          <w:tcPr>
            <w:tcW w:w="405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40万元</w:t>
            </w:r>
            <w:r/>
          </w:p>
        </w:tc>
      </w:tr>
      <w:tr>
        <w:trPr>
          <w:trHeight w:val="406"/>
        </w:trPr>
        <w:tc>
          <w:tcPr>
            <w:tcW w:w="1732" w:type="dxa"/>
            <w:vAlign w:val="top"/>
            <w:vMerge w:val="continue"/>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01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累计及每次事故法律费用赔偿限额</w:t>
            </w:r>
            <w:r/>
          </w:p>
        </w:tc>
        <w:tc>
          <w:tcPr>
            <w:tcW w:w="405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5万元</w:t>
            </w:r>
            <w:r/>
          </w:p>
        </w:tc>
      </w:tr>
      <w:tr>
        <w:trPr>
          <w:trHeight w:val="2562"/>
        </w:trPr>
        <w:tc>
          <w:tcPr>
            <w:tcW w:w="173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附加条款</w:t>
            </w:r>
            <w:r/>
          </w:p>
        </w:tc>
        <w:tc>
          <w:tcPr>
            <w:gridSpan w:val="2"/>
            <w:tcW w:w="8073" w:type="dxa"/>
            <w:vAlign w:val="center"/>
            <w:textDirection w:val="lrTb"/>
            <w:noWrap w:val="false"/>
          </w:tcPr>
          <w:p>
            <w:pPr>
              <w:jc w:val="left"/>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1、附加外请医务人员医疗责任保险</w:t>
            </w:r>
            <w:r>
              <w:rPr>
                <w:rFonts w:hint="eastAsia" w:ascii="宋体" w:hAnsi="宋体" w:eastAsia="宋体" w:cs="宋体"/>
                <w:sz w:val="24"/>
                <w:szCs w:val="24"/>
                <w:lang w:eastAsia="zh-CN"/>
              </w:rPr>
              <w:t xml:space="preserve">（累计赔偿限额</w:t>
            </w:r>
            <w:r>
              <w:rPr>
                <w:rFonts w:hint="eastAsia" w:ascii="宋体" w:hAnsi="宋体" w:eastAsia="宋体" w:cs="宋体"/>
                <w:sz w:val="24"/>
                <w:szCs w:val="24"/>
                <w:lang w:val="en-US" w:eastAsia="zh-CN"/>
              </w:rPr>
              <w:t xml:space="preserve">500万元，每次事故赔偿限额60万元，每次事故每人赔偿限额40万元</w:t>
            </w:r>
            <w:r>
              <w:rPr>
                <w:rFonts w:hint="eastAsia" w:ascii="宋体" w:hAnsi="宋体" w:eastAsia="宋体" w:cs="宋体"/>
                <w:sz w:val="24"/>
                <w:szCs w:val="24"/>
                <w:lang w:eastAsia="zh-CN"/>
              </w:rPr>
              <w:t xml:space="preserve">）</w:t>
            </w:r>
            <w:r/>
          </w:p>
          <w:p>
            <w:pPr>
              <w:jc w:val="left"/>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2、附加进修医务人员医疗责任保险（</w:t>
            </w:r>
            <w:r>
              <w:rPr>
                <w:rFonts w:hint="eastAsia" w:ascii="宋体" w:hAnsi="宋体" w:eastAsia="宋体" w:cs="宋体"/>
                <w:sz w:val="24"/>
                <w:szCs w:val="24"/>
                <w:lang w:eastAsia="zh-CN"/>
              </w:rPr>
              <w:t xml:space="preserve">累计赔偿限额</w:t>
            </w:r>
            <w:r>
              <w:rPr>
                <w:rFonts w:hint="eastAsia" w:ascii="宋体" w:hAnsi="宋体" w:eastAsia="宋体" w:cs="宋体"/>
                <w:sz w:val="24"/>
                <w:szCs w:val="24"/>
                <w:lang w:val="en-US" w:eastAsia="zh-CN"/>
              </w:rPr>
              <w:t xml:space="preserve">500万元，每次事故赔偿限额60万元，每次事故每人赔偿限额40万元</w:t>
            </w:r>
            <w:r>
              <w:rPr>
                <w:rFonts w:hint="eastAsia" w:ascii="宋体" w:hAnsi="宋体" w:eastAsia="宋体" w:cs="宋体"/>
                <w:sz w:val="24"/>
                <w:szCs w:val="24"/>
                <w:lang w:eastAsia="zh-CN"/>
              </w:rPr>
              <w:t xml:space="preserve">）</w:t>
            </w:r>
            <w:r/>
          </w:p>
          <w:p>
            <w:pPr>
              <w:jc w:val="left"/>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附加精神损害赔偿责任保险条款（累计赔偿限额</w:t>
            </w:r>
            <w:r>
              <w:rPr>
                <w:rFonts w:hint="eastAsia" w:ascii="宋体" w:hAnsi="宋体" w:eastAsia="宋体" w:cs="宋体"/>
                <w:sz w:val="24"/>
                <w:szCs w:val="24"/>
                <w:lang w:val="en-US" w:eastAsia="zh-CN"/>
              </w:rPr>
              <w:t xml:space="preserve">500万元，每次事故赔偿限额60万元，每次事故每人赔偿限额5万元）</w:t>
            </w:r>
            <w:r/>
          </w:p>
          <w:p>
            <w:pPr>
              <w:jc w:val="left"/>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附加</w:t>
            </w:r>
            <w:r>
              <w:rPr>
                <w:rFonts w:hint="eastAsia" w:ascii="宋体" w:hAnsi="宋体" w:eastAsia="宋体" w:cs="宋体"/>
                <w:sz w:val="24"/>
                <w:szCs w:val="24"/>
                <w:lang w:val="en-US" w:eastAsia="zh-CN"/>
              </w:rPr>
              <w:t xml:space="preserve">公平分担损失保险条款</w:t>
            </w:r>
            <w:r>
              <w:rPr>
                <w:rFonts w:hint="eastAsia" w:ascii="宋体" w:hAnsi="宋体" w:eastAsia="宋体" w:cs="宋体"/>
                <w:sz w:val="24"/>
                <w:szCs w:val="24"/>
                <w:lang w:eastAsia="zh-CN"/>
              </w:rPr>
              <w:t xml:space="preserve">（累计赔偿限额</w:t>
            </w:r>
            <w:r>
              <w:rPr>
                <w:rFonts w:hint="eastAsia" w:ascii="宋体" w:hAnsi="宋体" w:eastAsia="宋体" w:cs="宋体"/>
                <w:sz w:val="24"/>
                <w:szCs w:val="24"/>
                <w:lang w:val="en-US" w:eastAsia="zh-CN"/>
              </w:rPr>
              <w:t xml:space="preserve">500万元，每次事故赔偿</w:t>
            </w:r>
            <w:r>
              <w:rPr>
                <w:rFonts w:hint="eastAsia" w:ascii="宋体" w:hAnsi="宋体" w:eastAsia="宋体" w:cs="宋体"/>
                <w:sz w:val="24"/>
                <w:szCs w:val="24"/>
                <w:lang w:eastAsia="zh-CN"/>
              </w:rPr>
              <w:t xml:space="preserve">限额</w:t>
            </w:r>
            <w:r>
              <w:rPr>
                <w:rFonts w:hint="eastAsia" w:ascii="宋体" w:hAnsi="宋体" w:eastAsia="宋体" w:cs="宋体"/>
                <w:sz w:val="24"/>
                <w:szCs w:val="24"/>
                <w:lang w:val="en-US" w:eastAsia="zh-CN"/>
              </w:rPr>
              <w:t xml:space="preserve">60万元，每次事故每人赔偿限额2万元）</w:t>
            </w:r>
            <w:r/>
          </w:p>
        </w:tc>
      </w:tr>
      <w:tr>
        <w:trPr>
          <w:trHeight w:val="348"/>
        </w:trPr>
        <w:tc>
          <w:tcPr>
            <w:tcW w:w="1732" w:type="dxa"/>
            <w:vAlign w:val="top"/>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免赔额</w:t>
            </w:r>
            <w:r/>
          </w:p>
        </w:tc>
        <w:tc>
          <w:tcPr>
            <w:gridSpan w:val="2"/>
            <w:tcW w:w="807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每次事故绝对免赔5000元或损失金额的10%，两者取高。</w:t>
            </w:r>
            <w:r/>
          </w:p>
        </w:tc>
      </w:tr>
      <w:tr>
        <w:trPr>
          <w:trHeight w:val="378"/>
        </w:trPr>
        <w:tc>
          <w:tcPr>
            <w:tcW w:w="1732" w:type="dxa"/>
            <w:vAlign w:val="top"/>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保费总计</w:t>
            </w:r>
            <w:r/>
          </w:p>
        </w:tc>
        <w:tc>
          <w:tcPr>
            <w:gridSpan w:val="2"/>
            <w:tcW w:w="807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390万</w:t>
            </w:r>
            <w:r/>
          </w:p>
        </w:tc>
      </w:tr>
    </w:tbl>
    <w:p>
      <w:pPr>
        <w:pStyle w:val="843"/>
        <w:numPr>
          <w:ilvl w:val="0"/>
          <w:numId w:val="0"/>
        </w:numPr>
        <w:spacing w:line="240" w:lineRule="auto"/>
        <w:rPr>
          <w:rFonts w:hint="default"/>
          <w:lang w:val="en-US" w:eastAsia="zh-CN"/>
        </w:rPr>
      </w:pPr>
      <w:r>
        <w:rPr>
          <w:rFonts w:hint="default"/>
          <w:lang w:val="en-US" w:eastAsia="zh-CN"/>
        </w:rPr>
      </w:r>
      <w:r/>
    </w:p>
    <w:p>
      <w:pPr>
        <w:ind w:firstLine="241"/>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二、保险条款要求</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主条款</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医疗责任险</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责任范围</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在保险单列明的保险期间或追溯期及承保区域范围内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在保险单中载明的被保险人的医务人员（以下简称投保医务人员）在诊疗活动中</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因执业过失造成患者人身损害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在本保险期间内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由患者或其近亲属首次向被保险人提出索赔申请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依法应由被保险人承担民事赔偿责任时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保险人按照本保险合同的约定负责赔偿</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本保险合同所指的追溯期是指从保险期间开始之时起向前追溯的约定的期间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追溯期的具体起止时间以保险单载明的时间为准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本保险合同所指的诊疗活动是指通过各种检查</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使用药物、器械及手术等方法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对疾病作出判断和消除疾病、缓解病情、减轻痛苦、改善功能、延长生命、帮助患者恢复健康的活动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包括诊断、治疗、护理环节</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保险责任范围内的事故发生后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事先经保险人书面同意的法律费用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包括事故鉴定费、查勘费、取证费、仲裁或诉讼费、案件受理费、律师费等</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保险人按照本保险合同的约定也负责赔偿</w:t>
      </w:r>
      <w:r>
        <w:rPr>
          <w:rFonts w:hint="eastAsia" w:ascii="宋体" w:hAnsi="宋体" w:eastAsia="宋体" w:cs="宋体"/>
          <w:bCs/>
          <w:sz w:val="24"/>
          <w:szCs w:val="24"/>
          <w:lang w:eastAsia="zh-CN"/>
        </w:rPr>
        <w:t xml:space="preserve">。</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责任免除</w:t>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原因除外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被保险人或其投保医务人员的故意行为、犯罪行为和非执业行为</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战争、敌对行为、军事行动、武装冲突、恐怖活动、罢工、骚乱、暴动、盗窃、抢劫</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核反应、核子辐射和放射性污染</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但使用放射器材治疗发生的赔偿责任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地震、海啸、雷击、暴雨、洪水等自然灾害及火灾、爆炸等意外事故</w:t>
      </w:r>
      <w:r>
        <w:rPr>
          <w:rFonts w:hint="eastAsia" w:ascii="宋体" w:hAnsi="宋体" w:eastAsia="宋体" w:cs="宋体"/>
          <w:bCs/>
          <w:sz w:val="24"/>
          <w:szCs w:val="24"/>
          <w:lang w:eastAsia="zh-CN"/>
        </w:rPr>
        <w:t xml:space="preserve">。</w:t>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情形除外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未经国家有关部门认定合格的医务人员进行的诊疗工作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临床试验性检查、治疗</w:t>
      </w:r>
      <w:r>
        <w:rPr>
          <w:rFonts w:hint="eastAsia" w:ascii="宋体" w:hAnsi="宋体" w:eastAsia="宋体" w:cs="宋体"/>
          <w:bCs/>
          <w:sz w:val="24"/>
          <w:szCs w:val="24"/>
          <w:lang w:eastAsia="zh-CN"/>
        </w:rPr>
        <w:t xml:space="preserve">以及其他</w:t>
      </w:r>
      <w:r>
        <w:rPr>
          <w:rFonts w:hint="eastAsia" w:ascii="宋体" w:hAnsi="宋体" w:eastAsia="宋体" w:cs="宋体"/>
          <w:bCs/>
          <w:sz w:val="24"/>
          <w:szCs w:val="24"/>
        </w:rPr>
        <w:t xml:space="preserve">不以治疗为目的的诊疗活动造成患者的人身损害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包括但不限于整形美容、体检</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被保险人或其投保医务人员从事未经国家有关部门许可的诊疗工作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被保险人或其投保医务人员被吊销执业许可或被取消执业资格以及受停业、停职处分后仍继续进行诊疗工作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被保险人投保医务人员在饮酒、吸毒或药剂麻醉状态下进行诊疗工作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因药品、消毒药剂、医疗器械的缺陷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或者输入不合格的血液</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w:t>
      </w:r>
      <w:r>
        <w:rPr>
          <w:rFonts w:hint="eastAsia" w:ascii="宋体" w:hAnsi="宋体" w:cs="宋体"/>
          <w:bCs/>
          <w:sz w:val="24"/>
          <w:szCs w:val="24"/>
          <w:lang w:val="en-US" w:eastAsia="zh-CN"/>
        </w:rPr>
        <w:t xml:space="preserve">者不合格</w:t>
      </w:r>
      <w:r>
        <w:rPr>
          <w:rFonts w:hint="eastAsia" w:ascii="宋体" w:hAnsi="宋体" w:eastAsia="宋体" w:cs="宋体"/>
          <w:bCs/>
          <w:sz w:val="24"/>
          <w:szCs w:val="24"/>
        </w:rPr>
        <w:t xml:space="preserve">药品</w:t>
      </w:r>
      <w:r>
        <w:rPr>
          <w:rFonts w:hint="eastAsia" w:ascii="宋体" w:hAnsi="宋体" w:cs="宋体"/>
          <w:bCs/>
          <w:sz w:val="24"/>
          <w:szCs w:val="24"/>
          <w:lang w:val="en-US" w:eastAsia="zh-CN"/>
        </w:rPr>
        <w:t xml:space="preserve">的</w:t>
      </w:r>
      <w:r>
        <w:rPr>
          <w:rFonts w:hint="eastAsia" w:ascii="宋体" w:hAnsi="宋体" w:eastAsia="宋体" w:cs="宋体"/>
          <w:bCs/>
          <w:sz w:val="24"/>
          <w:szCs w:val="24"/>
        </w:rPr>
        <w:t xml:space="preserve">不良反应造成患者损害</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7. 被保险人或其投保医务人员使用未经国家有关部门批准使用的药品、消毒药剂和医疗器械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但经国家有关部门批准进行临床实验所使用的药品、消毒药剂、医疗器械不在此限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8. 被保险人或其投保医务人员在正当的诊断、治疗范围外使用麻醉药品、医疗用毒性药品、精神药品和放射性药品</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9. 被保险人医务人员在抢救生命垂危的患者等紧急情况下已经尽到合理诊疗义务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10. 被保险人医务人员限于当时的医疗水平难以诊疗</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11. 患者或者其近亲属不配合医疗机构进行符合诊疗规范的诊疗</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被保险人及其医务人员没有过错的</w:t>
      </w:r>
      <w:r>
        <w:rPr>
          <w:rFonts w:hint="eastAsia" w:ascii="宋体" w:hAnsi="宋体" w:eastAsia="宋体" w:cs="宋体"/>
          <w:bCs/>
          <w:sz w:val="24"/>
          <w:szCs w:val="24"/>
          <w:lang w:eastAsia="zh-CN"/>
        </w:rPr>
        <w:t xml:space="preserve">。</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损失、费用和责任除外</w:t>
      </w:r>
      <w:r/>
    </w:p>
    <w:p>
      <w:pPr>
        <w:numPr>
          <w:ilvl w:val="0"/>
          <w:numId w:val="12"/>
        </w:numPr>
        <w:ind w:left="0" w:firstLine="42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被保险人医务人员或其代表的人身伤亡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直接或间接由于计算机2000年问题引起的损失</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罚款、罚金或惩罚性赔偿</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本保险合同载明的免赔额</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被保险人根据与患者、其近亲属或他人签订的协议应承担的责任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但即使没有这种协议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被保险人依法仍应承担的责任不在此限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投保医务人员自终止在被保险人的营业处所内工作之后所发生的任何损失、费用和责任</w:t>
      </w:r>
      <w:r>
        <w:rPr>
          <w:rFonts w:hint="eastAsia" w:ascii="宋体" w:hAnsi="宋体" w:eastAsia="宋体" w:cs="宋体"/>
          <w:bCs/>
          <w:sz w:val="24"/>
          <w:szCs w:val="24"/>
          <w:lang w:eastAsia="zh-CN"/>
        </w:rPr>
        <w:t xml:space="preserve">。</w:t>
      </w:r>
      <w:r/>
    </w:p>
    <w:p>
      <w:pPr>
        <w:ind w:firstLine="241"/>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w:t>
      </w:r>
      <w:r>
        <w:rPr>
          <w:rFonts w:hint="eastAsia" w:ascii="宋体" w:hAnsi="宋体" w:cs="宋体"/>
          <w:b/>
          <w:bCs/>
          <w:color w:val="auto"/>
          <w:sz w:val="24"/>
          <w:szCs w:val="24"/>
          <w:lang w:val="en-US" w:eastAsia="zh-CN"/>
        </w:rPr>
        <w:t xml:space="preserve">理赔</w:t>
      </w:r>
      <w:r>
        <w:rPr>
          <w:rFonts w:hint="eastAsia" w:ascii="宋体" w:hAnsi="宋体" w:eastAsia="宋体" w:cs="宋体"/>
          <w:b/>
          <w:bCs/>
          <w:color w:val="auto"/>
          <w:sz w:val="24"/>
          <w:szCs w:val="24"/>
          <w:lang w:val="en-US" w:eastAsia="zh-CN"/>
        </w:rPr>
        <w:t xml:space="preserve">要求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保险公司应建立本次保险招标项目理赔服务绿色通道</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按照省市有关医责险文件要求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切实遵守以下保险理赔服务条款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主动迅速地为被保险人提供优质的理赔服务</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1）接报案</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设立24小时保险服务专线电话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可全年365天随时接受被保险人的出险报案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并应立即通知公司相关部门及人员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中标保险公司应为</w:t>
      </w:r>
      <w:r>
        <w:rPr>
          <w:rFonts w:hint="eastAsia" w:ascii="宋体" w:hAnsi="宋体" w:eastAsia="宋体" w:cs="宋体"/>
          <w:b w:val="0"/>
          <w:bCs w:val="0"/>
          <w:color w:val="auto"/>
          <w:sz w:val="24"/>
          <w:szCs w:val="24"/>
          <w:highlight w:val="none"/>
        </w:rPr>
        <w:t xml:space="preserve">被保险人</w:t>
      </w:r>
      <w:r>
        <w:rPr>
          <w:rFonts w:hint="eastAsia" w:ascii="宋体" w:hAnsi="宋体" w:eastAsia="宋体" w:cs="宋体"/>
          <w:b w:val="0"/>
          <w:bCs w:val="0"/>
          <w:color w:val="auto"/>
          <w:sz w:val="24"/>
          <w:szCs w:val="24"/>
          <w:highlight w:val="none"/>
          <w:lang w:val="en-US" w:eastAsia="zh-CN"/>
        </w:rPr>
        <w:t xml:space="preserve">指定专人调保员负责与被保险人对接沟通保险报案及理赔等事宜。</w:t>
      </w:r>
      <w:r>
        <w:rPr>
          <w:rFonts w:hint="eastAsia" w:ascii="宋体" w:hAnsi="宋体" w:eastAsia="宋体" w:cs="宋体"/>
          <w:b w:val="0"/>
          <w:bCs w:val="0"/>
          <w:color w:val="auto"/>
          <w:sz w:val="24"/>
          <w:szCs w:val="24"/>
          <w:highlight w:val="none"/>
        </w:rPr>
        <w:t xml:space="preserve">中标保险公司相关部门及人员尽力满足或协调被保险人的合理需要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并详细地告知被保险人注意事项、承保范围、保障内容及理赔时需要准备的材料等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不得欺骗、误导被保险人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2）现场协调</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接到报案后需要进行现场协调的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应立即指派调保员在2小时内到达纠纷现场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如被保险人有时间要求的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应第一时间上门协调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进行有关保险政策、纠纷理赔流程的宣传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合理引导到</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市医患纠纷调处中心调解或通过司法途径解决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必要时与</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市医患纠纷调处中心进行对接并做好协调工作</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3）定责定损</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属于保险责任范围的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按照《江苏省医疗纠纷预防与处理条例》等相关法律法规的规定程序进行处理解决的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30日内</w:t>
      </w:r>
      <w:r>
        <w:rPr>
          <w:rFonts w:hint="eastAsia" w:ascii="宋体" w:hAnsi="宋体" w:eastAsia="宋体" w:cs="宋体"/>
          <w:b w:val="0"/>
          <w:bCs w:val="0"/>
          <w:color w:val="auto"/>
          <w:sz w:val="24"/>
          <w:szCs w:val="24"/>
          <w:highlight w:val="none"/>
        </w:rPr>
        <w:t xml:space="preserve">赔付到位</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对于不属于保险责任的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应在接到被保险人赔偿请求后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个工作日内向其发出《拒赔通知书》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w:t>
      </w:r>
      <w:r>
        <w:rPr>
          <w:rFonts w:hint="eastAsia" w:ascii="宋体" w:hAnsi="宋体" w:eastAsia="宋体" w:cs="宋体"/>
          <w:b w:val="0"/>
          <w:bCs w:val="0"/>
          <w:color w:val="auto"/>
          <w:sz w:val="24"/>
          <w:szCs w:val="24"/>
          <w:highlight w:val="none"/>
        </w:rPr>
        <w:t xml:space="preserve">则视为认可</w:t>
      </w:r>
      <w:r>
        <w:rPr>
          <w:rFonts w:hint="eastAsia" w:ascii="宋体" w:hAnsi="宋体" w:eastAsia="宋体" w:cs="宋体"/>
          <w:b w:val="0"/>
          <w:bCs w:val="0"/>
          <w:color w:val="auto"/>
          <w:sz w:val="24"/>
          <w:szCs w:val="24"/>
          <w:highlight w:val="none"/>
          <w:lang w:val="en-US" w:eastAsia="zh-CN"/>
        </w:rPr>
        <w:t xml:space="preserve">该报案的保险责任</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4）索赔材料递交</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中标保险公司接到被保险人索赔材料后应立即审查核实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若认为有关证明或材料不完整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应立刻以书面或电子邮件方式通知被保险人应补充提供的有关证明或材料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若中标保险公司在接到索赔资料后5个工作日内未给予有关审核意见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则视为认可索赔资料的完整性</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5）赔偿依据</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中标保险公司认可</w:t>
      </w:r>
      <w:r>
        <w:rPr>
          <w:rFonts w:hint="eastAsia" w:ascii="宋体" w:hAnsi="宋体" w:eastAsia="宋体" w:cs="宋体"/>
          <w:b w:val="0"/>
          <w:bCs w:val="0"/>
          <w:color w:val="auto"/>
          <w:sz w:val="24"/>
          <w:szCs w:val="24"/>
          <w:highlight w:val="none"/>
        </w:rPr>
        <w:t xml:space="preserve">符合本项目理赔的医患双方</w:t>
      </w:r>
      <w:r>
        <w:rPr>
          <w:rFonts w:hint="eastAsia" w:ascii="宋体" w:hAnsi="宋体" w:eastAsia="宋体" w:cs="宋体"/>
          <w:b w:val="0"/>
          <w:bCs w:val="0"/>
          <w:color w:val="auto"/>
          <w:sz w:val="24"/>
          <w:szCs w:val="24"/>
          <w:highlight w:val="none"/>
          <w:lang w:val="en-US" w:eastAsia="zh-CN"/>
        </w:rPr>
        <w:t xml:space="preserve">协商并签订的调解协议书、</w:t>
      </w:r>
      <w:r>
        <w:rPr>
          <w:rFonts w:hint="eastAsia" w:ascii="宋体" w:hAnsi="宋体" w:eastAsia="宋体" w:cs="宋体"/>
          <w:b w:val="0"/>
          <w:bCs w:val="0"/>
          <w:color w:val="auto"/>
          <w:sz w:val="24"/>
          <w:szCs w:val="24"/>
          <w:highlight w:val="none"/>
        </w:rPr>
        <w:t xml:space="preserve">医调委主持签订的人民调解协议书、卫健行政部门出具的行政调解书、</w:t>
      </w:r>
      <w:r>
        <w:rPr>
          <w:rFonts w:hint="eastAsia" w:ascii="宋体" w:hAnsi="宋体" w:eastAsia="宋体" w:cs="宋体"/>
          <w:b w:val="0"/>
          <w:bCs w:val="0"/>
          <w:color w:val="auto"/>
          <w:sz w:val="24"/>
          <w:szCs w:val="24"/>
          <w:highlight w:val="none"/>
          <w:lang w:val="en-US" w:eastAsia="zh-CN"/>
        </w:rPr>
        <w:t xml:space="preserve">司法局出具的人民调解协议书、</w:t>
      </w:r>
      <w:r>
        <w:rPr>
          <w:rFonts w:hint="eastAsia" w:ascii="宋体" w:hAnsi="宋体" w:eastAsia="宋体" w:cs="宋体"/>
          <w:b w:val="0"/>
          <w:bCs w:val="0"/>
          <w:color w:val="auto"/>
          <w:sz w:val="24"/>
          <w:szCs w:val="24"/>
          <w:highlight w:val="none"/>
        </w:rPr>
        <w:t xml:space="preserve">人民法院出具的民事调解书或判决书等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并将其作为保险人赔偿的依据</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6）赔款时限</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①在被保险人提供完整必要的索赔材料后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承诺</w:t>
      </w:r>
      <w:r>
        <w:rPr>
          <w:rFonts w:hint="eastAsia" w:ascii="宋体" w:hAnsi="宋体" w:eastAsia="宋体" w:cs="宋体"/>
          <w:b w:val="0"/>
          <w:bCs w:val="0"/>
          <w:color w:val="auto"/>
          <w:sz w:val="24"/>
          <w:szCs w:val="24"/>
          <w:highlight w:val="none"/>
          <w:lang w:val="en-US" w:eastAsia="zh-CN"/>
        </w:rPr>
        <w:t xml:space="preserve">30日</w:t>
      </w:r>
      <w:r>
        <w:rPr>
          <w:rFonts w:hint="eastAsia" w:ascii="宋体" w:hAnsi="宋体" w:eastAsia="宋体" w:cs="宋体"/>
          <w:b w:val="0"/>
          <w:bCs w:val="0"/>
          <w:color w:val="auto"/>
          <w:sz w:val="24"/>
          <w:szCs w:val="24"/>
          <w:highlight w:val="none"/>
        </w:rPr>
        <w:t xml:space="preserve">内向医疗机构支付保险理赔款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②如未按约定时间支付</w:t>
      </w:r>
      <w:r>
        <w:rPr>
          <w:rFonts w:hint="eastAsia" w:ascii="宋体" w:hAnsi="宋体" w:eastAsia="宋体" w:cs="宋体"/>
          <w:b w:val="0"/>
          <w:bCs w:val="0"/>
          <w:color w:val="auto"/>
          <w:sz w:val="24"/>
          <w:szCs w:val="24"/>
          <w:highlight w:val="none"/>
          <w:lang w:val="en-US" w:eastAsia="zh-CN"/>
        </w:rPr>
        <w:t xml:space="preserve">赔款</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应按照实际拖延天数向被保险人支付赔款滞纳金，滞纳金为应付赔款金额按实际违约天数所计算的单利（采用中国人民银行公布的活期利率）</w:t>
      </w:r>
      <w:r>
        <w:rPr>
          <w:rFonts w:hint="eastAsia" w:ascii="宋体" w:hAnsi="宋体" w:eastAsia="宋体" w:cs="宋体"/>
          <w:b w:val="0"/>
          <w:bCs w:val="0"/>
          <w:color w:val="auto"/>
          <w:sz w:val="24"/>
          <w:szCs w:val="24"/>
          <w:highlight w:val="none"/>
          <w:lang w:eastAsia="zh-CN"/>
        </w:rPr>
        <w:t xml:space="preserve">。</w:t>
      </w:r>
      <w:r/>
    </w:p>
    <w:p>
      <w:pPr>
        <w:pStyle w:val="809"/>
        <w:numPr>
          <w:ilvl w:val="0"/>
          <w:numId w:val="0"/>
        </w:numPr>
        <w:ind w:firstLine="245"/>
        <w:keepLines w:val="0"/>
        <w:keepNext w:val="0"/>
        <w:spacing w:before="0" w:after="0" w:line="360" w:lineRule="auto"/>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lang w:eastAsia="zh-CN"/>
        </w:rPr>
        <w:t xml:space="preserve">四</w:t>
      </w:r>
      <w:r>
        <w:rPr>
          <w:rFonts w:hint="eastAsia" w:ascii="宋体" w:hAnsi="宋体" w:eastAsia="宋体" w:cs="宋体"/>
          <w:b/>
          <w:bCs/>
          <w:spacing w:val="2"/>
          <w:sz w:val="24"/>
          <w:szCs w:val="24"/>
          <w:highlight w:val="none"/>
        </w:rPr>
        <w:t xml:space="preserve">、采购标的的数量、采购项目交付或者实施的时间和地点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highlight w:val="none"/>
          <w:lang w:eastAsia="zh-CN"/>
        </w:rPr>
      </w:pPr>
      <w:r>
        <w:rPr>
          <w:rFonts w:hint="eastAsia" w:ascii="宋体" w:hAnsi="宋体" w:eastAsia="宋体" w:cs="宋体"/>
          <w:sz w:val="24"/>
          <w:szCs w:val="24"/>
          <w:highlight w:val="none"/>
        </w:rPr>
        <w:t xml:space="preserve">本项目保险险种主险为“医疗责任保险”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bCs/>
          <w:color w:val="ff0000"/>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要求</w:t>
      </w:r>
      <w:r>
        <w:rPr>
          <w:rFonts w:hint="eastAsia" w:ascii="宋体" w:hAnsi="宋体" w:eastAsia="宋体" w:cs="宋体"/>
          <w:sz w:val="24"/>
          <w:szCs w:val="24"/>
          <w:highlight w:val="none"/>
          <w:lang w:val="en-US" w:eastAsia="zh-CN"/>
        </w:rPr>
        <w:t xml:space="preserve">起保日期为</w:t>
      </w:r>
      <w:r>
        <w:rPr>
          <w:rFonts w:hint="eastAsia" w:ascii="宋体" w:hAnsi="宋体" w:cs="宋体"/>
          <w:sz w:val="24"/>
          <w:szCs w:val="24"/>
          <w:highlight w:val="none"/>
          <w:lang w:val="en-US" w:eastAsia="zh-CN"/>
        </w:rPr>
        <w:t xml:space="preserve">2026年6</w:t>
      </w:r>
      <w:r>
        <w:rPr>
          <w:rFonts w:hint="eastAsia" w:ascii="宋体" w:hAnsi="宋体" w:eastAsia="宋体" w:cs="宋体"/>
          <w:sz w:val="24"/>
          <w:szCs w:val="24"/>
          <w:highlight w:val="none"/>
          <w:lang w:val="en-US" w:eastAsia="zh-CN"/>
        </w:rPr>
        <w:t xml:space="preserve">月30日零时</w:t>
      </w:r>
      <w:r>
        <w:rPr>
          <w:rFonts w:hint="eastAsia" w:ascii="宋体" w:hAnsi="宋体" w:cs="宋体"/>
          <w:sz w:val="24"/>
          <w:szCs w:val="24"/>
          <w:highlight w:val="none"/>
          <w:lang w:val="en-US" w:eastAsia="zh-CN"/>
        </w:rPr>
        <w:t xml:space="preserve">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保险期限为</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w:t>
      </w:r>
      <w:r/>
    </w:p>
    <w:p>
      <w:pPr>
        <w:pStyle w:val="822"/>
        <w:ind w:firstLine="241"/>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采购项目交付或者实施的时间和地点</w:t>
      </w:r>
      <w:r/>
    </w:p>
    <w:p>
      <w:pPr>
        <w:ind w:firstLine="480"/>
        <w:spacing w:line="360" w:lineRule="auto"/>
        <w:rPr>
          <w:rFonts w:hint="eastAsia" w:hAnsi="宋体" w:eastAsia="宋体" w:cs="宋体"/>
          <w:spacing w:val="2"/>
          <w:sz w:val="24"/>
          <w:highlight w:val="none"/>
          <w:lang w:eastAsia="zh-CN"/>
        </w:rPr>
      </w:pPr>
      <w:r>
        <w:rPr>
          <w:rFonts w:hint="eastAsia" w:hAnsi="宋体" w:cs="宋体"/>
          <w:spacing w:val="2"/>
          <w:sz w:val="24"/>
          <w:highlight w:val="none"/>
        </w:rPr>
        <w:t xml:space="preserve">实施时间：</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p>
    <w:p>
      <w:pPr>
        <w:ind w:firstLine="480"/>
        <w:spacing w:line="360" w:lineRule="auto"/>
        <w:rPr>
          <w:rFonts w:hAnsi="宋体" w:cs="宋体"/>
          <w:sz w:val="24"/>
          <w:highlight w:val="none"/>
          <w:lang w:val="zh-CN"/>
        </w:rPr>
      </w:pPr>
      <w:r>
        <w:rPr>
          <w:rFonts w:hint="eastAsia" w:hAnsi="宋体" w:cs="宋体"/>
          <w:spacing w:val="2"/>
          <w:sz w:val="24"/>
          <w:highlight w:val="none"/>
        </w:rPr>
        <w:t xml:space="preserve">实施地点：</w:t>
      </w:r>
      <w:r>
        <w:rPr>
          <w:rFonts w:hint="eastAsia" w:hAnsi="宋体" w:cs="宋体"/>
          <w:sz w:val="24"/>
          <w:highlight w:val="none"/>
          <w:lang w:val="zh-CN"/>
        </w:rPr>
        <w:t xml:space="preserve">宜兴市人民医院。</w:t>
      </w:r>
      <w:r/>
    </w:p>
    <w:p>
      <w:pPr>
        <w:pStyle w:val="822"/>
        <w:ind w:firstLine="241"/>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六</w:t>
      </w:r>
      <w:r>
        <w:rPr>
          <w:rFonts w:hint="eastAsia" w:ascii="宋体" w:hAnsi="宋体" w:eastAsia="宋体" w:cs="宋体"/>
          <w:b/>
          <w:sz w:val="24"/>
          <w:szCs w:val="24"/>
          <w:highlight w:val="none"/>
        </w:rPr>
        <w:t xml:space="preserve">、采购标的需满足的服务标准、期限、效率等要求 </w:t>
      </w:r>
      <w:r/>
    </w:p>
    <w:p>
      <w:pPr>
        <w:ind w:firstLine="480"/>
        <w:jc w:val="left"/>
        <w:spacing w:line="360" w:lineRule="auto"/>
        <w:widowControl/>
        <w:rPr>
          <w:rFonts w:hint="eastAsia" w:ascii="宋体" w:hAnsi="宋体" w:eastAsia="宋体" w:cs="宋体"/>
          <w:b/>
          <w:bCs/>
          <w:color w:val="auto"/>
          <w:sz w:val="24"/>
          <w:szCs w:val="24"/>
          <w:highlight w:val="none"/>
          <w:lang w:val="en-US" w:eastAsia="zh-CN"/>
        </w:rPr>
        <w:outlineLvl w:val="0"/>
      </w:pPr>
      <w:r/>
      <w:bookmarkStart w:id="114" w:name="_Toc14230"/>
      <w:r>
        <w:rPr>
          <w:rFonts w:hint="eastAsia" w:ascii="宋体" w:hAnsi="宋体"/>
          <w:sz w:val="24"/>
          <w:highlight w:val="none"/>
        </w:rPr>
        <w:t xml:space="preserve">服务要求：</w:t>
      </w:r>
      <w:bookmarkEnd w:id="114"/>
      <w:r/>
      <w:bookmarkStart w:id="115" w:name="_Toc10536"/>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建立</w:t>
      </w:r>
      <w:r>
        <w:rPr>
          <w:rFonts w:hint="eastAsia" w:ascii="宋体" w:hAnsi="宋体" w:cs="宋体"/>
          <w:bCs w:val="0"/>
          <w:color w:val="auto"/>
          <w:sz w:val="24"/>
          <w:szCs w:val="24"/>
          <w:highlight w:val="none"/>
        </w:rPr>
        <w:t xml:space="preserve">重大医疗纠纷处理</w:t>
      </w:r>
      <w:r>
        <w:rPr>
          <w:rFonts w:hint="eastAsia" w:ascii="宋体" w:hAnsi="宋体" w:cs="宋体"/>
          <w:bCs w:val="0"/>
          <w:color w:val="auto"/>
          <w:sz w:val="24"/>
          <w:szCs w:val="24"/>
          <w:highlight w:val="none"/>
          <w:lang w:val="en-US" w:eastAsia="zh-CN"/>
        </w:rPr>
        <w:t xml:space="preserve">制度：通过调解或诉讼的方式。</w:t>
      </w:r>
      <w:bookmarkEnd w:id="115"/>
      <w:r/>
      <w:r/>
    </w:p>
    <w:p>
      <w:pPr>
        <w:ind w:firstLine="241"/>
        <w:jc w:val="left"/>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val="0"/>
          <w:color w:val="auto"/>
          <w:sz w:val="24"/>
          <w:szCs w:val="24"/>
          <w:highlight w:val="none"/>
          <w:lang w:val="en-US" w:eastAsia="zh-CN"/>
        </w:rPr>
        <w:t xml:space="preserve">结算方式：提供以下数据上报给保险公司开具保单</w:t>
      </w:r>
      <w:r/>
    </w:p>
    <w:p>
      <w:pPr>
        <w:ind w:firstLine="480"/>
        <w:jc w:val="left"/>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医院基本信息</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以下数据仅供参考</w:t>
      </w:r>
      <w:r>
        <w:rPr>
          <w:rFonts w:hint="eastAsia" w:ascii="宋体" w:hAnsi="宋体" w:eastAsia="宋体" w:cs="宋体"/>
          <w:b w:val="0"/>
          <w:bCs/>
          <w:color w:val="auto"/>
          <w:sz w:val="24"/>
          <w:szCs w:val="24"/>
          <w:highlight w:val="none"/>
          <w:lang w:eastAsia="zh-CN"/>
        </w:rPr>
        <w:t xml:space="preserve">。</w:t>
      </w:r>
      <w:r/>
    </w:p>
    <w:p>
      <w:pPr>
        <w:pStyle w:val="844"/>
        <w:ind w:left="0" w:firstLine="480"/>
        <w:spacing w:line="360" w:lineRule="auto"/>
        <w:tabs>
          <w:tab w:val="center" w:pos="4589" w:leader="none"/>
        </w:tabs>
        <w:rPr>
          <w:rFonts w:hint="eastAsia"/>
          <w:b w:val="0"/>
          <w:bCs/>
          <w:highlight w:val="none"/>
        </w:rPr>
      </w:pPr>
      <w:r>
        <w:rPr>
          <w:rFonts w:hint="eastAsia" w:ascii="宋体" w:hAnsi="宋体" w:eastAsia="宋体" w:cs="宋体"/>
          <w:b w:val="0"/>
          <w:bCs/>
          <w:color w:val="auto"/>
          <w:sz w:val="24"/>
          <w:szCs w:val="24"/>
          <w:highlight w:val="none"/>
          <w:lang w:eastAsia="zh-CN"/>
        </w:rPr>
        <w:t xml:space="preserve">床位数：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医务人员总数：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上年度手术量</w:t>
      </w:r>
      <w:r>
        <w:rPr>
          <w:rFonts w:hint="eastAsia" w:ascii="宋体" w:hAnsi="宋体" w:eastAsia="宋体" w:cs="宋体"/>
          <w:b w:val="0"/>
          <w:bCs/>
          <w:color w:val="auto"/>
          <w:sz w:val="24"/>
          <w:szCs w:val="24"/>
          <w:highlight w:val="none"/>
          <w:lang w:eastAsia="zh-CN"/>
        </w:rPr>
        <w:t xml:space="preserve">：</w:t>
      </w:r>
      <w:r/>
    </w:p>
    <w:p>
      <w:pPr>
        <w:pStyle w:val="844"/>
        <w:ind w:left="0" w:firstLine="241"/>
        <w:spacing w:line="360" w:lineRule="auto"/>
        <w:tabs>
          <w:tab w:val="center" w:pos="4589" w:leader="none"/>
        </w:tabs>
        <w:rPr>
          <w:rFonts w:hint="eastAsia" w:ascii="宋体" w:hAnsi="宋体" w:eastAsia="宋体" w:cs="宋体"/>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sz w:val="24"/>
          <w:szCs w:val="24"/>
          <w:highlight w:val="none"/>
          <w:lang w:val="en-US" w:eastAsia="zh-CN" w:bidi="ar-SA"/>
        </w:rPr>
        <w:t xml:space="preserve">付款方式：</w:t>
      </w:r>
      <w:r>
        <w:rPr>
          <w:rFonts w:hint="eastAsia" w:ascii="宋体" w:hAnsi="宋体" w:eastAsia="宋体" w:cs="宋体"/>
          <w:bCs w:val="0"/>
          <w:color w:val="auto"/>
          <w:sz w:val="24"/>
          <w:szCs w:val="24"/>
          <w:highlight w:val="none"/>
          <w:lang w:val="en-US" w:eastAsia="zh-CN" w:bidi="ar-SA"/>
        </w:rPr>
        <w:t xml:space="preserve">保险公司开具增值税普通发票，并出具保单，采购方验收合格后，办理财务入账手续，于入账后的次月一次性付清保费。</w:t>
      </w:r>
      <w:r/>
    </w:p>
    <w:p>
      <w:pPr>
        <w:ind w:firstLine="560"/>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rPr>
      </w:pPr>
      <w:r>
        <w:rPr>
          <w:rFonts w:hint="eastAsia"/>
        </w:rPr>
      </w:r>
      <w:r/>
    </w:p>
    <w:p>
      <w:pPr>
        <w:pStyle w:val="849"/>
        <w:ind w:left="0" w:firstLine="0"/>
        <w:rPr>
          <w:rFonts w:hint="eastAsia"/>
        </w:rPr>
      </w:pPr>
      <w:r>
        <w:rPr>
          <w:rFonts w:hint="eastAsia"/>
        </w:rPr>
      </w:r>
      <w:r/>
    </w:p>
    <w:p>
      <w:pPr>
        <w:ind w:firstLine="560"/>
        <w:jc w:val="center"/>
        <w:spacing w:line="360" w:lineRule="auto"/>
        <w:rPr>
          <w:rFonts w:ascii="宋体" w:hAnsi="宋体"/>
          <w:color w:val="000000"/>
          <w:szCs w:val="21"/>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bookmarkEnd w:id="113"/>
      <w:r/>
      <w:r/>
    </w:p>
    <w:p>
      <w:pPr>
        <w:jc w:val="left"/>
        <w:spacing w:line="360" w:lineRule="auto"/>
        <w:rPr>
          <w:rFonts w:ascii="宋体" w:hAnsi="宋体"/>
          <w:color w:val="auto"/>
          <w:sz w:val="24"/>
          <w:szCs w:val="24"/>
          <w:highlight w:val="none"/>
        </w:rPr>
      </w:pPr>
      <w:r/>
      <w:bookmarkStart w:id="116" w:name="_Toc2535"/>
      <w:r/>
      <w:bookmarkStart w:id="117" w:name="_Toc526779129"/>
      <w:r/>
      <w:bookmarkStart w:id="118" w:name="_Toc29764"/>
      <w:r/>
      <w:bookmarkStart w:id="119" w:name="_Toc5576"/>
      <w:r/>
      <w:bookmarkStart w:id="120" w:name="_Toc487900374"/>
      <w:r>
        <w:rPr>
          <w:rFonts w:hint="eastAsia" w:ascii="宋体" w:hAnsi="宋体"/>
          <w:color w:val="auto"/>
          <w:sz w:val="24"/>
          <w:szCs w:val="24"/>
          <w:highlight w:val="none"/>
        </w:rPr>
        <w:t xml:space="preserve">一、评分项目（总分100分）</w:t>
      </w:r>
      <w:r/>
    </w:p>
    <w:tbl>
      <w:tblPr>
        <w:tblStyle w:val="8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3"/>
        <w:gridCol w:w="6323"/>
      </w:tblGrid>
      <w:tr>
        <w:trPr>
          <w:jc w:val="center"/>
          <w:trHeight w:val="620"/>
        </w:trPr>
        <w:tc>
          <w:tcPr>
            <w:tcW w:w="2473" w:type="dxa"/>
            <w:vAlign w:val="center"/>
            <w:textDirection w:val="lrTb"/>
            <w:noWrap w:val="false"/>
          </w:tcPr>
          <w:p>
            <w:pPr>
              <w:jc w:val="center"/>
              <w:rPr>
                <w:rFonts w:hint="eastAsia" w:ascii="宋体" w:hAnsi="宋体"/>
                <w:sz w:val="24"/>
                <w:szCs w:val="24"/>
                <w:highlight w:val="none"/>
              </w:rPr>
            </w:pPr>
            <w:r>
              <w:rPr>
                <w:rFonts w:hint="eastAsia" w:ascii="宋体" w:hAnsi="宋体" w:cs="宋体"/>
                <w:sz w:val="24"/>
                <w:szCs w:val="24"/>
                <w:highlight w:val="none"/>
              </w:rPr>
              <w:t xml:space="preserve">技术商务部分</w:t>
            </w:r>
            <w:r/>
          </w:p>
        </w:tc>
        <w:tc>
          <w:tcPr>
            <w:tcW w:w="632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80</w:t>
            </w:r>
            <w:r>
              <w:rPr>
                <w:rFonts w:hint="eastAsia" w:ascii="宋体" w:hAnsi="宋体"/>
                <w:sz w:val="24"/>
                <w:szCs w:val="24"/>
                <w:highlight w:val="none"/>
              </w:rPr>
              <w:t xml:space="preserve">分</w:t>
            </w:r>
            <w:r/>
          </w:p>
        </w:tc>
      </w:tr>
      <w:tr>
        <w:trPr>
          <w:jc w:val="center"/>
          <w:trHeight w:val="629"/>
        </w:trPr>
        <w:tc>
          <w:tcPr>
            <w:tcW w:w="247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价格部分</w:t>
            </w:r>
            <w:r/>
          </w:p>
        </w:tc>
        <w:tc>
          <w:tcPr>
            <w:tcW w:w="632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20分</w:t>
            </w:r>
            <w:r/>
          </w:p>
        </w:tc>
      </w:tr>
    </w:tbl>
    <w:p>
      <w:pPr>
        <w:numPr>
          <w:ilvl w:val="0"/>
          <w:numId w:val="0"/>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二、</w:t>
      </w:r>
      <w:r>
        <w:rPr>
          <w:rFonts w:hint="eastAsia" w:ascii="宋体" w:hAnsi="宋体"/>
          <w:color w:val="auto"/>
          <w:sz w:val="24"/>
          <w:szCs w:val="24"/>
          <w:highlight w:val="none"/>
        </w:rPr>
        <w:t xml:space="preserve">评审内容：</w:t>
      </w:r>
      <w:r/>
    </w:p>
    <w:p>
      <w:pPr>
        <w:numPr>
          <w:ilvl w:val="0"/>
          <w:numId w:val="13"/>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818"/>
        <w:tblpPr w:horzAnchor="text" w:tblpX="-322" w:vertAnchor="text" w:tblpY="1" w:leftFromText="180" w:topFromText="0" w:rightFromText="180" w:bottomFromText="0"/>
        <w:tblW w:w="10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834"/>
        <w:gridCol w:w="1430"/>
        <w:gridCol w:w="763"/>
        <w:gridCol w:w="6696"/>
      </w:tblGrid>
      <w:tr>
        <w:trPr>
          <w:trHeight w:val="749"/>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r>
      <w:tr>
        <w:trPr>
          <w:trHeight w:val="455"/>
        </w:trPr>
        <w:tc>
          <w:tcPr>
            <w:tcBorders>
              <w:left w:val="single" w:color="auto" w:sz="4" w:space="0"/>
              <w:right w:val="single" w:color="auto" w:sz="4" w:space="0"/>
            </w:tcBorders>
            <w:tcW w:w="873" w:type="dxa"/>
            <w:vAlign w:val="center"/>
            <w:vMerge w:val="restart"/>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评审因素</w:t>
            </w:r>
            <w:r>
              <w:rPr>
                <w:rFonts w:hint="eastAsia" w:ascii="宋体" w:hAnsi="宋体" w:eastAsia="宋体" w:cs="宋体"/>
                <w:sz w:val="24"/>
                <w:szCs w:val="24"/>
                <w:highlight w:val="none"/>
                <w:lang w:val="en-US" w:eastAsia="zh-CN"/>
              </w:rPr>
              <w:t xml:space="preserve">60分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76"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服务团队</w:t>
            </w:r>
            <w:r/>
          </w:p>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配置及管理方案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服务团队配置及管理方案</w:t>
            </w:r>
            <w:r>
              <w:rPr>
                <w:rFonts w:hint="eastAsia" w:ascii="宋体" w:hAnsi="宋体" w:eastAsia="宋体" w:cs="宋体"/>
                <w:sz w:val="24"/>
                <w:szCs w:val="24"/>
                <w:highlight w:val="none"/>
                <w:lang w:eastAsia="zh-CN" w:bidi="en-US"/>
              </w:rPr>
              <w:t xml:space="preserve">等内容进行评分；</w:t>
            </w:r>
            <w:r>
              <w:rPr>
                <w:rFonts w:hint="eastAsia" w:ascii="宋体" w:hAnsi="宋体" w:eastAsia="宋体" w:cs="宋体"/>
                <w:sz w:val="24"/>
                <w:szCs w:val="24"/>
                <w:highlight w:val="none"/>
                <w:lang w:bidi="en-US"/>
              </w:rPr>
              <w:t xml:space="preserve">方案内容详实、需求贴合度高且条理清晰的得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承保服务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承保</w:t>
            </w:r>
            <w:r>
              <w:rPr>
                <w:rFonts w:hint="eastAsia" w:ascii="宋体" w:hAnsi="宋体" w:eastAsia="宋体" w:cs="宋体"/>
                <w:sz w:val="24"/>
                <w:szCs w:val="24"/>
                <w:highlight w:val="none"/>
                <w:lang w:eastAsia="zh-CN" w:bidi="en-US"/>
              </w:rPr>
              <w:t xml:space="preserve">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理赔服务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方案及承诺</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根据投标人提供的理赔服务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及承诺等内容进行评分；方案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宣传培训</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针对宣传计划及措施</w:t>
            </w:r>
            <w:r>
              <w:rPr>
                <w:rFonts w:hint="eastAsia" w:ascii="宋体" w:hAnsi="宋体" w:eastAsia="宋体" w:cs="宋体"/>
                <w:sz w:val="24"/>
                <w:szCs w:val="24"/>
                <w:highlight w:val="none"/>
                <w:lang w:eastAsia="zh-CN" w:bidi="en-US"/>
              </w:rPr>
              <w:t xml:space="preserve">、培训服务等内容</w:t>
            </w:r>
            <w:r>
              <w:rPr>
                <w:rFonts w:hint="eastAsia" w:ascii="宋体" w:hAnsi="宋体" w:eastAsia="宋体" w:cs="宋体"/>
                <w:sz w:val="24"/>
                <w:szCs w:val="24"/>
                <w:highlight w:val="none"/>
                <w:lang w:bidi="en-US"/>
              </w:rPr>
              <w:t xml:space="preserve">进行阐述，阐述内容须满足采购需求。方案完整、内容详尽、针对性很强的得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分；方案较完整、内容较详尽、针对性较强的得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分；方案不完整、内容简略、针对性不强的得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不得分</w:t>
            </w:r>
            <w:r>
              <w:rPr>
                <w:rFonts w:hint="eastAsia" w:ascii="宋体" w:hAnsi="宋体" w:eastAsia="宋体" w:cs="宋体"/>
                <w:sz w:val="24"/>
                <w:szCs w:val="24"/>
                <w:highlight w:val="none"/>
                <w:lang w:eastAsia="zh-CN" w:bidi="en-US"/>
              </w:rPr>
              <w:t xml:space="preserve">。</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风险减量的服务方案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风险减量的服务方案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内部业务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内部业务管理方案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906"/>
        </w:trPr>
        <w:tc>
          <w:tcPr>
            <w:tcBorders>
              <w:left w:val="single" w:color="auto" w:sz="4" w:space="0"/>
              <w:right w:val="single" w:color="auto" w:sz="4" w:space="0"/>
            </w:tcBorders>
            <w:tcW w:w="873" w:type="dxa"/>
            <w:vAlign w:val="center"/>
            <w:vMerge w:val="restart"/>
            <w:textDirection w:val="lrTb"/>
            <w:noWrap w:val="false"/>
          </w:tcPr>
          <w:p>
            <w:pPr>
              <w:jc w:val="both"/>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商务评审因素</w:t>
            </w:r>
            <w:r>
              <w:rPr>
                <w:rFonts w:hint="eastAsia" w:ascii="宋体" w:hAnsi="宋体" w:eastAsia="宋体" w:cs="宋体"/>
                <w:sz w:val="24"/>
                <w:szCs w:val="24"/>
                <w:highlight w:val="none"/>
                <w:lang w:val="en-US" w:eastAsia="zh-CN"/>
              </w:rPr>
              <w:t xml:space="preserve">20分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偿付能力</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总公司202</w:t>
            </w:r>
            <w:r>
              <w:rPr>
                <w:rFonts w:hint="eastAsia" w:ascii="宋体" w:hAnsi="宋体" w:eastAsia="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年综合偿付能力充足率（</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分）：偿付能力﹤100%，不得分；100%≤偿付能力﹤200%，最高得</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分；偿付能力≥200%，最高得</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rPr>
                <w:rFonts w:hint="eastAsia" w:ascii="宋体" w:hAnsi="宋体" w:cs="宋体"/>
                <w:sz w:val="24"/>
                <w:szCs w:val="24"/>
                <w:highlight w:val="none"/>
                <w:lang w:eastAsia="zh-CN" w:bidi="en-US"/>
              </w:rPr>
              <w:t xml:space="preserve">【</w:t>
            </w:r>
            <w:r>
              <w:rPr>
                <w:rFonts w:hint="eastAsia" w:ascii="宋体" w:hAnsi="宋体" w:eastAsia="宋体" w:cs="宋体"/>
                <w:b/>
                <w:bCs/>
                <w:sz w:val="24"/>
                <w:szCs w:val="24"/>
                <w:highlight w:val="none"/>
                <w:lang w:eastAsia="zh-CN" w:bidi="en-US"/>
              </w:rPr>
              <w:t xml:space="preserve">投标文件中须</w:t>
            </w:r>
            <w:r>
              <w:rPr>
                <w:rFonts w:hint="eastAsia" w:ascii="宋体" w:hAnsi="宋体" w:eastAsia="宋体" w:cs="宋体"/>
                <w:b/>
                <w:bCs/>
                <w:sz w:val="24"/>
                <w:szCs w:val="24"/>
                <w:highlight w:val="none"/>
                <w:lang w:bidi="en-US"/>
              </w:rPr>
              <w:t xml:space="preserve">提供相关证明材料扫描件</w:t>
            </w:r>
            <w:r>
              <w:rPr>
                <w:rFonts w:hint="eastAsia" w:ascii="宋体" w:hAnsi="宋体" w:eastAsia="宋体" w:cs="宋体"/>
                <w:b/>
                <w:bCs/>
                <w:sz w:val="24"/>
                <w:szCs w:val="24"/>
                <w:highlight w:val="none"/>
                <w:lang w:eastAsia="zh-CN" w:bidi="en-US"/>
              </w:rPr>
              <w:t xml:space="preserve">加盖公章</w:t>
            </w:r>
            <w:r>
              <w:rPr>
                <w:rFonts w:hint="eastAsia" w:ascii="宋体" w:hAnsi="宋体" w:eastAsia="宋体" w:cs="宋体"/>
                <w:b/>
                <w:bCs/>
                <w:sz w:val="24"/>
                <w:szCs w:val="24"/>
                <w:highlight w:val="none"/>
                <w:lang w:bidi="en-US"/>
              </w:rPr>
              <w:t xml:space="preserve">，</w:t>
            </w:r>
            <w:r>
              <w:rPr>
                <w:rFonts w:hint="eastAsia" w:ascii="宋体" w:hAnsi="宋体" w:eastAsia="宋体" w:cs="宋体"/>
                <w:b/>
                <w:bCs/>
                <w:sz w:val="24"/>
                <w:szCs w:val="24"/>
                <w:highlight w:val="none"/>
                <w:lang w:eastAsia="zh-CN" w:bidi="en-US"/>
              </w:rPr>
              <w:t xml:space="preserve">未</w:t>
            </w:r>
            <w:r>
              <w:rPr>
                <w:rFonts w:hint="eastAsia" w:ascii="宋体" w:hAnsi="宋体" w:eastAsia="宋体" w:cs="宋体"/>
                <w:b/>
                <w:bCs/>
                <w:sz w:val="24"/>
                <w:szCs w:val="24"/>
                <w:highlight w:val="none"/>
                <w:lang w:bidi="en-US"/>
              </w:rPr>
              <w:t xml:space="preserve">提供不得分</w:t>
            </w:r>
            <w:r>
              <w:rPr>
                <w:rFonts w:hint="eastAsia" w:ascii="宋体" w:hAnsi="宋体" w:cs="宋体"/>
                <w:b/>
                <w:bCs/>
                <w:sz w:val="24"/>
                <w:szCs w:val="24"/>
                <w:highlight w:val="none"/>
                <w:lang w:eastAsia="zh-CN" w:bidi="en-US"/>
              </w:rPr>
              <w:t xml:space="preserve">。】</w:t>
            </w:r>
            <w:r/>
          </w:p>
        </w:tc>
      </w:tr>
      <w:tr>
        <w:trPr>
          <w:trHeight w:val="90"/>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业</w:t>
            </w:r>
            <w:r>
              <w:rPr>
                <w:rFonts w:hint="eastAsia" w:ascii="宋体" w:hAnsi="宋体" w:eastAsia="宋体" w:cs="宋体"/>
                <w:sz w:val="24"/>
                <w:szCs w:val="24"/>
                <w:highlight w:val="none"/>
                <w:lang w:eastAsia="zh-CN" w:bidi="en-US"/>
              </w:rPr>
              <w:t xml:space="preserve">绩</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top"/>
            <w:textDirection w:val="lrTb"/>
            <w:noWrap w:val="false"/>
          </w:tcPr>
          <w:p>
            <w:pPr>
              <w:ind w:left="0" w:right="0" w:firstLine="0"/>
              <w:jc w:val="both"/>
              <w:spacing w:before="0"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en-US"/>
              </w:rPr>
              <w:t xml:space="preserve">2023年1月1日以来</w:t>
            </w:r>
            <w:r>
              <w:rPr>
                <w:rFonts w:hint="eastAsia" w:ascii="宋体" w:hAnsi="宋体" w:eastAsia="宋体" w:cs="宋体"/>
                <w:sz w:val="24"/>
                <w:szCs w:val="24"/>
                <w:highlight w:val="none"/>
                <w:lang w:eastAsia="zh-CN" w:bidi="en-US"/>
              </w:rPr>
              <w:t xml:space="preserve">（以合同签订时间为准）</w:t>
            </w:r>
            <w:r>
              <w:rPr>
                <w:rFonts w:hint="eastAsia" w:ascii="宋体" w:hAnsi="宋体" w:eastAsia="宋体" w:cs="宋体"/>
                <w:sz w:val="24"/>
                <w:szCs w:val="24"/>
                <w:highlight w:val="none"/>
                <w:lang w:bidi="en-US"/>
              </w:rPr>
              <w:t xml:space="preserve">，</w:t>
            </w:r>
            <w:r>
              <w:rPr>
                <w:rFonts w:hint="eastAsia" w:ascii="宋体" w:hAnsi="宋体" w:eastAsia="宋体" w:cs="宋体"/>
                <w:sz w:val="24"/>
                <w:szCs w:val="24"/>
                <w:highlight w:val="none"/>
                <w:lang w:eastAsia="zh-CN" w:bidi="en-US"/>
              </w:rPr>
              <w:t xml:space="preserve">投标人承担过</w:t>
            </w:r>
            <w:r>
              <w:rPr>
                <w:rFonts w:hint="eastAsia" w:ascii="宋体" w:hAnsi="宋体" w:eastAsia="宋体" w:cs="宋体"/>
                <w:sz w:val="24"/>
                <w:szCs w:val="24"/>
                <w:highlight w:val="none"/>
                <w:lang w:bidi="en-US"/>
              </w:rPr>
              <w:t xml:space="preserve">已经完成或正在履行的同类保险项目</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以中标通知书或保险合同或正式保单扫描件为准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每提供一个得1分，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最高得6分</w:t>
            </w:r>
            <w:r>
              <w:rPr>
                <w:rFonts w:hint="eastAsia" w:ascii="宋体" w:hAnsi="宋体" w:eastAsia="宋体" w:cs="宋体"/>
                <w:sz w:val="24"/>
                <w:szCs w:val="24"/>
                <w:highlight w:val="none"/>
                <w:lang w:eastAsia="zh-CN" w:bidi="en-US"/>
              </w:rPr>
              <w:t xml:space="preserve">。</w:t>
            </w:r>
            <w:r/>
          </w:p>
        </w:tc>
      </w:tr>
      <w:tr>
        <w:trPr>
          <w:trHeight w:val="193"/>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网点分布</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投标人</w:t>
            </w:r>
            <w:r>
              <w:rPr>
                <w:rFonts w:hint="eastAsia" w:ascii="宋体" w:hAnsi="宋体" w:eastAsia="宋体" w:cs="宋体"/>
                <w:sz w:val="24"/>
                <w:szCs w:val="24"/>
                <w:highlight w:val="none"/>
                <w:lang w:bidi="en-US"/>
              </w:rPr>
              <w:t xml:space="preserve">所属分支机构及经营部数量（以营业执照副本扫描件为准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所属分支机构</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经营部或服务网点</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累计得</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p>
        </w:tc>
      </w:tr>
      <w:tr>
        <w:trPr>
          <w:trHeight w:val="1620"/>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left w:val="single" w:color="auto" w:sz="4" w:space="0"/>
              <w:right w:val="single" w:color="auto" w:sz="4" w:space="0"/>
            </w:tcBorders>
            <w:tcW w:w="1430" w:type="dxa"/>
            <w:vAlign w:val="center"/>
            <w:textDirection w:val="lrTb"/>
            <w:noWrap w:val="false"/>
          </w:tcPr>
          <w:p>
            <w:pPr>
              <w:jc w:val="center"/>
              <w:spacing w:line="360" w:lineRule="auto"/>
              <w:rPr>
                <w:rFonts w:hint="eastAsia" w:ascii="宋体" w:hAnsi="宋体" w:eastAsia="宋体" w:cs="宋体"/>
                <w:spacing w:val="6"/>
                <w:sz w:val="24"/>
                <w:szCs w:val="24"/>
                <w:highlight w:val="none"/>
                <w:lang w:val="en-US" w:eastAsia="en-US" w:bidi="ar-SA"/>
              </w:rPr>
            </w:pPr>
            <w:r>
              <w:rPr>
                <w:rFonts w:hint="eastAsia" w:ascii="宋体" w:hAnsi="宋体" w:eastAsia="宋体" w:cs="宋体"/>
                <w:sz w:val="24"/>
                <w:szCs w:val="24"/>
                <w:highlight w:val="none"/>
                <w:lang w:bidi="en-US"/>
              </w:rPr>
              <w:t xml:space="preserve">合规经营</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eastAsia="宋体" w:cs="宋体"/>
                <w:spacing w:val="6"/>
                <w:sz w:val="24"/>
                <w:szCs w:val="24"/>
                <w:highlight w:val="none"/>
                <w:lang w:val="en-US" w:eastAsia="en-US" w:bidi="ar-SA"/>
              </w:rPr>
            </w:pPr>
            <w:r>
              <w:rPr>
                <w:rFonts w:hint="eastAsia" w:ascii="宋体" w:hAnsi="宋体" w:eastAsia="宋体" w:cs="宋体"/>
                <w:sz w:val="24"/>
                <w:szCs w:val="24"/>
                <w:highlight w:val="none"/>
                <w:lang w:val="en-US" w:eastAsia="zh-CN" w:bidi="en-US"/>
              </w:rPr>
              <w:t xml:space="preserve">2</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240" w:lineRule="auto"/>
              <w:rPr>
                <w:rFonts w:hint="eastAsia" w:ascii="宋体" w:hAnsi="宋体" w:eastAsia="宋体" w:cs="宋体"/>
                <w:sz w:val="24"/>
                <w:szCs w:val="24"/>
                <w:highlight w:val="none"/>
                <w:lang w:eastAsia="zh-CN" w:bidi="en-US"/>
              </w:rPr>
            </w:pPr>
            <w:r>
              <w:rPr>
                <w:rFonts w:hint="eastAsia" w:ascii="宋体" w:hAnsi="宋体" w:eastAsia="宋体" w:cs="宋体"/>
                <w:sz w:val="24"/>
                <w:szCs w:val="24"/>
                <w:highlight w:val="none"/>
                <w:lang w:bidi="en-US"/>
              </w:rPr>
              <w:t xml:space="preserve">202</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年1月1日以来</w:t>
            </w:r>
            <w:r>
              <w:rPr>
                <w:rFonts w:hint="eastAsia" w:ascii="宋体" w:hAnsi="宋体" w:eastAsia="宋体" w:cs="宋体"/>
                <w:sz w:val="24"/>
                <w:szCs w:val="24"/>
                <w:highlight w:val="none"/>
                <w:lang w:eastAsia="zh-CN" w:bidi="en-US"/>
              </w:rPr>
              <w:t xml:space="preserve">，投标人</w:t>
            </w:r>
            <w:r>
              <w:rPr>
                <w:rFonts w:hint="eastAsia" w:ascii="宋体" w:hAnsi="宋体" w:eastAsia="宋体" w:cs="宋体"/>
                <w:sz w:val="24"/>
                <w:szCs w:val="24"/>
                <w:highlight w:val="none"/>
                <w:lang w:bidi="en-US"/>
              </w:rPr>
              <w:t xml:space="preserve">（不含下属机构）</w:t>
            </w:r>
            <w:r>
              <w:rPr>
                <w:rFonts w:hint="eastAsia" w:ascii="宋体" w:hAnsi="宋体" w:eastAsia="宋体" w:cs="宋体"/>
                <w:sz w:val="24"/>
                <w:szCs w:val="24"/>
                <w:highlight w:val="none"/>
                <w:lang w:eastAsia="zh-CN" w:bidi="en-US"/>
              </w:rPr>
              <w:t xml:space="preserve">须</w:t>
            </w:r>
            <w:r>
              <w:rPr>
                <w:rFonts w:hint="eastAsia" w:ascii="宋体" w:hAnsi="宋体" w:eastAsia="宋体" w:cs="宋体"/>
                <w:sz w:val="24"/>
                <w:szCs w:val="24"/>
                <w:highlight w:val="none"/>
                <w:lang w:bidi="en-US"/>
              </w:rPr>
              <w:t xml:space="preserve">提供有无受到国家金融监督管理部门（原银保监部门）处罚情况（以处罚文件为准，有处罚的，不得分；没有处罚的，得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p>
          <w:p>
            <w:pP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b/>
                <w:bCs/>
                <w:sz w:val="24"/>
                <w:szCs w:val="24"/>
                <w:highlight w:val="none"/>
                <w:lang w:eastAsia="zh-CN" w:bidi="en-US"/>
              </w:rPr>
              <w:t xml:space="preserve">【投标文件中应</w:t>
            </w:r>
            <w:r>
              <w:rPr>
                <w:rFonts w:hint="eastAsia" w:ascii="宋体" w:hAnsi="宋体" w:eastAsia="宋体" w:cs="宋体"/>
                <w:b/>
                <w:bCs/>
                <w:sz w:val="24"/>
                <w:szCs w:val="24"/>
                <w:highlight w:val="none"/>
                <w:lang w:bidi="en-US"/>
              </w:rPr>
              <w:t xml:space="preserve">提供有无受到国家金融监督管理部门即原银保监部门处罚的承诺书</w:t>
            </w:r>
            <w:r>
              <w:rPr>
                <w:rFonts w:hint="eastAsia" w:ascii="宋体" w:hAnsi="宋体" w:eastAsia="宋体" w:cs="宋体"/>
                <w:b/>
                <w:bCs/>
                <w:sz w:val="24"/>
                <w:szCs w:val="24"/>
                <w:highlight w:val="none"/>
                <w:lang w:eastAsia="zh-CN" w:bidi="en-US"/>
              </w:rPr>
              <w:t xml:space="preserve">。】</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价格部分</w:t>
      </w:r>
      <w:r/>
    </w:p>
    <w:tbl>
      <w:tblPr>
        <w:tblStyle w:val="818"/>
        <w:tblW w:w="10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582"/>
        <w:gridCol w:w="1391"/>
        <w:gridCol w:w="6620"/>
      </w:tblGrid>
      <w:tr>
        <w:trPr>
          <w:cantSplit/>
          <w:jc w:val="center"/>
          <w:trHeight w:val="440"/>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要求且投标价格最低的报价为评标基准价，其价格分为</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分。其他投标供应商的价格分统一按照下列公式计算:投标报价得分=(评标基准价/投标报价)×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分。（以四舍五入法，保留两位小数）</w:t>
            </w:r>
            <w:r/>
          </w:p>
        </w:tc>
      </w:tr>
    </w:tbl>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r>
      <w:r/>
    </w:p>
    <w:p>
      <w:pPr>
        <w:ind w:firstLine="241"/>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ind w:firstLine="720"/>
        <w:jc w:val="left"/>
        <w:spacing w:line="360" w:lineRule="auto"/>
        <w:rPr>
          <w:rFonts w:hint="eastAsia" w:eastAsia="宋体"/>
          <w:color w:val="000000"/>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评分过程中如出现小数点后三位，采用四舍五入法，最终保留两位小数</w:t>
      </w:r>
      <w:r>
        <w:rPr>
          <w:rFonts w:hint="eastAsia" w:ascii="宋体" w:hAnsi="宋体"/>
          <w:sz w:val="24"/>
          <w:szCs w:val="24"/>
          <w:highlight w:val="none"/>
          <w:lang w:eastAsia="zh-CN"/>
        </w:rPr>
        <w:t xml:space="preserve">。</w:t>
      </w:r>
      <w:r/>
    </w:p>
    <w:p>
      <w:pPr>
        <w:numPr>
          <w:ilvl w:val="0"/>
          <w:numId w:val="14"/>
        </w:numPr>
        <w:ind w:firstLine="720"/>
        <w:spacing w:line="360" w:lineRule="auto"/>
        <w:rPr>
          <w:rFonts w:hint="eastAsia" w:ascii="宋体" w:hAnsi="宋体" w:eastAsia="宋体" w:cs="宋体"/>
          <w:b w:val="0"/>
          <w:bCs w:val="0"/>
          <w:sz w:val="24"/>
          <w:szCs w:val="24"/>
          <w:highlight w:val="none"/>
          <w:lang w:val="zh-CN"/>
        </w:rPr>
      </w:pPr>
      <w:r>
        <w:rPr>
          <w:rFonts w:hint="eastAsia" w:ascii="宋体" w:hAnsi="宋体" w:cs="宋体"/>
          <w:b w:val="0"/>
          <w:bCs w:val="0"/>
          <w:sz w:val="24"/>
          <w:szCs w:val="24"/>
          <w:highlight w:val="none"/>
          <w:lang w:val="zh-CN"/>
        </w:rPr>
        <w:t xml:space="preserve">投标</w:t>
      </w:r>
      <w:r>
        <w:rPr>
          <w:rFonts w:hint="eastAsia" w:ascii="宋体" w:hAnsi="宋体" w:eastAsia="宋体" w:cs="宋体"/>
          <w:b w:val="0"/>
          <w:bCs w:val="0"/>
          <w:sz w:val="24"/>
          <w:szCs w:val="24"/>
          <w:highlight w:val="none"/>
          <w:lang w:val="zh-CN"/>
        </w:rPr>
        <w:t xml:space="preserve">文件中必须提供以上相关证明材料复印件，否则不予加分。</w:t>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rPr>
          <w:highlight w:val="none"/>
        </w:rPr>
      </w:pPr>
      <w:r>
        <w:rPr>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lang w:eastAsia="zh-CN"/>
        </w:rPr>
      </w:pPr>
      <w:r>
        <w:rPr>
          <w:rFonts w:hint="eastAsia" w:ascii="黑体" w:hAnsi="黑体" w:eastAsia="黑体"/>
          <w:color w:val="000000"/>
          <w:sz w:val="28"/>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bookmarkEnd w:id="116"/>
      <w:bookmarkEnd w:id="117"/>
      <w:bookmarkEnd w:id="118"/>
      <w:bookmarkEnd w:id="119"/>
      <w:bookmarkEnd w:id="120"/>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37"/>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1037"/>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1037"/>
        <w:ind w:firstLine="0"/>
        <w:rPr>
          <w:rFonts w:hint="eastAsia" w:hAnsi="宋体" w:cs="宋体"/>
          <w:color w:val="000000"/>
          <w:szCs w:val="24"/>
          <w:highlight w:val="none"/>
        </w:rPr>
      </w:pPr>
      <w:r>
        <w:rPr>
          <w:rFonts w:hint="eastAsia" w:hAnsi="宋体" w:cs="宋体"/>
          <w:color w:val="000000"/>
          <w:szCs w:val="24"/>
          <w:highlight w:val="none"/>
        </w:rPr>
      </w:r>
      <w:r/>
    </w:p>
    <w:p>
      <w:pPr>
        <w:pStyle w:val="1037"/>
        <w:ind w:firstLine="0"/>
        <w:rPr>
          <w:rFonts w:hint="eastAsia" w:hAnsi="宋体" w:cs="宋体"/>
          <w:color w:val="000000"/>
          <w:szCs w:val="24"/>
          <w:highlight w:val="none"/>
        </w:rPr>
      </w:pPr>
      <w:r>
        <w:rPr>
          <w:rFonts w:hint="eastAsia" w:hAnsi="宋体" w:cs="宋体"/>
          <w:color w:val="000000"/>
          <w:szCs w:val="24"/>
          <w:highlight w:val="none"/>
        </w:rPr>
      </w:r>
      <w:r/>
    </w:p>
    <w:p>
      <w:pPr>
        <w:pStyle w:val="1037"/>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p>
    <w:p>
      <w:pPr>
        <w:pStyle w:val="1037"/>
        <w:ind w:firstLine="0"/>
        <w:rPr>
          <w:rFonts w:hint="eastAsia" w:hAnsi="宋体" w:cs="宋体"/>
          <w:color w:val="000000"/>
          <w:szCs w:val="24"/>
          <w:highlight w:val="none"/>
        </w:rPr>
      </w:pPr>
      <w:r>
        <w:rPr>
          <w:rFonts w:hint="eastAsia" w:hAnsi="宋体" w:cs="宋体"/>
          <w:color w:val="000000"/>
          <w:szCs w:val="24"/>
          <w:highlight w:val="none"/>
        </w:rPr>
      </w:r>
      <w:r/>
    </w:p>
    <w:p>
      <w:pPr>
        <w:pStyle w:val="1037"/>
        <w:ind w:firstLine="0"/>
        <w:rPr>
          <w:rFonts w:hint="eastAsia" w:hAnsi="宋体" w:cs="宋体"/>
          <w:color w:val="000000"/>
          <w:szCs w:val="24"/>
          <w:highlight w:val="none"/>
        </w:rPr>
      </w:pPr>
      <w:r>
        <w:rPr>
          <w:rFonts w:hint="eastAsia" w:hAnsi="宋体" w:cs="宋体"/>
          <w:color w:val="000000"/>
          <w:szCs w:val="24"/>
          <w:highlight w:val="none"/>
        </w:rPr>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38"/>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38"/>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cols w:num="1" w:sep="0" w:space="1701" w:equalWidth="1"/>
          <w:docGrid w:linePitch="360"/>
        </w:sectPr>
      </w:pPr>
      <w:r>
        <w:rPr>
          <w:rFonts w:hint="eastAsia" w:ascii="宋体" w:hAnsi="宋体" w:cs="宋体"/>
          <w:color w:val="000000"/>
          <w:sz w:val="24"/>
          <w:highlight w:val="none"/>
        </w:rPr>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宜兴市人民医院2026年医疗责任险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宜兴市人民医院</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21" w:name="_Toc22967"/>
      <w:r/>
      <w:bookmarkStart w:id="122" w:name="_Toc28855"/>
      <w:r/>
      <w:bookmarkStart w:id="123" w:name="_Toc19273"/>
      <w:r/>
      <w:bookmarkStart w:id="124" w:name="_Toc15367"/>
      <w:r/>
      <w:bookmarkStart w:id="125" w:name="_Toc20421"/>
      <w:r/>
      <w:bookmarkStart w:id="126" w:name="_Toc3743"/>
      <w:r/>
      <w:bookmarkStart w:id="127" w:name="_Toc27444"/>
      <w:r/>
      <w:bookmarkStart w:id="128" w:name="_Toc24602"/>
      <w:r>
        <w:rPr>
          <w:rFonts w:hint="eastAsia" w:ascii="宋体" w:hAnsi="宋体" w:eastAsia="宋体" w:cs="宋体"/>
          <w:b/>
          <w:color w:val="000000"/>
          <w:sz w:val="24"/>
          <w:szCs w:val="24"/>
          <w:highlight w:val="none"/>
        </w:rPr>
        <w:t xml:space="preserve">1.1 合同组成部分</w:t>
      </w:r>
      <w:bookmarkEnd w:id="121"/>
      <w:r/>
      <w:bookmarkEnd w:id="122"/>
      <w:r/>
      <w:bookmarkEnd w:id="123"/>
      <w:r/>
      <w:bookmarkEnd w:id="124"/>
      <w:r/>
      <w:bookmarkEnd w:id="1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29" w:name="_Toc18585"/>
      <w:r/>
      <w:bookmarkStart w:id="130" w:name="_Toc2918"/>
      <w:r/>
      <w:bookmarkStart w:id="131" w:name="_Toc22185"/>
      <w:r/>
      <w:bookmarkStart w:id="132" w:name="_Toc6311"/>
      <w:r/>
      <w:bookmarkStart w:id="133" w:name="_Toc6773"/>
      <w:r>
        <w:rPr>
          <w:rFonts w:hint="eastAsia" w:ascii="宋体" w:hAnsi="宋体" w:eastAsia="宋体" w:cs="宋体"/>
          <w:b/>
          <w:color w:val="000000"/>
          <w:sz w:val="24"/>
          <w:szCs w:val="24"/>
          <w:highlight w:val="none"/>
        </w:rPr>
        <w:t xml:space="preserve">1.2 标的</w:t>
      </w:r>
      <w:bookmarkEnd w:id="129"/>
      <w:r/>
      <w:bookmarkEnd w:id="130"/>
      <w:r/>
      <w:bookmarkEnd w:id="131"/>
      <w:r/>
      <w:bookmarkEnd w:id="132"/>
      <w:r/>
      <w:bookmarkEnd w:id="133"/>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34" w:name="_Toc13918"/>
      <w:r/>
      <w:bookmarkStart w:id="135" w:name="_Toc1386"/>
      <w:r/>
      <w:bookmarkStart w:id="136" w:name="_Toc21124"/>
      <w:r/>
      <w:bookmarkStart w:id="137" w:name="_Toc4929"/>
      <w:r/>
      <w:bookmarkStart w:id="138" w:name="_Toc5635"/>
      <w:r>
        <w:rPr>
          <w:rFonts w:hint="eastAsia" w:ascii="宋体" w:hAnsi="宋体" w:eastAsia="宋体" w:cs="宋体"/>
          <w:b/>
          <w:color w:val="000000"/>
          <w:sz w:val="24"/>
          <w:szCs w:val="24"/>
          <w:highlight w:val="none"/>
        </w:rPr>
        <w:t xml:space="preserve">1.3 价款</w:t>
      </w:r>
      <w:bookmarkEnd w:id="134"/>
      <w:r/>
      <w:bookmarkEnd w:id="135"/>
      <w:r/>
      <w:bookmarkEnd w:id="136"/>
      <w:r/>
      <w:bookmarkEnd w:id="137"/>
      <w:r/>
      <w:bookmarkEnd w:id="1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2"/>
        <w:spacing w:line="560" w:lineRule="exact"/>
        <w:rPr>
          <w:rFonts w:ascii="宋体" w:hAnsi="宋体" w:eastAsia="宋体" w:cs="宋体"/>
          <w:b/>
          <w:color w:val="000000"/>
          <w:sz w:val="24"/>
          <w:szCs w:val="24"/>
          <w:highlight w:val="none"/>
        </w:rPr>
      </w:pPr>
      <w:r/>
      <w:bookmarkStart w:id="139" w:name="_Toc14993"/>
      <w:r/>
      <w:bookmarkStart w:id="140" w:name="_Toc30506"/>
      <w:r/>
      <w:bookmarkStart w:id="141" w:name="_Toc26916"/>
      <w:r/>
      <w:bookmarkStart w:id="142" w:name="_Toc3654"/>
      <w:r/>
      <w:bookmarkStart w:id="143" w:name="_Toc30158"/>
      <w:r>
        <w:rPr>
          <w:rFonts w:hint="eastAsia" w:ascii="宋体" w:hAnsi="宋体" w:eastAsia="宋体" w:cs="宋体"/>
          <w:b/>
          <w:color w:val="000000"/>
          <w:sz w:val="24"/>
          <w:szCs w:val="24"/>
          <w:highlight w:val="none"/>
        </w:rPr>
        <w:t xml:space="preserve">1.4 付款方式和发票开具方式</w:t>
      </w:r>
      <w:bookmarkEnd w:id="139"/>
      <w:r/>
      <w:bookmarkEnd w:id="140"/>
      <w:r/>
      <w:bookmarkEnd w:id="141"/>
      <w:r/>
      <w:bookmarkEnd w:id="142"/>
      <w:r/>
      <w:bookmarkEnd w:id="1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44" w:name="_Toc8772"/>
      <w:r/>
      <w:bookmarkStart w:id="145" w:name="_Toc31421"/>
      <w:r/>
      <w:bookmarkStart w:id="146" w:name="_Toc11108"/>
      <w:r/>
      <w:bookmarkStart w:id="147" w:name="_Toc4760"/>
      <w:r/>
      <w:bookmarkStart w:id="148" w:name="_Toc3625"/>
      <w:r>
        <w:rPr>
          <w:rFonts w:hint="eastAsia" w:ascii="宋体" w:hAnsi="宋体" w:eastAsia="宋体" w:cs="宋体"/>
          <w:b/>
          <w:color w:val="000000"/>
          <w:sz w:val="24"/>
          <w:szCs w:val="24"/>
          <w:highlight w:val="none"/>
        </w:rPr>
        <w:t xml:space="preserve">1.5 履行期限、地点和方式</w:t>
      </w:r>
      <w:bookmarkEnd w:id="144"/>
      <w:r/>
      <w:bookmarkEnd w:id="145"/>
      <w:r/>
      <w:bookmarkEnd w:id="146"/>
      <w:r/>
      <w:bookmarkEnd w:id="147"/>
      <w:r/>
      <w:bookmarkEnd w:id="148"/>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49" w:name="_Toc2375"/>
      <w:r/>
      <w:bookmarkStart w:id="150" w:name="_Toc24662"/>
      <w:r/>
      <w:bookmarkStart w:id="151" w:name="_Toc5698"/>
      <w:r/>
      <w:bookmarkStart w:id="152" w:name="_Toc8586"/>
      <w:r/>
      <w:bookmarkStart w:id="153" w:name="_Toc3079"/>
      <w:r>
        <w:rPr>
          <w:rFonts w:hint="eastAsia" w:ascii="宋体" w:hAnsi="宋体" w:eastAsia="宋体" w:cs="宋体"/>
          <w:b/>
          <w:color w:val="000000"/>
          <w:sz w:val="24"/>
          <w:szCs w:val="24"/>
          <w:highlight w:val="none"/>
        </w:rPr>
        <w:t xml:space="preserve">1.6 违约责任</w:t>
      </w:r>
      <w:bookmarkEnd w:id="149"/>
      <w:r/>
      <w:bookmarkEnd w:id="150"/>
      <w:r/>
      <w:bookmarkEnd w:id="151"/>
      <w:r/>
      <w:bookmarkEnd w:id="152"/>
      <w:r/>
      <w:bookmarkEnd w:id="153"/>
      <w:r/>
      <w:r/>
    </w:p>
    <w:p>
      <w:pPr>
        <w:ind w:firstLine="480"/>
        <w:spacing w:line="560" w:lineRule="exact"/>
        <w:rPr>
          <w:rFonts w:ascii="宋体" w:hAnsi="宋体" w:eastAsia="宋体" w:cs="宋体"/>
          <w:sz w:val="24"/>
          <w:szCs w:val="24"/>
          <w:highlight w:val="none"/>
        </w:rPr>
      </w:pPr>
      <w:r/>
      <w:bookmarkStart w:id="154" w:name="_Toc9497"/>
      <w:r/>
      <w:bookmarkStart w:id="155" w:name="_Toc30329"/>
      <w:r/>
      <w:bookmarkStart w:id="156" w:name="_Toc18683"/>
      <w:r/>
      <w:bookmarkStart w:id="157" w:name="_Toc32454"/>
      <w:r/>
      <w:bookmarkStart w:id="158" w:name="_Toc26807"/>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0.5</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lang w:val="en-US" w:eastAsia="zh-CN"/>
        </w:rPr>
        <w:t xml:space="preserve">0.5</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154"/>
      <w:r/>
      <w:bookmarkEnd w:id="155"/>
      <w:r/>
      <w:bookmarkEnd w:id="156"/>
      <w:r/>
      <w:bookmarkEnd w:id="157"/>
      <w:r/>
      <w:bookmarkEnd w:id="158"/>
      <w:r/>
      <w:r/>
    </w:p>
    <w:p>
      <w:pPr>
        <w:ind w:firstLine="480"/>
        <w:spacing w:line="560" w:lineRule="exact"/>
        <w:rPr>
          <w:rFonts w:hint="eastAsia" w:ascii="宋体" w:hAnsi="宋体" w:eastAsia="宋体" w:cs="宋体"/>
          <w:sz w:val="24"/>
          <w:szCs w:val="24"/>
          <w:highlight w:val="none"/>
        </w:rPr>
      </w:pPr>
      <w:r/>
      <w:bookmarkStart w:id="159" w:name="_Toc12273"/>
      <w:r/>
      <w:bookmarkStart w:id="160" w:name="_Toc23784"/>
      <w:r/>
      <w:bookmarkStart w:id="161" w:name="_Toc26227"/>
      <w:r/>
      <w:bookmarkStart w:id="162" w:name="_Toc16417"/>
      <w:r/>
      <w:bookmarkStart w:id="163" w:name="_Toc1582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rPr>
        <w:t xml:space="preserve">②</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②向甲方所在地（宜兴）人民法院起诉。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159"/>
      <w:r/>
      <w:bookmarkEnd w:id="160"/>
      <w:r/>
      <w:bookmarkEnd w:id="161"/>
      <w:r/>
      <w:bookmarkEnd w:id="162"/>
      <w:r/>
      <w:bookmarkEnd w:id="163"/>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1044"/>
        <w:rPr>
          <w:highlight w:val="none"/>
        </w:rPr>
      </w:pPr>
      <w:r>
        <w:rPr>
          <w:highlight w:val="none"/>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bookmarkStart w:id="164" w:name="_Toc331685783"/>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64"/>
      <w:r/>
      <w:r/>
    </w:p>
    <w:p>
      <w:pPr>
        <w:ind w:firstLine="482"/>
        <w:spacing w:line="560" w:lineRule="exact"/>
        <w:rPr>
          <w:rFonts w:ascii="宋体" w:hAnsi="宋体" w:eastAsia="宋体" w:cs="宋体"/>
          <w:b/>
          <w:color w:val="000000"/>
          <w:sz w:val="24"/>
          <w:szCs w:val="24"/>
          <w:highlight w:val="none"/>
        </w:rPr>
      </w:pPr>
      <w:r/>
      <w:bookmarkStart w:id="165" w:name="_Toc14021"/>
      <w:r/>
      <w:bookmarkStart w:id="166" w:name="_Toc279701240"/>
      <w:r/>
      <w:bookmarkStart w:id="167" w:name="_Ref467379101"/>
      <w:r/>
      <w:bookmarkStart w:id="168" w:name="_Toc487900349"/>
      <w:r/>
      <w:bookmarkStart w:id="169" w:name="_Ref467379094"/>
      <w:r/>
      <w:bookmarkStart w:id="170" w:name="_Ref467379195"/>
      <w:r/>
      <w:bookmarkStart w:id="171" w:name="_Ref467379109"/>
      <w:r/>
      <w:bookmarkStart w:id="172" w:name="_Toc31297"/>
      <w:r/>
      <w:bookmarkStart w:id="173" w:name="_Ref467378499"/>
      <w:r/>
      <w:bookmarkStart w:id="174" w:name="_Ref467378404"/>
      <w:r/>
      <w:bookmarkStart w:id="175" w:name="_Ref467379225"/>
      <w:r/>
      <w:bookmarkStart w:id="176" w:name="_Toc25079"/>
      <w:r/>
      <w:bookmarkStart w:id="177" w:name="_Toc19680"/>
      <w:r/>
      <w:bookmarkStart w:id="178" w:name="_Ref467379214"/>
      <w:r/>
      <w:bookmarkStart w:id="179" w:name="_Ref467378463"/>
      <w:r/>
      <w:bookmarkStart w:id="180" w:name="_Ref467379205"/>
      <w:r/>
      <w:bookmarkStart w:id="181" w:name="_Toc5228"/>
      <w:r/>
      <w:bookmarkStart w:id="182" w:name="_Toc259093669"/>
      <w:r>
        <w:rPr>
          <w:rFonts w:hint="eastAsia" w:ascii="宋体" w:hAnsi="宋体" w:eastAsia="宋体" w:cs="宋体"/>
          <w:b/>
          <w:color w:val="000000"/>
          <w:sz w:val="24"/>
          <w:szCs w:val="24"/>
          <w:highlight w:val="none"/>
        </w:rPr>
        <w:t xml:space="preserve">2.1 定义</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83" w:name="_Ref467378840"/>
      <w:r>
        <w:rPr>
          <w:rFonts w:hint="eastAsia" w:ascii="宋体" w:hAnsi="宋体" w:eastAsia="宋体" w:cs="宋体"/>
          <w:color w:val="000000"/>
          <w:sz w:val="24"/>
          <w:szCs w:val="24"/>
          <w:highlight w:val="none"/>
        </w:rPr>
        <w:t xml:space="preserve">2.1.4 “甲方”系指与中标供应商签署合同的采购人</w:t>
      </w:r>
      <w:bookmarkEnd w:id="183"/>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84" w:name="_Ref467379400"/>
      <w:r>
        <w:rPr>
          <w:rFonts w:hint="eastAsia" w:ascii="宋体" w:hAnsi="宋体" w:eastAsia="宋体" w:cs="宋体"/>
          <w:color w:val="000000"/>
          <w:sz w:val="24"/>
          <w:szCs w:val="24"/>
          <w:highlight w:val="none"/>
        </w:rPr>
        <w:t xml:space="preserve">2.1.5 “乙方”系指根据合同约定提供服务的中标供应商</w:t>
      </w:r>
      <w:bookmarkEnd w:id="184"/>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85" w:name="_Ref467379436"/>
      <w:r>
        <w:rPr>
          <w:rFonts w:hint="eastAsia" w:ascii="宋体" w:hAnsi="宋体" w:eastAsia="宋体" w:cs="宋体"/>
          <w:color w:val="000000"/>
          <w:sz w:val="24"/>
          <w:szCs w:val="24"/>
          <w:highlight w:val="none"/>
        </w:rPr>
        <w:t xml:space="preserve">2.1.6 “现场”系指合同约定提供服务的地点。</w:t>
      </w:r>
      <w:bookmarkEnd w:id="185"/>
      <w:r/>
      <w:r/>
    </w:p>
    <w:p>
      <w:pPr>
        <w:ind w:firstLine="482"/>
        <w:spacing w:line="560" w:lineRule="exact"/>
        <w:rPr>
          <w:rFonts w:ascii="宋体" w:hAnsi="宋体" w:eastAsia="宋体" w:cs="宋体"/>
          <w:b/>
          <w:color w:val="000000"/>
          <w:sz w:val="24"/>
          <w:szCs w:val="24"/>
          <w:highlight w:val="none"/>
        </w:rPr>
      </w:pPr>
      <w:r/>
      <w:bookmarkStart w:id="186" w:name="_Toc259093670"/>
      <w:r/>
      <w:bookmarkStart w:id="187" w:name="_Toc279701241"/>
      <w:r/>
      <w:bookmarkStart w:id="188" w:name="_Toc31402"/>
      <w:r/>
      <w:bookmarkStart w:id="189" w:name="_Toc16752"/>
      <w:r/>
      <w:bookmarkStart w:id="190" w:name="_Toc23289"/>
      <w:r/>
      <w:bookmarkStart w:id="191" w:name="_Toc487900350"/>
      <w:r/>
      <w:bookmarkStart w:id="192" w:name="_Toc19539"/>
      <w:r/>
      <w:bookmarkStart w:id="193" w:name="_Toc3769"/>
      <w:r>
        <w:rPr>
          <w:rFonts w:hint="eastAsia" w:ascii="宋体" w:hAnsi="宋体" w:eastAsia="宋体" w:cs="宋体"/>
          <w:b/>
          <w:color w:val="000000"/>
          <w:sz w:val="24"/>
          <w:szCs w:val="24"/>
          <w:highlight w:val="none"/>
        </w:rPr>
        <w:t xml:space="preserve">2.2 技术规范</w:t>
      </w:r>
      <w:bookmarkEnd w:id="186"/>
      <w:r/>
      <w:bookmarkEnd w:id="187"/>
      <w:r/>
      <w:bookmarkEnd w:id="188"/>
      <w:r/>
      <w:bookmarkEnd w:id="189"/>
      <w:r/>
      <w:bookmarkEnd w:id="190"/>
      <w:r/>
      <w:bookmarkEnd w:id="191"/>
      <w:r/>
      <w:bookmarkEnd w:id="192"/>
      <w:r/>
      <w:bookmarkEnd w:id="19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94" w:name="_Toc13673"/>
      <w:r/>
      <w:bookmarkStart w:id="195" w:name="_Toc259093671"/>
      <w:r/>
      <w:bookmarkStart w:id="196" w:name="_Toc12412"/>
      <w:r/>
      <w:bookmarkStart w:id="197" w:name="_Toc279701242"/>
      <w:r/>
      <w:bookmarkStart w:id="198" w:name="_Toc27945"/>
      <w:r/>
      <w:bookmarkStart w:id="199" w:name="_Toc9161"/>
      <w:r/>
      <w:bookmarkStart w:id="200" w:name="_Toc487900351"/>
      <w:r/>
      <w:bookmarkStart w:id="201" w:name="_Toc4133"/>
      <w:r>
        <w:rPr>
          <w:rFonts w:hint="eastAsia" w:ascii="宋体" w:hAnsi="宋体" w:eastAsia="宋体" w:cs="宋体"/>
          <w:b/>
          <w:color w:val="000000"/>
          <w:sz w:val="24"/>
          <w:szCs w:val="24"/>
          <w:highlight w:val="none"/>
        </w:rPr>
        <w:t xml:space="preserve">2.3 知识产权</w:t>
      </w:r>
      <w:bookmarkEnd w:id="194"/>
      <w:r/>
      <w:bookmarkEnd w:id="195"/>
      <w:r/>
      <w:bookmarkEnd w:id="196"/>
      <w:r/>
      <w:bookmarkEnd w:id="197"/>
      <w:r/>
      <w:bookmarkEnd w:id="198"/>
      <w:r/>
      <w:bookmarkEnd w:id="199"/>
      <w:r/>
      <w:bookmarkEnd w:id="200"/>
      <w:r/>
      <w:bookmarkEnd w:id="20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202" w:name="_Ref467379657"/>
      <w:r>
        <w:rPr>
          <w:rFonts w:hint="eastAsia" w:ascii="宋体" w:hAnsi="宋体" w:eastAsia="宋体" w:cs="宋体"/>
          <w:color w:val="000000"/>
          <w:sz w:val="24"/>
          <w:szCs w:val="24"/>
          <w:highlight w:val="none"/>
        </w:rPr>
        <w:t xml:space="preserve">2.4.1</w:t>
      </w:r>
      <w:bookmarkEnd w:id="202"/>
      <w:r/>
      <w:bookmarkStart w:id="203" w:name="_Toc186431854"/>
      <w:r/>
      <w:bookmarkStart w:id="204" w:name="_Toc487900357"/>
      <w:r/>
      <w:bookmarkStart w:id="205" w:name="_Toc259093676"/>
      <w:r/>
      <w:bookmarkStart w:id="206" w:name="_Toc279701247"/>
      <w:r/>
      <w:bookmarkStart w:id="207" w:name="_Ref467379807"/>
      <w:r/>
      <w:bookmarkStart w:id="208" w:name="_Ref467379793"/>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203"/>
      <w:r/>
      <w:bookmarkStart w:id="209" w:name="_Toc186431855"/>
      <w:r>
        <w:rPr>
          <w:rFonts w:hint="eastAsia" w:ascii="宋体" w:hAnsi="宋体" w:eastAsia="宋体" w:cs="宋体"/>
          <w:color w:val="000000"/>
          <w:sz w:val="24"/>
          <w:szCs w:val="24"/>
          <w:highlight w:val="none"/>
        </w:rPr>
        <w:t xml:space="preserve">。</w:t>
      </w:r>
      <w:bookmarkEnd w:id="204"/>
      <w:r/>
      <w:bookmarkEnd w:id="205"/>
      <w:r/>
      <w:bookmarkEnd w:id="206"/>
      <w:r/>
      <w:bookmarkEnd w:id="207"/>
      <w:r/>
      <w:bookmarkEnd w:id="208"/>
      <w:r/>
      <w:bookmarkEnd w:id="209"/>
      <w:r/>
      <w:r/>
    </w:p>
    <w:p>
      <w:pPr>
        <w:ind w:firstLine="482"/>
        <w:spacing w:line="560" w:lineRule="exact"/>
        <w:rPr>
          <w:rFonts w:ascii="宋体" w:hAnsi="宋体" w:eastAsia="宋体" w:cs="宋体"/>
          <w:b/>
          <w:color w:val="000000"/>
          <w:sz w:val="24"/>
          <w:szCs w:val="24"/>
          <w:highlight w:val="none"/>
        </w:rPr>
      </w:pPr>
      <w:r/>
      <w:bookmarkStart w:id="210" w:name="_Toc259093677"/>
      <w:r/>
      <w:bookmarkStart w:id="211" w:name="_Ref467379923"/>
      <w:r/>
      <w:bookmarkStart w:id="212" w:name="_Toc487900358"/>
      <w:r/>
      <w:bookmarkStart w:id="213" w:name="_Ref467379852"/>
      <w:r/>
      <w:bookmarkStart w:id="214" w:name="_Toc279701248"/>
      <w:r/>
      <w:bookmarkStart w:id="215" w:name="_Ref467379863"/>
      <w:r/>
      <w:bookmarkStart w:id="216" w:name="_Toc13467"/>
      <w:r/>
      <w:bookmarkStart w:id="217" w:name="_Toc18990"/>
      <w:r/>
      <w:bookmarkStart w:id="218" w:name="_Toc30507"/>
      <w:r/>
      <w:bookmarkStart w:id="219" w:name="_Toc13154"/>
      <w:r/>
      <w:bookmarkStart w:id="220" w:name="_Toc16163"/>
      <w:r>
        <w:rPr>
          <w:rFonts w:hint="eastAsia" w:ascii="宋体" w:hAnsi="宋体" w:eastAsia="宋体" w:cs="宋体"/>
          <w:b/>
          <w:color w:val="000000"/>
          <w:sz w:val="24"/>
          <w:szCs w:val="24"/>
          <w:highlight w:val="none"/>
        </w:rPr>
        <w:t xml:space="preserve">2.5 技术资料</w:t>
      </w:r>
      <w:bookmarkEnd w:id="210"/>
      <w:r/>
      <w:bookmarkEnd w:id="211"/>
      <w:r/>
      <w:bookmarkEnd w:id="212"/>
      <w:r/>
      <w:bookmarkEnd w:id="213"/>
      <w:r/>
      <w:bookmarkEnd w:id="214"/>
      <w:r/>
      <w:bookmarkEnd w:id="215"/>
      <w:r>
        <w:rPr>
          <w:rFonts w:hint="eastAsia" w:ascii="宋体" w:hAnsi="宋体" w:eastAsia="宋体" w:cs="宋体"/>
          <w:b/>
          <w:color w:val="000000"/>
          <w:sz w:val="24"/>
          <w:szCs w:val="24"/>
          <w:highlight w:val="none"/>
        </w:rPr>
        <w:t xml:space="preserve">和保密义务</w:t>
      </w:r>
      <w:bookmarkEnd w:id="216"/>
      <w:r/>
      <w:bookmarkEnd w:id="217"/>
      <w:r/>
      <w:bookmarkEnd w:id="218"/>
      <w:r/>
      <w:bookmarkEnd w:id="219"/>
      <w:r/>
      <w:bookmarkEnd w:id="22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21" w:name="_Toc19069"/>
      <w:r/>
      <w:bookmarkStart w:id="222" w:name="_Toc487900362"/>
      <w:r/>
      <w:bookmarkStart w:id="223" w:name="_Toc259093681"/>
      <w:r/>
      <w:bookmarkStart w:id="224" w:name="_Toc279701252"/>
      <w:r>
        <w:rPr>
          <w:rFonts w:hint="eastAsia" w:ascii="宋体" w:hAnsi="宋体" w:eastAsia="宋体" w:cs="宋体"/>
          <w:b/>
          <w:color w:val="000000"/>
          <w:sz w:val="24"/>
          <w:szCs w:val="24"/>
          <w:highlight w:val="none"/>
        </w:rPr>
        <w:t xml:space="preserve">2.6 质量保证</w:t>
      </w:r>
      <w:bookmarkEnd w:id="22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25" w:name="_Toc22267"/>
      <w:r>
        <w:rPr>
          <w:rFonts w:hint="eastAsia" w:ascii="宋体" w:hAnsi="宋体" w:eastAsia="宋体" w:cs="宋体"/>
          <w:b/>
          <w:color w:val="000000"/>
          <w:sz w:val="24"/>
          <w:szCs w:val="24"/>
          <w:highlight w:val="none"/>
        </w:rPr>
        <w:t xml:space="preserve">2.7 延迟</w:t>
      </w:r>
      <w:bookmarkEnd w:id="222"/>
      <w:r/>
      <w:bookmarkEnd w:id="223"/>
      <w:r/>
      <w:bookmarkEnd w:id="224"/>
      <w:r>
        <w:rPr>
          <w:rFonts w:hint="eastAsia" w:ascii="宋体" w:hAnsi="宋体" w:eastAsia="宋体" w:cs="宋体"/>
          <w:b/>
          <w:color w:val="000000"/>
          <w:sz w:val="24"/>
          <w:szCs w:val="24"/>
          <w:highlight w:val="none"/>
        </w:rPr>
        <w:t xml:space="preserve">履行</w:t>
      </w:r>
      <w:bookmarkEnd w:id="2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26" w:name="_Toc10611"/>
      <w:r/>
      <w:bookmarkStart w:id="227" w:name="_Toc279701254"/>
      <w:r/>
      <w:bookmarkStart w:id="228" w:name="_Toc487900364"/>
      <w:r/>
      <w:bookmarkStart w:id="229" w:name="_Toc259093683"/>
      <w:r/>
      <w:bookmarkStart w:id="230" w:name="_Ref467378121"/>
      <w:r>
        <w:rPr>
          <w:rFonts w:hint="eastAsia" w:ascii="宋体" w:hAnsi="宋体" w:eastAsia="宋体" w:cs="宋体"/>
          <w:b/>
          <w:color w:val="000000"/>
          <w:sz w:val="24"/>
          <w:szCs w:val="24"/>
          <w:highlight w:val="none"/>
        </w:rPr>
        <w:t xml:space="preserve">2.8 合同变更</w:t>
      </w:r>
      <w:bookmarkEnd w:id="22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31" w:name="_Toc487900369"/>
      <w:r/>
      <w:bookmarkStart w:id="232" w:name="_Toc279701259"/>
      <w:r/>
      <w:bookmarkStart w:id="233" w:name="_Toc259093688"/>
      <w:r/>
      <w:r/>
    </w:p>
    <w:p>
      <w:pPr>
        <w:ind w:firstLine="482"/>
        <w:spacing w:line="560" w:lineRule="exact"/>
        <w:rPr>
          <w:rFonts w:ascii="宋体" w:hAnsi="宋体" w:eastAsia="宋体" w:cs="宋体"/>
          <w:b/>
          <w:color w:val="000000"/>
          <w:sz w:val="24"/>
          <w:szCs w:val="24"/>
          <w:highlight w:val="none"/>
        </w:rPr>
      </w:pPr>
      <w:r/>
      <w:bookmarkStart w:id="234" w:name="_Toc21830"/>
      <w:r/>
      <w:bookmarkStart w:id="235" w:name="_Toc10663"/>
      <w:r/>
      <w:bookmarkStart w:id="236" w:name="_Toc23368"/>
      <w:r/>
      <w:bookmarkStart w:id="237" w:name="_Toc42"/>
      <w:r/>
      <w:bookmarkStart w:id="238" w:name="_Toc26689"/>
      <w:r>
        <w:rPr>
          <w:rFonts w:hint="eastAsia" w:ascii="宋体" w:hAnsi="宋体" w:eastAsia="宋体" w:cs="宋体"/>
          <w:b/>
          <w:color w:val="000000"/>
          <w:sz w:val="24"/>
          <w:szCs w:val="24"/>
          <w:highlight w:val="none"/>
        </w:rPr>
        <w:t xml:space="preserve">2.9 合同转让</w:t>
      </w:r>
      <w:bookmarkEnd w:id="231"/>
      <w:r/>
      <w:bookmarkEnd w:id="232"/>
      <w:r/>
      <w:bookmarkEnd w:id="233"/>
      <w:r>
        <w:rPr>
          <w:rFonts w:hint="eastAsia" w:ascii="宋体" w:hAnsi="宋体" w:eastAsia="宋体" w:cs="宋体"/>
          <w:b/>
          <w:color w:val="000000"/>
          <w:sz w:val="24"/>
          <w:szCs w:val="24"/>
          <w:highlight w:val="none"/>
        </w:rPr>
        <w:t xml:space="preserve">和分包</w:t>
      </w:r>
      <w:bookmarkEnd w:id="234"/>
      <w:r/>
      <w:bookmarkEnd w:id="235"/>
      <w:r/>
      <w:bookmarkEnd w:id="236"/>
      <w:r/>
      <w:bookmarkEnd w:id="237"/>
      <w:r/>
      <w:bookmarkEnd w:id="2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合同的权利义务依法不得转让，如招标文件“第一章 投标邀请函”中甲方接受中标后分包，</w:t>
      </w:r>
      <w:r>
        <w:rPr>
          <w:rFonts w:hint="eastAsia" w:ascii="宋体" w:hAnsi="宋体" w:eastAsia="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39" w:name="_Toc4720"/>
      <w:r/>
      <w:bookmarkStart w:id="240" w:name="_Toc32494"/>
      <w:r/>
      <w:bookmarkStart w:id="241" w:name="_Toc14371"/>
      <w:r/>
      <w:bookmarkStart w:id="242" w:name="_Toc26633"/>
      <w:r/>
      <w:bookmarkStart w:id="243" w:name="_Toc25571"/>
      <w:r>
        <w:rPr>
          <w:rFonts w:hint="eastAsia" w:ascii="宋体" w:hAnsi="宋体" w:eastAsia="宋体" w:cs="宋体"/>
          <w:b/>
          <w:color w:val="000000"/>
          <w:sz w:val="24"/>
          <w:szCs w:val="24"/>
          <w:highlight w:val="none"/>
        </w:rPr>
        <w:t xml:space="preserve">2.10 不可抗力</w:t>
      </w:r>
      <w:bookmarkEnd w:id="239"/>
      <w:r/>
      <w:bookmarkEnd w:id="240"/>
      <w:r/>
      <w:bookmarkEnd w:id="241"/>
      <w:r/>
      <w:bookmarkEnd w:id="242"/>
      <w:r/>
      <w:bookmarkEnd w:id="2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w:t>
      </w:r>
      <w:r>
        <w:rPr>
          <w:rFonts w:hint="eastAsia" w:ascii="宋体" w:hAnsi="宋体" w:eastAsia="宋体" w:cs="宋体"/>
          <w:color w:val="000000"/>
          <w:sz w:val="24"/>
          <w:szCs w:val="20"/>
          <w:highlight w:val="none"/>
        </w:rPr>
        <w:t xml:space="preserve">双方当事人应在约定时间内以书面形式变更合同</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2.10.5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44" w:name="_Toc279701255"/>
      <w:r/>
      <w:bookmarkStart w:id="245" w:name="_Toc24465"/>
      <w:r/>
      <w:bookmarkStart w:id="246" w:name="_Toc25783"/>
      <w:r/>
      <w:bookmarkStart w:id="247" w:name="_Toc3638"/>
      <w:r/>
      <w:bookmarkStart w:id="248" w:name="_Toc14115"/>
      <w:r/>
      <w:bookmarkStart w:id="249" w:name="_Toc487900365"/>
      <w:r/>
      <w:bookmarkStart w:id="250" w:name="_Toc23854"/>
      <w:r/>
      <w:bookmarkStart w:id="251" w:name="_Toc259093684"/>
      <w:r>
        <w:rPr>
          <w:rFonts w:hint="eastAsia" w:ascii="宋体" w:hAnsi="宋体" w:eastAsia="宋体" w:cs="宋体"/>
          <w:b/>
          <w:color w:val="000000"/>
          <w:sz w:val="24"/>
          <w:szCs w:val="24"/>
          <w:highlight w:val="none"/>
        </w:rPr>
        <w:t xml:space="preserve">2.11 税费</w:t>
      </w:r>
      <w:bookmarkEnd w:id="244"/>
      <w:r/>
      <w:bookmarkEnd w:id="245"/>
      <w:r/>
      <w:bookmarkEnd w:id="246"/>
      <w:r/>
      <w:bookmarkEnd w:id="247"/>
      <w:r/>
      <w:bookmarkEnd w:id="248"/>
      <w:r/>
      <w:bookmarkEnd w:id="249"/>
      <w:r/>
      <w:bookmarkEnd w:id="250"/>
      <w:r/>
      <w:bookmarkEnd w:id="25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52" w:name="_Toc259093687"/>
      <w:r/>
      <w:bookmarkStart w:id="253" w:name="_Toc14814"/>
      <w:r/>
      <w:bookmarkStart w:id="254" w:name="_Toc30105"/>
      <w:r/>
      <w:bookmarkStart w:id="255" w:name="_Toc26883"/>
      <w:r/>
      <w:bookmarkStart w:id="256" w:name="_Toc7315"/>
      <w:r/>
      <w:bookmarkStart w:id="257" w:name="_Toc487900368"/>
      <w:r/>
      <w:bookmarkStart w:id="258" w:name="_Toc279701258"/>
      <w:r/>
      <w:bookmarkStart w:id="259" w:name="_Toc25525"/>
      <w:r>
        <w:rPr>
          <w:rFonts w:hint="eastAsia" w:ascii="宋体" w:hAnsi="宋体" w:eastAsia="宋体" w:cs="宋体"/>
          <w:b/>
          <w:color w:val="000000"/>
          <w:sz w:val="24"/>
          <w:szCs w:val="24"/>
          <w:highlight w:val="none"/>
        </w:rPr>
        <w:t xml:space="preserve">2.12 乙方破产</w:t>
      </w:r>
      <w:bookmarkEnd w:id="252"/>
      <w:r/>
      <w:bookmarkEnd w:id="253"/>
      <w:r/>
      <w:bookmarkEnd w:id="254"/>
      <w:r/>
      <w:bookmarkEnd w:id="255"/>
      <w:r/>
      <w:bookmarkEnd w:id="256"/>
      <w:r/>
      <w:bookmarkEnd w:id="257"/>
      <w:r/>
      <w:bookmarkEnd w:id="258"/>
      <w:r/>
      <w:bookmarkEnd w:id="25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60" w:name="_Toc1123"/>
      <w:r/>
      <w:bookmarkStart w:id="261" w:name="_Toc23323"/>
      <w:r/>
      <w:bookmarkStart w:id="262" w:name="_Toc2016"/>
      <w:r>
        <w:rPr>
          <w:rFonts w:hint="eastAsia" w:ascii="宋体" w:hAnsi="宋体" w:eastAsia="宋体" w:cs="宋体"/>
          <w:b/>
          <w:color w:val="000000"/>
          <w:sz w:val="24"/>
          <w:szCs w:val="24"/>
          <w:highlight w:val="none"/>
        </w:rPr>
        <w:t xml:space="preserve">2.13 合同中止、终止</w:t>
      </w:r>
      <w:bookmarkEnd w:id="260"/>
      <w:r/>
      <w:bookmarkEnd w:id="261"/>
      <w:r/>
      <w:bookmarkEnd w:id="26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63" w:name="_Toc1969"/>
      <w:r/>
      <w:bookmarkStart w:id="264" w:name="_Toc14525"/>
      <w:r/>
      <w:bookmarkStart w:id="265" w:name="_Toc17363"/>
      <w:r>
        <w:rPr>
          <w:rFonts w:hint="eastAsia" w:ascii="宋体" w:hAnsi="宋体" w:eastAsia="宋体" w:cs="宋体"/>
          <w:b/>
          <w:color w:val="000000"/>
          <w:sz w:val="24"/>
          <w:szCs w:val="24"/>
          <w:highlight w:val="none"/>
        </w:rPr>
        <w:t xml:space="preserve">2.14 检验和验收</w:t>
      </w:r>
      <w:bookmarkEnd w:id="263"/>
      <w:r/>
      <w:bookmarkEnd w:id="264"/>
      <w:r/>
      <w:bookmarkEnd w:id="265"/>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7"/>
      <w:r/>
      <w:bookmarkEnd w:id="228"/>
      <w:r/>
      <w:bookmarkEnd w:id="229"/>
      <w:r/>
      <w:bookmarkEnd w:id="230"/>
      <w:r/>
      <w:r/>
    </w:p>
    <w:p>
      <w:pPr>
        <w:ind w:firstLine="482"/>
        <w:spacing w:line="560" w:lineRule="exact"/>
        <w:rPr>
          <w:rFonts w:ascii="宋体" w:hAnsi="宋体" w:eastAsia="宋体" w:cs="宋体"/>
          <w:b/>
          <w:color w:val="000000"/>
          <w:sz w:val="24"/>
          <w:szCs w:val="24"/>
          <w:highlight w:val="none"/>
        </w:rPr>
      </w:pPr>
      <w:r/>
      <w:bookmarkStart w:id="266" w:name="_Toc487900371"/>
      <w:r/>
      <w:bookmarkStart w:id="267" w:name="_Toc279701261"/>
      <w:r/>
      <w:bookmarkStart w:id="268" w:name="_Toc259093690"/>
      <w:r/>
      <w:bookmarkStart w:id="269" w:name="_Toc2308"/>
      <w:r/>
      <w:bookmarkStart w:id="270" w:name="_Toc31892"/>
      <w:r/>
      <w:bookmarkStart w:id="271" w:name="_Toc12666"/>
      <w:r/>
      <w:bookmarkStart w:id="272" w:name="_Toc25198"/>
      <w:r/>
      <w:bookmarkStart w:id="273" w:name="_Toc9808"/>
      <w:r>
        <w:rPr>
          <w:rFonts w:hint="eastAsia" w:ascii="宋体" w:hAnsi="宋体" w:eastAsia="宋体" w:cs="宋体"/>
          <w:b/>
          <w:color w:val="000000"/>
          <w:sz w:val="24"/>
          <w:szCs w:val="24"/>
          <w:highlight w:val="none"/>
        </w:rPr>
        <w:t xml:space="preserve">2.15 通知</w:t>
      </w:r>
      <w:bookmarkEnd w:id="266"/>
      <w:r/>
      <w:bookmarkEnd w:id="267"/>
      <w:r/>
      <w:bookmarkEnd w:id="268"/>
      <w:r>
        <w:rPr>
          <w:rFonts w:hint="eastAsia" w:ascii="宋体" w:hAnsi="宋体" w:eastAsia="宋体" w:cs="宋体"/>
          <w:b/>
          <w:color w:val="000000"/>
          <w:sz w:val="24"/>
          <w:szCs w:val="24"/>
          <w:highlight w:val="none"/>
        </w:rPr>
        <w:t xml:space="preserve">和送达</w:t>
      </w:r>
      <w:bookmarkEnd w:id="269"/>
      <w:r/>
      <w:bookmarkEnd w:id="270"/>
      <w:r/>
      <w:bookmarkEnd w:id="271"/>
      <w:r/>
      <w:bookmarkEnd w:id="272"/>
      <w:r/>
      <w:bookmarkEnd w:id="273"/>
      <w:r/>
      <w:r/>
    </w:p>
    <w:p>
      <w:pPr>
        <w:ind w:firstLine="480"/>
        <w:spacing w:line="560" w:lineRule="exact"/>
        <w:rPr>
          <w:rFonts w:ascii="宋体" w:hAnsi="宋体" w:eastAsia="宋体" w:cs="宋体"/>
          <w:color w:val="000000"/>
          <w:sz w:val="24"/>
          <w:szCs w:val="24"/>
          <w:highlight w:val="none"/>
        </w:rPr>
      </w:pPr>
      <w:r/>
      <w:bookmarkStart w:id="274" w:name="_Toc7073"/>
      <w:r/>
      <w:bookmarkStart w:id="275" w:name="_Toc29220"/>
      <w:r/>
      <w:bookmarkStart w:id="276" w:name="_Toc487900372"/>
      <w:r/>
      <w:bookmarkStart w:id="277" w:name="_Toc279701262"/>
      <w:r/>
      <w:bookmarkStart w:id="278" w:name="_Toc259093691"/>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74"/>
      <w:r/>
      <w:bookmarkEnd w:id="275"/>
      <w:r/>
      <w:r/>
    </w:p>
    <w:p>
      <w:pPr>
        <w:ind w:firstLine="480"/>
        <w:spacing w:line="560" w:lineRule="exact"/>
        <w:rPr>
          <w:rFonts w:ascii="宋体" w:hAnsi="宋体" w:eastAsia="宋体" w:cs="宋体"/>
          <w:color w:val="000000"/>
          <w:sz w:val="24"/>
          <w:szCs w:val="24"/>
          <w:highlight w:val="none"/>
        </w:rPr>
      </w:pPr>
      <w:r/>
      <w:bookmarkStart w:id="279" w:name="_Toc27674"/>
      <w:r/>
      <w:bookmarkStart w:id="280" w:name="_Toc18401"/>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6"/>
      <w:r/>
      <w:bookmarkEnd w:id="277"/>
      <w:r/>
      <w:bookmarkEnd w:id="278"/>
      <w:r/>
      <w:bookmarkEnd w:id="279"/>
      <w:r/>
      <w:bookmarkEnd w:id="280"/>
      <w:r/>
      <w:r/>
    </w:p>
    <w:p>
      <w:pPr>
        <w:ind w:firstLine="482"/>
        <w:spacing w:line="560" w:lineRule="exact"/>
        <w:rPr>
          <w:rFonts w:ascii="宋体" w:hAnsi="宋体" w:eastAsia="宋体" w:cs="宋体"/>
          <w:b/>
          <w:color w:val="000000"/>
          <w:sz w:val="24"/>
          <w:szCs w:val="24"/>
          <w:highlight w:val="none"/>
        </w:rPr>
      </w:pPr>
      <w:r/>
      <w:bookmarkStart w:id="281" w:name="_Toc279701263"/>
      <w:r/>
      <w:bookmarkStart w:id="282" w:name="_Toc27644"/>
      <w:r/>
      <w:bookmarkStart w:id="283" w:name="_Toc5063"/>
      <w:r/>
      <w:bookmarkStart w:id="284" w:name="_Toc259093692"/>
      <w:r/>
      <w:bookmarkStart w:id="285" w:name="_Toc12254"/>
      <w:r/>
      <w:bookmarkStart w:id="286" w:name="_Toc28906"/>
      <w:r/>
      <w:bookmarkStart w:id="287" w:name="_Toc20808"/>
      <w:r/>
      <w:bookmarkStart w:id="288" w:name="_Toc487900373"/>
      <w:r>
        <w:rPr>
          <w:rFonts w:hint="eastAsia" w:ascii="宋体" w:hAnsi="宋体" w:eastAsia="宋体" w:cs="宋体"/>
          <w:b/>
          <w:color w:val="000000"/>
          <w:sz w:val="24"/>
          <w:szCs w:val="24"/>
          <w:highlight w:val="none"/>
        </w:rPr>
        <w:t xml:space="preserve">2.16 合同使用的文字和适用的法律</w:t>
      </w:r>
      <w:bookmarkEnd w:id="281"/>
      <w:r/>
      <w:bookmarkEnd w:id="282"/>
      <w:r/>
      <w:bookmarkEnd w:id="283"/>
      <w:r/>
      <w:bookmarkEnd w:id="284"/>
      <w:r/>
      <w:bookmarkEnd w:id="285"/>
      <w:r/>
      <w:bookmarkEnd w:id="286"/>
      <w:r/>
      <w:bookmarkEnd w:id="287"/>
      <w:r/>
      <w:bookmarkEnd w:id="28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 xml:space="preserve">第六章 投标文件（格式）</w:t>
      </w:r>
      <w:bookmarkEnd w:id="126"/>
      <w:r/>
      <w:bookmarkEnd w:id="127"/>
      <w:r/>
      <w:r/>
    </w:p>
    <w:p>
      <w:pPr>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jc w:val="center"/>
        <w:rPr>
          <w:rFonts w:hint="eastAsia" w:ascii="宋体" w:hAnsi="宋体"/>
          <w:b/>
          <w:color w:val="000000"/>
          <w:sz w:val="120"/>
          <w:szCs w:val="120"/>
          <w:highlight w:val="none"/>
        </w:rPr>
      </w:pPr>
      <w:r/>
      <w:bookmarkStart w:id="289" w:name="_Toc29240"/>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289"/>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90" w:name="_Toc10010"/>
      <w:r/>
      <w:bookmarkStart w:id="291" w:name="_Toc24371"/>
      <w:r>
        <w:rPr>
          <w:rFonts w:hint="eastAsia" w:ascii="宋体" w:hAnsi="宋体"/>
          <w:b/>
          <w:color w:val="000000"/>
          <w:sz w:val="36"/>
          <w:szCs w:val="36"/>
          <w:highlight w:val="none"/>
        </w:rPr>
        <w:t xml:space="preserve">项目名称：</w:t>
      </w:r>
      <w:bookmarkEnd w:id="290"/>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92" w:name="_Toc2400"/>
      <w:r>
        <w:rPr>
          <w:rFonts w:hint="eastAsia" w:ascii="宋体" w:hAnsi="宋体"/>
          <w:b/>
          <w:color w:val="000000"/>
          <w:sz w:val="36"/>
          <w:szCs w:val="36"/>
          <w:highlight w:val="none"/>
        </w:rPr>
        <w:t xml:space="preserve">项目编号：</w:t>
      </w:r>
      <w:bookmarkEnd w:id="292"/>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91"/>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28"/>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hint="eastAsia" w:ascii="宋体" w:hAnsi="宋体" w:eastAsia="黑体" w:cs="宋体"/>
          <w:color w:val="000000"/>
          <w:sz w:val="24"/>
          <w:szCs w:val="24"/>
          <w:highlight w:val="none"/>
          <w:lang w:eastAsia="zh-CN"/>
        </w:rPr>
      </w:pPr>
      <w:r/>
      <w:bookmarkStart w:id="293" w:name="_Toc32423"/>
      <w:r/>
      <w:bookmarkEnd w:id="293"/>
      <w:r>
        <w:rPr>
          <w:rFonts w:hint="eastAsia" w:ascii="黑体" w:hAnsi="黑体" w:eastAsia="黑体" w:cs="宋体"/>
          <w:color w:val="000000"/>
          <w:sz w:val="28"/>
          <w:szCs w:val="28"/>
          <w:highlight w:val="none"/>
        </w:rPr>
        <w:t xml:space="preserve">开标一览表</w:t>
      </w:r>
      <w:r/>
    </w:p>
    <w:p>
      <w:pPr>
        <w:ind w:firstLine="480"/>
        <w:jc w:val="left"/>
        <w:spacing w:line="480" w:lineRule="auto"/>
        <w:rPr>
          <w:rFonts w:ascii="宋体" w:hAnsi="宋体"/>
          <w:bCs/>
          <w:color w:val="000000"/>
          <w:sz w:val="24"/>
          <w:szCs w:val="24"/>
          <w:highlight w:val="none"/>
        </w:rPr>
      </w:pPr>
      <w:r/>
      <w:bookmarkStart w:id="294" w:name="_Hlk151563492"/>
      <w:r>
        <w:rPr>
          <w:rFonts w:hint="eastAsia" w:ascii="宋体" w:hAnsi="宋体"/>
          <w:bCs/>
          <w:color w:val="000000"/>
          <w:sz w:val="24"/>
          <w:szCs w:val="24"/>
          <w:highlight w:val="none"/>
        </w:rPr>
        <w:t xml:space="preserve">投标人全称（CA公章）： </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宜兴市人民医院2026年医疗责任险</w:t>
      </w:r>
      <w:r/>
    </w:p>
    <w:p>
      <w:pPr>
        <w:ind w:firstLine="480"/>
        <w:jc w:val="left"/>
        <w:spacing w:line="480" w:lineRule="auto"/>
        <w:rPr>
          <w:rFonts w:ascii="宋体" w:hAnsi="宋体" w:cs="宋体"/>
          <w:color w:val="000000"/>
          <w:sz w:val="24"/>
          <w:szCs w:val="24"/>
          <w:highlight w:val="none"/>
        </w:rPr>
      </w:pPr>
      <w:r>
        <w:rPr>
          <w:rFonts w:hint="eastAsia" w:ascii="宋体" w:hAnsi="宋体"/>
          <w:bCs/>
          <w:color w:val="000000"/>
          <w:sz w:val="24"/>
          <w:szCs w:val="24"/>
          <w:highlight w:val="none"/>
        </w:rPr>
        <w:t xml:space="preserve">项目</w:t>
      </w:r>
      <w:r>
        <w:rPr>
          <w:rFonts w:hint="eastAsia" w:ascii="宋体" w:hAnsi="宋体"/>
          <w:bCs/>
          <w:color w:val="000000"/>
          <w:sz w:val="24"/>
          <w:szCs w:val="24"/>
          <w:highlight w:val="none"/>
          <w:lang w:eastAsia="zh-CN"/>
        </w:rPr>
        <w:t xml:space="preserve">编</w:t>
      </w:r>
      <w:r>
        <w:rPr>
          <w:rFonts w:hint="eastAsia" w:ascii="宋体" w:hAnsi="宋体"/>
          <w:bCs/>
          <w:color w:val="000000"/>
          <w:sz w:val="24"/>
          <w:szCs w:val="24"/>
          <w:highlight w:val="none"/>
        </w:rPr>
        <w:t xml:space="preserve">号：</w:t>
      </w:r>
      <w:r>
        <w:rPr>
          <w:rFonts w:hint="eastAsia" w:ascii="宋体" w:hAnsi="宋体" w:cs="宋体"/>
          <w:color w:val="000000"/>
          <w:sz w:val="24"/>
          <w:szCs w:val="24"/>
          <w:highlight w:val="none"/>
        </w:rPr>
        <w:t xml:space="preserve">JSZC-320282-ZDQY-G2026-0003</w:t>
      </w:r>
      <w:r>
        <w:rPr>
          <w:rFonts w:hint="eastAsia" w:ascii="宋体" w:hAnsi="宋体"/>
          <w:bCs/>
          <w:color w:val="000000"/>
          <w:sz w:val="24"/>
          <w:szCs w:val="24"/>
          <w:highlight w:val="none"/>
        </w:rPr>
      </w:r>
      <w:bookmarkEnd w:id="294"/>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p>
    <w:tbl>
      <w:tblPr>
        <w:tblStyle w:val="818"/>
        <w:tblW w:w="10105"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914"/>
        <w:gridCol w:w="2877"/>
        <w:gridCol w:w="3314"/>
      </w:tblGrid>
      <w:tr>
        <w:trPr>
          <w:trHeight w:val="926"/>
        </w:trPr>
        <w:tc>
          <w:tcPr>
            <w:tcW w:w="3914" w:type="dxa"/>
            <w:vAlign w:val="center"/>
            <w:textDirection w:val="lrTb"/>
            <w:noWrap w:val="false"/>
          </w:tcPr>
          <w:p>
            <w:pPr>
              <w:pStyle w:val="841"/>
              <w:jc w:val="center"/>
              <w:widowControl/>
              <w:rPr>
                <w:highlight w:val="none"/>
              </w:rPr>
            </w:pPr>
            <w:r>
              <w:rPr>
                <w:rFonts w:ascii="Segoe UI" w:hAnsi="Segoe UI" w:eastAsia="Segoe UI" w:cs="Segoe UI"/>
                <w:color w:val="000000"/>
                <w:sz w:val="27"/>
                <w:szCs w:val="27"/>
                <w:highlight w:val="none"/>
              </w:rPr>
              <w:t xml:space="preserve">项目名称</w:t>
            </w:r>
            <w:r/>
          </w:p>
        </w:tc>
        <w:tc>
          <w:tcPr>
            <w:tcW w:w="2877" w:type="dxa"/>
            <w:vAlign w:val="center"/>
            <w:textDirection w:val="lrTb"/>
            <w:noWrap w:val="false"/>
          </w:tcPr>
          <w:p>
            <w:pPr>
              <w:pStyle w:val="841"/>
              <w:jc w:val="center"/>
              <w:widowControl/>
              <w:rPr>
                <w:highlight w:val="none"/>
              </w:rPr>
            </w:pPr>
            <w:r>
              <w:rPr>
                <w:rFonts w:ascii="Segoe UI" w:hAnsi="Segoe UI" w:eastAsia="Segoe UI" w:cs="Segoe UI"/>
                <w:color w:val="000000"/>
                <w:sz w:val="27"/>
                <w:szCs w:val="27"/>
                <w:highlight w:val="none"/>
              </w:rPr>
              <w:t xml:space="preserve">项目内容</w:t>
            </w:r>
            <w:r/>
          </w:p>
        </w:tc>
        <w:tc>
          <w:tcPr>
            <w:tcW w:w="3314" w:type="dxa"/>
            <w:vAlign w:val="center"/>
            <w:textDirection w:val="lrTb"/>
            <w:noWrap w:val="false"/>
          </w:tcPr>
          <w:p>
            <w:pPr>
              <w:pStyle w:val="841"/>
              <w:jc w:val="center"/>
              <w:widowControl/>
              <w:rPr>
                <w:rFonts w:hint="eastAsia" w:eastAsia="宋体"/>
                <w:highlight w:val="none"/>
                <w:lang w:eastAsia="zh-CN"/>
              </w:rPr>
            </w:pPr>
            <w:r>
              <w:rPr>
                <w:rFonts w:hint="eastAsia" w:ascii="Segoe UI" w:hAnsi="Segoe UI" w:eastAsia="宋体" w:cs="Segoe UI"/>
                <w:color w:val="000000"/>
                <w:sz w:val="27"/>
                <w:szCs w:val="27"/>
                <w:highlight w:val="none"/>
                <w:lang w:val="en-US" w:eastAsia="zh-CN"/>
              </w:rPr>
              <w:t xml:space="preserve">报价</w:t>
            </w:r>
            <w:r/>
          </w:p>
        </w:tc>
      </w:tr>
      <w:tr>
        <w:trPr>
          <w:trHeight w:val="926"/>
        </w:trPr>
        <w:tc>
          <w:tcPr>
            <w:tcW w:w="3914" w:type="dxa"/>
            <w:vAlign w:val="center"/>
            <w:textDirection w:val="lrTb"/>
            <w:noWrap w:val="false"/>
          </w:tcPr>
          <w:p>
            <w:pPr>
              <w:pStyle w:val="841"/>
              <w:jc w:val="center"/>
              <w:spacing w:line="240" w:lineRule="auto"/>
              <w:widowControl/>
              <w:rPr>
                <w:highlight w:val="none"/>
              </w:rPr>
            </w:pPr>
            <w:r>
              <w:rPr>
                <w:rFonts w:hint="eastAsia" w:ascii="宋体" w:hAnsi="宋体"/>
                <w:bCs/>
                <w:color w:val="000000"/>
                <w:sz w:val="24"/>
                <w:szCs w:val="24"/>
                <w:highlight w:val="none"/>
                <w:lang w:eastAsia="zh-CN"/>
              </w:rPr>
              <w:t xml:space="preserve">宜兴市人民医院2026年医疗责任险</w:t>
            </w:r>
            <w:r/>
          </w:p>
        </w:tc>
        <w:tc>
          <w:tcPr>
            <w:tcW w:w="2877" w:type="dxa"/>
            <w:vAlign w:val="center"/>
            <w:textDirection w:val="lrTb"/>
            <w:noWrap w:val="false"/>
          </w:tcPr>
          <w:p>
            <w:pPr>
              <w:pStyle w:val="841"/>
              <w:jc w:val="center"/>
              <w:widowControl/>
              <w:rPr>
                <w:rFonts w:hint="eastAsia" w:eastAsia="宋体"/>
                <w:highlight w:val="none"/>
                <w:lang w:eastAsia="zh-CN"/>
              </w:rPr>
            </w:pPr>
            <w:r>
              <w:rPr>
                <w:rFonts w:ascii="Segoe UI" w:hAnsi="Segoe UI" w:eastAsia="Segoe UI" w:cs="Segoe UI"/>
                <w:color w:val="000000"/>
                <w:sz w:val="27"/>
                <w:szCs w:val="27"/>
                <w:highlight w:val="none"/>
              </w:rPr>
              <w:t xml:space="preserve">详见</w:t>
            </w:r>
            <w:r>
              <w:rPr>
                <w:rFonts w:hint="eastAsia" w:ascii="Segoe UI" w:hAnsi="Segoe UI" w:eastAsia="宋体" w:cs="Segoe UI"/>
                <w:color w:val="000000"/>
                <w:sz w:val="27"/>
                <w:szCs w:val="27"/>
                <w:highlight w:val="none"/>
                <w:lang w:eastAsia="zh-CN"/>
              </w:rPr>
              <w:t xml:space="preserve">投标文件</w:t>
            </w:r>
            <w:r/>
          </w:p>
        </w:tc>
        <w:tc>
          <w:tcPr>
            <w:tcW w:w="3314" w:type="dxa"/>
            <w:vAlign w:val="center"/>
            <w:textDirection w:val="lrTb"/>
            <w:noWrap w:val="false"/>
          </w:tcPr>
          <w:p>
            <w:pPr>
              <w:pStyle w:val="841"/>
              <w:jc w:val="center"/>
              <w:widowControl/>
              <w:rPr>
                <w:rFonts w:hint="eastAsia" w:eastAsia="宋体"/>
                <w:highlight w:val="none"/>
                <w:lang w:val="en-US" w:eastAsia="zh-CN"/>
              </w:rPr>
            </w:pPr>
            <w:r>
              <w:rPr>
                <w:rFonts w:hint="eastAsia" w:ascii="宋体" w:hAnsi="宋体" w:cs="宋体"/>
                <w:spacing w:val="-2"/>
                <w:sz w:val="24"/>
                <w:szCs w:val="24"/>
                <w:highlight w:val="none"/>
                <w:u w:val="single"/>
                <w:lang w:val="en-US" w:eastAsia="zh-CN"/>
              </w:rPr>
              <w:t xml:space="preserve">            </w:t>
            </w:r>
            <w:r>
              <w:rPr>
                <w:rFonts w:hint="eastAsia" w:ascii="宋体" w:hAnsi="宋体" w:cs="宋体"/>
                <w:spacing w:val="-2"/>
                <w:sz w:val="24"/>
                <w:szCs w:val="24"/>
                <w:highlight w:val="none"/>
                <w:u w:val="none"/>
                <w:lang w:val="en-US" w:eastAsia="zh-CN"/>
              </w:rPr>
              <w:t xml:space="preserve">元</w:t>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54"/>
        <w:rPr>
          <w:rFonts w:hint="eastAsia"/>
          <w:highlight w:val="none"/>
          <w:lang w:val="en-US" w:eastAsia="zh-CN"/>
        </w:rPr>
      </w:pPr>
      <w:r>
        <w:rPr>
          <w:rFonts w:hint="eastAsia"/>
          <w:highlight w:val="none"/>
          <w:lang w:val="en-US" w:eastAsia="zh-CN"/>
        </w:rPr>
      </w:r>
      <w:r/>
    </w:p>
    <w:p>
      <w:pPr>
        <w:jc w:val="center"/>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hint="eastAsia" w:ascii="宋体" w:hAnsi="宋体" w:cs="宋体"/>
          <w:bCs/>
          <w:color w:val="000000"/>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highlight w:val="none"/>
        </w:rPr>
      </w:r>
      <w:r/>
    </w:p>
    <w:p>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宋体"/>
          <w:bCs/>
          <w:color w:val="000000"/>
          <w:sz w:val="24"/>
          <w:szCs w:val="24"/>
          <w:highlight w:val="none"/>
        </w:rPr>
      </w:pPr>
      <w:r/>
      <w:bookmarkStart w:id="295" w:name="报价方关于资格的声明函（格式）"/>
      <w:r/>
      <w:bookmarkEnd w:id="295"/>
      <w:r/>
      <w:bookmarkStart w:id="296" w:name="_Toc24943"/>
      <w:r>
        <w:rPr>
          <w:rFonts w:hint="eastAsia" w:ascii="黑体" w:eastAsia="黑体"/>
          <w:bCs/>
          <w:color w:val="000000"/>
          <w:sz w:val="28"/>
          <w:szCs w:val="28"/>
          <w:highlight w:val="none"/>
        </w:rPr>
        <w:t xml:space="preserve">关于资格的声明函</w:t>
      </w:r>
      <w:bookmarkEnd w:id="296"/>
      <w:r/>
      <w:bookmarkStart w:id="297" w:name="OLE_LINK80"/>
      <w:r/>
      <w:r/>
    </w:p>
    <w:p>
      <w:pPr>
        <w:ind w:firstLine="240"/>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宜兴市人民医院</w:t>
      </w:r>
      <w:r>
        <w:rPr>
          <w:rFonts w:hint="eastAsia" w:ascii="宋体" w:hAnsi="宋体"/>
          <w:bCs/>
          <w:color w:val="000000"/>
          <w:sz w:val="24"/>
          <w:szCs w:val="24"/>
          <w:highlight w:val="none"/>
        </w:rPr>
        <w:t xml:space="preserve">：</w:t>
      </w:r>
      <w:bookmarkEnd w:id="297"/>
      <w:r/>
      <w:r/>
    </w:p>
    <w:p>
      <w:pPr>
        <w:ind w:firstLine="480"/>
        <w:jc w:val="left"/>
        <w:spacing w:line="480" w:lineRule="auto"/>
        <w:rPr>
          <w:rFonts w:ascii="宋体"/>
          <w:bCs/>
          <w:color w:val="000000"/>
          <w:sz w:val="24"/>
          <w:szCs w:val="24"/>
          <w:highlight w:val="none"/>
        </w:rPr>
      </w:pPr>
      <w:r/>
      <w:bookmarkStart w:id="298" w:name="OLE_LINK243"/>
      <w:r>
        <w:rPr>
          <w:rFonts w:hint="eastAsia" w:ascii="宋体" w:hAnsi="宋体"/>
          <w:bCs/>
          <w:color w:val="000000"/>
          <w:sz w:val="24"/>
          <w:szCs w:val="24"/>
          <w:highlight w:val="none"/>
        </w:rPr>
        <w:t xml:space="preserve">我公司参加贵单位本项目（项目编号：JSZC-320282-ZDQY-G2026-0003）政府采购活动前三年内在经营活动中没有重大违法记录；</w:t>
      </w:r>
      <w:r>
        <w:rPr>
          <w:rFonts w:ascii="宋体" w:hAnsi="宋体" w:cs="宋体"/>
          <w:color w:val="000000"/>
          <w:sz w:val="24"/>
          <w:szCs w:val="24"/>
          <w:highlight w:val="none"/>
          <w:lang w:bidi="ar"/>
        </w:rPr>
        <w:t xml:space="preserve">同时，投标时不存在</w:t>
      </w:r>
      <w:bookmarkStart w:id="299" w:name="OLE_LINK242"/>
      <w:r>
        <w:rPr>
          <w:rFonts w:hint="eastAsia" w:ascii="宋体" w:hAnsi="宋体" w:cs="宋体"/>
          <w:color w:val="000000"/>
          <w:sz w:val="24"/>
          <w:szCs w:val="24"/>
          <w:highlight w:val="none"/>
          <w:lang w:bidi="ar"/>
        </w:rPr>
        <w:t xml:space="preserve">有效期限</w:t>
      </w:r>
      <w:bookmarkEnd w:id="299"/>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298"/>
      <w:r>
        <w:rPr>
          <w:rFonts w:hint="eastAsia" w:ascii="宋体" w:hAnsi="宋体"/>
          <w:bCs/>
          <w:color w:val="000000"/>
          <w:sz w:val="24"/>
          <w:szCs w:val="24"/>
          <w:highlight w:val="none"/>
        </w:rPr>
        <w:t xml:space="preserve">我公司（单位）愿针对本次项目进行投标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rPr>
          <w:rFonts w:ascii="宋体" w:hAnsi="宋体"/>
          <w:bCs/>
          <w:color w:val="000000"/>
          <w:sz w:val="24"/>
          <w:szCs w:val="24"/>
          <w:highlight w:val="none"/>
        </w:rPr>
      </w:pPr>
      <w:r>
        <w:rPr>
          <w:rFonts w:ascii="宋体" w:hAnsi="宋体"/>
          <w:bCs/>
          <w:color w:val="000000"/>
          <w:sz w:val="24"/>
          <w:szCs w:val="24"/>
          <w:highlight w:val="none"/>
        </w:rPr>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center"/>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300" w:name="OLE_LINK36"/>
      <w:r/>
      <w:bookmarkStart w:id="301" w:name="OLE_LINK152"/>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300"/>
      <w:bookmarkEnd w:id="301"/>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480"/>
        <w:spacing w:line="360" w:lineRule="auto"/>
        <w:rPr>
          <w:rFonts w:ascii="黑体" w:hAnsi="宋体" w:eastAsia="黑体"/>
          <w:bCs/>
          <w:color w:val="000000"/>
          <w:sz w:val="24"/>
          <w:szCs w:val="24"/>
          <w:highlight w:val="none"/>
        </w:rPr>
      </w:pPr>
      <w:r>
        <w:rPr>
          <w:rFonts w:hint="eastAsia"/>
          <w:color w:val="000000"/>
          <w:sz w:val="24"/>
          <w:szCs w:val="24"/>
          <w:highlight w:val="none"/>
        </w:rPr>
        <w:t xml:space="preserve">注：上述所称“重大违法记录”是指投标人因违法经营受到刑事处罚或者责令停产停业、吊销许可证或者执照、较大数额罚款等行政处罚。</w:t>
      </w:r>
      <w:r/>
    </w:p>
    <w:p>
      <w:pPr>
        <w:ind w:firstLine="480"/>
        <w:spacing w:line="360" w:lineRule="auto"/>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（格式）：</w:t>
      </w:r>
      <w:r>
        <w:rPr>
          <w:rFonts w:hint="eastAsia" w:ascii="宋体" w:hAnsi="宋体"/>
          <w:color w:val="000000"/>
          <w:sz w:val="24"/>
          <w:szCs w:val="28"/>
          <w:highlight w:val="none"/>
        </w:rPr>
        <w:t xml:space="preserve"> </w:t>
      </w:r>
      <w:r/>
    </w:p>
    <w:p>
      <w:pPr>
        <w:jc w:val="center"/>
        <w:spacing w:before="156" w:after="156"/>
        <w:rPr>
          <w:rFonts w:ascii="宋体" w:hAnsi="宋体"/>
          <w:color w:val="000000"/>
          <w:sz w:val="24"/>
          <w:szCs w:val="21"/>
          <w:highlight w:val="none"/>
          <w:lang w:val="zh-CN"/>
        </w:rPr>
      </w:pPr>
      <w:r>
        <w:rPr>
          <w:rFonts w:hint="eastAsia" w:ascii="黑体" w:hAnsi="黑体" w:eastAsia="黑体"/>
          <w:color w:val="000000"/>
          <w:sz w:val="28"/>
          <w:szCs w:val="28"/>
          <w:highlight w:val="none"/>
        </w:rPr>
        <w:t xml:space="preserve">法定代表人授权委托书</w:t>
      </w:r>
      <w:r>
        <w:rPr>
          <w:rFonts w:hint="eastAsia" w:ascii="宋体" w:hAnsi="宋体"/>
          <w:color w:val="000000"/>
          <w:sz w:val="24"/>
          <w:szCs w:val="28"/>
          <w:highlight w:val="none"/>
        </w:rPr>
        <w:t xml:space="preserve">            </w:t>
      </w:r>
      <w:r/>
    </w:p>
    <w:p>
      <w:pPr>
        <w:ind w:left="420" w:firstLine="240"/>
        <w:spacing w:line="360" w:lineRule="auto"/>
        <w:tabs>
          <w:tab w:val="left" w:pos="255" w:leader="none"/>
        </w:tabs>
        <w:rPr>
          <w:rFonts w:ascii="宋体" w:hAnsi="宋体"/>
          <w:color w:val="000000"/>
          <w:sz w:val="24"/>
          <w:szCs w:val="21"/>
          <w:highlight w:val="none"/>
          <w:lang w:val="zh-CN"/>
        </w:rPr>
      </w:pPr>
      <w:r/>
      <w:bookmarkStart w:id="302" w:name="OLE_LINK186"/>
      <w:r>
        <w:rPr>
          <w:rFonts w:hint="eastAsia" w:ascii="宋体" w:hAnsi="宋体"/>
          <w:bCs/>
          <w:color w:val="000000"/>
          <w:sz w:val="24"/>
          <w:highlight w:val="none"/>
          <w:lang w:val="zh-CN"/>
        </w:rPr>
        <w:t xml:space="preserve">宜兴市人民医院、</w:t>
      </w:r>
      <w:bookmarkEnd w:id="302"/>
      <w:r>
        <w:rPr>
          <w:rFonts w:hint="eastAsia" w:ascii="宋体" w:hAnsi="宋体"/>
          <w:bCs/>
          <w:color w:val="000000"/>
          <w:sz w:val="24"/>
          <w:highlight w:val="none"/>
          <w:lang w:val="zh-CN"/>
        </w:rPr>
        <w:t xml:space="preserve">宜兴市中达企业管理咨询服务有限公司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03"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03"/>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color w:val="000000"/>
          <w:sz w:val="24"/>
          <w:szCs w:val="21"/>
          <w:highlight w:val="none"/>
          <w:lang w:val="zh-CN"/>
        </w:rPr>
        <w:t xml:space="preserve">的投标</w:t>
      </w:r>
      <w:bookmarkStart w:id="304" w:name="_Hlk144474232"/>
      <w:r/>
      <w:bookmarkStart w:id="305" w:name="_Hlk135833699"/>
      <w:r/>
      <w:bookmarkStart w:id="306"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31"/>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31"/>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31"/>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w:t>
      </w:r>
      <w:bookmarkStart w:id="307" w:name="_Hlk151362709"/>
      <w:r>
        <w:rPr>
          <w:rFonts w:hint="eastAsia" w:ascii="黑体" w:hAnsi="宋体" w:eastAsia="黑体"/>
          <w:bCs/>
          <w:color w:val="000000"/>
          <w:sz w:val="24"/>
          <w:szCs w:val="24"/>
          <w:highlight w:val="none"/>
        </w:rPr>
        <w:t xml:space="preserve">具有独立承担民事责任的能力：</w:t>
      </w:r>
      <w:r>
        <w:rPr>
          <w:rFonts w:hint="eastAsia" w:ascii="宋体" w:hAnsi="宋体"/>
          <w:color w:val="000000"/>
          <w:sz w:val="24"/>
          <w:szCs w:val="21"/>
          <w:highlight w:val="none"/>
          <w:lang w:val="zh-CN"/>
        </w:rPr>
        <w:t xml:space="preserve">按第二章投标人须知要求提供相关证明材料</w:t>
      </w:r>
      <w:bookmarkEnd w:id="307"/>
      <w:r/>
      <w:bookmarkEnd w:id="304"/>
      <w:bookmarkEnd w:id="305"/>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hint="eastAsia" w:ascii="宋体" w:hAnsi="宋体" w:eastAsia="宋体"/>
          <w:color w:val="000000"/>
          <w:sz w:val="24"/>
          <w:szCs w:val="21"/>
          <w:highlight w:val="none"/>
          <w:lang w:val="en-US" w:eastAsia="zh-CN"/>
        </w:rPr>
      </w:pPr>
      <w:r>
        <w:rPr>
          <w:rFonts w:hint="eastAsia" w:ascii="黑体" w:hAnsi="宋体" w:eastAsia="黑体"/>
          <w:bCs/>
          <w:color w:val="000000"/>
          <w:sz w:val="24"/>
          <w:szCs w:val="24"/>
          <w:highlight w:val="none"/>
        </w:rPr>
        <w:t xml:space="preserve">7、无不良信用记录：</w:t>
      </w:r>
      <w:r>
        <w:rPr>
          <w:rFonts w:hint="eastAsia" w:ascii="宋体" w:hAnsi="宋体"/>
          <w:color w:val="000000"/>
          <w:sz w:val="24"/>
          <w:szCs w:val="21"/>
          <w:highlight w:val="none"/>
          <w:lang w:val="zh-CN"/>
        </w:rPr>
        <w:t xml:space="preserve">详见第二章投标人须知相关</w:t>
      </w:r>
      <w:r>
        <w:rPr>
          <w:rFonts w:hint="eastAsia" w:ascii="宋体" w:hAnsi="宋体"/>
          <w:color w:val="000000"/>
          <w:sz w:val="24"/>
          <w:szCs w:val="21"/>
          <w:highlight w:val="none"/>
          <w:lang w:val="en-US" w:eastAsia="zh-CN"/>
        </w:rPr>
        <w:t xml:space="preserve">要求</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8、中小企业声明</w:t>
      </w:r>
      <w:r/>
    </w:p>
    <w:p>
      <w:pPr>
        <w:ind w:firstLine="480"/>
        <w:spacing w:line="360" w:lineRule="auto"/>
        <w:rPr>
          <w:rFonts w:hint="eastAsia"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 </w:t>
      </w:r>
      <w:bookmarkEnd w:id="306"/>
      <w:r/>
      <w:r/>
    </w:p>
    <w:p>
      <w:pPr>
        <w:ind w:firstLine="480"/>
        <w:jc w:val="left"/>
        <w:rPr>
          <w:rFonts w:ascii="黑体" w:hAnsi="宋体" w:eastAsia="黑体"/>
          <w:bCs/>
          <w:color w:val="000000"/>
          <w:sz w:val="24"/>
          <w:szCs w:val="24"/>
          <w:highlight w:val="none"/>
        </w:rPr>
      </w:pPr>
      <w:r/>
      <w:bookmarkStart w:id="308"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w:t>
      </w:r>
      <w:bookmarkStart w:id="309" w:name="_Hlk151458994"/>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9"/>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8"/>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49"/>
        <w:rPr>
          <w:rFonts w:ascii="宋体" w:hAnsi="宋体"/>
          <w:b/>
          <w:color w:val="000000"/>
          <w:sz w:val="24"/>
          <w:szCs w:val="24"/>
          <w:highlight w:val="none"/>
          <w:lang w:val="zh-CN"/>
        </w:rPr>
      </w:pPr>
      <w:r>
        <w:rPr>
          <w:rFonts w:ascii="宋体" w:hAnsi="宋体"/>
          <w:b/>
          <w:color w:val="000000"/>
          <w:sz w:val="24"/>
          <w:szCs w:val="24"/>
          <w:highlight w:val="none"/>
          <w:lang w:val="zh-CN"/>
        </w:rPr>
      </w:r>
      <w:r/>
    </w:p>
    <w:p>
      <w:pPr>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49"/>
        <w:rPr>
          <w:highlight w:val="none"/>
          <w:lang w:val="zh-CN"/>
        </w:rPr>
      </w:pPr>
      <w:r>
        <w:rPr>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ind w:firstLine="24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致宜兴市人民医院、宜兴市中达企业管理咨询服务有限公司：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（项目编号：JSZC-320282-ZDQY-G2026-0003）</w:t>
      </w:r>
      <w:r>
        <w:rPr>
          <w:rFonts w:hint="eastAsia" w:ascii="宋体" w:hAnsi="宋体"/>
          <w:bCs/>
          <w:color w:val="000000"/>
          <w:sz w:val="24"/>
          <w:highlight w:val="none"/>
          <w:lang w:val="zh-CN"/>
        </w:rPr>
        <w:t xml:space="preserve">招标文件，经仔细阅读和研究，我方决定参加投标。</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10" w:name="_Hlk131935611"/>
      <w:r>
        <w:rPr>
          <w:rFonts w:hint="eastAsia" w:ascii="宋体" w:hAnsi="宋体"/>
          <w:bCs/>
          <w:color w:val="000000"/>
          <w:sz w:val="24"/>
          <w:highlight w:val="none"/>
          <w:lang w:val="zh-CN"/>
        </w:rPr>
        <w:t xml:space="preserve">《项目技术要求偏离表》</w:t>
      </w:r>
      <w:bookmarkEnd w:id="310"/>
      <w:r>
        <w:rPr>
          <w:rFonts w:hint="eastAsia" w:ascii="宋体" w:hAnsi="宋体"/>
          <w:bCs/>
          <w:color w:val="000000"/>
          <w:sz w:val="24"/>
          <w:highlight w:val="none"/>
          <w:lang w:val="zh-CN"/>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5"/>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7"/>
        <w:gridCol w:w="4360"/>
      </w:tblGrid>
      <w:tr>
        <w:trPr>
          <w:jc w:val="center"/>
          <w:trHeight w:val="645"/>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0"/>
        </w:numPr>
        <w:ind w:left="0"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eastAsia="zh-CN" w:bidi="ar-SA"/>
        </w:rPr>
        <w:t xml:space="preserve">1</w:t>
      </w:r>
      <w:r>
        <w:rPr>
          <w:rFonts w:hint="eastAsia" w:ascii="宋体" w:hAnsi="宋体"/>
          <w:bCs/>
          <w:color w:val="000000"/>
          <w:sz w:val="24"/>
          <w:highlight w:val="none"/>
          <w:lang w:val="en-US" w:eastAsia="zh-CN" w:bidi="ar-SA"/>
        </w:rPr>
        <w:t xml:space="preserve">2</w:t>
      </w:r>
      <w:r>
        <w:rPr>
          <w:rFonts w:ascii="宋体" w:hAnsi="宋体"/>
          <w:bCs/>
          <w:color w:val="000000"/>
          <w:sz w:val="24"/>
          <w:highlight w:val="none"/>
          <w:lang w:val="zh-CN" w:eastAsia="zh-CN" w:bidi="ar-SA"/>
        </w:rPr>
        <w:t xml:space="preserve">．</w:t>
      </w:r>
      <w:r>
        <w:rPr>
          <w:rFonts w:hint="eastAsia" w:ascii="宋体" w:hAnsi="宋体"/>
          <w:bCs/>
          <w:color w:val="000000"/>
          <w:sz w:val="24"/>
          <w:highlight w:val="none"/>
          <w:lang w:val="zh-CN"/>
        </w:rPr>
        <w:t xml:space="preserve">与本投标有关的一切正式往来函电，请联系：</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744"/>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819"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p>
    <w:p>
      <w:pPr>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11" w:name="_Hlk160091427"/>
      <w:r>
        <w:rPr>
          <w:rFonts w:hint="eastAsia" w:ascii="黑体" w:hAnsi="黑体" w:eastAsia="黑体"/>
          <w:color w:val="000000"/>
          <w:sz w:val="28"/>
          <w:szCs w:val="21"/>
          <w:highlight w:val="none"/>
          <w:lang w:val="zh-CN"/>
        </w:rPr>
        <w:t xml:space="preserve">项目技术要求偏离表</w:t>
      </w:r>
      <w:bookmarkEnd w:id="311"/>
      <w:r/>
      <w:r/>
    </w:p>
    <w:p>
      <w:pPr>
        <w:ind w:firstLine="240"/>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ind w:firstLine="240"/>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项目编号：JSZC-320282-ZDQY-G2026-0003</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973"/>
        <w:gridCol w:w="2315"/>
        <w:gridCol w:w="2327"/>
        <w:gridCol w:w="1969"/>
      </w:tblGrid>
      <w:tr>
        <w:trPr>
          <w:jc w:val="center"/>
          <w:trHeight w:val="930"/>
        </w:trPr>
        <w:tc>
          <w:tcPr>
            <w:tcW w:w="1164"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w:t>
      </w:r>
      <w:r/>
    </w:p>
    <w:p>
      <w:pPr>
        <w:ind w:left="420" w:firstLine="42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（2）招标文件第三章“项目技术要求和有关说明”中若有要求提供相关证明材料的必须提供，</w:t>
      </w:r>
      <w:r>
        <w:rPr>
          <w:rFonts w:hint="eastAsia" w:ascii="宋体" w:hAnsi="宋体"/>
          <w:bCs/>
          <w:color w:val="000000"/>
          <w:sz w:val="24"/>
          <w:szCs w:val="24"/>
          <w:highlight w:val="none"/>
          <w:lang w:val="zh-CN"/>
        </w:rPr>
        <w:t xml:space="preserve">请在本表后自行添加</w:t>
      </w:r>
      <w:r>
        <w:rPr>
          <w:rFonts w:hint="eastAsia" w:ascii="宋体" w:hAnsi="宋体"/>
          <w:bCs/>
          <w:color w:val="000000"/>
          <w:sz w:val="24"/>
          <w:szCs w:val="24"/>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42"/>
        <w:ind w:firstLine="480"/>
        <w:rPr>
          <w:rFonts w:hint="eastAsia" w:ascii="黑体" w:hAnsi="黑体" w:eastAsia="黑体" w:cs="黑体"/>
          <w:bCs/>
          <w:color w:val="000000"/>
          <w:sz w:val="24"/>
          <w:szCs w:val="24"/>
          <w:highlight w:val="none"/>
        </w:rPr>
      </w:pPr>
      <w:r>
        <w:rPr>
          <w:rFonts w:ascii="宋体" w:hAnsi="宋体"/>
          <w:bCs/>
          <w:color w:val="000000"/>
          <w:szCs w:val="21"/>
          <w:highlight w:val="none"/>
        </w:rPr>
        <w:br w:type="page" w:clear="all"/>
      </w:r>
      <w:bookmarkStart w:id="312" w:name="_Hlk151456575"/>
      <w:r>
        <w:rPr>
          <w:rFonts w:hint="eastAsia" w:ascii="黑体" w:hAnsi="黑体" w:eastAsia="黑体" w:cs="黑体"/>
          <w:bCs/>
          <w:color w:val="000000"/>
          <w:sz w:val="24"/>
          <w:szCs w:val="24"/>
          <w:highlight w:val="none"/>
          <w:lang w:val="en-US" w:eastAsia="zh-CN"/>
        </w:rPr>
        <w:t xml:space="preserve">3</w:t>
      </w:r>
      <w:r>
        <w:rPr>
          <w:rFonts w:hint="eastAsia" w:ascii="黑体" w:hAnsi="黑体" w:eastAsia="黑体" w:cs="黑体"/>
          <w:bCs/>
          <w:color w:val="000000"/>
          <w:sz w:val="24"/>
          <w:szCs w:val="24"/>
          <w:highlight w:val="none"/>
          <w:lang w:val="en-US" w:eastAsia="zh-CN" w:bidi="ar-SA"/>
        </w:rPr>
        <w:t xml:space="preserve">、</w:t>
      </w:r>
      <w:r>
        <w:rPr>
          <w:rFonts w:hint="eastAsia" w:ascii="黑体" w:hAnsi="黑体" w:eastAsia="黑体" w:cs="黑体"/>
          <w:bCs/>
          <w:color w:val="000000"/>
          <w:sz w:val="24"/>
          <w:szCs w:val="24"/>
          <w:highlight w:val="none"/>
          <w:lang w:val="zh-CN" w:eastAsia="zh-CN" w:bidi="ar-SA"/>
        </w:rPr>
        <w:t xml:space="preserve">项</w:t>
      </w:r>
      <w:r>
        <w:rPr>
          <w:rFonts w:hint="eastAsia" w:ascii="黑体" w:hAnsi="黑体" w:eastAsia="黑体" w:cs="黑体"/>
          <w:bCs/>
          <w:color w:val="000000"/>
          <w:sz w:val="24"/>
          <w:szCs w:val="24"/>
          <w:highlight w:val="none"/>
          <w:lang w:val="zh-CN"/>
        </w:rPr>
        <w:t xml:space="preserve">目人员配置清单（格式）</w:t>
      </w:r>
      <w:r>
        <w:rPr>
          <w:rFonts w:hint="eastAsia" w:ascii="黑体" w:hAnsi="黑体" w:eastAsia="黑体" w:cs="黑体"/>
          <w:bCs/>
          <w:color w:val="000000"/>
          <w:sz w:val="24"/>
          <w:szCs w:val="24"/>
          <w:highlight w:val="none"/>
        </w:rPr>
        <w:t xml:space="preserve">:</w:t>
      </w:r>
      <w:r/>
    </w:p>
    <w:p>
      <w:pPr>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项目编号：JSZC-320282-ZDQY-G2026-0003</w:t>
      </w:r>
      <w:r/>
    </w:p>
    <w:tbl>
      <w:tblPr>
        <w:tblStyle w:val="818"/>
        <w:tblW w:w="10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008"/>
        <w:gridCol w:w="1185"/>
        <w:gridCol w:w="1134"/>
        <w:gridCol w:w="1276"/>
        <w:gridCol w:w="1134"/>
        <w:gridCol w:w="992"/>
        <w:gridCol w:w="1276"/>
        <w:gridCol w:w="1004"/>
      </w:tblGrid>
      <w:tr>
        <w:trPr>
          <w:jc w:val="center"/>
          <w:trHeight w:val="607"/>
        </w:trPr>
        <w:tc>
          <w:tcPr>
            <w:tcW w:w="108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序号</w:t>
            </w:r>
            <w:r/>
          </w:p>
        </w:tc>
        <w:tc>
          <w:tcPr>
            <w:tcW w:w="100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4</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50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5</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6</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7</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8</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0"/>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9</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10</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30"/>
        </w:trPr>
        <w:tc>
          <w:tcPr>
            <w:tcW w:w="1088" w:type="dxa"/>
            <w:vAlign w:val="center"/>
            <w:textDirection w:val="lrTb"/>
            <w:noWrap w:val="false"/>
          </w:tcPr>
          <w:p>
            <w:pPr>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p>
        </w:tc>
        <w:tc>
          <w:tcPr>
            <w:tcW w:w="1008"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r>
    </w:tbl>
    <w:p>
      <w:pPr>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ind w:firstLine="240"/>
        <w:spacing w:line="360" w:lineRule="auto"/>
        <w:rPr>
          <w:rFonts w:hint="eastAsia"/>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 表格不够可自行延长。</w:t>
      </w:r>
      <w:r/>
    </w:p>
    <w:p>
      <w:pPr>
        <w:ind w:firstLine="720"/>
        <w:spacing w:line="360" w:lineRule="auto"/>
        <w:rPr>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.上述</w:t>
      </w:r>
      <w:r>
        <w:rPr>
          <w:rFonts w:hint="eastAsia"/>
          <w:color w:val="000000"/>
          <w:sz w:val="24"/>
          <w:szCs w:val="24"/>
          <w:highlight w:val="none"/>
        </w:rPr>
        <w:t xml:space="preserve">人员如在项目执行过程中需要更换，须经采购人同意。擅自更换或不到位属违约行为。</w:t>
      </w:r>
      <w:r/>
    </w:p>
    <w:p>
      <w:pPr>
        <w:pStyle w:val="1042"/>
        <w:rPr>
          <w:color w:val="000000"/>
          <w:highlight w:val="none"/>
        </w:rPr>
      </w:pPr>
      <w:r>
        <w:rPr>
          <w:color w:val="000000"/>
          <w:highlight w:val="none"/>
        </w:rPr>
      </w:r>
      <w:r/>
    </w:p>
    <w:p>
      <w:pPr>
        <w:pStyle w:val="1043"/>
        <w:rPr>
          <w:color w:val="000000"/>
          <w:highlight w:val="none"/>
        </w:rPr>
      </w:pPr>
      <w:r>
        <w:rPr>
          <w:color w:val="000000"/>
          <w:highlight w:val="none"/>
        </w:rPr>
      </w:r>
      <w:r/>
    </w:p>
    <w:p>
      <w:pPr>
        <w:jc w:val="right"/>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43"/>
        <w:jc w:val="right"/>
        <w:rPr>
          <w:color w:val="000000"/>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42"/>
        <w:ind w:firstLine="480"/>
        <w:spacing w:line="360" w:lineRule="auto"/>
        <w:rPr>
          <w:rFonts w:ascii="宋体" w:hAnsi="宋体"/>
          <w:bCs/>
          <w:color w:val="000000"/>
          <w:szCs w:val="21"/>
          <w:highlight w:val="none"/>
        </w:rPr>
      </w:pPr>
      <w:r>
        <w:rPr>
          <w:rFonts w:hint="eastAsia" w:ascii="黑体" w:hAnsi="宋体" w:eastAsia="黑体"/>
          <w:bCs/>
          <w:color w:val="000000"/>
          <w:sz w:val="24"/>
          <w:szCs w:val="24"/>
          <w:highlight w:val="none"/>
          <w:lang w:val="en-US" w:eastAsia="zh-CN"/>
        </w:rPr>
        <w:t xml:space="preserve">4</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360" w:lineRule="auto"/>
        <w:widowControl w:val="off"/>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pPr>
      <w:r>
        <w:rPr>
          <w:rFonts w:hint="eastAsia" w:ascii="黑体" w:hAnsi="黑体" w:eastAsia="黑体" w:cs="黑体"/>
          <w:sz w:val="24"/>
          <w:szCs w:val="21"/>
          <w:highlight w:val="none"/>
          <w:lang w:val="en-US" w:eastAsia="zh-CN"/>
        </w:rPr>
        <w:t xml:space="preserve">5、</w:t>
      </w:r>
      <w:r>
        <w:rPr>
          <w:rFonts w:hint="eastAsia" w:ascii="黑体" w:hAnsi="黑体" w:eastAsia="黑体" w:cs="黑体"/>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cs="黑体"/>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13" w:name="OLE_LINK173"/>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14" w:name="_Hlk151451525"/>
      <w:r>
        <w:rPr>
          <w:rFonts w:hint="eastAsia" w:ascii="黑体" w:hAnsi="宋体" w:eastAsia="黑体"/>
          <w:bCs/>
          <w:color w:val="000000"/>
          <w:sz w:val="28"/>
          <w:szCs w:val="28"/>
          <w:highlight w:val="none"/>
        </w:rPr>
        <w:t xml:space="preserve">企业报价折扣证明</w:t>
      </w:r>
      <w:bookmarkEnd w:id="312"/>
      <w:r/>
      <w:r/>
    </w:p>
    <w:tbl>
      <w:tblPr>
        <w:tblStyle w:val="818"/>
        <w:tblW w:w="10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705"/>
        <w:gridCol w:w="2400"/>
        <w:gridCol w:w="5093"/>
      </w:tblGrid>
      <w:tr>
        <w:trPr>
          <w:jc w:val="center"/>
          <w:trHeight w:val="369"/>
        </w:trPr>
        <w:tc>
          <w:tcPr>
            <w:tcW w:w="88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序号</w:t>
            </w:r>
            <w:r/>
          </w:p>
        </w:tc>
        <w:tc>
          <w:tcPr>
            <w:tcW w:w="1705"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企业性质</w:t>
            </w:r>
            <w:r/>
          </w:p>
        </w:tc>
        <w:tc>
          <w:tcPr>
            <w:tcW w:w="240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服务承接商类别</w:t>
            </w:r>
            <w:r/>
          </w:p>
        </w:tc>
        <w:tc>
          <w:tcPr>
            <w:tcW w:w="5093"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须提交的证明材料</w:t>
            </w:r>
            <w:r/>
          </w:p>
        </w:tc>
      </w:tr>
      <w:tr>
        <w:trPr>
          <w:jc w:val="center"/>
          <w:trHeight w:val="639"/>
        </w:trPr>
        <w:tc>
          <w:tcPr>
            <w:tcW w:w="88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p>
        </w:tc>
        <w:tc>
          <w:tcPr>
            <w:tcW w:w="1705"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小微型企业</w:t>
            </w:r>
            <w:r/>
          </w:p>
        </w:tc>
        <w:tc>
          <w:tcPr>
            <w:tcW w:w="2400" w:type="dxa"/>
            <w:vAlign w:val="center"/>
            <w:textDirection w:val="lrTb"/>
            <w:noWrap w:val="false"/>
          </w:tcPr>
          <w:p>
            <w:pPr>
              <w:pStyle w:val="1026"/>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26"/>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为小微企业</w:t>
            </w:r>
            <w:r/>
          </w:p>
        </w:tc>
        <w:tc>
          <w:tcPr>
            <w:tcW w:w="5093" w:type="dxa"/>
            <w:vAlign w:val="center"/>
            <w:textDirection w:val="lrTb"/>
            <w:noWrap w:val="false"/>
          </w:tcPr>
          <w:p>
            <w:pPr>
              <w:pStyle w:val="1026"/>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《中小企业声明函》（格式见附件1）</w:t>
            </w:r>
            <w:r/>
          </w:p>
        </w:tc>
      </w:tr>
      <w:tr>
        <w:trPr>
          <w:jc w:val="center"/>
          <w:trHeight w:val="699"/>
        </w:trPr>
        <w:tc>
          <w:tcPr>
            <w:tcW w:w="88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p>
        </w:tc>
        <w:tc>
          <w:tcPr>
            <w:tcW w:w="1705"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w:t>
            </w:r>
            <w:r/>
          </w:p>
        </w:tc>
        <w:tc>
          <w:tcPr>
            <w:tcW w:w="2400" w:type="dxa"/>
            <w:vAlign w:val="center"/>
            <w:textDirection w:val="lrTb"/>
            <w:noWrap w:val="false"/>
          </w:tcPr>
          <w:p>
            <w:pPr>
              <w:pStyle w:val="1026"/>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26"/>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为残疾人福利性单位</w:t>
            </w:r>
            <w:r/>
          </w:p>
        </w:tc>
        <w:tc>
          <w:tcPr>
            <w:tcW w:w="5093"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《残疾人福利性单位声明函》</w:t>
            </w:r>
            <w:r/>
          </w:p>
          <w:p>
            <w:pPr>
              <w:pStyle w:val="1026"/>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（格式见附件2）</w:t>
            </w:r>
            <w:r/>
          </w:p>
        </w:tc>
      </w:tr>
      <w:tr>
        <w:trPr>
          <w:jc w:val="center"/>
          <w:trHeight w:val="721"/>
        </w:trPr>
        <w:tc>
          <w:tcPr>
            <w:tcW w:w="88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p>
        </w:tc>
        <w:tc>
          <w:tcPr>
            <w:tcW w:w="1705" w:type="dxa"/>
            <w:vAlign w:val="center"/>
            <w:textDirection w:val="lrTb"/>
            <w:noWrap w:val="false"/>
          </w:tcPr>
          <w:p>
            <w:pPr>
              <w:pStyle w:val="1026"/>
              <w:jc w:val="center"/>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监狱</w:t>
            </w:r>
            <w:r/>
          </w:p>
          <w:p>
            <w:pPr>
              <w:pStyle w:val="1026"/>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w:t>
            </w:r>
            <w:r/>
          </w:p>
        </w:tc>
        <w:tc>
          <w:tcPr>
            <w:tcW w:w="2400" w:type="dxa"/>
            <w:vAlign w:val="center"/>
            <w:textDirection w:val="lrTb"/>
            <w:noWrap w:val="false"/>
          </w:tcPr>
          <w:p>
            <w:pPr>
              <w:pStyle w:val="1026"/>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26"/>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为监狱企业</w:t>
            </w:r>
            <w:r/>
          </w:p>
        </w:tc>
        <w:tc>
          <w:tcPr>
            <w:tcW w:w="5093" w:type="dxa"/>
            <w:vAlign w:val="center"/>
            <w:textDirection w:val="lrTb"/>
            <w:noWrap w:val="false"/>
          </w:tcPr>
          <w:p>
            <w:pPr>
              <w:pStyle w:val="1026"/>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省级以上监狱管理局、戒毒管理局（含新疆生产建设兵团）出具的属于监狱企业的证明文件</w:t>
            </w:r>
            <w:r/>
          </w:p>
        </w:tc>
      </w:tr>
    </w:tbl>
    <w:p>
      <w:pPr>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注：</w:t>
      </w:r>
      <w:bookmarkStart w:id="315" w:name="OLE_LINK264"/>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1、投标人根据招标文件要求提供相关证明材料（如有），以提供的有效证明材料为准</w:t>
      </w:r>
      <w:bookmarkEnd w:id="315"/>
      <w:r>
        <w:rPr>
          <w:rFonts w:hint="eastAsia" w:ascii="宋体" w:hAnsi="宋体" w:cs="宋体"/>
          <w:color w:val="000000"/>
          <w:sz w:val="24"/>
          <w:szCs w:val="24"/>
          <w:highlight w:val="none"/>
          <w:lang w:val="zh-CN"/>
        </w:rPr>
        <w:t xml:space="preserve">。</w:t>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CN"/>
        </w:rPr>
        <w:t xml:space="preserve">、如本项目给予报价扣除优惠，须提供相关证明材料，否则不享受报价扣除优惠。</w:t>
      </w:r>
      <w:r/>
    </w:p>
    <w:p>
      <w:pPr>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14"/>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16" w:name="OLE_LINK35"/>
      <w:r/>
      <w:bookmarkStart w:id="317" w:name="OLE_LINK25"/>
      <w:r>
        <w:rPr>
          <w:rFonts w:hint="eastAsia" w:ascii="黑体" w:eastAsia="黑体"/>
          <w:bCs/>
          <w:color w:val="000000"/>
          <w:sz w:val="28"/>
          <w:szCs w:val="28"/>
          <w:highlight w:val="none"/>
          <w:lang w:val="en-US" w:eastAsia="zh-CN"/>
        </w:rPr>
        <w:t xml:space="preserve">          </w:t>
      </w:r>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w:t>
      </w:r>
      <w:r/>
    </w:p>
    <w:p>
      <w:pPr>
        <w:ind w:firstLine="421"/>
        <w:jc w:val="left"/>
        <w:spacing w:line="360" w:lineRule="auto"/>
        <w:rPr>
          <w:rFonts w:ascii="宋体" w:hAnsi="宋体"/>
          <w:bCs/>
          <w:color w:val="000000"/>
          <w:sz w:val="24"/>
          <w:szCs w:val="24"/>
          <w:highlight w:val="none"/>
        </w:rPr>
      </w:pPr>
      <w:r/>
      <w:bookmarkStart w:id="318" w:name="_Hlk131935698"/>
      <w:r>
        <w:rPr>
          <w:rFonts w:hint="eastAsia" w:ascii="宋体" w:hAnsi="宋体"/>
          <w:bCs/>
          <w:color w:val="000000"/>
          <w:sz w:val="24"/>
          <w:szCs w:val="24"/>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）从业人员、营业收入、资产总额填报上一年度数据，无上一年度数据的新成立企业可不填报。</w:t>
      </w:r>
      <w:bookmarkEnd w:id="316"/>
      <w:r/>
      <w:bookmarkEnd w:id="317"/>
      <w:r/>
      <w:bookmarkEnd w:id="318"/>
      <w:r/>
      <w:r/>
    </w:p>
    <w:p>
      <w:pPr>
        <w:ind w:firstLine="480"/>
        <w:jc w:val="left"/>
        <w:rPr>
          <w:rFonts w:ascii="黑体" w:hAnsi="宋体" w:eastAsia="黑体"/>
          <w:bCs/>
          <w:color w:val="000000"/>
          <w:sz w:val="24"/>
          <w:szCs w:val="24"/>
          <w:highlight w:val="none"/>
        </w:rPr>
      </w:pPr>
      <w:r/>
      <w:bookmarkStart w:id="319" w:name="OLE_LINK150"/>
      <w:r>
        <w:rPr>
          <w:rFonts w:ascii="宋体" w:hAnsi="宋体"/>
          <w:color w:val="000000"/>
          <w:sz w:val="24"/>
          <w:szCs w:val="21"/>
          <w:highlight w:val="none"/>
        </w:rPr>
        <w:br w:type="page" w:clear="all"/>
      </w:r>
      <w:bookmarkStart w:id="320"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21" w:name="OLE_LINK64"/>
      <w:r/>
      <w:bookmarkStart w:id="322" w:name="OLE_LINK33"/>
      <w:r>
        <w:rPr>
          <w:rFonts w:hint="eastAsia" w:ascii="黑体" w:eastAsia="黑体"/>
          <w:bCs/>
          <w:color w:val="000000"/>
          <w:sz w:val="28"/>
          <w:szCs w:val="28"/>
          <w:highlight w:val="none"/>
        </w:rPr>
        <w:t xml:space="preserve">残疾人福利性单位</w:t>
      </w:r>
      <w:bookmarkEnd w:id="321"/>
      <w:r>
        <w:rPr>
          <w:rFonts w:hint="eastAsia" w:ascii="黑体" w:eastAsia="黑体"/>
          <w:bCs/>
          <w:color w:val="000000"/>
          <w:sz w:val="28"/>
          <w:szCs w:val="28"/>
          <w:highlight w:val="none"/>
        </w:rPr>
        <w:t xml:space="preserve">声明函</w:t>
      </w:r>
      <w:bookmarkEnd w:id="320"/>
      <w:r/>
      <w:bookmarkEnd w:id="322"/>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19"/>
      <w:r/>
    </w:p>
    <w:p>
      <w:pPr>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spacing w:after="156"/>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23" w:name="_Hlk151456734"/>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13"/>
      <w:r/>
      <w:bookmarkEnd w:id="323"/>
      <w:r/>
      <w:r/>
    </w:p>
    <w:p>
      <w:pPr>
        <w:ind w:firstLine="480"/>
        <w:jc w:val="left"/>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Segoe UI">
    <w:panose1 w:val="020B0502040204020203"/>
  </w:font>
  <w:font w:name="华文细黑">
    <w:panose1 w:val="02010600040101010101"/>
  </w:font>
  <w:font w:name="Cambria">
    <w:panose1 w:val="020405030504060302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101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7"/>
  </w:num>
  <w:num w:numId="5">
    <w:abstractNumId w:val="10"/>
  </w:num>
  <w:num w:numId="6">
    <w:abstractNumId w:val="13"/>
  </w:num>
  <w:num w:numId="7">
    <w:abstractNumId w:val="6"/>
  </w:num>
  <w:num w:numId="8">
    <w:abstractNumId w:val="0"/>
  </w:num>
  <w:num w:numId="9">
    <w:abstractNumId w:val="11"/>
  </w:num>
  <w:num w:numId="10">
    <w:abstractNumId w:val="12"/>
  </w:num>
  <w:num w:numId="11">
    <w:abstractNumId w:val="1"/>
  </w:num>
  <w:num w:numId="12">
    <w:abstractNumId w:val="8"/>
  </w:num>
  <w:num w:numId="13">
    <w:abstractNumId w:val="9"/>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link w:val="1033"/>
    <w:uiPriority w:val="0"/>
    <w:qFormat/>
    <w:pPr>
      <w:jc w:val="both"/>
      <w:widowControl w:val="off"/>
    </w:pPr>
    <w:rPr>
      <w:rFonts w:hint="default" w:ascii="Times New Roman" w:hAnsi="Times New Roman" w:eastAsia="宋体" w:cs="Times New Roman"/>
      <w:sz w:val="21"/>
      <w:lang w:val="en-US" w:eastAsia="zh-CN" w:bidi="ar-SA"/>
    </w:rPr>
  </w:style>
  <w:style w:type="paragraph" w:styleId="808">
    <w:name w:val="Heading 1"/>
    <w:basedOn w:val="807"/>
    <w:next w:val="807"/>
    <w:link w:val="851"/>
    <w:uiPriority w:val="9"/>
    <w:qFormat/>
    <w:pPr>
      <w:keepLines/>
      <w:keepNext/>
      <w:spacing w:before="480" w:after="200"/>
      <w:outlineLvl w:val="0"/>
    </w:pPr>
    <w:rPr>
      <w:rFonts w:ascii="Arial" w:hAnsi="Arial" w:eastAsia="Arial" w:cs="Arial"/>
      <w:sz w:val="40"/>
      <w:szCs w:val="40"/>
    </w:rPr>
  </w:style>
  <w:style w:type="paragraph" w:styleId="809">
    <w:name w:val="Heading 2"/>
    <w:basedOn w:val="807"/>
    <w:next w:val="807"/>
    <w:link w:val="852"/>
    <w:uiPriority w:val="9"/>
    <w:unhideWhenUsed/>
    <w:qFormat/>
    <w:pPr>
      <w:keepLines/>
      <w:keepNext/>
      <w:spacing w:before="360" w:after="200"/>
      <w:outlineLvl w:val="1"/>
    </w:pPr>
    <w:rPr>
      <w:rFonts w:ascii="Arial" w:hAnsi="Arial" w:eastAsia="Arial" w:cs="Arial"/>
      <w:sz w:val="34"/>
    </w:rPr>
  </w:style>
  <w:style w:type="paragraph" w:styleId="810">
    <w:name w:val="Heading 3"/>
    <w:basedOn w:val="807"/>
    <w:next w:val="807"/>
    <w:link w:val="853"/>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07"/>
    <w:next w:val="807"/>
    <w:link w:val="854"/>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07"/>
    <w:next w:val="807"/>
    <w:link w:val="855"/>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07"/>
    <w:next w:val="807"/>
    <w:link w:val="856"/>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858"/>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859"/>
    <w:uiPriority w:val="9"/>
    <w:unhideWhenUsed/>
    <w:qFormat/>
    <w:pPr>
      <w:keepLines/>
      <w:keepNext/>
      <w:spacing w:before="320" w:after="200"/>
      <w:outlineLvl w:val="8"/>
    </w:pPr>
    <w:rPr>
      <w:rFonts w:ascii="Arial" w:hAnsi="Arial" w:eastAsia="Arial" w:cs="Arial"/>
      <w:i/>
      <w:iCs/>
      <w:sz w:val="21"/>
      <w:szCs w:val="21"/>
    </w:rPr>
  </w:style>
  <w:style w:type="character" w:styleId="817" w:default="1">
    <w:name w:val="Default Paragraph Font"/>
    <w:uiPriority w:val="1"/>
    <w:unhideWhenUsed/>
    <w:qFormat/>
  </w:style>
  <w:style w:type="table" w:styleId="818" w:default="1">
    <w:name w:val="Normal Table"/>
    <w:uiPriority w:val="99"/>
    <w:unhideWhenUsed/>
    <w:qFormat/>
    <w:tblPr>
      <w:tblCellMar>
        <w:left w:w="108" w:type="dxa"/>
        <w:top w:w="0" w:type="dxa"/>
        <w:right w:w="108" w:type="dxa"/>
        <w:bottom w:w="0" w:type="dxa"/>
      </w:tblCellMar>
    </w:tblPr>
  </w:style>
  <w:style w:type="paragraph" w:styleId="819">
    <w:name w:val="toc 7"/>
    <w:basedOn w:val="807"/>
    <w:next w:val="807"/>
    <w:uiPriority w:val="39"/>
    <w:unhideWhenUsed/>
    <w:qFormat/>
    <w:pPr>
      <w:ind w:left="1701" w:right="0" w:firstLine="0"/>
      <w:spacing w:after="57"/>
    </w:pPr>
  </w:style>
  <w:style w:type="paragraph" w:styleId="820">
    <w:name w:val="Caption"/>
    <w:basedOn w:val="807"/>
    <w:next w:val="80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21">
    <w:name w:val="annotation text"/>
    <w:basedOn w:val="807"/>
    <w:uiPriority w:val="99"/>
    <w:unhideWhenUsed/>
    <w:qFormat/>
    <w:pPr>
      <w:jc w:val="left"/>
    </w:pPr>
  </w:style>
  <w:style w:type="paragraph" w:styleId="822">
    <w:name w:val="Body Text"/>
    <w:basedOn w:val="807"/>
    <w:next w:val="823"/>
    <w:uiPriority w:val="0"/>
    <w:qFormat/>
    <w:pPr>
      <w:widowControl/>
    </w:pPr>
    <w:rPr>
      <w:rFonts w:ascii="华文中宋" w:hAnsi="Times New Roman" w:eastAsia="华文中宋" w:cs="Times New Roman"/>
      <w:bCs/>
      <w:sz w:val="28"/>
      <w:szCs w:val="21"/>
    </w:rPr>
  </w:style>
  <w:style w:type="paragraph" w:styleId="823">
    <w:name w:val="List"/>
    <w:basedOn w:val="807"/>
    <w:uiPriority w:val="99"/>
    <w:unhideWhenUsed/>
    <w:qFormat/>
    <w:pPr>
      <w:contextualSpacing/>
      <w:ind w:left="200" w:hanging="200"/>
    </w:pPr>
  </w:style>
  <w:style w:type="paragraph" w:styleId="824">
    <w:name w:val="Body Text Indent"/>
    <w:basedOn w:val="807"/>
    <w:next w:val="825"/>
    <w:uiPriority w:val="0"/>
    <w:qFormat/>
    <w:pPr>
      <w:ind w:left="156"/>
      <w:spacing w:line="300" w:lineRule="auto"/>
      <w:widowControl/>
    </w:pPr>
    <w:rPr>
      <w:rFonts w:ascii="仿宋_GB2312" w:eastAsia="仿宋_GB2312"/>
      <w:sz w:val="28"/>
      <w:szCs w:val="20"/>
    </w:rPr>
  </w:style>
  <w:style w:type="paragraph" w:styleId="825">
    <w:name w:val="envelope return"/>
    <w:basedOn w:val="807"/>
    <w:uiPriority w:val="99"/>
    <w:unhideWhenUsed/>
    <w:qFormat/>
    <w:rPr>
      <w:rFonts w:ascii="Arial" w:hAnsi="Arial"/>
    </w:rPr>
  </w:style>
  <w:style w:type="paragraph" w:styleId="826">
    <w:name w:val="index 4"/>
    <w:basedOn w:val="807"/>
    <w:next w:val="807"/>
    <w:uiPriority w:val="99"/>
    <w:qFormat/>
    <w:pPr>
      <w:ind w:left="960" w:hanging="240"/>
      <w:jc w:val="left"/>
      <w:spacing w:line="360" w:lineRule="auto"/>
    </w:pPr>
    <w:rPr>
      <w:sz w:val="20"/>
    </w:rPr>
  </w:style>
  <w:style w:type="paragraph" w:styleId="827">
    <w:name w:val="toc 5"/>
    <w:basedOn w:val="807"/>
    <w:next w:val="807"/>
    <w:uiPriority w:val="39"/>
    <w:unhideWhenUsed/>
    <w:qFormat/>
    <w:pPr>
      <w:ind w:left="1134" w:right="0" w:firstLine="0"/>
      <w:spacing w:after="57"/>
    </w:pPr>
  </w:style>
  <w:style w:type="paragraph" w:styleId="828">
    <w:name w:val="toc 3"/>
    <w:basedOn w:val="807"/>
    <w:next w:val="807"/>
    <w:uiPriority w:val="39"/>
    <w:unhideWhenUsed/>
    <w:qFormat/>
    <w:pPr>
      <w:ind w:left="567" w:right="0" w:firstLine="0"/>
      <w:spacing w:after="57"/>
    </w:pPr>
  </w:style>
  <w:style w:type="paragraph" w:styleId="829">
    <w:name w:val="toc 8"/>
    <w:basedOn w:val="807"/>
    <w:next w:val="807"/>
    <w:uiPriority w:val="39"/>
    <w:unhideWhenUsed/>
    <w:qFormat/>
    <w:pPr>
      <w:ind w:left="1984" w:right="0" w:firstLine="0"/>
      <w:spacing w:after="57"/>
    </w:pPr>
  </w:style>
  <w:style w:type="paragraph" w:styleId="830">
    <w:name w:val="endnote text"/>
    <w:basedOn w:val="807"/>
    <w:link w:val="997"/>
    <w:uiPriority w:val="99"/>
    <w:unhideWhenUsed/>
    <w:qFormat/>
    <w:pPr>
      <w:spacing w:after="0" w:line="240" w:lineRule="auto"/>
    </w:pPr>
    <w:rPr>
      <w:sz w:val="20"/>
    </w:rPr>
  </w:style>
  <w:style w:type="paragraph" w:styleId="831">
    <w:name w:val="Footer"/>
    <w:basedOn w:val="807"/>
    <w:link w:val="870"/>
    <w:uiPriority w:val="99"/>
    <w:unhideWhenUsed/>
    <w:qFormat/>
    <w:pPr>
      <w:spacing w:after="0" w:line="240" w:lineRule="auto"/>
      <w:tabs>
        <w:tab w:val="center" w:pos="7143" w:leader="none"/>
        <w:tab w:val="right" w:pos="14287" w:leader="none"/>
      </w:tabs>
    </w:pPr>
  </w:style>
  <w:style w:type="paragraph" w:styleId="832">
    <w:name w:val="Header"/>
    <w:basedOn w:val="807"/>
    <w:link w:val="868"/>
    <w:uiPriority w:val="99"/>
    <w:unhideWhenUsed/>
    <w:qFormat/>
    <w:pPr>
      <w:spacing w:after="0" w:line="240" w:lineRule="auto"/>
      <w:tabs>
        <w:tab w:val="center" w:pos="7143" w:leader="none"/>
        <w:tab w:val="right" w:pos="14287" w:leader="none"/>
      </w:tabs>
    </w:pPr>
  </w:style>
  <w:style w:type="paragraph" w:styleId="833">
    <w:name w:val="toc 1"/>
    <w:basedOn w:val="807"/>
    <w:next w:val="807"/>
    <w:uiPriority w:val="39"/>
    <w:unhideWhenUsed/>
    <w:qFormat/>
    <w:pPr>
      <w:ind w:left="0" w:right="0" w:firstLine="0"/>
      <w:spacing w:after="57"/>
    </w:pPr>
  </w:style>
  <w:style w:type="paragraph" w:styleId="834">
    <w:name w:val="toc 4"/>
    <w:basedOn w:val="807"/>
    <w:next w:val="807"/>
    <w:uiPriority w:val="39"/>
    <w:unhideWhenUsed/>
    <w:qFormat/>
    <w:pPr>
      <w:ind w:left="850" w:right="0" w:firstLine="0"/>
      <w:spacing w:after="57"/>
    </w:pPr>
  </w:style>
  <w:style w:type="paragraph" w:styleId="835">
    <w:name w:val="Subtitle"/>
    <w:basedOn w:val="807"/>
    <w:next w:val="807"/>
    <w:link w:val="863"/>
    <w:uiPriority w:val="11"/>
    <w:qFormat/>
    <w:pPr>
      <w:spacing w:before="200" w:after="200"/>
    </w:pPr>
    <w:rPr>
      <w:sz w:val="24"/>
      <w:szCs w:val="24"/>
    </w:rPr>
  </w:style>
  <w:style w:type="paragraph" w:styleId="836">
    <w:name w:val="footnote text"/>
    <w:basedOn w:val="807"/>
    <w:link w:val="996"/>
    <w:uiPriority w:val="99"/>
    <w:unhideWhenUsed/>
    <w:qFormat/>
    <w:pPr>
      <w:spacing w:after="40" w:line="240" w:lineRule="auto"/>
    </w:pPr>
    <w:rPr>
      <w:sz w:val="18"/>
    </w:rPr>
  </w:style>
  <w:style w:type="paragraph" w:styleId="837">
    <w:name w:val="toc 6"/>
    <w:basedOn w:val="807"/>
    <w:next w:val="807"/>
    <w:uiPriority w:val="39"/>
    <w:unhideWhenUsed/>
    <w:qFormat/>
    <w:pPr>
      <w:ind w:left="1417" w:right="0" w:firstLine="0"/>
      <w:spacing w:after="57"/>
    </w:pPr>
  </w:style>
  <w:style w:type="paragraph" w:styleId="838">
    <w:name w:val="table of figures"/>
    <w:basedOn w:val="807"/>
    <w:next w:val="807"/>
    <w:uiPriority w:val="99"/>
    <w:unhideWhenUsed/>
    <w:qFormat/>
    <w:pPr>
      <w:spacing w:after="0" w:afterAutospacing="0"/>
    </w:pPr>
  </w:style>
  <w:style w:type="paragraph" w:styleId="839">
    <w:name w:val="toc 2"/>
    <w:basedOn w:val="807"/>
    <w:next w:val="807"/>
    <w:uiPriority w:val="39"/>
    <w:unhideWhenUsed/>
    <w:qFormat/>
    <w:pPr>
      <w:ind w:left="283" w:right="0" w:firstLine="0"/>
      <w:spacing w:after="57"/>
    </w:pPr>
  </w:style>
  <w:style w:type="paragraph" w:styleId="840">
    <w:name w:val="toc 9"/>
    <w:basedOn w:val="807"/>
    <w:next w:val="807"/>
    <w:uiPriority w:val="39"/>
    <w:unhideWhenUsed/>
    <w:qFormat/>
    <w:pPr>
      <w:ind w:left="2268" w:right="0" w:firstLine="0"/>
      <w:spacing w:after="57"/>
    </w:pPr>
  </w:style>
  <w:style w:type="paragraph" w:styleId="841">
    <w:name w:val="Normal (Web)"/>
    <w:basedOn w:val="807"/>
    <w:uiPriority w:val="99"/>
    <w:unhideWhenUsed/>
    <w:qFormat/>
    <w:pPr>
      <w:jc w:val="left"/>
      <w:spacing w:before="100" w:beforeAutospacing="1" w:after="100" w:afterAutospacing="1"/>
    </w:pPr>
    <w:rPr>
      <w:rFonts w:ascii="Times New Roman" w:hAnsi="Times New Roman"/>
      <w:sz w:val="24"/>
    </w:rPr>
  </w:style>
  <w:style w:type="paragraph" w:styleId="842">
    <w:name w:val="Title"/>
    <w:basedOn w:val="807"/>
    <w:next w:val="807"/>
    <w:link w:val="862"/>
    <w:uiPriority w:val="10"/>
    <w:qFormat/>
    <w:pPr>
      <w:contextualSpacing/>
      <w:spacing w:before="300" w:after="200"/>
    </w:pPr>
    <w:rPr>
      <w:sz w:val="48"/>
      <w:szCs w:val="48"/>
    </w:rPr>
  </w:style>
  <w:style w:type="paragraph" w:styleId="843">
    <w:name w:val="Body Text First Indent"/>
    <w:basedOn w:val="807"/>
    <w:uiPriority w:val="0"/>
    <w:qFormat/>
    <w:pPr>
      <w:ind w:firstLine="420"/>
      <w:spacing w:after="120"/>
    </w:pPr>
    <w:rPr>
      <w:sz w:val="21"/>
      <w:szCs w:val="24"/>
    </w:rPr>
  </w:style>
  <w:style w:type="paragraph" w:styleId="844">
    <w:name w:val="Body Text First Indent 2"/>
    <w:basedOn w:val="824"/>
    <w:next w:val="807"/>
    <w:uiPriority w:val="0"/>
    <w:qFormat/>
    <w:pPr>
      <w:ind w:left="420" w:firstLine="420"/>
      <w:spacing w:after="120" w:line="240" w:lineRule="auto"/>
      <w:widowControl w:val="off"/>
    </w:pPr>
    <w:rPr>
      <w:rFonts w:ascii="Cambria" w:hAnsi="Cambria" w:eastAsia="华文细黑"/>
      <w:sz w:val="21"/>
    </w:rPr>
  </w:style>
  <w:style w:type="table" w:styleId="8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uiPriority w:val="99"/>
    <w:unhideWhenUsed/>
    <w:qFormat/>
    <w:rPr>
      <w:vertAlign w:val="superscript"/>
    </w:rPr>
  </w:style>
  <w:style w:type="character" w:styleId="847">
    <w:name w:val="Hyperlink"/>
    <w:uiPriority w:val="99"/>
    <w:unhideWhenUsed/>
    <w:qFormat/>
    <w:rPr>
      <w:color w:val="0000ff" w:themeColor="hyperlink"/>
      <w:u w:val="single"/>
      <w14:textFill>
        <w14:solidFill>
          <w14:schemeClr w14:val="hlink"/>
        </w14:solidFill>
      </w14:textFill>
    </w:rPr>
  </w:style>
  <w:style w:type="character" w:styleId="848">
    <w:name w:val="footnote reference"/>
    <w:uiPriority w:val="99"/>
    <w:unhideWhenUsed/>
    <w:qFormat/>
    <w:rPr>
      <w:vertAlign w:val="superscript"/>
    </w:rPr>
  </w:style>
  <w:style w:type="paragraph" w:styleId="849" w:customStyle="1">
    <w:name w:val="正文1"/>
    <w:basedOn w:val="807"/>
    <w:next w:val="807"/>
    <w:uiPriority w:val="99"/>
    <w:qFormat/>
    <w:pPr>
      <w:ind w:left="420" w:firstLine="527"/>
      <w:spacing w:before="120" w:line="360" w:lineRule="auto"/>
    </w:pPr>
    <w:rPr>
      <w:rFonts w:ascii="宋体" w:hAnsi="宋体"/>
    </w:rPr>
  </w:style>
  <w:style w:type="paragraph" w:styleId="850" w:customStyle="1">
    <w:name w:val="列出段落1"/>
    <w:basedOn w:val="807"/>
    <w:uiPriority w:val="99"/>
    <w:qFormat/>
    <w:pPr>
      <w:spacing w:line="400" w:lineRule="exact"/>
      <w:tabs>
        <w:tab w:val="left" w:pos="680" w:leader="none"/>
      </w:tabs>
    </w:pPr>
    <w:rPr>
      <w:rFonts w:ascii="宋体" w:hAnsi="宋体"/>
      <w:spacing w:val="-2"/>
      <w:sz w:val="24"/>
    </w:rPr>
  </w:style>
  <w:style w:type="character" w:styleId="851" w:customStyle="1">
    <w:name w:val="Heading 1 Char"/>
    <w:link w:val="808"/>
    <w:uiPriority w:val="9"/>
    <w:qFormat/>
    <w:rPr>
      <w:rFonts w:ascii="Arial" w:hAnsi="Arial" w:eastAsia="Arial" w:cs="Arial"/>
      <w:sz w:val="40"/>
      <w:szCs w:val="40"/>
    </w:rPr>
  </w:style>
  <w:style w:type="character" w:styleId="852" w:customStyle="1">
    <w:name w:val="Heading 2 Char"/>
    <w:link w:val="809"/>
    <w:uiPriority w:val="9"/>
    <w:qFormat/>
    <w:rPr>
      <w:rFonts w:ascii="Arial" w:hAnsi="Arial" w:eastAsia="Arial" w:cs="Arial"/>
      <w:sz w:val="34"/>
    </w:rPr>
  </w:style>
  <w:style w:type="character" w:styleId="853" w:customStyle="1">
    <w:name w:val="Heading 3 Char"/>
    <w:link w:val="810"/>
    <w:uiPriority w:val="9"/>
    <w:qFormat/>
    <w:rPr>
      <w:rFonts w:ascii="Arial" w:hAnsi="Arial" w:eastAsia="Arial" w:cs="Arial"/>
      <w:sz w:val="30"/>
      <w:szCs w:val="30"/>
    </w:rPr>
  </w:style>
  <w:style w:type="character" w:styleId="854" w:customStyle="1">
    <w:name w:val="Heading 4 Char"/>
    <w:link w:val="811"/>
    <w:uiPriority w:val="9"/>
    <w:qFormat/>
    <w:rPr>
      <w:rFonts w:ascii="Arial" w:hAnsi="Arial" w:eastAsia="Arial" w:cs="Arial"/>
      <w:b/>
      <w:bCs/>
      <w:sz w:val="26"/>
      <w:szCs w:val="26"/>
    </w:rPr>
  </w:style>
  <w:style w:type="character" w:styleId="855" w:customStyle="1">
    <w:name w:val="Heading 5 Char"/>
    <w:link w:val="812"/>
    <w:uiPriority w:val="9"/>
    <w:qFormat/>
    <w:rPr>
      <w:rFonts w:ascii="Arial" w:hAnsi="Arial" w:eastAsia="Arial" w:cs="Arial"/>
      <w:b/>
      <w:bCs/>
      <w:sz w:val="24"/>
      <w:szCs w:val="24"/>
    </w:rPr>
  </w:style>
  <w:style w:type="character" w:styleId="856" w:customStyle="1">
    <w:name w:val="Heading 6 Char"/>
    <w:link w:val="813"/>
    <w:uiPriority w:val="9"/>
    <w:qFormat/>
    <w:rPr>
      <w:rFonts w:ascii="Arial" w:hAnsi="Arial" w:eastAsia="Arial" w:cs="Arial"/>
      <w:b/>
      <w:bCs/>
      <w:sz w:val="22"/>
      <w:szCs w:val="22"/>
    </w:rPr>
  </w:style>
  <w:style w:type="character" w:styleId="857" w:customStyle="1">
    <w:name w:val="Heading 7 Char"/>
    <w:link w:val="814"/>
    <w:uiPriority w:val="9"/>
    <w:qFormat/>
    <w:rPr>
      <w:rFonts w:ascii="Arial" w:hAnsi="Arial" w:eastAsia="Arial" w:cs="Arial"/>
      <w:b/>
      <w:bCs/>
      <w:i/>
      <w:iCs/>
      <w:sz w:val="22"/>
      <w:szCs w:val="22"/>
    </w:rPr>
  </w:style>
  <w:style w:type="character" w:styleId="858" w:customStyle="1">
    <w:name w:val="Heading 8 Char"/>
    <w:link w:val="815"/>
    <w:uiPriority w:val="9"/>
    <w:qFormat/>
    <w:rPr>
      <w:rFonts w:ascii="Arial" w:hAnsi="Arial" w:eastAsia="Arial" w:cs="Arial"/>
      <w:i/>
      <w:iCs/>
      <w:sz w:val="22"/>
      <w:szCs w:val="22"/>
    </w:rPr>
  </w:style>
  <w:style w:type="character" w:styleId="859" w:customStyle="1">
    <w:name w:val="Heading 9 Char"/>
    <w:link w:val="816"/>
    <w:uiPriority w:val="9"/>
    <w:qFormat/>
    <w:rPr>
      <w:rFonts w:ascii="Arial" w:hAnsi="Arial" w:eastAsia="Arial" w:cs="Arial"/>
      <w:i/>
      <w:iCs/>
      <w:sz w:val="21"/>
      <w:szCs w:val="21"/>
    </w:rPr>
  </w:style>
  <w:style w:type="paragraph" w:styleId="860" w:customStyle="1">
    <w:name w:val="List Paragraph"/>
    <w:basedOn w:val="807"/>
    <w:uiPriority w:val="34"/>
    <w:qFormat/>
    <w:pPr>
      <w:contextualSpacing/>
      <w:ind w:left="720"/>
    </w:pPr>
  </w:style>
  <w:style w:type="paragraph" w:styleId="861" w:customStyle="1">
    <w:name w:val="No Spacing"/>
    <w:uiPriority w:val="1"/>
    <w:qFormat/>
    <w:pPr>
      <w:spacing w:before="0" w:after="0" w:line="240" w:lineRule="auto"/>
    </w:pPr>
    <w:rPr>
      <w:rFonts w:hint="default" w:ascii="Times New Roman" w:hAnsi="Times New Roman" w:eastAsia="宋体" w:cs="Times New Roman"/>
    </w:rPr>
  </w:style>
  <w:style w:type="character" w:styleId="862" w:customStyle="1">
    <w:name w:val="Title Char"/>
    <w:link w:val="842"/>
    <w:uiPriority w:val="10"/>
    <w:qFormat/>
    <w:rPr>
      <w:sz w:val="48"/>
      <w:szCs w:val="48"/>
    </w:rPr>
  </w:style>
  <w:style w:type="character" w:styleId="863" w:customStyle="1">
    <w:name w:val="Subtitle Char"/>
    <w:link w:val="835"/>
    <w:uiPriority w:val="11"/>
    <w:qFormat/>
    <w:rPr>
      <w:sz w:val="24"/>
      <w:szCs w:val="24"/>
    </w:rPr>
  </w:style>
  <w:style w:type="paragraph" w:styleId="864" w:customStyle="1">
    <w:name w:val="Quote"/>
    <w:basedOn w:val="807"/>
    <w:next w:val="807"/>
    <w:link w:val="865"/>
    <w:uiPriority w:val="29"/>
    <w:qFormat/>
    <w:pPr>
      <w:ind w:left="720" w:right="720"/>
    </w:pPr>
    <w:rPr>
      <w:i/>
    </w:rPr>
  </w:style>
  <w:style w:type="character" w:styleId="865" w:customStyle="1">
    <w:name w:val="Quote Char"/>
    <w:link w:val="864"/>
    <w:uiPriority w:val="29"/>
    <w:qFormat/>
    <w:rPr>
      <w:i/>
    </w:rPr>
  </w:style>
  <w:style w:type="paragraph" w:styleId="866" w:customStyle="1">
    <w:name w:val="Intense Quote"/>
    <w:basedOn w:val="807"/>
    <w:next w:val="807"/>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link w:val="866"/>
    <w:uiPriority w:val="30"/>
    <w:qFormat/>
    <w:rPr>
      <w:i/>
    </w:rPr>
  </w:style>
  <w:style w:type="character" w:styleId="868" w:customStyle="1">
    <w:name w:val="Header Char"/>
    <w:link w:val="832"/>
    <w:uiPriority w:val="99"/>
    <w:qFormat/>
  </w:style>
  <w:style w:type="character" w:styleId="869" w:customStyle="1">
    <w:name w:val="Footer Char"/>
    <w:link w:val="831"/>
    <w:uiPriority w:val="99"/>
    <w:qFormat/>
  </w:style>
  <w:style w:type="character" w:styleId="870" w:customStyle="1">
    <w:name w:val="Caption Char"/>
    <w:link w:val="831"/>
    <w:uiPriority w:val="99"/>
    <w:qFormat/>
  </w:style>
  <w:style w:type="table" w:styleId="8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link w:val="836"/>
    <w:uiPriority w:val="99"/>
    <w:qFormat/>
    <w:rPr>
      <w:sz w:val="18"/>
    </w:rPr>
  </w:style>
  <w:style w:type="character" w:styleId="997" w:customStyle="1">
    <w:name w:val="Endnote Text Char"/>
    <w:link w:val="830"/>
    <w:uiPriority w:val="99"/>
    <w:qFormat/>
    <w:rPr>
      <w:sz w:val="20"/>
    </w:r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11"/>
    <w:basedOn w:val="807"/>
    <w:next w:val="807"/>
    <w:link w:val="1011"/>
    <w:uiPriority w:val="0"/>
    <w:qFormat/>
    <w:pPr>
      <w:keepLines/>
      <w:keepNext/>
      <w:spacing w:before="340" w:beforeAutospacing="0" w:after="330" w:afterAutospacing="0" w:line="576" w:lineRule="auto"/>
      <w:outlineLvl w:val="0"/>
    </w:pPr>
    <w:rPr>
      <w:b/>
      <w:sz w:val="44"/>
    </w:rPr>
  </w:style>
  <w:style w:type="paragraph" w:styleId="1000" w:customStyle="1">
    <w:name w:val="标题 21"/>
    <w:basedOn w:val="807"/>
    <w:next w:val="807"/>
    <w:uiPriority w:val="0"/>
    <w:qFormat/>
    <w:pPr>
      <w:keepLines/>
      <w:keepNext/>
      <w:spacing w:before="260" w:beforeAutospacing="0" w:after="260" w:afterAutospacing="0" w:line="413" w:lineRule="auto"/>
      <w:outlineLvl w:val="1"/>
    </w:pPr>
    <w:rPr>
      <w:rFonts w:ascii="Arial" w:hAnsi="Arial" w:eastAsia="黑体"/>
      <w:b/>
      <w:sz w:val="32"/>
    </w:rPr>
  </w:style>
  <w:style w:type="paragraph" w:styleId="1001" w:customStyle="1">
    <w:name w:val="标题 31"/>
    <w:basedOn w:val="807"/>
    <w:next w:val="807"/>
    <w:uiPriority w:val="0"/>
    <w:qFormat/>
    <w:pPr>
      <w:keepLines/>
      <w:keepNext/>
      <w:spacing w:before="260" w:beforeAutospacing="0" w:after="260" w:afterAutospacing="0" w:line="413" w:lineRule="auto"/>
      <w:outlineLvl w:val="2"/>
    </w:pPr>
    <w:rPr>
      <w:b/>
      <w:sz w:val="32"/>
    </w:rPr>
  </w:style>
  <w:style w:type="paragraph" w:styleId="1002" w:customStyle="1">
    <w:name w:val="标题 41"/>
    <w:basedOn w:val="807"/>
    <w:next w:val="807"/>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03" w:customStyle="1">
    <w:name w:val="标题 51"/>
    <w:basedOn w:val="807"/>
    <w:next w:val="807"/>
    <w:uiPriority w:val="0"/>
    <w:qFormat/>
    <w:pPr>
      <w:keepLines/>
      <w:keepNext/>
      <w:spacing w:before="280" w:beforeAutospacing="0" w:after="290" w:afterAutospacing="0" w:line="372" w:lineRule="auto"/>
      <w:outlineLvl w:val="4"/>
    </w:pPr>
    <w:rPr>
      <w:b/>
      <w:sz w:val="28"/>
    </w:rPr>
  </w:style>
  <w:style w:type="paragraph" w:styleId="1004" w:customStyle="1">
    <w:name w:val="标题 61"/>
    <w:basedOn w:val="807"/>
    <w:next w:val="807"/>
    <w:uiPriority w:val="0"/>
    <w:qFormat/>
    <w:pPr>
      <w:keepLines/>
      <w:keepNext/>
      <w:spacing w:before="240" w:beforeAutospacing="0" w:after="64" w:afterAutospacing="0" w:line="317" w:lineRule="auto"/>
      <w:outlineLvl w:val="5"/>
    </w:pPr>
    <w:rPr>
      <w:rFonts w:ascii="Arial" w:hAnsi="Arial" w:eastAsia="黑体"/>
      <w:b/>
      <w:sz w:val="24"/>
    </w:rPr>
  </w:style>
  <w:style w:type="paragraph" w:styleId="1005" w:customStyle="1">
    <w:name w:val="标题 71"/>
    <w:basedOn w:val="807"/>
    <w:next w:val="807"/>
    <w:uiPriority w:val="0"/>
    <w:qFormat/>
    <w:pPr>
      <w:keepLines/>
      <w:keepNext/>
      <w:spacing w:before="240" w:beforeAutospacing="0" w:after="64" w:afterAutospacing="0" w:line="317" w:lineRule="auto"/>
      <w:outlineLvl w:val="6"/>
    </w:pPr>
    <w:rPr>
      <w:b/>
      <w:sz w:val="24"/>
    </w:rPr>
  </w:style>
  <w:style w:type="paragraph" w:styleId="1006" w:customStyle="1">
    <w:name w:val="标题 81"/>
    <w:basedOn w:val="807"/>
    <w:next w:val="807"/>
    <w:uiPriority w:val="0"/>
    <w:qFormat/>
    <w:pPr>
      <w:keepLines/>
      <w:keepNext/>
      <w:spacing w:before="240" w:beforeAutospacing="0" w:after="64" w:afterAutospacing="0" w:line="317" w:lineRule="auto"/>
      <w:outlineLvl w:val="7"/>
    </w:pPr>
    <w:rPr>
      <w:rFonts w:ascii="Arial" w:hAnsi="Arial" w:eastAsia="黑体"/>
      <w:sz w:val="24"/>
    </w:rPr>
  </w:style>
  <w:style w:type="paragraph" w:styleId="1007" w:customStyle="1">
    <w:name w:val="标题 91"/>
    <w:basedOn w:val="807"/>
    <w:next w:val="807"/>
    <w:uiPriority w:val="0"/>
    <w:qFormat/>
    <w:pPr>
      <w:keepLines/>
      <w:keepNext/>
      <w:spacing w:before="240" w:beforeAutospacing="0" w:after="64" w:afterAutospacing="0" w:line="317" w:lineRule="auto"/>
      <w:outlineLvl w:val="8"/>
    </w:pPr>
    <w:rPr>
      <w:rFonts w:ascii="Arial" w:hAnsi="Arial" w:eastAsia="黑体"/>
      <w:sz w:val="21"/>
    </w:rPr>
  </w:style>
  <w:style w:type="character" w:styleId="1008" w:customStyle="1">
    <w:name w:val="默认段落字体1"/>
    <w:link w:val="807"/>
    <w:uiPriority w:val="0"/>
    <w:qFormat/>
  </w:style>
  <w:style w:type="table" w:styleId="1009" w:customStyle="1">
    <w:name w:val="普通表格1"/>
    <w:uiPriority w:val="0"/>
    <w:semiHidden/>
    <w:qFormat/>
    <w:tblPr/>
  </w:style>
  <w:style w:type="paragraph" w:styleId="1010" w:customStyle="1">
    <w:name w:val="列表项目符号 21"/>
    <w:basedOn w:val="807"/>
    <w:uiPriority w:val="0"/>
    <w:qFormat/>
    <w:pPr>
      <w:numPr>
        <w:ilvl w:val="0"/>
        <w:numId w:val="1"/>
      </w:numPr>
    </w:pPr>
  </w:style>
  <w:style w:type="character" w:styleId="1011" w:customStyle="1">
    <w:name w:val="标题 1 Char"/>
    <w:link w:val="999"/>
    <w:uiPriority w:val="0"/>
    <w:qFormat/>
    <w:rPr>
      <w:b/>
      <w:sz w:val="44"/>
    </w:rPr>
  </w:style>
  <w:style w:type="paragraph" w:styleId="1012" w:customStyle="1">
    <w:name w:val="批注文字1"/>
    <w:basedOn w:val="807"/>
    <w:uiPriority w:val="0"/>
    <w:qFormat/>
    <w:pPr>
      <w:jc w:val="left"/>
    </w:pPr>
  </w:style>
  <w:style w:type="paragraph" w:styleId="1013" w:customStyle="1">
    <w:name w:val="正文文本12"/>
    <w:basedOn w:val="807"/>
    <w:next w:val="1014"/>
    <w:uiPriority w:val="0"/>
    <w:qFormat/>
    <w:rPr>
      <w:rFonts w:cs="Times New Roman"/>
      <w:sz w:val="20"/>
      <w:szCs w:val="20"/>
    </w:rPr>
  </w:style>
  <w:style w:type="paragraph" w:styleId="1014" w:customStyle="1">
    <w:name w:val="正文首行缩进1"/>
    <w:basedOn w:val="1013"/>
    <w:uiPriority w:val="0"/>
    <w:unhideWhenUsed/>
    <w:qFormat/>
    <w:pPr>
      <w:ind w:firstLine="420"/>
    </w:pPr>
  </w:style>
  <w:style w:type="paragraph" w:styleId="1015" w:customStyle="1">
    <w:name w:val="正文文本缩进1"/>
    <w:basedOn w:val="807"/>
    <w:uiPriority w:val="0"/>
    <w:qFormat/>
    <w:pPr>
      <w:ind w:left="420" w:firstLine="1124"/>
      <w:spacing w:after="120" w:line="360" w:lineRule="auto"/>
    </w:pPr>
    <w:rPr>
      <w:rFonts w:ascii="Calibri" w:hAnsi="Calibri"/>
      <w:sz w:val="24"/>
      <w:szCs w:val="24"/>
    </w:rPr>
  </w:style>
  <w:style w:type="paragraph" w:styleId="1016" w:customStyle="1">
    <w:name w:val="纯文本11"/>
    <w:basedOn w:val="807"/>
    <w:link w:val="1017"/>
    <w:uiPriority w:val="0"/>
    <w:qFormat/>
    <w:rPr>
      <w:rFonts w:ascii="宋体" w:hAnsi="Courier New"/>
    </w:rPr>
  </w:style>
  <w:style w:type="character" w:styleId="1017" w:customStyle="1">
    <w:name w:val="纯文本 Char"/>
    <w:link w:val="1016"/>
    <w:uiPriority w:val="0"/>
    <w:qFormat/>
    <w:rPr>
      <w:rFonts w:ascii="宋体" w:hAnsi="Courier New"/>
      <w:sz w:val="21"/>
    </w:rPr>
  </w:style>
  <w:style w:type="paragraph" w:styleId="1018" w:customStyle="1">
    <w:name w:val="批注框文本1"/>
    <w:basedOn w:val="807"/>
    <w:uiPriority w:val="0"/>
    <w:semiHidden/>
    <w:qFormat/>
    <w:rPr>
      <w:sz w:val="18"/>
      <w:szCs w:val="18"/>
    </w:rPr>
  </w:style>
  <w:style w:type="paragraph" w:styleId="1019" w:customStyle="1">
    <w:name w:val="页脚1"/>
    <w:basedOn w:val="807"/>
    <w:uiPriority w:val="0"/>
    <w:qFormat/>
    <w:pPr>
      <w:jc w:val="left"/>
      <w:tabs>
        <w:tab w:val="center" w:pos="4153" w:leader="none"/>
        <w:tab w:val="right" w:pos="8306" w:leader="none"/>
      </w:tabs>
    </w:pPr>
    <w:rPr>
      <w:sz w:val="18"/>
    </w:rPr>
  </w:style>
  <w:style w:type="paragraph" w:styleId="1020" w:customStyle="1">
    <w:name w:val="页眉1"/>
    <w:basedOn w:val="80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21" w:customStyle="1">
    <w:name w:val="目录 11"/>
    <w:basedOn w:val="807"/>
    <w:next w:val="807"/>
    <w:uiPriority w:val="0"/>
    <w:qFormat/>
  </w:style>
  <w:style w:type="paragraph" w:styleId="1022" w:customStyle="1">
    <w:name w:val="正文文本缩进 31"/>
    <w:basedOn w:val="807"/>
    <w:uiPriority w:val="0"/>
    <w:qFormat/>
    <w:pPr>
      <w:ind w:left="420"/>
      <w:jc w:val="left"/>
      <w:spacing w:after="120"/>
      <w:widowControl/>
    </w:pPr>
    <w:rPr>
      <w:sz w:val="16"/>
      <w:szCs w:val="16"/>
    </w:rPr>
  </w:style>
  <w:style w:type="paragraph" w:styleId="1023" w:customStyle="1">
    <w:name w:val="目录 21"/>
    <w:basedOn w:val="807"/>
    <w:next w:val="807"/>
    <w:uiPriority w:val="0"/>
    <w:qFormat/>
    <w:pPr>
      <w:ind w:left="420"/>
    </w:pPr>
  </w:style>
  <w:style w:type="paragraph" w:styleId="1024" w:customStyle="1">
    <w:name w:val="正文文本 21"/>
    <w:basedOn w:val="807"/>
    <w:link w:val="1025"/>
    <w:uiPriority w:val="0"/>
    <w:qFormat/>
    <w:pPr>
      <w:spacing w:after="120" w:line="480" w:lineRule="auto"/>
    </w:pPr>
    <w:rPr>
      <w:rFonts w:cs="Times New Roman"/>
      <w:sz w:val="20"/>
      <w:szCs w:val="20"/>
    </w:rPr>
  </w:style>
  <w:style w:type="character" w:styleId="1025" w:customStyle="1">
    <w:name w:val="正文文本 2 Char"/>
    <w:link w:val="1024"/>
    <w:uiPriority w:val="0"/>
    <w:qFormat/>
  </w:style>
  <w:style w:type="paragraph" w:styleId="1026" w:customStyle="1">
    <w:name w:val="普通(网站)1"/>
    <w:basedOn w:val="807"/>
    <w:uiPriority w:val="0"/>
    <w:qFormat/>
    <w:pPr>
      <w:ind w:left="0" w:right="0"/>
      <w:jc w:val="left"/>
      <w:spacing w:before="100" w:beforeAutospacing="1" w:after="100" w:afterAutospacing="1"/>
    </w:pPr>
    <w:rPr>
      <w:sz w:val="24"/>
      <w:lang w:val="en-US" w:eastAsia="zh-CN" w:bidi="ar"/>
    </w:rPr>
  </w:style>
  <w:style w:type="paragraph" w:styleId="1027" w:customStyle="1">
    <w:name w:val="正文首行缩进 21"/>
    <w:basedOn w:val="1015"/>
    <w:uiPriority w:val="0"/>
    <w:qFormat/>
    <w:pPr>
      <w:ind w:firstLine="420"/>
      <w:spacing w:line="240" w:lineRule="auto"/>
    </w:pPr>
  </w:style>
  <w:style w:type="table" w:styleId="1028" w:customStyle="1">
    <w:name w:val="网格型1"/>
    <w:basedOn w:val="1009"/>
    <w:uiPriority w:val="0"/>
    <w:qFormat/>
    <w:pPr>
      <w:jc w:val="both"/>
      <w:widowControl w:val="off"/>
    </w:pPr>
    <w:tblPr/>
  </w:style>
  <w:style w:type="character" w:styleId="1029" w:customStyle="1">
    <w:name w:val="页码1"/>
    <w:link w:val="807"/>
    <w:uiPriority w:val="0"/>
    <w:qFormat/>
  </w:style>
  <w:style w:type="character" w:styleId="1030" w:customStyle="1">
    <w:name w:val="已访问的超链接1"/>
    <w:link w:val="807"/>
    <w:uiPriority w:val="0"/>
    <w:qFormat/>
    <w:rPr>
      <w:color w:val="000000"/>
      <w:u w:val="none"/>
    </w:rPr>
  </w:style>
  <w:style w:type="paragraph" w:styleId="1031" w:customStyle="1">
    <w:name w:val="正文文本11"/>
    <w:basedOn w:val="807"/>
    <w:next w:val="807"/>
    <w:uiPriority w:val="0"/>
    <w:qFormat/>
    <w:rPr>
      <w:sz w:val="20"/>
    </w:rPr>
  </w:style>
  <w:style w:type="character" w:styleId="1032" w:customStyle="1">
    <w:name w:val="font01"/>
    <w:link w:val="807"/>
    <w:uiPriority w:val="0"/>
    <w:qFormat/>
    <w:rPr>
      <w:rFonts w:ascii="Calibri" w:hAnsi="Calibri" w:cs="Calibri"/>
      <w:color w:val="000000"/>
      <w:sz w:val="20"/>
      <w:szCs w:val="20"/>
      <w:u w:val="none"/>
    </w:rPr>
  </w:style>
  <w:style w:type="character" w:styleId="1033" w:customStyle="1">
    <w:name w:val="font51"/>
    <w:link w:val="807"/>
    <w:uiPriority w:val="0"/>
    <w:qFormat/>
    <w:rPr>
      <w:rFonts w:hint="eastAsia" w:ascii="宋体" w:hAnsi="宋体" w:eastAsia="宋体" w:cs="宋体"/>
      <w:color w:val="000000"/>
      <w:sz w:val="20"/>
      <w:szCs w:val="20"/>
      <w:u w:val="none"/>
    </w:rPr>
  </w:style>
  <w:style w:type="paragraph" w:styleId="103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3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6" w:customStyle="1">
    <w:name w:val="Default Paragraph Font Para Char"/>
    <w:basedOn w:val="807"/>
    <w:uiPriority w:val="0"/>
    <w:qFormat/>
    <w:pPr>
      <w:jc w:val="left"/>
      <w:spacing w:after="160" w:line="240" w:lineRule="exact"/>
      <w:widowControl/>
    </w:pPr>
  </w:style>
  <w:style w:type="paragraph" w:styleId="1037" w:customStyle="1">
    <w:name w:val="正文缩进1"/>
    <w:basedOn w:val="807"/>
    <w:uiPriority w:val="0"/>
    <w:qFormat/>
    <w:pPr>
      <w:ind w:firstLine="420"/>
      <w:jc w:val="left"/>
    </w:pPr>
    <w:rPr>
      <w:rFonts w:ascii="宋体" w:hAnsi="Calibri" w:eastAsia="宋体" w:cs="Times New Roman"/>
      <w:sz w:val="24"/>
      <w:szCs w:val="22"/>
    </w:rPr>
  </w:style>
  <w:style w:type="paragraph" w:styleId="1038" w:customStyle="1">
    <w:name w:val="索引 11"/>
    <w:basedOn w:val="807"/>
    <w:next w:val="807"/>
    <w:uiPriority w:val="0"/>
    <w:qFormat/>
    <w:pPr>
      <w:spacing w:line="360" w:lineRule="auto"/>
    </w:pPr>
    <w:rPr>
      <w:rFonts w:ascii="仿宋_GB2312" w:eastAsia="仿宋_GB2312"/>
      <w:sz w:val="24"/>
      <w:szCs w:val="20"/>
    </w:rPr>
  </w:style>
  <w:style w:type="paragraph" w:styleId="1039" w:customStyle="1">
    <w:name w:val="列出段落"/>
    <w:basedOn w:val="807"/>
    <w:uiPriority w:val="0"/>
    <w:qFormat/>
    <w:pPr>
      <w:ind w:firstLine="420"/>
    </w:pPr>
    <w:rPr>
      <w:sz w:val="21"/>
    </w:rPr>
  </w:style>
  <w:style w:type="paragraph" w:styleId="1040" w:customStyle="1">
    <w:name w:val="普通文字"/>
    <w:basedOn w:val="807"/>
    <w:next w:val="807"/>
    <w:uiPriority w:val="0"/>
    <w:qFormat/>
    <w:rPr>
      <w:rFonts w:ascii="宋体"/>
      <w:sz w:val="24"/>
    </w:rPr>
  </w:style>
  <w:style w:type="paragraph" w:styleId="1041" w:customStyle="1">
    <w:name w:val="纯文本1"/>
    <w:basedOn w:val="807"/>
    <w:uiPriority w:val="0"/>
    <w:qFormat/>
    <w:rPr>
      <w:rFonts w:ascii="宋体" w:hAnsi="Courier New" w:eastAsia="宋体" w:cs="Times New Roman"/>
      <w:szCs w:val="22"/>
    </w:rPr>
  </w:style>
  <w:style w:type="paragraph" w:styleId="1042" w:customStyle="1">
    <w:name w:val="正文文本1"/>
    <w:basedOn w:val="807"/>
    <w:uiPriority w:val="0"/>
    <w:qFormat/>
    <w:rPr>
      <w:rFonts w:cs="Times New Roman"/>
      <w:sz w:val="20"/>
      <w:szCs w:val="20"/>
    </w:rPr>
  </w:style>
  <w:style w:type="paragraph" w:styleId="1043" w:customStyle="1">
    <w:name w:val="正文文本首行缩进"/>
    <w:basedOn w:val="1042"/>
    <w:uiPriority w:val="0"/>
    <w:qFormat/>
    <w:pPr>
      <w:ind w:firstLine="420"/>
      <w:spacing w:after="120"/>
      <w:tabs>
        <w:tab w:val="left" w:pos="2020" w:leader="none"/>
        <w:tab w:val="center" w:pos="4535" w:leader="none"/>
      </w:tabs>
    </w:pPr>
    <w:rPr>
      <w:rFonts w:ascii="Times New Roman"/>
      <w:sz w:val="21"/>
    </w:rPr>
  </w:style>
  <w:style w:type="paragraph" w:styleId="1044" w:customStyle="1">
    <w:name w:val="Fließtext"/>
    <w:basedOn w:val="807"/>
    <w:uiPriority w:val="0"/>
    <w:qFormat/>
    <w:rPr>
      <w:rFonts w:ascii="Calibri" w:hAnsi="Calibri" w:eastAsia="宋体" w:cs="Times New Roman"/>
      <w:szCs w:val="20"/>
    </w:rPr>
  </w:style>
  <w:style w:type="paragraph" w:styleId="1045" w:customStyle="1">
    <w:name w:val="Table Text"/>
    <w:basedOn w:val="807"/>
    <w:uiPriority w:val="0"/>
    <w:semiHidden/>
    <w:qFormat/>
    <w:rPr>
      <w:rFonts w:ascii="宋体" w:hAnsi="宋体" w:eastAsia="宋体" w:cs="宋体"/>
      <w:sz w:val="24"/>
      <w:szCs w:val="24"/>
      <w:lang w:val="en-US" w:eastAsia="en-US" w:bidi="ar-SA"/>
    </w:rPr>
  </w:style>
  <w:style w:type="table" w:styleId="1046" w:customStyle="1">
    <w:name w:val="Table Normal"/>
    <w:uiPriority w:val="0"/>
    <w:unhideWhenUsed/>
    <w:qFormat/>
    <w:tblPr>
      <w:tblCellMar>
        <w:left w:w="0" w:type="dxa"/>
        <w:top w:w="0" w:type="dxa"/>
        <w:right w:w="0" w:type="dxa"/>
        <w:bottom w:w="0" w:type="dxa"/>
      </w:tblCellMar>
    </w:tblPr>
  </w:style>
  <w:style w:type="character" w:styleId="1047" w:customStyle="1">
    <w:name w:val="font11"/>
    <w:basedOn w:val="817"/>
    <w:uiPriority w:val="0"/>
    <w:qFormat/>
    <w:rPr>
      <w:rFonts w:hint="eastAsia" w:ascii="宋体" w:hAnsi="宋体" w:eastAsia="宋体" w:cs="宋体"/>
      <w:color w:val="000000"/>
      <w:sz w:val="28"/>
      <w:szCs w:val="28"/>
      <w:u w:val="none"/>
    </w:rPr>
  </w:style>
  <w:style w:type="character" w:styleId="1048" w:customStyle="1">
    <w:name w:val="font71"/>
    <w:basedOn w:val="817"/>
    <w:uiPriority w:val="0"/>
    <w:qFormat/>
    <w:rPr>
      <w:rFonts w:hint="eastAsia" w:ascii="宋体" w:hAnsi="宋体" w:eastAsia="宋体" w:cs="宋体"/>
      <w:b/>
      <w:bCs/>
      <w:color w:val="c00000"/>
      <w:sz w:val="28"/>
      <w:szCs w:val="28"/>
      <w:u w:val="none"/>
    </w:rPr>
  </w:style>
  <w:style w:type="character" w:styleId="1049" w:customStyle="1">
    <w:name w:val="font81"/>
    <w:basedOn w:val="817"/>
    <w:uiPriority w:val="0"/>
    <w:qFormat/>
    <w:rPr>
      <w:rFonts w:hint="eastAsia" w:ascii="宋体" w:hAnsi="宋体" w:eastAsia="宋体" w:cs="宋体"/>
      <w:b/>
      <w:bCs/>
      <w:color w:val="000000"/>
      <w:sz w:val="28"/>
      <w:szCs w:val="28"/>
      <w:u w:val="none"/>
    </w:rPr>
  </w:style>
  <w:style w:type="character" w:styleId="1050" w:customStyle="1">
    <w:name w:val="font101"/>
    <w:basedOn w:val="817"/>
    <w:uiPriority w:val="0"/>
    <w:qFormat/>
    <w:rPr>
      <w:rFonts w:hint="eastAsia" w:ascii="宋体" w:hAnsi="宋体" w:eastAsia="宋体" w:cs="宋体"/>
      <w:color w:val="c00000"/>
      <w:sz w:val="28"/>
      <w:szCs w:val="28"/>
      <w:u w:val="none"/>
    </w:rPr>
  </w:style>
  <w:style w:type="character" w:styleId="1051" w:customStyle="1">
    <w:name w:val="font61"/>
    <w:basedOn w:val="817"/>
    <w:uiPriority w:val="0"/>
    <w:qFormat/>
    <w:rPr>
      <w:rFonts w:hint="eastAsia" w:ascii="宋体" w:hAnsi="宋体" w:eastAsia="宋体" w:cs="宋体"/>
      <w:color w:val="000000"/>
      <w:sz w:val="28"/>
      <w:szCs w:val="28"/>
      <w:u w:val="none"/>
    </w:rPr>
  </w:style>
  <w:style w:type="character" w:styleId="1052" w:customStyle="1">
    <w:name w:val="font121"/>
    <w:basedOn w:val="817"/>
    <w:uiPriority w:val="0"/>
    <w:qFormat/>
    <w:rPr>
      <w:rFonts w:hint="eastAsia" w:ascii="宋体" w:hAnsi="宋体" w:eastAsia="宋体" w:cs="宋体"/>
      <w:b/>
      <w:bCs/>
      <w:color w:val="000000"/>
      <w:sz w:val="28"/>
      <w:szCs w:val="28"/>
      <w:u w:val="none"/>
    </w:rPr>
  </w:style>
  <w:style w:type="character" w:styleId="1053" w:customStyle="1">
    <w:name w:val="font131"/>
    <w:basedOn w:val="817"/>
    <w:uiPriority w:val="0"/>
    <w:qFormat/>
    <w:rPr>
      <w:rFonts w:hint="eastAsia" w:ascii="宋体" w:hAnsi="宋体" w:eastAsia="宋体" w:cs="宋体"/>
      <w:color w:val="ff0000"/>
      <w:sz w:val="28"/>
      <w:szCs w:val="28"/>
      <w:u w:val="none"/>
    </w:rPr>
  </w:style>
  <w:style w:type="paragraph" w:styleId="1054"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numbering" w:styleId="102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中达</cp:lastModifiedBy>
  <cp:revision>12</cp:revision>
  <dcterms:created xsi:type="dcterms:W3CDTF">2015-07-01T02:07:00Z</dcterms:created>
  <dcterms:modified xsi:type="dcterms:W3CDTF">2026-05-06T02:07:27Z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C5F44A0B7FF44298A8E27812D1A2A28E_13</vt:lpwstr>
  </property>
  <property fmtid="{D5CDD505-2E9C-101B-9397-08002B2CF9AE}" pid="4" name="KSOTemplateDocerSaveRecord">
    <vt:lpwstr>eyJoZGlkIjoiYzJhZWE2YmJiYzhjOGY2YTMzOWFlMTZhNzBhZDk0MjQiLCJ1c2VySWQiOiIyOTIxNjQxOTMifQ==</vt:lpwstr>
  </property>
</Properties>
</file>