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45"/>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45"/>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Cs/>
          <w:color w:val="000000"/>
          <w:sz w:val="21"/>
          <w:szCs w:val="21"/>
          <w:highlight w:val="none"/>
        </w:rPr>
      </w:r>
      <w:r/>
    </w:p>
    <w:p>
      <w:pPr>
        <w:pStyle w:val="94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5"/>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苏州碑刻博物馆（苏州文庙管理所）</w:t>
      </w:r>
      <w:r>
        <w:rPr>
          <w:rFonts w:hint="eastAsia" w:ascii="宋体" w:hAnsi="宋体" w:eastAsia="宋体" w:cs="宋体"/>
          <w:bCs/>
          <w:color w:val="000000"/>
          <w:sz w:val="30"/>
          <w:szCs w:val="30"/>
          <w:highlight w:val="none"/>
          <w:lang w:eastAsia="zh-CN"/>
        </w:rPr>
      </w:r>
      <w:r/>
    </w:p>
    <w:p>
      <w:pPr>
        <w:pStyle w:val="945"/>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eastAsia="宋体" w:cs="宋体"/>
          <w:bCs/>
          <w:color w:val="000000"/>
          <w:sz w:val="30"/>
          <w:szCs w:val="30"/>
          <w:highlight w:val="none"/>
          <w:lang w:eastAsia="zh-CN"/>
        </w:rPr>
        <w:t xml:space="preserve">JSZC-320500-SZZJ-C2026-0019</w:t>
      </w:r>
      <w:r>
        <w:rPr>
          <w:rFonts w:hint="eastAsia" w:ascii="宋体" w:hAnsi="宋体" w:eastAsia="宋体" w:cs="宋体"/>
          <w:bCs/>
          <w:color w:val="000000"/>
          <w:sz w:val="30"/>
          <w:szCs w:val="30"/>
          <w:highlight w:val="none"/>
          <w:lang w:eastAsia="zh-CN"/>
        </w:rPr>
      </w:r>
      <w:r/>
    </w:p>
    <w:p>
      <w:pPr>
        <w:pStyle w:val="945"/>
        <w:ind w:firstLine="1500"/>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eastAsia="宋体" w:cs="宋体"/>
          <w:bCs/>
          <w:color w:val="000000"/>
          <w:sz w:val="30"/>
          <w:szCs w:val="30"/>
          <w:highlight w:val="none"/>
          <w:lang w:eastAsia="zh-CN"/>
        </w:rPr>
        <w:t xml:space="preserve">苏州文庙碑刻文物保护(2026年度）</w:t>
      </w:r>
      <w:r>
        <w:rPr>
          <w:rFonts w:hint="eastAsia" w:ascii="宋体" w:hAnsi="宋体" w:eastAsia="宋体" w:cs="宋体"/>
          <w:bCs/>
          <w:color w:val="000000"/>
          <w:sz w:val="30"/>
          <w:szCs w:val="30"/>
          <w:highlight w:val="none"/>
          <w:lang w:eastAsia="zh-CN"/>
        </w:rPr>
      </w:r>
      <w:r/>
    </w:p>
    <w:p>
      <w:pPr>
        <w:pStyle w:val="945"/>
        <w:ind w:firstLine="15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采购类别：服务类</w:t>
      </w: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2026年</w:t>
      </w:r>
      <w:r>
        <w:rPr>
          <w:rFonts w:hint="eastAsia" w:ascii="宋体" w:hAnsi="宋体" w:eastAsia="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
          <w:color w:val="000000"/>
          <w:sz w:val="32"/>
          <w:szCs w:val="32"/>
          <w:highlight w:val="none"/>
        </w:rPr>
        <w:sectPr>
          <w:headerReference w:type="default" r:id="rId9"/>
          <w:headerReference w:type="even" r:id="rId10"/>
          <w:footerReference w:type="default" r:id="rId11"/>
          <w:footerReference w:type="even" r:id="rId12"/>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highlight w:val="none"/>
        </w:rPr>
      </w:r>
      <w:r/>
    </w:p>
    <w:p>
      <w:pPr>
        <w:pStyle w:val="969"/>
        <w:ind w:firstLine="0"/>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969"/>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评审方法及评审标准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6"/>
        <w:jc w:val="center"/>
        <w:spacing w:line="360" w:lineRule="auto"/>
        <w:rPr>
          <w:rFonts w:hint="eastAsia" w:ascii="宋体" w:hAnsi="宋体" w:eastAsia="宋体" w:cs="宋体"/>
          <w:b w:val="0"/>
          <w:bCs/>
          <w:color w:val="000000"/>
          <w:sz w:val="52"/>
          <w:szCs w:val="52"/>
          <w:highlight w:val="none"/>
        </w:rPr>
        <w:sectPr>
          <w:footerReference w:type="default" r:id="rId13"/>
          <w:footerReference w:type="first" r:id="rId14"/>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45"/>
        <w:ind w:firstLine="482"/>
        <w:jc w:val="center"/>
        <w:spacing w:line="360" w:lineRule="auto"/>
        <w:rPr>
          <w:rFonts w:hint="eastAsia" w:ascii="宋体" w:hAnsi="宋体" w:eastAsia="宋体" w:cs="宋体"/>
          <w:b/>
          <w:color w:val="000000"/>
          <w:sz w:val="24"/>
          <w:szCs w:val="24"/>
          <w:highlight w:val="none"/>
        </w:rPr>
      </w:pPr>
      <w:r/>
      <w:bookmarkEnd w:id="1"/>
      <w:r>
        <w:rPr>
          <w:rFonts w:hint="eastAsia" w:ascii="宋体" w:hAnsi="宋体" w:eastAsia="宋体" w:cs="宋体"/>
          <w:b/>
          <w:color w:val="000000"/>
          <w:sz w:val="24"/>
          <w:szCs w:val="24"/>
          <w:highlight w:val="none"/>
        </w:rPr>
        <w:t xml:space="preserve">第一章 竞争性磋商邀请函</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苏州碑刻博物馆（苏州文庙管理所）</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苏州文庙碑刻文物保护(2026年度）</w:t>
      </w:r>
      <w:r>
        <w:rPr>
          <w:rFonts w:hint="eastAsia" w:ascii="宋体" w:hAnsi="宋体" w:eastAsia="宋体" w:cs="宋体"/>
          <w:color w:val="000000"/>
          <w:sz w:val="24"/>
          <w:szCs w:val="24"/>
          <w:highlight w:val="none"/>
        </w:rPr>
        <w:t xml:space="preserve">项目以竞争性磋商方式组织政府采购，欢迎符合条件的供应商参加。</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JSZC-320500-SZZJ-C2026-0019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苏州文庙碑刻文物保护(2026年度）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36</w:t>
      </w:r>
      <w:r>
        <w:rPr>
          <w:rFonts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0000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36</w:t>
      </w:r>
      <w:r>
        <w:rPr>
          <w:rFonts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0000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苏州文庙碑刻文物保护(2026年度）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color w:val="000000"/>
          <w:sz w:val="24"/>
          <w:szCs w:val="24"/>
          <w:highlight w:val="none"/>
          <w:lang w:val="en-US" w:eastAsia="zh-CN"/>
        </w:rPr>
        <w:t xml:space="preserve">本项目保护内容主要包括：</w:t>
      </w:r>
      <w:r>
        <w:rPr>
          <w:rFonts w:hint="eastAsia" w:ascii="宋体" w:hAnsi="宋体" w:eastAsia="宋体" w:cs="Times New Roman"/>
          <w:bCs/>
          <w:color w:val="000000"/>
          <w:sz w:val="24"/>
          <w:szCs w:val="24"/>
          <w:highlight w:val="none"/>
        </w:rPr>
        <w:t xml:space="preserve">碑刻文物安全风险现状评估服务、文物清洁除尘服务、碑墙修复与环境整治服务、专业碑刻智能防护服务、碑刻环境监测服务</w:t>
      </w:r>
      <w:r>
        <w:rPr>
          <w:rFonts w:hint="eastAsia" w:ascii="宋体" w:hAnsi="宋体" w:eastAsia="宋体" w:cs="Times New Roman"/>
          <w:bCs/>
          <w:color w:val="000000"/>
          <w:sz w:val="24"/>
          <w:szCs w:val="24"/>
          <w:highlight w:val="none"/>
          <w:lang w:val="en-US" w:eastAsia="zh-CN" w:bidi="ar-SA"/>
        </w:rPr>
        <w:t xml:space="preserve">等</w:t>
      </w:r>
      <w:r>
        <w:rPr>
          <w:rFonts w:hint="eastAsia" w:ascii="宋体" w:hAnsi="宋体" w:eastAsia="宋体" w:cs="Times New Roman"/>
          <w:bCs/>
          <w:color w:val="000000"/>
          <w:sz w:val="24"/>
          <w:szCs w:val="24"/>
          <w:highlight w:val="none"/>
        </w:rPr>
        <w:t xml:space="preserve">。</w:t>
      </w:r>
      <w:r>
        <w:rPr>
          <w:rFonts w:hint="eastAsia" w:ascii="宋体" w:hAnsi="宋体" w:eastAsia="宋体" w:cs="宋体"/>
          <w:bCs/>
          <w:color w:val="000000"/>
          <w:sz w:val="24"/>
          <w:szCs w:val="24"/>
          <w:highlight w:val="none"/>
        </w:rPr>
        <w:t xml:space="preserve">具体详见采购文件采购需求。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8"/>
          <w:highlight w:val="none"/>
          <w:lang w:eastAsia="zh-CN"/>
        </w:rPr>
        <w:t xml:space="preserve">在2026年</w:t>
      </w:r>
      <w:r>
        <w:rPr>
          <w:rFonts w:hint="eastAsia" w:ascii="宋体" w:hAnsi="宋体" w:eastAsia="宋体" w:cs="宋体"/>
          <w:color w:val="000000"/>
          <w:sz w:val="24"/>
          <w:szCs w:val="28"/>
          <w:highlight w:val="none"/>
          <w:lang w:val="en-US" w:eastAsia="zh-CN"/>
        </w:rPr>
        <w:t xml:space="preserve">10</w:t>
      </w:r>
      <w:r>
        <w:rPr>
          <w:rFonts w:hint="eastAsia" w:ascii="宋体" w:hAnsi="宋体" w:eastAsia="宋体" w:cs="宋体"/>
          <w:color w:val="000000"/>
          <w:sz w:val="24"/>
          <w:szCs w:val="28"/>
          <w:highlight w:val="none"/>
          <w:lang w:eastAsia="zh-CN"/>
        </w:rPr>
        <w:t xml:space="preserve">月1</w:t>
      </w: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lang w:eastAsia="zh-CN"/>
        </w:rPr>
        <w:t xml:space="preserve">日前完成全部采购内容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根据《政府采购促进中小企业发展管理办法》的相关规定，本项目专门面向中小企业，所属行业为其他未列明行业，供应商应为中小微企业、监狱企业、残疾人福利性单位。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地点：“苏采云”系统自行下载采购文件。</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（3）电子投标准备：</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注册咨询：13914088964；</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b/>
          <w:bCs/>
          <w:color w:val="000000"/>
          <w:sz w:val="24"/>
          <w:szCs w:val="24"/>
          <w:highlight w:val="none"/>
        </w:rPr>
        <w:t xml:space="preserve">2026年5</w:t>
      </w:r>
      <w:r>
        <w:rPr>
          <w:rFonts w:hint="eastAsia" w:ascii="宋体" w:hAnsi="宋体" w:eastAsia="宋体" w:cs="宋体"/>
          <w:b/>
          <w:bCs/>
          <w:color w:val="000000"/>
          <w:sz w:val="24"/>
          <w:szCs w:val="24"/>
          <w:highlight w:val="none"/>
        </w:rPr>
        <w:t xml:space="preserve">月27</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w:t>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"http://jszfcg.jsczt.cn/）\“开标大厅\”。"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24"/>
          <w:highlight w:val="none"/>
        </w:rPr>
        <w:t xml:space="preserve">http：//jszfcg.jsczt.cn/）。</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3、方式：响应文件网上递交，不需要现场参加采购活动。</w:t>
      </w:r>
      <w:r>
        <w:rPr>
          <w:rFonts w:hint="eastAsia" w:ascii="宋体" w:hAnsi="宋体" w:eastAsia="宋体" w:cs="宋体"/>
          <w:color w:val="000000"/>
          <w:szCs w:val="24"/>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五、开启</w:t>
      </w:r>
      <w:r>
        <w:rPr>
          <w:rFonts w:hint="eastAsia" w:ascii="宋体" w:hAnsi="宋体" w:eastAsia="宋体" w:cs="宋体"/>
          <w:b/>
          <w:color w:val="000000"/>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rPr>
        <w:t xml:space="preserve">2026年5</w:t>
      </w:r>
      <w:r>
        <w:rPr>
          <w:rFonts w:hint="eastAsia" w:ascii="宋体" w:hAnsi="宋体" w:eastAsia="宋体" w:cs="宋体"/>
          <w:b/>
          <w:bCs/>
          <w:color w:val="000000"/>
          <w:sz w:val="24"/>
          <w:szCs w:val="24"/>
          <w:highlight w:val="none"/>
        </w:rPr>
        <w:t xml:space="preserve">月27</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rPr>
        <w:t xml:space="preserve">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3、线上参加开标（开启）会方式：供应商登录“苏采云”系统，点击“开标大厅”，选择对应项目，点击进入不见面开标系统。 </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5、政府采购监督电话：0512-68616651。</w:t>
      </w:r>
      <w:r>
        <w:rPr>
          <w:rFonts w:hint="eastAsia" w:ascii="宋体"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hint="eastAsia" w:ascii="宋体" w:hAnsi="宋体" w:eastAsia="宋体" w:cs="宋体"/>
          <w:b/>
          <w:bCs/>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rFonts w:hint="eastAsia" w:ascii="宋体" w:hAnsi="宋体" w:eastAsia="宋体"/>
          <w:color w:val="000000"/>
          <w:sz w:val="24"/>
          <w:szCs w:val="24"/>
          <w:highlight w:val="none"/>
          <w:lang w:eastAsia="zh-CN"/>
        </w:rPr>
        <w:t xml:space="preserve">苏州碑刻博物馆（苏州文庙管理所）</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s="宋体"/>
          <w:bCs/>
          <w:color w:val="000000"/>
          <w:sz w:val="24"/>
          <w:szCs w:val="24"/>
          <w:highlight w:val="none"/>
          <w:lang w:eastAsia="zh-CN"/>
        </w:rPr>
        <w:t xml:space="preserve">苏州市人民路613号</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w:t>
      </w:r>
      <w:r>
        <w:rPr>
          <w:rFonts w:hint="eastAsia" w:ascii="宋体" w:hAnsi="宋体" w:eastAsia="宋体" w:cs="宋体"/>
          <w:bCs/>
          <w:color w:val="000000"/>
          <w:sz w:val="24"/>
          <w:szCs w:val="24"/>
          <w:highlight w:val="none"/>
          <w:lang w:eastAsia="zh-CN"/>
        </w:rPr>
        <w:t xml:space="preserve">0512-65168070</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3、项目联系方式</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bCs/>
          <w:color w:val="000000"/>
          <w:sz w:val="24"/>
          <w:szCs w:val="24"/>
          <w:highlight w:val="none"/>
          <w:lang w:eastAsia="zh-CN"/>
        </w:rPr>
        <w:t xml:space="preserve">杨劼</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hint="eastAsia" w:ascii="宋体" w:hAnsi="宋体" w:eastAsia="宋体" w:cs="宋体"/>
          <w:bCs/>
          <w:color w:val="000000"/>
          <w:sz w:val="24"/>
          <w:szCs w:val="24"/>
          <w:highlight w:val="none"/>
          <w:lang w:eastAsia="zh-CN"/>
        </w:rPr>
        <w:t xml:space="preserve">0512-65168070</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color w:val="000000"/>
          <w:sz w:val="24"/>
          <w:szCs w:val="24"/>
          <w:highlight w:val="none"/>
        </w:rPr>
        <w:t xml:space="preserve">沈鹰、陈晓梦、</w:t>
      </w:r>
      <w:r>
        <w:rPr>
          <w:rFonts w:hint="eastAsia" w:ascii="宋体" w:hAnsi="宋体" w:eastAsia="宋体" w:cs="宋体"/>
          <w:color w:val="000000"/>
          <w:sz w:val="24"/>
          <w:szCs w:val="24"/>
          <w:highlight w:val="none"/>
          <w:lang w:val="en-US" w:eastAsia="zh-CN"/>
        </w:rPr>
        <w:t xml:space="preserve">徐杰、</w:t>
      </w:r>
      <w:r>
        <w:rPr>
          <w:rFonts w:hint="eastAsia" w:ascii="宋体" w:hAnsi="宋体" w:eastAsia="宋体" w:cs="宋体"/>
          <w:color w:val="000000"/>
          <w:sz w:val="24"/>
          <w:szCs w:val="24"/>
          <w:highlight w:val="none"/>
        </w:rPr>
        <w:t xml:space="preserve">刘木兰</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77"/>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1、总则</w:t>
      </w:r>
      <w:r>
        <w:rPr>
          <w:rFonts w:hint="eastAsia" w:ascii="宋体"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1.1响应单位资格要求</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转包</w:t>
      </w:r>
      <w:r>
        <w:rPr>
          <w:rFonts w:hint="eastAsia" w:ascii="宋体" w:hAnsi="宋体" w:eastAsia="宋体" w:cs="宋体"/>
          <w:b/>
          <w:bCs/>
          <w:color w:val="000000"/>
          <w:sz w:val="24"/>
          <w:szCs w:val="24"/>
          <w:highlight w:val="none"/>
        </w:rPr>
      </w:r>
      <w:r/>
    </w:p>
    <w:p>
      <w:pPr>
        <w:pStyle w:val="945"/>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本项目不允许转包。</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945"/>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3.2.3磋商响应明细报价表（格式见第三章）；</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3.2.4.1供应商的资格要求：</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（2）具有良好的商业信誉和健全的财务会计制度的材料：包括但不限于法人提供2024年度或2025年度经审计的财务报告或基本开户银行在本年度内出具的资信证明复印件；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3.2.4.2其他有关资格证明的文件（若有）。</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w:t>
      </w:r>
      <w:r>
        <w:rPr>
          <w:rFonts w:hint="eastAsia" w:ascii="宋体" w:hAnsi="宋体" w:eastAsia="宋体" w:cs="宋体"/>
          <w:color w:val="000000"/>
          <w:sz w:val="24"/>
          <w:szCs w:val="24"/>
          <w:highlight w:val="none"/>
          <w:lang w:val="en-US" w:eastAsia="zh-CN"/>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3.2.5.7其他有关符合性证明的文件（若有）。</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3.2.6综合评审响应文件（见第六章）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3.2.6.1采购需求、评审方法及评审标准中所涉及到的其他材料、证明等；</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3.2.6.2</w:t>
      </w:r>
      <w:r>
        <w:rPr>
          <w:rFonts w:hint="eastAsia" w:ascii="宋体" w:hAnsi="宋体" w:eastAsia="宋体" w:cs="宋体"/>
          <w:color w:val="000000"/>
          <w:sz w:val="24"/>
          <w:szCs w:val="24"/>
          <w:highlight w:val="none"/>
        </w:rPr>
        <w:t xml:space="preserve">《关于符合本国产品标准的声明函》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945"/>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highlight w:val="none"/>
        </w:rPr>
      </w:r>
      <w:r/>
    </w:p>
    <w:p>
      <w:pPr>
        <w:pStyle w:val="945"/>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rPr>
          <w:rFonts w:hint="eastAsia" w:ascii="宋体" w:hAnsi="宋体" w:eastAsia="宋体" w:cs="宋体"/>
          <w:color w:val="000000"/>
          <w:sz w:val="24"/>
          <w:szCs w:val="24"/>
          <w:highlight w:val="none"/>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3.5响应文件的开启（解密）</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2"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bookmarkEnd w:id="2"/>
      <w:r>
        <w:rPr>
          <w:rFonts w:hint="eastAsia" w:ascii="宋体" w:hAnsi="宋体" w:eastAsia="宋体" w:cs="宋体"/>
          <w:color w:val="000000"/>
          <w:sz w:val="24"/>
          <w:szCs w:val="24"/>
          <w:highlight w:val="none"/>
        </w:rPr>
        <w:t xml:space="preserve">3.5.5 CA技术咨询服务电话：400-608-6099；</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highlight w:val="none"/>
        </w:rPr>
      </w:r>
      <w:r/>
    </w:p>
    <w:p>
      <w:pPr>
        <w:pStyle w:val="108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highlight w:val="none"/>
        </w:rPr>
      </w:r>
      <w:r/>
    </w:p>
    <w:p>
      <w:pPr>
        <w:pStyle w:val="1088"/>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rPr>
          <w:rFonts w:hint="eastAsia" w:ascii="宋体" w:hAnsi="宋体" w:eastAsia="宋体" w:cs="宋体"/>
          <w:color w:val="000000"/>
          <w:sz w:val="24"/>
          <w:szCs w:val="24"/>
          <w:highlight w:val="none"/>
        </w:rPr>
      </w:r>
      <w:r/>
    </w:p>
    <w:p>
      <w:pPr>
        <w:pStyle w:val="1088"/>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3" w:name="_Hlk132385599"/>
      <w:r/>
      <w:bookmarkStart w:id="4" w:name="_Hlk132389804"/>
      <w:r/>
      <w:bookmarkStart w:id="5" w:name="_Hlk132385577"/>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45"/>
        <w:ind w:firstLine="520"/>
        <w:spacing w:line="360" w:lineRule="auto"/>
        <w:rPr>
          <w:rFonts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rPr>
        <w:t xml:space="preserve">11.代理服务费：</w:t>
      </w:r>
      <w:r>
        <w:rPr>
          <w:rFonts w:hint="eastAsia" w:ascii="宋体" w:hAnsi="宋体" w:eastAsia="宋体" w:cs="宋体"/>
          <w:b/>
          <w:color w:val="000000"/>
          <w:sz w:val="24"/>
          <w:szCs w:val="24"/>
          <w:highlight w:val="none"/>
          <w:lang w:val="en-US" w:eastAsia="zh-CN"/>
        </w:rPr>
        <w:t xml:space="preserve">由成交单位承担。因为本项目代理服务费是去年财政预算申报时已经包含在采购预算内。</w:t>
      </w:r>
      <w:r>
        <w:rPr>
          <w:rFonts w:ascii="宋体" w:hAnsi="宋体" w:eastAsia="宋体" w:cs="宋体"/>
          <w:b/>
          <w:color w:val="000000"/>
          <w:sz w:val="24"/>
          <w:szCs w:val="24"/>
          <w:highlight w:val="none"/>
          <w:lang w:val="en-US"/>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本项目代理服务费（人民币）：</w:t>
      </w:r>
      <w:r>
        <w:rPr>
          <w:rFonts w:hint="eastAsia" w:ascii="宋体" w:hAnsi="宋体" w:eastAsia="宋体" w:cs="宋体"/>
          <w:bCs/>
          <w:color w:val="000000"/>
          <w:sz w:val="24"/>
          <w:szCs w:val="24"/>
          <w:highlight w:val="none"/>
          <w:u w:val="none"/>
          <w:lang w:val="en-US" w:eastAsia="zh-CN"/>
        </w:rPr>
        <w:t xml:space="preserve">43600</w:t>
      </w:r>
      <w:r>
        <w:rPr>
          <w:rFonts w:hint="eastAsia" w:ascii="宋体" w:hAnsi="宋体" w:eastAsia="宋体" w:cs="宋体"/>
          <w:bCs/>
          <w:color w:val="000000"/>
          <w:sz w:val="24"/>
          <w:szCs w:val="24"/>
          <w:highlight w:val="none"/>
        </w:rPr>
        <w:t xml:space="preserve">.00元。</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11.2采购代理机构服务费账号如下：</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w:t>
      </w:r>
      <w:r>
        <w:rPr>
          <w:rFonts w:hint="eastAsia" w:ascii="宋体" w:hAnsi="宋体" w:eastAsia="宋体" w:cs="宋体"/>
          <w:color w:val="000000"/>
          <w:sz w:val="24"/>
          <w:szCs w:val="24"/>
          <w:highlight w:val="none"/>
        </w:rPr>
        <w:t xml:space="preserve">代理服务费由成交供应商在领取成交通知书时一次性付清并含在其响应报价中。</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11.4成交单位如果未按上述规定缴纳成交服务费，采购代理机构将保留诉讼的权利。</w:t>
      </w:r>
      <w:r>
        <w:rPr>
          <w:rFonts w:hint="eastAsia" w:ascii="宋体" w:hAnsi="宋体" w:eastAsia="宋体" w:cs="宋体"/>
          <w:bCs/>
          <w:color w:val="000000"/>
          <w:sz w:val="24"/>
          <w:szCs w:val="24"/>
          <w:highlight w:val="none"/>
        </w:rPr>
      </w:r>
      <w:r/>
    </w:p>
    <w:p>
      <w:pPr>
        <w:pStyle w:val="945"/>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12.其他事项</w:t>
      </w:r>
      <w:r>
        <w:rPr>
          <w:rFonts w:hint="eastAsia" w:ascii="宋体" w:hAnsi="宋体" w:eastAsia="宋体" w:cs="宋体"/>
          <w:b/>
          <w:color w:val="000000"/>
          <w:sz w:val="24"/>
          <w:szCs w:val="24"/>
          <w:highlight w:val="none"/>
        </w:rPr>
      </w:r>
      <w:r/>
    </w:p>
    <w:p>
      <w:pPr>
        <w:pStyle w:val="945"/>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rPr>
          <w:rFonts w:hint="eastAsia" w:ascii="宋体" w:hAnsi="宋体" w:eastAsia="宋体" w:cs="宋体"/>
          <w:color w:val="000000"/>
          <w:sz w:val="24"/>
          <w:szCs w:val="24"/>
          <w:highlight w:val="none"/>
        </w:rPr>
      </w:r>
      <w:r/>
    </w:p>
    <w:p>
      <w:pPr>
        <w:pStyle w:val="969"/>
        <w:ind w:firstLine="0"/>
        <w:jc w:val="center"/>
        <w:spacing w:line="360" w:lineRule="auto"/>
        <w:rPr>
          <w:rFonts w:hint="eastAsia" w:ascii="宋体" w:hAnsi="宋体" w:eastAsia="宋体" w:cs="宋体"/>
          <w:b/>
          <w:color w:val="000000"/>
          <w:szCs w:val="24"/>
          <w:highlight w:val="none"/>
        </w:rPr>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color w:val="000000"/>
          <w:szCs w:val="24"/>
          <w:highlight w:val="none"/>
        </w:rPr>
      </w:r>
      <w:r/>
    </w:p>
    <w:p>
      <w:pPr>
        <w:pStyle w:val="969"/>
        <w:ind w:firstLine="0"/>
        <w:jc w:val="center"/>
        <w:spacing w:line="360" w:lineRule="auto"/>
        <w:rPr>
          <w:rFonts w:hint="eastAsia" w:ascii="宋体" w:hAnsi="宋体" w:eastAsia="宋体" w:cs="宋体"/>
          <w:b/>
          <w:color w:val="000000"/>
          <w:szCs w:val="24"/>
          <w:highlight w:val="none"/>
          <w:lang w:val="zh-CN"/>
        </w:rPr>
      </w:pPr>
      <w:r>
        <w:rPr>
          <w:rFonts w:hint="eastAsia" w:ascii="宋体" w:hAnsi="宋体" w:eastAsia="宋体" w:cs="宋体"/>
          <w:b/>
          <w:color w:val="000000"/>
          <w:szCs w:val="24"/>
          <w:highlight w:val="none"/>
        </w:rPr>
        <w:t xml:space="preserve">第三章  </w:t>
      </w:r>
      <w:r>
        <w:rPr>
          <w:rFonts w:hint="eastAsia" w:ascii="宋体" w:hAnsi="宋体" w:eastAsia="宋体" w:cs="宋体"/>
          <w:b/>
          <w:color w:val="000000"/>
          <w:szCs w:val="24"/>
          <w:highlight w:val="none"/>
          <w:lang w:val="zh-CN"/>
        </w:rPr>
        <w:t xml:space="preserve">响应文件格式</w:t>
      </w:r>
      <w:r>
        <w:rPr>
          <w:rFonts w:hint="eastAsia" w:ascii="宋体" w:hAnsi="宋体" w:eastAsia="宋体" w:cs="宋体"/>
          <w:b/>
          <w:color w:val="000000"/>
          <w:szCs w:val="24"/>
          <w:highlight w:val="none"/>
          <w:lang w:val="zh-CN"/>
        </w:rPr>
      </w:r>
      <w:r/>
    </w:p>
    <w:p>
      <w:pPr>
        <w:pStyle w:val="969"/>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1、我们愿意按照采购文件的一切要求，提供完成该项目的全部内容，</w:t>
      </w:r>
      <w:r>
        <w:rPr>
          <w:rFonts w:hint="eastAsia" w:ascii="宋体" w:hAnsi="宋体" w:eastAsia="宋体" w:cs="宋体"/>
          <w:color w:val="000000"/>
          <w:sz w:val="24"/>
          <w:szCs w:val="24"/>
          <w:highlight w:val="none"/>
        </w:rPr>
        <w:t xml:space="preserve">我们的报价包括</w:t>
      </w:r>
      <w:r>
        <w:rPr>
          <w:rFonts w:hint="eastAsia" w:ascii="宋体" w:hAnsi="宋体" w:eastAsia="宋体" w:cs="宋体"/>
          <w:color w:val="000000"/>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105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2、如果我们的响应文件被接受，我们将严格履行采购文件中规定的每一项要求，按期、按质、按量履行合同的义务。</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5、我们认为你们有权决定供应商，还认为你们有权接受或拒绝所有的供应商。</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rPr>
          <w:rFonts w:hint="eastAsia" w:hAnsi="宋体" w:eastAsia="宋体" w:cs="宋体"/>
          <w:color w:val="000000"/>
          <w:sz w:val="24"/>
          <w:szCs w:val="24"/>
          <w:highlight w:val="none"/>
        </w:rPr>
      </w:r>
      <w:r/>
    </w:p>
    <w:p>
      <w:pPr>
        <w:pStyle w:val="105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8、如果我们成交，我们愿意在签订合同时按采购文件的规定支付成交服务费。</w:t>
      </w:r>
      <w:r>
        <w:rPr>
          <w:rFonts w:hint="eastAsia" w:hAnsi="宋体" w:eastAsia="宋体" w:cs="宋体"/>
          <w:color w:val="000000"/>
          <w:sz w:val="24"/>
          <w:szCs w:val="24"/>
          <w:highlight w:val="none"/>
        </w:rPr>
      </w:r>
      <w:r/>
    </w:p>
    <w:p>
      <w:pPr>
        <w:pStyle w:val="105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10、与本次磋商有关的通讯地址：</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rPr>
          <w:rFonts w:hint="eastAsia" w:hAnsi="宋体" w:eastAsia="宋体" w:cs="宋体"/>
          <w:color w:val="000000"/>
          <w:sz w:val="24"/>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电子邮箱：</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5"/>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69"/>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本授权委托书声明：我</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（姓名）系</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（供应商名称）的法定代表人，现授权委托</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（姓名为我公司代理人，以本公司的名义参加</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（采购人名称）组织实施的编号为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int="eastAsia" w:hAnsi="宋体" w:eastAsia="宋体" w:cs="宋体"/>
          <w:color w:val="000000"/>
          <w:sz w:val="24"/>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代理人无转委托权。特此委托。</w:t>
      </w:r>
      <w:r>
        <w:rPr>
          <w:rFonts w:hint="eastAsia" w:hAnsi="宋体" w:eastAsia="宋体" w:cs="宋体"/>
          <w:color w:val="000000"/>
          <w:sz w:val="24"/>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供应商（单位盖章）：</w:t>
      </w:r>
      <w:r>
        <w:rPr>
          <w:rFonts w:cs="宋体"/>
          <w:color w:val="000000"/>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法定代表人（签字或盖章）：</w:t>
      </w:r>
      <w:r>
        <w:rPr>
          <w:rFonts w:cs="宋体"/>
          <w:color w:val="000000"/>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代理人（签字或盖章）：</w:t>
      </w:r>
      <w:r>
        <w:rPr>
          <w:rFonts w:cs="宋体"/>
          <w:color w:val="000000"/>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日 期： </w:t>
      </w:r>
      <w:r>
        <w:rPr>
          <w:rFonts w:cs="宋体"/>
          <w:color w:val="000000"/>
          <w:highlight w:val="none"/>
        </w:rPr>
      </w:r>
      <w:r/>
    </w:p>
    <w:p>
      <w:pPr>
        <w:pStyle w:val="945"/>
        <w:ind w:firstLine="5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69"/>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rPr>
      </w:r>
      <w:r/>
    </w:p>
    <w:p>
      <w:pPr>
        <w:pStyle w:val="94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开标一览表（投标总价）</w:t>
      </w: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r>
      <w:tr>
        <w:trPr>
          <w:cantSplit/>
          <w:trHeight w:val="960"/>
        </w:trPr>
        <w:tc>
          <w:tcPr>
            <w:tcW w:w="1361" w:type="dxa"/>
            <w:vAlign w:val="center"/>
            <w:textDirection w:val="lrTb"/>
            <w:noWrap w:val="false"/>
          </w:tcPr>
          <w:p>
            <w:pPr>
              <w:pStyle w:val="945"/>
              <w:spacing w:line="360" w:lineRule="auto"/>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7" w:name="JEXX"/>
            <w:r/>
            <w:bookmarkEnd w:id="7"/>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9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8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86"/>
        <w:ind w:firstLine="480"/>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br w:type="page" w:clear="all"/>
      </w:r>
      <w:r>
        <w:rPr>
          <w:rFonts w:hint="eastAsia" w:hAnsi="宋体" w:eastAsia="宋体" w:cs="宋体"/>
          <w:b/>
          <w:bCs/>
          <w:color w:val="000000"/>
          <w:sz w:val="24"/>
          <w:szCs w:val="24"/>
          <w:highlight w:val="none"/>
        </w:rPr>
        <w:t xml:space="preserve">5、磋商响应明细报价表</w:t>
      </w:r>
      <w:r>
        <w:rPr>
          <w:rFonts w:hint="eastAsia" w:hAnsi="宋体" w:eastAsia="宋体" w:cs="宋体"/>
          <w:b/>
          <w:bCs/>
          <w:color w:val="000000"/>
          <w:sz w:val="24"/>
          <w:szCs w:val="24"/>
          <w:highlight w:val="none"/>
        </w:rPr>
      </w:r>
      <w:r/>
    </w:p>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项目磋商响应明细报价表</w:t>
      </w:r>
      <w:r>
        <w:rPr>
          <w:rFonts w:hint="eastAsia"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trHeight w:val="567"/>
        </w:trPr>
        <w:tc>
          <w:tcPr>
            <w:tcW w:w="1093"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91"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费用条目</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单价</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总价</w:t>
            </w:r>
            <w:r>
              <w:rPr>
                <w:rFonts w:hint="eastAsia" w:ascii="宋体" w:hAnsi="宋体" w:eastAsia="宋体" w:cs="宋体"/>
                <w:color w:val="000000"/>
                <w:sz w:val="24"/>
                <w:szCs w:val="24"/>
                <w:highlight w:val="none"/>
              </w:rPr>
            </w:r>
            <w:r/>
          </w:p>
        </w:tc>
        <w:tc>
          <w:tcPr>
            <w:tcW w:w="184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1093"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69"/>
              <w:ind w:right="420" w:firstLine="0"/>
              <w:spacing w:line="360" w:lineRule="auto"/>
              <w:rPr>
                <w:rStyle w:val="1026"/>
                <w:rFonts w:hint="eastAsia" w:ascii="宋体" w:hAnsi="宋体" w:eastAsia="宋体" w:cs="宋体"/>
                <w:color w:val="000000"/>
                <w:highlight w:val="none"/>
              </w:rPr>
            </w:pPr>
            <w:r>
              <w:rPr>
                <w:rStyle w:val="1026"/>
                <w:rFonts w:hint="eastAsia" w:ascii="宋体" w:hAnsi="宋体" w:eastAsia="宋体" w:cs="宋体"/>
                <w:color w:val="000000"/>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gridSpan w:val="2"/>
            <w:tcW w:w="4184" w:type="dxa"/>
            <w:vAlign w:val="center"/>
            <w:textDirection w:val="lrTb"/>
            <w:noWrap w:val="false"/>
          </w:tcPr>
          <w:p>
            <w:pPr>
              <w:pStyle w:val="969"/>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合计金额</w:t>
            </w:r>
            <w:r>
              <w:rPr>
                <w:rFonts w:hint="eastAsia" w:ascii="宋体" w:hAnsi="宋体" w:eastAsia="宋体" w:cs="宋体"/>
                <w:color w:val="000000"/>
                <w:szCs w:val="24"/>
                <w:highlight w:val="none"/>
              </w:rPr>
            </w:r>
            <w:r/>
          </w:p>
        </w:tc>
        <w:tc>
          <w:tcPr>
            <w:gridSpan w:val="5"/>
            <w:tcW w:w="5470" w:type="dxa"/>
            <w:vAlign w:val="center"/>
            <w:textDirection w:val="lrTb"/>
            <w:noWrap w:val="false"/>
          </w:tcPr>
          <w:p>
            <w:pPr>
              <w:pStyle w:val="969"/>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rPr>
              <w:t xml:space="preserve">（大写）</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Cs w:val="24"/>
                <w:highlight w:val="none"/>
              </w:rPr>
              <w:t xml:space="preserve">¥</w:t>
            </w:r>
            <w:r>
              <w:rPr>
                <w:rFonts w:hint="eastAsia" w:ascii="宋体" w:hAnsi="宋体" w:eastAsia="宋体" w:cs="宋体"/>
                <w:color w:val="000000"/>
                <w:sz w:val="24"/>
                <w:szCs w:val="24"/>
                <w:highlight w:val="none"/>
                <w:u w:val="single"/>
              </w:rPr>
              <w:t xml:space="preserve">（小写）</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Cs w:val="24"/>
                <w:highlight w:val="none"/>
              </w:rPr>
            </w:r>
            <w:r/>
          </w:p>
        </w:tc>
      </w:tr>
      <w:tr>
        <w:trPr>
          <w:trHeight w:val="567"/>
        </w:trPr>
        <w:tc>
          <w:tcPr>
            <w:gridSpan w:val="7"/>
            <w:tcW w:w="9654" w:type="dxa"/>
            <w:vAlign w:val="center"/>
            <w:textDirection w:val="lrTb"/>
            <w:noWrap w:val="false"/>
          </w:tcPr>
          <w:p>
            <w:pPr>
              <w:pStyle w:val="969"/>
              <w:ind w:right="42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Cs w:val="21"/>
                <w:highlight w:val="none"/>
              </w:rPr>
              <w:t xml:space="preserve">本采购包中提供的符合本国产品标准的产品成本之和占该采购包提供的全部产品成本之和的比例为</w:t>
            </w:r>
            <w:r>
              <w:rPr>
                <w:rFonts w:hint="eastAsia" w:ascii="宋体" w:hAnsi="宋体" w:eastAsia="宋体" w:cs="宋体"/>
                <w:b w:val="0"/>
                <w:bCs/>
                <w:color w:val="000000"/>
                <w:szCs w:val="21"/>
                <w:highlight w:val="none"/>
                <w:u w:val="single"/>
              </w:rPr>
              <w:t xml:space="preserve">    </w:t>
            </w:r>
            <w:r>
              <w:rPr>
                <w:rFonts w:hint="eastAsia" w:ascii="宋体" w:hAnsi="宋体" w:eastAsia="宋体" w:cs="宋体"/>
                <w:b w:val="0"/>
                <w:bCs/>
                <w:color w:val="000000"/>
                <w:szCs w:val="21"/>
                <w:highlight w:val="none"/>
              </w:rPr>
              <w:t xml:space="preserve">%。</w:t>
            </w:r>
            <w:r>
              <w:rPr>
                <w:rFonts w:hint="eastAsia" w:ascii="宋体" w:hAnsi="宋体" w:eastAsia="宋体" w:cs="宋体"/>
                <w:color w:val="000000"/>
                <w:sz w:val="24"/>
                <w:szCs w:val="24"/>
                <w:highlight w:val="none"/>
              </w:rPr>
            </w:r>
            <w:r/>
          </w:p>
        </w:tc>
      </w:tr>
    </w:tbl>
    <w:p>
      <w:pPr>
        <w:pStyle w:val="969"/>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969"/>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1、供应商</w:t>
      </w:r>
      <w:r>
        <w:rPr>
          <w:rFonts w:hint="eastAsia" w:ascii="宋体" w:hAnsi="宋体" w:eastAsia="宋体" w:cs="宋体"/>
          <w:color w:val="000000"/>
          <w:szCs w:val="24"/>
          <w:highlight w:val="none"/>
        </w:rPr>
        <w:t xml:space="preserve">须对全部采购内容进行报价。本表中合计金额</w:t>
      </w:r>
      <w:r>
        <w:rPr>
          <w:rFonts w:hint="eastAsia" w:ascii="宋体" w:hAnsi="宋体" w:eastAsia="宋体" w:cs="宋体"/>
          <w:color w:val="000000"/>
          <w:szCs w:val="24"/>
          <w:highlight w:val="none"/>
          <w:lang w:val="en-US" w:eastAsia="zh-CN"/>
        </w:rPr>
        <w:t xml:space="preserve">应</w:t>
      </w:r>
      <w:r>
        <w:rPr>
          <w:rFonts w:hint="eastAsia" w:ascii="宋体" w:hAnsi="宋体" w:eastAsia="宋体" w:cs="宋体"/>
          <w:color w:val="000000"/>
          <w:szCs w:val="24"/>
          <w:highlight w:val="none"/>
        </w:rPr>
        <w:t xml:space="preserve">与“开标一览表”投标总价一致</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否则，以《开标一览表》为准。</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2、各</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应根据此表格式按项目分别填写报价详细清单，如表格内容不够，可自行添加。</w:t>
      </w:r>
      <w:r>
        <w:rPr>
          <w:rFonts w:hint="eastAsia" w:ascii="宋体" w:hAnsi="宋体" w:eastAsia="宋体" w:cs="宋体"/>
          <w:color w:val="000000"/>
          <w:szCs w:val="24"/>
          <w:highlight w:val="none"/>
        </w:rPr>
      </w:r>
      <w:r/>
    </w:p>
    <w:p>
      <w:pPr>
        <w:pStyle w:val="969"/>
        <w:ind w:left="0" w:right="420" w:firstLine="482"/>
        <w:spacing w:line="360" w:lineRule="auto"/>
        <w:shd w:val="clear" w:color="auto" w:fill="auto"/>
        <w:rPr>
          <w:rFonts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3、</w:t>
      </w:r>
      <w:r>
        <w:rPr>
          <w:rFonts w:hint="eastAsia" w:ascii="宋体" w:hAnsi="宋体" w:eastAsia="宋体" w:cs="宋体"/>
          <w:b/>
          <w:bCs/>
          <w:color w:val="00000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b/>
          <w:bCs/>
          <w:color w:val="000000"/>
          <w:szCs w:val="24"/>
          <w:highlight w:val="none"/>
          <w:lang w:val="en-US" w:eastAsia="zh-CN"/>
        </w:rPr>
      </w:r>
      <w:r/>
    </w:p>
    <w:p>
      <w:pPr>
        <w:pStyle w:val="969"/>
        <w:ind w:left="0"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86"/>
        <w:ind w:firstLine="480"/>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r>
      <w:r/>
    </w:p>
    <w:p>
      <w:pPr>
        <w:pStyle w:val="986"/>
        <w:jc w:val="left"/>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986"/>
        <w:jc w:val="left"/>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highlight w:val="none"/>
        </w:rPr>
      </w:r>
      <w:r/>
    </w:p>
    <w:p>
      <w:pPr>
        <w:pStyle w:val="986"/>
        <w:jc w:val="left"/>
        <w:spacing w:line="360" w:lineRule="auto"/>
        <w:rPr>
          <w:rFonts w:hint="eastAsia" w:hAnsi="宋体" w:eastAsia="宋体" w:cs="宋体"/>
          <w:b/>
          <w:color w:val="000000"/>
          <w:sz w:val="24"/>
          <w:szCs w:val="24"/>
          <w:highlight w:val="none"/>
          <w:lang w:val="zh-CN"/>
        </w:rPr>
      </w:pPr>
      <w:r>
        <w:rPr>
          <w:rFonts w:hint="eastAsia" w:hAnsi="宋体" w:eastAsia="宋体" w:cs="宋体"/>
          <w:b/>
          <w:color w:val="000000"/>
          <w:sz w:val="24"/>
          <w:szCs w:val="24"/>
          <w:highlight w:val="none"/>
        </w:rPr>
        <w:t xml:space="preserve">6</w:t>
      </w:r>
      <w:r>
        <w:rPr>
          <w:rFonts w:hint="eastAsia" w:hAnsi="宋体" w:eastAsia="宋体" w:cs="宋体"/>
          <w:b/>
          <w:color w:val="000000"/>
          <w:sz w:val="24"/>
          <w:szCs w:val="24"/>
          <w:highlight w:val="none"/>
          <w:lang w:val="zh-CN"/>
        </w:rPr>
        <w:t xml:space="preserve">、中小企业声明函</w:t>
      </w:r>
      <w:r>
        <w:rPr>
          <w:rFonts w:hint="eastAsia" w:hAnsi="宋体" w:eastAsia="宋体" w:cs="宋体"/>
          <w:b/>
          <w:color w:val="000000"/>
          <w:sz w:val="24"/>
          <w:szCs w:val="24"/>
          <w:highlight w:val="none"/>
          <w:lang w:val="zh-CN"/>
        </w:rPr>
      </w:r>
      <w:r/>
    </w:p>
    <w:p>
      <w:pPr>
        <w:pStyle w:val="945"/>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5"/>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5"/>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945"/>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945"/>
        <w:ind w:firstLine="49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hint="eastAsia" w:ascii="宋体" w:hAnsi="宋体" w:eastAsia="宋体" w:cs="宋体"/>
          <w:color w:val="000000"/>
          <w:sz w:val="24"/>
          <w:szCs w:val="24"/>
          <w:highlight w:val="none"/>
          <w:lang w:val="zh-CN"/>
        </w:rPr>
      </w:r>
      <w:r/>
    </w:p>
    <w:p>
      <w:pPr>
        <w:pStyle w:val="945"/>
        <w:ind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45"/>
        <w:ind w:firstLine="48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5、成交供应商为中小企业的，《中小企业声明函》将随成交结果同时公告。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4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45"/>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45"/>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7、残疾人福利性单位声明函</w:t>
      </w:r>
      <w:r>
        <w:rPr>
          <w:rFonts w:hint="eastAsia" w:ascii="宋体" w:hAnsi="宋体" w:eastAsia="宋体" w:cs="宋体"/>
          <w:b/>
          <w:bCs/>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5"/>
        <w:spacing w:line="360" w:lineRule="auto"/>
        <w:shd w:val="clear" w:color="auto" w:fill="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r>
      <w:r/>
    </w:p>
    <w:p>
      <w:pPr>
        <w:pStyle w:val="945"/>
        <w:spacing w:line="360" w:lineRule="auto"/>
        <w:shd w:val="clear" w:color="auto" w:fill="auto"/>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宋体" w:hAnsi="宋体" w:eastAsia="宋体" w:cs="宋体"/>
          <w:b w:val="0"/>
          <w:bCs w:val="0"/>
          <w:color w:val="000000"/>
          <w:sz w:val="24"/>
          <w:szCs w:val="24"/>
          <w:highlight w:val="none"/>
          <w:lang w:val="en-US" w:eastAsia="zh-CN"/>
        </w:rPr>
      </w:r>
      <w:r/>
    </w:p>
    <w:p>
      <w:pPr>
        <w:pStyle w:val="945"/>
        <w:spacing w:line="360" w:lineRule="auto"/>
        <w:shd w:val="clear" w:color="auto" w:fill="auto"/>
        <w:rPr>
          <w:rFonts w:hint="eastAsia" w:ascii="方正魏碑_GBK" w:hAnsi="方正魏碑_GBK"/>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8、关于符合本国产品标准的声明函（采购包号：**）</w:t>
      </w:r>
      <w:r>
        <w:rPr>
          <w:rFonts w:ascii="方正魏碑_GBK" w:hAnsi="方正魏碑_GBK"/>
          <w:b/>
          <w:bCs/>
          <w:color w:val="000000"/>
          <w:sz w:val="24"/>
          <w:szCs w:val="24"/>
          <w:highlight w:val="none"/>
        </w:rPr>
        <w:t xml:space="preserve"> </w:t>
      </w:r>
      <w:r>
        <w:rPr>
          <w:rFonts w:hint="eastAsia" w:ascii="方正魏碑_GBK" w:hAnsi="方正魏碑_GBK"/>
          <w:b/>
          <w:bCs/>
          <w:color w:val="000000"/>
          <w:sz w:val="24"/>
          <w:szCs w:val="24"/>
          <w:highlight w:val="none"/>
        </w:rPr>
      </w:r>
      <w:r/>
    </w:p>
    <w:p>
      <w:pPr>
        <w:pStyle w:val="1017"/>
        <w:ind w:firstLine="42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17"/>
        <w:ind w:firstLine="420"/>
        <w:spacing w:before="0" w:after="3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1457325</wp:posOffset>
                </wp:positionH>
                <wp:positionV relativeFrom="paragraph">
                  <wp:posOffset>472440</wp:posOffset>
                </wp:positionV>
                <wp:extent cx="728345" cy="2476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5;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424180</wp:posOffset>
                </wp:positionH>
                <wp:positionV relativeFrom="paragraph">
                  <wp:posOffset>472440</wp:posOffset>
                </wp:positionV>
                <wp:extent cx="728345" cy="2476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4004945</wp:posOffset>
                </wp:positionH>
                <wp:positionV relativeFrom="paragraph">
                  <wp:posOffset>253365</wp:posOffset>
                </wp:positionV>
                <wp:extent cx="728345" cy="2476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2912110</wp:posOffset>
                </wp:positionH>
                <wp:positionV relativeFrom="paragraph">
                  <wp:posOffset>253365</wp:posOffset>
                </wp:positionV>
                <wp:extent cx="728345" cy="2476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1821180</wp:posOffset>
                </wp:positionH>
                <wp:positionV relativeFrom="paragraph">
                  <wp:posOffset>253365</wp:posOffset>
                </wp:positionV>
                <wp:extent cx="728345" cy="2476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1;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4810125</wp:posOffset>
                </wp:positionH>
                <wp:positionV relativeFrom="paragraph">
                  <wp:posOffset>5715</wp:posOffset>
                </wp:positionV>
                <wp:extent cx="728345" cy="24765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b w:val="0"/>
          <w:bCs w:val="0"/>
          <w:color w:val="000000"/>
          <w:sz w:val="24"/>
          <w:szCs w:val="24"/>
          <w:highlight w:val="none"/>
          <w:shd w:val="clear" w:color="auto" w:fill="ffffff"/>
        </w:rPr>
        <w:t xml:space="preserve">1.</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Style w:val="1146"/>
          <w:rFonts w:hint="eastAsia" w:ascii="宋体" w:hAnsi="宋体" w:eastAsia="宋体" w:cs="宋体"/>
          <w:b w:val="0"/>
          <w:bCs w:val="0"/>
          <w:i w:val="0"/>
          <w:color w:val="000000"/>
          <w:sz w:val="24"/>
          <w:szCs w:val="24"/>
          <w:highlight w:val="none"/>
          <w:u w:val="single"/>
          <w:shd w:val="clear" w:color="auto" w:fill="ffffff"/>
        </w:rPr>
        <w:t xml:space="preserve">（厂名）</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Style w:val="1146"/>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 </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1146"/>
          <w:rFonts w:hint="eastAsia" w:ascii="宋体" w:hAnsi="宋体" w:eastAsia="宋体" w:cs="宋体"/>
          <w:b w:val="0"/>
          <w:bCs w:val="0"/>
          <w:i w:val="0"/>
          <w:color w:val="000000"/>
          <w:sz w:val="24"/>
          <w:szCs w:val="24"/>
          <w:highlight w:val="none"/>
          <w:u w:val="single"/>
          <w:shd w:val="clear" w:color="auto" w:fill="ffffff"/>
        </w:rPr>
        <w:t xml:space="preserve">（规定比例）</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（关键组件）</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（关键工序）</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1017"/>
        <w:ind w:firstLine="420"/>
        <w:spacing w:before="0" w:after="3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728980</wp:posOffset>
                </wp:positionH>
                <wp:positionV relativeFrom="paragraph">
                  <wp:posOffset>495300</wp:posOffset>
                </wp:positionV>
                <wp:extent cx="728345" cy="24765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1;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posOffset>-130809</wp:posOffset>
                </wp:positionH>
                <wp:positionV relativeFrom="paragraph">
                  <wp:posOffset>495300</wp:posOffset>
                </wp:positionV>
                <wp:extent cx="728345" cy="2476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3733800</wp:posOffset>
                </wp:positionH>
                <wp:positionV relativeFrom="paragraph">
                  <wp:posOffset>247650</wp:posOffset>
                </wp:positionV>
                <wp:extent cx="728345" cy="2476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2616835</wp:posOffset>
                </wp:positionH>
                <wp:positionV relativeFrom="paragraph">
                  <wp:posOffset>247650</wp:posOffset>
                </wp:positionV>
                <wp:extent cx="728345" cy="24765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8;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1457325</wp:posOffset>
                </wp:positionH>
                <wp:positionV relativeFrom="paragraph">
                  <wp:posOffset>247650</wp:posOffset>
                </wp:positionV>
                <wp:extent cx="728345" cy="2476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7;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4686300</wp:posOffset>
                </wp:positionH>
                <wp:positionV relativeFrom="paragraph">
                  <wp:posOffset>0</wp:posOffset>
                </wp:positionV>
                <wp:extent cx="728345" cy="24765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6;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b w:val="0"/>
          <w:bCs w:val="0"/>
          <w:color w:val="000000"/>
          <w:sz w:val="24"/>
          <w:szCs w:val="24"/>
          <w:highlight w:val="none"/>
          <w:shd w:val="clear" w:color="auto" w:fill="ffffff"/>
        </w:rPr>
        <w:t xml:space="preserve">2.</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Style w:val="1146"/>
          <w:rFonts w:hint="eastAsia" w:ascii="宋体" w:hAnsi="宋体" w:eastAsia="宋体" w:cs="宋体"/>
          <w:b w:val="0"/>
          <w:bCs w:val="0"/>
          <w:i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Style w:val="1146"/>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1146"/>
          <w:rFonts w:hint="eastAsia" w:ascii="宋体" w:hAnsi="宋体" w:eastAsia="宋体" w:cs="宋体"/>
          <w:b w:val="0"/>
          <w:bCs w:val="0"/>
          <w:i w:val="0"/>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1017"/>
        <w:ind w:firstLine="420"/>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17"/>
        <w:ind w:firstLine="420"/>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17"/>
        <w:jc w:val="right"/>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945"/>
        <w:jc w:val="center"/>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t xml:space="preserve">日期：    年   月   日    </w:t>
      </w:r>
      <w:r>
        <w:rPr>
          <w:rFonts w:hint="eastAsia" w:ascii="宋体" w:hAnsi="宋体" w:eastAsia="宋体" w:cs="宋体"/>
          <w:color w:val="000000"/>
          <w:sz w:val="24"/>
          <w:szCs w:val="24"/>
          <w:highlight w:val="none"/>
          <w:shd w:val="clear" w:color="auto" w:fill="ffffff"/>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w:t>
      </w:r>
      <w:r>
        <w:rPr>
          <w:rFonts w:hint="eastAsia" w:ascii="宋体" w:hAnsi="宋体" w:eastAsia="宋体" w:cs="Times New Roman"/>
          <w:bCs/>
          <w:color w:val="000000"/>
          <w:sz w:val="24"/>
          <w:szCs w:val="24"/>
          <w:highlight w:val="none"/>
        </w:rPr>
        <w:t xml:space="preserve">_________________</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1.产品如有型号，请在“产品名称”栏一并填写。</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2.生产厂名与厂址应与生产厂营业执照载明的相关信息保持一致。</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3.该产品的中国境内生产的组件成本占比相关要求实施前，“规定比例”栏可不填，下同。</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4.该产品的关键组件要求实施前，“关键组件”栏可不填，下同。</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5.该产品的关键工序要求实施前，“关键工序”栏可不填，下同。</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6.用斜线划除的地方无需填写。</w:t>
      </w:r>
      <w:r>
        <w:rPr>
          <w:rFonts w:hint="eastAsia" w:ascii="宋体" w:hAnsi="宋体" w:eastAsia="宋体" w:cs="Times New Roman"/>
          <w:bCs/>
          <w:color w:val="000000"/>
          <w:sz w:val="24"/>
          <w:szCs w:val="24"/>
          <w:highlight w:val="none"/>
        </w:rPr>
      </w:r>
      <w:r/>
    </w:p>
    <w:p>
      <w:pPr>
        <w:pStyle w:val="945"/>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苏州碑刻博物馆（苏州文庙管理所）</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苏州文庙碑刻文物保护(2026年度）</w:t>
      </w:r>
      <w:r>
        <w:rPr>
          <w:rFonts w:hint="eastAsia" w:ascii="宋体" w:hAnsi="宋体" w:eastAsia="宋体" w:cs="宋体"/>
          <w:color w:val="000000"/>
          <w:sz w:val="24"/>
          <w:szCs w:val="24"/>
          <w:highlight w:val="none"/>
        </w:rPr>
        <w:t xml:space="preserve">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b/>
          <w:bCs/>
          <w:color w:val="000000"/>
          <w:sz w:val="24"/>
          <w:szCs w:val="24"/>
          <w:highlight w:val="none"/>
          <w:lang w:eastAsia="zh-CN"/>
        </w:rPr>
        <w:t xml:space="preserve">JSZC-320500-SZZJ-C2026-0019</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945"/>
        <w:ind w:firstLine="472"/>
        <w:spacing w:line="360" w:lineRule="auto"/>
        <w:rPr>
          <w:rFonts w:hint="eastAsia" w:ascii="宋体" w:hAnsi="宋体" w:eastAsia="宋体" w:cs="宋体"/>
          <w:b/>
          <w:bCs/>
          <w:color w:val="000000"/>
          <w:sz w:val="24"/>
          <w:szCs w:val="24"/>
          <w:highlight w:val="none"/>
        </w:rPr>
      </w:pPr>
      <w:r/>
      <w:bookmarkEnd w:id="8"/>
      <w:r>
        <w:rPr>
          <w:rFonts w:hint="eastAsia" w:ascii="宋体" w:hAnsi="宋体" w:eastAsia="宋体" w:cs="宋体"/>
          <w:b/>
          <w:bCs/>
          <w:color w:val="000000"/>
          <w:sz w:val="24"/>
          <w:szCs w:val="24"/>
          <w:highlight w:val="none"/>
        </w:rPr>
        <w:t xml:space="preserve">二、采购需求：</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（一）项目概况：</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苏州文庙坐落于苏州文庙府学之内，作为专注古代碑刻收藏、研究、陈列与复制的专题博物馆，拥有深厚的历史底蕴与极高的文化价值。</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聚焦苏州文庙碑刻文物保护，通过实施多维度、专业化、智能化的保护举措，构建全面且科学的碑刻文物保护体系，优化碑刻藏展环境，强化预防性保护与日常运维，有效抵御自然侵蚀、人为破坏及生物侵害等风险，实现碑刻文物的长效安全保存、高质量展示，切实守护碑刻承载的历史文化价值，推动碑刻文物保护工作规范化、常态化、科学化发展。</w:t>
      </w:r>
      <w:r>
        <w:rPr>
          <w:rFonts w:hint="eastAsia" w:ascii="宋体" w:hAnsi="宋体" w:eastAsia="宋体" w:cs="Times New Roman"/>
          <w:bCs/>
          <w:color w:val="000000"/>
          <w:sz w:val="24"/>
          <w:szCs w:val="24"/>
          <w:highlight w:val="none"/>
        </w:rPr>
      </w:r>
      <w:r/>
    </w:p>
    <w:p>
      <w:pPr>
        <w:pStyle w:val="945"/>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二</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项目目标和采购内容</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945"/>
        <w:ind w:firstLine="480"/>
        <w:spacing w:line="360" w:lineRule="auto"/>
        <w:rPr>
          <w:rFonts w:ascii="宋体" w:hAnsi="宋体" w:eastAsia="宋体" w:cs="Times New Roman"/>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本项目保护内容主要包括：</w:t>
      </w:r>
      <w:r>
        <w:rPr>
          <w:rFonts w:hint="eastAsia" w:ascii="宋体" w:hAnsi="宋体" w:eastAsia="宋体" w:cs="Times New Roman"/>
          <w:bCs/>
          <w:color w:val="000000"/>
          <w:sz w:val="24"/>
          <w:szCs w:val="24"/>
          <w:highlight w:val="none"/>
        </w:rPr>
        <w:t xml:space="preserve">碑刻文物安全风险现状评估服务、文物清洁除尘服务、碑墙修复与环境整治服务、专业碑刻智能防护服务、碑刻环境监测服务</w:t>
      </w:r>
      <w:r>
        <w:rPr>
          <w:rFonts w:hint="eastAsia" w:ascii="宋体" w:hAnsi="宋体" w:eastAsia="宋体" w:cs="Times New Roman"/>
          <w:bCs/>
          <w:color w:val="000000"/>
          <w:sz w:val="24"/>
          <w:szCs w:val="24"/>
          <w:highlight w:val="none"/>
          <w:lang w:val="en-US" w:eastAsia="zh-CN" w:bidi="ar-SA"/>
        </w:rPr>
        <w:t xml:space="preserve">等</w:t>
      </w:r>
      <w:r>
        <w:rPr>
          <w:rFonts w:hint="eastAsia" w:ascii="宋体" w:hAnsi="宋体" w:eastAsia="宋体" w:cs="Times New Roman"/>
          <w:bCs/>
          <w:color w:val="000000"/>
          <w:sz w:val="24"/>
          <w:szCs w:val="24"/>
          <w:highlight w:val="none"/>
          <w:lang w:val="en-US" w:eastAsia="zh-CN" w:bidi="ar-SA"/>
        </w:rPr>
        <w:t xml:space="preserve">。</w:t>
      </w:r>
      <w:r>
        <w:rPr>
          <w:rFonts w:ascii="宋体" w:hAnsi="宋体" w:eastAsia="宋体" w:cs="Times New Roman"/>
          <w:bCs/>
          <w:color w:val="000000"/>
          <w:sz w:val="24"/>
          <w:szCs w:val="24"/>
          <w:highlight w:val="none"/>
          <w:lang w:val="en-US" w:eastAsia="zh-CN" w:bidi="ar-SA"/>
        </w:rPr>
      </w:r>
      <w:r/>
    </w:p>
    <w:p>
      <w:pPr>
        <w:pStyle w:val="945"/>
        <w:numPr>
          <w:ilvl w:val="0"/>
          <w:numId w:val="0"/>
        </w:numPr>
        <w:ind w:firstLine="480"/>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rPr>
        <w:t xml:space="preserve">碑刻文物</w:t>
      </w:r>
      <w:r>
        <w:rPr>
          <w:rFonts w:hint="eastAsia" w:ascii="宋体" w:hAnsi="宋体" w:eastAsia="宋体" w:cs="Times New Roman"/>
          <w:bCs/>
          <w:color w:val="000000"/>
          <w:sz w:val="24"/>
          <w:szCs w:val="24"/>
          <w:highlight w:val="none"/>
          <w:lang w:val="en-US" w:eastAsia="zh-CN"/>
        </w:rPr>
        <w:t xml:space="preserve">保护清单（包括但不限于）</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r>
      <w:r/>
    </w:p>
    <w:tbl>
      <w:tblPr>
        <w:tblW w:w="976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6"/>
        <w:gridCol w:w="7483"/>
        <w:gridCol w:w="1352"/>
      </w:tblGrid>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藏品级别</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54"/>
        </w:trPr>
        <w:tc>
          <w:tcPr>
            <w:gridSpan w:val="3"/>
            <w:shd w:val="clear" w:color="auto" w:fill="ffffff"/>
            <w:tcW w:w="9761" w:type="dxa"/>
            <w:vAlign w:val="center"/>
            <w:textDirection w:val="lrTb"/>
            <w:noWrap/>
          </w:tcPr>
          <w:p>
            <w:pPr>
              <w:pStyle w:val="945"/>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一、大成殿内</w:t>
            </w:r>
            <w:r>
              <w:rPr>
                <w:rFonts w:hint="eastAsia" w:ascii="宋体" w:hAnsi="宋体" w:eastAsia="宋体" w:cs="宋体"/>
                <w:i w:val="0"/>
                <w:iCs w:val="0"/>
                <w:color w:val="000000"/>
                <w:sz w:val="24"/>
                <w:szCs w:val="24"/>
                <w:highlight w:val="none"/>
                <w:u w:val="none"/>
                <w:lang w:val="en-US" w:eastAsia="zh-CN" w:bidi="ar"/>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清光绪五年文庙圣贤神像碑（一）</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清光绪五年文庙圣贤神像碑（十一）</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清光绪五年文庙圣贤神像碑（十二）</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清光绪五年文庙圣贤神像碑（十三）</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清光绪五年文庙圣贤神像碑（十四）</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清光绪五年文庙圣贤神像碑（十五）</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清光绪五年文庙圣贤神像碑（十七）</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清光绪五年文庙圣贤神像碑（十八）</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清光绪五年文庙圣贤神像碑（十九）</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清光绪五年文庙圣贤神像碑（二）</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清光绪五年文庙圣贤神像碑（二十）</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清光绪五年文庙圣贤神像碑（三）</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清光绪五年文庙圣贤神像碑（四）</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清光绪五年文庙圣贤神像碑（五）</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清光绪五年文庙圣贤神像碑（七）</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清光绪五年文庙圣贤神像碑（八）</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清光绪五年文庙圣贤神像碑（九）</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清论语残碑-10</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清论语残碑-11</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清论语残碑-12</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清论语残碑-13</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清论语残碑-14（残）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清论语残碑-15</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清论语残碑-16（残）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清论语残碑-17（残）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清论语残碑-18</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清论语残碑-19</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清论语残碑-20</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清论语残碑-21</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清论语残碑-22</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清论语残碑-23（残）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清论语残碑-24</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清论语残碑-25</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清论语残碑-26</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清论语残碑-27（残）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清论语残碑-28</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清论语残碑-29（残）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清论语残碑-30</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清论语残碑-31（残）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清论语残碑-32（残）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清论语残碑-33（残）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清论语残碑-34</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清论语残碑-35</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清论语残碑-36（残）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清论语残碑-37</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清论语残碑-38</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清论语残碑-39</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清论语残碑-40</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清论语残碑-41</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清论语残碑-42（残）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清论语残碑-43</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清论语残碑-44</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清论语残碑-45</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清论语残碑-46</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清论语残碑-47（残）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清论语残碑-48</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清论语残碑-49</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清论语残碑-50</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清论语残碑-51</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清论语残碑-52</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清论语残碑-53</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清论语残碑-54（残）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清论语残碑-55</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清论语残碑-56</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清论语残碑-6</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清论语残碑-7（残）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清论语残碑-8</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清论语残碑-9（残）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清大学残碑-1（残）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清大学残碑-2（残）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清大学残碑-3</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清大学残碑-4</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清中庸残碑-1（残）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清中庸残碑-10（残）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清中庸残碑-2（残）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清中庸残碑-3</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清中庸残碑-4</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清中庸残碑-5（残）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清中庸残碑-6（残）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清中庸残碑-7（残）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清中庸残碑-8</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清中庸残碑-9</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清孝经残碑-1（残）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清孝经残碑-2</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清孝经残碑-3</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清孝经残碑-4（残）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清孝经残碑-5</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清孝经残碑-6</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清孝经残碑-7</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清孝经残碑-8（残）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清阮元跋阙里石经碑（残）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清同治十三年应宝时跋阙里石经碑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近现代孔子圣迹之图碑（一）</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近现代孔子圣迹之图碑（十一）</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近现代孔子圣迹之图碑（十二）</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近现代孔子圣迹之图碑（十三）</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近现代孔子圣迹之图碑（十四）</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近现代孔子圣迹之图碑（十五）</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近现代孔子圣迹之图碑（十七）</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近现代孔子圣迹之图碑（十八）</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近现代孔子圣迹之图碑（十九）</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近现代孔子圣迹之图碑（二十一）</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近现代孔子圣迹之图碑（二十二）</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近现代孔子圣迹之图碑（二十三）</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近现代孔子圣迹之图碑（二十四）</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近现代孔子圣迹之图碑（二十五）</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近现代孔子圣迹之图碑（二十七）</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近现代孔子圣迹之图碑（二十八）</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近现代孔子圣迹之图碑（二十九）</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近现代孔子圣迹之图碑（三十）</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近现代孔子圣迹之图碑（三十一）</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近现代孔子圣迹之图碑（三十二）</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近现代孔子圣迹之图碑（三十三）</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近现代孔子圣迹之图碑（三十四）</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近现代孔子圣迹之图碑（三十五）</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近现代孔子圣迹之图碑（三十六）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近现代孔子圣迹之图碑（四）</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近现代孔子圣迹之图碑（五）</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近现代孔子圣迹之图碑（七）</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近现代孔子圣迹之图碑（八）</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近现代孔子圣迹之图碑（九）</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近现代孟子圣迹之图碑（一）</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近现代孟子圣迹之图碑（二）</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近现代孟子圣迹之图碑（三）</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近现代孟子圣迹之图碑（四）</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近现代孟子圣迹之图碑（五）</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近现代孟子圣迹之图碑（六）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近现代孟子圣迹之图碑（七）</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rPr>
            </w:r>
            <w:r/>
          </w:p>
        </w:tc>
      </w:tr>
      <w:tr>
        <w:trPr>
          <w:trHeight w:val="454"/>
        </w:trPr>
        <w:tc>
          <w:tcPr>
            <w:gridSpan w:val="3"/>
            <w:shd w:val="clear" w:color="auto" w:fill="ffffff"/>
            <w:tcW w:w="9761" w:type="dxa"/>
            <w:vAlign w:val="center"/>
            <w:textDirection w:val="lrTb"/>
            <w:noWrap/>
          </w:tcPr>
          <w:p>
            <w:pPr>
              <w:pStyle w:val="945"/>
              <w:jc w:val="both"/>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二、崇圣祠</w:t>
            </w:r>
            <w:r>
              <w:rPr>
                <w:rFonts w:ascii="宋体" w:hAnsi="宋体" w:eastAsia="宋体" w:cs="宋体"/>
                <w:i w:val="0"/>
                <w:iCs w:val="0"/>
                <w:color w:val="000000"/>
                <w:sz w:val="24"/>
                <w:szCs w:val="24"/>
                <w:highlight w:val="none"/>
                <w:u w:val="none"/>
                <w:lang w:val="en-US" w:eastAsia="zh-CN" w:bidi="ar"/>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民国十年永华颜料公所创立记碑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清嘉庆二十四年太上感应篇（一）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清嘉庆二十四年太上感应篇（二）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清嘉庆二十四年太上感应篇（三）</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清嘉庆二十四年太上感应篇（四）</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宋故太孺人邹氏圹志（残）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北宋元符元年朱乐圃墓表（残）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北宋治平三年宋故侍其先生墓志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南宋淳祐宋赵綝墓志（表）</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南宋淳熙十四年宋故叶公圹志（残）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北宋绍圣二年宋故京兆章君墓志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北宋绍圣二年宋故京兆章君墓志（盖）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北宋绍圣二年宋故京兆章君妻张氏墓志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strike w:val="0"/>
                <w:color w:val="000000"/>
                <w:sz w:val="24"/>
                <w:szCs w:val="24"/>
                <w:highlight w:val="none"/>
                <w:u w:val="none"/>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14</w:t>
            </w:r>
            <w:r>
              <w:rPr>
                <w:rFonts w:hint="eastAsia" w:ascii="宋体" w:hAnsi="宋体" w:eastAsia="宋体" w:cs="宋体"/>
                <w:i w:val="0"/>
                <w:iCs w:val="0"/>
                <w:strike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strike w:val="0"/>
                <w:color w:val="000000"/>
                <w:sz w:val="24"/>
                <w:szCs w:val="24"/>
                <w:highlight w:val="none"/>
              </w:rPr>
              <w:suppressLineNumbers w:val="0"/>
            </w:pPr>
            <w:r>
              <w:rPr>
                <w:rFonts w:hint="eastAsia" w:ascii="宋体" w:hAnsi="宋体" w:eastAsia="宋体" w:cs="宋体"/>
                <w:i w:val="0"/>
                <w:iCs w:val="0"/>
                <w:strike w:val="0"/>
                <w:color w:val="000000"/>
                <w:sz w:val="24"/>
                <w:szCs w:val="24"/>
                <w:highlight w:val="none"/>
                <w:lang w:val="en-US" w:eastAsia="zh-CN" w:bidi="ar"/>
              </w:rPr>
              <w:t xml:space="preserve">元故宁国路总管推官杨君墓志（残）</w:t>
            </w:r>
            <w:r>
              <w:rPr>
                <w:rFonts w:hint="eastAsia" w:ascii="宋体" w:hAnsi="宋体" w:eastAsia="宋体" w:cs="宋体"/>
                <w:i w:val="0"/>
                <w:iCs w:val="0"/>
                <w:strike w:val="0"/>
                <w:color w:val="000000"/>
                <w:sz w:val="24"/>
                <w:szCs w:val="24"/>
                <w:highlight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strike w:val="0"/>
                <w:color w:val="000000"/>
                <w:sz w:val="24"/>
                <w:szCs w:val="24"/>
                <w:highlight w:val="none"/>
              </w:rPr>
              <w:suppressLineNumbers w:val="0"/>
            </w:pPr>
            <w:r>
              <w:rPr>
                <w:rFonts w:hint="eastAsia" w:ascii="宋体" w:hAnsi="宋体" w:eastAsia="宋体" w:cs="宋体"/>
                <w:i w:val="0"/>
                <w:iCs w:val="0"/>
                <w:strike w:val="0"/>
                <w:color w:val="000000"/>
                <w:sz w:val="24"/>
                <w:szCs w:val="24"/>
                <w:highlight w:val="none"/>
                <w:lang w:val="en-US" w:eastAsia="zh-CN" w:bidi="ar"/>
              </w:rPr>
              <w:t xml:space="preserve">三级</w:t>
            </w:r>
            <w:r>
              <w:rPr>
                <w:rFonts w:hint="eastAsia" w:ascii="宋体" w:hAnsi="宋体" w:eastAsia="宋体" w:cs="宋体"/>
                <w:i w:val="0"/>
                <w:iCs w:val="0"/>
                <w:strike w:val="0"/>
                <w:color w:val="000000"/>
                <w:sz w:val="24"/>
                <w:szCs w:val="24"/>
                <w:highlight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元故祐之郭君圹志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元大德十年先妣邵氏墓志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元承化祝君圹志（残）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元皇庆二年吕仪之墓志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明天顺四年朝列大夫四川布政右参议周公墓志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明嘉靖二十二年杨府君墓志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明成化二十年马克昭墓志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明成化二十年马克昭墓志（盖）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明成化十一年故吕翁宗纯合葬墓志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明成化十一年故吕翁宗纯合葬墓志（盖）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明宣德九年故陈景祥墓志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明宣德九年故陈景祥墓志（盖）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明景泰六年故处士张仲修墓志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明景泰六年故处士张仲修墓志（盖）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明景泰七年菊轩周处士墓志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明景泰七年菊轩周处士墓志（盖）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明弘治六年义丞马廷辉妻周氏墓志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明弘治六年义丞马廷辉妻周氏墓志（盖）（残）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明弘治十年陈與贞继室王孺人墓志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明天顺元年故颖川陈叔瑛墓志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明天顺元年故颖川陈叔瑛墓志（盖）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明弘治十二年顾宗善墓志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明正统十二年故周处士墓志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明正德元年明故耕樵邹处士墓志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明正德元年明故耕樵邹处士墓志（盖）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明嘉靖十四年明故有竹山人钱君墓志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明嘉靖十四年明故有竹山人钱君墓志（盖）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明正德四年范启东墓志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明正德四年范启东墓志（盖）（残）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明成化十三年明故晚怡何公（叔器）墓志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明成化十三年明故晚怡何公（叔器）墓志（盖）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明天顺四年广东右布政使黎公墓志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明天顺四年广东右布政使黎公墓志（盖）（残）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明正统十一年故陈均墓志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明正统十一年故陈均墓志(盖）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明嘉靖十四年封太淑人唐氏墓志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明嘉靖十四年封太淑人唐氏墓志（盖）（残）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明正德十年怡竹沈君墓志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明正德十年怡竹沈君墓志（盖）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明景泰元年管处士墓志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明景泰元年管处士墓志（盖）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清乾隆三十七年清陶公廷献墓志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清乾隆三十七年清陶公廷献墓志（盖）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民国十八年张吴王母曹太妃墓碑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元至正二十四年沈处士仲说墓志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元至正二十四年沈处士仲说墓志（盖）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明正统十年故处士王敏中墓志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明正统十一年陈景祯墓志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明正统十一年陈景祯墓志（盖）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明景泰四年王敏中妻吴氏孺人墓志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明景泰四年王敏中妻吴氏孺人墓志（盖）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明景泰五年明故封太安人陆氏圹志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明景泰五年明故封太安人陆氏圹志（盖）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明景泰七年故处士张季良墓志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明景泰七年故处士张季良墓志（盖）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明景泰七年故施母万孺人墓志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明景泰七年故施母万孺人墓志（盖）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明景泰七年吴文茂墓志（残）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明景泰七年吴文茂墓志（盖）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明景泰吴文茂妻吴氏墓志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明景泰吴文茂妻吴氏墓志（盖）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明天顺明故承德郎广西都司断事唐公墓志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明天顺明故承德郎广西都司断事唐公墓志（盖）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明成化二年故管惟学墓志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明成化二年故管惟学墓志（盖）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明成化十九年何叔器妻周硕人墓志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明弘治六年李母胡孺人墓志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明弘治六年陈宗仁夫妇合葬墓志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明弘治十五年陈均美妻吴硕人墓志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明弘治十五年陈均美妻吴硕人墓志（盖）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明弘治十六年徐良贵墓志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明弘治十六年徐良贵墓志（盖）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明弘治张惟谦妻尹硕人墓志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明弘治张惟谦妻尹硕人墓志（盖）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明弘治十八年夏仲文墓志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明弘治十八年夏仲文墓志（盖）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明正德二年顾宗善妻张硕人墓志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明正德二年顾宗善妻张硕人墓志（盖）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明正德八年范母朱硕人墓志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明正德八年范母朱硕人墓志（盖）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明嘉靖四年夏廷礼妻陆硕人墓志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明嘉靖四年夏廷礼妻陆硕人墓志（盖）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民国十四年福神殿记碑(并捐款名录)</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民国曹文麟书关圣帝君四愿碑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明万历四年明故宜槐贾君墓志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明万历四年明故宜槐贾君墓志（盖）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明天顺明徐氏父母合葬墓志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明天顺明徐氏父母合葬墓志（盖）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明嘉靖明故处士顾元鼎墓志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明嘉靖明故处士顾元鼎墓志（盖）（残）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明正统陈叔瑛妻张氏墓志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明陈叔瑛妻张氏墓志（盖）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明先妣封太安人陈氏墓志（残）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明范希远墓志（残）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清行书诗碑-6</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清行书诗碑-7</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清行书诗碑-8</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清行书诗碑-9</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清行书诗碑-10</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清重修观音庵记碑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清同治十年苏州府木业公所告示碑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清嘉庆十二年三茅殿重修斗姆阁记碑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清光绪十七年灵鹫寺换田碑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清行书诗碑-11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朱熹诗条石</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清嘉庆十八年灵鹫寺增置田屋记碑-1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清灵鹫寺募请藏经启碑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清九成宫醴泉铭残碑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清乾隆四十一年义庄重建节孝祠恭记(诗)五首-2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清般若波罗密多心经碑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清道光九年集文徵明楷书咏怀诗条石-1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清乾隆三十年重修吴相伍大夫庙记碑-1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清乾隆三十年重修吴相伍大夫庙记碑-2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清汉东海庙碑残字帖（残）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清祭孔残碑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民国十二年“乐士居”题额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民国“曲石寄庐”题额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民国“曲石精庐”题额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民国十二年“听泉楼”题额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苏申玉业同人义冢捐助收支碑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清上海南北市钱业众商等捐款碑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道光二十四年“可人深处”题额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民国十三年“尊闻行知”题额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民国十二年“景遂堂”题额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民国“澄怀游古”题额碑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民国陈去病书“此是桃源”额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民国“焦山图”题额碑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民国章士钊书“退庐”题额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清道光四年“云林手翰”题额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清余静斋等捐款碑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清道光二十五年捐款碑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清吴廷桂等捐款碑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清义田碑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清元孚洋行等捐款碑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清修蟾宫桥百狮子桥捐款碑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清陆绍洲等捐款碑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清蒋少华等捐款碑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清光绪三十年松鹤楼等捐款碑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清南荫义庄捐田碑-2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清义田碑（残）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清南荫义庄捐田碑-1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清人和瑞等捐款碑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清张啸岩等捐款碑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民国五年金阊上塘大街修建碑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清道光十七年漆作业创建性善公所伙友捐助姓名碑之三（礼字）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民国三十五年黄万顺等捐款碑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清周廷财等捐款碑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清袁万福等捐款碑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民国许家鼎墓志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民国许家鼎墓志（盖）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清乾隆年间公信号等捐款碑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清同治十年捐款碑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清道光十七年漆作业创建性善公所伙友捐助姓名碑之四（信字）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民国刘子传-6</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民国刘子传-7</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民国刘子传-8</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民国刘子传-9</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民国刘子传-10</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清韡园千字文-1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清韡园千字文-3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清道光二十九年捐款开支碑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清尢仁泉等捐款碑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清道光十七年漆作业创建性善公所伙友捐助姓名碑之五（义字）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清强寿昌等捐款碑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清源字号捐款碑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清光绪二十三年武林杭线会馆记碑-2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清韡园千字文-4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清张庆德等捐款碑（残）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清世善堂等捐款碑（残）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清义田碑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清光绪十六年玉业存义会建造东西楼房并申明黄公贻助清单碑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清嘉庆二十五年吴县为龙瑞尼庵基地晓谕告示碑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民国五年重建礼茶公所碑记</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清咸丰元年长庆会等捐款碑（性善公所捐款碑）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清周宣王庙捐款碑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清刺绣业捐款碑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清韡园千字文-5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清周锷行书千字文残碑-1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清曹文麟书金刚经条石-6</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清周锷行书千字文残碑-2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清曹文麟书金刚经条石-7</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清周锷行书千字文残碑-3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清徐月庄等捐款碑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民国十二年存义会得碑记</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民国十二年吴门存义会得碑记</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民国十一年水木作梓义公所增工价碑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清建造地姆佛龛砌造驳岸加高围墙三项收支报捐碑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清周锷草书千字文残碑-1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清间架结构百法残碑（残）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清间架结构百法残碑（残）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清光绪元年姑苏重建张忠敏公祠记碑（一）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清光绪二十一年张忠敏公祠公产记碑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民国十四年水木作梓义公所增工价碑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清周锷草书千字文残碑-2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清周锷草书千字文残碑-3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民国二十八年水木作梓义公所增工价碑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清韡园千字文-2（残）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清周锷楷书千字文-1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清曹文麟书金刚经条石-8</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清曹文麟书金刚经条石-9</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清曹文麟书金刚经条石-10</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清行书诗碑（残）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清曹文麟书金刚经条石-16</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清曹文麟书金刚经条石-17</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清周锷楷书千字文-2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明张氏墓誌（忆亲刘廷聘妻张氏之墓）</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明张氏墓誌（忆亲刘廷聘妻张氏之墓）（盖）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清附注金刚经条石-6</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清附注金刚经条石-7</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清附注金刚经条石-8</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清附注金刚经条石-9</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清附注金刚经条石-10</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清附注金刚经条石-11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清附注金刚经条石-12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清附注金刚经条石-13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清金刚般若波罗蜜经碑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清释觉源昙公衣塔铭碑（三）</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清释觉源昙公衣塔铭碑（四）</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清释觉源昙公衣塔铭碑（五）</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清释觉源昙公衣塔铭碑（七）</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清释觉源昙公衣塔铭碑（八）</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清释觉源昙公衣塔铭碑（九）</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民国十二年重兴宝莲寺越岸法师碑（一）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民国十二年重兴宝莲寺越岸法师碑（二）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民国十二年重兴宝莲寺越岸法师碑（三）</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民国十二年重兴宝莲寺越岸法师碑（四）</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清多喜众记碑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清赵孟頫书天净沙词二首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清观音梦授经碑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清汪士鋐临同州圣教序碑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明先君吕伟年墓志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清同治三年行书孙过庭书谱-6</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清同治三年行书孙过庭书谱-7</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清乾隆十九年李翰林大鹏赋（并序）碑-2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清苏州创建浙江会馆碑记</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清道光十二年苏州府公文碑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清记事残碑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清道光三年增建江南通省财帛使司三堂碑记</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清同治三年行书孙过庭书谱-8</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清重建张忠敏公祠记碑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清同治三年行书孙过庭书谱-9</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清同治三年行书孙过庭书谱-10</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清同治三年行书孙过庭书谱-11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清同治三年行书孙过庭书谱-3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清周锷自题诗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清韠园法古帖之般若波罗蜜多心经碑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清定武兰亭-1（残）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清定武兰亭-2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清嘉庆十年周锷书荆州论碑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清枯树赋碑-1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清枯树赋碑-2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民国二十四年隐贫会供奉关帝圣像记碑（一）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民国二十四年隐贫会供奉关帝圣像记碑（二）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清梅麓太守小像跋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清嘉庆十一年周锷书拟潘岳籍田赋碑-1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民国吴县鲍氏传德义庄碑-1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民国吴县鲍氏传德义庄碑-2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宋绍熙四年卜居中(正甫)墓志铭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清道光十二年长洲县为蒋氏义庄祭田立案告示碑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民国九年水木作梓义公所增工价告示碑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清宣统元年清故授资政大夫晋封荣禄大夫文公墓志铭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明故医学正菊所周公墓铭有序</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清陶焘墓志铭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清陶焘墓志铭（盖）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吴越春秋陈府君墓铭并序</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民国吴县鲍氏传德义庄碑-3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清周宣灵王庙捐款碑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清王巳成等捐款碑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清周宣灵王庙捐款碑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清吴郡□毅公祠记碑（残）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清香业公所记事残碑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清许公馆等捐款碑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清光绪二十三年武林杭线会馆记碑-1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清阳湖县知县梁鹏等捐款碑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民国十七年水炉公所发起修缮公所并塑关帝等神像募捐碑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清水源木本祠记碑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民国十九年重修青莲庵捐款碑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清捐款碑（残）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清重修陆包山祠记碑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清咸丰五年苏州相门狮子口炮台刻石</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清广源等捐款碑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清同治十一年翁赠君朴庵传碑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清胡孺人传碑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清朱节母传</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清吴县许节妇传碑之一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清光绪十八年顾文彬墓志（一）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清光绪十八年顾文彬墓志（二）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清光绪十八年顾文彬墓志（三）</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清许家鼎家传（二）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清董其昌书法帖碑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清五百名贤祠跋碑（跋三）</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清苏州位育堂记碑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清撤楼记</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清传经堂法帖钟太傅</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清道光九年集文徵明楷书咏怀诗条石-2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清沈度书敬斋箴</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清柳絮诗四首碑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清赵孟頫天冠山题咏残碑-3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清赵孟頫《灵隐大川济禅师塔铭》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清修身传教碑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清赵孟頫望江南净土词</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清道光九年集文徵明楷书咏怀诗条石-3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清乾隆十九年李翰林大鹏赋（并序）碑-1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清草书千字文-1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清草书千字文-2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清光绪十八年捐款碑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清王守仁书《和九柏老仙诗》碑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清邹容传碑（残）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《环香堂法帖》董其昌临怀素、王羲之-1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《环香堂法帖》董其昌临怀素、王羲之-2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清乾隆四十一年义庄重建节孝祠恭记(诗)五首-1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清《游天台山赋》残碑（残）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明嘉靖十六年河东薛君墓志（二）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清吴氏延陵义庄规条碑-1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清吴氏延陵义庄规条碑-2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清吴氏延陵义庄规条碑-3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清吴氏延陵义庄规条碑-4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民国吴县鲍氏传德义庄碑-4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清吴县许孝子传碑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清许家鼎家传（一）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清有元故奉议大夫福建闽海道肃政廉访副使仇府君墓碑铭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大元敕藏御服之碑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清行书《送刘太冲序》</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清玉版十三行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清草书杜甫《秦州杂诗二十首》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清留园董其昌书法条石</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清康熙御临赵孟頫修竹赋碑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清戏鸿堂帖（残）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清邹容传碑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清怀仁集圣教序碑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清有元故奉议大夫福建闽海道肃政廉访副使仇府君墓碑铭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清韩愈像碑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清乾隆十九年李翰林大鹏赋（并序）碑-3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清乾隆十九年李翰林大鹏赋（并序）碑-4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清求是斋石刻碑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清乾隆五十二年《朱子治家格言》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清顾大澜传碑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清礼字号捐款碑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清范石湖学士降乩诗碑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清捐款碑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清《九成宫醴泉铭》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清右将军赞碑（残）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清百家姓碑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清文徵明跋书法残碑（残）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明正统十一年徐氏夫妇合葬墓</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清春日梅园小集次韻残碑（残）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清乾隆书“寒山千尺雪”扇面诗碑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清范石湖学士降乩诗碑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清杨德埙墓志铭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清范石湖学士降乩诗碑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清杨德埙墓志铭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清顾大澜传碑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明嘉靖十六年河东薛君墓志（一）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清杨德埙墓志铭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清嘉庆周锷书钟繇荐关内侯季直碑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清佛说阿弥陀佛说经</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清《外制制敕六十七首》残碑（残）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清范石湖学士降乩诗碑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清董其昌行书残碑（残）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清记事残碑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清道光十七年玄妙观修上真宫记碑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清赵孟頫天冠山题咏残碑-1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清吴县许节妇传碑之二（残）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清许母蓝太夫人家传碑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清同治五年恤孤局创建记碑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清顾公墓志铭（顾春江）</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清光绪十四年书法碑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清嘉庆十一年周锷书拟潘岳籍田赋碑-2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明成化五年吕吉民继室王氏墓志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明成化五年吕吉民继室王氏墓志（盖）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民国十一年凌澧先生传碑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清范文正公手札二通吴宽、费宷跋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清嘉庆十八年灵鹫寺增置田屋记碑-3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清光绪元年姑苏重建张忠敏公祠记碑（三）</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清文昌帝君阴隲文碑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清嘉庆十八年灵鹫寺增置田屋记碑-2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清《九成宫醴泉铭》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民国十一年凌澧先生传碑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清颜真卿《让宪部尚书表》</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清刻经古课艺碑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清董其昌书法碑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清光绪十四年宝应成心巢先生送江夏赵豖树先生序-1</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清光绪十四年宝应成心巢先生送江夏赵豖树先生序-2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民国十一年凌澧先生传碑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民国吴县鲍氏传德义庄碑-5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清白居易《琵琶行》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清《九成宫醴泉铭》（残）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清瞽先生传碑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清同治十三年重建张宣公祠记碑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清名人诗词</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清光绪十四年宝应成心巢先生送江夏赵豖树先生序-3</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清赵孟頫古迹说碑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清饮酒诗碑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清□□堂诗帖碑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清赵孟頫天冠山题咏残碑-2</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清光绪元年姑苏重建张忠敏公祠记碑（二）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清“怀也”题额碑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清惠栋手札（叶恭绰跋）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清道光九年集文徵明楷书咏怀诗条石-5</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清书法条石碑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清梅石几铭（并序）碑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清钱大昕书文</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清五十初度书怀碑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清汪士鋐书赤壁赋碑（一）</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清汪士鋐书赤壁赋碑（二）</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清苏轼《答谢民师推官书》</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清光绪十四年宝应成心巢先生送江夏赵豖树先生序-4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清文正书院刻石记碑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清咸丰八年移建梅江申公祠记碑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清道光九年集文徵明楷书咏怀诗条石-4</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清间架结构百法残碑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民国二年王思训书诗碑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民国杨仲子书鲁迅格言碑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清阿弥陀佛像碑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清弥勒佛詠碑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清观音像碑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明故松月翁墓志铭(盖)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明故昭勇将军前金山卫指挥使翁君（勳）墓志铭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明故松月翁墓志铭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明故王公圹志（盖）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明永乐二十年故奉议大夫河南开封府同知致仕徐公墓志</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清诰授荣禄大夫总督仓场户部侍郎张公神道碑铭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民国张君润之墓碑铭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清云岩府君墓碑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明正统九年潘先生夫妇合葬墓志铭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明正统九年潘先生夫妇合葬墓志铭（盖）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清戒杀箴碑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清皇清王公墓志（盖）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明故管惟学继室张孺人墓志铭（盖）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明故冢妇朱氏圹志铭</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明管亨敬墓志铭（盖）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明故李廷珍妻曹硕人墓志铭（盖）</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清顾元熙临《荔子碑》</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故张处士同妻何硕人合葬墓铭（残）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故西村处士周公之墓（盖）（残）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邹大将军相关碑刻（残）</w:t>
            </w:r>
            <w:r>
              <w:rPr>
                <w:rFonts w:hint="eastAsia" w:ascii="宋体" w:hAnsi="宋体" w:eastAsia="宋体" w:cs="宋体"/>
                <w:b/>
                <w:bCs/>
                <w:i w:val="0"/>
                <w:iCs w:val="0"/>
                <w:color w:val="000000"/>
                <w:sz w:val="24"/>
                <w:szCs w:val="24"/>
                <w:highlight w:val="none"/>
                <w:u w:val="none"/>
                <w:lang w:val="en-US" w:eastAsia="zh-CN" w:bidi="ar"/>
              </w:rPr>
              <w:t xml:space="preserve">（3件）</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书法残碑（残）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书法碑刻（残）</w:t>
            </w:r>
            <w:r>
              <w:rPr>
                <w:rFonts w:hint="eastAsia" w:ascii="宋体" w:hAnsi="宋体" w:eastAsia="宋体" w:cs="宋体"/>
                <w:i w:val="0"/>
                <w:iCs w:val="0"/>
                <w:color w:val="000000"/>
                <w:sz w:val="24"/>
                <w:szCs w:val="24"/>
                <w:highlight w:val="none"/>
                <w:u w:val="none"/>
              </w:rPr>
            </w:r>
            <w:r/>
          </w:p>
        </w:tc>
        <w:tc>
          <w:tcPr>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gridSpan w:val="3"/>
            <w:tcW w:w="9761" w:type="dxa"/>
            <w:vAlign w:val="center"/>
            <w:textDirection w:val="lrTb"/>
            <w:noWrap/>
          </w:tcPr>
          <w:p>
            <w:pPr>
              <w:pStyle w:val="945"/>
              <w:jc w:val="both"/>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三、韦白二公祠</w:t>
            </w:r>
            <w:r>
              <w:rPr>
                <w:rFonts w:ascii="宋体" w:hAnsi="宋体" w:eastAsia="宋体" w:cs="宋体"/>
                <w:i w:val="0"/>
                <w:iCs w:val="0"/>
                <w:color w:val="000000"/>
                <w:sz w:val="24"/>
                <w:szCs w:val="24"/>
                <w:highlight w:val="none"/>
                <w:u w:val="none"/>
                <w:lang w:val="en-US" w:eastAsia="zh-CN" w:bidi="ar"/>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清咸丰八年苏州府禁止匪棍冒收检卖造作还魂纸碑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清同治十年吴县禁扰福济观修复碑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清宣统二年元长吴三县禁在福济观堆放货物建造粪坑停泊粪船有妨修复碑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清乾隆元年迁吴始祖丽水府君祠堂碑（残）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清乾隆二十五年重建伯通桥铭</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民国十一年流芳亭记碑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清嘉庆二十年江南江苏等处提刑按察使司关于陆尸、浮尸处置规定碑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清道光十二年苏州府为蒋燦专祠祭义田及春秋祭祀规条晓谕告示碑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清同治十年苏藩核准翁氏捐设义庄并禁不肖子孙盗卖及富室强宗谋吞受买碑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清光绪十二年苏藩为长洲县职员杭安福捐置祭义田亩给发执帖并禁不肖子孙盗卖及富室强宗谋吞受买碑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清光绪十五年绝卖房屋契执帖碑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清光绪二十一年祥丰等号捐款碑（残）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明嘉靖五年长洲县九都二十图里社碑（残）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民国二十五年吴县总工会整理委员会令碑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民国“凤起亭”题额碑（残）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清光绪二十二年修寺院捐款碑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清道光十六年浒墅关镇捐款碑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清吴氏延陵义庄规条碑-5（残）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清吴氏延陵义庄规条碑-6（残）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清乾隆御笔对联（上）</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清乾隆御笔对联（下）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清禅兴寺桥重修记并捐款碑（残）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民国长生会修缮捐款碑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清光绪二十八年面业公所捐款碑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清光绪二十一年立永远绝卖土地契据碑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清嘉庆二十年韩氏祭义田给执照碑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民国艺园记碑（残）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民国五年重建礼茶公所碑记（残）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清光绪元年平江沈氏祠堂记碑（残）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民国十二年吴县禁扰药师庵告示碑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清“苏州府锡类堂”界石（残）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清道光十八年禁占元和吴氏墓地碑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清乾隆五十九年乾隆瘟疫碑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ffffff"/>
            <w:tcW w:w="7483"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民国二十八年“雪滩泉”题额碑（残）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一般文物</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清重建伯通桥记（残）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明长洲县里社碑（残）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清工商经济碑刻（残）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清光绪十六年望湖桥公输碑（残）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民国工商经济碑（残）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民国碑刻（残）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江南江苏等处提刑按察使司关于陆尸、浮尸处置规定碑（残）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一等水准点桩石</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永福庵界石</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民国保护周良济等家祠相关禁约碑刻（残）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砚山阡题额</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葛余庆堂题额</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米芾行草易说书法碑</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大佛庵界石</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西禅寺界石</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咸丰御题匡弼和衷题额（残）</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r>
        <w:trPr>
          <w:trHeight w:val="454"/>
        </w:trPr>
        <w:tc>
          <w:tcPr>
            <w:shd w:val="clear" w:color="auto" w:fill="ffffff"/>
            <w:tcW w:w="926"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7483" w:type="dxa"/>
            <w:vAlign w:val="center"/>
            <w:textDirection w:val="lrTb"/>
            <w:noWrap/>
          </w:tcPr>
          <w:p>
            <w:pPr>
              <w:pStyle w:val="94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一等测绘点桩石</w:t>
            </w:r>
            <w:r>
              <w:rPr>
                <w:rFonts w:hint="eastAsia" w:ascii="宋体" w:hAnsi="宋体" w:eastAsia="宋体" w:cs="宋体"/>
                <w:i w:val="0"/>
                <w:iCs w:val="0"/>
                <w:color w:val="000000"/>
                <w:sz w:val="24"/>
                <w:szCs w:val="24"/>
                <w:highlight w:val="none"/>
                <w:u w:val="none"/>
              </w:rPr>
            </w:r>
            <w:r/>
          </w:p>
        </w:tc>
        <w:tc>
          <w:tcPr>
            <w:shd w:val="clear" w:color="auto" w:fill="ffffff"/>
            <w:tcW w:w="135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未定级</w:t>
            </w:r>
            <w:r>
              <w:rPr>
                <w:rFonts w:hint="eastAsia" w:ascii="宋体" w:hAnsi="宋体" w:eastAsia="宋体" w:cs="宋体"/>
                <w:i w:val="0"/>
                <w:iCs w:val="0"/>
                <w:color w:val="000000"/>
                <w:sz w:val="24"/>
                <w:szCs w:val="24"/>
                <w:highlight w:val="none"/>
                <w:u w:val="none"/>
              </w:rPr>
            </w:r>
            <w:r/>
          </w:p>
        </w:tc>
      </w:tr>
    </w:tbl>
    <w:p>
      <w:pPr>
        <w:pStyle w:val="945"/>
        <w:numPr>
          <w:ilvl w:val="0"/>
          <w:numId w:val="0"/>
        </w:num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rPr>
        <w:t xml:space="preserve">服务内容</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tbl>
      <w:tblPr>
        <w:tblStyle w:val="1142"/>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1290"/>
        <w:gridCol w:w="5175"/>
        <w:gridCol w:w="1080"/>
        <w:gridCol w:w="1196"/>
      </w:tblGrid>
      <w:tr>
        <w:trPr>
          <w:trHeight w:val="567"/>
        </w:trPr>
        <w:tc>
          <w:tcPr>
            <w:tcW w:w="897"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W w:w="646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服务项目</w:t>
            </w: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67"/>
        </w:trPr>
        <w:tc>
          <w:tcPr>
            <w:tcW w:w="897"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gridSpan w:val="2"/>
            <w:tcW w:w="646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碑刻文物安全风险现状评估服务</w:t>
            </w: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r>
            <w:r/>
          </w:p>
        </w:tc>
      </w:tr>
      <w:tr>
        <w:trPr>
          <w:trHeight w:val="567"/>
        </w:trPr>
        <w:tc>
          <w:tcPr>
            <w:tcW w:w="897"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gridSpan w:val="2"/>
            <w:tcW w:w="646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文物清洁除尘服务</w:t>
            </w: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567"/>
        </w:trPr>
        <w:tc>
          <w:tcPr>
            <w:tcW w:w="897"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gridSpan w:val="2"/>
            <w:tcW w:w="646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碑墙修复与环境整治服务</w:t>
            </w: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567"/>
        </w:trPr>
        <w:tc>
          <w:tcPr>
            <w:tcW w:w="897" w:type="dxa"/>
            <w:vAlign w:val="center"/>
            <w:vMerge w:val="restart"/>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90" w:type="dxa"/>
            <w:vAlign w:val="center"/>
            <w:vMerge w:val="restart"/>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专业碑刻智能防护服务</w:t>
            </w: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韦白二公祠东侧碑廊碑刻</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35.63</w:t>
            </w:r>
            <w:r>
              <w:rPr>
                <w:rFonts w:ascii="宋体" w:hAnsi="宋体" w:eastAsia="宋体" w:cs="宋体"/>
                <w:color w:val="000000"/>
                <w:sz w:val="24"/>
                <w:szCs w:val="24"/>
                <w:highlight w:val="none"/>
                <w:lang w:val="en-US" w:eastAsia="zh-CN"/>
              </w:rPr>
            </w:r>
            <w:r/>
          </w:p>
        </w:tc>
      </w:tr>
      <w:tr>
        <w:trPr>
          <w:trHeight w:val="567"/>
        </w:trPr>
        <w:tc>
          <w:tcPr>
            <w:tcW w:w="897"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0"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崇圣祠碑廊碑刻</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157.68</w:t>
            </w:r>
            <w:r>
              <w:rPr>
                <w:rFonts w:ascii="宋体" w:hAnsi="宋体" w:eastAsia="宋体" w:cs="宋体"/>
                <w:color w:val="000000"/>
                <w:sz w:val="24"/>
                <w:szCs w:val="24"/>
                <w:highlight w:val="none"/>
                <w:lang w:val="en-US" w:eastAsia="zh-CN"/>
              </w:rPr>
            </w:r>
            <w:r/>
          </w:p>
        </w:tc>
      </w:tr>
      <w:tr>
        <w:trPr>
          <w:trHeight w:val="567"/>
        </w:trPr>
        <w:tc>
          <w:tcPr>
            <w:tcW w:w="897"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0"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大成殿碑刻</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32.59</w:t>
            </w:r>
            <w:r>
              <w:rPr>
                <w:rFonts w:ascii="宋体" w:hAnsi="宋体" w:eastAsia="宋体" w:cs="宋体"/>
                <w:color w:val="000000"/>
                <w:sz w:val="24"/>
                <w:szCs w:val="24"/>
                <w:highlight w:val="none"/>
                <w:lang w:val="en-US" w:eastAsia="zh-CN"/>
              </w:rPr>
            </w:r>
            <w:r/>
          </w:p>
        </w:tc>
      </w:tr>
      <w:tr>
        <w:trPr>
          <w:trHeight w:val="567"/>
        </w:trPr>
        <w:tc>
          <w:tcPr>
            <w:tcW w:w="897" w:type="dxa"/>
            <w:vAlign w:val="center"/>
            <w:vMerge w:val="restart"/>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290" w:type="dxa"/>
            <w:vAlign w:val="center"/>
            <w:vMerge w:val="restart"/>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碑刻环境监测服务</w:t>
            </w: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文物保存微环境数据监测服务</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567"/>
        </w:trPr>
        <w:tc>
          <w:tcPr>
            <w:tcW w:w="897"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0"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碑刻文物环境监测</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r>
      <w:tr>
        <w:trPr>
          <w:trHeight w:val="567"/>
        </w:trPr>
        <w:tc>
          <w:tcPr>
            <w:tcW w:w="897"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0"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碑刻文物安全监测系统</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567"/>
        </w:trPr>
        <w:tc>
          <w:tcPr>
            <w:tcW w:w="897"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0" w:type="dxa"/>
            <w:vAlign w:val="center"/>
            <w:vMerge w:val="continue"/>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数据传输存储保障服务</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4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945"/>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72"/>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碑刻文物安全风险现状评估服务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本次文物碑刻防护主体，对其文物安全风险现状评估服务，文物安全评估是一个系统性工程，需从物理、环境、管理、技术等多维度综合考量，其中包括：碑刻结构安全、安防、消防、环境安全、管理安全等进行评估，并提供安全风险现状分析报告。</w:t>
      </w:r>
      <w:r>
        <w:rPr>
          <w:rFonts w:hint="eastAsia" w:ascii="宋体" w:hAnsi="宋体" w:eastAsia="宋体" w:cs="宋体"/>
          <w:color w:val="000000"/>
          <w:sz w:val="24"/>
          <w:szCs w:val="24"/>
          <w:highlight w:val="none"/>
        </w:rPr>
      </w:r>
      <w:r/>
    </w:p>
    <w:p>
      <w:pPr>
        <w:pStyle w:val="945"/>
        <w:ind w:firstLine="47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3.2</w:t>
      </w:r>
      <w:r>
        <w:rPr>
          <w:rFonts w:hint="eastAsia" w:ascii="宋体" w:hAnsi="宋体" w:eastAsia="宋体" w:cs="宋体"/>
          <w:b/>
          <w:bCs/>
          <w:color w:val="000000"/>
          <w:sz w:val="24"/>
          <w:szCs w:val="24"/>
          <w:highlight w:val="none"/>
        </w:rPr>
        <w:t xml:space="preserve">文物清洁除尘服务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用专业的除菌技术与科学的清洁手段，精准识别并彻底清除碑刻文物表面及深层附着的各类有害微生物，同时，全面去除因岁月沉淀、环境污染等因素形成的顽固污垢、污渍及其他污染物，且整个清洁过程严格遵循文物保护原则，确保碑刻材质不受任何物理性或化学性损伤，最大程度还原碑刻原本的清晰纹理与色泽。</w:t>
      </w:r>
      <w:r>
        <w:rPr>
          <w:rFonts w:hint="eastAsia" w:ascii="宋体" w:hAnsi="宋体" w:eastAsia="宋体" w:cs="宋体"/>
          <w:color w:val="000000"/>
          <w:sz w:val="24"/>
          <w:szCs w:val="24"/>
          <w:highlight w:val="none"/>
        </w:rPr>
      </w:r>
      <w:r/>
    </w:p>
    <w:p>
      <w:pPr>
        <w:pStyle w:val="945"/>
        <w:ind w:firstLine="47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3.3</w:t>
      </w:r>
      <w:r>
        <w:rPr>
          <w:rFonts w:hint="eastAsia" w:ascii="宋体" w:hAnsi="宋体" w:eastAsia="宋体" w:cs="宋体"/>
          <w:b/>
          <w:bCs/>
          <w:color w:val="000000"/>
          <w:sz w:val="24"/>
          <w:szCs w:val="24"/>
          <w:highlight w:val="none"/>
        </w:rPr>
        <w:t xml:space="preserve">碑墙修复与环境整治服务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碑墙展开全方位的修复工作，仔细排查并填补所有裂缝，确保裂缝修复后墙体结构稳固，不再出现延展或渗漏风险。精心修复破损部位，采用与原材质匹配度高的修复材料，使修复后的区域与周边浑然一体，外观基本无差异。</w:t>
      </w:r>
      <w:r>
        <w:rPr>
          <w:rFonts w:hint="eastAsia" w:ascii="宋体" w:hAnsi="宋体" w:eastAsia="宋体" w:cs="宋体"/>
          <w:color w:val="000000"/>
          <w:sz w:val="24"/>
          <w:szCs w:val="24"/>
          <w:highlight w:val="none"/>
        </w:rPr>
      </w:r>
      <w:r/>
    </w:p>
    <w:p>
      <w:pPr>
        <w:pStyle w:val="945"/>
        <w:ind w:firstLine="47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eastAsia="宋体" w:cs="宋体"/>
          <w:b/>
          <w:bCs/>
          <w:color w:val="000000"/>
          <w:sz w:val="24"/>
          <w:szCs w:val="24"/>
          <w:highlight w:val="none"/>
        </w:rPr>
        <w:t xml:space="preserve">专业碑刻智能防护服务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碑廊碑刻文物提供全方位、定期的专业碑刻智能防护服务，融合前沿科技成果，构建起一套完备且高效的防护体系。通过设置智能防护装备方式，从空间上阻断生物靠近碑刻的路径，有效阻止昆虫、鸟类等生物在碑刻上栖息、筑巢及啃咬。经长期严密监测，为碑刻文物筑牢抵御生物侵害的坚固防线。</w:t>
      </w:r>
      <w:r>
        <w:rPr>
          <w:rFonts w:hint="eastAsia" w:ascii="宋体" w:hAnsi="宋体" w:eastAsia="宋体" w:cs="宋体"/>
          <w:color w:val="000000"/>
          <w:sz w:val="24"/>
          <w:szCs w:val="24"/>
          <w:highlight w:val="none"/>
        </w:rPr>
      </w:r>
      <w:r/>
    </w:p>
    <w:p>
      <w:pPr>
        <w:pStyle w:val="945"/>
        <w:ind w:firstLine="47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3.4.1</w:t>
      </w:r>
      <w:r>
        <w:rPr>
          <w:rFonts w:hint="eastAsia" w:ascii="宋体" w:hAnsi="宋体" w:eastAsia="宋体" w:cs="宋体"/>
          <w:b/>
          <w:bCs/>
          <w:color w:val="000000"/>
          <w:sz w:val="24"/>
          <w:szCs w:val="24"/>
          <w:highlight w:val="none"/>
        </w:rPr>
        <w:t xml:space="preserve">碑刻智能防护装备设计要求如下：</w:t>
      </w:r>
      <w:r>
        <w:rPr>
          <w:rFonts w:hint="eastAsia" w:ascii="宋体" w:hAnsi="宋体" w:eastAsia="宋体" w:cs="宋体"/>
          <w:color w:val="000000"/>
          <w:sz w:val="24"/>
          <w:szCs w:val="24"/>
          <w:highlight w:val="none"/>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根据馆内各类碑刻文物保护需要，需对碑刻智能防护装备</w:t>
      </w:r>
      <w:r>
        <w:rPr>
          <w:rFonts w:hint="eastAsia" w:ascii="宋体" w:hAnsi="宋体" w:eastAsia="宋体" w:cs="宋体"/>
          <w:color w:val="000000"/>
          <w:sz w:val="24"/>
          <w:szCs w:val="24"/>
          <w:highlight w:val="none"/>
        </w:rPr>
        <w:t xml:space="preserve">设计</w:t>
      </w:r>
      <w:r>
        <w:rPr>
          <w:rFonts w:hint="eastAsia" w:ascii="宋体" w:hAnsi="宋体" w:eastAsia="宋体" w:cs="宋体"/>
          <w:color w:val="000000"/>
          <w:sz w:val="24"/>
          <w:szCs w:val="24"/>
          <w:highlight w:val="none"/>
          <w:lang w:val="en-US"/>
        </w:rPr>
        <w:t xml:space="preserve">要求</w:t>
      </w:r>
      <w:r>
        <w:rPr>
          <w:rFonts w:hint="eastAsia" w:ascii="宋体" w:hAnsi="宋体" w:eastAsia="宋体" w:cs="宋体"/>
          <w:color w:val="000000"/>
          <w:sz w:val="24"/>
          <w:szCs w:val="24"/>
          <w:highlight w:val="none"/>
        </w:rPr>
        <w:t xml:space="preserve">：包括碑刻文物智能防护装备定制、照明等本项目所涉及的所有内容的图纸设计、各类专项设计、非标准设备设计和施工图、竣工图编制等工作，以及各类专项审核、审查、各类论证等相关工作。对符合项目设计要求的所有定制</w:t>
      </w:r>
      <w:r>
        <w:rPr>
          <w:rFonts w:hint="eastAsia" w:ascii="宋体" w:hAnsi="宋体" w:eastAsia="宋体" w:cs="宋体"/>
          <w:color w:val="000000"/>
          <w:sz w:val="24"/>
          <w:szCs w:val="24"/>
          <w:highlight w:val="none"/>
          <w:lang w:val="en-US"/>
        </w:rPr>
        <w:t xml:space="preserve">智能防护装备</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rPr>
        <w:t xml:space="preserve">购置</w:t>
      </w:r>
      <w:r>
        <w:rPr>
          <w:rFonts w:hint="eastAsia" w:ascii="宋体" w:hAnsi="宋体" w:eastAsia="宋体" w:cs="宋体"/>
          <w:color w:val="000000"/>
          <w:sz w:val="24"/>
          <w:szCs w:val="24"/>
          <w:highlight w:val="none"/>
        </w:rPr>
        <w:t xml:space="preserve">、安装</w:t>
      </w:r>
      <w:r>
        <w:rPr>
          <w:rFonts w:hint="eastAsia" w:ascii="宋体" w:hAnsi="宋体" w:eastAsia="宋体" w:cs="宋体"/>
          <w:color w:val="000000"/>
          <w:sz w:val="24"/>
          <w:szCs w:val="24"/>
          <w:highlight w:val="none"/>
          <w:lang w:val="en-US"/>
        </w:rPr>
        <w:t xml:space="preserve">调试</w:t>
      </w:r>
      <w:r>
        <w:rPr>
          <w:rFonts w:hint="eastAsia" w:ascii="宋体" w:hAnsi="宋体" w:eastAsia="宋体" w:cs="宋体"/>
          <w:color w:val="000000"/>
          <w:sz w:val="24"/>
          <w:szCs w:val="24"/>
          <w:highlight w:val="none"/>
        </w:rPr>
        <w:t xml:space="preserve">及保修期内的保修、缺陷修复等相关服务工作。</w:t>
      </w:r>
      <w:r>
        <w:rPr>
          <w:rFonts w:hint="eastAsia" w:ascii="宋体" w:hAnsi="宋体" w:eastAsia="宋体" w:cs="宋体"/>
          <w:color w:val="000000"/>
          <w:sz w:val="24"/>
          <w:szCs w:val="24"/>
          <w:highlight w:val="none"/>
        </w:rPr>
      </w:r>
      <w:r/>
    </w:p>
    <w:p>
      <w:pPr>
        <w:pStyle w:val="945"/>
        <w:ind w:firstLine="42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rPr>
        <w:t xml:space="preserve">主体结构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（1）主框架采用不低于50*50*2.0mm规格的优质镀锌矩形管，副框架采用不低于50*50*1.5mm的优质镀锌管。</w:t>
      </w:r>
      <w:r>
        <w:rPr>
          <w:rFonts w:hint="eastAsia" w:ascii="宋体" w:hAnsi="宋体" w:eastAsia="宋体" w:cs="宋体"/>
          <w:color w:val="000000"/>
          <w:sz w:val="24"/>
          <w:szCs w:val="24"/>
          <w:highlight w:val="none"/>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（2）智能防护装备使用的铝型材采用高性能铝锰合金化学材料（6063）生产，壁厚≥3mm，时效状态为T6，韦氏硬度≥8HW，抗拉强度≥205N/平方毫米，非比例延伸强度≥180N/平方毫米，断后伸长率≥8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★（3）外饰面金属板材，应采用厚度≥1.5mm 的冷轧钢板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冷轧钢板应符合GB/T3280</w:t>
      </w:r>
      <w:r>
        <w:rPr>
          <w:rFonts w:hint="eastAsia" w:ascii="宋体" w:hAnsi="宋体" w:eastAsia="宋体" w:cs="宋体"/>
          <w:color w:val="000000"/>
          <w:sz w:val="24"/>
          <w:szCs w:val="24"/>
          <w:highlight w:val="none"/>
          <w:lang w:val="en-US" w:eastAsia="zh-CN"/>
        </w:rPr>
        <w:t xml:space="preserve">-2015</w:t>
      </w:r>
      <w:r>
        <w:rPr>
          <w:rFonts w:hint="eastAsia" w:ascii="宋体" w:hAnsi="宋体" w:eastAsia="宋体" w:cs="宋体"/>
          <w:color w:val="000000"/>
          <w:sz w:val="24"/>
          <w:szCs w:val="24"/>
          <w:highlight w:val="none"/>
        </w:rPr>
        <w:t xml:space="preserve">《不锈钢冷轧钢板和钢带》</w:t>
      </w:r>
      <w:r>
        <w:rPr>
          <w:rFonts w:hint="eastAsia" w:ascii="宋体" w:hAnsi="宋体" w:eastAsia="宋体" w:cs="宋体"/>
          <w:color w:val="000000"/>
          <w:sz w:val="24"/>
          <w:szCs w:val="24"/>
          <w:highlight w:val="none"/>
          <w:lang w:val="en-US" w:eastAsia="zh-CN"/>
        </w:rPr>
        <w:t xml:space="preserve">力学性能</w:t>
      </w:r>
      <w:r>
        <w:rPr>
          <w:rFonts w:hint="eastAsia" w:ascii="宋体" w:hAnsi="宋体" w:eastAsia="宋体" w:cs="宋体"/>
          <w:color w:val="000000"/>
          <w:sz w:val="24"/>
          <w:szCs w:val="24"/>
          <w:highlight w:val="none"/>
        </w:rPr>
        <w:t xml:space="preserve">要求，抗拉强度≥485Mpa；断后伸长率≥40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2"/>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rPr>
        <w:t xml:space="preserve">开启系统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（1）所有智能防护装备开启便捷，避免需要一个以上工作人员操作开启。</w:t>
      </w:r>
      <w:r>
        <w:rPr>
          <w:rFonts w:hint="eastAsia" w:ascii="宋体" w:hAnsi="宋体" w:eastAsia="宋体" w:cs="宋体"/>
          <w:color w:val="000000"/>
          <w:sz w:val="24"/>
          <w:szCs w:val="24"/>
          <w:highlight w:val="none"/>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（2）狭窄空间采用铰链式90°开启设计，常规区域可采用电动推出手动平移开启方式，开度≥70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pageBreakBefore w:val="0"/>
        <w:spacing w:line="360" w:lineRule="auto"/>
        <w:widowControl w:val="off"/>
        <w:rPr>
          <w:rFonts w:hint="eastAsia"/>
          <w:color w:val="000000"/>
          <w:highlight w:val="none"/>
          <w:lang w:val="en-US" w:eastAsia="zh-CN"/>
        </w:rPr>
      </w:pPr>
      <w:r>
        <w:rPr>
          <w:rFonts w:hint="eastAsia" w:ascii="宋体" w:hAnsi="宋体" w:eastAsia="宋体" w:cs="宋体"/>
          <w:color w:val="000000"/>
          <w:sz w:val="24"/>
          <w:szCs w:val="24"/>
          <w:highlight w:val="none"/>
        </w:rPr>
        <w:t xml:space="preserve">（3）</w:t>
      </w:r>
      <w:bookmarkStart w:id="9" w:name="_Toc6060"/>
      <w:r/>
      <w:bookmarkStart w:id="10" w:name="_Toc21638"/>
      <w:r/>
      <w:bookmarkStart w:id="11" w:name="_Toc3459"/>
      <w:r>
        <w:rPr>
          <w:rFonts w:hint="eastAsia" w:ascii="宋体" w:hAnsi="宋体" w:eastAsia="宋体" w:cs="宋体"/>
          <w:color w:val="000000"/>
          <w:sz w:val="24"/>
          <w:szCs w:val="24"/>
          <w:highlight w:val="none"/>
        </w:rPr>
        <w:t xml:space="preserve">锁具应符合GA/T 73</w:t>
      </w:r>
      <w:r>
        <w:rPr>
          <w:rFonts w:hint="eastAsia" w:ascii="宋体" w:hAnsi="宋体" w:eastAsia="宋体" w:cs="宋体"/>
          <w:color w:val="000000"/>
          <w:sz w:val="24"/>
          <w:szCs w:val="24"/>
          <w:highlight w:val="none"/>
          <w:lang w:val="en-US" w:eastAsia="zh-CN"/>
        </w:rPr>
        <w:t xml:space="preserve">-2015</w:t>
      </w:r>
      <w:r>
        <w:rPr>
          <w:rFonts w:hint="eastAsia" w:ascii="宋体" w:hAnsi="宋体" w:eastAsia="宋体" w:cs="宋体"/>
          <w:color w:val="000000"/>
          <w:sz w:val="24"/>
          <w:szCs w:val="24"/>
          <w:highlight w:val="none"/>
        </w:rPr>
        <w:t xml:space="preserve">《机械防盗锁》规定的C级要求。</w:t>
      </w:r>
      <w:bookmarkEnd w:id="9"/>
      <w:r/>
      <w:bookmarkEnd w:id="10"/>
      <w:r/>
      <w:bookmarkEnd w:id="11"/>
      <w:r>
        <w:rPr>
          <w:rFonts w:hint="eastAsia"/>
          <w:color w:val="000000"/>
          <w:highlight w:val="none"/>
          <w:lang w:val="en-US" w:eastAsia="zh-CN"/>
        </w:rPr>
      </w:r>
      <w:r/>
    </w:p>
    <w:p>
      <w:pPr>
        <w:pStyle w:val="945"/>
        <w:ind w:firstLine="42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3.4.2</w:t>
      </w:r>
      <w:r>
        <w:rPr>
          <w:rFonts w:hint="eastAsia" w:ascii="宋体" w:hAnsi="宋体" w:eastAsia="宋体" w:cs="宋体"/>
          <w:b/>
          <w:bCs/>
          <w:color w:val="000000"/>
          <w:sz w:val="24"/>
          <w:szCs w:val="24"/>
          <w:highlight w:val="none"/>
        </w:rPr>
        <w:t xml:space="preserve">材料与工艺要求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2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rPr>
        <w:t xml:space="preserve">展示系统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（1）根据智能防护装备具体设计，采用6+6规格的超白夹胶玻璃，中间夹PVB防紫外线胶片，PVB胶片厚度为0.76mm。</w:t>
      </w:r>
      <w:r>
        <w:rPr>
          <w:rFonts w:hint="eastAsia" w:ascii="宋体" w:hAnsi="宋体" w:eastAsia="宋体" w:cs="宋体"/>
          <w:color w:val="000000"/>
          <w:sz w:val="24"/>
          <w:szCs w:val="24"/>
          <w:highlight w:val="none"/>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）玻璃力学性能应符合GB 15763.3</w:t>
      </w:r>
      <w:r>
        <w:rPr>
          <w:rFonts w:hint="eastAsia" w:ascii="宋体" w:hAnsi="宋体" w:eastAsia="宋体" w:cs="宋体"/>
          <w:color w:val="000000"/>
          <w:sz w:val="24"/>
          <w:szCs w:val="24"/>
          <w:highlight w:val="none"/>
          <w:lang w:val="en-US" w:eastAsia="zh-CN"/>
        </w:rPr>
        <w:t xml:space="preserve">-2009</w:t>
      </w:r>
      <w:r>
        <w:rPr>
          <w:rFonts w:hint="eastAsia" w:ascii="宋体" w:hAnsi="宋体" w:eastAsia="宋体" w:cs="宋体"/>
          <w:color w:val="000000"/>
          <w:sz w:val="24"/>
          <w:szCs w:val="24"/>
          <w:highlight w:val="none"/>
        </w:rPr>
        <w:t xml:space="preserve">《建筑用安全玻璃 第3部分：夹层玻璃》要求，耐热性试验后应无气泡或其它缺陷，耐湿性试验后应无气泡或其它缺陷，落球冲击剥离性能在钢球质量为</w:t>
      </w:r>
      <w:r>
        <w:rPr>
          <w:rFonts w:hint="eastAsia" w:ascii="宋体" w:hAnsi="宋体" w:eastAsia="宋体" w:cs="宋体"/>
          <w:color w:val="000000"/>
          <w:sz w:val="24"/>
          <w:szCs w:val="24"/>
          <w:highlight w:val="none"/>
          <w:lang w:val="en-US" w:eastAsia="zh-CN"/>
        </w:rPr>
        <w:t xml:space="preserve">226</w:t>
      </w:r>
      <w:r>
        <w:rPr>
          <w:rFonts w:hint="eastAsia" w:ascii="宋体" w:hAnsi="宋体" w:eastAsia="宋体" w:cs="宋体"/>
          <w:color w:val="000000"/>
          <w:sz w:val="24"/>
          <w:szCs w:val="24"/>
          <w:highlight w:val="none"/>
        </w:rPr>
        <w:t xml:space="preserve">0±10g冲击高度分别为3000和3800时中间层应未断裂、未暴露，耐辐照性试验后应无显著变色、气泡及浑浊现象。</w:t>
      </w:r>
      <w:r>
        <w:rPr>
          <w:rFonts w:hint="eastAsia" w:ascii="宋体" w:hAnsi="宋体" w:eastAsia="宋体" w:cs="宋体"/>
          <w:color w:val="000000"/>
          <w:sz w:val="24"/>
          <w:szCs w:val="24"/>
          <w:highlight w:val="none"/>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）玻璃光学性能应符合</w:t>
      </w:r>
      <w:r>
        <w:rPr>
          <w:rFonts w:hint="eastAsia" w:ascii="宋体" w:hAnsi="宋体" w:eastAsia="宋体" w:cs="宋体"/>
          <w:color w:val="000000"/>
          <w:sz w:val="24"/>
          <w:szCs w:val="24"/>
          <w:highlight w:val="none"/>
          <w:lang w:val="en-US" w:eastAsia="zh-CN"/>
        </w:rPr>
        <w:t xml:space="preserve">GB/T 2680-2021《建筑玻璃 可见光透射比、太阳光直接透射比、太阳能总透射比、紫外线透射比及有关窗玻璃参数的测定》、</w:t>
      </w:r>
      <w:r>
        <w:rPr>
          <w:rFonts w:hint="eastAsia" w:ascii="宋体" w:hAnsi="宋体" w:eastAsia="宋体" w:cs="宋体"/>
          <w:color w:val="000000"/>
          <w:sz w:val="24"/>
          <w:szCs w:val="24"/>
          <w:highlight w:val="none"/>
        </w:rPr>
        <w:t xml:space="preserve">EN 410：2011《建筑玻璃 玻璃材料可见光和太阳光特性的测定》、HG/T 3862</w:t>
      </w:r>
      <w:r>
        <w:rPr>
          <w:rFonts w:hint="eastAsia" w:ascii="宋体" w:hAnsi="宋体" w:eastAsia="宋体" w:cs="宋体"/>
          <w:color w:val="000000"/>
          <w:sz w:val="24"/>
          <w:szCs w:val="24"/>
          <w:highlight w:val="none"/>
          <w:lang w:val="en-US" w:eastAsia="zh-CN"/>
        </w:rPr>
        <w:t xml:space="preserve">-2006</w:t>
      </w:r>
      <w:r>
        <w:rPr>
          <w:rFonts w:hint="eastAsia" w:ascii="宋体" w:hAnsi="宋体" w:eastAsia="宋体" w:cs="宋体"/>
          <w:color w:val="000000"/>
          <w:sz w:val="24"/>
          <w:szCs w:val="24"/>
          <w:highlight w:val="none"/>
        </w:rPr>
        <w:t xml:space="preserve">《塑料黄色指数试验方法》和GB/T 2410</w:t>
      </w:r>
      <w:r>
        <w:rPr>
          <w:rFonts w:hint="eastAsia" w:ascii="宋体" w:hAnsi="宋体" w:eastAsia="宋体" w:cs="宋体"/>
          <w:color w:val="000000"/>
          <w:sz w:val="24"/>
          <w:szCs w:val="24"/>
          <w:highlight w:val="none"/>
          <w:lang w:val="en-US" w:eastAsia="zh-CN"/>
        </w:rPr>
        <w:t xml:space="preserve">-2008</w:t>
      </w:r>
      <w:r>
        <w:rPr>
          <w:rFonts w:hint="eastAsia" w:ascii="宋体" w:hAnsi="宋体" w:eastAsia="宋体" w:cs="宋体"/>
          <w:color w:val="000000"/>
          <w:sz w:val="24"/>
          <w:szCs w:val="24"/>
          <w:highlight w:val="none"/>
        </w:rPr>
        <w:t xml:space="preserve">《透明塑料透光率和雾度的测定》要求，可见光透射比≥90％，可见光反射比≤10％，紫外线透射比≤1％，显色指数≥9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，黄色指数≤1.5，雾度≤1％。</w:t>
      </w:r>
      <w:r>
        <w:rPr>
          <w:rFonts w:hint="eastAsia" w:ascii="宋体" w:hAnsi="宋体" w:eastAsia="宋体" w:cs="宋体"/>
          <w:color w:val="000000"/>
          <w:sz w:val="24"/>
          <w:szCs w:val="24"/>
          <w:highlight w:val="none"/>
        </w:rPr>
      </w:r>
      <w:r/>
    </w:p>
    <w:p>
      <w:pPr>
        <w:pStyle w:val="945"/>
        <w:ind w:firstLine="42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rPr>
        <w:t xml:space="preserve">密封系统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）密封胶条应符合文物保护要求，拉伸强度≥9Mpa，断裂伸长率≥350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，撕裂强度≥16KN/M，永久变形率≤5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，硬度为HA60±5，具有抗振、抗断裂、抗撕裂、抗老化、抗压缩、寿命持久等特点。</w:t>
      </w:r>
      <w:r>
        <w:rPr>
          <w:rFonts w:hint="eastAsia" w:ascii="宋体" w:hAnsi="宋体" w:eastAsia="宋体" w:cs="宋体"/>
          <w:color w:val="000000"/>
          <w:sz w:val="24"/>
          <w:szCs w:val="24"/>
          <w:highlight w:val="none"/>
        </w:rPr>
      </w:r>
      <w:r/>
    </w:p>
    <w:p>
      <w:pPr>
        <w:pStyle w:val="945"/>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）硅酮结构密封胶应符合 GB16776-2025《建筑用硅酮结构密封胶》标准中2C、SG/AL 技术指标要求，外观无气泡、结块、结皮或凝胶，搅拌后应为细腻均匀膏状物；垂直放置下垂度≤3mm，表干时间≤3h，适用期≤10s，邵氏硬度20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60HA；拉伸粘结强度、剪切强度、定伸粘结性等全项性能满足标准规定，烷烃增塑剂不得检出。</w:t>
      </w:r>
      <w:r>
        <w:rPr>
          <w:rFonts w:hint="eastAsia" w:ascii="宋体" w:hAnsi="宋体" w:eastAsia="宋体" w:cs="宋体"/>
          <w:color w:val="000000"/>
          <w:sz w:val="24"/>
          <w:szCs w:val="24"/>
          <w:highlight w:val="none"/>
          <w:lang w:val="en-US" w:eastAsia="zh-CN"/>
        </w:rPr>
      </w:r>
      <w:r/>
    </w:p>
    <w:p>
      <w:pPr>
        <w:pStyle w:val="945"/>
        <w:ind w:firstLine="42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③照明系统：</w:t>
      </w:r>
      <w:r>
        <w:rPr>
          <w:rFonts w:hint="eastAsia" w:ascii="宋体" w:hAnsi="宋体" w:eastAsia="宋体" w:cs="宋体"/>
          <w:b/>
          <w:bCs/>
          <w:color w:val="000000"/>
          <w:sz w:val="24"/>
          <w:szCs w:val="24"/>
          <w:highlight w:val="none"/>
          <w:lang w:eastAsia="zh-CN"/>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1）照明系统应遵循有利于观赏展品和保护展品的原则，根据不同的展陈内容可调节照明，既要突出陈列效果，又要保护文物，达到安全可靠、经济适用、经久耐用、技术先进、节约环保、维修方便的要求；照度、亮度、眩光、视野、色温、一般显色指数、采光系数等照明设计须符合《博物馆照明设计规范》，并符合相关国家最新标准要求。</w:t>
      </w:r>
      <w:r>
        <w:rPr>
          <w:rFonts w:hint="eastAsia" w:ascii="宋体" w:hAnsi="宋体" w:eastAsia="宋体" w:cs="宋体"/>
          <w:color w:val="000000"/>
          <w:sz w:val="24"/>
          <w:szCs w:val="24"/>
          <w:highlight w:val="none"/>
          <w:lang w:val="en-US"/>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（2）灯具应采用无辐射的LED光源的照明灯具，要求显色性能高，色温适中，材料利于散热，安装便捷。</w:t>
      </w:r>
      <w:r>
        <w:rPr>
          <w:rFonts w:hint="eastAsia" w:ascii="宋体" w:hAnsi="宋体" w:eastAsia="宋体" w:cs="宋体"/>
          <w:color w:val="000000"/>
          <w:sz w:val="24"/>
          <w:szCs w:val="24"/>
          <w:highlight w:val="none"/>
          <w:lang w:val="en-US"/>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（3）光源显色指数Ra＞90、色温≤3300K、平均使用寿命≥50000小时。</w:t>
      </w:r>
      <w:r>
        <w:rPr>
          <w:rFonts w:hint="eastAsia" w:ascii="宋体" w:hAnsi="宋体" w:eastAsia="宋体" w:cs="宋体"/>
          <w:color w:val="000000"/>
          <w:sz w:val="24"/>
          <w:szCs w:val="24"/>
          <w:highlight w:val="none"/>
          <w:lang w:val="en-US"/>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（4）照明装置要对文物展品有保护功能，消除红外线、紫外线等有害射线对文物展品的影响和伤害，并阻断照明热。</w:t>
      </w:r>
      <w:r>
        <w:rPr>
          <w:rFonts w:hint="eastAsia" w:ascii="宋体" w:hAnsi="宋体" w:eastAsia="宋体" w:cs="宋体"/>
          <w:color w:val="000000"/>
          <w:sz w:val="24"/>
          <w:szCs w:val="24"/>
          <w:highlight w:val="none"/>
          <w:lang w:val="en-US"/>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（5）照明系统应与展示空间分开，在不开启柜门的情况下能进行维修和调整。</w:t>
      </w:r>
      <w:r>
        <w:rPr>
          <w:rFonts w:hint="eastAsia" w:ascii="宋体" w:hAnsi="宋体" w:eastAsia="宋体" w:cs="宋体"/>
          <w:color w:val="000000"/>
          <w:sz w:val="24"/>
          <w:szCs w:val="24"/>
          <w:highlight w:val="none"/>
          <w:lang w:val="en-US" w:eastAsia="zh-CN"/>
        </w:rPr>
      </w:r>
      <w:r/>
    </w:p>
    <w:p>
      <w:pPr>
        <w:pStyle w:val="945"/>
        <w:ind w:firstLine="42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3.4.3</w:t>
      </w:r>
      <w:r>
        <w:rPr>
          <w:rFonts w:hint="eastAsia" w:ascii="宋体" w:hAnsi="宋体" w:eastAsia="宋体" w:cs="宋体"/>
          <w:b/>
          <w:bCs/>
          <w:color w:val="000000"/>
          <w:sz w:val="24"/>
          <w:szCs w:val="24"/>
          <w:highlight w:val="none"/>
        </w:rPr>
        <w:t xml:space="preserve">外观与美学要求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金属构件均经过防锈预处理，并采用静电氟碳喷涂工艺，确保30年不褪色、不粉化，具备优异的耐腐蚀性和装饰性。喷涂工艺严格执行行业标准，保证涂层均匀、附着力强，可长期抵御潮湿、氧化等环境侵蚀。柜体颜色与原展陈风格及建筑环境高度协调，确保视觉整体性。</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喷涂粉末应符合HG/T2006-2022《</w:t>
      </w:r>
      <w:r>
        <w:rPr>
          <w:rFonts w:hint="eastAsia" w:ascii="宋体" w:hAnsi="宋体" w:eastAsia="宋体" w:cs="宋体"/>
          <w:color w:val="000000"/>
          <w:sz w:val="24"/>
          <w:szCs w:val="24"/>
          <w:highlight w:val="none"/>
          <w:lang w:val="en-US" w:eastAsia="zh-CN"/>
        </w:rPr>
        <w:t xml:space="preserve">热固性和热塑性粉末涂料</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外观色泽均匀、无异物，呈松散粉末状，附着力≤1级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喷涂粉末应符合HG/T2006-2022《</w:t>
      </w:r>
      <w:r>
        <w:rPr>
          <w:rFonts w:hint="eastAsia" w:ascii="宋体" w:hAnsi="宋体" w:eastAsia="宋体" w:cs="宋体"/>
          <w:color w:val="000000"/>
          <w:sz w:val="24"/>
          <w:szCs w:val="24"/>
          <w:highlight w:val="none"/>
          <w:lang w:val="en-US" w:eastAsia="zh-CN"/>
        </w:rPr>
        <w:t xml:space="preserve">热固性和热塑性粉末涂料</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，耐盐雾性500h划痕处单向腐蚀蔓延宽度≤2.0mm，未划痕区应无起泡、生锈、开裂、剥落等异常现象。</w:t>
      </w:r>
      <w:r>
        <w:rPr>
          <w:rFonts w:hint="eastAsia" w:ascii="宋体" w:hAnsi="宋体" w:eastAsia="宋体" w:cs="宋体"/>
          <w:color w:val="000000"/>
          <w:sz w:val="24"/>
          <w:szCs w:val="24"/>
          <w:highlight w:val="none"/>
          <w:lang w:eastAsia="zh-CN"/>
        </w:rPr>
      </w:r>
      <w:r/>
    </w:p>
    <w:p>
      <w:pPr>
        <w:pStyle w:val="1144"/>
        <w:ind w:firstLine="482"/>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碑刻环境监测服务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为苏州</w:t>
      </w:r>
      <w:r>
        <w:rPr>
          <w:rFonts w:hint="eastAsia" w:ascii="宋体" w:hAnsi="宋体" w:eastAsia="宋体" w:cs="宋体"/>
          <w:color w:val="000000"/>
          <w:sz w:val="24"/>
          <w:szCs w:val="24"/>
          <w:highlight w:val="none"/>
          <w:lang w:val="en-US" w:eastAsia="zh-CN"/>
        </w:rPr>
        <w:t xml:space="preserve">文庙</w:t>
      </w:r>
      <w:r>
        <w:rPr>
          <w:rFonts w:hint="eastAsia" w:ascii="宋体" w:hAnsi="宋体" w:eastAsia="宋体" w:cs="宋体"/>
          <w:color w:val="000000"/>
          <w:sz w:val="24"/>
          <w:szCs w:val="24"/>
          <w:highlight w:val="none"/>
        </w:rPr>
        <w:t xml:space="preserve">碑刻合理配置24小时微环境持续监测端，建立温度、湿度等环境参数的数据库，实现历史数据与实时监测数据的融合分析。</w:t>
      </w:r>
      <w:r>
        <w:rPr>
          <w:rFonts w:hint="eastAsia" w:ascii="宋体" w:hAnsi="宋体" w:eastAsia="宋体" w:cs="宋体"/>
          <w:color w:val="000000"/>
          <w:sz w:val="24"/>
          <w:szCs w:val="24"/>
          <w:highlight w:val="none"/>
        </w:rPr>
      </w:r>
      <w:r/>
    </w:p>
    <w:p>
      <w:pPr>
        <w:pStyle w:val="945"/>
        <w:ind w:firstLine="482"/>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3.5.1</w:t>
      </w:r>
      <w:r>
        <w:rPr>
          <w:rFonts w:hint="eastAsia" w:ascii="宋体" w:hAnsi="宋体" w:eastAsia="宋体" w:cs="宋体"/>
          <w:b/>
          <w:color w:val="000000"/>
          <w:sz w:val="24"/>
          <w:szCs w:val="24"/>
          <w:highlight w:val="none"/>
        </w:rPr>
        <w:t xml:space="preserve">数据分析服务要求如下：</w:t>
      </w:r>
      <w:r>
        <w:rPr>
          <w:rFonts w:hint="eastAsia" w:ascii="宋体" w:hAnsi="宋体" w:eastAsia="宋体" w:cs="宋体"/>
          <w:b/>
          <w:color w:val="000000"/>
          <w:sz w:val="24"/>
          <w:szCs w:val="24"/>
          <w:highlight w:val="none"/>
        </w:rPr>
      </w:r>
      <w:r/>
    </w:p>
    <w:p>
      <w:pPr>
        <w:pStyle w:val="945"/>
        <w:numPr>
          <w:ilvl w:val="0"/>
          <w:numId w:val="0"/>
        </w:numPr>
        <w:ind w:left="593" w:firstLine="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（1）温度测量：</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测量范围：-5℃～50℃；</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分辨率：0.1℃；</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测量精确度：±0.3℃@ (10℃～30℃) ±0.9℃@ (10 ℃以下或30 ℃以上)；</w:t>
      </w:r>
      <w:r>
        <w:rPr>
          <w:rFonts w:hint="eastAsia" w:ascii="宋体" w:hAnsi="宋体" w:eastAsia="宋体" w:cs="宋体"/>
          <w:color w:val="000000"/>
          <w:sz w:val="24"/>
          <w:szCs w:val="24"/>
          <w:highlight w:val="none"/>
          <w:lang w:val="en-US" w:eastAsia="zh-CN" w:bidi="ar-SA"/>
        </w:rPr>
      </w:r>
      <w:r/>
    </w:p>
    <w:p>
      <w:pPr>
        <w:pStyle w:val="945"/>
        <w:numPr>
          <w:ilvl w:val="0"/>
          <w:numId w:val="0"/>
        </w:numPr>
        <w:ind w:left="593" w:firstLine="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（2）湿度测量：</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测量范围：10％RH～90％RH；</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分辨率：0.1％RH；</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测量精确度：±2％RH@ (40％～80％RH) ±4％RH@ (40 ％ RH 以下或 80 ％ RH 以上)；</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根据采购单位的实际情况定制文物保存环境数据分析服务；</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使用人员可以通过平台的人机界面，随时查看各文物保保存环境监测点的状况，以图标或文字形式进行环境质量分析，在出现异常情况时自动向有关人员报警；</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具有监测点位和参数设置、专业数据分析、列表或图示化显示、实时报警、历史数据查询、校正公式设置、离线检测数据登录等功能，支持“全国馆藏文物保存环境监测评估系统平台”，并具备扩展接口，能按规范扩展兼容更多成熟监测终端和调控装置无线数据等的接入。</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（3）可用性：</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支持故障恢复和故障迁移的功能，保证应用系统7x24小时不间断运行；</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在Web服务器、程序发生故障的情况下，应用中间件必须保证业务的持续运行，保证数据的完整性；</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支持REST风格的API接口；</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能自动汇总和计算采集到的环境信息；</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至少支持UDP、TCP/IP、GPRS等多种网络采集数据方式中的一种；</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支持移动客户端访问；</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支持离线数据记录功能。</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（4）安全性：</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支持安全访问模式、用户分权限管理。</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（5）用户权限：</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系统管理员可针对不同的用户类别分别设置权限，可控制用户是否具有观察权限、用户管理权限、数据导出权限、节点管理等权限。</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（6）管理维护：</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提供应用管理机制，支持对应用程序的调度与管理，可以在进程/线程总数、每类应用程序总数和调度策略上进行管理；</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提供统一监控管理工具，支持对本地和其它远程节点消息中间件、消息及应用状态进行监控管理；</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提供完善的日志机制，支持多级别日志配置管理机制，支持产生系统日志、数据包日志等多种日志，支持通过日志审计、跟踪系统的运行状态，对系统和应用的运行状态进行跟踪、调试和排错处理。</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（7）环境场：</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支持温湿度场可视化功能；</w:t>
      </w:r>
      <w:r>
        <w:rPr>
          <w:rFonts w:hint="eastAsia" w:ascii="宋体" w:hAnsi="宋体" w:eastAsia="宋体" w:cs="宋体"/>
          <w:color w:val="000000"/>
          <w:sz w:val="24"/>
          <w:szCs w:val="24"/>
          <w:highlight w:val="none"/>
          <w:lang w:val="en-US" w:eastAsia="zh-CN" w:bidi="ar-SA"/>
        </w:rPr>
      </w:r>
      <w:r/>
    </w:p>
    <w:p>
      <w:pPr>
        <w:pStyle w:val="945"/>
        <w:ind w:firstLine="42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支持温湿度场变化播放功能。</w:t>
      </w:r>
      <w:r>
        <w:rPr>
          <w:rFonts w:hint="eastAsia" w:ascii="宋体" w:hAnsi="宋体" w:eastAsia="宋体" w:cs="宋体"/>
          <w:color w:val="000000"/>
          <w:sz w:val="24"/>
          <w:szCs w:val="24"/>
          <w:highlight w:val="none"/>
          <w:lang w:val="en-US" w:eastAsia="zh-CN" w:bidi="ar-SA"/>
        </w:rPr>
      </w:r>
      <w:r/>
    </w:p>
    <w:p>
      <w:pPr>
        <w:pStyle w:val="945"/>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bidi="ar-SA"/>
        </w:rPr>
        <w:t xml:space="preserve">供应商须配备服务专项人员组为采购单位实施服务，发现问题及时汇报采购人。</w:t>
      </w:r>
      <w:r>
        <w:rPr>
          <w:rFonts w:hint="eastAsia" w:ascii="宋体" w:hAnsi="宋体" w:eastAsia="宋体" w:cs="宋体"/>
          <w:b/>
          <w:bCs/>
          <w:color w:val="000000"/>
          <w:sz w:val="24"/>
          <w:szCs w:val="24"/>
          <w:highlight w:val="none"/>
          <w:lang w:val="en-US" w:eastAsia="zh-CN"/>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三、综合说明：</w:t>
      </w:r>
      <w:r>
        <w:rPr>
          <w:rFonts w:hint="eastAsia" w:ascii="宋体" w:hAnsi="宋体" w:eastAsia="宋体" w:cs="宋体"/>
          <w:b/>
          <w:color w:val="000000"/>
          <w:sz w:val="24"/>
          <w:szCs w:val="24"/>
          <w:highlight w:val="none"/>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1、供应商所提供的相关货物或服务应符合国家有关</w:t>
      </w:r>
      <w:r>
        <w:rPr>
          <w:rFonts w:hint="eastAsia" w:ascii="宋体" w:hAnsi="宋体" w:eastAsia="宋体" w:cs="宋体"/>
          <w:color w:val="000000"/>
          <w:sz w:val="24"/>
          <w:szCs w:val="24"/>
          <w:highlight w:val="none"/>
          <w:lang w:val="en-US" w:eastAsia="zh-CN"/>
        </w:rPr>
        <w:t xml:space="preserve">最新</w:t>
      </w:r>
      <w:r>
        <w:rPr>
          <w:rFonts w:hint="eastAsia" w:ascii="宋体" w:hAnsi="宋体" w:eastAsia="宋体" w:cs="宋体"/>
          <w:color w:val="000000"/>
          <w:sz w:val="24"/>
          <w:szCs w:val="24"/>
          <w:highlight w:val="none"/>
        </w:rPr>
        <w:t xml:space="preserve">标准和规范，并遵循采购文件的要求，应达到或优于采购要求，并提供详细说明。若采购要求中涉及品牌或品牌导向，则仅作参考。响应文件必须如实进行实质性响应，量化指标必须列明具体数值。供应商在其响应文件中对于采购文件已提供以及未提供的货物或服务情况均须进行完整的阐述和说明，否则其响应文件将有被拒绝的可能。</w:t>
      </w:r>
      <w:r>
        <w:rPr>
          <w:rFonts w:hint="eastAsia" w:ascii="宋体" w:hAnsi="宋体" w:eastAsia="宋体" w:cs="宋体"/>
          <w:color w:val="000000"/>
          <w:sz w:val="24"/>
          <w:szCs w:val="24"/>
          <w:highlight w:val="none"/>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highlight w:val="none"/>
        </w:rPr>
      </w:r>
      <w:r/>
    </w:p>
    <w:p>
      <w:pPr>
        <w:pStyle w:val="945"/>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3、供应商应保证</w:t>
      </w:r>
      <w:r>
        <w:rPr>
          <w:rFonts w:hint="eastAsia" w:ascii="宋体" w:hAnsi="宋体" w:eastAsia="宋体" w:cs="宋体"/>
          <w:color w:val="000000"/>
          <w:sz w:val="24"/>
          <w:szCs w:val="24"/>
          <w:highlight w:val="none"/>
          <w:lang w:val="zh-CN"/>
        </w:rPr>
        <w:t xml:space="preserve">对所提供货物</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zh-CN"/>
        </w:rPr>
        <w:t xml:space="preserve">服务等知识产权方面的一切产权关系负全部责任</w:t>
      </w:r>
      <w:r>
        <w:rPr>
          <w:rFonts w:hint="eastAsia" w:ascii="宋体" w:hAnsi="宋体" w:eastAsia="宋体" w:cs="宋体"/>
          <w:color w:val="000000"/>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4、供应商需编制本项目的技术方案，包括但不限于：</w:t>
      </w:r>
      <w:r>
        <w:rPr>
          <w:rFonts w:hint="eastAsia" w:ascii="宋体" w:hAnsi="宋体" w:eastAsia="宋体" w:cs="宋体"/>
          <w:color w:val="000000"/>
          <w:sz w:val="24"/>
          <w:szCs w:val="24"/>
          <w:highlight w:val="none"/>
        </w:rPr>
        <w:t xml:space="preserve">项目需求和重点难点分析的说明；碑刻环境防护服务方案；文物保存环境数据分析服务方案；文物清洁除尘服务方案；碑墙修复与环境整治服务方案；项目进度控制的说明；项目质量、安全保障和突发应急处理措施的说明；售后服务方案；项目成员配备的说明</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5、供应商拟投入本项目的团队需具有履约能力，有服务项目人员，便于项目实施。</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6、供应商需有丰富的类似项目经验等内容。</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7、供应商在项目实施期间应无条件的接受采购人的监督管理，提出的质量问题要及时整改，整改完毕后通知采购人检查验收，合格后书面报送采购人备案。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8、与本次采购项目有关的质量、安全问题均由成交供应商终生负责，相关的人员、财产责任风险均由供应商全部承担，与他人无涉。</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9、项目地点：采购人指定地点（苏州大市范围内）。</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t xml:space="preserve">供应商须为本项目提供每周7×24小时免费服务热线，无条件响应采购人在该项目上的时间安排，并提供不低于24个月的免费质保维护期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jc w:val="left"/>
        <w:spacing w:line="360" w:lineRule="auto"/>
        <w:rPr>
          <w:color w:val="000000"/>
          <w:highlight w:val="none"/>
        </w:rPr>
      </w:pPr>
      <w:r>
        <w:rPr>
          <w:rFonts w:hint="eastAsia" w:ascii="宋体" w:hAnsi="宋体" w:eastAsia="宋体" w:cs="宋体"/>
          <w:color w:val="000000"/>
          <w:sz w:val="24"/>
          <w:szCs w:val="24"/>
          <w:highlight w:val="none"/>
        </w:rPr>
        <w:t xml:space="preserve">11、验收要求：标的物须符合我国</w:t>
      </w:r>
      <w:r>
        <w:rPr>
          <w:rFonts w:hint="eastAsia" w:ascii="宋体" w:hAnsi="宋体" w:eastAsia="宋体" w:cs="宋体"/>
          <w:color w:val="000000"/>
          <w:sz w:val="24"/>
          <w:szCs w:val="24"/>
          <w:highlight w:val="none"/>
        </w:rPr>
        <w:t xml:space="preserve">最新颁布的与之相关的技术规范与标准，并同时满足采购文件要求和成交供应商所作承诺。在供应商完成全部采购内容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单位更正，所发生的费用由供应商承担。</w:t>
      </w:r>
      <w:r>
        <w:rPr>
          <w:color w:val="000000"/>
          <w:highlight w:val="none"/>
        </w:rPr>
      </w:r>
      <w:r/>
    </w:p>
    <w:p>
      <w:pPr>
        <w:pStyle w:val="97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12、凡涉及采购文件的补充说明和修改，均以苏州市政府采购网上公示信息为准。</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945"/>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5"/>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乙方（成交供应商）：</w:t>
      </w:r>
      <w:r>
        <w:rPr>
          <w:rFonts w:hint="eastAsia" w:ascii="宋体" w:hAnsi="宋体" w:eastAsia="宋体" w:cs="宋体"/>
          <w:b/>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5"/>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甲方所需</w:t>
      </w:r>
      <w:r>
        <w:rPr>
          <w:rFonts w:hint="eastAsia" w:ascii="宋体" w:hAnsi="宋体" w:eastAsia="宋体" w:cs="宋体"/>
          <w:color w:val="000000"/>
          <w:sz w:val="24"/>
          <w:szCs w:val="24"/>
          <w:highlight w:val="none"/>
          <w:u w:val="single"/>
          <w:lang w:eastAsia="zh-CN"/>
        </w:rPr>
        <w:t xml:space="preserve">苏州文庙碑刻文物保护(2026年度）</w:t>
      </w:r>
      <w:r>
        <w:rPr>
          <w:rFonts w:hint="eastAsia" w:ascii="宋体" w:hAnsi="宋体" w:eastAsia="宋体" w:cs="宋体"/>
          <w:color w:val="000000"/>
          <w:sz w:val="24"/>
          <w:szCs w:val="24"/>
          <w:highlight w:val="none"/>
        </w:rPr>
        <w:t xml:space="preserve">项目经</w:t>
      </w:r>
      <w:r>
        <w:rPr>
          <w:rFonts w:hint="eastAsia" w:ascii="宋体" w:hAnsi="宋体" w:eastAsia="宋体" w:cs="宋体"/>
          <w:color w:val="000000"/>
          <w:sz w:val="24"/>
          <w:szCs w:val="24"/>
          <w:highlight w:val="none"/>
          <w:u w:val="single"/>
        </w:rPr>
        <w:t xml:space="preserve">苏州正杰招投标咨询服务有限公司</w:t>
      </w:r>
      <w:r>
        <w:rPr>
          <w:rFonts w:hint="eastAsia" w:ascii="宋体" w:hAnsi="宋体" w:eastAsia="宋体" w:cs="宋体"/>
          <w:color w:val="000000"/>
          <w:sz w:val="24"/>
          <w:szCs w:val="24"/>
          <w:highlight w:val="none"/>
        </w:rPr>
        <w:t xml:space="preserve">以竞争性磋商方式进行采购，并依法确定乙方为成交供应商。根据《中华人民共和国民法典》和《中华人民共和国政府采购法》等有关法律法规，为明确甲方和乙方采购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一、合同文件</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以下文件是构成本合同不可分割的部分：</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（一）本项目采购文件；</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（二）乙方响应文件；</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（三）合同条款；</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（四）乙方做出的有关澄清、说明或者补正文件（若有）；</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（五）确定乙方的文件（包括但不限于成交通知书等）；</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（六）本合同附件（若有）。</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二、服务要求</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本合同项下乙方所提供的服务内容为：详见采购文件中的采购需求。</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三、合同金额</w:t>
      </w:r>
      <w:r>
        <w:rPr>
          <w:rFonts w:hint="eastAsia" w:ascii="宋体" w:hAnsi="宋体" w:eastAsia="宋体" w:cs="宋体"/>
          <w:b/>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u w:val="single"/>
        </w:rPr>
      </w:pPr>
      <w:r/>
      <w:bookmarkStart w:id="12" w:name="_Hlk56427584"/>
      <w:r>
        <w:rPr>
          <w:rFonts w:hint="eastAsia" w:ascii="宋体" w:hAnsi="宋体" w:eastAsia="宋体" w:cs="宋体"/>
          <w:b/>
          <w:color w:val="000000"/>
          <w:sz w:val="24"/>
          <w:szCs w:val="24"/>
          <w:highlight w:val="none"/>
        </w:rPr>
        <w:t xml:space="preserve">合同总金额为</w:t>
      </w:r>
      <w:r>
        <w:rPr>
          <w:rFonts w:hint="eastAsia" w:ascii="宋体" w:hAnsi="宋体" w:eastAsia="宋体" w:cs="宋体"/>
          <w:b/>
          <w:color w:val="000000"/>
          <w:sz w:val="24"/>
          <w:szCs w:val="24"/>
          <w:highlight w:val="none"/>
          <w:u w:val="single"/>
        </w:rPr>
        <w:t xml:space="preserve">人民币          元，大写：        。</w:t>
      </w:r>
      <w:r>
        <w:rPr>
          <w:rFonts w:hint="eastAsia" w:ascii="宋体" w:hAnsi="宋体" w:eastAsia="宋体" w:cs="宋体"/>
          <w:b/>
          <w:color w:val="000000"/>
          <w:sz w:val="24"/>
          <w:szCs w:val="24"/>
          <w:highlight w:val="none"/>
          <w:u w:val="single"/>
        </w:rPr>
      </w:r>
      <w:r/>
    </w:p>
    <w:p>
      <w:pPr>
        <w:pStyle w:val="1054"/>
        <w:ind w:firstLine="482"/>
        <w:spacing w:line="360" w:lineRule="auto"/>
        <w:rPr>
          <w:rFonts w:hint="eastAsia"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合同总金额包括完成所有采购内容以及本项目所需的劳务支出、保险、配套费用、税费及服务相关等所发生的全部费用以及</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hAnsi="宋体" w:eastAsia="宋体" w:cs="宋体"/>
          <w:b/>
          <w:bCs/>
          <w:color w:val="000000"/>
          <w:sz w:val="24"/>
          <w:szCs w:val="24"/>
          <w:highlight w:val="none"/>
        </w:rPr>
        <w:t xml:space="preserve">。</w:t>
      </w:r>
      <w:r>
        <w:rPr>
          <w:rFonts w:hint="eastAsia"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四、付款约定</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bookmarkEnd w:id="12"/>
      <w:r>
        <w:rPr>
          <w:rFonts w:hint="eastAsia" w:ascii="宋体" w:hAnsi="宋体" w:eastAsia="宋体" w:cs="宋体"/>
          <w:bCs/>
          <w:color w:val="000000"/>
          <w:sz w:val="24"/>
          <w:szCs w:val="24"/>
          <w:highlight w:val="none"/>
        </w:rPr>
        <w:t xml:space="preserve">1、甲方根据乙方在本合同中所提供银行开户信息转账支付。</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乙方开户名称：</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2、付款步骤：</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（1）合同生效后，由甲方在十五个工作日内向乙方支付合同金额的30％作为预付款。</w:t>
      </w:r>
      <w:r>
        <w:rPr>
          <w:rFonts w:hint="eastAsia" w:ascii="宋体" w:hAnsi="宋体" w:eastAsia="宋体"/>
          <w:color w:val="000000"/>
          <w:sz w:val="24"/>
          <w:szCs w:val="24"/>
          <w:highlight w:val="none"/>
        </w:rPr>
      </w:r>
      <w:r/>
    </w:p>
    <w:p>
      <w:pPr>
        <w:pStyle w:val="94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（2）待乙方完成全部采购内容且经甲方验收合格后，由甲方在十五个工作日内向乙方支付合同金额的65％。</w:t>
      </w:r>
      <w:r>
        <w:rPr>
          <w:rFonts w:hint="eastAsia"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（3）待验收合格满</w:t>
      </w:r>
      <w:r>
        <w:rPr>
          <w:rFonts w:hint="eastAsia" w:ascii="宋体" w:hAnsi="宋体" w:eastAsia="宋体"/>
          <w:color w:val="000000"/>
          <w:sz w:val="24"/>
          <w:szCs w:val="24"/>
          <w:highlight w:val="none"/>
          <w:lang w:eastAsia="zh-CN"/>
        </w:rPr>
        <w:t xml:space="preserve">一</w:t>
      </w:r>
      <w:r>
        <w:rPr>
          <w:rFonts w:hint="eastAsia" w:ascii="宋体" w:hAnsi="宋体" w:eastAsia="宋体"/>
          <w:color w:val="000000"/>
          <w:sz w:val="24"/>
          <w:szCs w:val="24"/>
          <w:highlight w:val="none"/>
        </w:rPr>
        <w:t xml:space="preserve">个月且经甲方确认无质量问题遗留后，由甲方在十五个工作日内一次性付清合同余款。</w:t>
      </w:r>
      <w:r>
        <w:rPr>
          <w:rFonts w:ascii="宋体" w:hAnsi="宋体" w:eastAsia="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注：甲方每次付款前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乙方均应当向甲方开具等额、合法的发票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否则甲方有权延迟付款且无须承担任何责任。</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五、服务履行地点、期限</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1、服务履行地点：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指定地点（苏州大市范围内）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2、服务期限：</w:t>
      </w:r>
      <w:r>
        <w:rPr>
          <w:rFonts w:hint="eastAsia" w:ascii="宋体" w:hAnsi="宋体" w:eastAsia="宋体" w:cs="宋体"/>
          <w:color w:val="000000"/>
          <w:sz w:val="24"/>
          <w:szCs w:val="24"/>
          <w:highlight w:val="none"/>
          <w:lang w:eastAsia="zh-CN"/>
        </w:rPr>
        <w:t xml:space="preserve">在2026年10月15日前完成全部采购内容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六、服务要求</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乙方须为本项目提供每周7×24小时免费服务热线，无条件响应甲方在该项目上的时间安排，并提供24个月的免费质保维护期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七、验收</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1、验收要求参照《江苏省政府采购履约验收管理办法》相关要求执行。</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2、验收标准：本合同政府采购文件中项目采购需求的各项标准和要求。</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3、任一项验收不合格的，乙方应负责在甲方限定的期限内完成整改，因整改而导致的费用和损失由乙方自行承担，若导致项目逾期的，乙方承担逾期违约责任。</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4、甲方所有验收意见将以书面形式做出并加盖甲方公章，因此除非甲方书面明示通过验收，否则任何其他行为均不代表甲方已验收合格。</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八、服务质量</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1、乙方应保证提供给甲方的服务完全符合本项目采购文件规定的服务标准。</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3、乙方保证提供的服务符合中华人民共和国国家及行业的安全质量标准、环保标准中之较高者。</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eastAsia="宋体" w:cs="宋体"/>
          <w:bCs/>
          <w:color w:val="000000"/>
          <w:sz w:val="24"/>
          <w:szCs w:val="24"/>
          <w:highlight w:val="none"/>
        </w:rPr>
      </w:r>
      <w:r/>
    </w:p>
    <w:p>
      <w:pPr>
        <w:pStyle w:val="945"/>
        <w:ind w:firstLine="482"/>
        <w:spacing w:line="360" w:lineRule="auto"/>
        <w:rPr>
          <w:rFonts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九、履约保证金：无。</w:t>
      </w:r>
      <w:r>
        <w:rPr>
          <w:rFonts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十、违约责任</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1、甲方违约责任</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 在合同生效后，甲方无故要求终止服务的，应向乙方偿付合同总价款的5％，作为违约金，违约金不足以补偿损失的，乙方有权要求甲方补足。</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 甲方逾期付款的应按照逾期付款金额的每天万分之四支付逾期付款违约金。</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 甲方违反合同约定，拒绝接受乙方交付的合格服务的，应当承担乙方由此造成的损失。</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2、乙方违约责任</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十一、合同的解除和转让</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1、甲方和乙方协商一致，可以解除合同。</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2、有下列情形之一，合同一方可以解除合同：</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（1）因不可抗力致使不能实现合同目的，未受不可抗力影响的一方有权解除合同；</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（2）采购文件约定的解除合同的情形。</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3、政府采购合同继续履行将损害国家利益和社会公共利益，甲方有权变更、中止或者终止、解除合同。</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5、本合同不得以任何形式转让，否则视为乙方违约，甲方可以单方解除本合同，由此造成甲方的损失由乙方承担赔偿（包括但不限于诉讼费、合理律师费等）。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6、本合同未经甲方书面同意不得分包，否则视为乙方违约，甲方可以单方解除本合同，由此造成甲方的损失由乙方承担赔偿（包括但不限于诉讼费、合理律师费等）。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1042"/>
        <w:ind w:firstLine="480"/>
        <w:rPr>
          <w:rFonts w:hint="eastAsia" w:hAnsi="宋体" w:cs="宋体"/>
          <w:color w:val="000000"/>
          <w:highlight w:val="none"/>
        </w:rPr>
      </w:pPr>
      <w:r>
        <w:rPr>
          <w:rFonts w:hint="eastAsia" w:hAnsi="宋体" w:cs="宋体"/>
          <w:color w:val="000000"/>
          <w:szCs w:val="24"/>
          <w:highlight w:val="none"/>
        </w:rPr>
        <w:t xml:space="preserve">7、有权解除合同的一方，应当在违约事实或不可抗力发生之后三十天内书面通知对方以主张解除合同，合同在书面通知到达对方时解除。</w:t>
      </w:r>
      <w:r>
        <w:rPr>
          <w:rFonts w:hint="eastAsia" w:hAnsi="宋体" w:cs="宋体"/>
          <w:color w:val="000000"/>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4、合同各方应根据不可抗力对本合同履行的影响程度，协商确定是否终止本合同，或是继续履行本合同。</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十三、保密条款</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十四、联系方式</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3、上述发出通知、回复的费用由发出一方承担。</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bookmarkStart w:id="13" w:name="_Toc51257766"/>
      <w:r/>
      <w:bookmarkStart w:id="14" w:name="_Toc30329"/>
      <w:r/>
      <w:bookmarkStart w:id="15" w:name="_Toc26807"/>
      <w:r/>
      <w:bookmarkStart w:id="16" w:name="_Toc32454"/>
      <w:r/>
      <w:bookmarkStart w:id="17" w:name="_Toc18683"/>
      <w:r/>
      <w:bookmarkStart w:id="18" w:name="_Toc9497"/>
      <w:r>
        <w:rPr>
          <w:rFonts w:hint="eastAsia" w:ascii="宋体" w:hAnsi="宋体" w:eastAsia="宋体" w:cs="宋体"/>
          <w:b/>
          <w:color w:val="000000"/>
          <w:sz w:val="24"/>
          <w:szCs w:val="24"/>
          <w:highlight w:val="none"/>
        </w:rPr>
        <w:t xml:space="preserve">十五、争议的解决</w:t>
      </w:r>
      <w:bookmarkEnd w:id="13"/>
      <w:r/>
      <w:bookmarkEnd w:id="14"/>
      <w:r/>
      <w:bookmarkEnd w:id="15"/>
      <w:r/>
      <w:bookmarkEnd w:id="16"/>
      <w:r/>
      <w:bookmarkEnd w:id="17"/>
      <w:r/>
      <w:bookmarkEnd w:id="18"/>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与本合同有关的一切争议，双方应通过友好协商解决。如果经协商不能达成协议，可以向甲方所在地有管辖权的人民法院起诉。</w:t>
      </w:r>
      <w:r>
        <w:rPr>
          <w:rFonts w:hint="eastAsia" w:ascii="宋体" w:hAnsi="宋体" w:eastAsia="宋体" w:cs="宋体"/>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十六、合同生效及其他</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1、本合同经甲乙双方签字盖章之日起生效。</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系指本文件及其附件中的所有部分，采购文件、成交的响应文件、成交通知书、乙方在招标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3、本合同壹式肆份，甲乙双方各执壹份，采购代理机构贰份，具有同等法律效力。</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4、本合同应按照中华人民共和国的现行法律进行解释。</w:t>
      </w:r>
      <w:r>
        <w:rPr>
          <w:rFonts w:hint="eastAsia" w:ascii="宋体" w:hAnsi="宋体" w:eastAsia="宋体" w:cs="宋体"/>
          <w:bCs/>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    方：                                乙    方：</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名称（公章）：                              名称（公章）：</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法定代表人/负责人：                       法定代表人/负责人：</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或授权代理人                              或授权代理人：</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                                 （签字）</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highlight w:val="none"/>
        </w:rPr>
        <w:t xml:space="preserve">签订日期：                                签订日期：</w:t>
      </w:r>
      <w:r>
        <w:rPr>
          <w:rFonts w:hint="eastAsia" w:ascii="宋体" w:hAnsi="宋体" w:eastAsia="宋体" w:cs="宋体"/>
          <w:b/>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评审方法及评审标准</w:t>
      </w:r>
      <w:r>
        <w:rPr>
          <w:rFonts w:hint="eastAsia" w:ascii="宋体"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一、评审方法</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％（权重），技术及其他分值占总分值的比重为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第一步：响应报价（最终报价）不超过采购预算价格及最高限价的为有效报价，超出此范围的响应报价视为无效，其响应文件不进行评审，也不得标。</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响应报价得分＝（评标基准价/最终报价）×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（二）技术及其他分值：</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1、对项目服务方案的评价（55分）：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（1）项目需求和重点难点分析的说明（6分）：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需求理解透彻、重点难点部分把握准确、理解分析到位的得6分；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需求理解较清晰，重点难点部分把握基本准确、理解分析较清晰的得</w:t>
      </w:r>
      <w:r>
        <w:rPr>
          <w:rFonts w:hint="eastAsia" w:ascii="宋体" w:hAnsi="宋体" w:eastAsia="宋体" w:cs="宋体"/>
          <w:color w:val="000000"/>
          <w:sz w:val="24"/>
          <w:szCs w:val="24"/>
          <w:highlight w:val="none"/>
          <w:lang w:val="en-US" w:eastAsia="zh-CN" w:bidi="ar"/>
        </w:rPr>
        <w:t xml:space="preserve">4分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需求理解不足，重点难点部分把握不够准确、理解分析简单笼统的得</w:t>
      </w:r>
      <w:r>
        <w:rPr>
          <w:rFonts w:hint="eastAsia" w:ascii="宋体" w:hAnsi="宋体" w:eastAsia="宋体" w:cs="宋体"/>
          <w:color w:val="000000"/>
          <w:sz w:val="24"/>
          <w:szCs w:val="24"/>
          <w:highlight w:val="none"/>
          <w:lang w:val="en-US" w:eastAsia="zh-CN" w:bidi="ar"/>
        </w:rPr>
        <w:t xml:space="preserve">2分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本项最高6分，未提供内容的不得分。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（2）碑刻环境防护服务方案（8分）：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方案内容详细完整、针对性可行性强、技术措施标准规范的得8分；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方案内容较为完整、针对性可行性一般、技术措施基本规范的5分；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方案内容简单笼统、针对性可行性弱、技术措施规范性不足的2分。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本项最高8分，未提供内容的不得分。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（3）文物保存环境数据分析服务方案（6分）：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方案内容详细完整、针对性可行性强、技术措施标准规范的得6分；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方案内容较为完整、针对性可行性一般、技术措施基本规范的4分；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方案内容简单笼统、针对性可行性弱、技术措施规范性不足的2分。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本项最高6分，未提供内容的不得分。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（4）文物清洁除尘服务方案（6分）：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方案内容详细完整、针对性可行性强、技术措施标准规范的得6分；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方案内容较为完整、针对性可行性一般、技术措施基本规范的4分；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方案内容简单笼统、针对性可行性弱、技术措施规范性不足的2分。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本项最高6分，未提供内容的不得分。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（5）碑墙修复与环境整治服务方案（6分）：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方案内容详细完整、针对性可行性强、技术措施标准规范的得6分；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方案内容较为完整、针对性可行性一般、技术措施基本规范的4分；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方案内容简单笼统、针对性可行性弱、技术措施规范性不足的2分。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本项最高6分，未提供内容的不得分。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（6）项目进度控制的说明（6分）：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方案详细完整、进度控制科学性合理性强、进度保障措施有力的得6分；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方案较为完整、进度控制科学性合理性一般、进度保障措施一般的得4分；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方案简单笼统、进度控制科学性合理性弱、进度保障措施不足的得2分；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本项最高6分，不提供内容的不得分。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（7）项目质量、安全保障和突发应急处理措施的说明（6分）：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方案详细完整、措施针对性可行性强、保障有力的的得6分；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方案较为完整、措施针对性可行性一般、保障一般的得4分；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方案简单笼统、措施针对性可行性弱、保障不足的得2分；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本项最高6分，不提供内容的不得分。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（8）售后服务方案（5分）：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方案内容详细完整、服务响应及时、售后保障措施到位、针对性可行性强的得5分；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方案内容较为完整、服务响应较及时、售后保障措施基本到位、针对性可行性一般的得3分；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方案内容简单笼统、服务响应不及时、售后保障措施不足、针对性可行性弱的得1分；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本项最高5分，不提供内容的不得分。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（9）项目成员配备的说明（6分）：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人员配备合理、专业类别齐全、从业经验丰富、完全符合服务需要的得6分；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人员配备较为合理、专业类别基本齐全、有过从业经验、基本满足服务需要的得4分；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人员配备简单、专业类别不全、无从业经验、未能完全达到服务需要的得2分；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本项最高6分，不提供内容的不得分。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具有检测检验资质的检测机构出具的有效的检测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检验</w:t>
      </w:r>
      <w:r>
        <w:rPr>
          <w:rFonts w:hint="eastAsia" w:ascii="宋体" w:hAnsi="宋体" w:eastAsia="宋体" w:cs="宋体"/>
          <w:color w:val="000000"/>
          <w:sz w:val="24"/>
          <w:szCs w:val="24"/>
          <w:highlight w:val="none"/>
        </w:rPr>
        <w:t xml:space="preserve">）报告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每提供一份得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★（1）冷轧钢板：抗拉强度≥485Mpa；断后伸长率≥40％。</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★（2）喷涂粉末：外观色泽均匀、无异物，呈松散粉末状，附着力≤1级。</w:t>
      </w:r>
      <w:r>
        <w:rPr>
          <w:rFonts w:hint="eastAsia" w:ascii="宋体" w:hAnsi="宋体" w:eastAsia="宋体" w:cs="宋体"/>
          <w:color w:val="000000"/>
          <w:sz w:val="24"/>
          <w:szCs w:val="24"/>
          <w:highlight w:val="none"/>
          <w:lang w:val="en-US" w:eastAsia="zh-CN" w:bidi="ar"/>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★（3）喷涂粉末：耐盐雾性500h划痕处单向腐蚀蔓延宽度≤2.0mm，未划痕区应无起泡、生锈、开裂、剥落等异常现象。</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★（4）硅酮结构密封胶：外观无气泡、结块、结皮或凝胶，搅拌后应为细腻均匀膏状物；垂直放置下垂度≤3mm，表干时间≤3h，适用期≤10s，邵氏硬度20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60HA；拉伸粘结强度、剪切强度、定伸粘结性等全项性能满足标准规定，烷烃增塑剂不得检出。</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玻璃力学性能：耐热性试验后应无气泡或其它缺陷，耐湿性试验后应无气泡或其它缺陷，落球冲击剥离性能在钢球质量为2260±10g冲击高度分别为3000和3800时中间层应未断裂、未暴露，耐辐照性试验后应无显著变色、气泡及浑浊现象。</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★（6）玻璃光学性能：可见光透射比≥90％，可见光反射比≤10％，紫外线透射比≤1％，显色指数≥99，黄色指数≤1.5，雾度≤1％。</w:t>
      </w:r>
      <w:r>
        <w:rPr>
          <w:rFonts w:hint="eastAsia" w:ascii="宋体" w:hAnsi="宋体" w:eastAsia="宋体" w:cs="宋体"/>
          <w:color w:val="000000"/>
          <w:sz w:val="24"/>
          <w:szCs w:val="24"/>
          <w:highlight w:val="none"/>
          <w:lang w:val="en-US" w:eastAsia="zh-CN"/>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（6）项</w:t>
      </w:r>
      <w:r>
        <w:rPr>
          <w:rFonts w:hint="eastAsia" w:ascii="宋体" w:hAnsi="宋体" w:eastAsia="宋体" w:cs="宋体"/>
          <w:color w:val="000000"/>
          <w:sz w:val="24"/>
          <w:szCs w:val="24"/>
          <w:highlight w:val="none"/>
        </w:rPr>
        <w:t xml:space="preserve">均须提供具有检测检验资质的检测机构出具的有效的检测（检验）报告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检验（检测）报告所示检验（检测）结果</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达到或优于</w:t>
      </w:r>
      <w:r>
        <w:rPr>
          <w:rFonts w:hint="eastAsia" w:ascii="宋体" w:hAnsi="宋体" w:eastAsia="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rPr>
        <w:t xml:space="preserve">所列的内容及要求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否则不得分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须在其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文件中提供上述可清晰辨识的检验（检测）报告复印件。</w:t>
      </w:r>
      <w:r>
        <w:rPr>
          <w:rFonts w:hint="eastAsia" w:ascii="宋体" w:hAnsi="宋体" w:eastAsia="宋体" w:cs="宋体"/>
          <w:color w:val="000000"/>
          <w:sz w:val="24"/>
          <w:szCs w:val="24"/>
          <w:highlight w:val="none"/>
        </w:rPr>
      </w:r>
      <w:r/>
    </w:p>
    <w:p>
      <w:pPr>
        <w:pStyle w:val="945"/>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rPr>
        <w:t xml:space="preserve">成员中具</w:t>
      </w:r>
      <w:r>
        <w:rPr>
          <w:rFonts w:hint="eastAsia" w:ascii="宋体" w:hAnsi="宋体" w:eastAsia="宋体" w:cs="宋体"/>
          <w:color w:val="000000"/>
          <w:sz w:val="24"/>
          <w:szCs w:val="24"/>
          <w:highlight w:val="none"/>
        </w:rPr>
        <w:t xml:space="preserve">备与</w:t>
      </w:r>
      <w:r>
        <w:rPr>
          <w:rFonts w:hint="eastAsia" w:ascii="宋体" w:hAnsi="宋体" w:eastAsia="宋体" w:cs="宋体"/>
          <w:color w:val="000000"/>
          <w:sz w:val="24"/>
          <w:szCs w:val="24"/>
          <w:highlight w:val="none"/>
          <w:lang w:val="en-US" w:eastAsia="zh-CN"/>
        </w:rPr>
        <w:t xml:space="preserve">文物</w:t>
      </w:r>
      <w:r>
        <w:rPr>
          <w:rFonts w:hint="eastAsia" w:ascii="宋体" w:hAnsi="宋体" w:eastAsia="宋体" w:cs="宋体"/>
          <w:color w:val="000000"/>
          <w:sz w:val="24"/>
          <w:szCs w:val="24"/>
          <w:highlight w:val="none"/>
        </w:rPr>
        <w:t xml:space="preserve">相关专业职称证书</w:t>
      </w:r>
      <w:r>
        <w:rPr>
          <w:rFonts w:hint="eastAsia" w:ascii="宋体" w:hAnsi="宋体" w:eastAsia="宋体" w:cs="宋体"/>
          <w:color w:val="000000"/>
          <w:sz w:val="24"/>
          <w:szCs w:val="24"/>
          <w:highlight w:val="none"/>
          <w:lang w:val="en-US" w:eastAsia="zh-CN"/>
        </w:rPr>
        <w:t xml:space="preserve">的，每有一类人员得2分，本项最高6分。</w:t>
      </w:r>
      <w:r>
        <w:rPr>
          <w:rFonts w:ascii="宋体" w:hAnsi="宋体" w:eastAsia="宋体" w:cs="宋体"/>
          <w:color w:val="000000"/>
          <w:sz w:val="24"/>
          <w:szCs w:val="24"/>
          <w:highlight w:val="none"/>
          <w:lang w:val="en-US" w:eastAsia="zh-CN"/>
        </w:rPr>
      </w:r>
      <w:r/>
    </w:p>
    <w:p>
      <w:pPr>
        <w:pStyle w:val="94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w:t>
      </w:r>
      <w:r>
        <w:rPr>
          <w:rFonts w:hint="eastAsia" w:ascii="宋体" w:hAnsi="宋体" w:eastAsia="宋体"/>
          <w:color w:val="000000"/>
          <w:sz w:val="24"/>
          <w:szCs w:val="24"/>
          <w:highlight w:val="none"/>
          <w:lang w:val="en-US" w:eastAsia="zh-CN"/>
        </w:rPr>
        <w:t xml:space="preserve">响应文件中</w:t>
      </w:r>
      <w:r>
        <w:rPr>
          <w:rFonts w:hint="eastAsia" w:ascii="宋体" w:hAnsi="宋体" w:eastAsia="宋体"/>
          <w:color w:val="000000"/>
          <w:sz w:val="24"/>
          <w:szCs w:val="24"/>
          <w:highlight w:val="none"/>
        </w:rPr>
        <w:t xml:space="preserve">须同时提供上述人员</w:t>
      </w:r>
      <w:r>
        <w:rPr>
          <w:rFonts w:hint="eastAsia" w:ascii="宋体" w:hAnsi="宋体" w:eastAsia="宋体" w:cs="宋体"/>
          <w:color w:val="000000"/>
          <w:sz w:val="24"/>
          <w:szCs w:val="24"/>
          <w:highlight w:val="none"/>
          <w:lang w:eastAsia="zh-CN"/>
        </w:rPr>
        <w:t xml:space="preserve">相关专业</w:t>
      </w:r>
      <w:r>
        <w:rPr>
          <w:rFonts w:hint="eastAsia" w:ascii="宋体" w:hAnsi="宋体" w:eastAsia="宋体"/>
          <w:color w:val="000000"/>
          <w:sz w:val="24"/>
          <w:szCs w:val="24"/>
          <w:highlight w:val="none"/>
        </w:rPr>
        <w:t xml:space="preserve">证书</w:t>
      </w:r>
      <w:r>
        <w:rPr>
          <w:rFonts w:hint="eastAsia" w:ascii="宋体" w:hAnsi="宋体" w:eastAsia="宋体" w:cs="宋体"/>
          <w:color w:val="000000"/>
          <w:sz w:val="24"/>
          <w:szCs w:val="24"/>
          <w:highlight w:val="none"/>
        </w:rPr>
        <w:t xml:space="preserve">复印件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或网上查询截图</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rPr>
        <w:t xml:space="preserve">和由供应商为上述人员缴纳的最近一个月的社会保险缴纳证明</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并以此作为评定依据，否则不得分。</w:t>
      </w:r>
      <w:r>
        <w:rPr>
          <w:rFonts w:hint="eastAsia" w:ascii="宋体" w:hAnsi="宋体" w:eastAsia="宋体"/>
          <w:color w:val="000000"/>
          <w:sz w:val="24"/>
          <w:szCs w:val="24"/>
          <w:highlight w:val="none"/>
        </w:rPr>
      </w:r>
      <w:r/>
    </w:p>
    <w:p>
      <w:pPr>
        <w:pStyle w:val="94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olor w:val="000000"/>
          <w:sz w:val="24"/>
          <w:highlight w:val="none"/>
        </w:rPr>
        <w:t xml:space="preserve">对供应商的综合情况评价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供应商具备在有效期内的：质量管理体系认证证书的得1分；环境管理体系认证证书的得1分；职业健康安全管理体系认证证书的得1分；信息安全管理体系认证证书的得1分。本项最高4分，上述证书覆盖范围应与本项目相关且须提供中国国家认证认可监督管理委员会网站查询页面完整截图，否则对应内容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具备在有效期内的售后服务认证证书：五星级及以上的得3分；四星级的得2分；三星级及以下的得1分。本项最高3分，上述证书覆盖范围应与本项目相关且须提供中国国家认证认可监督管理委员会网站查询页面完整截图，否则不得分。</w:t>
      </w:r>
      <w:r>
        <w:rPr>
          <w:rFonts w:hint="eastAsia" w:ascii="宋体" w:hAnsi="宋体" w:eastAsia="宋体" w:cs="宋体"/>
          <w:color w:val="000000"/>
          <w:sz w:val="24"/>
          <w:szCs w:val="24"/>
          <w:highlight w:val="none"/>
        </w:rPr>
      </w:r>
      <w:r/>
    </w:p>
    <w:p>
      <w:pPr>
        <w:pStyle w:val="94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（3）提供自2023年1月1日至今（以合同签订日期为准）由供应商独立承担（非联合体）的类似项目业绩，每份2分，最高10分。</w:t>
      </w:r>
      <w:r>
        <w:rPr>
          <w:rFonts w:hint="eastAsia" w:ascii="宋体" w:hAnsi="宋体" w:eastAsia="宋体" w:cs="宋体"/>
          <w:color w:val="000000"/>
          <w:sz w:val="24"/>
          <w:szCs w:val="24"/>
          <w:highlight w:val="none"/>
          <w:lang w:val="en-US" w:eastAsia="zh-CN" w:bidi="ar"/>
        </w:rPr>
        <w:t xml:space="preserve">响应文件中必</w:t>
      </w:r>
      <w:r>
        <w:rPr>
          <w:rFonts w:hint="eastAsia" w:ascii="宋体" w:hAnsi="宋体" w:eastAsia="宋体" w:cs="宋体"/>
          <w:color w:val="000000"/>
          <w:sz w:val="24"/>
          <w:szCs w:val="24"/>
          <w:highlight w:val="none"/>
          <w:lang w:val="en-US" w:eastAsia="zh-CN"/>
        </w:rPr>
        <w:t xml:space="preserve">须提供采购合同复印件及对应的任意一期发票复印件</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t xml:space="preserve">否则对应内容不得分。</w:t>
      </w:r>
      <w:r>
        <w:rPr>
          <w:rFonts w:hint="eastAsia" w:ascii="宋体" w:hAnsi="宋体" w:eastAsia="宋体" w:cs="宋体"/>
          <w:color w:val="000000"/>
          <w:sz w:val="24"/>
          <w:szCs w:val="24"/>
          <w:highlight w:val="none"/>
        </w:rPr>
      </w:r>
      <w:r/>
    </w:p>
    <w:p>
      <w:pPr>
        <w:pStyle w:val="94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4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评审说明：其他评审未尽事宜由评审委员会根据有关规定讨论决定。</w:t>
      </w:r>
      <w:r>
        <w:rPr>
          <w:rFonts w:hint="eastAsia" w:ascii="宋体" w:hAnsi="宋体" w:eastAsia="宋体" w:cs="宋体"/>
          <w:color w:val="000000"/>
          <w:sz w:val="24"/>
          <w:szCs w:val="24"/>
          <w:highlight w:val="none"/>
        </w:rPr>
      </w:r>
      <w:r/>
    </w:p>
    <w:p>
      <w:pPr>
        <w:pStyle w:val="94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ind w:firstLine="482"/>
        <w:spacing w:line="360" w:lineRule="auto"/>
        <w:rPr>
          <w:rStyle w:val="1133"/>
          <w:rFonts w:hint="eastAsia" w:ascii="宋体" w:hAnsi="宋体" w:eastAsia="宋体" w:cs="宋体"/>
          <w:b/>
          <w:color w:val="000000"/>
          <w:sz w:val="24"/>
          <w:szCs w:val="24"/>
          <w:highlight w:val="none"/>
        </w:rPr>
      </w:pPr>
      <w:r>
        <w:rPr>
          <w:rStyle w:val="1133"/>
          <w:rFonts w:hint="eastAsia" w:ascii="宋体" w:hAnsi="宋体" w:eastAsia="宋体" w:cs="宋体"/>
          <w:b/>
          <w:color w:val="000000"/>
          <w:sz w:val="24"/>
          <w:szCs w:val="24"/>
          <w:highlight w:val="none"/>
        </w:rPr>
        <w:t xml:space="preserve">三、政府采购政策： </w:t>
      </w:r>
      <w:r>
        <w:rPr>
          <w:rStyle w:val="1133"/>
          <w:rFonts w:hint="eastAsia" w:ascii="宋体" w:hAnsi="宋体" w:eastAsia="宋体" w:cs="宋体"/>
          <w:b/>
          <w:color w:val="000000"/>
          <w:sz w:val="24"/>
          <w:szCs w:val="24"/>
          <w:highlight w:val="none"/>
        </w:rPr>
      </w:r>
      <w:r/>
    </w:p>
    <w:p>
      <w:pPr>
        <w:pStyle w:val="945"/>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（1）本项目专门面向中小企业采购。</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1133"/>
          <w:rFonts w:hint="eastAsia" w:ascii="宋体" w:hAnsi="宋体" w:eastAsia="宋体" w:cs="宋体"/>
          <w:bCs/>
          <w:color w:val="000000"/>
          <w:sz w:val="24"/>
          <w:szCs w:val="24"/>
          <w:highlight w:val="none"/>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5、上述针对中小型企业、监狱企业和残疾人福利性单位的评审政策不重复享受。</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6、实施本国产品标准及相关政策：</w:t>
      </w:r>
      <w:r>
        <w:rPr>
          <w:rFonts w:hint="eastAsia" w:ascii="宋体" w:hAnsi="宋体" w:eastAsia="宋体" w:cs="宋体"/>
          <w:color w:val="000000"/>
          <w:sz w:val="24"/>
          <w:szCs w:val="24"/>
          <w:highlight w:val="none"/>
          <w:lang w:val="en-US" w:eastAsia="zh-CN"/>
        </w:rPr>
      </w:r>
      <w:r/>
    </w:p>
    <w:p>
      <w:pPr>
        <w:pStyle w:val="945"/>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根据《国务院办公厅关于在政府采购中实施本国产品标准及相关政策的通知》（国办发（2025）34号）的规定，本项目对采购本国产品给予政策支持。</w:t>
      </w:r>
      <w:r>
        <w:rPr>
          <w:rFonts w:hint="eastAsia" w:ascii="宋体" w:hAnsi="宋体" w:eastAsia="宋体" w:cs="宋体"/>
          <w:b/>
          <w:bCs/>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以上时（供应商需在“第三章 响应文件格式”的“磋商响应明细报价表”中填写比例数值），依法对该供应商提供的全部产品给予价格评审优惠，即对该供应商提供的全部产品的总报价给予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b/>
          <w:bCs/>
          <w:color w:val="000000"/>
          <w:sz w:val="24"/>
          <w:szCs w:val="24"/>
          <w:highlight w:val="none"/>
        </w:rPr>
        <w:t xml:space="preserve">供应商未填写比例数值，或比例数值未达到</w:t>
      </w:r>
      <w:r>
        <w:rPr>
          <w:rFonts w:hint="eastAsia" w:ascii="宋体" w:hAnsi="宋体" w:eastAsia="宋体" w:cs="宋体"/>
          <w:b/>
          <w:bCs/>
          <w:color w:val="000000"/>
          <w:sz w:val="24"/>
          <w:szCs w:val="24"/>
          <w:highlight w:val="none"/>
          <w:u w:val="single"/>
        </w:rPr>
        <w:t xml:space="preserve">80</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rPr>
        <w:t xml:space="preserve">的，</w:t>
      </w:r>
      <w:r>
        <w:rPr>
          <w:rFonts w:hint="eastAsia" w:ascii="宋体" w:hAnsi="宋体" w:eastAsia="宋体" w:cs="宋体"/>
          <w:b/>
          <w:color w:val="000000"/>
          <w:sz w:val="24"/>
          <w:szCs w:val="24"/>
          <w:highlight w:val="none"/>
        </w:rPr>
        <w:t xml:space="preserve">将不享受本国产品价格评审优惠。</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）供应商需按照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文件的要求提供《关于符合本国产品标准的声明函》（以下简称《声明函》）或财政部会同有关部门规定的有关证明文件的，</w:t>
      </w:r>
      <w:r>
        <w:rPr>
          <w:rFonts w:hint="eastAsia" w:ascii="宋体" w:hAnsi="宋体" w:eastAsia="宋体" w:cs="宋体"/>
          <w:b/>
          <w:color w:val="000000"/>
          <w:sz w:val="24"/>
          <w:szCs w:val="24"/>
          <w:highlight w:val="none"/>
        </w:rPr>
        <w:t xml:space="preserve">如不提供或提供不符要求的将不享受本国产品价格评审优惠。</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000000"/>
          <w:sz w:val="24"/>
          <w:szCs w:val="24"/>
          <w:highlight w:val="none"/>
        </w:rPr>
        <w:t xml:space="preserve">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45"/>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文件规定的，</w:t>
      </w:r>
      <w:r>
        <w:rPr>
          <w:rFonts w:hint="eastAsia" w:ascii="宋体" w:hAnsi="宋体" w:eastAsia="宋体" w:cs="宋体"/>
          <w:b/>
          <w:color w:val="000000"/>
          <w:sz w:val="24"/>
          <w:szCs w:val="24"/>
          <w:highlight w:val="none"/>
        </w:rPr>
        <w:t xml:space="preserve">供应商提供的相关产品视为不符合本国产品标准。</w:t>
      </w:r>
      <w:r>
        <w:rPr>
          <w:rFonts w:ascii="宋体" w:hAnsi="宋体" w:eastAsia="宋体" w:cs="宋体"/>
          <w:color w:val="000000"/>
          <w:sz w:val="24"/>
          <w:szCs w:val="24"/>
          <w:highlight w:val="none"/>
          <w:lang w:val="en-US" w:eastAsia="zh-CN"/>
        </w:rPr>
      </w:r>
      <w:r/>
    </w:p>
    <w:p>
      <w:pPr>
        <w:pStyle w:val="1042"/>
        <w:ind w:firstLine="0"/>
        <w:jc w:val="right"/>
        <w:spacing w:line="360" w:lineRule="auto"/>
        <w:rPr>
          <w:rFonts w:hint="eastAsia"/>
          <w:color w:val="000000"/>
          <w:highlight w:val="none"/>
        </w:rPr>
      </w:pPr>
      <w:r>
        <w:rPr>
          <w:rFonts w:hint="eastAsia"/>
          <w:color w:val="000000"/>
          <w:highlight w:val="none"/>
        </w:rPr>
        <w:t xml:space="preserve">（全文完）</w:t>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细黑">
    <w:panose1 w:val="02010600040101010101"/>
  </w:font>
  <w:font w:name="Cambria">
    <w:panose1 w:val="02040503050406030204"/>
  </w:font>
  <w:font w:name="仿宋">
    <w:panose1 w:val="02010609060101010101"/>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hint="eastAsia" w:ascii="宋体" w:hAnsi="宋体" w:cs="宋体"/>
        <w:lang w:val="en-US" w:eastAsia="zh-CN"/>
      </w:rPr>
      <w:t xml:space="preserve"> </w:t>
    </w:r>
    <w:r>
      <w:rPr>
        <w:rFonts w:hint="eastAsia" w:ascii="宋体" w:hAnsi="宋体" w:cs="宋体"/>
      </w:rPr>
      <w:t xml:space="preserve">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JSZC-320500-SZZJ-C2026-0019</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5"/>
    <w:next w:val="945"/>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5"/>
    <w:next w:val="945"/>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5"/>
    <w:next w:val="945"/>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5"/>
    <w:next w:val="945"/>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5"/>
    <w:next w:val="945"/>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5"/>
    <w:next w:val="945"/>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5"/>
    <w:next w:val="945"/>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5"/>
    <w:next w:val="945"/>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5"/>
    <w:next w:val="945"/>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rFonts w:eastAsia="楷体_GB2312"/>
      <w:sz w:val="26"/>
      <w:lang w:val="en-US" w:eastAsia="zh-CN" w:bidi="ar-SA"/>
    </w:rPr>
  </w:style>
  <w:style w:type="paragraph" w:styleId="946">
    <w:name w:val="标题 1"/>
    <w:basedOn w:val="945"/>
    <w:next w:val="945"/>
    <w:link w:val="957"/>
    <w:qFormat/>
    <w:pPr>
      <w:keepLines/>
      <w:keepNext/>
      <w:spacing w:before="340" w:after="330" w:line="578" w:lineRule="auto"/>
      <w:outlineLvl w:val="0"/>
    </w:pPr>
    <w:rPr>
      <w:b/>
      <w:sz w:val="44"/>
    </w:rPr>
  </w:style>
  <w:style w:type="paragraph" w:styleId="947">
    <w:name w:val="标题 2"/>
    <w:basedOn w:val="945"/>
    <w:next w:val="945"/>
    <w:link w:val="958"/>
    <w:qFormat/>
    <w:pPr>
      <w:jc w:val="left"/>
      <w:keepLines/>
      <w:keepNext/>
      <w:outlineLvl w:val="1"/>
    </w:pPr>
    <w:rPr>
      <w:rFonts w:ascii="宋体" w:hAnsi="宋体"/>
      <w:b/>
    </w:rPr>
  </w:style>
  <w:style w:type="paragraph" w:styleId="948">
    <w:name w:val="标题 3"/>
    <w:basedOn w:val="945"/>
    <w:next w:val="945"/>
    <w:link w:val="959"/>
    <w:qFormat/>
    <w:pPr>
      <w:jc w:val="left"/>
      <w:keepLines/>
      <w:keepNext/>
      <w:outlineLvl w:val="2"/>
    </w:pPr>
    <w:rPr>
      <w:b/>
    </w:rPr>
  </w:style>
  <w:style w:type="paragraph" w:styleId="949">
    <w:name w:val="标题 4"/>
    <w:basedOn w:val="945"/>
    <w:next w:val="945"/>
    <w:link w:val="960"/>
    <w:qFormat/>
    <w:pPr>
      <w:keepLines/>
      <w:keepNext/>
      <w:spacing w:before="280" w:after="290" w:line="376" w:lineRule="auto"/>
      <w:outlineLvl w:val="3"/>
    </w:pPr>
    <w:rPr>
      <w:rFonts w:ascii="Arial" w:hAnsi="Arial" w:eastAsia="黑体"/>
      <w:b/>
      <w:bCs/>
      <w:sz w:val="28"/>
      <w:szCs w:val="28"/>
    </w:rPr>
  </w:style>
  <w:style w:type="paragraph" w:styleId="950">
    <w:name w:val="标题 5"/>
    <w:basedOn w:val="945"/>
    <w:next w:val="945"/>
    <w:link w:val="961"/>
    <w:qFormat/>
    <w:pPr>
      <w:jc w:val="left"/>
      <w:keepLines/>
      <w:keepNext/>
      <w:spacing w:before="280" w:after="290" w:line="376" w:lineRule="atLeast"/>
      <w:outlineLvl w:val="4"/>
    </w:pPr>
    <w:rPr>
      <w:rFonts w:ascii="宋体" w:hAnsi="Tms Rmn" w:eastAsia="宋体"/>
      <w:b/>
      <w:sz w:val="28"/>
    </w:rPr>
  </w:style>
  <w:style w:type="paragraph" w:styleId="951">
    <w:name w:val="标题 6"/>
    <w:basedOn w:val="945"/>
    <w:next w:val="945"/>
    <w:link w:val="962"/>
    <w:qFormat/>
    <w:pPr>
      <w:jc w:val="left"/>
      <w:keepLines/>
      <w:keepNext/>
      <w:spacing w:before="240" w:after="64" w:line="320" w:lineRule="atLeast"/>
      <w:outlineLvl w:val="5"/>
    </w:pPr>
    <w:rPr>
      <w:rFonts w:ascii="黑体" w:hAnsi="Tms Rmn" w:eastAsia="黑体"/>
      <w:b/>
      <w:sz w:val="24"/>
    </w:rPr>
  </w:style>
  <w:style w:type="paragraph" w:styleId="952">
    <w:name w:val="标题 7"/>
    <w:basedOn w:val="945"/>
    <w:next w:val="945"/>
    <w:link w:val="963"/>
    <w:qFormat/>
    <w:pPr>
      <w:jc w:val="left"/>
      <w:keepLines/>
      <w:keepNext/>
      <w:spacing w:before="240" w:after="64" w:line="320" w:lineRule="atLeast"/>
      <w:outlineLvl w:val="6"/>
    </w:pPr>
    <w:rPr>
      <w:rFonts w:ascii="宋体" w:hAnsi="Tms Rmn" w:eastAsia="宋体"/>
      <w:b/>
      <w:sz w:val="24"/>
    </w:rPr>
  </w:style>
  <w:style w:type="paragraph" w:styleId="953">
    <w:name w:val="标题 8"/>
    <w:basedOn w:val="945"/>
    <w:next w:val="945"/>
    <w:link w:val="964"/>
    <w:qFormat/>
    <w:pPr>
      <w:keepLines/>
      <w:keepNext/>
      <w:spacing w:before="240" w:after="64" w:line="320" w:lineRule="auto"/>
      <w:outlineLvl w:val="7"/>
    </w:pPr>
    <w:rPr>
      <w:rFonts w:ascii="Arial" w:hAnsi="Arial" w:eastAsia="黑体"/>
      <w:sz w:val="24"/>
      <w:szCs w:val="24"/>
    </w:rPr>
  </w:style>
  <w:style w:type="paragraph" w:styleId="954">
    <w:name w:val="标题 9"/>
    <w:basedOn w:val="945"/>
    <w:next w:val="945"/>
    <w:link w:val="965"/>
    <w:qFormat/>
    <w:pPr>
      <w:keepLines/>
      <w:keepNext/>
      <w:spacing w:before="240" w:after="64" w:line="320" w:lineRule="auto"/>
      <w:outlineLvl w:val="8"/>
    </w:pPr>
    <w:rPr>
      <w:rFonts w:ascii="Arial" w:hAnsi="Arial" w:eastAsia="黑体"/>
      <w:sz w:val="24"/>
      <w:szCs w:val="21"/>
    </w:rPr>
  </w:style>
  <w:style w:type="character" w:styleId="955">
    <w:name w:val="默认段落字体"/>
    <w:next w:val="955"/>
    <w:link w:val="945"/>
    <w:rPr>
      <w:rFonts w:ascii="Tahoma" w:hAnsi="Tahoma" w:eastAsia="宋体"/>
      <w:sz w:val="24"/>
    </w:rPr>
  </w:style>
  <w:style w:type="table" w:styleId="956">
    <w:name w:val="普通表格"/>
    <w:next w:val="956"/>
    <w:link w:val="945"/>
    <w:uiPriority w:val="99"/>
    <w:unhideWhenUsed/>
    <w:tblPr/>
  </w:style>
  <w:style w:type="character" w:styleId="957">
    <w:name w:val="标题 1 字符"/>
    <w:next w:val="957"/>
    <w:link w:val="946"/>
    <w:rPr>
      <w:rFonts w:ascii="Times New Roman" w:hAnsi="Times New Roman" w:eastAsia="楷体_GB2312" w:cs="Times New Roman"/>
      <w:b/>
      <w:sz w:val="44"/>
      <w:szCs w:val="20"/>
    </w:rPr>
  </w:style>
  <w:style w:type="character" w:styleId="958">
    <w:name w:val="标题 2 字符"/>
    <w:next w:val="958"/>
    <w:link w:val="947"/>
    <w:rPr>
      <w:rFonts w:ascii="宋体" w:hAnsi="宋体" w:eastAsia="楷体_GB2312" w:cs="Times New Roman"/>
      <w:b/>
      <w:sz w:val="26"/>
      <w:szCs w:val="20"/>
    </w:rPr>
  </w:style>
  <w:style w:type="character" w:styleId="959">
    <w:name w:val="标题 3 字符"/>
    <w:next w:val="959"/>
    <w:link w:val="948"/>
    <w:rPr>
      <w:rFonts w:ascii="Times New Roman" w:hAnsi="Times New Roman" w:eastAsia="楷体_GB2312" w:cs="Times New Roman"/>
      <w:b/>
      <w:sz w:val="26"/>
      <w:szCs w:val="20"/>
    </w:rPr>
  </w:style>
  <w:style w:type="character" w:styleId="960">
    <w:name w:val="标题 4 字符"/>
    <w:next w:val="960"/>
    <w:link w:val="949"/>
    <w:rPr>
      <w:rFonts w:ascii="Arial" w:hAnsi="Arial" w:eastAsia="黑体" w:cs="Times New Roman"/>
      <w:b/>
      <w:bCs/>
      <w:sz w:val="28"/>
      <w:szCs w:val="28"/>
    </w:rPr>
  </w:style>
  <w:style w:type="character" w:styleId="961">
    <w:name w:val="标题 5 字符"/>
    <w:next w:val="961"/>
    <w:link w:val="950"/>
    <w:rPr>
      <w:rFonts w:ascii="宋体" w:hAnsi="Tms Rmn" w:eastAsia="宋体" w:cs="Times New Roman"/>
      <w:b/>
      <w:sz w:val="28"/>
      <w:szCs w:val="20"/>
    </w:rPr>
  </w:style>
  <w:style w:type="character" w:styleId="962">
    <w:name w:val="标题 6 字符"/>
    <w:next w:val="962"/>
    <w:link w:val="951"/>
    <w:rPr>
      <w:rFonts w:ascii="黑体" w:hAnsi="Tms Rmn" w:eastAsia="黑体" w:cs="Times New Roman"/>
      <w:b/>
      <w:sz w:val="24"/>
      <w:szCs w:val="20"/>
    </w:rPr>
  </w:style>
  <w:style w:type="character" w:styleId="963">
    <w:name w:val="标题 7 字符"/>
    <w:next w:val="963"/>
    <w:link w:val="952"/>
    <w:rPr>
      <w:rFonts w:ascii="宋体" w:hAnsi="Tms Rmn" w:eastAsia="宋体" w:cs="Times New Roman"/>
      <w:b/>
      <w:sz w:val="24"/>
      <w:szCs w:val="20"/>
    </w:rPr>
  </w:style>
  <w:style w:type="character" w:styleId="964">
    <w:name w:val="标题 8 字符"/>
    <w:next w:val="964"/>
    <w:link w:val="953"/>
    <w:rPr>
      <w:rFonts w:ascii="Arial" w:hAnsi="Arial" w:eastAsia="黑体" w:cs="Times New Roman"/>
      <w:sz w:val="24"/>
      <w:szCs w:val="24"/>
    </w:rPr>
  </w:style>
  <w:style w:type="character" w:styleId="965">
    <w:name w:val="标题 9 字符"/>
    <w:next w:val="965"/>
    <w:link w:val="954"/>
    <w:rPr>
      <w:rFonts w:ascii="Arial" w:hAnsi="Arial" w:eastAsia="黑体" w:cs="Times New Roman"/>
      <w:sz w:val="24"/>
      <w:szCs w:val="21"/>
    </w:rPr>
  </w:style>
  <w:style w:type="paragraph" w:styleId="966">
    <w:name w:val="目录 7"/>
    <w:basedOn w:val="946"/>
    <w:next w:val="945"/>
    <w:link w:val="945"/>
    <w:pPr>
      <w:ind w:left="2520"/>
    </w:pPr>
  </w:style>
  <w:style w:type="paragraph" w:styleId="967">
    <w:name w:val="索引 8"/>
    <w:basedOn w:val="945"/>
    <w:next w:val="945"/>
    <w:link w:val="945"/>
    <w:pPr>
      <w:ind w:left="2940"/>
    </w:pPr>
  </w:style>
  <w:style w:type="paragraph" w:styleId="968">
    <w:name w:val="列表编号"/>
    <w:basedOn w:val="945"/>
    <w:next w:val="968"/>
    <w:link w:val="945"/>
    <w:pPr>
      <w:ind w:left="1125" w:hanging="555"/>
      <w:tabs>
        <w:tab w:val="left" w:pos="1125" w:leader="none"/>
      </w:tabs>
    </w:pPr>
    <w:rPr>
      <w:rFonts w:eastAsia="宋体"/>
      <w:sz w:val="21"/>
      <w:szCs w:val="24"/>
    </w:rPr>
  </w:style>
  <w:style w:type="paragraph" w:styleId="969">
    <w:name w:val="正文缩进"/>
    <w:basedOn w:val="945"/>
    <w:next w:val="945"/>
    <w:link w:val="970"/>
    <w:qFormat/>
    <w:pPr>
      <w:ind w:firstLine="420"/>
      <w:jc w:val="left"/>
    </w:pPr>
    <w:rPr>
      <w:sz w:val="24"/>
    </w:rPr>
  </w:style>
  <w:style w:type="character" w:styleId="970">
    <w:name w:val="正文缩进 字符"/>
    <w:next w:val="970"/>
    <w:link w:val="969"/>
    <w:qFormat/>
    <w:rPr>
      <w:rFonts w:eastAsia="楷体_GB2312"/>
      <w:sz w:val="24"/>
    </w:rPr>
  </w:style>
  <w:style w:type="paragraph" w:styleId="971">
    <w:name w:val="索引 5"/>
    <w:basedOn w:val="945"/>
    <w:next w:val="945"/>
    <w:link w:val="945"/>
    <w:pPr>
      <w:ind w:left="1680"/>
    </w:pPr>
  </w:style>
  <w:style w:type="paragraph" w:styleId="972">
    <w:name w:val="文档结构图"/>
    <w:basedOn w:val="945"/>
    <w:next w:val="972"/>
    <w:link w:val="973"/>
    <w:pPr>
      <w:shd w:val="clear" w:color="auto" w:fill="000080"/>
    </w:pPr>
    <w:rPr>
      <w:rFonts w:eastAsia="宋体"/>
      <w:sz w:val="24"/>
      <w:shd w:val="clear" w:color="auto" w:fill="000080"/>
    </w:rPr>
  </w:style>
  <w:style w:type="character" w:styleId="973">
    <w:name w:val="文档结构图 字符"/>
    <w:next w:val="973"/>
    <w:link w:val="972"/>
    <w:rPr>
      <w:rFonts w:ascii="Times New Roman" w:hAnsi="Times New Roman" w:eastAsia="宋体" w:cs="Times New Roman"/>
      <w:sz w:val="24"/>
      <w:szCs w:val="20"/>
      <w:shd w:val="clear" w:color="auto" w:fill="000080"/>
    </w:rPr>
  </w:style>
  <w:style w:type="paragraph" w:styleId="974">
    <w:name w:val="批注文字"/>
    <w:basedOn w:val="945"/>
    <w:next w:val="974"/>
    <w:link w:val="975"/>
    <w:pPr>
      <w:jc w:val="left"/>
    </w:pPr>
  </w:style>
  <w:style w:type="character" w:styleId="975">
    <w:name w:val="批注文字 字符1"/>
    <w:next w:val="975"/>
    <w:link w:val="974"/>
    <w:rPr>
      <w:rFonts w:ascii="Times New Roman" w:hAnsi="Times New Roman" w:eastAsia="楷体_GB2312" w:cs="Times New Roman"/>
      <w:sz w:val="26"/>
      <w:szCs w:val="20"/>
    </w:rPr>
  </w:style>
  <w:style w:type="paragraph" w:styleId="976">
    <w:name w:val="索引 6"/>
    <w:basedOn w:val="945"/>
    <w:next w:val="945"/>
    <w:link w:val="945"/>
    <w:pPr>
      <w:ind w:left="2100"/>
    </w:pPr>
  </w:style>
  <w:style w:type="paragraph" w:styleId="977">
    <w:name w:val="正文文本"/>
    <w:basedOn w:val="945"/>
    <w:next w:val="977"/>
    <w:link w:val="978"/>
    <w:pPr>
      <w:spacing w:line="400" w:lineRule="exact"/>
    </w:pPr>
    <w:rPr>
      <w:rFonts w:ascii="楷体_GB2312"/>
      <w:sz w:val="28"/>
    </w:rPr>
  </w:style>
  <w:style w:type="character" w:styleId="978">
    <w:name w:val="正文文本 字符"/>
    <w:next w:val="978"/>
    <w:link w:val="977"/>
    <w:rPr>
      <w:rFonts w:ascii="楷体_GB2312" w:hAnsi="Times New Roman" w:eastAsia="楷体_GB2312" w:cs="Times New Roman"/>
      <w:sz w:val="28"/>
      <w:szCs w:val="20"/>
    </w:rPr>
  </w:style>
  <w:style w:type="paragraph" w:styleId="979">
    <w:name w:val="正文文本缩进"/>
    <w:basedOn w:val="945"/>
    <w:next w:val="945"/>
    <w:link w:val="980"/>
    <w:pPr>
      <w:ind w:left="570"/>
      <w:spacing w:line="520" w:lineRule="exact"/>
    </w:pPr>
    <w:rPr>
      <w:rFonts w:ascii="方正仿宋简体" w:hAnsi="创艺简仿宋" w:eastAsia="方正仿宋简体"/>
      <w:sz w:val="24"/>
    </w:rPr>
  </w:style>
  <w:style w:type="character" w:styleId="980">
    <w:name w:val="正文文本缩进 字符"/>
    <w:next w:val="980"/>
    <w:link w:val="979"/>
    <w:rPr>
      <w:rFonts w:ascii="方正仿宋简体" w:hAnsi="创艺简仿宋" w:eastAsia="方正仿宋简体" w:cs="Times New Roman"/>
      <w:sz w:val="24"/>
      <w:szCs w:val="20"/>
    </w:rPr>
  </w:style>
  <w:style w:type="paragraph" w:styleId="981">
    <w:name w:val="列表 2"/>
    <w:basedOn w:val="946"/>
    <w:next w:val="966"/>
    <w:link w:val="945"/>
    <w:qFormat/>
    <w:pPr>
      <w:ind w:left="100" w:firstLine="3640"/>
      <w:spacing w:before="0" w:after="0" w:line="240" w:lineRule="auto"/>
    </w:pPr>
    <w:rPr>
      <w:rFonts w:ascii="Times New Roman" w:hAnsi="Times New Roman" w:cs="Times New Roman"/>
    </w:rPr>
  </w:style>
  <w:style w:type="paragraph" w:styleId="982">
    <w:name w:val="文本块"/>
    <w:basedOn w:val="945"/>
    <w:next w:val="982"/>
    <w:link w:val="945"/>
    <w:pPr>
      <w:ind w:left="630" w:right="-609" w:firstLine="420"/>
      <w:spacing w:line="360" w:lineRule="auto"/>
    </w:pPr>
    <w:rPr>
      <w:rFonts w:ascii="仿宋_GB2312" w:eastAsia="仿宋_GB2312"/>
      <w:sz w:val="21"/>
    </w:rPr>
  </w:style>
  <w:style w:type="paragraph" w:styleId="983">
    <w:name w:val="索引 4"/>
    <w:basedOn w:val="945"/>
    <w:next w:val="945"/>
    <w:link w:val="945"/>
    <w:pPr>
      <w:ind w:left="1260"/>
    </w:pPr>
  </w:style>
  <w:style w:type="paragraph" w:styleId="984">
    <w:name w:val="目录 5"/>
    <w:basedOn w:val="945"/>
    <w:next w:val="945"/>
    <w:link w:val="945"/>
    <w:pPr>
      <w:ind w:left="1680"/>
    </w:pPr>
  </w:style>
  <w:style w:type="paragraph" w:styleId="985">
    <w:name w:val="目录 3"/>
    <w:basedOn w:val="945"/>
    <w:next w:val="945"/>
    <w:link w:val="945"/>
    <w:pPr>
      <w:ind w:left="840"/>
    </w:pPr>
  </w:style>
  <w:style w:type="paragraph" w:styleId="986">
    <w:name w:val="纯文本"/>
    <w:basedOn w:val="945"/>
    <w:next w:val="986"/>
    <w:link w:val="987"/>
    <w:qFormat/>
    <w:rPr>
      <w:rFonts w:ascii="宋体" w:hAnsi="Courier New"/>
    </w:rPr>
  </w:style>
  <w:style w:type="character" w:styleId="987">
    <w:name w:val="纯文本 字符"/>
    <w:next w:val="987"/>
    <w:link w:val="986"/>
    <w:qFormat/>
    <w:rPr>
      <w:rFonts w:ascii="宋体" w:hAnsi="Courier New" w:eastAsia="楷体_GB2312"/>
      <w:sz w:val="26"/>
    </w:rPr>
  </w:style>
  <w:style w:type="paragraph" w:styleId="988">
    <w:name w:val="目录 8"/>
    <w:basedOn w:val="945"/>
    <w:next w:val="945"/>
    <w:link w:val="945"/>
    <w:pPr>
      <w:ind w:left="2940"/>
    </w:pPr>
  </w:style>
  <w:style w:type="paragraph" w:styleId="989">
    <w:name w:val="索引 3"/>
    <w:basedOn w:val="945"/>
    <w:next w:val="945"/>
    <w:link w:val="945"/>
    <w:pPr>
      <w:ind w:left="840"/>
    </w:pPr>
  </w:style>
  <w:style w:type="paragraph" w:styleId="990">
    <w:name w:val="日期"/>
    <w:basedOn w:val="945"/>
    <w:next w:val="945"/>
    <w:link w:val="991"/>
    <w:rPr>
      <w:rFonts w:ascii="宋体" w:hAnsi="宋体"/>
      <w:sz w:val="24"/>
    </w:rPr>
  </w:style>
  <w:style w:type="character" w:styleId="991">
    <w:name w:val="日期 字符"/>
    <w:next w:val="991"/>
    <w:link w:val="990"/>
    <w:rPr>
      <w:rFonts w:ascii="宋体" w:hAnsi="宋体" w:eastAsia="楷体_GB2312" w:cs="Times New Roman"/>
      <w:sz w:val="24"/>
      <w:szCs w:val="20"/>
    </w:rPr>
  </w:style>
  <w:style w:type="paragraph" w:styleId="992">
    <w:name w:val="正文文本缩进 2"/>
    <w:basedOn w:val="945"/>
    <w:next w:val="992"/>
    <w:link w:val="993"/>
    <w:pPr>
      <w:ind w:firstLine="502"/>
      <w:spacing w:line="360" w:lineRule="auto"/>
      <w:tabs>
        <w:tab w:val="left" w:pos="0" w:leader="none"/>
      </w:tabs>
    </w:pPr>
    <w:rPr>
      <w:rFonts w:ascii="宋体" w:eastAsia="宋体"/>
      <w:b/>
      <w:bCs/>
      <w:sz w:val="24"/>
    </w:rPr>
  </w:style>
  <w:style w:type="character" w:styleId="993">
    <w:name w:val="正文文本缩进 2 字符"/>
    <w:next w:val="993"/>
    <w:link w:val="992"/>
    <w:rPr>
      <w:rFonts w:ascii="宋体" w:hAnsi="Times New Roman" w:eastAsia="宋体" w:cs="Times New Roman"/>
      <w:b/>
      <w:bCs/>
      <w:sz w:val="24"/>
      <w:szCs w:val="20"/>
    </w:rPr>
  </w:style>
  <w:style w:type="paragraph" w:styleId="994">
    <w:name w:val="批注框文本"/>
    <w:basedOn w:val="945"/>
    <w:next w:val="994"/>
    <w:link w:val="995"/>
    <w:rPr>
      <w:sz w:val="18"/>
      <w:szCs w:val="18"/>
    </w:rPr>
  </w:style>
  <w:style w:type="character" w:styleId="995">
    <w:name w:val="批注框文本 字符"/>
    <w:next w:val="995"/>
    <w:link w:val="994"/>
    <w:rPr>
      <w:rFonts w:ascii="Times New Roman" w:hAnsi="Times New Roman" w:eastAsia="楷体_GB2312" w:cs="Times New Roman"/>
      <w:sz w:val="18"/>
      <w:szCs w:val="18"/>
    </w:rPr>
  </w:style>
  <w:style w:type="paragraph" w:styleId="996">
    <w:name w:val="页脚"/>
    <w:basedOn w:val="945"/>
    <w:next w:val="996"/>
    <w:link w:val="997"/>
    <w:uiPriority w:val="99"/>
    <w:pPr>
      <w:jc w:val="left"/>
      <w:tabs>
        <w:tab w:val="center" w:pos="4153" w:leader="none"/>
        <w:tab w:val="right" w:pos="8306" w:leader="none"/>
      </w:tabs>
    </w:pPr>
    <w:rPr>
      <w:rFonts w:ascii="Tahoma" w:hAnsi="Tahoma" w:eastAsia="宋体"/>
      <w:sz w:val="18"/>
      <w:szCs w:val="18"/>
    </w:rPr>
  </w:style>
  <w:style w:type="character" w:styleId="997">
    <w:name w:val="页脚 字符"/>
    <w:next w:val="997"/>
    <w:link w:val="996"/>
    <w:uiPriority w:val="99"/>
    <w:rPr>
      <w:rFonts w:ascii="Tahoma" w:hAnsi="Tahoma" w:eastAsia="宋体"/>
      <w:sz w:val="18"/>
      <w:szCs w:val="18"/>
    </w:rPr>
  </w:style>
  <w:style w:type="paragraph" w:styleId="998">
    <w:name w:val="寄信人地址"/>
    <w:basedOn w:val="945"/>
    <w:next w:val="998"/>
    <w:link w:val="945"/>
    <w:qFormat/>
    <w:rPr>
      <w:rFonts w:ascii="Arial" w:hAnsi="Arial"/>
    </w:rPr>
  </w:style>
  <w:style w:type="paragraph" w:styleId="999">
    <w:name w:val="页眉"/>
    <w:basedOn w:val="945"/>
    <w:next w:val="999"/>
    <w:link w:val="100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1000">
    <w:name w:val="页眉 字符"/>
    <w:next w:val="1000"/>
    <w:link w:val="999"/>
    <w:qFormat/>
    <w:rPr>
      <w:rFonts w:ascii="Tahoma" w:hAnsi="Tahoma" w:eastAsia="宋体"/>
      <w:sz w:val="18"/>
      <w:szCs w:val="18"/>
    </w:rPr>
  </w:style>
  <w:style w:type="paragraph" w:styleId="1001">
    <w:name w:val="目录 1"/>
    <w:basedOn w:val="945"/>
    <w:next w:val="945"/>
    <w:link w:val="945"/>
    <w:pPr>
      <w:ind w:firstLine="751"/>
      <w:jc w:val="left"/>
      <w:spacing w:line="360" w:lineRule="auto"/>
      <w:tabs>
        <w:tab w:val="right" w:pos="9538" w:leader="dot"/>
      </w:tabs>
    </w:pPr>
    <w:rPr>
      <w:sz w:val="24"/>
    </w:rPr>
  </w:style>
  <w:style w:type="paragraph" w:styleId="1002">
    <w:name w:val="目录 4"/>
    <w:basedOn w:val="945"/>
    <w:next w:val="945"/>
    <w:link w:val="945"/>
    <w:pPr>
      <w:ind w:left="1260"/>
    </w:pPr>
  </w:style>
  <w:style w:type="paragraph" w:styleId="1003">
    <w:name w:val="索引标题"/>
    <w:basedOn w:val="945"/>
    <w:next w:val="1004"/>
    <w:link w:val="945"/>
  </w:style>
  <w:style w:type="paragraph" w:styleId="1004">
    <w:name w:val="索引 1"/>
    <w:basedOn w:val="945"/>
    <w:next w:val="945"/>
    <w:link w:val="945"/>
  </w:style>
  <w:style w:type="paragraph" w:styleId="1005">
    <w:name w:val="脚注文本"/>
    <w:basedOn w:val="945"/>
    <w:next w:val="1005"/>
    <w:link w:val="1006"/>
    <w:pPr>
      <w:jc w:val="left"/>
    </w:pPr>
    <w:rPr>
      <w:sz w:val="18"/>
    </w:rPr>
  </w:style>
  <w:style w:type="character" w:styleId="1006">
    <w:name w:val="脚注文本 字符"/>
    <w:next w:val="1006"/>
    <w:link w:val="1005"/>
    <w:rPr>
      <w:rFonts w:ascii="Times New Roman" w:hAnsi="Times New Roman" w:eastAsia="楷体_GB2312" w:cs="Times New Roman"/>
      <w:sz w:val="18"/>
      <w:szCs w:val="20"/>
    </w:rPr>
  </w:style>
  <w:style w:type="paragraph" w:styleId="1007">
    <w:name w:val="目录 6"/>
    <w:basedOn w:val="945"/>
    <w:next w:val="945"/>
    <w:link w:val="945"/>
    <w:pPr>
      <w:ind w:left="2100"/>
    </w:pPr>
  </w:style>
  <w:style w:type="paragraph" w:styleId="1008">
    <w:name w:val="正文文本缩进 3"/>
    <w:basedOn w:val="945"/>
    <w:next w:val="1008"/>
    <w:link w:val="1009"/>
    <w:pPr>
      <w:ind w:firstLine="617"/>
      <w:spacing w:line="360" w:lineRule="auto"/>
    </w:pPr>
    <w:rPr>
      <w:rFonts w:eastAsia="宋体"/>
      <w:sz w:val="24"/>
      <w:szCs w:val="24"/>
    </w:rPr>
  </w:style>
  <w:style w:type="character" w:styleId="1009">
    <w:name w:val="正文文本缩进 3 字符"/>
    <w:next w:val="1009"/>
    <w:link w:val="1008"/>
    <w:rPr>
      <w:rFonts w:ascii="Times New Roman" w:hAnsi="Times New Roman" w:eastAsia="宋体" w:cs="Times New Roman"/>
      <w:sz w:val="24"/>
      <w:szCs w:val="24"/>
    </w:rPr>
  </w:style>
  <w:style w:type="paragraph" w:styleId="1010">
    <w:name w:val="索引 7"/>
    <w:basedOn w:val="945"/>
    <w:next w:val="945"/>
    <w:link w:val="945"/>
    <w:pPr>
      <w:ind w:left="2520"/>
    </w:pPr>
  </w:style>
  <w:style w:type="paragraph" w:styleId="1011">
    <w:name w:val="索引 9"/>
    <w:basedOn w:val="945"/>
    <w:next w:val="945"/>
    <w:link w:val="945"/>
    <w:pPr>
      <w:ind w:left="3360"/>
    </w:pPr>
  </w:style>
  <w:style w:type="paragraph" w:styleId="1012">
    <w:name w:val="图表目录"/>
    <w:basedOn w:val="945"/>
    <w:next w:val="945"/>
    <w:link w:val="945"/>
    <w:pPr>
      <w:ind w:left="420" w:hanging="420"/>
      <w:jc w:val="left"/>
    </w:pPr>
    <w:rPr>
      <w:smallCaps/>
      <w:sz w:val="24"/>
    </w:rPr>
  </w:style>
  <w:style w:type="paragraph" w:styleId="1013">
    <w:name w:val="目录 2"/>
    <w:basedOn w:val="945"/>
    <w:next w:val="945"/>
    <w:link w:val="945"/>
    <w:pPr>
      <w:ind w:left="420"/>
    </w:pPr>
  </w:style>
  <w:style w:type="paragraph" w:styleId="1014">
    <w:name w:val="目录 9"/>
    <w:basedOn w:val="945"/>
    <w:next w:val="945"/>
    <w:link w:val="945"/>
    <w:pPr>
      <w:ind w:left="3360"/>
    </w:pPr>
  </w:style>
  <w:style w:type="paragraph" w:styleId="1015">
    <w:name w:val="HTML 预设格式"/>
    <w:basedOn w:val="945"/>
    <w:next w:val="1015"/>
    <w:link w:val="10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6">
    <w:name w:val="HTML 预设格式 字符"/>
    <w:next w:val="1016"/>
    <w:link w:val="1015"/>
    <w:rPr>
      <w:rFonts w:ascii="黑体" w:hAnsi="Courier New" w:eastAsia="黑体" w:cs="楷体_GB2312"/>
      <w:sz w:val="20"/>
      <w:szCs w:val="20"/>
    </w:rPr>
  </w:style>
  <w:style w:type="paragraph" w:styleId="1017">
    <w:name w:val="普通(网站)"/>
    <w:basedOn w:val="945"/>
    <w:next w:val="1017"/>
    <w:link w:val="945"/>
    <w:uiPriority w:val="99"/>
    <w:qFormat/>
    <w:pPr>
      <w:jc w:val="left"/>
      <w:spacing w:before="100" w:beforeAutospacing="1" w:after="100" w:afterAutospacing="1"/>
      <w:widowControl/>
    </w:pPr>
    <w:rPr>
      <w:rFonts w:hint="eastAsia" w:ascii="宋体" w:hAnsi="宋体" w:eastAsia="宋体"/>
      <w:sz w:val="24"/>
      <w:szCs w:val="24"/>
    </w:rPr>
  </w:style>
  <w:style w:type="paragraph" w:styleId="1018">
    <w:name w:val="索引 2"/>
    <w:basedOn w:val="945"/>
    <w:next w:val="945"/>
    <w:link w:val="945"/>
    <w:pPr>
      <w:ind w:left="420"/>
    </w:pPr>
  </w:style>
  <w:style w:type="paragraph" w:styleId="1019">
    <w:name w:val="批注主题"/>
    <w:basedOn w:val="974"/>
    <w:next w:val="974"/>
    <w:link w:val="1020"/>
    <w:rPr>
      <w:b/>
      <w:bCs/>
    </w:rPr>
  </w:style>
  <w:style w:type="character" w:styleId="1020">
    <w:name w:val="批注主题 字符"/>
    <w:next w:val="1020"/>
    <w:link w:val="1019"/>
    <w:rPr>
      <w:rFonts w:ascii="Times New Roman" w:hAnsi="Times New Roman" w:eastAsia="楷体_GB2312" w:cs="Times New Roman"/>
      <w:b/>
      <w:bCs/>
      <w:sz w:val="26"/>
      <w:szCs w:val="20"/>
    </w:rPr>
  </w:style>
  <w:style w:type="paragraph" w:styleId="1021">
    <w:name w:val="正文首行缩进"/>
    <w:basedOn w:val="977"/>
    <w:next w:val="1021"/>
    <w:link w:val="1022"/>
    <w:pPr>
      <w:ind w:firstLine="420"/>
      <w:spacing w:after="120" w:line="240" w:lineRule="auto"/>
    </w:pPr>
    <w:rPr>
      <w:rFonts w:ascii="Times New Roman"/>
      <w:sz w:val="26"/>
    </w:rPr>
  </w:style>
  <w:style w:type="character" w:styleId="1022">
    <w:name w:val="正文文本首行缩进 字符"/>
    <w:next w:val="1022"/>
    <w:link w:val="1021"/>
    <w:rPr>
      <w:rFonts w:ascii="Times New Roman" w:hAnsi="Times New Roman" w:eastAsia="楷体_GB2312" w:cs="Times New Roman"/>
      <w:sz w:val="26"/>
      <w:szCs w:val="20"/>
    </w:rPr>
  </w:style>
  <w:style w:type="paragraph" w:styleId="1023">
    <w:name w:val="正文首行缩进 2"/>
    <w:basedOn w:val="979"/>
    <w:next w:val="1023"/>
    <w:link w:val="945"/>
    <w:qFormat/>
    <w:pPr>
      <w:ind w:firstLine="420"/>
    </w:pPr>
  </w:style>
  <w:style w:type="table" w:styleId="1024">
    <w:name w:val="网格型"/>
    <w:basedOn w:val="956"/>
    <w:next w:val="1024"/>
    <w:link w:val="945"/>
    <w:uiPriority w:val="59"/>
    <w:unhideWhenUsed/>
    <w:qFormat/>
    <w:pPr>
      <w:jc w:val="both"/>
      <w:widowControl w:val="off"/>
    </w:pPr>
    <w:tblPr/>
  </w:style>
  <w:style w:type="character" w:styleId="1025">
    <w:name w:val="要点"/>
    <w:next w:val="1025"/>
    <w:link w:val="945"/>
    <w:qFormat/>
    <w:rPr>
      <w:rFonts w:ascii="Tahoma" w:hAnsi="Tahoma" w:eastAsia="宋体"/>
      <w:b/>
      <w:sz w:val="24"/>
    </w:rPr>
  </w:style>
  <w:style w:type="character" w:styleId="1026">
    <w:name w:val="页码"/>
    <w:basedOn w:val="955"/>
    <w:next w:val="1026"/>
    <w:link w:val="945"/>
  </w:style>
  <w:style w:type="character" w:styleId="1027">
    <w:name w:val="强调"/>
    <w:next w:val="1027"/>
    <w:link w:val="945"/>
    <w:uiPriority w:val="20"/>
    <w:qFormat/>
    <w:rPr>
      <w:b/>
      <w:bCs/>
      <w:i w:val="0"/>
      <w:iCs w:val="0"/>
    </w:rPr>
  </w:style>
  <w:style w:type="character" w:styleId="1028">
    <w:name w:val="HTML 定义"/>
    <w:next w:val="1028"/>
    <w:link w:val="945"/>
    <w:uiPriority w:val="99"/>
    <w:unhideWhenUsed/>
    <w:rPr>
      <w:i w:val="0"/>
      <w:iCs w:val="0"/>
    </w:rPr>
  </w:style>
  <w:style w:type="character" w:styleId="1029">
    <w:name w:val="HTML 打字机"/>
    <w:next w:val="1029"/>
    <w:link w:val="945"/>
    <w:uiPriority w:val="99"/>
    <w:unhideWhenUsed/>
    <w:rPr>
      <w:rFonts w:ascii="monospace" w:hAnsi="monospace" w:eastAsia="monospace" w:cs="monospace"/>
      <w:sz w:val="20"/>
    </w:rPr>
  </w:style>
  <w:style w:type="character" w:styleId="1030">
    <w:name w:val="HTML 缩写"/>
    <w:next w:val="1030"/>
    <w:link w:val="945"/>
    <w:uiPriority w:val="99"/>
    <w:unhideWhenUsed/>
  </w:style>
  <w:style w:type="character" w:styleId="1031">
    <w:name w:val="HTML 变量"/>
    <w:next w:val="1031"/>
    <w:link w:val="945"/>
    <w:uiPriority w:val="99"/>
    <w:unhideWhenUsed/>
    <w:rPr>
      <w:i w:val="0"/>
      <w:iCs w:val="0"/>
    </w:rPr>
  </w:style>
  <w:style w:type="character" w:styleId="1032">
    <w:name w:val="超链接"/>
    <w:next w:val="1032"/>
    <w:link w:val="945"/>
    <w:rPr>
      <w:color w:val="0000ff"/>
      <w:u w:val="none"/>
    </w:rPr>
  </w:style>
  <w:style w:type="character" w:styleId="1033">
    <w:name w:val="HTML 代码"/>
    <w:next w:val="1033"/>
    <w:link w:val="945"/>
    <w:uiPriority w:val="99"/>
    <w:unhideWhenUsed/>
    <w:rPr>
      <w:rFonts w:ascii="monospace" w:hAnsi="monospace" w:eastAsia="monospace" w:cs="monospace"/>
      <w:i w:val="0"/>
      <w:iCs w:val="0"/>
      <w:sz w:val="20"/>
    </w:rPr>
  </w:style>
  <w:style w:type="character" w:styleId="1034">
    <w:name w:val="批注引用"/>
    <w:next w:val="1034"/>
    <w:link w:val="945"/>
    <w:rPr>
      <w:sz w:val="21"/>
      <w:szCs w:val="21"/>
    </w:rPr>
  </w:style>
  <w:style w:type="character" w:styleId="1035">
    <w:name w:val="HTML 引文"/>
    <w:next w:val="1035"/>
    <w:link w:val="945"/>
    <w:uiPriority w:val="99"/>
    <w:unhideWhenUsed/>
    <w:rPr>
      <w:i w:val="0"/>
      <w:iCs w:val="0"/>
    </w:rPr>
  </w:style>
  <w:style w:type="character" w:styleId="1036">
    <w:name w:val="脚注引用"/>
    <w:next w:val="1036"/>
    <w:link w:val="945"/>
    <w:rPr>
      <w:vertAlign w:val="superscript"/>
    </w:rPr>
  </w:style>
  <w:style w:type="character" w:styleId="1037">
    <w:name w:val="HTML 键盘"/>
    <w:next w:val="1037"/>
    <w:link w:val="945"/>
    <w:uiPriority w:val="99"/>
    <w:unhideWhenUsed/>
    <w:rPr>
      <w:rFonts w:ascii="monospace" w:hAnsi="monospace" w:eastAsia="monospace" w:cs="monospace"/>
      <w:sz w:val="20"/>
    </w:rPr>
  </w:style>
  <w:style w:type="character" w:styleId="1038">
    <w:name w:val="HTML 样本"/>
    <w:next w:val="1038"/>
    <w:link w:val="945"/>
    <w:uiPriority w:val="99"/>
    <w:unhideWhenUsed/>
    <w:rPr>
      <w:rFonts w:ascii="monospace" w:hAnsi="monospace" w:eastAsia="monospace" w:cs="monospace"/>
    </w:rPr>
  </w:style>
  <w:style w:type="paragraph" w:styleId="1039">
    <w:name w:val="正文1"/>
    <w:next w:val="945"/>
    <w:link w:val="945"/>
    <w:qFormat/>
    <w:pPr>
      <w:jc w:val="both"/>
      <w:spacing w:line="360" w:lineRule="atLeast"/>
      <w:widowControl w:val="off"/>
    </w:pPr>
    <w:rPr>
      <w:lang w:val="en-US" w:eastAsia="zh-CN" w:bidi="ar-SA"/>
    </w:rPr>
  </w:style>
  <w:style w:type="paragraph" w:styleId="1040">
    <w:name w:val="正文首行缩进 211"/>
    <w:basedOn w:val="1041"/>
    <w:next w:val="1040"/>
    <w:link w:val="945"/>
    <w:qFormat/>
    <w:pPr>
      <w:ind w:left="420"/>
      <w:spacing w:after="120" w:line="240" w:lineRule="auto"/>
    </w:pPr>
    <w:rPr>
      <w:rFonts w:ascii="Times New Roman" w:hAnsi="Times New Roman"/>
      <w:sz w:val="21"/>
      <w:szCs w:val="20"/>
      <w:lang w:val="en-US" w:eastAsia="zh-CN"/>
    </w:rPr>
  </w:style>
  <w:style w:type="paragraph" w:styleId="1041">
    <w:name w:val="正文文本缩进11"/>
    <w:basedOn w:val="945"/>
    <w:next w:val="945"/>
    <w:link w:val="945"/>
    <w:qFormat/>
    <w:pPr>
      <w:ind w:firstLine="420"/>
      <w:spacing w:line="360" w:lineRule="exact"/>
    </w:pPr>
    <w:rPr>
      <w:sz w:val="24"/>
    </w:rPr>
  </w:style>
  <w:style w:type="paragraph" w:styleId="1042">
    <w:name w:val="段"/>
    <w:next w:val="945"/>
    <w:link w:val="945"/>
    <w:uiPriority w:val="99"/>
    <w:pPr>
      <w:ind w:firstLine="200"/>
      <w:jc w:val="both"/>
      <w:spacing w:line="360" w:lineRule="auto"/>
    </w:pPr>
    <w:rPr>
      <w:rFonts w:ascii="宋体" w:hAnsi="Calibri"/>
      <w:sz w:val="24"/>
      <w:szCs w:val="22"/>
      <w:lang w:val="en-US" w:eastAsia="zh-CN" w:bidi="ar-SA"/>
    </w:rPr>
  </w:style>
  <w:style w:type="character" w:styleId="1043">
    <w:name w:val="font121"/>
    <w:next w:val="1043"/>
    <w:link w:val="945"/>
    <w:rPr>
      <w:rFonts w:ascii="微软雅黑" w:hAnsi="微软雅黑" w:eastAsia="微软雅黑" w:cs="微软雅黑"/>
      <w:i w:val="0"/>
      <w:color w:val="000000"/>
      <w:sz w:val="21"/>
      <w:szCs w:val="21"/>
      <w:u w:val="none"/>
    </w:rPr>
  </w:style>
  <w:style w:type="character" w:styleId="1044">
    <w:name w:val="font91"/>
    <w:next w:val="1044"/>
    <w:link w:val="945"/>
    <w:rPr>
      <w:rFonts w:ascii="微软雅黑" w:hAnsi="微软雅黑" w:eastAsia="微软雅黑" w:cs="微软雅黑"/>
      <w:i w:val="0"/>
      <w:color w:val="ff0000"/>
      <w:sz w:val="21"/>
      <w:szCs w:val="21"/>
      <w:u w:val="none"/>
    </w:rPr>
  </w:style>
  <w:style w:type="character" w:styleId="1045">
    <w:name w:val="font191"/>
    <w:next w:val="1045"/>
    <w:link w:val="945"/>
    <w:rPr>
      <w:rFonts w:hint="eastAsia" w:ascii="宋体" w:hAnsi="宋体" w:eastAsia="宋体" w:cs="宋体"/>
      <w:i w:val="0"/>
      <w:color w:val="000000"/>
      <w:sz w:val="21"/>
      <w:szCs w:val="21"/>
      <w:u w:val="none"/>
    </w:rPr>
  </w:style>
  <w:style w:type="character" w:styleId="1046">
    <w:name w:val="纯文本 Char1"/>
    <w:next w:val="1046"/>
    <w:link w:val="945"/>
    <w:rPr>
      <w:rFonts w:ascii="宋体" w:hAnsi="Courier New" w:eastAsia="宋体" w:cs="Courier New"/>
      <w:sz w:val="24"/>
      <w:szCs w:val="21"/>
    </w:rPr>
  </w:style>
  <w:style w:type="character" w:styleId="1047">
    <w:name w:val="font161"/>
    <w:next w:val="1047"/>
    <w:link w:val="945"/>
    <w:rPr>
      <w:rFonts w:hint="eastAsia" w:ascii="宋体" w:hAnsi="宋体" w:eastAsia="宋体" w:cs="宋体"/>
      <w:i w:val="0"/>
      <w:color w:val="333333"/>
      <w:sz w:val="20"/>
      <w:szCs w:val="20"/>
      <w:u w:val="none"/>
    </w:rPr>
  </w:style>
  <w:style w:type="character" w:styleId="1048">
    <w:name w:val="font51"/>
    <w:next w:val="1048"/>
    <w:link w:val="945"/>
    <w:rPr>
      <w:rFonts w:ascii="Times New Roman" w:hAnsi="Times New Roman" w:eastAsia="宋体" w:cs="Times New Roman"/>
      <w:i w:val="0"/>
      <w:color w:val="000000"/>
      <w:sz w:val="21"/>
      <w:szCs w:val="21"/>
      <w:u w:val="none"/>
    </w:rPr>
  </w:style>
  <w:style w:type="character" w:styleId="1049">
    <w:name w:val="font101"/>
    <w:next w:val="1049"/>
    <w:link w:val="945"/>
    <w:rPr>
      <w:rFonts w:hint="eastAsia" w:ascii="宋体" w:hAnsi="宋体" w:eastAsia="宋体" w:cs="宋体"/>
      <w:i w:val="0"/>
      <w:color w:val="000000"/>
      <w:sz w:val="21"/>
      <w:szCs w:val="21"/>
      <w:u w:val="none"/>
    </w:rPr>
  </w:style>
  <w:style w:type="character" w:styleId="1050">
    <w:name w:val="font151"/>
    <w:next w:val="1050"/>
    <w:link w:val="945"/>
    <w:rPr>
      <w:rFonts w:ascii="Times New Roman" w:hAnsi="Times New Roman" w:eastAsia="宋体" w:cs="Times New Roman"/>
      <w:i w:val="0"/>
      <w:color w:val="dd0806"/>
      <w:sz w:val="21"/>
      <w:szCs w:val="21"/>
      <w:u w:val="none"/>
    </w:rPr>
  </w:style>
  <w:style w:type="character" w:styleId="1051">
    <w:name w:val="font31"/>
    <w:next w:val="1051"/>
    <w:link w:val="945"/>
    <w:rPr>
      <w:rFonts w:ascii="微软雅黑" w:hAnsi="微软雅黑" w:eastAsia="微软雅黑" w:cs="微软雅黑"/>
      <w:i w:val="0"/>
      <w:color w:val="000000"/>
      <w:sz w:val="21"/>
      <w:szCs w:val="21"/>
      <w:u w:val="none"/>
    </w:rPr>
  </w:style>
  <w:style w:type="character" w:styleId="1052">
    <w:name w:val="mini-outputtext1"/>
    <w:next w:val="1052"/>
    <w:link w:val="945"/>
  </w:style>
  <w:style w:type="character" w:styleId="1053">
    <w:name w:val="Plain Text Char1"/>
    <w:next w:val="1053"/>
    <w:link w:val="1054"/>
    <w:qFormat/>
    <w:rPr>
      <w:rFonts w:ascii="宋体" w:hAnsi="Courier New" w:eastAsia="楷体_GB2312"/>
      <w:sz w:val="26"/>
    </w:rPr>
  </w:style>
  <w:style w:type="paragraph" w:styleId="1054">
    <w:name w:val="纯文本1"/>
    <w:basedOn w:val="945"/>
    <w:next w:val="1054"/>
    <w:link w:val="1053"/>
    <w:qFormat/>
    <w:rPr>
      <w:rFonts w:ascii="宋体" w:hAnsi="Courier New"/>
    </w:rPr>
  </w:style>
  <w:style w:type="character" w:styleId="1055">
    <w:name w:val="font71"/>
    <w:next w:val="1055"/>
    <w:link w:val="945"/>
    <w:rPr>
      <w:rFonts w:ascii="Times New Roman" w:hAnsi="Times New Roman" w:eastAsia="宋体" w:cs="Times New Roman"/>
      <w:i w:val="0"/>
      <w:color w:val="000000"/>
      <w:sz w:val="21"/>
      <w:szCs w:val="21"/>
      <w:u w:val="none"/>
    </w:rPr>
  </w:style>
  <w:style w:type="character" w:styleId="1056">
    <w:name w:val="批注文字 字符"/>
    <w:next w:val="1056"/>
    <w:link w:val="945"/>
    <w:rPr>
      <w:rFonts w:ascii="Times New Roman" w:hAnsi="Times New Roman" w:eastAsia="楷体_GB2312" w:cs="Times New Roman"/>
      <w:sz w:val="26"/>
      <w:szCs w:val="20"/>
    </w:rPr>
  </w:style>
  <w:style w:type="character" w:styleId="1057">
    <w:name w:val="font81"/>
    <w:next w:val="1057"/>
    <w:link w:val="945"/>
    <w:rPr>
      <w:rFonts w:ascii="微软雅黑" w:hAnsi="微软雅黑" w:eastAsia="微软雅黑" w:cs="微软雅黑"/>
      <w:i w:val="0"/>
      <w:color w:val="000000"/>
      <w:sz w:val="21"/>
      <w:szCs w:val="21"/>
      <w:u w:val="none"/>
    </w:rPr>
  </w:style>
  <w:style w:type="character" w:styleId="1058">
    <w:name w:val="font181"/>
    <w:next w:val="1058"/>
    <w:link w:val="945"/>
    <w:rPr>
      <w:rFonts w:ascii="Times New Roman" w:hAnsi="Times New Roman" w:eastAsia="宋体" w:cs="Times New Roman"/>
      <w:i w:val="0"/>
      <w:color w:val="000000"/>
      <w:sz w:val="21"/>
      <w:szCs w:val="21"/>
      <w:u w:val="none"/>
      <w:vertAlign w:val="subscript"/>
    </w:rPr>
  </w:style>
  <w:style w:type="character" w:styleId="1059">
    <w:name w:val="apple-style-span"/>
    <w:next w:val="1059"/>
    <w:link w:val="945"/>
  </w:style>
  <w:style w:type="character" w:styleId="1060">
    <w:name w:val="font21"/>
    <w:next w:val="1060"/>
    <w:link w:val="945"/>
    <w:rPr>
      <w:rFonts w:hint="eastAsia" w:ascii="宋体" w:hAnsi="宋体" w:eastAsia="宋体" w:cs="宋体"/>
      <w:b/>
      <w:i w:val="0"/>
      <w:color w:val="000000"/>
      <w:sz w:val="22"/>
      <w:szCs w:val="22"/>
      <w:u w:val="none"/>
    </w:rPr>
  </w:style>
  <w:style w:type="character" w:styleId="1061">
    <w:name w:val="hover2"/>
    <w:next w:val="1061"/>
    <w:link w:val="945"/>
    <w:rPr>
      <w:color w:val="2590eb"/>
    </w:rPr>
  </w:style>
  <w:style w:type="character" w:styleId="1062">
    <w:name w:val="font171"/>
    <w:next w:val="1062"/>
    <w:link w:val="945"/>
    <w:rPr>
      <w:rFonts w:ascii="微软雅黑" w:hAnsi="微软雅黑" w:eastAsia="微软雅黑" w:cs="微软雅黑"/>
      <w:i w:val="0"/>
      <w:color w:val="000000"/>
      <w:sz w:val="21"/>
      <w:szCs w:val="21"/>
      <w:u w:val="none"/>
    </w:rPr>
  </w:style>
  <w:style w:type="character" w:styleId="1063">
    <w:name w:val="font01"/>
    <w:next w:val="1063"/>
    <w:link w:val="945"/>
    <w:rPr>
      <w:rFonts w:hint="eastAsia" w:ascii="宋体" w:hAnsi="宋体" w:eastAsia="宋体" w:cs="宋体"/>
      <w:i w:val="0"/>
      <w:color w:val="333333"/>
      <w:sz w:val="24"/>
      <w:szCs w:val="24"/>
      <w:u w:val="none"/>
    </w:rPr>
  </w:style>
  <w:style w:type="character" w:styleId="1064">
    <w:name w:val="font131"/>
    <w:next w:val="1064"/>
    <w:link w:val="945"/>
    <w:rPr>
      <w:rFonts w:ascii="Times New Roman" w:hAnsi="Times New Roman" w:eastAsia="宋体" w:cs="Times New Roman"/>
      <w:i w:val="0"/>
      <w:color w:val="333333"/>
      <w:sz w:val="20"/>
      <w:szCs w:val="20"/>
      <w:u w:val="none"/>
    </w:rPr>
  </w:style>
  <w:style w:type="character" w:styleId="1065">
    <w:name w:val="font11"/>
    <w:next w:val="1065"/>
    <w:link w:val="945"/>
    <w:rPr>
      <w:rFonts w:hint="eastAsia" w:ascii="宋体" w:hAnsi="宋体" w:eastAsia="宋体" w:cs="宋体"/>
      <w:i w:val="0"/>
      <w:color w:val="000000"/>
      <w:sz w:val="24"/>
      <w:szCs w:val="24"/>
      <w:u w:val="none"/>
    </w:rPr>
  </w:style>
  <w:style w:type="character" w:styleId="1066">
    <w:name w:val="hover1"/>
    <w:next w:val="1066"/>
    <w:link w:val="945"/>
    <w:rPr>
      <w:color w:val="2590eb"/>
    </w:rPr>
  </w:style>
  <w:style w:type="character" w:styleId="1067">
    <w:name w:val="无间隔 字符"/>
    <w:next w:val="1067"/>
    <w:link w:val="1068"/>
    <w:rPr>
      <w:sz w:val="22"/>
      <w:szCs w:val="22"/>
      <w:lang w:val="en-US" w:eastAsia="en-US" w:bidi="ar-SA"/>
    </w:rPr>
  </w:style>
  <w:style w:type="paragraph" w:styleId="1068">
    <w:name w:val="无间隔"/>
    <w:next w:val="1068"/>
    <w:link w:val="1067"/>
    <w:qFormat/>
    <w:rPr>
      <w:sz w:val="22"/>
      <w:szCs w:val="22"/>
      <w:lang w:val="en-US" w:eastAsia="en-US" w:bidi="ar-SA"/>
    </w:rPr>
  </w:style>
  <w:style w:type="character" w:styleId="1069">
    <w:name w:val="hover"/>
    <w:next w:val="1069"/>
    <w:link w:val="945"/>
  </w:style>
  <w:style w:type="character" w:styleId="1070">
    <w:name w:val="font61"/>
    <w:next w:val="1070"/>
    <w:link w:val="945"/>
    <w:rPr>
      <w:rFonts w:ascii="Batang" w:hAnsi="Batang" w:eastAsia="Batang" w:cs="Batang"/>
      <w:i w:val="0"/>
      <w:color w:val="000000"/>
      <w:sz w:val="21"/>
      <w:szCs w:val="21"/>
      <w:u w:val="none"/>
    </w:rPr>
  </w:style>
  <w:style w:type="character" w:styleId="1071">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71"/>
    <w:link w:val="945"/>
    <w:qFormat/>
    <w:rPr>
      <w:rFonts w:ascii="楷体_GB2312" w:hAnsi="Tahoma" w:eastAsia="宋体"/>
      <w:sz w:val="21"/>
      <w:lang w:val="en-US" w:eastAsia="zh-CN" w:bidi="ar-SA"/>
    </w:rPr>
  </w:style>
  <w:style w:type="character" w:styleId="1072">
    <w:name w:val="font141"/>
    <w:next w:val="1072"/>
    <w:link w:val="945"/>
    <w:rPr>
      <w:rFonts w:ascii="Times New Roman" w:hAnsi="Times New Roman" w:eastAsia="宋体" w:cs="Times New Roman"/>
      <w:i w:val="0"/>
      <w:color w:val="000000"/>
      <w:sz w:val="21"/>
      <w:szCs w:val="21"/>
      <w:u w:val="none"/>
      <w:vertAlign w:val="superscript"/>
    </w:rPr>
  </w:style>
  <w:style w:type="character" w:styleId="1073">
    <w:name w:val="font111"/>
    <w:next w:val="1073"/>
    <w:link w:val="945"/>
    <w:rPr>
      <w:rFonts w:ascii="Times New Roman" w:hAnsi="Times New Roman" w:eastAsia="宋体" w:cs="Times New Roman"/>
      <w:i w:val="0"/>
      <w:color w:val="000000"/>
      <w:sz w:val="21"/>
      <w:szCs w:val="21"/>
      <w:u w:val="none"/>
      <w:vertAlign w:val="subscript"/>
    </w:rPr>
  </w:style>
  <w:style w:type="character" w:styleId="1074">
    <w:name w:val="font41"/>
    <w:next w:val="1074"/>
    <w:link w:val="945"/>
    <w:qFormat/>
    <w:rPr>
      <w:rFonts w:hint="eastAsia" w:ascii="宋体" w:hAnsi="宋体" w:eastAsia="宋体" w:cs="宋体"/>
      <w:color w:val="000000"/>
      <w:sz w:val="18"/>
      <w:szCs w:val="18"/>
      <w:u w:val="none"/>
    </w:rPr>
  </w:style>
  <w:style w:type="paragraph" w:styleId="1075">
    <w:name w:val="xl54"/>
    <w:basedOn w:val="945"/>
    <w:next w:val="1075"/>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6">
    <w:name w:val="Char Char Char1 Char Char Char Char"/>
    <w:basedOn w:val="945"/>
    <w:next w:val="1076"/>
    <w:link w:val="945"/>
    <w:pPr>
      <w:jc w:val="left"/>
      <w:spacing w:after="160" w:line="240" w:lineRule="exact"/>
      <w:widowControl/>
    </w:pPr>
    <w:rPr>
      <w:rFonts w:eastAsia="宋体"/>
      <w:sz w:val="24"/>
      <w:szCs w:val="24"/>
    </w:rPr>
  </w:style>
  <w:style w:type="paragraph" w:styleId="1077">
    <w:name w:val="纯文本4"/>
    <w:basedOn w:val="945"/>
    <w:next w:val="1077"/>
    <w:link w:val="945"/>
    <w:qFormat/>
    <w:rPr>
      <w:rFonts w:ascii="宋体" w:hAnsi="Courier New" w:eastAsia="楷体_GB2312"/>
      <w:sz w:val="26"/>
      <w:szCs w:val="20"/>
    </w:rPr>
  </w:style>
  <w:style w:type="paragraph" w:styleId="1078">
    <w:name w:val="Char Char1 Char Char Char Char Char Char Char Char Char Char Char Char Char Char Char Char"/>
    <w:basedOn w:val="945"/>
    <w:next w:val="1078"/>
    <w:link w:val="945"/>
    <w:pPr>
      <w:jc w:val="left"/>
      <w:spacing w:after="160" w:line="240" w:lineRule="exact"/>
      <w:widowControl/>
    </w:pPr>
    <w:rPr>
      <w:rFonts w:ascii="Verdana" w:hAnsi="Verdana" w:eastAsia="宋体"/>
      <w:sz w:val="20"/>
      <w:lang w:eastAsia="en-US"/>
    </w:rPr>
  </w:style>
  <w:style w:type="paragraph" w:styleId="1079">
    <w:name w:val="msolistparagraph"/>
    <w:basedOn w:val="945"/>
    <w:next w:val="1079"/>
    <w:link w:val="945"/>
    <w:qFormat/>
    <w:pPr>
      <w:ind w:firstLine="420"/>
    </w:pPr>
    <w:rPr>
      <w:szCs w:val="21"/>
    </w:rPr>
  </w:style>
  <w:style w:type="paragraph" w:styleId="1080">
    <w:name w:val="xl66"/>
    <w:basedOn w:val="945"/>
    <w:next w:val="108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name w:val="xl65"/>
    <w:basedOn w:val="945"/>
    <w:next w:val="1081"/>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2">
    <w:name w:val="Plain Text"/>
    <w:basedOn w:val="945"/>
    <w:next w:val="1082"/>
    <w:link w:val="945"/>
    <w:rPr>
      <w:rFonts w:ascii="宋体" w:hAnsi="Courier New"/>
      <w:sz w:val="28"/>
    </w:rPr>
  </w:style>
  <w:style w:type="paragraph" w:styleId="1083">
    <w:name w:val="分标题"/>
    <w:basedOn w:val="945"/>
    <w:next w:val="969"/>
    <w:link w:val="945"/>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84">
    <w:name w:val="xl47"/>
    <w:basedOn w:val="945"/>
    <w:next w:val="1084"/>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5">
    <w:name w:val="纯文本2"/>
    <w:basedOn w:val="945"/>
    <w:next w:val="1085"/>
    <w:link w:val="945"/>
    <w:qFormat/>
    <w:rPr>
      <w:rFonts w:ascii="宋体" w:hAnsi="Courier New"/>
      <w:sz w:val="28"/>
    </w:rPr>
  </w:style>
  <w:style w:type="paragraph" w:styleId="1086">
    <w:name w:val="+正文"/>
    <w:basedOn w:val="945"/>
    <w:next w:val="1086"/>
    <w:link w:val="945"/>
    <w:pPr>
      <w:ind w:firstLine="200"/>
      <w:spacing w:line="360" w:lineRule="auto"/>
    </w:pPr>
    <w:rPr>
      <w:rFonts w:eastAsia="宋体"/>
      <w:sz w:val="24"/>
      <w:szCs w:val="28"/>
    </w:rPr>
  </w:style>
  <w:style w:type="paragraph" w:styleId="1087">
    <w:name w:val="000左齐平"/>
    <w:basedOn w:val="945"/>
    <w:next w:val="1087"/>
    <w:link w:val="945"/>
    <w:qFormat/>
    <w:pPr>
      <w:ind w:firstLine="0"/>
      <w:jc w:val="left"/>
    </w:pPr>
    <w:rPr>
      <w:color w:val="000000"/>
    </w:rPr>
  </w:style>
  <w:style w:type="paragraph" w:styleId="1088">
    <w:name w:val="列表段落"/>
    <w:basedOn w:val="945"/>
    <w:next w:val="1088"/>
    <w:link w:val="945"/>
    <w:qFormat/>
    <w:pPr>
      <w:ind w:firstLine="420"/>
    </w:pPr>
  </w:style>
  <w:style w:type="paragraph" w:styleId="1089">
    <w:name w:val="xl52"/>
    <w:basedOn w:val="945"/>
    <w:next w:val="1089"/>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0">
    <w:name w:val="xl62"/>
    <w:basedOn w:val="945"/>
    <w:next w:val="109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1">
    <w:name w:val="并列样式"/>
    <w:basedOn w:val="945"/>
    <w:next w:val="945"/>
    <w:link w:val="945"/>
    <w:pPr>
      <w:ind w:left="839" w:hanging="419"/>
      <w:spacing w:before="120" w:after="120" w:line="360" w:lineRule="exact"/>
      <w:tabs>
        <w:tab w:val="left" w:pos="839" w:leader="none"/>
      </w:tabs>
    </w:pPr>
    <w:rPr>
      <w:rFonts w:eastAsia="宋体"/>
      <w:sz w:val="24"/>
    </w:rPr>
  </w:style>
  <w:style w:type="paragraph" w:styleId="1092">
    <w:name w:val="xl61"/>
    <w:basedOn w:val="945"/>
    <w:next w:val="1092"/>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3">
    <w:name w:val="正文 A"/>
    <w:next w:val="1093"/>
    <w:link w:val="94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94">
    <w:name w:val="Char Char1 Char Char Char Char Char Char Char"/>
    <w:basedOn w:val="945"/>
    <w:next w:val="1094"/>
    <w:link w:val="945"/>
  </w:style>
  <w:style w:type="paragraph" w:styleId="1095">
    <w:name w:val="小四 段落 宋体 Char Char Char Char Char Char"/>
    <w:next w:val="1095"/>
    <w:link w:val="945"/>
    <w:pPr>
      <w:ind w:firstLine="480"/>
    </w:pPr>
    <w:rPr>
      <w:rFonts w:ascii="宋体" w:hAnsi="宋体"/>
      <w:lang w:val="en-US" w:eastAsia="zh-CN" w:bidi="ar-SA"/>
    </w:rPr>
  </w:style>
  <w:style w:type="paragraph" w:styleId="1096">
    <w:name w:val="xl45"/>
    <w:basedOn w:val="945"/>
    <w:next w:val="1096"/>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7">
    <w:name w:val="xl53"/>
    <w:basedOn w:val="945"/>
    <w:next w:val="1097"/>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节标题"/>
    <w:basedOn w:val="945"/>
    <w:next w:val="969"/>
    <w:link w:val="945"/>
    <w:pPr>
      <w:ind w:left="420" w:hanging="420"/>
      <w:spacing w:before="120" w:after="120" w:line="360" w:lineRule="exact"/>
      <w:tabs>
        <w:tab w:val="left" w:pos="420" w:leader="none"/>
      </w:tabs>
      <w:outlineLvl w:val="1"/>
    </w:pPr>
    <w:rPr>
      <w:rFonts w:eastAsia="宋体"/>
      <w:b/>
      <w:bCs/>
      <w:sz w:val="28"/>
    </w:rPr>
  </w:style>
  <w:style w:type="paragraph" w:styleId="1099">
    <w:name w:val="Andy_正文"/>
    <w:basedOn w:val="945"/>
    <w:next w:val="1099"/>
    <w:link w:val="945"/>
    <w:qFormat/>
    <w:pPr>
      <w:ind w:firstLine="480"/>
      <w:spacing w:line="360" w:lineRule="auto"/>
    </w:pPr>
    <w:rPr>
      <w:rFonts w:ascii="Calibri" w:hAnsi="Calibri" w:eastAsia="宋体"/>
      <w:sz w:val="24"/>
      <w:szCs w:val="24"/>
    </w:rPr>
  </w:style>
  <w:style w:type="paragraph" w:styleId="1100">
    <w:name w:val="xl51"/>
    <w:basedOn w:val="945"/>
    <w:next w:val="110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1">
    <w:name w:val="_Style 12"/>
    <w:basedOn w:val="972"/>
    <w:next w:val="1101"/>
    <w:link w:val="945"/>
    <w:pPr>
      <w:jc w:val="left"/>
      <w:spacing w:line="360" w:lineRule="auto"/>
      <w:widowControl/>
    </w:pPr>
    <w:rPr>
      <w:sz w:val="24"/>
    </w:rPr>
  </w:style>
  <w:style w:type="paragraph" w:styleId="1102">
    <w:name w:val="修订"/>
    <w:next w:val="1102"/>
    <w:link w:val="945"/>
    <w:uiPriority w:val="99"/>
    <w:unhideWhenUsed/>
    <w:rPr>
      <w:rFonts w:eastAsia="楷体_GB2312"/>
      <w:sz w:val="26"/>
      <w:lang w:val="en-US" w:eastAsia="zh-CN" w:bidi="ar-SA"/>
    </w:rPr>
  </w:style>
  <w:style w:type="paragraph" w:styleId="1103">
    <w:name w:val="Default"/>
    <w:next w:val="1103"/>
    <w:link w:val="945"/>
    <w:qFormat/>
    <w:pPr>
      <w:widowControl w:val="off"/>
    </w:pPr>
    <w:rPr>
      <w:rFonts w:ascii="宋体" w:hAnsi="Calibri" w:cs="宋体"/>
      <w:color w:val="000000"/>
      <w:sz w:val="24"/>
      <w:szCs w:val="24"/>
      <w:lang w:val="en-US" w:eastAsia="zh-CN" w:bidi="ar-SA"/>
    </w:rPr>
  </w:style>
  <w:style w:type="paragraph" w:styleId="1104">
    <w:name w:val="xl57"/>
    <w:basedOn w:val="945"/>
    <w:next w:val="1104"/>
    <w:link w:val="9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5">
    <w:name w:val="xl49"/>
    <w:basedOn w:val="945"/>
    <w:next w:val="1105"/>
    <w:link w:val="945"/>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6">
    <w:name w:val="Char Char Char"/>
    <w:basedOn w:val="945"/>
    <w:next w:val="1106"/>
    <w:link w:val="945"/>
    <w:rPr>
      <w:rFonts w:ascii="Tahoma" w:hAnsi="Tahoma" w:eastAsia="宋体"/>
      <w:sz w:val="24"/>
    </w:rPr>
  </w:style>
  <w:style w:type="paragraph" w:styleId="1107">
    <w:name w:val="xl59"/>
    <w:basedOn w:val="945"/>
    <w:next w:val="1107"/>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8">
    <w:name w:val="xl63"/>
    <w:basedOn w:val="945"/>
    <w:next w:val="1108"/>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9">
    <w:name w:val="Char Char Char Char Char Char Char"/>
    <w:basedOn w:val="945"/>
    <w:next w:val="1109"/>
    <w:link w:val="945"/>
    <w:pPr>
      <w:ind w:left="432" w:hanging="432"/>
      <w:tabs>
        <w:tab w:val="left" w:pos="432" w:leader="none"/>
      </w:tabs>
    </w:pPr>
    <w:rPr>
      <w:rFonts w:ascii="Tahoma" w:hAnsi="Tahoma" w:eastAsia="宋体"/>
      <w:sz w:val="24"/>
    </w:rPr>
  </w:style>
  <w:style w:type="paragraph" w:styleId="1110">
    <w:name w:val="font5"/>
    <w:basedOn w:val="945"/>
    <w:next w:val="1110"/>
    <w:link w:val="945"/>
    <w:pPr>
      <w:jc w:val="left"/>
      <w:spacing w:before="100" w:beforeAutospacing="1" w:after="100" w:afterAutospacing="1"/>
      <w:widowControl/>
    </w:pPr>
    <w:rPr>
      <w:rFonts w:hint="eastAsia" w:ascii="宋体" w:hAnsi="宋体" w:eastAsia="宋体"/>
      <w:sz w:val="18"/>
      <w:szCs w:val="18"/>
    </w:rPr>
  </w:style>
  <w:style w:type="paragraph" w:styleId="1111">
    <w:name w:val="Char"/>
    <w:basedOn w:val="945"/>
    <w:next w:val="1111"/>
    <w:link w:val="945"/>
    <w:rPr>
      <w:rFonts w:ascii="Tahoma" w:hAnsi="Tahoma" w:eastAsia="宋体"/>
      <w:sz w:val="24"/>
    </w:rPr>
  </w:style>
  <w:style w:type="paragraph" w:styleId="1112">
    <w:name w:val="Blockquote"/>
    <w:basedOn w:val="945"/>
    <w:next w:val="1112"/>
    <w:link w:val="945"/>
    <w:qFormat/>
    <w:pPr>
      <w:ind w:left="360" w:right="360"/>
      <w:jc w:val="left"/>
      <w:spacing w:before="100" w:after="100"/>
    </w:pPr>
    <w:rPr>
      <w:sz w:val="24"/>
    </w:rPr>
  </w:style>
  <w:style w:type="paragraph" w:styleId="1113">
    <w:name w:val="Char Char Char Char Char Char Char Char Char1 Char"/>
    <w:basedOn w:val="972"/>
    <w:next w:val="1113"/>
    <w:link w:val="945"/>
    <w:pPr>
      <w:spacing w:line="360" w:lineRule="auto"/>
    </w:pPr>
    <w:rPr>
      <w:rFonts w:ascii="Tahoma" w:hAnsi="Tahoma"/>
      <w:sz w:val="24"/>
      <w:szCs w:val="24"/>
    </w:rPr>
  </w:style>
  <w:style w:type="paragraph" w:styleId="1114">
    <w:name w:val="font6"/>
    <w:basedOn w:val="945"/>
    <w:next w:val="1114"/>
    <w:link w:val="945"/>
    <w:pPr>
      <w:jc w:val="left"/>
      <w:spacing w:before="100" w:beforeAutospacing="1" w:after="100" w:afterAutospacing="1"/>
      <w:widowControl/>
    </w:pPr>
    <w:rPr>
      <w:rFonts w:hint="eastAsia" w:ascii="宋体" w:hAnsi="宋体" w:eastAsia="宋体" w:cs="Arial Unicode MS"/>
      <w:b/>
      <w:bCs/>
      <w:sz w:val="18"/>
      <w:szCs w:val="18"/>
    </w:rPr>
  </w:style>
  <w:style w:type="paragraph" w:styleId="1115">
    <w:name w:val="xl46"/>
    <w:basedOn w:val="945"/>
    <w:next w:val="1115"/>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6">
    <w:name w:val="xl58"/>
    <w:basedOn w:val="945"/>
    <w:next w:val="1116"/>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7">
    <w:name w:val="_Style 1"/>
    <w:basedOn w:val="945"/>
    <w:next w:val="1117"/>
    <w:link w:val="945"/>
    <w:uiPriority w:val="34"/>
    <w:qFormat/>
    <w:pPr>
      <w:ind w:firstLine="420"/>
    </w:pPr>
    <w:rPr>
      <w:rFonts w:ascii="Calibri" w:hAnsi="Calibri"/>
      <w:szCs w:val="22"/>
    </w:rPr>
  </w:style>
  <w:style w:type="paragraph" w:styleId="1118">
    <w:name w:val="xl64"/>
    <w:basedOn w:val="945"/>
    <w:next w:val="1118"/>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9">
    <w:name w:val="List Paragraph"/>
    <w:basedOn w:val="945"/>
    <w:next w:val="1119"/>
    <w:link w:val="945"/>
    <w:qFormat/>
    <w:pPr>
      <w:ind w:firstLine="420"/>
    </w:pPr>
  </w:style>
  <w:style w:type="paragraph" w:styleId="1120">
    <w:name w:val="xl55"/>
    <w:basedOn w:val="945"/>
    <w:next w:val="1120"/>
    <w:link w:val="94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1">
    <w:name w:val="xl56"/>
    <w:basedOn w:val="945"/>
    <w:next w:val="1121"/>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2">
    <w:name w:val="xl60"/>
    <w:basedOn w:val="945"/>
    <w:next w:val="1122"/>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name w:val="分层标题"/>
    <w:basedOn w:val="945"/>
    <w:next w:val="969"/>
    <w:link w:val="945"/>
    <w:pPr>
      <w:ind w:left="709" w:hanging="709"/>
      <w:spacing w:before="120" w:after="120" w:line="360" w:lineRule="exact"/>
      <w:tabs>
        <w:tab w:val="left" w:pos="1080" w:leader="none"/>
      </w:tabs>
      <w:outlineLvl w:val="4"/>
    </w:pPr>
    <w:rPr>
      <w:rFonts w:eastAsia="宋体"/>
      <w:b/>
      <w:sz w:val="24"/>
      <w:szCs w:val="24"/>
    </w:rPr>
  </w:style>
  <w:style w:type="paragraph" w:styleId="1124">
    <w:name w:val="xl50"/>
    <w:basedOn w:val="945"/>
    <w:next w:val="1124"/>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5">
    <w:name w:val="xl48"/>
    <w:basedOn w:val="945"/>
    <w:next w:val="1125"/>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6">
    <w:name w:val="正文样式"/>
    <w:basedOn w:val="945"/>
    <w:next w:val="1126"/>
    <w:link w:val="945"/>
    <w:qFormat/>
    <w:pPr>
      <w:ind w:firstLine="584"/>
    </w:pPr>
    <w:rPr>
      <w:rFonts w:ascii="仿宋_GB2312" w:eastAsia="仿宋_GB2312"/>
      <w:spacing w:val="-4"/>
      <w:sz w:val="30"/>
      <w:szCs w:val="30"/>
    </w:rPr>
  </w:style>
  <w:style w:type="paragraph" w:styleId="1127">
    <w:name w:val="纯文本11"/>
    <w:basedOn w:val="945"/>
    <w:next w:val="1127"/>
    <w:link w:val="945"/>
    <w:uiPriority w:val="99"/>
    <w:qFormat/>
    <w:rPr>
      <w:rFonts w:ascii="宋体" w:hAnsi="Courier New" w:eastAsia="宋体"/>
      <w:sz w:val="21"/>
      <w:szCs w:val="22"/>
    </w:rPr>
  </w:style>
  <w:style w:type="paragraph" w:styleId="1128">
    <w:name w:val="首行缩进"/>
    <w:basedOn w:val="945"/>
    <w:next w:val="1128"/>
    <w:link w:val="945"/>
    <w:qFormat/>
    <w:pPr>
      <w:ind w:firstLine="480"/>
    </w:pPr>
    <w:rPr>
      <w:rFonts w:ascii="Times New Roman" w:hAnsi="Times New Roman"/>
      <w:szCs w:val="20"/>
      <w:lang w:val="zh-CN"/>
    </w:rPr>
  </w:style>
  <w:style w:type="paragraph" w:styleId="1129">
    <w:name w:val="默认段落字体 Para Char Char Char Char Char Char Char"/>
    <w:basedOn w:val="945"/>
    <w:next w:val="1129"/>
    <w:link w:val="945"/>
    <w:pPr>
      <w:spacing w:line="360" w:lineRule="auto"/>
    </w:pPr>
    <w:rPr>
      <w:rFonts w:ascii="Tahoma" w:hAnsi="Tahoma" w:eastAsia="宋体"/>
      <w:sz w:val="24"/>
    </w:rPr>
  </w:style>
  <w:style w:type="paragraph" w:styleId="1130">
    <w:name w:val="批注框文本1"/>
    <w:basedOn w:val="945"/>
    <w:next w:val="1130"/>
    <w:link w:val="945"/>
    <w:uiPriority w:val="1668"/>
    <w:semiHidden/>
    <w:qFormat/>
    <w:rPr>
      <w:sz w:val="18"/>
      <w:szCs w:val="18"/>
    </w:rPr>
  </w:style>
  <w:style w:type="paragraph" w:styleId="1131">
    <w:name w:val="p0"/>
    <w:basedOn w:val="945"/>
    <w:next w:val="1131"/>
    <w:link w:val="945"/>
    <w:qFormat/>
    <w:rPr>
      <w:rFonts w:hint="eastAsia"/>
    </w:rPr>
  </w:style>
  <w:style w:type="paragraph" w:styleId="1132">
    <w:name w:val="小四 段落 宋体 Char"/>
    <w:basedOn w:val="968"/>
    <w:next w:val="1132"/>
    <w:link w:val="945"/>
    <w:pPr>
      <w:ind w:left="0" w:right="-33" w:firstLine="480"/>
      <w:jc w:val="left"/>
      <w:spacing w:line="360" w:lineRule="auto"/>
      <w:tabs>
        <w:tab w:val="clear" w:pos="1125" w:leader="none"/>
      </w:tabs>
    </w:pPr>
    <w:rPr>
      <w:sz w:val="24"/>
    </w:rPr>
  </w:style>
  <w:style w:type="character" w:styleId="1133">
    <w:name w:val="NormalCharacter1"/>
    <w:next w:val="1133"/>
    <w:link w:val="1134"/>
    <w:semiHidden/>
    <w:qFormat/>
    <w:rPr>
      <w:sz w:val="20"/>
    </w:rPr>
  </w:style>
  <w:style w:type="paragraph" w:styleId="1134">
    <w:name w:val="UserStyle_4"/>
    <w:basedOn w:val="945"/>
    <w:next w:val="1134"/>
    <w:link w:val="1133"/>
    <w:qFormat/>
    <w:rPr>
      <w:rFonts w:eastAsia="宋体"/>
      <w:sz w:val="20"/>
    </w:rPr>
  </w:style>
  <w:style w:type="paragraph" w:styleId="1135">
    <w:name w:val="纯文本3"/>
    <w:basedOn w:val="945"/>
    <w:next w:val="1135"/>
    <w:link w:val="945"/>
    <w:qFormat/>
    <w:pPr>
      <w:jc w:val="both"/>
      <w:widowControl w:val="off"/>
    </w:pPr>
    <w:rPr>
      <w:rFonts w:ascii="宋体" w:hAnsi="Courier New"/>
      <w:sz w:val="21"/>
    </w:rPr>
  </w:style>
  <w:style w:type="paragraph" w:styleId="1136">
    <w:name w:val="列出段落2"/>
    <w:basedOn w:val="945"/>
    <w:next w:val="1136"/>
    <w:link w:val="945"/>
    <w:uiPriority w:val="34"/>
    <w:qFormat/>
    <w:pPr>
      <w:ind w:firstLine="420"/>
    </w:pPr>
    <w:rPr>
      <w:rFonts w:ascii="宋体" w:hAnsi="宋体"/>
      <w:sz w:val="24"/>
      <w:szCs w:val="24"/>
    </w:rPr>
  </w:style>
  <w:style w:type="paragraph" w:styleId="1137">
    <w:name w:val="表格正文"/>
    <w:next w:val="1137"/>
    <w:link w:val="945"/>
    <w:qFormat/>
    <w:pPr>
      <w:spacing w:before="20" w:after="20"/>
    </w:pPr>
    <w:rPr>
      <w:i/>
      <w:iCs/>
      <w:color w:val="0070c0"/>
      <w:sz w:val="24"/>
      <w:szCs w:val="22"/>
      <w:lang w:val="en-US" w:eastAsia="zh-CN" w:bidi="ar-SA"/>
    </w:rPr>
  </w:style>
  <w:style w:type="paragraph" w:styleId="1138">
    <w:name w:val="A 正文内容"/>
    <w:basedOn w:val="945"/>
    <w:next w:val="1138"/>
    <w:link w:val="945"/>
    <w:qFormat/>
    <w:pPr>
      <w:ind w:firstLine="480"/>
    </w:pPr>
    <w:rPr>
      <w:rFonts w:ascii="宋体" w:hAnsi="宋体"/>
    </w:rPr>
  </w:style>
  <w:style w:type="paragraph" w:styleId="1139">
    <w:name w:val="Table Paragraph"/>
    <w:basedOn w:val="945"/>
    <w:next w:val="1139"/>
    <w:link w:val="945"/>
    <w:uiPriority w:val="1"/>
    <w:qFormat/>
    <w:rPr>
      <w:rFonts w:ascii="仿宋" w:hAnsi="仿宋" w:eastAsia="仿宋" w:cs="仿宋"/>
      <w:lang w:val="zh-CN" w:bidi="zh-CN"/>
    </w:rPr>
  </w:style>
  <w:style w:type="paragraph" w:styleId="1140">
    <w:name w:val="Heading41"/>
    <w:basedOn w:val="945"/>
    <w:next w:val="1141"/>
    <w:link w:val="945"/>
    <w:qFormat/>
    <w:pPr>
      <w:keepLines/>
      <w:keepNext/>
      <w:spacing w:before="120" w:after="120"/>
    </w:pPr>
    <w:rPr>
      <w:rFonts w:ascii="Cambria" w:hAnsi="Cambria" w:eastAsia="华文细黑"/>
      <w:b/>
      <w:sz w:val="28"/>
    </w:rPr>
  </w:style>
  <w:style w:type="paragraph" w:styleId="1141">
    <w:name w:val="NormalIndent1"/>
    <w:basedOn w:val="945"/>
    <w:next w:val="1141"/>
    <w:link w:val="945"/>
    <w:qFormat/>
    <w:pPr>
      <w:ind w:firstLine="420"/>
    </w:pPr>
  </w:style>
  <w:style w:type="table" w:styleId="1142">
    <w:name w:val="网格型1"/>
    <w:basedOn w:val="1143"/>
    <w:next w:val="1142"/>
    <w:link w:val="945"/>
    <w:uiPriority w:val="59"/>
    <w:unhideWhenUsed/>
    <w:qFormat/>
    <w:pPr>
      <w:jc w:val="both"/>
      <w:widowControl w:val="off"/>
    </w:pPr>
    <w:tblPr/>
  </w:style>
  <w:style w:type="table" w:styleId="1143">
    <w:name w:val="普通表格1"/>
    <w:next w:val="1143"/>
    <w:link w:val="945"/>
    <w:uiPriority w:val="99"/>
    <w:unhideWhenUsed/>
    <w:qFormat/>
    <w:tblPr/>
  </w:style>
  <w:style w:type="paragraph" w:styleId="1144">
    <w:name w:val="标题 31"/>
    <w:basedOn w:val="945"/>
    <w:next w:val="945"/>
    <w:link w:val="945"/>
    <w:qFormat/>
    <w:pPr>
      <w:jc w:val="left"/>
      <w:keepLines/>
      <w:keepNext/>
      <w:outlineLvl w:val="2"/>
    </w:pPr>
    <w:rPr>
      <w:b/>
    </w:rPr>
  </w:style>
  <w:style w:type="paragraph" w:styleId="1145">
    <w:name w:val="目录 21"/>
    <w:basedOn w:val="945"/>
    <w:next w:val="945"/>
    <w:link w:val="945"/>
    <w:qFormat/>
    <w:pPr>
      <w:ind w:left="420"/>
    </w:pPr>
  </w:style>
  <w:style w:type="character" w:styleId="1146">
    <w:name w:val="16"/>
    <w:basedOn w:val="955"/>
    <w:next w:val="1146"/>
    <w:link w:val="945"/>
    <w:qFormat/>
    <w:rPr>
      <w:rFonts w:ascii="Times New Roman" w:hAnsi="Times New Roman" w:cs="Times New Roman"/>
      <w:i/>
    </w:rPr>
  </w:style>
  <w:style w:type="character" w:styleId="1147" w:default="1">
    <w:name w:val="Default Paragraph Font"/>
    <w:uiPriority w:val="1"/>
    <w:semiHidden/>
    <w:unhideWhenUsed/>
  </w:style>
  <w:style w:type="numbering" w:styleId="1148" w:default="1">
    <w:name w:val="No List"/>
    <w:uiPriority w:val="99"/>
    <w:semiHidden/>
    <w:unhideWhenUsed/>
  </w:style>
  <w:style w:type="table" w:styleId="11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5</cp:revision>
  <dcterms:created xsi:type="dcterms:W3CDTF">2023-04-15T01:25:00Z</dcterms:created>
  <dcterms:modified xsi:type="dcterms:W3CDTF">2026-05-15T05:29:01Z</dcterms:modified>
</cp:coreProperties>
</file>