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ascii="Arial" w:hAnsi="Arial"/>
          <w:color w:val="000000"/>
          <w:sz w:val="32"/>
          <w:szCs w:val="24"/>
        </w:rPr>
      </w:pPr>
      <w:r>
        <w:rPr>
          <w:rFonts w:hint="eastAsia" w:ascii="Arial" w:hAnsi="Arial"/>
          <w:b/>
          <w:bCs/>
          <w:color w:val="000000"/>
          <w:sz w:val="32"/>
          <w:szCs w:val="24"/>
        </w:rPr>
        <w:t xml:space="preserve">项目名称：</w:t>
      </w:r>
      <w:r>
        <w:rPr>
          <w:rFonts w:hint="eastAsia" w:ascii="Arial" w:hAnsi="Arial"/>
          <w:color w:val="000000"/>
          <w:spacing w:val="-6"/>
          <w:sz w:val="32"/>
          <w:szCs w:val="24"/>
          <w:lang w:eastAsia="zh-CN"/>
        </w:rPr>
        <w:t xml:space="preserve">连云港市</w:t>
      </w:r>
      <w:r>
        <w:rPr>
          <w:rFonts w:hint="default" w:ascii="Times New Roman" w:hAnsi="Times New Roman" w:cs="Times New Roman"/>
          <w:color w:val="000000"/>
          <w:spacing w:val="-6"/>
          <w:sz w:val="32"/>
          <w:szCs w:val="24"/>
          <w:lang w:eastAsia="zh-CN"/>
        </w:rPr>
        <w:t xml:space="preserve">2026</w:t>
      </w:r>
      <w:r>
        <w:rPr>
          <w:rFonts w:hint="eastAsia" w:ascii="Arial" w:hAnsi="Arial"/>
          <w:color w:val="000000"/>
          <w:spacing w:val="-6"/>
          <w:sz w:val="32"/>
          <w:szCs w:val="24"/>
          <w:lang w:eastAsia="zh-CN"/>
        </w:rPr>
        <w:t xml:space="preserve">年度市级通用应急物资采购项目</w:t>
      </w:r>
      <w:r/>
    </w:p>
    <w:p>
      <w:pPr>
        <w:jc w:val="center"/>
        <w:spacing w:line="480" w:lineRule="auto"/>
        <w:rPr>
          <w:rFonts w:hint="eastAsia" w:ascii="黑体" w:hAnsi="Arial" w:eastAsia="宋体"/>
          <w:color w:val="000000"/>
          <w:sz w:val="44"/>
          <w:szCs w:val="21"/>
          <w:lang w:eastAsia="zh-CN"/>
        </w:rPr>
      </w:pPr>
      <w:r>
        <w:rPr>
          <w:rFonts w:hint="eastAsia" w:ascii="Arial" w:hAnsi="Arial"/>
          <w:b/>
          <w:bCs/>
          <w:sz w:val="32"/>
          <w:szCs w:val="24"/>
        </w:rPr>
        <w:t xml:space="preserve">项目编号：</w:t>
      </w:r>
      <w:bookmarkStart w:id="26" w:name="_GoBack"/>
      <w:r/>
      <w:bookmarkEnd w:id="26"/>
      <w:r>
        <w:rPr>
          <w:rFonts w:hint="eastAsia" w:ascii="Times New Roman" w:hAnsi="Times New Roman" w:cs="Times New Roman"/>
          <w:sz w:val="32"/>
          <w:szCs w:val="24"/>
          <w:lang w:eastAsia="zh-CN"/>
        </w:rPr>
        <w:t xml:space="preserve">JSZC-320700-XHZX-G2026-0007</w:t>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1"/>
        <w:ind w:firstLine="1285"/>
        <w:jc w:val="both"/>
        <w:spacing w:line="360" w:lineRule="auto"/>
        <w:rPr>
          <w:rFonts w:hint="eastAsia" w:eastAsia="宋体"/>
          <w:b/>
          <w:color w:val="000000"/>
          <w:sz w:val="32"/>
          <w:lang w:eastAsia="zh-CN"/>
        </w:rPr>
      </w:pPr>
      <w:r>
        <w:rPr>
          <w:rFonts w:hint="eastAsia" w:ascii="宋体" w:hAnsi="宋体"/>
          <w:b/>
          <w:bCs/>
          <w:sz w:val="32"/>
        </w:rPr>
        <w:t xml:space="preserve">采  购  人：</w:t>
      </w:r>
      <w:r>
        <w:rPr>
          <w:rFonts w:hint="eastAsia" w:ascii="宋体" w:hAnsi="宋体"/>
          <w:b/>
          <w:bCs/>
          <w:sz w:val="32"/>
          <w:lang w:eastAsia="zh-CN"/>
        </w:rPr>
        <w:t xml:space="preserve">连云港市发展和改革委员会</w:t>
      </w:r>
      <w:r/>
    </w:p>
    <w:p>
      <w:pPr>
        <w:jc w:val="center"/>
        <w:spacing w:before="120" w:after="120" w:line="360" w:lineRule="auto"/>
        <w:rPr>
          <w:rFonts w:ascii="Arial" w:hAnsi="Arial"/>
          <w:b/>
          <w:bCs/>
          <w:color w:val="000000"/>
          <w:sz w:val="32"/>
          <w:szCs w:val="24"/>
        </w:rPr>
      </w:pPr>
      <w:r>
        <w:rPr>
          <w:rFonts w:hint="eastAsia" w:ascii="宋体" w:hAnsi="宋体"/>
          <w:b/>
          <w:bCs/>
          <w:sz w:val="32"/>
        </w:rPr>
        <w:t xml:space="preserve">采购代理机构：江苏协鸿工程咨询有限公司</w:t>
      </w:r>
      <w:r/>
    </w:p>
    <w:p>
      <w:pPr>
        <w:jc w:val="center"/>
        <w:spacing w:before="120" w:after="120" w:line="36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t xml:space="preserve">202</w:t>
      </w:r>
      <w:r>
        <w:rPr>
          <w:rFonts w:hint="default" w:ascii="Times New Roman" w:hAnsi="Times New Roman" w:cs="Times New Roman"/>
          <w:b/>
          <w:bCs/>
          <w:color w:val="000000"/>
          <w:sz w:val="32"/>
          <w:szCs w:val="24"/>
          <w:lang w:val="en-US" w:eastAsia="zh-CN"/>
        </w:rPr>
        <w:t xml:space="preserve">6</w:t>
      </w:r>
      <w:r>
        <w:rPr>
          <w:rFonts w:hint="default" w:ascii="Times New Roman" w:hAnsi="Times New Roman" w:cs="Times New Roman"/>
          <w:b/>
          <w:bCs/>
          <w:color w:val="000000"/>
          <w:sz w:val="32"/>
          <w:szCs w:val="24"/>
        </w:rPr>
        <w:t xml:space="preserve">年</w:t>
      </w:r>
      <w:r>
        <w:rPr>
          <w:rFonts w:hint="default" w:ascii="Times New Roman" w:hAnsi="Times New Roman" w:cs="Times New Roman"/>
          <w:b/>
          <w:bCs/>
          <w:color w:val="000000"/>
          <w:sz w:val="32"/>
          <w:szCs w:val="24"/>
          <w:lang w:val="en-US" w:eastAsia="zh-CN"/>
        </w:rPr>
        <w:t xml:space="preserve">4</w:t>
      </w:r>
      <w:r>
        <w:rPr>
          <w:rFonts w:hint="default" w:ascii="Times New Roman" w:hAnsi="Times New Roman" w:cs="Times New Roman"/>
          <w:b/>
          <w:bCs/>
          <w:color w:val="000000"/>
          <w:sz w:val="32"/>
          <w:szCs w:val="24"/>
        </w:rPr>
        <w:t xml:space="preserve">月</w:t>
      </w:r>
      <w:r/>
    </w:p>
    <w:p>
      <w:pPr>
        <w:jc w:val="center"/>
        <w:spacing w:before="120" w:after="120" w:line="360" w:lineRule="auto"/>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44"/>
        <w:rPr>
          <w:rFonts w:hint="eastAsia"/>
        </w:rPr>
      </w:pPr>
      <w:r>
        <w:rPr>
          <w:rFonts w:hint="eastAsia"/>
        </w:rPr>
        <w:t xml:space="preserve">目  录</w:t>
      </w:r>
      <w:r/>
    </w:p>
    <w:p>
      <w:pPr>
        <w:rPr>
          <w:rFonts w:hint="eastAsia"/>
        </w:rPr>
      </w:pPr>
      <w:r>
        <w:rPr>
          <w:rFonts w:hint="eastAsia"/>
        </w:rPr>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第一章投标邀请</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_Toc165205794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1</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第二章供应商须知</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_Toc165205795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第三章合同文本</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_Toc165205796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22</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第四章采购需求</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_Toc165205797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37</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第五章评标方法与评标标准</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_Toc165205798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46</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eastAsia"/>
          <w:sz w:val="36"/>
          <w:szCs w:val="36"/>
        </w:rPr>
      </w:pPr>
      <w:r>
        <w:rPr>
          <w:rFonts w:hint="default" w:ascii="Times New Roman" w:hAnsi="Times New Roman" w:cs="Times New Roman"/>
          <w:sz w:val="36"/>
          <w:szCs w:val="36"/>
        </w:rPr>
        <w:t xml:space="preserve">第六章投标文件格式</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_Toc165205799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50</w:t>
      </w:r>
      <w:r>
        <w:rPr>
          <w:rFonts w:hint="default" w:ascii="Times New Roman" w:hAnsi="Times New Roman" w:cs="Times New Roman"/>
          <w:sz w:val="36"/>
          <w:szCs w:val="36"/>
        </w:rPr>
        <w:fldChar w:fldCharType="end"/>
      </w:r>
      <w:r/>
    </w:p>
    <w:p>
      <w:pPr>
        <w:jc w:val="left"/>
        <w:widowControl/>
      </w:pPr>
      <w:r>
        <w:fldChar w:fldCharType="end"/>
      </w:r>
      <w:r/>
    </w:p>
    <w:p>
      <w:pPr>
        <w:pStyle w:val="918"/>
        <w:jc w:val="center"/>
        <w:spacing w:line="360" w:lineRule="auto"/>
        <w:rPr>
          <w:rFonts w:hint="eastAsia"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rPr>
      </w:r>
      <w:r/>
    </w:p>
    <w:p>
      <w:pPr>
        <w:pStyle w:val="918"/>
        <w:jc w:val="center"/>
        <w:pageBreakBefore w:val="0"/>
        <w:spacing w:before="0" w:after="0" w:line="500" w:lineRule="exact"/>
        <w:widowControl w:val="off"/>
        <w:rPr>
          <w:rFonts w:hint="eastAsia" w:ascii="黑体" w:hAnsi="黑体" w:eastAsia="黑体"/>
          <w:b w:val="0"/>
        </w:rPr>
      </w:pPr>
      <w:r/>
      <w:bookmarkStart w:id="0" w:name="_Toc165205794"/>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第一章  投标邀请</w:t>
      </w:r>
      <w:bookmarkEnd w:id="0"/>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sz w:val="24"/>
          <w:szCs w:val="24"/>
        </w:rPr>
      </w:pPr>
      <w:r>
        <w:rPr>
          <w:rFonts w:hint="eastAsia"/>
          <w:sz w:val="24"/>
          <w:szCs w:val="24"/>
        </w:rPr>
        <w:t xml:space="preserve">受</w:t>
      </w:r>
      <w:r>
        <w:rPr>
          <w:rFonts w:hint="eastAsia"/>
          <w:sz w:val="24"/>
          <w:szCs w:val="24"/>
          <w:lang w:eastAsia="zh-CN"/>
        </w:rPr>
        <w:t xml:space="preserve">连云港市发展和改革委员会</w:t>
      </w:r>
      <w:r>
        <w:rPr>
          <w:rFonts w:hint="eastAsia"/>
          <w:sz w:val="24"/>
          <w:szCs w:val="24"/>
        </w:rPr>
        <w:t xml:space="preserve">的委托，江苏协鸿工程咨询有限公司就</w:t>
      </w: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default" w:ascii="Times New Roman" w:hAnsi="Times New Roman" w:cs="Times New Roman"/>
          <w:sz w:val="24"/>
          <w:szCs w:val="24"/>
        </w:rPr>
        <w:t xml:space="preserve">（</w:t>
      </w:r>
      <w:r>
        <w:rPr>
          <w:rFonts w:hint="eastAsia" w:ascii="Times New Roman" w:hAnsi="Times New Roman" w:cs="Times New Roman"/>
          <w:sz w:val="24"/>
          <w:szCs w:val="24"/>
          <w:lang w:eastAsia="zh-CN"/>
        </w:rPr>
        <w:t xml:space="preserve">JSZC-320700-XHZX-G2026-0007</w:t>
      </w:r>
      <w:r>
        <w:rPr>
          <w:rFonts w:hint="default" w:ascii="Times New Roman" w:hAnsi="Times New Roman" w:cs="Times New Roman"/>
          <w:sz w:val="24"/>
          <w:szCs w:val="24"/>
        </w:rPr>
        <w:t xml:space="preserve">）</w:t>
      </w:r>
      <w:r>
        <w:rPr>
          <w:rFonts w:hint="eastAsia"/>
          <w:sz w:val="24"/>
          <w:szCs w:val="24"/>
        </w:rPr>
        <w:t xml:space="preserve">进行公开招标采购，欢迎符合条件的供应商投标。</w:t>
      </w:r>
      <w:r/>
    </w:p>
    <w:tbl>
      <w:tblPr>
        <w:tblStyle w:val="70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ind w:firstLine="480"/>
              <w:jc w:val="left"/>
              <w:pageBreakBefore w:val="0"/>
              <w:spacing w:line="500" w:lineRule="exact"/>
              <w:widowControl w:val="off"/>
              <w:rPr>
                <w:rFonts w:hint="eastAsia"/>
                <w:sz w:val="24"/>
                <w:szCs w:val="24"/>
              </w:rPr>
            </w:pPr>
            <w:r>
              <w:rPr>
                <w:rFonts w:hint="eastAsia"/>
                <w:sz w:val="24"/>
                <w:szCs w:val="24"/>
              </w:rPr>
              <w:t xml:space="preserve">项目概况</w:t>
            </w:r>
            <w:r/>
          </w:p>
          <w:p>
            <w:pPr>
              <w:ind w:firstLine="480"/>
              <w:jc w:val="left"/>
              <w:pageBreakBefore w:val="0"/>
              <w:spacing w:line="500" w:lineRule="exact"/>
              <w:widowControl w:val="off"/>
              <w:rPr>
                <w:sz w:val="24"/>
                <w:szCs w:val="24"/>
              </w:rPr>
            </w:pP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eastAsia"/>
                <w:sz w:val="24"/>
                <w:szCs w:val="24"/>
              </w:rPr>
              <w:t xml:space="preserve">的潜在供应商应在江苏政府采购网自行免费下载招标文件，并于</w:t>
            </w:r>
            <w:r>
              <w:rPr>
                <w:rFonts w:hint="eastAsia" w:ascii="Times New Roman" w:hAnsi="Times New Roman" w:cs="Times New Roman"/>
                <w:color w:val="000000" w:themeColor="text1"/>
                <w:sz w:val="24"/>
                <w:szCs w:val="24"/>
                <w:lang w:eastAsia="zh-CN"/>
              </w:rPr>
              <w:t xml:space="preserve">202</w:t>
            </w:r>
            <w:r>
              <w:rPr>
                <w:rFonts w:hint="eastAsia" w:ascii="Times New Roman" w:hAnsi="Times New Roman" w:cs="Times New Roman"/>
                <w:color w:val="000000" w:themeColor="text1"/>
                <w:sz w:val="24"/>
                <w:szCs w:val="24"/>
                <w:lang w:val="en-US" w:eastAsia="zh-CN"/>
              </w:rPr>
              <w:t xml:space="preserve">6</w:t>
            </w:r>
            <w:r>
              <w:rPr>
                <w:rFonts w:hint="eastAsia" w:ascii="Times New Roman" w:hAnsi="Times New Roman" w:cs="Times New Roman"/>
                <w:color w:val="000000" w:themeColor="text1"/>
                <w:sz w:val="24"/>
                <w:szCs w:val="24"/>
                <w:lang w:eastAsia="zh-CN"/>
              </w:rPr>
              <w:t xml:space="preserve">年</w:t>
            </w:r>
            <w:r>
              <w:rPr>
                <w:rFonts w:hint="eastAsia" w:ascii="Times New Roman" w:hAnsi="Times New Roman" w:cs="Times New Roman"/>
                <w:color w:val="000000" w:themeColor="text1"/>
                <w:sz w:val="24"/>
                <w:szCs w:val="24"/>
                <w:lang w:val="en-US" w:eastAsia="zh-CN"/>
              </w:rPr>
              <w:t xml:space="preserve">6</w:t>
            </w:r>
            <w:r>
              <w:rPr>
                <w:rFonts w:hint="eastAsia" w:ascii="Times New Roman" w:hAnsi="Times New Roman" w:cs="Times New Roman"/>
                <w:color w:val="000000" w:themeColor="text1"/>
                <w:sz w:val="24"/>
                <w:szCs w:val="24"/>
                <w:lang w:eastAsia="zh-CN"/>
              </w:rPr>
              <w:t xml:space="preserve">月8</w:t>
            </w:r>
            <w:r>
              <w:rPr>
                <w:rFonts w:hint="eastAsia" w:ascii="Times New Roman" w:hAnsi="Times New Roman" w:cs="Times New Roman"/>
                <w:color w:val="000000" w:themeColor="text1"/>
                <w:sz w:val="24"/>
                <w:szCs w:val="24"/>
                <w:lang w:eastAsia="zh-CN"/>
              </w:rPr>
              <w:t xml:space="preserve">日</w:t>
            </w:r>
            <w:r>
              <w:rPr>
                <w:rFonts w:hint="eastAsia" w:ascii="Times New Roman" w:hAnsi="Times New Roman" w:cs="Times New Roman"/>
                <w:color w:val="000000" w:themeColor="text1"/>
                <w:sz w:val="24"/>
                <w:szCs w:val="24"/>
                <w:lang w:eastAsia="zh-CN"/>
              </w:rPr>
              <w:t xml:space="preserve">9:0</w:t>
            </w:r>
            <w:r>
              <w:rPr>
                <w:rFonts w:hint="eastAsia" w:ascii="Times New Roman" w:hAnsi="Times New Roman" w:cs="Times New Roman"/>
                <w:sz w:val="24"/>
                <w:szCs w:val="24"/>
                <w:lang w:eastAsia="zh-CN"/>
              </w:rPr>
              <w:t xml:space="preserve">0:00（</w:t>
            </w:r>
            <w:r>
              <w:rPr>
                <w:rFonts w:hint="eastAsia"/>
                <w:sz w:val="24"/>
                <w:szCs w:val="24"/>
              </w:rPr>
              <w:t xml:space="preserve">北京时间）前递交（上传）投标文件。</w:t>
            </w:r>
            <w:r/>
          </w:p>
        </w:tc>
      </w:tr>
    </w:tbl>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一、项目基本情况</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项目编号：</w:t>
      </w:r>
      <w:r>
        <w:rPr>
          <w:rFonts w:hint="eastAsia" w:ascii="Times New Roman" w:hAnsi="Times New Roman" w:cs="Times New Roman"/>
          <w:sz w:val="24"/>
          <w:szCs w:val="24"/>
          <w:lang w:eastAsia="zh-CN"/>
        </w:rPr>
        <w:t xml:space="preserve">JSZC-320700-XHZX-G2026-0007</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rPr>
          <w:rFonts w:hint="default" w:ascii="Times New Roman" w:hAnsi="Times New Roman" w:cs="Times New Roman"/>
          <w:sz w:val="24"/>
          <w:szCs w:val="24"/>
          <w:lang w:eastAsia="zh-CN"/>
        </w:rPr>
        <w:t xml:space="preserve">连云港市2026年度市级通用应急物资采购项目</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预算金</w:t>
      </w:r>
      <w:r>
        <w:rPr>
          <w:rFonts w:hint="default" w:ascii="Times New Roman" w:hAnsi="Times New Roman" w:cs="Times New Roman"/>
          <w:sz w:val="24"/>
          <w:szCs w:val="24"/>
          <w:highlight w:val="none"/>
        </w:rPr>
        <w:t xml:space="preserve">额：</w:t>
      </w:r>
      <w:r>
        <w:rPr>
          <w:rFonts w:hint="default" w:ascii="Times New Roman" w:hAnsi="Times New Roman" w:cs="Times New Roman"/>
          <w:sz w:val="24"/>
          <w:szCs w:val="24"/>
          <w:highlight w:val="none"/>
          <w:lang w:val="en-US" w:eastAsia="zh-CN"/>
        </w:rPr>
        <w:t xml:space="preserve">124</w:t>
      </w:r>
      <w:r>
        <w:rPr>
          <w:rFonts w:hint="default" w:ascii="Times New Roman" w:hAnsi="Times New Roman" w:cs="Times New Roman"/>
          <w:sz w:val="24"/>
          <w:szCs w:val="24"/>
          <w:highlight w:val="none"/>
        </w:rPr>
        <w:t xml:space="preserve">万元</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color w:val="000000"/>
          <w:sz w:val="24"/>
          <w:highlight w:val="none"/>
        </w:rPr>
        <w:t xml:space="preserve">投</w:t>
      </w:r>
      <w:r>
        <w:rPr>
          <w:rFonts w:hint="default" w:ascii="Times New Roman" w:hAnsi="Times New Roman" w:cs="Times New Roman"/>
          <w:color w:val="000000"/>
          <w:sz w:val="24"/>
        </w:rPr>
        <w:t xml:space="preserve">标报价超过</w:t>
      </w:r>
      <w:r>
        <w:rPr>
          <w:rFonts w:hint="default" w:ascii="Times New Roman" w:hAnsi="Times New Roman" w:cs="Times New Roman"/>
          <w:color w:val="000000"/>
          <w:sz w:val="24"/>
          <w:lang w:val="en-US" w:eastAsia="zh-CN"/>
        </w:rPr>
        <w:t xml:space="preserve">预算金额</w:t>
      </w:r>
      <w:r>
        <w:rPr>
          <w:rFonts w:hint="default" w:ascii="Times New Roman" w:hAnsi="Times New Roman" w:cs="Times New Roman"/>
          <w:color w:val="000000"/>
          <w:sz w:val="24"/>
        </w:rPr>
        <w:t xml:space="preserve">的投标无效。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采购方式：公开招标</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rPr>
        <w:t xml:space="preserve">采购需求：</w:t>
      </w:r>
      <w:r>
        <w:rPr>
          <w:rFonts w:hint="default" w:ascii="Times New Roman" w:hAnsi="Times New Roman" w:cs="Times New Roman"/>
          <w:sz w:val="24"/>
          <w:szCs w:val="24"/>
          <w:highlight w:val="none"/>
        </w:rPr>
        <w:t xml:space="preserve">采购12平方米单帐篷400顶、折叠床3000张、棉被1000床，详见采购文件项目需求。</w:t>
      </w:r>
      <w:r/>
    </w:p>
    <w:p>
      <w:pPr>
        <w:ind w:firstLine="482"/>
        <w:jc w:val="left"/>
        <w:pageBreakBefore w:val="0"/>
        <w:spacing w:line="500" w:lineRule="exact"/>
        <w:widowControl w:val="off"/>
        <w:rPr>
          <w:rFonts w:hint="default" w:ascii="Times New Roman" w:hAnsi="Times New Roman" w:cs="Times New Roman"/>
          <w:b/>
          <w:sz w:val="24"/>
          <w:szCs w:val="24"/>
        </w:rPr>
      </w:pPr>
      <w:r>
        <w:rPr>
          <w:rFonts w:hint="default" w:ascii="Times New Roman" w:hAnsi="Times New Roman" w:cs="Times New Roman"/>
          <w:b/>
          <w:sz w:val="24"/>
          <w:szCs w:val="24"/>
        </w:rPr>
        <w:t xml:space="preserve">对本项目资格要求、采购需求、评标方法与评标标准等部分的询问、质疑请与采购人联系，由采购人负责答复。</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合同履行期限（交货期</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eastAsia="zh-CN"/>
        </w:rPr>
        <w:t xml:space="preserve">合同签订后30天内按要求完成供货，达到预期效果。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本项目（是/否）接受联合体投标：不接受联合体。</w:t>
      </w:r>
      <w:r/>
    </w:p>
    <w:p>
      <w:pPr>
        <w:pStyle w:val="919"/>
        <w:ind w:firstLine="640"/>
        <w:pageBreakBefore w:val="0"/>
        <w:spacing w:before="0" w:after="0" w:line="500" w:lineRule="exact"/>
        <w:widowControl w:val="off"/>
        <w:rPr>
          <w:rFonts w:hint="default" w:ascii="Times New Roman" w:hAnsi="Times New Roman" w:eastAsia="黑体" w:cs="Times New Roman"/>
          <w:b w:val="0"/>
          <w:lang w:val="en-US" w:eastAsia="zh-CN"/>
        </w:rPr>
      </w:pPr>
      <w:r>
        <w:rPr>
          <w:rFonts w:hint="default" w:ascii="Times New Roman" w:hAnsi="Times New Roman" w:eastAsia="黑体" w:cs="Times New Roman"/>
          <w:b w:val="0"/>
        </w:rPr>
        <w:t xml:space="preserve">二、申请人的资格要</w:t>
      </w:r>
      <w:r>
        <w:rPr>
          <w:rFonts w:hint="default" w:ascii="Times New Roman" w:hAnsi="Times New Roman" w:eastAsia="黑体" w:cs="Times New Roman"/>
          <w:b w:val="0"/>
          <w:lang w:val="en-US" w:eastAsia="zh-CN"/>
        </w:rPr>
        <w:t xml:space="preserve">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（一）满足《中华人民共和国政府采购法》第二十二条规定，并提供下列材料：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法人或者其他组织的营业执照等证明文件，自然人的身份证明；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上一年度的财务状况报告；（成立不满一年无需提供）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（根据连财购〔2023〕4号文件精神，2、3项可以提供《财务状况报告及税收、社会保障资金缴纳情况承诺函》，详见第六章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具备履行合同所必需的设备和专业技术能力的声明及证明材料；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参加政府采购活动前3年内在经营活动中没有重大违法记录的书面声明；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法律、行政法规规定的其他条件；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资格审查现场查询信用中国、中国政府采购网，供应商被列入失信被执行人、</w:t>
      </w:r>
      <w:r>
        <w:rPr>
          <w:rFonts w:hint="default" w:ascii="Times New Roman" w:hAnsi="Times New Roman" w:cs="Times New Roman"/>
          <w:sz w:val="24"/>
          <w:szCs w:val="24"/>
          <w:lang w:val="en-US" w:eastAsia="zh-CN"/>
        </w:rPr>
        <w:t xml:space="preserve">重大</w:t>
      </w:r>
      <w:r>
        <w:rPr>
          <w:rFonts w:hint="default" w:ascii="Times New Roman" w:hAnsi="Times New Roman" w:cs="Times New Roman"/>
          <w:sz w:val="24"/>
          <w:szCs w:val="24"/>
        </w:rPr>
        <w:t xml:space="preserve">税收违法</w:t>
      </w:r>
      <w:r>
        <w:rPr>
          <w:rFonts w:hint="default" w:ascii="Times New Roman" w:hAnsi="Times New Roman" w:cs="Times New Roman"/>
          <w:sz w:val="24"/>
          <w:szCs w:val="24"/>
          <w:lang w:val="en-US" w:eastAsia="zh-CN"/>
        </w:rPr>
        <w:t xml:space="preserve">失信主体</w:t>
      </w:r>
      <w:r>
        <w:rPr>
          <w:rFonts w:hint="default" w:ascii="Times New Roman" w:hAnsi="Times New Roman" w:cs="Times New Roman"/>
          <w:sz w:val="24"/>
          <w:szCs w:val="24"/>
        </w:rPr>
        <w:t xml:space="preserve">名单、政府采购严重违法失信行为记录名单及具有其他不符合《中华人民共和国政府采购法》第二十二条规定情形的，拒绝其参与政府采购活动。（投标文件中无需提供证明材料）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本项目不接受进口产品（进口产品是指通过中国海关报关验放进入中国境内且产自关境外的产品）。</w:t>
      </w:r>
      <w:r/>
    </w:p>
    <w:p>
      <w:pPr>
        <w:ind w:firstLine="480"/>
        <w:jc w:val="left"/>
        <w:pageBreakBefore w:val="0"/>
        <w:spacing w:line="500" w:lineRule="exact"/>
        <w:widowControl w:val="off"/>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w:t xml:space="preserve">（二）落实政府采购政策需满足的资格要求：</w:t>
      </w:r>
      <w:r>
        <w:rPr>
          <w:rFonts w:hint="default" w:ascii="Times New Roman" w:hAnsi="Times New Roman" w:cs="Times New Roman"/>
          <w:sz w:val="24"/>
          <w:szCs w:val="24"/>
          <w:highlight w:val="none"/>
        </w:rPr>
        <w:t xml:space="preserve">本项目专门面向中型企业、小型企业、微型企业、残疾人福利性单位、监狱企业进行采购，符合要求的投标人须提供《中小企业声明函》（详见第六章投标文件格式）或《残疾人福利性单位声明函》（详见第六章投标文件格式）或属于监狱企业的证明文件，否则投标无效</w:t>
      </w:r>
      <w:r>
        <w:rPr>
          <w:rFonts w:hint="default" w:ascii="Times New Roman" w:hAnsi="Times New Roman" w:cs="Times New Roman"/>
          <w:sz w:val="24"/>
          <w:szCs w:val="24"/>
          <w:lang w:val="en-US" w:eastAsia="zh-CN"/>
        </w:rPr>
        <w:t xml:space="preserve">。</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（三）本项目的特定资格要求：无。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三、获取招标文件</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时间：自招标公告发布之日起至202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年4</w:t>
      </w:r>
      <w:r>
        <w:rPr>
          <w:rFonts w:hint="default" w:ascii="Times New Roman" w:hAnsi="Times New Roman" w:cs="Times New Roman"/>
          <w:sz w:val="24"/>
          <w:szCs w:val="24"/>
          <w:highlight w:val="none"/>
        </w:rPr>
        <w:t xml:space="preserve">月24</w:t>
      </w:r>
      <w:r>
        <w:rPr>
          <w:rFonts w:hint="default" w:ascii="Times New Roman" w:hAnsi="Times New Roman" w:cs="Times New Roman"/>
          <w:sz w:val="24"/>
          <w:szCs w:val="24"/>
          <w:highlight w:val="none"/>
        </w:rPr>
        <w:t xml:space="preserve">日（北京时间）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地点：江苏政府采购网</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方式：供应商办理江苏省政府采购交易系统CA数字证书，登录</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苏采云</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政府采购交易系统，自行下载。</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售价：0.00元</w:t>
      </w:r>
      <w:r/>
    </w:p>
    <w:p>
      <w:pPr>
        <w:pStyle w:val="919"/>
        <w:ind w:firstLine="640"/>
        <w:pageBreakBefore w:val="0"/>
        <w:spacing w:before="0" w:after="0" w:line="500" w:lineRule="exact"/>
        <w:widowControl w:val="off"/>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四、提交投标文件截止时间、开标时间和地点</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提交投标文件截止时间：202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年6</w:t>
      </w:r>
      <w:r>
        <w:rPr>
          <w:rFonts w:hint="default" w:ascii="Times New Roman" w:hAnsi="Times New Roman" w:cs="Times New Roman"/>
          <w:sz w:val="24"/>
          <w:szCs w:val="24"/>
          <w:highlight w:val="none"/>
        </w:rPr>
        <w:t xml:space="preserve">月8</w:t>
      </w:r>
      <w:r>
        <w:rPr>
          <w:rFonts w:hint="default" w:ascii="Times New Roman" w:hAnsi="Times New Roman" w:cs="Times New Roman"/>
          <w:sz w:val="24"/>
          <w:szCs w:val="24"/>
          <w:highlight w:val="none"/>
        </w:rPr>
        <w:t xml:space="preserve">日9:00:00（北京时间）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开标时间：提交投标文件截止时间</w:t>
      </w:r>
      <w:r/>
    </w:p>
    <w:p>
      <w:pPr>
        <w:ind w:firstLine="480"/>
        <w:jc w:val="left"/>
        <w:pageBreakBefore w:val="0"/>
        <w:spacing w:line="500" w:lineRule="exact"/>
        <w:widowControl w:val="off"/>
        <w:rPr>
          <w:rFonts w:hint="default" w:ascii="Times New Roman" w:hAnsi="Times New Roman" w:cs="Times New Roman"/>
        </w:rPr>
      </w:pPr>
      <w:r>
        <w:rPr>
          <w:rFonts w:hint="default" w:ascii="Times New Roman" w:hAnsi="Times New Roman" w:cs="Times New Roman"/>
          <w:sz w:val="24"/>
          <w:szCs w:val="24"/>
        </w:rPr>
        <w:t xml:space="preserve">开标地点：“苏采云”政府采购交易系统网上开标大厅</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五、公告期限</w:t>
      </w:r>
      <w:r/>
    </w:p>
    <w:p>
      <w:pPr>
        <w:ind w:firstLine="480"/>
        <w:jc w:val="left"/>
        <w:pageBreakBefore w:val="0"/>
        <w:spacing w:line="500" w:lineRule="exact"/>
        <w:widowControl w:val="off"/>
        <w:rPr>
          <w:sz w:val="24"/>
          <w:szCs w:val="24"/>
        </w:rPr>
      </w:pPr>
      <w:r>
        <w:rPr>
          <w:rFonts w:hint="eastAsia"/>
          <w:sz w:val="24"/>
          <w:szCs w:val="24"/>
        </w:rPr>
        <w:t xml:space="preserve">自本公告发布之日起</w:t>
      </w:r>
      <w:r>
        <w:rPr>
          <w:rFonts w:hint="default" w:ascii="Times New Roman" w:hAnsi="Times New Roman" w:cs="Times New Roman"/>
          <w:sz w:val="24"/>
          <w:szCs w:val="24"/>
        </w:rPr>
        <w:t xml:space="preserve">5</w:t>
      </w:r>
      <w:r>
        <w:rPr>
          <w:rFonts w:hint="eastAsia"/>
          <w:sz w:val="24"/>
          <w:szCs w:val="24"/>
        </w:rPr>
        <w:t xml:space="preserve">个工作日。</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六、其他补充事宜</w:t>
      </w:r>
      <w:r/>
    </w:p>
    <w:p>
      <w:pPr>
        <w:ind w:firstLine="480"/>
        <w:jc w:val="left"/>
        <w:pageBreakBefore w:val="0"/>
        <w:spacing w:line="500" w:lineRule="exact"/>
        <w:widowControl w:val="off"/>
        <w:rPr>
          <w:sz w:val="24"/>
          <w:szCs w:val="24"/>
        </w:rPr>
      </w:pPr>
      <w:r>
        <w:rPr>
          <w:rFonts w:hint="eastAsia"/>
          <w:sz w:val="24"/>
          <w:szCs w:val="24"/>
        </w:rPr>
        <w:t xml:space="preserve">1.</w:t>
      </w:r>
      <w:r>
        <w:rPr>
          <w:rFonts w:hint="eastAsia"/>
          <w:sz w:val="24"/>
          <w:szCs w:val="24"/>
          <w:lang w:val="en-US" w:eastAsia="zh-CN"/>
        </w:rPr>
        <w:t xml:space="preserve"> </w:t>
      </w:r>
      <w:r>
        <w:rPr>
          <w:rFonts w:hint="eastAsia"/>
          <w:sz w:val="24"/>
          <w:szCs w:val="24"/>
        </w:rPr>
        <w:t xml:space="preserve">本次招标不收取投标保证金。</w:t>
      </w:r>
      <w:r/>
    </w:p>
    <w:p>
      <w:pPr>
        <w:ind w:firstLine="480"/>
        <w:jc w:val="left"/>
        <w:pageBreakBefore w:val="0"/>
        <w:spacing w:line="500" w:lineRule="exact"/>
        <w:widowControl w:val="off"/>
        <w:rPr>
          <w:sz w:val="24"/>
          <w:szCs w:val="24"/>
        </w:rPr>
      </w:pPr>
      <w:r>
        <w:rPr>
          <w:rFonts w:hint="eastAsia"/>
          <w:sz w:val="24"/>
          <w:szCs w:val="24"/>
        </w:rPr>
        <w:t xml:space="preserve">2.</w:t>
      </w:r>
      <w:r>
        <w:rPr>
          <w:rFonts w:hint="eastAsia"/>
          <w:sz w:val="24"/>
          <w:szCs w:val="24"/>
          <w:lang w:val="en-US" w:eastAsia="zh-CN"/>
        </w:rPr>
        <w:t xml:space="preserve"> </w:t>
      </w:r>
      <w:r>
        <w:rPr>
          <w:rFonts w:hint="eastAsia"/>
          <w:sz w:val="24"/>
          <w:szCs w:val="24"/>
        </w:rPr>
        <w:t xml:space="preserve">本招标文件中</w:t>
      </w:r>
      <w:r>
        <w:rPr>
          <w:rFonts w:hint="eastAsia"/>
          <w:b/>
          <w:bCs/>
          <w:sz w:val="24"/>
          <w:szCs w:val="24"/>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pageBreakBefore w:val="0"/>
        <w:spacing w:line="500" w:lineRule="exact"/>
        <w:widowControl w:val="off"/>
        <w:rPr>
          <w:sz w:val="24"/>
          <w:szCs w:val="24"/>
        </w:rPr>
      </w:pPr>
      <w:r>
        <w:rPr>
          <w:rFonts w:hint="eastAsia"/>
          <w:sz w:val="24"/>
          <w:szCs w:val="24"/>
        </w:rPr>
        <w:t xml:space="preserve">3.</w:t>
      </w:r>
      <w:r>
        <w:rPr>
          <w:rFonts w:hint="eastAsia"/>
          <w:sz w:val="24"/>
          <w:szCs w:val="24"/>
          <w:lang w:val="en-US" w:eastAsia="zh-CN"/>
        </w:rPr>
        <w:t xml:space="preserve"> </w:t>
      </w:r>
      <w:r>
        <w:rPr>
          <w:rFonts w:hint="eastAsia"/>
          <w:sz w:val="24"/>
          <w:szCs w:val="24"/>
        </w:rPr>
        <w:t xml:space="preserve">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pageBreakBefore w:val="0"/>
        <w:spacing w:line="500" w:lineRule="exact"/>
        <w:widowControl w:val="off"/>
        <w:rPr>
          <w:sz w:val="24"/>
          <w:szCs w:val="24"/>
        </w:rPr>
      </w:pPr>
      <w:r>
        <w:rPr>
          <w:rFonts w:hint="eastAsia"/>
          <w:sz w:val="24"/>
          <w:szCs w:val="24"/>
        </w:rPr>
        <w:t xml:space="preserve">4.</w:t>
      </w:r>
      <w:r>
        <w:rPr>
          <w:rFonts w:hint="eastAsia"/>
          <w:sz w:val="24"/>
          <w:szCs w:val="24"/>
          <w:lang w:val="en-US" w:eastAsia="zh-CN"/>
        </w:rPr>
        <w:t xml:space="preserve"> </w:t>
      </w:r>
      <w:r>
        <w:rPr>
          <w:rFonts w:hint="eastAsia"/>
          <w:sz w:val="24"/>
          <w:szCs w:val="24"/>
        </w:rPr>
        <w:t xml:space="preserve">根据江苏省财政厅《关于更换全省政府采购交易系统C A数字证书和电子签章的通知》（苏财购</w:t>
      </w:r>
      <w:r>
        <w:rPr>
          <w:rFonts w:hint="default" w:ascii="Times New Roman" w:hAnsi="Times New Roman" w:cs="Times New Roman"/>
          <w:sz w:val="24"/>
          <w:szCs w:val="24"/>
        </w:rPr>
        <w:t xml:space="preserve">〔2023〕101号</w:t>
      </w:r>
      <w:r>
        <w:rPr>
          <w:rFonts w:hint="eastAsia"/>
          <w:sz w:val="24"/>
          <w:szCs w:val="24"/>
        </w:rPr>
        <w:t xml:space="preserve">）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http://www.ccgp-jiangsu.gov.cn/jiangsu/zlxz/ee/ee3a4bc5a3454aa2b0d9312230633ce9.html</w:t>
      </w:r>
      <w:r/>
    </w:p>
    <w:p>
      <w:pPr>
        <w:ind w:firstLine="480"/>
        <w:jc w:val="left"/>
        <w:pageBreakBefore w:val="0"/>
        <w:spacing w:line="500" w:lineRule="exact"/>
        <w:widowControl w:val="off"/>
        <w:rPr>
          <w:sz w:val="24"/>
          <w:szCs w:val="24"/>
        </w:rPr>
      </w:pPr>
      <w:r>
        <w:rPr>
          <w:rFonts w:hint="eastAsia"/>
          <w:sz w:val="24"/>
          <w:szCs w:val="24"/>
        </w:rPr>
        <w:t xml:space="preserve">请供应商按照《操作手册》要求获取招标文件，制作、递交（上传）电子投标文件，参加开标，澄清、说明或者补正。因供应商未按要求</w:t>
      </w:r>
      <w:r>
        <w:rPr>
          <w:rFonts w:hint="eastAsia"/>
          <w:sz w:val="24"/>
          <w:szCs w:val="24"/>
          <w:lang w:eastAsia="zh-CN"/>
        </w:rPr>
        <w:t xml:space="preserve">操作</w:t>
      </w:r>
      <w:r>
        <w:rPr>
          <w:rFonts w:hint="eastAsia"/>
          <w:sz w:val="24"/>
          <w:szCs w:val="24"/>
        </w:rPr>
        <w:t xml:space="preserve">导致电子投标文件被拒绝、造成无效响应的，自行承担一切损失。</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val="en-US" w:eastAsia="zh-CN"/>
        </w:rPr>
        <w:t xml:space="preserve"> </w:t>
      </w:r>
      <w:r>
        <w:rPr>
          <w:rFonts w:hint="eastAsia"/>
          <w:sz w:val="24"/>
          <w:szCs w:val="24"/>
        </w:rPr>
        <w:t xml:space="preserve">采购人信息</w:t>
      </w:r>
      <w:r/>
    </w:p>
    <w:p>
      <w:pPr>
        <w:ind w:firstLine="480"/>
        <w:jc w:val="left"/>
        <w:pageBreakBefore w:val="0"/>
        <w:spacing w:line="500" w:lineRule="exact"/>
        <w:widowControl w:val="off"/>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连云港市发展和改革委员会</w:t>
      </w:r>
      <w:r/>
    </w:p>
    <w:p>
      <w:pPr>
        <w:ind w:firstLine="480"/>
        <w:jc w:val="left"/>
        <w:pageBreakBefore w:val="0"/>
        <w:spacing w:line="500" w:lineRule="exact"/>
        <w:widowControl w:val="off"/>
        <w:rPr>
          <w:sz w:val="24"/>
          <w:szCs w:val="24"/>
        </w:rPr>
      </w:pPr>
      <w:r>
        <w:rPr>
          <w:rFonts w:hint="eastAsia"/>
          <w:sz w:val="24"/>
          <w:szCs w:val="24"/>
        </w:rPr>
        <w:t xml:space="preserve">地    址：连云港市海州区朝阳东路</w:t>
      </w:r>
      <w:r>
        <w:rPr>
          <w:rFonts w:hint="eastAsia" w:ascii="Times New Roman" w:hAnsi="Times New Roman" w:cs="Times New Roman"/>
          <w:sz w:val="24"/>
          <w:szCs w:val="24"/>
        </w:rPr>
        <w:t xml:space="preserve">69</w:t>
      </w:r>
      <w:r>
        <w:rPr>
          <w:rFonts w:hint="eastAsia"/>
          <w:sz w:val="24"/>
          <w:szCs w:val="24"/>
        </w:rPr>
        <w:t xml:space="preserve">号</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rFonts w:hint="eastAsia" w:ascii="Times New Roman" w:hAnsi="Times New Roman" w:cs="Times New Roman"/>
          <w:sz w:val="24"/>
          <w:szCs w:val="24"/>
          <w:lang w:eastAsia="zh-CN"/>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hint="eastAsia" w:ascii="Times New Roman" w:hAnsi="Times New Roman" w:cs="Times New Roman"/>
          <w:sz w:val="24"/>
          <w:szCs w:val="24"/>
          <w:lang w:val="en-US" w:eastAsia="zh-CN"/>
        </w:rPr>
        <w:t xml:space="preserve"> </w:t>
      </w:r>
      <w:r/>
    </w:p>
    <w:p>
      <w:pPr>
        <w:ind w:firstLine="480"/>
        <w:jc w:val="left"/>
        <w:pageBreakBefore w:val="0"/>
        <w:spacing w:line="500" w:lineRule="exact"/>
        <w:widowControl w:val="off"/>
        <w:rPr>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eastAsia"/>
          <w:sz w:val="24"/>
          <w:szCs w:val="24"/>
        </w:rPr>
        <w:t xml:space="preserve">采购代理机构信息</w:t>
      </w:r>
      <w:r/>
    </w:p>
    <w:p>
      <w:pPr>
        <w:ind w:firstLine="480"/>
        <w:jc w:val="left"/>
        <w:pageBreakBefore w:val="0"/>
        <w:spacing w:line="500" w:lineRule="exact"/>
        <w:widowControl w:val="off"/>
        <w:rPr>
          <w:sz w:val="24"/>
          <w:szCs w:val="24"/>
        </w:rPr>
      </w:pPr>
      <w:r>
        <w:rPr>
          <w:rFonts w:hint="eastAsia"/>
          <w:sz w:val="24"/>
          <w:szCs w:val="24"/>
        </w:rPr>
        <w:t xml:space="preserve">名    称：江苏协鸿工程咨询有限公司</w:t>
      </w:r>
      <w:r/>
    </w:p>
    <w:p>
      <w:pPr>
        <w:ind w:firstLine="480"/>
        <w:jc w:val="left"/>
        <w:pageBreakBefore w:val="0"/>
        <w:spacing w:line="500" w:lineRule="exact"/>
        <w:widowControl w:val="off"/>
        <w:rPr>
          <w:sz w:val="24"/>
          <w:szCs w:val="24"/>
        </w:rPr>
      </w:pPr>
      <w:r>
        <w:rPr>
          <w:rFonts w:hint="eastAsia"/>
          <w:sz w:val="24"/>
          <w:szCs w:val="24"/>
        </w:rPr>
        <w:t xml:space="preserve">地    址：</w:t>
      </w:r>
      <w:r>
        <w:rPr>
          <w:rFonts w:hint="eastAsia" w:ascii="宋体" w:hAnsi="宋体" w:cs="宋体"/>
          <w:sz w:val="24"/>
          <w:szCs w:val="28"/>
        </w:rPr>
        <w:t xml:space="preserve">连云港市海州区秦东门大街兴亿达大厦西厅</w:t>
      </w:r>
      <w:r>
        <w:rPr>
          <w:rFonts w:hint="eastAsia" w:ascii="Times New Roman" w:hAnsi="Times New Roman" w:cs="Times New Roman"/>
          <w:sz w:val="24"/>
          <w:szCs w:val="24"/>
        </w:rPr>
        <w:t xml:space="preserve">14</w:t>
      </w:r>
      <w:r>
        <w:rPr>
          <w:rFonts w:hint="eastAsia" w:ascii="宋体" w:hAnsi="宋体" w:cs="宋体"/>
          <w:sz w:val="24"/>
          <w:szCs w:val="28"/>
        </w:rPr>
        <w:t xml:space="preserve">楼</w:t>
      </w:r>
      <w:r/>
    </w:p>
    <w:p>
      <w:pPr>
        <w:ind w:firstLine="480"/>
        <w:jc w:val="left"/>
        <w:pageBreakBefore w:val="0"/>
        <w:spacing w:line="500" w:lineRule="exact"/>
        <w:widowControl w:val="off"/>
        <w:rPr>
          <w:sz w:val="24"/>
          <w:szCs w:val="24"/>
        </w:rPr>
      </w:pPr>
      <w:r>
        <w:rPr>
          <w:rFonts w:hint="eastAsia"/>
          <w:sz w:val="24"/>
          <w:szCs w:val="24"/>
        </w:rPr>
        <w:t xml:space="preserve">联 系 人：陈工</w:t>
      </w:r>
      <w:r/>
    </w:p>
    <w:p>
      <w:pPr>
        <w:ind w:firstLine="480"/>
        <w:jc w:val="left"/>
        <w:pageBreakBefore w:val="0"/>
        <w:spacing w:line="500" w:lineRule="exact"/>
        <w:widowControl w:val="off"/>
        <w:rPr>
          <w:rFonts w:hint="eastAsia" w:ascii="Times New Roman" w:hAnsi="Times New Roman" w:cs="Times New Roman"/>
          <w:sz w:val="24"/>
          <w:szCs w:val="24"/>
          <w:lang w:val="en-US" w:eastAsia="zh-CN"/>
        </w:rPr>
      </w:pPr>
      <w:r>
        <w:rPr>
          <w:rFonts w:hint="eastAsia"/>
          <w:sz w:val="24"/>
          <w:szCs w:val="24"/>
        </w:rPr>
        <w:t xml:space="preserve">联系电话：</w:t>
      </w:r>
      <w:r>
        <w:rPr>
          <w:rFonts w:hint="eastAsia"/>
          <w:sz w:val="24"/>
          <w:szCs w:val="24"/>
          <w:lang w:eastAsia="zh-CN"/>
        </w:rPr>
        <w:t xml:space="preserve">0518-82341968</w:t>
      </w:r>
      <w:r/>
    </w:p>
    <w:p>
      <w:pPr>
        <w:ind w:firstLine="480"/>
        <w:jc w:val="left"/>
        <w:pageBreakBefore w:val="0"/>
        <w:spacing w:line="500" w:lineRule="exact"/>
        <w:widowControl w:val="off"/>
        <w:rPr>
          <w:sz w:val="24"/>
          <w:szCs w:val="24"/>
        </w:rPr>
      </w:pPr>
      <w:r>
        <w:rPr>
          <w:rFonts w:hint="eastAsia"/>
          <w:sz w:val="24"/>
          <w:szCs w:val="24"/>
        </w:rPr>
        <w:t xml:space="preserve">3.项目联系方式</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sz w:val="24"/>
          <w:szCs w:val="24"/>
          <w:highlight w:val="yellow"/>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ascii="黑体" w:hAnsi="黑体" w:eastAsia="黑体"/>
          <w:b/>
          <w:highlight w:val="yellow"/>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1" w:name="_Toc165205795"/>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第二章  </w:t>
      </w:r>
      <w:r>
        <w:rPr>
          <w:rFonts w:hint="eastAsia" w:ascii="黑体" w:hAnsi="Arial" w:eastAsia="黑体" w:cs="Arial"/>
          <w:b/>
          <w:bCs/>
          <w:color w:val="000000"/>
          <w:sz w:val="44"/>
          <w:szCs w:val="44"/>
        </w:rPr>
        <w:t xml:space="preserve">投标人</w:t>
      </w:r>
      <w:r>
        <w:rPr>
          <w:rFonts w:hint="eastAsia" w:ascii="黑体" w:hAnsi="黑体" w:eastAsia="黑体"/>
          <w:b w:val="0"/>
        </w:rPr>
        <w:t xml:space="preserve">须知</w:t>
      </w:r>
      <w:bookmarkEnd w:id="1"/>
      <w:r/>
      <w:r/>
    </w:p>
    <w:p>
      <w:pPr>
        <w:pStyle w:val="919"/>
        <w:pageBreakBefore w:val="0"/>
        <w:spacing w:before="0" w:after="0" w:line="500" w:lineRule="exact"/>
        <w:widowControl w:val="off"/>
        <w:rPr>
          <w:rFonts w:hint="eastAsia" w:ascii="黑体" w:hAnsi="黑体" w:eastAsia="黑体"/>
          <w:b w:val="0"/>
        </w:rPr>
      </w:pPr>
      <w:r>
        <w:rPr>
          <w:rFonts w:hint="eastAsia" w:ascii="黑体" w:hAnsi="黑体" w:eastAsia="黑体"/>
          <w:b w:val="0"/>
        </w:rPr>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一、总则</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采购方式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 本次招标采取公开招标方式，本招标文件仅适用于招标公告中所述项目。</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合格的供应商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 满足招标公告中申请人的资格要求的规定。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 满足本招标文件全部实质性要求和条件的规定。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 符合上述条件的供应商应承担投标及履约过</w:t>
      </w:r>
      <w:r>
        <w:rPr>
          <w:rFonts w:hint="default" w:ascii="Times New Roman" w:hAnsi="Times New Roman" w:cs="Times New Roman"/>
          <w:sz w:val="24"/>
          <w:szCs w:val="24"/>
          <w:lang w:eastAsia="zh-CN"/>
        </w:rPr>
        <w:t xml:space="preserve">程中</w:t>
      </w:r>
      <w:r>
        <w:rPr>
          <w:rFonts w:hint="default" w:ascii="Times New Roman" w:hAnsi="Times New Roman" w:cs="Times New Roman"/>
          <w:sz w:val="24"/>
          <w:szCs w:val="24"/>
        </w:rPr>
        <w:t xml:space="preserve">应承担的全部责任与义务。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适用法律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 本次招标及由此产生的合同受中华人民共和国有关的法律法规制约和保护。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4.2 本项目采购代理服务费</w:t>
      </w:r>
      <w:r>
        <w:rPr>
          <w:rFonts w:hint="default" w:ascii="Times New Roman" w:hAnsi="Times New Roman" w:cs="Times New Roman"/>
          <w:sz w:val="24"/>
          <w:szCs w:val="24"/>
          <w:highlight w:val="none"/>
        </w:rPr>
        <w:t xml:space="preserve">按关于印发《江苏省招标代理服务收费的指导意见》的通知（苏招协〔2022〕002号）标准的60%计取</w:t>
      </w:r>
      <w:r>
        <w:rPr>
          <w:rFonts w:hint="default" w:ascii="Times New Roman" w:hAnsi="Times New Roman" w:cs="Times New Roman"/>
          <w:sz w:val="24"/>
          <w:szCs w:val="24"/>
          <w:highlight w:val="none"/>
        </w:rPr>
        <w:t xml:space="preserve">，由中标人领取中标通知书时一次性付清并承担。投标单位在投标报价时应综合考虑以上费用，但不得单列。</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招标文件的约束力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5.1 供应商一旦参与本项目采购活动，即被认为接受了本招标文件的规定和约束。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二、招标文件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6.1 招标文件由以下部分构成：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（1）投标邀请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（2）供应商须知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（3）合同文本</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（4）采购需求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（5）评标方法与评标标准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请仔细检查招标文件是否齐全，如有缺漏请立即与采购代理机构联系解决。</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7.1 任何要求对招标文件进行澄清的供应商，应在投标截止时间十日前按招标公告中的通讯地址，以书面形式通知采购人或者采购代理机构。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8.1 在投标截止时</w:t>
      </w:r>
      <w:r>
        <w:rPr>
          <w:rFonts w:hint="default" w:ascii="Times New Roman" w:hAnsi="Times New Roman" w:cs="Times New Roman"/>
          <w:sz w:val="24"/>
          <w:szCs w:val="24"/>
          <w:lang w:eastAsia="zh-CN"/>
        </w:rPr>
        <w:t xml:space="preserve">间之</w:t>
      </w:r>
      <w:r>
        <w:rPr>
          <w:rFonts w:hint="default" w:ascii="Times New Roman" w:hAnsi="Times New Roman" w:cs="Times New Roman"/>
          <w:sz w:val="24"/>
          <w:szCs w:val="24"/>
        </w:rPr>
        <w:t xml:space="preserve">前，采购人和采购代理机构可以对招标文件进行修改。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8.2 采购人和采购代理机构有权按照法定的要求推迟投标截止时间和开标时间。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8.3 招标文件的修改将在江苏政府采购网公布，补充文件将作为招标文件的组成部分，并对供应商具有约束力。</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三、投标文件编制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投标文件编写注意事项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投标文件的语言及度量衡单位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10.2 除技术性能另有规定外，投标文件所使用的度量衡单位，均须采用国家法定计量单位。</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11.3 特别提醒供应商，混乱的编排导致投标文件被误读或评标委员会（以下简称评委会）查找不到有效文件是供应商的风险。</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证明供应商及投标标的符合招标文件规定的文件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12.1 供应商应按照招标文件要求提交证明文件，证明其及投标标的符合招标文件规定。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12.3 供应商委托代理时应当提交授权委托书，请按招标文件第六章给定格式及要求填写并附法定代表人（单位负责人）与委托代理人身份证明。</w:t>
      </w:r>
      <w:r/>
    </w:p>
    <w:p>
      <w:pPr>
        <w:pStyle w:val="920"/>
        <w:ind w:firstLine="562"/>
        <w:jc w:val="left"/>
        <w:pageBreakBefore w:val="0"/>
        <w:spacing w:before="0" w:after="0" w:line="500" w:lineRule="exact"/>
        <w:widowControl w:val="off"/>
        <w:rPr>
          <w:rFonts w:hint="default" w:ascii="Times New Roman" w:hAnsi="Times New Roman" w:cs="Times New Roman"/>
        </w:rPr>
      </w:pPr>
      <w:r>
        <w:rPr>
          <w:rFonts w:hint="default" w:ascii="Times New Roman" w:hAnsi="Times New Roman" w:cs="Times New Roman"/>
          <w:sz w:val="28"/>
          <w:szCs w:val="28"/>
          <w:lang w:eastAsia="zh-CN"/>
        </w:rPr>
        <w:t xml:space="preserve">13.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投标分项报价表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（1）投标的货物总价；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（2）货物的标准附件、备品备件、专用工具、运输、装卸等各种费用；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（3）必要的保险费用和各项税金；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（4）投标总价要求包含安装维保费用。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13.2 供应商应根据投标报价要求在投标分项报价表中列明各项投标单价、总价等，未全部列示的作无效响应处理。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13.3 投标文件中的单价和总价无特殊规定的采用人民币报价，以元为单位标注。招标文件中另有规定的按规定执行。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技术要求响应及偏离表、商务要求响应及偏离表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14.2 供应商可在投标文件中提供认为需要的其他技术文件或说明。</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服务承诺、培训计划、人员安排及其他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15.2 供应商应根据招标文件要求提供培训计划、人员安排等。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15.3 供应商应根据招标文件要求提供所投标的的主要组成部分、功能设计、实现思路及关键技术等。</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投标函和开标一览表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16.1 供应商应按照招标文件提供的格式完整、正确填写投标函、开标一览表。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投标有效期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17.1 投标有效期为招标文件规定的开标</w:t>
      </w:r>
      <w:r>
        <w:rPr>
          <w:rFonts w:hint="default" w:ascii="Times New Roman" w:hAnsi="Times New Roman" w:cs="Times New Roman"/>
          <w:sz w:val="24"/>
          <w:szCs w:val="24"/>
          <w:highlight w:val="none"/>
        </w:rPr>
        <w:t xml:space="preserve">之日后</w:t>
      </w:r>
      <w:r>
        <w:rPr>
          <w:rFonts w:hint="default" w:ascii="Times New Roman" w:hAnsi="Times New Roman" w:cs="Times New Roman"/>
          <w:sz w:val="24"/>
          <w:szCs w:val="24"/>
          <w:highlight w:val="none"/>
          <w:lang w:val="en-US" w:eastAsia="zh-CN"/>
        </w:rPr>
        <w:t xml:space="preserve">一百二十</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120</w:t>
      </w:r>
      <w:r>
        <w:rPr>
          <w:rFonts w:hint="default" w:ascii="Times New Roman" w:hAnsi="Times New Roman" w:cs="Times New Roman"/>
          <w:sz w:val="24"/>
          <w:szCs w:val="24"/>
          <w:highlight w:val="none"/>
        </w:rPr>
        <w:t xml:space="preserve">）天。投标有效</w:t>
      </w:r>
      <w:r>
        <w:rPr>
          <w:rFonts w:hint="default" w:ascii="Times New Roman" w:hAnsi="Times New Roman" w:cs="Times New Roman"/>
          <w:sz w:val="24"/>
          <w:szCs w:val="24"/>
        </w:rPr>
        <w:t xml:space="preserve">期比规定短的将被视为未实质性响应招标文件而予以拒绝。</w:t>
      </w:r>
      <w:r/>
    </w:p>
    <w:p>
      <w:pPr>
        <w:ind w:firstLine="480"/>
        <w:jc w:val="left"/>
        <w:pageBreakBefore w:val="0"/>
        <w:spacing w:line="500" w:lineRule="exact"/>
        <w:widowControl w:val="off"/>
        <w:rPr>
          <w:rFonts w:hint="default" w:ascii="Times New Roman" w:hAnsi="Times New Roman" w:cs="Times New Roman"/>
          <w:color w:val="ff0000"/>
          <w:sz w:val="24"/>
          <w:szCs w:val="24"/>
        </w:rPr>
      </w:pPr>
      <w:r>
        <w:rPr>
          <w:rFonts w:hint="default" w:ascii="Times New Roman" w:hAnsi="Times New Roman" w:cs="Times New Roman"/>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四、投标文件递交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电子投标文件的递交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18.1 供应商应当按照《操作手册》规定，在投标截止时间前制作并递交（上传）电子投标文件。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19.1 供应商递交（上传）电子投标文件的时间不得迟于招标公告中规定的投标截止时间。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投标文件的拒收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20.1 采购代理机构拒绝接收在招标文件规定的投标截止时间后递交（上传）的任何投标文件。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投标文件的撤回和修改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21.3 在投标截止时间至招标文件规定的投标有效期满之间的这段时间内，供应商不得撤回其投标。</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五、开标与评标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开标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22.1 采购代理机构将在招标公告中规定的时间和地点组织公开开标。供应商应当按时参加开标活动，并在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系统规定的时间内对其投标文件进行解密。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22.2 开标仪式由采购代理机构组织。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系统将自动对项目进行开标，并宣布各供应商名称和投标价格。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22.3 供应商在开标过程中</w:t>
      </w:r>
      <w:r>
        <w:rPr>
          <w:rFonts w:hint="default" w:ascii="Times New Roman" w:hAnsi="Times New Roman" w:cs="Times New Roman"/>
          <w:sz w:val="24"/>
          <w:szCs w:val="24"/>
          <w:lang w:eastAsia="zh-CN"/>
        </w:rPr>
        <w:t xml:space="preserve">涉及</w:t>
      </w:r>
      <w:r>
        <w:rPr>
          <w:rFonts w:hint="default" w:ascii="Times New Roman" w:hAnsi="Times New Roman" w:cs="Times New Roman"/>
          <w:sz w:val="24"/>
          <w:szCs w:val="24"/>
        </w:rPr>
        <w:t xml:space="preserve">的投标文件解密、开标结果确认等工作，应当按照《操作手册》规定执行。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22.5 供应商未参加开标的，视同认可开标结果。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22.6 供应商在开标、评标全过程中应</w:t>
      </w:r>
      <w:r>
        <w:rPr>
          <w:rFonts w:hint="default" w:ascii="Times New Roman" w:hAnsi="Times New Roman" w:cs="Times New Roman"/>
          <w:sz w:val="24"/>
          <w:szCs w:val="24"/>
          <w:lang w:eastAsia="zh-CN"/>
        </w:rPr>
        <w:t xml:space="preserve">保持通信畅通</w:t>
      </w:r>
      <w:r>
        <w:rPr>
          <w:rFonts w:hint="default" w:ascii="Times New Roman" w:hAnsi="Times New Roman" w:cs="Times New Roman"/>
          <w:sz w:val="24"/>
          <w:szCs w:val="24"/>
        </w:rPr>
        <w:t xml:space="preserve">，及时登录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系统查阅、答复相关信息，并安排专人与采购代理机构及评委会联系。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评标委员会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23.1 开标后，采购代理机构将组织评委会进行评标。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23.3 评委会按照采购文件规定的评审程序、评审方法和评审标准进行独立评审并确定中标候选人。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评标过程的保密与公正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24.2 在评标过程中，供应商不得以任何行为影响评标过程，否则其投标文件将被作为无效投标文件。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24.3 采购代理机构和评委会不向未中标的供应商解释未中标原因，也不公布评标过程中的相关细节。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24.4 采用综合评分法的项目，未中标的供应商可于中标结果公告期限届满之日起通过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系统查看自己的评审得分及排序情况。</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评委会并非对每个供应商都提出澄清、说明或者补正要求。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25.2 需要供应商进行澄清、说明或者补正的，评委会将通过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系统向供应商发出“澄清要求函”，接到“澄清要求函”的供应商应当按照要求在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系统中提交</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澄清响应函</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，并加盖CA电子公章。澄清、说明或者补正的内容作为投标文件的补充部分，具体操作方法见《操作手册》。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25.3 接到评委会澄清、说明或者补正要求的供应商如未按要求响应，其风险由供应商自行承担。</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对投标文件的审查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26.1 投标文件审查分为资格审查和符合性审查。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sz w:val="24"/>
          <w:szCs w:val="24"/>
        </w:rPr>
        <w:t xml:space="preserve">接受联合体的项目，两个以上的自然人、法人或者其他组织组成一个联合体，以一个供应商的身份共同参与政府采购活动的，联合体成员中任何一方存在不良信</w:t>
      </w:r>
      <w:r>
        <w:rPr>
          <w:rFonts w:hint="default" w:ascii="Times New Roman" w:hAnsi="Times New Roman" w:cs="Times New Roman"/>
          <w:color w:val="000000"/>
          <w:sz w:val="24"/>
          <w:szCs w:val="24"/>
        </w:rPr>
        <w:t xml:space="preserve">用记录的，视同联合体存在不良信用记录。</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未通过资格审查或符合性审查的供应商，将通过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color w:val="000000"/>
          <w:sz w:val="24"/>
          <w:szCs w:val="24"/>
          <w:lang w:eastAsia="zh-CN"/>
        </w:rPr>
        <w:t xml:space="preserve">系统</w:t>
      </w:r>
      <w:r>
        <w:rPr>
          <w:rFonts w:hint="default" w:ascii="Times New Roman" w:hAnsi="Times New Roman" w:cs="Times New Roman"/>
          <w:color w:val="000000"/>
          <w:sz w:val="24"/>
          <w:szCs w:val="24"/>
        </w:rPr>
        <w:t xml:space="preserve">告知其未通过的原因，评审结束后，将不再告知。</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26.2 所谓重大偏离</w:t>
      </w:r>
      <w:r>
        <w:rPr>
          <w:rFonts w:hint="default" w:ascii="Times New Roman" w:hAnsi="Times New Roman" w:cs="Times New Roman"/>
          <w:color w:val="000000"/>
          <w:sz w:val="24"/>
        </w:rPr>
        <w:t xml:space="preserve">是指</w:t>
      </w:r>
      <w:r>
        <w:rPr>
          <w:rFonts w:hint="default" w:ascii="Times New Roman" w:hAnsi="Times New Roman" w:cs="Times New Roman"/>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26.3</w:t>
      </w:r>
      <w:r>
        <w:rPr>
          <w:rFonts w:hint="eastAsia"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rPr>
        <w:t xml:space="preserve">如果投标文件实质上</w:t>
      </w:r>
      <w:r>
        <w:rPr>
          <w:rFonts w:hint="default" w:ascii="Times New Roman" w:hAnsi="Times New Roman" w:cs="Times New Roman"/>
          <w:sz w:val="24"/>
          <w:szCs w:val="24"/>
        </w:rPr>
        <w:t xml:space="preserve">没有响应招标文件的要求，评委会将予以拒绝，供应商不得通过修改或撤销不符合要求的偏离而使其投标成为实质性响应的投标。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（1）投标文件中开标一览表内容与投标文件中相应内容不一致的，以开标一览表为准。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（2）大写金额和小写金额不一致的，以大写金额为准。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（3）单价金额小数点或者百分比有明显错位的，以开标一览表的总价为准，并修改单价。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（4）总价金额与按单价汇总金额不一致的，以单价金额计算结果为准。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同时出现两种以上错误的，按照前款规定的顺序修正。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26.5 评委会将按上述修正错误的方法调整投标文件中的投标报价，并通过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系统告知供应商，调整后的价格对供应商具有约束力。如果供应商不接受修正后的价格，则其投标将被拒绝。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非单一产品采购项目，招标文件中将载明核心产品。多家供应商提供的核心产品品牌相同的，按前两款规定处理。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26.7 政府采购异常低价审查：</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（1）评审过程中出现下列情形之一的，评标委员会应当启动异常低价投标（响应）审查程序：</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①</w:t>
      </w:r>
      <w:r>
        <w:rPr>
          <w:rFonts w:hint="default" w:ascii="Times New Roman" w:hAnsi="Times New Roman" w:cs="Times New Roman"/>
          <w:b/>
          <w:bCs/>
          <w:sz w:val="24"/>
          <w:szCs w:val="24"/>
        </w:rPr>
        <w:t xml:space="preserve">投标（响应）报价低于全部通过符合性审查供应商投标（响应）报价平均值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②</w:t>
      </w:r>
      <w:r>
        <w:rPr>
          <w:rFonts w:hint="default" w:ascii="Times New Roman" w:hAnsi="Times New Roman" w:cs="Times New Roman"/>
          <w:b/>
          <w:bCs/>
          <w:sz w:val="24"/>
          <w:szCs w:val="24"/>
        </w:rPr>
        <w:t xml:space="preserve">投标（响应）报价低于通过符合性审查的次低报价供应商投标（响应）报价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③</w:t>
      </w:r>
      <w:r>
        <w:rPr>
          <w:rFonts w:hint="default" w:ascii="Times New Roman" w:hAnsi="Times New Roman" w:cs="Times New Roman"/>
          <w:b/>
          <w:bCs/>
          <w:sz w:val="24"/>
          <w:szCs w:val="24"/>
        </w:rPr>
        <w:t xml:space="preserve">投标（响应）报价低于采购项目最高限价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b/>
          <w:bCs/>
          <w:sz w:val="24"/>
          <w:szCs w:val="24"/>
          <w:lang w:val="en-US" w:eastAsia="zh-CN"/>
        </w:rPr>
        <w:t xml:space="preserve">④</w:t>
      </w:r>
      <w:r>
        <w:rPr>
          <w:rFonts w:hint="default" w:ascii="Times New Roman" w:hAnsi="Times New Roman" w:cs="Times New Roman"/>
          <w:b/>
          <w:bCs/>
          <w:sz w:val="24"/>
          <w:szCs w:val="24"/>
        </w:rPr>
        <w:t xml:space="preserve">评审委员会基于专业判断，认为供应商报价过低，有可能影响产品质量或者不能诚信履约的其他情形。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w:t>
      </w:r>
      <w:r>
        <w:rPr>
          <w:rFonts w:hint="default" w:ascii="Times New Roman" w:hAnsi="Times New Roman" w:cs="Times New Roman"/>
          <w:sz w:val="24"/>
          <w:szCs w:val="24"/>
          <w:lang w:eastAsia="zh-CN"/>
        </w:rPr>
        <w:t xml:space="preserve">将以</w:t>
      </w:r>
      <w:r>
        <w:rPr>
          <w:rFonts w:hint="default" w:ascii="Times New Roman" w:hAnsi="Times New Roman" w:cs="Times New Roman"/>
          <w:sz w:val="24"/>
          <w:szCs w:val="24"/>
        </w:rPr>
        <w:t xml:space="preserve">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无效投标条款和废标条款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27.1 无效投标条款：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（1）供应商未按照招标文件要求递交（上传）电子投标文件的。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系统规定的时间内未成功解密电子投标文件的。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（3）供应商不具备招标文件中规定的资格要求的。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（5）供应商提交两个（含两个）以上不同的投标报价的。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（6）供应商的报价超过了采购预算或者最高限价的。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（7）评委会认为供应商的报价明显低于其他通过符合性审查供应商的报价，有可能影响产品质量或者不能诚信履约，将通过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系统要求其在合理的时间内提供说明，必要时提交相关证明材料，供应商不能证明其报价合理性的。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（8）不符合招标文件规定的实质性要求和条件的。（本招标文件中斜体且有下划线部分为实质性要求和条件）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（9）本项目采购产品（如有）被财政部、</w:t>
      </w:r>
      <w:r>
        <w:rPr>
          <w:rFonts w:hint="default" w:ascii="Times New Roman" w:hAnsi="Times New Roman" w:cs="Times New Roman"/>
          <w:sz w:val="24"/>
          <w:szCs w:val="24"/>
          <w:lang w:eastAsia="zh-CN"/>
        </w:rPr>
        <w:t xml:space="preserve">国家发展改革委</w:t>
      </w:r>
      <w:r>
        <w:rPr>
          <w:rFonts w:hint="default" w:ascii="Times New Roman" w:hAnsi="Times New Roman" w:cs="Times New Roman"/>
          <w:sz w:val="24"/>
          <w:szCs w:val="24"/>
        </w:rPr>
        <w:t xml:space="preserve">、生态环境部等列入</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节能产品品目清单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环境标志产品品目清单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强制采购范围，而供应商投标产品不在强制采购范围内或者未按要求提供国家确定的认证机构出具的、处于有效期之内的节能产品认证证书的。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（10）供应商未通过符合性审查的。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（11）投标文件含有采购人不能接受的附加条件的。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（12）投标文件未按照招标文件要求加盖公章（CA电子公章）的。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（13）其他</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及本招标文件规定的属于无效投标的情形。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27.2 有下列情形之一的，视为供应商串通投标，投标无效：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（1）不同供应商的投标文件由同一单位或者个人编制。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（2）不同供应商委托同一单位或者个人办理投标事宜。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（3）不同供应商的投标文件载明的项目管理成员或者联系人员为同一人。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（4）不同供应商的投标文件异常一致或者投标报价呈规律性差异。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（5）不同供应商的投标文件相互混装。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27.3 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（1）因</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系统故障原因造成开标不成功的。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（3）符合专业条件的供应商或者对招标文件作实质响应的供应商不足三家的。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（4）出现影响采购公正的违法、违规行为的。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（5）因重大变故，采购任务取消的。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六、定标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确定中标单位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28.1 中标候选人的选取原则和数量详见招标文件第五章规定。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28.2 采购人应根据评委会推荐的中标候选人确定中标人。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28.3 采购代理机构将在江苏政府采购网发布中标公告，公告期限为1个工作日。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28.4 若有充分证据证明，中标人存在下列情形之一的，一经查实，将被取消中标资格：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（1）提供虚假材料谋取中标、成交的。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（2）采取不正当手段诋毁、排挤其他供应商的。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（3）与采购人、其他供应商或者采购代理机构恶意串通的。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（4）向采购人、采购代理机构行贿或者提供其他不正当利益的。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（5）在招标采购过程中与采购人进行协商谈判的。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（6）属于本招标文件规定的无效情形，但在评标过程中又未被评委会发现的。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中标通知书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29.1 中标结果确定后，采购代理机构将向中标人发出中标通知书。请中标人在中标结果公告届满之日起30日内，登录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系统及时领取（下载）中标通知书。因系统存储空间有限，自中标结果公告届满之日起30日后，</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系统不再保证提供中标通知书下载服务，因未及时下载造成的不利后果由中标人自行承担。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七、授予合同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30.3 履约保证金自合同生效之日起至合同约定的中标人主要义务履行完毕止，采购人应当按合同约定及时退还履约保证金。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30.4 逾期退还履约保证金的采购人承担违约责任，按照中国人民银行同期贷款基准利率向中标人支付超期资金占用费。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30.5 本项目履约保证金要求详见招标文件第四章 采购需求。</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签订合同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31.2 招标文件、中标人的投标文件及招标过程中有关澄清、承诺等文件均应作为合同附件。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合同标的的追加</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政府采购履约资金扶持政策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33.1 中标人可凭政府采购合同办理融资贷款，详情请见江苏政府采购网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政采贷</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专栏。</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八、询问与质疑</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询问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质疑提出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35.1 提出质疑的供应商应当是参与所质疑项目采购活动的供应商。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35.3 提出质疑时，必须坚持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实事求是</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（1）供应商的姓名或者名称、地址、邮编、联系人及联系电话；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（2）质疑项目的名称、编号；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（3）具体、明确的质疑事项和与质疑事项相关的请求；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（4）事实依据；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（5）必要的法律依据；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（6）提出质疑的日期；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（7）必要的证明材料；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920"/>
        <w:ind w:firstLine="562"/>
        <w:jc w:val="left"/>
        <w:pageBreakBefore w:val="0"/>
        <w:spacing w:before="0" w:after="0" w:line="500" w:lineRule="exact"/>
        <w:widowControl w:val="off"/>
        <w:rPr>
          <w:rFonts w:hint="default" w:ascii="Times New Roman" w:hAnsi="Times New Roman" w:cs="Times New Roman"/>
          <w:sz w:val="24"/>
          <w:szCs w:val="24"/>
        </w:rPr>
      </w:pPr>
      <w:r>
        <w:rPr>
          <w:rFonts w:hint="default" w:ascii="Times New Roman" w:hAnsi="Times New Roman" w:cs="Times New Roman"/>
          <w:sz w:val="28"/>
          <w:szCs w:val="28"/>
          <w:lang w:eastAsia="zh-CN"/>
        </w:rPr>
        <w:t xml:space="preserve">36.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质疑函的受理和答复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36.4 以下情形的质疑依法不予受理：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（1）内容不符合《政府采购质疑和投诉办法》第十二条规定的质疑。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（2）超出政府采购法定期限的质疑。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（3）以传真、电子邮件等方式递交的非原件形式的质疑。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（4）未参与采购活动或在采购活动中自身权益未受到损害的供应商提出的质疑。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（5）供应商组成联合体，联合体中任何一方或多方未按要求签字（盖章）、加盖公章的质疑。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36.5 采购人、采购代理机构依法受理的质疑，将按照政府采购有关规定，在法定期限内作出答复。</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36.6 因质疑供应商所留联系方式无效，或者无故不接收，导致质疑答复结果无法送达的，视为质疑供应商主动放弃知晓质疑答复结果的权利。</w:t>
      </w:r>
      <w:r/>
    </w:p>
    <w:p>
      <w:pPr>
        <w:pStyle w:val="920"/>
        <w:ind w:firstLine="562"/>
        <w:jc w:val="left"/>
        <w:keepLines w:val="0"/>
        <w:keepNext w:val="0"/>
        <w:pageBreakBefore w:val="0"/>
        <w:spacing w:before="0" w:after="0" w:line="500" w:lineRule="exact"/>
        <w:widowControl/>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37.</w:t>
      </w:r>
      <w:r>
        <w:rPr>
          <w:rFonts w:hint="default" w:ascii="Times New Roman" w:hAnsi="Times New Roman" w:cs="Times New Roman"/>
          <w:sz w:val="28"/>
          <w:szCs w:val="28"/>
        </w:rPr>
        <w:t xml:space="preserve">质疑处理</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37.1 质疑供应商未按照法定程序进行质疑投诉的，视为一般失信行为。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37.2 质疑供应商不配合或者采取不正当手段干扰政府采购质疑、投诉处理工作的，视为一般失信行为。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37.3 质疑供应商投诉受理期间，就同一事项多头举报，干扰财政部门投诉处理的，视为一般失信行为。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37.4 质疑供应商在全国范围12个月内三次以上质疑查无实据的，视为一般失信行为。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37.6 质疑供应商在全国范围12个月内三次以上投诉查无实据的，视为严重失信行为。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37.7 未尽事宜，依照有关</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九、政府采购政策功能</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促进中小企业发展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38.1 </w:t>
      </w:r>
      <w:r>
        <w:rPr>
          <w:rFonts w:hint="default" w:ascii="Times New Roman" w:hAnsi="Times New Roman" w:cs="Times New Roman"/>
          <w:sz w:val="24"/>
          <w:szCs w:val="24"/>
          <w:highlight w:val="none"/>
        </w:rPr>
        <w:t xml:space="preserve">本项目执行《关于印发</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政府采购促进中小企业发展管理办法</w:t>
      </w:r>
      <w:r>
        <w:rPr>
          <w:rFonts w:hint="default" w:ascii="Times New Roman" w:hAnsi="Times New Roman" w:cs="Times New Roman"/>
          <w:sz w:val="24"/>
          <w:szCs w:val="24"/>
          <w:highlight w:val="none"/>
          <w:lang w:eastAsia="zh-CN"/>
        </w:rPr>
        <w:t xml:space="preserve">〉的通知》</w:t>
      </w:r>
      <w:r>
        <w:rPr>
          <w:rFonts w:hint="default" w:ascii="Times New Roman" w:hAnsi="Times New Roman" w:cs="Times New Roman"/>
          <w:sz w:val="24"/>
          <w:szCs w:val="24"/>
          <w:highlight w:val="none"/>
        </w:rPr>
        <w:t xml:space="preserve">（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default" w:ascii="Times New Roman" w:hAnsi="Times New Roman" w:cs="Times New Roman"/>
          <w:sz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38.2 </w:t>
      </w:r>
      <w:r>
        <w:rPr>
          <w:rFonts w:hint="default" w:ascii="Times New Roman" w:hAnsi="Times New Roman" w:cs="Times New Roman"/>
          <w:sz w:val="24"/>
        </w:rPr>
        <w:t xml:space="preserve">参加本项目政府采购活动的供应商应当提供的材料</w:t>
      </w:r>
      <w:r>
        <w:rPr>
          <w:rFonts w:hint="default" w:ascii="Times New Roman" w:hAnsi="Times New Roman" w:cs="Times New Roman"/>
          <w:sz w:val="24"/>
          <w:szCs w:val="24"/>
        </w:rPr>
        <w:t xml:space="preserve">：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eastAsia="zh-CN"/>
        </w:rPr>
        <w:t xml:space="preserve">供应商</w:t>
      </w:r>
      <w:r>
        <w:rPr>
          <w:rFonts w:hint="default" w:ascii="Times New Roman" w:hAnsi="Times New Roman" w:cs="Times New Roman"/>
          <w:sz w:val="24"/>
          <w:szCs w:val="24"/>
        </w:rPr>
        <w:t xml:space="preserve">提供的货物全部由中型企业、小型企业、微型企业制造的，提供《中小企业声明函》（第六章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38.3 享受扶持政策获得政府采购合同的，小微型企业不得将合同分包给大中型企业，中型企业不得将合同分包给大型企业。</w:t>
      </w:r>
      <w:r/>
    </w:p>
    <w:p>
      <w:pPr>
        <w:ind w:firstLine="562"/>
        <w:jc w:val="left"/>
        <w:keepLines/>
        <w:keepNext/>
        <w:pageBreakBefore w:val="0"/>
        <w:spacing w:line="500" w:lineRule="exact"/>
        <w:widowControl w:val="off"/>
        <w:rPr>
          <w:rFonts w:hint="default" w:ascii="Times New Roman" w:hAnsi="Times New Roman" w:eastAsia="宋体" w:cs="Times New Roman"/>
          <w:b/>
          <w:bCs/>
          <w:sz w:val="28"/>
          <w:szCs w:val="28"/>
          <w:lang w:val="en-US" w:eastAsia="zh-CN" w:bidi="ar-SA"/>
        </w:rPr>
        <w:outlineLvl w:val="2"/>
      </w:pPr>
      <w:r>
        <w:rPr>
          <w:rFonts w:hint="default" w:ascii="Times New Roman" w:hAnsi="Times New Roman" w:cs="Times New Roman"/>
          <w:b/>
          <w:bCs/>
          <w:sz w:val="28"/>
          <w:szCs w:val="28"/>
          <w:lang w:val="en-US" w:eastAsia="zh-CN" w:bidi="ar-SA"/>
        </w:rPr>
        <w:t xml:space="preserve">39.</w:t>
      </w:r>
      <w:r>
        <w:rPr>
          <w:rFonts w:hint="eastAsia" w:ascii="Times New Roman" w:hAnsi="Times New Roman" w:cs="Times New Roman"/>
          <w:b/>
          <w:bCs/>
          <w:sz w:val="28"/>
          <w:szCs w:val="28"/>
          <w:lang w:val="en-US" w:eastAsia="zh-CN" w:bidi="ar-SA"/>
        </w:rPr>
        <w:t xml:space="preserve"> </w:t>
      </w:r>
      <w:r>
        <w:rPr>
          <w:rFonts w:hint="default" w:ascii="Times New Roman" w:hAnsi="Times New Roman" w:eastAsia="宋体" w:cs="Times New Roman"/>
          <w:b/>
          <w:bCs/>
          <w:sz w:val="28"/>
          <w:szCs w:val="28"/>
          <w:lang w:val="en-US" w:eastAsia="zh-CN" w:bidi="ar-SA"/>
        </w:rPr>
        <w:t xml:space="preserve">政府采购中实施本国产品标准及相关政策</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39.1</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39.2</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39.3</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供应商需按照招标文件的要求提供《关于符合本国产品标准的声明函》（以下简称《声明函》），如不提供将不享受本国产品价格评审优惠。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39.4</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39.5</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pageBreakBefore w:val="0"/>
        <w:spacing w:line="500" w:lineRule="exact"/>
        <w:widowControl w:val="off"/>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 xml:space="preserve">39.6</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eastAsia="宋体" w:cs="Times New Roman"/>
          <w:b w:val="0"/>
          <w:bCs/>
          <w:sz w:val="24"/>
          <w:szCs w:val="24"/>
          <w:lang w:val="en-US" w:eastAsia="zh-CN" w:bidi="ar-SA"/>
        </w:rPr>
        <w:t xml:space="preserve">39.7</w:t>
      </w:r>
      <w:r>
        <w:rPr>
          <w:rFonts w:hint="eastAsia" w:ascii="Times New Roman" w:hAnsi="Times New Roman" w:cs="Times New Roman"/>
          <w:b w:val="0"/>
          <w:bCs/>
          <w:sz w:val="24"/>
          <w:szCs w:val="24"/>
          <w:lang w:val="en-US" w:eastAsia="zh-CN" w:bidi="ar-SA"/>
        </w:rPr>
        <w:t xml:space="preserve"> </w:t>
      </w:r>
      <w:r>
        <w:rPr>
          <w:rFonts w:hint="default" w:ascii="Times New Roman" w:hAnsi="Times New Roman" w:eastAsia="宋体" w:cs="Times New Roman"/>
          <w:b w:val="0"/>
          <w:bCs/>
          <w:sz w:val="24"/>
          <w:szCs w:val="24"/>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40.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支持绿色发展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快递包装政府采购需求标准（试行）》。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政府采购需求标准</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4</w:t>
      </w:r>
      <w:r>
        <w:rPr>
          <w:rFonts w:hint="default" w:ascii="Times New Roman" w:hAnsi="Times New Roman" w:cs="Times New Roman"/>
          <w:sz w:val="24"/>
          <w:szCs w:val="24"/>
          <w:lang w:val="en-US" w:eastAsia="zh-CN"/>
        </w:rPr>
        <w:t xml:space="preserve">1</w:t>
      </w:r>
      <w:r>
        <w:rPr>
          <w:rFonts w:hint="default" w:ascii="Times New Roman" w:hAnsi="Times New Roman" w:cs="Times New Roman"/>
          <w:sz w:val="24"/>
          <w:szCs w:val="24"/>
        </w:rPr>
        <w:t xml:space="preserve">.1 本项目执行《绿色数据中心政府采购需求标准（试行）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台式计算机政府采购需求标准（2023年版）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便携式计算机政府采购需求标准（2023年版）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一体式计算机政府采购需求标准（2023年版）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工作站政府采购需求标准（2023年版）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通用服务器政府采购需求标准（2023年版）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操作系统政府采购需求标准（2023年版）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2" w:name="_Toc165205796"/>
      <w:r/>
      <w:r/>
    </w:p>
    <w:p>
      <w:pPr>
        <w:pStyle w:val="918"/>
        <w:jc w:val="center"/>
        <w:spacing w:line="360" w:lineRule="auto"/>
        <w:rPr>
          <w:rFonts w:hint="eastAsia" w:ascii="黑体" w:hAnsi="黑体" w:eastAsia="黑体"/>
          <w:b w:val="0"/>
        </w:rPr>
      </w:pPr>
      <w:r>
        <w:rPr>
          <w:rFonts w:hint="eastAsia" w:ascii="黑体" w:hAnsi="黑体" w:eastAsia="黑体"/>
          <w:b w:val="0"/>
        </w:rPr>
        <w:t xml:space="preserve">第三章  合同文本</w:t>
      </w:r>
      <w:bookmarkEnd w:id="2"/>
      <w:r/>
      <w:r/>
    </w:p>
    <w:p>
      <w:pPr>
        <w:pStyle w:val="930"/>
        <w:jc w:val="center"/>
        <w:spacing w:after="0"/>
        <w:rPr>
          <w:rFonts w:hint="eastAsia" w:ascii="宋体" w:hAnsi="宋体" w:cs="宋体"/>
          <w:b/>
          <w:bCs/>
          <w:spacing w:val="-20"/>
          <w:sz w:val="48"/>
          <w:szCs w:val="48"/>
        </w:rPr>
      </w:pPr>
      <w:r/>
      <w:bookmarkStart w:id="3" w:name="_Toc3995"/>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hint="eastAsia" w:ascii="黑体" w:hAnsi="黑体" w:eastAsia="黑体"/>
          <w:sz w:val="44"/>
          <w:szCs w:val="44"/>
        </w:rPr>
      </w:pPr>
      <w:r>
        <w:rPr>
          <w:rFonts w:hint="eastAsia" w:ascii="黑体" w:hAnsi="黑体" w:eastAsia="黑体"/>
          <w:sz w:val="44"/>
          <w:szCs w:val="44"/>
        </w:rPr>
      </w:r>
      <w:r/>
    </w:p>
    <w:p>
      <w:pPr>
        <w:jc w:val="center"/>
        <w:rPr>
          <w:rFonts w:hint="eastAsia" w:ascii="黑体" w:hAnsi="黑体" w:eastAsia="黑体"/>
          <w:sz w:val="44"/>
          <w:szCs w:val="44"/>
        </w:rPr>
      </w:pPr>
      <w:r>
        <w:rPr>
          <w:rFonts w:hint="eastAsia" w:ascii="黑体" w:hAnsi="黑体" w:eastAsia="黑体"/>
          <w:sz w:val="44"/>
          <w:szCs w:val="44"/>
        </w:rPr>
        <w:t xml:space="preserve">使用说明</w:t>
      </w:r>
      <w:r/>
    </w:p>
    <w:p>
      <w:pPr>
        <w:ind w:firstLine="640"/>
        <w:rPr>
          <w:rFonts w:hint="eastAsia" w:ascii="仿宋" w:hAnsi="仿宋" w:eastAsia="仿宋" w:cs="仿宋_GB2312"/>
          <w:sz w:val="32"/>
          <w:szCs w:val="32"/>
        </w:rPr>
      </w:pPr>
      <w:r>
        <w:rPr>
          <w:rFonts w:hint="eastAsia" w:ascii="仿宋" w:hAnsi="仿宋" w:eastAsia="仿宋" w:cs="仿宋_GB2312"/>
          <w:sz w:val="32"/>
          <w:szCs w:val="32"/>
        </w:rPr>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本合同标准文本适用于购买现成货物的采购项目，不包括需要供应商定制开发、创新研发的货物采购项目。</w:t>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本合同标准文本为政府采购货物买卖合同编制提供参考，可以结合采购项目具体情况，对文本</w:t>
      </w:r>
      <w:r>
        <w:rPr>
          <w:rFonts w:hint="eastAsia" w:ascii="Times New Roman" w:hAnsi="Times New Roman" w:eastAsia="仿宋_GB2312" w:cs="Times New Roman"/>
          <w:sz w:val="32"/>
          <w:szCs w:val="32"/>
          <w:lang w:eastAsia="zh-CN"/>
        </w:rPr>
        <w:t xml:space="preserve">作</w:t>
      </w:r>
      <w:r>
        <w:rPr>
          <w:rFonts w:hint="default" w:ascii="Times New Roman" w:hAnsi="Times New Roman" w:eastAsia="仿宋_GB2312" w:cs="Times New Roman"/>
          <w:sz w:val="32"/>
          <w:szCs w:val="32"/>
        </w:rPr>
        <w:t xml:space="preserve">必要的调整修订后使用。</w:t>
      </w:r>
      <w:r/>
    </w:p>
    <w:p>
      <w:pPr>
        <w:ind w:firstLine="641"/>
        <w:keepLines w:val="0"/>
        <w:keepNext w:val="0"/>
        <w:pageBreakBefore w:val="0"/>
        <w:spacing w:line="560" w:lineRule="exact"/>
        <w:widowControl w:val="off"/>
        <w:rPr>
          <w:rFonts w:hint="eastAsia" w:ascii="仿宋" w:hAnsi="仿宋" w:eastAsia="仿宋" w:cs="仿宋_GB2312"/>
          <w:sz w:val="32"/>
          <w:szCs w:val="32"/>
        </w:rPr>
      </w:pPr>
      <w:r>
        <w:rPr>
          <w:rFonts w:hint="default" w:ascii="Times New Roman" w:hAnsi="Times New Roman" w:eastAsia="仿宋_GB2312" w:cs="Times New Roman"/>
          <w:sz w:val="32"/>
          <w:szCs w:val="32"/>
        </w:rPr>
        <w:t xml:space="preserve">3.</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本合同标准文本各条款中，如涉及填写多家供应商、制造商，多种采购标的、分包主要内容等信息的，可根据采购项目具体情况添加信息项。</w:t>
      </w:r>
      <w:bookmarkEnd w:id="3"/>
      <w:r/>
      <w:r/>
    </w:p>
    <w:p>
      <w:pPr>
        <w:jc w:val="left"/>
        <w:widowControl/>
        <w:rPr>
          <w:rFonts w:hint="eastAsia" w:ascii="黑体" w:hAnsi="黑体" w:eastAsia="黑体"/>
          <w:sz w:val="28"/>
          <w:szCs w:val="28"/>
        </w:rPr>
      </w:pPr>
      <w:r/>
      <w:bookmarkStart w:id="4" w:name="_Toc22209"/>
      <w:r>
        <w:rPr>
          <w:rFonts w:ascii="黑体" w:hAnsi="黑体" w:eastAsia="黑体"/>
          <w:b/>
          <w:bCs/>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rPr>
      </w:pPr>
      <w:r>
        <w:rPr>
          <w:rFonts w:hint="eastAsia" w:ascii="宋体" w:hAnsi="宋体"/>
        </w:rPr>
      </w:r>
      <w:r/>
    </w:p>
    <w:p>
      <w:pPr>
        <w:pStyle w:val="706"/>
        <w:ind w:left="0" w:firstLine="420"/>
        <w:spacing w:after="0" w:line="400" w:lineRule="exact"/>
        <w:rPr>
          <w:rFonts w:hint="eastAsia"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1.</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项目信息</w:t>
      </w:r>
      <w:r/>
    </w:p>
    <w:p>
      <w:pPr>
        <w:pStyle w:val="706"/>
        <w:numPr>
          <w:ilvl w:val="0"/>
          <w:numId w:val="0"/>
        </w:numPr>
        <w:ind w:left="0" w:firstLine="420"/>
        <w:spacing w:after="0" w:line="400" w:lineRule="exact"/>
        <w:rPr>
          <w:rFonts w:hint="eastAsia" w:ascii="宋体" w:hAnsi="宋体"/>
          <w:szCs w:val="21"/>
          <w:u w:val="single"/>
        </w:rPr>
      </w:pPr>
      <w:r>
        <w:rPr>
          <w:rFonts w:hint="default" w:ascii="Times New Roman" w:hAnsi="Times New Roman" w:eastAsia="宋体" w:cs="Times New Roman"/>
          <w:sz w:val="21"/>
          <w:szCs w:val="21"/>
          <w:lang w:val="en-US" w:eastAsia="zh-CN" w:bidi="ar-SA"/>
        </w:rPr>
        <w:t xml:space="preserve">（1）</w:t>
      </w:r>
      <w:r>
        <w:rPr>
          <w:rFonts w:hint="eastAsia" w:ascii="宋体" w:hAnsi="宋体"/>
          <w:szCs w:val="21"/>
        </w:rPr>
        <w:t xml:space="preserve">采购项目名称：</w:t>
      </w:r>
      <w:r>
        <w:rPr>
          <w:rFonts w:ascii="宋体" w:hAnsi="宋体"/>
          <w:szCs w:val="21"/>
          <w:u w:val="single"/>
        </w:rPr>
        <w:t xml:space="preserve">                                          </w:t>
      </w:r>
      <w:r/>
    </w:p>
    <w:p>
      <w:pPr>
        <w:pStyle w:val="706"/>
        <w:numPr>
          <w:ilvl w:val="255"/>
          <w:numId w:val="0"/>
        </w:numPr>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06"/>
        <w:ind w:left="0" w:firstLine="420"/>
        <w:spacing w:after="0"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（3）</w:t>
      </w:r>
      <w:r>
        <w:rPr>
          <w:rFonts w:hint="eastAsia" w:ascii="宋体" w:hAnsi="宋体"/>
          <w:szCs w:val="21"/>
        </w:rPr>
        <w:t xml:space="preserve">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4</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49"/>
        <w:numPr>
          <w:ilvl w:val="255"/>
          <w:numId w:val="0"/>
        </w:numPr>
        <w:ind w:firstLine="420"/>
        <w:rPr>
          <w:rFonts w:hint="eastAsia" w:asciiTheme="minorEastAsia" w:hAnsiTheme="minorEastAsia" w:eastAsiaTheme="minorEastAsia" w:cstheme="minorEastAsia"/>
          <w:sz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5</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49"/>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49"/>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9"/>
        <w:numPr>
          <w:ilvl w:val="255"/>
          <w:numId w:val="0"/>
        </w:numPr>
        <w:ind w:firstLine="220"/>
        <w:rPr>
          <w:rFonts w:hint="eastAsia" w:ascii="宋体" w:hAnsi="宋体" w:eastAsia="宋体" w:cs="Times New Roman"/>
          <w:sz w:val="21"/>
        </w:rPr>
      </w:pPr>
      <w:r>
        <w:rPr>
          <w:rFonts w:hint="eastAsia" w:ascii="宋体" w:hAnsi="宋体"/>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6</w:t>
      </w:r>
      <w:r>
        <w:rPr>
          <w:rFonts w:hint="eastAsia" w:ascii="Times New Roman" w:hAnsi="Times New Roman" w:eastAsia="宋体" w:cs="Times New Roman"/>
          <w:sz w:val="21"/>
          <w:szCs w:val="21"/>
          <w:lang w:val="en-US" w:eastAsia="zh-CN" w:bidi="ar-SA"/>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8</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9"/>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9</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0</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9"/>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1</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》和《</w:t>
      </w:r>
      <w:r>
        <w:rPr>
          <w:rFonts w:hint="eastAsia" w:ascii="宋体" w:hAnsi="宋体"/>
          <w:szCs w:val="21"/>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2.</w:t>
      </w:r>
      <w:r>
        <w:rPr>
          <w:rFonts w:hint="default" w:ascii="Times New Roman" w:hAnsi="Times New Roman" w:cs="Times New Roman"/>
          <w:b/>
          <w:sz w:val="21"/>
          <w:szCs w:val="21"/>
          <w:lang w:val="en-US" w:eastAsia="zh-CN" w:bidi="ar-SA"/>
        </w:rPr>
        <w:t xml:space="preserve"> </w:t>
      </w: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0"/>
        <w:spacing w:line="400" w:lineRule="exact"/>
      </w:pPr>
      <w:r>
        <w:rPr>
          <w:rFonts w:hint="eastAsia" w:ascii="Times New Roman" w:hAnsi="Times New Roman" w:eastAsia="宋体" w:cs="Times New Roman"/>
          <w:sz w:val="21"/>
          <w:szCs w:val="21"/>
          <w:lang w:val="en-US" w:eastAsia="zh-CN" w:bidi="ar-SA"/>
        </w:rPr>
        <w:t xml:space="preserve">（3）</w:t>
      </w:r>
      <w:r>
        <w:rPr>
          <w:rFonts w:hint="eastAsia" w:ascii="宋体" w:hAnsi="宋体"/>
        </w:rPr>
        <w:t xml:space="preserve">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0"/>
        </w:numPr>
        <w:ind w:firstLine="422"/>
        <w:spacing w:line="400" w:lineRule="exact"/>
        <w:rPr>
          <w:rFonts w:hint="eastAsia" w:ascii="宋体" w:hAnsi="宋体"/>
          <w:b/>
          <w:bCs/>
          <w:szCs w:val="21"/>
          <w:u w:val="single"/>
        </w:rPr>
      </w:pPr>
      <w:r>
        <w:rPr>
          <w:rFonts w:hint="eastAsia"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bidi="ar-SA"/>
        </w:rPr>
        <w:t xml:space="preserve"> </w:t>
      </w:r>
      <w:r>
        <w:rPr>
          <w:rFonts w:hint="eastAsia" w:ascii="宋体" w:hAnsi="宋体"/>
          <w:b/>
          <w:bCs/>
          <w:szCs w:val="21"/>
        </w:rPr>
        <w:t xml:space="preserve">合同履行</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9"/>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Times New Roman" w:hAnsi="Times New Roman" w:cs="Times New Roman"/>
          <w:sz w:val="21"/>
          <w:szCs w:val="21"/>
          <w:lang w:val="en-US" w:eastAsia="zh-CN" w:bidi="ar-SA"/>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cs="宋体"/>
          <w:bCs/>
          <w:szCs w:val="21"/>
        </w:rPr>
        <w:t xml:space="preserve">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bCs/>
          <w:sz w:val="21"/>
          <w:szCs w:val="21"/>
          <w:lang w:val="en-US" w:eastAsia="zh-CN" w:bidi="ar-SA"/>
        </w:rPr>
        <w:t xml:space="preserve">4. </w:t>
      </w:r>
      <w:r>
        <w:rPr>
          <w:rFonts w:hint="eastAsia" w:ascii="宋体" w:hAnsi="宋体"/>
          <w:b/>
          <w:szCs w:val="21"/>
        </w:rPr>
        <w:t xml:space="preserve">合同验收</w:t>
      </w:r>
      <w:r/>
    </w:p>
    <w:p>
      <w:pPr>
        <w:numPr>
          <w:ilvl w:val="0"/>
          <w:numId w:val="0"/>
        </w:numPr>
        <w:ind w:firstLine="420"/>
        <w:spacing w:line="400" w:lineRule="exact"/>
        <w:rPr>
          <w:rFonts w:hint="eastAsia" w:ascii="宋体" w:hAnsi="宋体"/>
          <w:bCs/>
          <w:szCs w:val="21"/>
        </w:rPr>
      </w:pPr>
      <w:r>
        <w:rPr>
          <w:rFonts w:hint="default" w:ascii="Times New Roman" w:hAnsi="Times New Roman" w:cs="Times New Roman"/>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bCs/>
          <w:szCs w:val="21"/>
        </w:rPr>
        <w:t xml:space="preserve">）履约验收的内容：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（6）</w:t>
      </w:r>
      <w:r>
        <w:rPr>
          <w:rFonts w:hint="eastAsia" w:ascii="宋体" w:hAnsi="宋体"/>
          <w:bCs/>
          <w:szCs w:val="21"/>
        </w:rPr>
        <w:t xml:space="preserve">履约验收标准：</w:t>
      </w:r>
      <w:r>
        <w:rPr>
          <w:rFonts w:hint="eastAsia" w:ascii="宋体" w:hAnsi="宋体"/>
          <w:bCs/>
          <w:szCs w:val="21"/>
          <w:u w:val="single"/>
        </w:rPr>
        <w:t xml:space="preserve">                                         </w:t>
      </w:r>
      <w:r/>
    </w:p>
    <w:p>
      <w:pPr>
        <w:pStyle w:val="949"/>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Times New Roman" w:hAnsi="Times New Roman" w:eastAsia="宋体" w:cs="Times New Roman"/>
          <w:sz w:val="21"/>
          <w:szCs w:val="21"/>
          <w:lang w:val="en-US" w:eastAsia="zh-CN" w:bidi="ar-SA"/>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（产权过户登记等）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5.</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政府采购合同协议书及其变更、补充协议</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（2）政府采购合同专用条款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（3）政府采购合同通用条款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（4）中标（成交）通知书</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（5）投标（响应）文件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（6）采购文件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（7）有关技术文件，图纸</w:t>
      </w:r>
      <w:r/>
    </w:p>
    <w:p>
      <w:pPr>
        <w:ind w:firstLine="420"/>
        <w:spacing w:line="400" w:lineRule="exact"/>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（8）国家法律、</w:t>
      </w:r>
      <w:r>
        <w:rPr>
          <w:rFonts w:hint="eastAsia" w:ascii="宋体" w:hAnsi="宋体" w:eastAsia="宋体" w:cs="宋体"/>
          <w:color w:val="000000" w:themeColor="text1"/>
          <w:sz w:val="21"/>
          <w14:textFill>
            <w14:solidFill>
              <w14:schemeClr w14:val="tx1"/>
            </w14:solidFill>
          </w14:textFill>
        </w:rPr>
        <w:t xml:space="preserve">行政法规和规章制度规定或合同约定的作为合同组成部分的其他文件</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sz w:val="21"/>
          <w:szCs w:val="21"/>
          <w:lang w:val="en-US" w:eastAsia="zh-CN" w:bidi="ar-SA"/>
        </w:rPr>
        <w:t xml:space="preserve">6.</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0"/>
        </w:numPr>
        <w:ind w:firstLine="422"/>
        <w:spacing w:line="400" w:lineRule="exact"/>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 xml:space="preserve">7.</w:t>
      </w:r>
      <w:r>
        <w:rPr>
          <w:rFonts w:hint="eastAsia" w:ascii="Times New Roman" w:hAnsi="Times New Roman" w:cs="Times New Roman"/>
          <w:b/>
          <w:sz w:val="21"/>
          <w:szCs w:val="21"/>
          <w:lang w:val="en-US" w:eastAsia="zh-CN" w:bidi="ar-SA"/>
        </w:rPr>
        <w:t xml:space="preserve"> </w:t>
      </w:r>
      <w:r>
        <w:rPr>
          <w:rFonts w:hint="eastAsia" w:ascii="Times New Roman" w:hAnsi="Times New Roman" w:eastAsia="宋体" w:cs="Times New Roman"/>
          <w:b/>
          <w:sz w:val="21"/>
          <w:szCs w:val="21"/>
          <w:lang w:val="en-US" w:eastAsia="zh-CN" w:bidi="ar-SA"/>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hint="eastAsia"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tbl>
      <w:tblPr>
        <w:tblStyle w:val="7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526"/>
        </w:trPr>
        <w:tc>
          <w:tcPr>
            <w:tcW w:w="4927" w:type="dxa"/>
            <w:vAlign w:val="center"/>
            <w:textDirection w:val="lrTb"/>
            <w:noWrap w:val="false"/>
          </w:tcPr>
          <w:p>
            <w:pPr>
              <w:pStyle w:val="950"/>
              <w:ind w:firstLine="0"/>
              <w:jc w:val="left"/>
              <w:rPr>
                <w:rFonts w:hint="eastAsia" w:eastAsia="宋体"/>
                <w:lang w:eastAsia="zh-CN"/>
              </w:rPr>
            </w:pPr>
            <w:r>
              <w:rPr>
                <w:rFonts w:hint="eastAsia" w:ascii="宋体" w:hAnsi="宋体" w:eastAsia="Arial"/>
              </w:rPr>
              <w:t xml:space="preserve">甲方单位名称</w:t>
            </w:r>
            <w:r>
              <w:rPr>
                <w:rFonts w:hint="eastAsia" w:ascii="宋体" w:hAnsi="宋体" w:eastAsia="宋体"/>
                <w:lang w:eastAsia="zh-CN"/>
              </w:rPr>
              <w:t xml:space="preserve">（</w:t>
            </w:r>
            <w:r>
              <w:rPr>
                <w:rFonts w:hint="eastAsia" w:ascii="宋体" w:hAnsi="宋体" w:eastAsia="Arial"/>
              </w:rPr>
              <w:t xml:space="preserve">公章或合同章</w:t>
            </w:r>
            <w:r>
              <w:rPr>
                <w:rFonts w:hint="eastAsia" w:ascii="宋体" w:hAnsi="宋体" w:eastAsia="宋体"/>
                <w:lang w:eastAsia="zh-CN"/>
              </w:rPr>
              <w:t xml:space="preserve">）</w:t>
            </w:r>
            <w:r>
              <w:rPr>
                <w:rFonts w:hint="eastAsia" w:ascii="宋体" w:hAnsi="宋体"/>
              </w:rPr>
              <w:t xml:space="preserve">：</w:t>
            </w:r>
            <w:r>
              <w:rPr>
                <w:rFonts w:hint="eastAsia" w:ascii="宋体" w:hAnsi="宋体"/>
                <w:lang w:eastAsia="zh-CN"/>
              </w:rPr>
              <w:t xml:space="preserve">连云港市发展和改革委员会</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乙方单位名称</w:t>
            </w:r>
            <w:r>
              <w:rPr>
                <w:rFonts w:hint="eastAsia" w:ascii="宋体" w:hAnsi="宋体" w:eastAsia="宋体"/>
                <w:szCs w:val="21"/>
                <w:lang w:eastAsia="zh-CN"/>
              </w:rPr>
              <w:t xml:space="preserve">（</w:t>
            </w:r>
            <w:r>
              <w:rPr>
                <w:rFonts w:hint="eastAsia" w:ascii="宋体" w:hAnsi="宋体" w:eastAsia="Arial"/>
                <w:szCs w:val="21"/>
              </w:rPr>
              <w:t xml:space="preserve">公章或合同章</w:t>
            </w:r>
            <w:r>
              <w:rPr>
                <w:rFonts w:hint="eastAsia" w:ascii="宋体" w:hAnsi="宋体" w:eastAsia="宋体"/>
                <w:szCs w:val="21"/>
                <w:lang w:eastAsia="zh-CN"/>
              </w:rPr>
              <w:t xml:space="preserve">）</w:t>
            </w:r>
            <w:r>
              <w:rPr>
                <w:rFonts w:hint="eastAsia" w:ascii="宋体" w:hAnsi="宋体" w:eastAsia="Arial"/>
                <w:szCs w:val="21"/>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rPr>
                <w:rFonts w:hint="eastAsia" w:ascii="宋体" w:hAnsi="宋体"/>
                <w:szCs w:val="21"/>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联系人</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联系人：</w:t>
            </w:r>
            <w:r/>
          </w:p>
          <w:p>
            <w:pPr>
              <w:pStyle w:val="950"/>
              <w:jc w:val="left"/>
            </w:pPr>
            <w:r/>
            <w:r/>
          </w:p>
        </w:tc>
      </w:tr>
      <w:tr>
        <w:trPr>
          <w:trHeight w:val="567"/>
        </w:trPr>
        <w:tc>
          <w:tcPr>
            <w:tcW w:w="4927" w:type="dxa"/>
            <w:vAlign w:val="center"/>
            <w:textDirection w:val="lrTb"/>
            <w:noWrap w:val="false"/>
          </w:tcPr>
          <w:p>
            <w:pPr>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ind w:firstLine="0"/>
              <w:jc w:val="left"/>
            </w:pPr>
            <w:r>
              <w:rPr>
                <w:rFonts w:hint="eastAsia" w:ascii="宋体" w:hAnsi="宋体" w:eastAsia="Arial"/>
              </w:rPr>
              <w:t xml:space="preserve">通信地址</w:t>
            </w:r>
            <w:r>
              <w:rPr>
                <w:rFonts w:hint="eastAsia" w:ascii="宋体" w:hAnsi="宋体"/>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通信地址：</w:t>
            </w:r>
            <w:r/>
          </w:p>
          <w:p>
            <w:pPr>
              <w:pStyle w:val="950"/>
              <w:jc w:val="left"/>
            </w:pPr>
            <w:r/>
            <w:r/>
          </w:p>
        </w:tc>
      </w:tr>
      <w:tr>
        <w:trPr>
          <w:trHeight w:val="567"/>
        </w:trPr>
        <w:tc>
          <w:tcPr>
            <w:tcW w:w="4927" w:type="dxa"/>
            <w:vAlign w:val="center"/>
            <w:textDirection w:val="lrTb"/>
            <w:noWrap w:val="false"/>
          </w:tcPr>
          <w:p>
            <w:pPr>
              <w:jc w:val="left"/>
              <w:spacing w:line="400" w:lineRule="exact"/>
              <w:rPr>
                <w:rFonts w:hint="default" w:ascii="Times New Roman" w:hAnsi="Times New Roman" w:cs="Times New Roman"/>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rPr>
                <w:rFonts w:hint="default" w:ascii="Times New Roman" w:hAnsi="Times New Roman" w:cs="Times New Roman"/>
                <w:szCs w:val="21"/>
              </w:rPr>
              <w:t xml:space="preserve">222000</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rPr>
                <w:rFonts w:eastAsiaTheme="minorEastAsia"/>
              </w:rPr>
            </w:pPr>
            <w:r>
              <w:rPr>
                <w:rFonts w:hint="eastAsia"/>
              </w:rPr>
              <w:t xml:space="preserve">电子邮箱：</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电子邮箱：</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统一社会信用代码</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统一社会信用代码：</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开户名称</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0"/>
              <w:jc w:val="left"/>
            </w:pPr>
            <w:r>
              <w:rPr>
                <w:rFonts w:hint="eastAsia" w:ascii="宋体" w:hAnsi="宋体" w:eastAsia="Arial"/>
              </w:rPr>
              <w:t xml:space="preserve">开户银行：</w:t>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4"/>
              <w:ind w:left="0"/>
            </w:pPr>
            <w:r>
              <w:rPr>
                <w:rFonts w:hint="eastAsia" w:ascii="宋体" w:hAnsi="宋体" w:eastAsia="Arial" w:cs="Times New Roman"/>
                <w:szCs w:val="21"/>
              </w:rPr>
              <w:t xml:space="preserve">银行账号</w:t>
            </w:r>
            <w:r>
              <w:rPr>
                <w:rFonts w:hint="eastAsia" w:ascii="宋体" w:hAnsi="宋体" w:eastAsia="宋体" w:cs="Times New Roman"/>
                <w:szCs w:val="21"/>
                <w:lang w:eastAsia="zh-CN"/>
              </w:rPr>
              <w:t xml:space="preserve">：</w:t>
            </w:r>
            <w:r/>
          </w:p>
        </w:tc>
      </w:tr>
    </w:tbl>
    <w:p>
      <w:pPr>
        <w:pStyle w:val="950"/>
        <w:jc w:val="left"/>
      </w:pPr>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szCs w:val="21"/>
        </w:rPr>
      </w:pPr>
      <w:r>
        <w:rPr>
          <w:rFonts w:hint="eastAsia" w:ascii="宋体" w:hAnsi="宋体"/>
          <w:szCs w:val="21"/>
        </w:rPr>
      </w:r>
      <w:r/>
    </w:p>
    <w:p>
      <w:pPr>
        <w:pStyle w:val="954"/>
        <w:rPr>
          <w:rFonts w:hint="eastAsia" w:ascii="宋体" w:hAnsi="宋体" w:cs="Times New Roman"/>
          <w:szCs w:val="21"/>
        </w:rPr>
      </w:pPr>
      <w:r>
        <w:rPr>
          <w:rFonts w:hint="eastAsia" w:ascii="宋体" w:hAnsi="宋体" w:cs="Times New Roman"/>
          <w:szCs w:val="21"/>
        </w:rPr>
      </w:r>
      <w:r/>
    </w:p>
    <w:p>
      <w:pPr>
        <w:ind w:firstLine="420"/>
        <w:jc w:val="left"/>
        <w:spacing w:line="400" w:lineRule="exact"/>
        <w:rPr>
          <w:rFonts w:ascii="宋体" w:hAnsi="宋体" w:eastAsia="Arial"/>
          <w:szCs w:val="21"/>
        </w:rPr>
      </w:pPr>
      <w:r>
        <w:rPr>
          <w:rFonts w:ascii="宋体" w:hAnsi="宋体" w:eastAsia="Arial"/>
          <w:szCs w:val="21"/>
        </w:rPr>
      </w:r>
      <w:r/>
    </w:p>
    <w:p>
      <w:pPr>
        <w:pStyle w:val="919"/>
        <w:jc w:val="center"/>
        <w:spacing w:line="400" w:lineRule="exact"/>
        <w:rPr>
          <w:rFonts w:hint="eastAsia"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ind w:firstLine="482"/>
        <w:jc w:val="left"/>
        <w:spacing w:line="400" w:lineRule="exact"/>
        <w:tabs>
          <w:tab w:val="left" w:pos="8820" w:leader="none"/>
          <w:tab w:val="left" w:pos="9345" w:leader="none"/>
          <w:tab w:val="left" w:pos="9765" w:leader="none"/>
        </w:tabs>
        <w:rPr>
          <w:rFonts w:hint="default" w:ascii="Times New Roman" w:hAnsi="Times New Roman" w:cs="Times New Roman"/>
          <w:b/>
          <w:bCs/>
          <w:sz w:val="24"/>
        </w:rPr>
      </w:pPr>
      <w:r>
        <w:rPr>
          <w:rFonts w:hint="default" w:ascii="Times New Roman" w:hAnsi="Times New Roman" w:cs="Times New Roman"/>
          <w:b/>
          <w:sz w:val="24"/>
        </w:rPr>
        <w:t xml:space="preserve">1.</w:t>
      </w:r>
      <w:r>
        <w:rPr>
          <w:rFonts w:hint="eastAsia" w:ascii="Times New Roman" w:hAnsi="Times New Roman" w:cs="Times New Roman"/>
          <w:b/>
          <w:sz w:val="24"/>
          <w:lang w:val="en-US" w:eastAsia="zh-CN"/>
        </w:rPr>
        <w:t xml:space="preserve"> </w:t>
      </w:r>
      <w:r>
        <w:rPr>
          <w:rFonts w:hint="default" w:ascii="Times New Roman" w:hAnsi="Times New Roman" w:cs="Times New Roman"/>
          <w:b/>
          <w:bCs/>
          <w:sz w:val="24"/>
        </w:rPr>
        <w:t xml:space="preserve">定义</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 合同当事人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（1）采购人（以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称甲方）是指使用财政性资金，通过政府采购方式向供应商购买货物及其相关服务的国家机关、事业单位、团体组织。</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（2）供应商（以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（3）其他合同主体是指除采购人和供应商以外，</w:t>
      </w:r>
      <w:r>
        <w:rPr>
          <w:rFonts w:hint="default" w:ascii="Times New Roman" w:hAnsi="Times New Roman" w:cs="Times New Roman"/>
          <w:bCs/>
          <w:color w:val="000000"/>
          <w:szCs w:val="21"/>
        </w:rPr>
        <w:t xml:space="preserve">依法参与合同缔结或履行，享有权利、承担义务的合同当事人</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1.2 本合同下列术语应解释为：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系指合</w:t>
      </w:r>
      <w:r>
        <w:rPr>
          <w:rFonts w:hint="default" w:ascii="Times New Roman" w:hAnsi="Times New Roman" w:cs="Times New Roman"/>
          <w:bCs/>
          <w:color w:val="000000"/>
          <w:szCs w:val="21"/>
        </w:rPr>
        <w:t xml:space="preserve">同当事人意思表示达成一致的任何协议，包括签署的</w:t>
      </w:r>
      <w:r>
        <w:rPr>
          <w:rFonts w:hint="default" w:ascii="Times New Roman" w:hAnsi="Times New Roman" w:cs="Times New Roman"/>
          <w:szCs w:val="21"/>
        </w:rPr>
        <w:t xml:space="preserve">政府采购合同协议书及其变更、补充协议，政府采购合同专用条款，政府采购合同通用条款，中标（成交）通知书，投标（响应）文件，采购文件，有关技术文件和图纸，以及</w:t>
      </w:r>
      <w:r>
        <w:rPr>
          <w:rFonts w:hint="default" w:ascii="Times New Roman" w:hAnsi="Times New Roman" w:cs="Times New Roman"/>
          <w:color w:val="000000"/>
          <w:szCs w:val="21"/>
        </w:rPr>
        <w:t xml:space="preserve">国家法律、行政法规和规章制度规定或合同约定的作为合同组成部分的其他文件</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合同价款</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szCs w:val="21"/>
        </w:rPr>
        <w:t xml:space="preserve">（3）</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货物</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系指乙方根据本合同规定须向甲方提供的各种形态和种类的物品，包括原材料、设备、产品（</w:t>
      </w:r>
      <w:r>
        <w:rPr>
          <w:rFonts w:hint="default" w:ascii="Times New Roman" w:hAnsi="Times New Roman" w:cs="Times New Roman"/>
          <w:color w:val="000000"/>
          <w:szCs w:val="21"/>
        </w:rPr>
        <w:t xml:space="preserve">包括软件）及相关的</w:t>
      </w:r>
      <w:r>
        <w:rPr>
          <w:rFonts w:hint="default" w:ascii="Times New Roman" w:hAnsi="Times New Roman" w:cs="Times New Roman"/>
          <w:color w:val="000000"/>
          <w:szCs w:val="21"/>
          <w:lang w:eastAsia="zh-CN"/>
        </w:rPr>
        <w:t xml:space="preserve">其他</w:t>
      </w:r>
      <w:r>
        <w:rPr>
          <w:rFonts w:hint="default" w:ascii="Times New Roman" w:hAnsi="Times New Roman" w:cs="Times New Roman"/>
          <w:color w:val="000000"/>
          <w:szCs w:val="21"/>
        </w:rPr>
        <w:t xml:space="preserve">备品备件、工具、手册及其他技术资料和材料等。</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（4）</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相关</w:t>
      </w:r>
      <w:r>
        <w:rPr>
          <w:rFonts w:hint="default" w:ascii="Times New Roman" w:hAnsi="Times New Roman" w:cs="Times New Roman"/>
          <w:color w:val="000000"/>
          <w:szCs w:val="21"/>
        </w:rPr>
        <w:t xml:space="preserve">服务</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（5）</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分包</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（6）</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联合体</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系指由两个以上的自然人、法人或者非法人组织组成，以一个供应商的身份共同参加政府采购的主体</w:t>
      </w:r>
      <w:r>
        <w:rPr>
          <w:rFonts w:hint="default" w:ascii="Times New Roman" w:hAnsi="Times New Roman"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（7）其他术语解释，见【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2.</w:t>
      </w:r>
      <w:r>
        <w:rPr>
          <w:rFonts w:hint="eastAsia"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color w:val="000000"/>
          <w:sz w:val="24"/>
        </w:rPr>
        <w:t xml:space="preserve">合同标的及金额</w:t>
      </w:r>
      <w:r/>
    </w:p>
    <w:p>
      <w:pPr>
        <w:ind w:firstLine="420"/>
        <w:jc w:val="left"/>
        <w:spacing w:line="400" w:lineRule="exact"/>
        <w:rPr>
          <w:rFonts w:hint="default" w:ascii="Times New Roman" w:hAnsi="Times New Roman" w:cs="Times New Roman"/>
          <w:b/>
          <w:bCs/>
          <w:i/>
          <w:iCs/>
          <w:color w:val="000000"/>
          <w:szCs w:val="21"/>
        </w:rPr>
      </w:pPr>
      <w:r>
        <w:rPr>
          <w:rFonts w:hint="default" w:ascii="Times New Roman" w:hAnsi="Times New Roman" w:cs="Times New Roman"/>
          <w:color w:val="000000"/>
          <w:szCs w:val="21"/>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default" w:ascii="Times New Roman" w:hAnsi="Times New Roman" w:cs="Times New Roman"/>
          <w:b/>
          <w:color w:val="000000"/>
          <w:sz w:val="24"/>
        </w:rPr>
      </w:pPr>
      <w:r>
        <w:rPr>
          <w:rFonts w:hint="default" w:ascii="Times New Roman" w:hAnsi="Times New Roman" w:cs="Times New Roman"/>
          <w:b/>
          <w:color w:val="000000"/>
          <w:sz w:val="24"/>
        </w:rPr>
        <w:t xml:space="preserve">3. 履行合同的时间、地点和方式</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3.1 </w:t>
      </w:r>
      <w:r>
        <w:rPr>
          <w:rFonts w:hint="default" w:ascii="Times New Roman" w:hAnsi="Times New Roman" w:cs="Times New Roman"/>
          <w:szCs w:val="21"/>
        </w:rPr>
        <w:t xml:space="preserve">乙方应当在约定的时间、地点，按照约定方式履行合同。</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4. 甲方的权利和义务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 签署合同后，甲方应确定项目负责人（或项目联系人），负责与本合同有关的事务。甲方有权</w:t>
      </w:r>
      <w:r>
        <w:rPr>
          <w:rFonts w:hint="eastAsia" w:ascii="宋体" w:hAnsi="宋体"/>
          <w:color w:val="000000"/>
          <w:szCs w:val="21"/>
        </w:rPr>
        <w:t xml:space="preserve">对</w:t>
      </w:r>
      <w:r>
        <w:rPr>
          <w:rFonts w:hint="default" w:ascii="Times New Roman" w:hAnsi="Times New Roman" w:cs="Times New Roman"/>
          <w:color w:val="000000"/>
          <w:szCs w:val="21"/>
        </w:rPr>
        <w:t xml:space="preserve">乙方的履约行为进行检查，并及时确认乙方提交的事项。甲方应当配合乙方完成相关项目实施工作。</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4.3甲方有权要求乙方对缺陷部分予以修复，并按合同约定享有货物保修及其他合同约定的权利。</w:t>
      </w:r>
      <w:r/>
    </w:p>
    <w:p>
      <w:pPr>
        <w:ind w:firstLine="420"/>
        <w:spacing w:line="400" w:lineRule="exact"/>
        <w:rPr>
          <w:rFonts w:hint="default" w:ascii="Times New Roman" w:hAnsi="Times New Roman" w:eastAsia="华文楷体" w:cs="Times New Roman"/>
        </w:rPr>
      </w:pPr>
      <w:r>
        <w:rPr>
          <w:rFonts w:hint="default" w:ascii="Times New Roman" w:hAnsi="Times New Roman" w:cs="Times New Roman"/>
          <w:color w:val="000000"/>
          <w:szCs w:val="21"/>
        </w:rPr>
        <w:t xml:space="preserve">4.4甲方应当按照合同约定及时对交付的货物进行验收，</w:t>
      </w:r>
      <w:r>
        <w:rPr>
          <w:rFonts w:hint="default" w:ascii="Times New Roman" w:hAnsi="Times New Roman" w:cs="Times New Roman"/>
          <w:szCs w:val="21"/>
        </w:rPr>
        <w:t xml:space="preserve">未</w:t>
      </w:r>
      <w:r>
        <w:rPr>
          <w:rFonts w:hint="default" w:ascii="Times New Roman" w:hAnsi="Times New Roman" w:cs="Times New Roman"/>
          <w:color w:val="000000"/>
          <w:szCs w:val="21"/>
        </w:rPr>
        <w:t xml:space="preserve">在</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约定的期限内对乙方履约提出任何异议或者向乙方作出任何说明的，</w:t>
      </w:r>
      <w:r>
        <w:rPr>
          <w:rFonts w:hint="default" w:ascii="Times New Roman" w:hAnsi="Times New Roman" w:cs="Times New Roman"/>
          <w:color w:val="000000"/>
          <w:szCs w:val="21"/>
        </w:rPr>
        <w:t xml:space="preserve">视为验收通过。</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default" w:ascii="Times New Roman" w:hAnsi="Times New Roman" w:cs="Times New Roman"/>
          <w:color w:val="000000"/>
          <w:szCs w:val="21"/>
        </w:rPr>
        <w:t xml:space="preserve">4.6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5. 乙方的权利和义务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 签署合同后，乙方应确定项目负责人（或项目联系人），负责与本合同有关的事务。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 乙方有权根据合同约定向甲方收取合同价款。</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5.4国家法律法规规定及</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约定应</w:t>
      </w:r>
      <w:r>
        <w:rPr>
          <w:rFonts w:hint="default" w:ascii="Times New Roman" w:hAnsi="Times New Roman" w:cs="Times New Roman"/>
          <w:color w:val="000000"/>
          <w:szCs w:val="21"/>
        </w:rPr>
        <w:t xml:space="preserve">由乙方承担的其他义务和责任。</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6.</w:t>
      </w:r>
      <w:r>
        <w:rPr>
          <w:rFonts w:hint="default"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bCs/>
          <w:color w:val="000000"/>
          <w:sz w:val="24"/>
        </w:rPr>
        <w:t xml:space="preserve">合同履行</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 甲乙双方应当按照</w:t>
      </w:r>
      <w:r>
        <w:rPr>
          <w:rFonts w:hint="default" w:ascii="Times New Roman" w:hAnsi="Times New Roman" w:cs="Times New Roman"/>
          <w:b/>
          <w:bCs/>
          <w:szCs w:val="21"/>
        </w:rPr>
        <w:t xml:space="preserve">【政府采购合同专用条款】</w:t>
      </w:r>
      <w:r>
        <w:rPr>
          <w:rFonts w:hint="default" w:ascii="Times New Roman" w:hAnsi="Times New Roman" w:cs="Times New Roman"/>
          <w:color w:val="000000"/>
          <w:szCs w:val="21"/>
        </w:rPr>
        <w:t xml:space="preserve">约定顺序履行合同义务；如果没有先后顺序的，应当同时履行。</w:t>
      </w:r>
      <w:r/>
    </w:p>
    <w:p>
      <w:pPr>
        <w:ind w:firstLine="420"/>
        <w:jc w:val="left"/>
        <w:spacing w:line="400" w:lineRule="exact"/>
        <w:rPr>
          <w:rFonts w:hint="default" w:ascii="Times New Roman" w:hAnsi="Times New Roman" w:cs="Times New Roman"/>
        </w:rPr>
      </w:pPr>
      <w:r>
        <w:rPr>
          <w:rFonts w:hint="default" w:ascii="Times New Roman" w:hAnsi="Times New Roman"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7. 货物包装、运输、保险和交付要求</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7.1 本合同</w:t>
      </w:r>
      <w:r>
        <w:rPr>
          <w:rFonts w:hint="default" w:ascii="Times New Roman" w:hAnsi="Times New Roman" w:cs="Times New Roman"/>
          <w:bCs/>
          <w:color w:val="000000"/>
          <w:szCs w:val="21"/>
        </w:rPr>
        <w:t xml:space="preserve">涉及商品包装、快递包装的，</w:t>
      </w:r>
      <w:r>
        <w:rPr>
          <w:rFonts w:hint="default" w:ascii="Times New Roman" w:hAnsi="Times New Roman" w:cs="Times New Roman"/>
          <w:color w:val="000000"/>
          <w:szCs w:val="21"/>
        </w:rPr>
        <w:t xml:space="preserve">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包装应适应远距离运输、防潮、防震、防锈和防野蛮装卸等要求，确保货物安全无损地运抵</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约定的</w:t>
      </w:r>
      <w:r>
        <w:rPr>
          <w:rFonts w:hint="default" w:ascii="Times New Roman" w:hAnsi="Times New Roman" w:cs="Times New Roman"/>
          <w:color w:val="000000"/>
          <w:szCs w:val="21"/>
        </w:rPr>
        <w:t xml:space="preserve">指定现场。</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7.2 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7.3 货物保险要求按</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规定执行</w:t>
      </w:r>
      <w:r>
        <w:rPr>
          <w:rFonts w:hint="default" w:ascii="Times New Roman" w:hAnsi="Times New Roman" w:cs="Times New Roman"/>
          <w:color w:val="000000"/>
          <w:szCs w:val="21"/>
        </w:rPr>
        <w:t xml:space="preserve">。</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7.4 除采购活动对商品包装、快递包装达成具体约定外，乙方提供产品及相关快递服务</w:t>
      </w:r>
      <w:r>
        <w:rPr>
          <w:rFonts w:hint="default" w:ascii="Times New Roman" w:hAnsi="Times New Roman" w:cs="Times New Roman"/>
          <w:color w:val="000000"/>
          <w:szCs w:val="21"/>
          <w:lang w:eastAsia="zh-CN"/>
        </w:rPr>
        <w:t xml:space="preserve">涉及</w:t>
      </w:r>
      <w:r>
        <w:rPr>
          <w:rFonts w:hint="default" w:ascii="Times New Roman" w:hAnsi="Times New Roman" w:cs="Times New Roman"/>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7.5 乙方在运输到达之前应提前通知甲方，并提示货物运输装卸的注意事项，甲方配合乙方做好货物的接收工作。</w:t>
      </w:r>
      <w:r/>
    </w:p>
    <w:p>
      <w:pPr>
        <w:pStyle w:val="949"/>
        <w:ind w:firstLine="420"/>
        <w:rPr>
          <w:rFonts w:hint="default" w:ascii="Times New Roman" w:hAnsi="Times New Roman" w:cs="Times New Roman"/>
          <w:sz w:val="21"/>
        </w:rPr>
      </w:pPr>
      <w:r>
        <w:rPr>
          <w:rFonts w:hint="default" w:ascii="Times New Roman" w:hAnsi="Times New Roman"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color w:val="000000"/>
          <w:sz w:val="24"/>
        </w:rPr>
        <w:t xml:space="preserve">8. </w:t>
      </w:r>
      <w:r>
        <w:rPr>
          <w:rFonts w:hint="default" w:ascii="Times New Roman" w:hAnsi="Times New Roman" w:cs="Times New Roman"/>
          <w:b/>
          <w:sz w:val="24"/>
        </w:rPr>
        <w:t xml:space="preserve">质量标准和保证</w:t>
      </w:r>
      <w:r/>
    </w:p>
    <w:p>
      <w:pPr>
        <w:pStyle w:val="934"/>
        <w:ind w:firstLine="420"/>
        <w:jc w:val="left"/>
        <w:spacing w:line="400" w:lineRule="exact"/>
        <w:rPr>
          <w:rFonts w:hint="default" w:ascii="Times New Roman" w:hAnsi="Times New Roman" w:cs="Times New Roman"/>
          <w:b/>
        </w:rPr>
      </w:pPr>
      <w:r>
        <w:rPr>
          <w:rFonts w:hint="default" w:ascii="Times New Roman" w:hAnsi="Times New Roman" w:cs="Times New Roman"/>
        </w:rPr>
        <w:t xml:space="preserve">8.1 质量标准</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（1）本合同下提供的货物应符合合同</w:t>
      </w:r>
      <w:r>
        <w:rPr>
          <w:rFonts w:hint="default" w:ascii="Times New Roman" w:hAnsi="Times New Roman" w:cs="Times New Roman"/>
          <w:color w:val="000000"/>
          <w:szCs w:val="21"/>
        </w:rPr>
        <w:t xml:space="preserve">约定的</w:t>
      </w:r>
      <w:r>
        <w:rPr>
          <w:rFonts w:hint="default" w:ascii="Times New Roman" w:hAnsi="Times New Roman" w:cs="Times New Roman"/>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4"/>
        <w:ind w:firstLine="420"/>
        <w:jc w:val="left"/>
        <w:spacing w:line="400" w:lineRule="exact"/>
        <w:rPr>
          <w:rFonts w:hint="default" w:ascii="Times New Roman" w:hAnsi="Times New Roman" w:cs="Times New Roman"/>
        </w:rPr>
      </w:pPr>
      <w:r>
        <w:rPr>
          <w:rFonts w:hint="default" w:ascii="Times New Roman" w:hAnsi="Times New Roman" w:cs="Times New Roman"/>
        </w:rPr>
        <w:t xml:space="preserve">（2）采用中华人民共和国法定计量单位。</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（3）乙方所提供的货物应符合国家有关安全、环保、卫生的规定。</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8.2 保证</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规定或乙方书面承诺（两者以较长的为准）的质量保证期内，本保证保持有效。</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（2）在质量保证期内所发现的缺陷，甲方应尽快以书面形式通知乙方。</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（3）乙方收到通知后，应在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规定的响应时间内以合理的速度免费维修或更换有缺陷的货物或部件。</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cs="Times New Roman"/>
          <w:color w:val="000000"/>
          <w:szCs w:val="21"/>
        </w:rPr>
        <w:t xml:space="preserve">5</w:t>
      </w:r>
      <w:r>
        <w:rPr>
          <w:rFonts w:hint="default" w:ascii="Times New Roman" w:hAnsi="Times New Roman" w:cs="Times New Roman"/>
          <w:szCs w:val="21"/>
        </w:rPr>
        <w:t xml:space="preserve">.1条规定以书面形式</w:t>
      </w:r>
      <w:r>
        <w:rPr>
          <w:rFonts w:hint="default" w:ascii="Times New Roman" w:hAnsi="Times New Roman" w:cs="Times New Roman"/>
          <w:color w:val="000000"/>
          <w:szCs w:val="21"/>
        </w:rPr>
        <w:t xml:space="preserve">追究</w:t>
      </w:r>
      <w:r>
        <w:rPr>
          <w:rFonts w:hint="default" w:ascii="Times New Roman" w:hAnsi="Times New Roman" w:cs="Times New Roman"/>
          <w:szCs w:val="21"/>
        </w:rPr>
        <w:t xml:space="preserve">乙方</w:t>
      </w:r>
      <w:r>
        <w:rPr>
          <w:rFonts w:hint="default" w:ascii="Times New Roman" w:hAnsi="Times New Roman" w:cs="Times New Roman"/>
          <w:color w:val="000000"/>
          <w:szCs w:val="21"/>
        </w:rPr>
        <w:t xml:space="preserve">的违约责任</w:t>
      </w:r>
      <w:r>
        <w:rPr>
          <w:rFonts w:hint="default" w:ascii="Times New Roman" w:hAnsi="Times New Roman" w:cs="Times New Roman"/>
          <w:szCs w:val="21"/>
        </w:rPr>
        <w:t xml:space="preserve">。</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color w:val="000000"/>
          <w:sz w:val="24"/>
        </w:rPr>
        <w:t xml:space="preserve">9</w:t>
      </w:r>
      <w:r>
        <w:rPr>
          <w:rFonts w:hint="default" w:ascii="Times New Roman" w:hAnsi="Times New Roman" w:cs="Times New Roman"/>
          <w:b/>
          <w:bCs/>
          <w:sz w:val="24"/>
        </w:rPr>
        <w:t xml:space="preserve">.</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权利瑕疵担保</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9.1 乙方保证对其出售的货物享有合法的权利。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9.2 </w:t>
      </w:r>
      <w:r>
        <w:rPr>
          <w:rFonts w:hint="default" w:ascii="Times New Roman" w:hAnsi="Times New Roman" w:cs="Times New Roman"/>
          <w:szCs w:val="15"/>
        </w:rPr>
        <w:t xml:space="preserve">乙方保证在交付的货物上不存在抵押权等担保物权。</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9.3 如甲方使用上述货物构成对第三人侵权的，则由乙方承担全部责任。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10.</w:t>
      </w:r>
      <w:r>
        <w:rPr>
          <w:rFonts w:hint="eastAsia" w:ascii="Times New Roman" w:hAnsi="Times New Roman" w:cs="Times New Roman"/>
          <w:b/>
          <w:bCs/>
          <w:color w:val="000000"/>
          <w:sz w:val="24"/>
          <w:lang w:val="en-US" w:eastAsia="zh-CN"/>
        </w:rPr>
        <w:t xml:space="preserve"> </w:t>
      </w:r>
      <w:r>
        <w:rPr>
          <w:rFonts w:hint="default" w:ascii="Times New Roman" w:hAnsi="Times New Roman" w:cs="Times New Roman"/>
          <w:b/>
          <w:bCs/>
          <w:color w:val="000000"/>
          <w:sz w:val="24"/>
        </w:rPr>
        <w:t xml:space="preserve">知识产权保护</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color w:val="000000"/>
          <w:szCs w:val="21"/>
        </w:rPr>
        <w:t xml:space="preserve">10.1 乙方对其所销售的货物应当享有知识产权或经权利人合法授权，保证没有侵犯任</w:t>
      </w:r>
      <w:r>
        <w:rPr>
          <w:rFonts w:hint="default" w:ascii="Times New Roman" w:hAnsi="Times New Roman" w:cs="Times New Roman"/>
          <w:szCs w:val="21"/>
        </w:rPr>
        <w:t xml:space="preserve">何第三人的知识产权等权利。</w:t>
      </w:r>
      <w:bookmarkStart w:id="6" w:name="_Hlk163047038"/>
      <w:r>
        <w:rPr>
          <w:rFonts w:hint="default" w:ascii="Times New Roman" w:hAnsi="Times New Roman" w:cs="Times New Roman"/>
          <w:szCs w:val="15"/>
        </w:rPr>
        <w:t xml:space="preserve">因违反前述约定对第三人构成侵权的，应当由乙方向第三人承担法律责任；甲方依法向第三人赔偿后，有权向乙方追偿。甲方有其他损失的，乙方应当赔偿</w:t>
      </w:r>
      <w:bookmarkEnd w:id="6"/>
      <w:r>
        <w:rPr>
          <w:rFonts w:hint="default" w:ascii="Times New Roman" w:hAnsi="Times New Roman" w:cs="Times New Roman"/>
          <w:szCs w:val="21"/>
        </w:rPr>
        <w:t xml:space="preserve">。</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11.</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保密义务</w:t>
      </w:r>
      <w:r/>
    </w:p>
    <w:p>
      <w:pPr>
        <w:ind w:firstLine="420"/>
        <w:jc w:val="left"/>
        <w:spacing w:line="400" w:lineRule="exact"/>
        <w:rPr>
          <w:rFonts w:hint="default" w:ascii="Times New Roman" w:hAnsi="Times New Roman" w:cs="Times New Roman"/>
          <w:szCs w:val="15"/>
        </w:rPr>
      </w:pPr>
      <w:r>
        <w:rPr>
          <w:rFonts w:hint="default" w:ascii="Times New Roman" w:hAnsi="Times New Roman" w:cs="Times New Roman"/>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cs="Times New Roman"/>
          <w:b/>
          <w:bCs/>
          <w:szCs w:val="15"/>
        </w:rPr>
        <w:t xml:space="preserve">【政府采购合同专用条款】</w:t>
      </w:r>
      <w:r>
        <w:rPr>
          <w:rFonts w:hint="default" w:ascii="Times New Roman" w:hAnsi="Times New Roman" w:cs="Times New Roman"/>
          <w:szCs w:val="15"/>
        </w:rPr>
        <w:t xml:space="preserve">中约定。</w:t>
      </w:r>
      <w:r/>
    </w:p>
    <w:p>
      <w:pPr>
        <w:ind w:firstLine="482"/>
        <w:jc w:val="left"/>
        <w:spacing w:line="400" w:lineRule="exact"/>
        <w:rPr>
          <w:rFonts w:hint="eastAsia" w:ascii="宋体" w:hAnsi="宋体"/>
          <w:b/>
          <w:bCs/>
          <w:sz w:val="24"/>
        </w:rPr>
      </w:pPr>
      <w:r>
        <w:rPr>
          <w:rFonts w:hint="eastAsia" w:ascii="宋体" w:hAnsi="宋体"/>
          <w:b/>
          <w:bCs/>
          <w:sz w:val="24"/>
        </w:rPr>
        <w:t xml:space="preserve">12.</w:t>
      </w:r>
      <w:r>
        <w:rPr>
          <w:rFonts w:hint="eastAsia" w:ascii="宋体" w:hAnsi="宋体"/>
          <w:b/>
          <w:bCs/>
          <w:sz w:val="24"/>
          <w:lang w:val="en-US" w:eastAsia="zh-CN"/>
        </w:rPr>
        <w:t xml:space="preserve"> </w:t>
      </w:r>
      <w:r>
        <w:rPr>
          <w:rFonts w:hint="eastAsia" w:ascii="宋体" w:hAnsi="宋体"/>
          <w:b/>
          <w:bCs/>
          <w:sz w:val="24"/>
        </w:rPr>
        <w:t xml:space="preserve">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0"/>
        <w:ind w:firstLine="482"/>
        <w:spacing w:after="0" w:line="400" w:lineRule="exact"/>
        <w:rPr>
          <w:rFonts w:hint="eastAsia" w:ascii="宋体" w:hAnsi="宋体"/>
          <w:b/>
          <w:bCs/>
          <w:sz w:val="24"/>
          <w:szCs w:val="24"/>
        </w:rPr>
      </w:pPr>
      <w:r>
        <w:rPr>
          <w:rFonts w:hint="eastAsia" w:ascii="宋体" w:hAnsi="宋体"/>
          <w:b/>
          <w:bCs/>
          <w:sz w:val="24"/>
          <w:szCs w:val="24"/>
        </w:rPr>
        <w:t xml:space="preserve">13.</w:t>
      </w:r>
      <w:r>
        <w:rPr>
          <w:rFonts w:hint="eastAsia" w:ascii="宋体" w:hAnsi="宋体"/>
          <w:b/>
          <w:bCs/>
          <w:sz w:val="24"/>
          <w:szCs w:val="24"/>
          <w:lang w:val="en-US" w:eastAsia="zh-CN"/>
        </w:rPr>
        <w:t xml:space="preserve"> </w:t>
      </w:r>
      <w:r>
        <w:rPr>
          <w:rFonts w:hint="eastAsia" w:ascii="宋体" w:hAnsi="宋体"/>
          <w:b/>
          <w:bCs/>
          <w:sz w:val="24"/>
          <w:szCs w:val="24"/>
        </w:rPr>
        <w:t xml:space="preserve">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ind w:firstLine="482"/>
        <w:jc w:val="left"/>
        <w:spacing w:line="400" w:lineRule="exact"/>
        <w:rPr>
          <w:rFonts w:hint="eastAsia" w:ascii="宋体" w:hAnsi="宋体"/>
          <w:b/>
          <w:sz w:val="24"/>
        </w:rPr>
      </w:pPr>
      <w:r>
        <w:rPr>
          <w:rFonts w:hint="eastAsia" w:ascii="宋体" w:hAnsi="宋体"/>
          <w:b/>
          <w:bCs/>
          <w:sz w:val="24"/>
        </w:rPr>
        <w:t xml:space="preserve">14.</w:t>
      </w:r>
      <w:r>
        <w:rPr>
          <w:rFonts w:hint="eastAsia" w:ascii="宋体" w:hAnsi="宋体"/>
          <w:b/>
          <w:bCs/>
          <w:sz w:val="24"/>
          <w:lang w:val="en-US" w:eastAsia="zh-CN"/>
        </w:rPr>
        <w:t xml:space="preserve">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ind w:firstLine="482"/>
        <w:jc w:val="left"/>
        <w:spacing w:line="400" w:lineRule="exact"/>
        <w:rPr>
          <w:rFonts w:hint="eastAsia" w:ascii="宋体" w:hAnsi="宋体"/>
          <w:b/>
          <w:bCs/>
          <w:sz w:val="24"/>
        </w:rPr>
      </w:pPr>
      <w:r>
        <w:rPr>
          <w:rFonts w:hint="eastAsia" w:ascii="宋体" w:hAnsi="宋体"/>
          <w:b/>
          <w:bCs/>
          <w:sz w:val="24"/>
        </w:rPr>
        <w:t xml:space="preserve">15.</w:t>
      </w:r>
      <w:r>
        <w:rPr>
          <w:rFonts w:hint="eastAsia" w:ascii="宋体" w:hAnsi="宋体"/>
          <w:b/>
          <w:bCs/>
          <w:sz w:val="24"/>
          <w:lang w:val="en-US" w:eastAsia="zh-CN"/>
        </w:rPr>
        <w:t xml:space="preserve"> </w:t>
      </w:r>
      <w:r>
        <w:rPr>
          <w:rFonts w:hint="eastAsia" w:ascii="宋体" w:hAnsi="宋体"/>
          <w:b/>
          <w:bCs/>
          <w:sz w:val="24"/>
        </w:rPr>
        <w:t xml:space="preserve">违约责任</w:t>
      </w:r>
      <w:r/>
    </w:p>
    <w:p>
      <w:pPr>
        <w:ind w:firstLine="420"/>
        <w:jc w:val="left"/>
        <w:spacing w:line="400" w:lineRule="exact"/>
        <w:rPr>
          <w:rFonts w:hint="eastAsia"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15.3 迟延支付的违约责任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甲方存在迟延支付乙方合同款项的，应当承担</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规定的逾期付款利息。</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bCs/>
          <w:szCs w:val="21"/>
        </w:rPr>
        <w:t xml:space="preserve">15.4 其他违约责任根据项目实际需要按</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规定执行。</w:t>
      </w:r>
      <w:r/>
    </w:p>
    <w:p>
      <w:pPr>
        <w:numPr>
          <w:ilvl w:val="0"/>
          <w:numId w:val="0"/>
        </w:numPr>
        <w:ind w:firstLine="482"/>
        <w:jc w:val="left"/>
        <w:spacing w:line="400" w:lineRule="exact"/>
        <w:rPr>
          <w:rFonts w:hint="default" w:ascii="Times New Roman" w:hAnsi="Times New Roman" w:cs="Times New Roman"/>
          <w:b/>
          <w:sz w:val="24"/>
        </w:rPr>
      </w:pPr>
      <w:r>
        <w:rPr>
          <w:rFonts w:hint="default" w:ascii="Times New Roman" w:hAnsi="Times New Roman" w:eastAsia="宋体" w:cs="Times New Roman"/>
          <w:b/>
          <w:sz w:val="24"/>
          <w:szCs w:val="22"/>
          <w:lang w:val="en-US" w:eastAsia="zh-CN" w:bidi="ar-SA"/>
        </w:rPr>
        <w:t xml:space="preserve">16.</w:t>
      </w:r>
      <w:r>
        <w:rPr>
          <w:rFonts w:hint="default" w:ascii="Times New Roman" w:hAnsi="Times New Roman" w:cs="Times New Roman"/>
          <w:b/>
          <w:sz w:val="24"/>
          <w:szCs w:val="22"/>
          <w:lang w:val="en-US" w:eastAsia="zh-CN" w:bidi="ar-SA"/>
        </w:rPr>
        <w:t xml:space="preserve"> </w:t>
      </w:r>
      <w:r>
        <w:rPr>
          <w:rFonts w:hint="default" w:ascii="Times New Roman" w:hAnsi="Times New Roman" w:cs="Times New Roman"/>
          <w:b/>
          <w:sz w:val="24"/>
        </w:rPr>
        <w:t xml:space="preserve">合同变更、中止与终止</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16.1 合同的变更</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16.2 合同的中止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imes New Roman" w:hAnsi="Times New Roman" w:cs="Times New Roman"/>
          <w:szCs w:val="21"/>
          <w:lang w:eastAsia="zh-CN"/>
        </w:rPr>
        <w:t xml:space="preserve">中止</w:t>
      </w:r>
      <w:r>
        <w:rPr>
          <w:rFonts w:hint="default" w:ascii="Times New Roman" w:hAnsi="Times New Roman" w:cs="Times New Roman"/>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（4）甲方不得以行政区划调整、政府换届、机构或者职能调整以及相关责任人更替为由中止合同。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16.3 合同的终止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（1）合同因有效期限届满而终止；</w:t>
      </w:r>
      <w:r/>
    </w:p>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（2）乙方未按合同约定履行，构成根本性违约的，甲方有权终止合同，并追究乙方的违约责任。</w:t>
      </w:r>
      <w:r/>
    </w:p>
    <w:p>
      <w:pPr>
        <w:pStyle w:val="949"/>
        <w:rPr>
          <w:rFonts w:hint="default" w:ascii="Times New Roman" w:hAnsi="Times New Roman" w:cs="Times New Roman"/>
        </w:rPr>
      </w:pPr>
      <w:r>
        <w:rPr>
          <w:rFonts w:hint="default" w:ascii="Times New Roman" w:hAnsi="Times New Roman" w:cs="Times New Roman"/>
        </w:rPr>
        <w:t xml:space="preserve">16.4 </w:t>
      </w:r>
      <w:r>
        <w:rPr>
          <w:rFonts w:hint="default" w:ascii="Times New Roman" w:hAnsi="Times New Roman" w:eastAsia="宋体" w:cs="Times New Roman"/>
          <w:sz w:val="21"/>
        </w:rPr>
        <w:t xml:space="preserve">涉及国家利益、社会公共利益的情形</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17.</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18.</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不可抗力</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18.1 不可抗力是指合同双方不能预见、不能避免且不能克服的客观情况。</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19.</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解决争议的方法</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19.2 选择仲裁的，应在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中明确仲裁机构及仲裁地；通过诉讼方式解决的，可以在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19.3 如甲乙双方有争议的事项不影响合同其他部分的履行，在争议解决期间，合同其他部分应当继续履行。</w:t>
      </w:r>
      <w:r/>
    </w:p>
    <w:p>
      <w:pPr>
        <w:ind w:firstLine="482"/>
        <w:jc w:val="left"/>
        <w:spacing w:line="400" w:lineRule="exact"/>
        <w:rPr>
          <w:rFonts w:hint="default" w:ascii="Times New Roman" w:hAnsi="Times New Roman" w:cs="Times New Roman"/>
          <w:sz w:val="24"/>
        </w:rPr>
      </w:pPr>
      <w:r>
        <w:rPr>
          <w:rFonts w:hint="default" w:ascii="Times New Roman" w:hAnsi="Times New Roman" w:cs="Times New Roman"/>
          <w:b/>
          <w:sz w:val="24"/>
        </w:rPr>
        <w:t xml:space="preserve">20.</w:t>
      </w:r>
      <w:r>
        <w:rPr>
          <w:rFonts w:hint="default" w:ascii="Times New Roman" w:hAnsi="Times New Roman" w:cs="Times New Roman"/>
          <w:b/>
          <w:sz w:val="24"/>
          <w:lang w:val="en-US" w:eastAsia="zh-CN"/>
        </w:rPr>
        <w:t xml:space="preserve"> </w:t>
      </w:r>
      <w:r>
        <w:rPr>
          <w:rFonts w:hint="default" w:ascii="Times New Roman" w:hAnsi="Times New Roman" w:cs="Times New Roman"/>
          <w:b/>
          <w:sz w:val="24"/>
        </w:rPr>
        <w:t xml:space="preserve">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20.1 </w:t>
      </w:r>
      <w:r>
        <w:rPr>
          <w:rFonts w:hint="default" w:ascii="Times New Roman" w:hAnsi="Times New Roman" w:cs="Times New Roman"/>
          <w:lang w:val="en-GB"/>
        </w:rPr>
        <w:t xml:space="preserve">本合同应当按照规定执行政府采购政策。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20.2 本合同依法执行政府采购政策的方式和内容，属于合同履约验收的范围。</w:t>
      </w:r>
      <w:r>
        <w:rPr>
          <w:rFonts w:hint="default" w:ascii="Times New Roman" w:hAnsi="Times New Roman" w:cs="Times New Roman"/>
        </w:rPr>
        <w:t xml:space="preserve">甲乙双方</w:t>
      </w:r>
      <w:r>
        <w:rPr>
          <w:rFonts w:hint="default" w:ascii="Times New Roman" w:hAnsi="Times New Roman" w:cs="Times New Roman"/>
          <w:lang w:val="en-GB"/>
        </w:rPr>
        <w:t xml:space="preserve">未按规定要求执行政府采购政策造成损失的</w:t>
      </w:r>
      <w:r>
        <w:rPr>
          <w:rFonts w:hint="default" w:ascii="Times New Roman" w:hAnsi="Times New Roman" w:cs="Times New Roman"/>
          <w:szCs w:val="21"/>
        </w:rPr>
        <w:t xml:space="preserve">，有过错的一方应当承担赔偿责任，双方都有过错的，各自承担相应的责任。</w:t>
      </w:r>
      <w:r/>
    </w:p>
    <w:p>
      <w:pPr>
        <w:pStyle w:val="930"/>
        <w:ind w:firstLine="420"/>
        <w:spacing w:after="0" w:line="400" w:lineRule="exact"/>
        <w:rPr>
          <w:rFonts w:hint="default" w:ascii="Times New Roman" w:hAnsi="Times New Roman" w:cs="Times New Roman"/>
        </w:rPr>
      </w:pPr>
      <w:r>
        <w:rPr>
          <w:rFonts w:hint="default" w:ascii="Times New Roman" w:hAnsi="Times New Roman"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21.</w:t>
      </w:r>
      <w:r>
        <w:rPr>
          <w:rFonts w:hint="eastAsia" w:ascii="Times New Roman" w:hAnsi="Times New Roman" w:cs="Times New Roman"/>
          <w:b/>
          <w:sz w:val="24"/>
          <w:lang w:val="en-US" w:eastAsia="zh-CN"/>
        </w:rPr>
        <w:t xml:space="preserve"> </w:t>
      </w:r>
      <w:r>
        <w:rPr>
          <w:rFonts w:hint="default" w:ascii="Times New Roman" w:hAnsi="Times New Roman" w:cs="Times New Roman"/>
          <w:b/>
          <w:sz w:val="24"/>
        </w:rPr>
        <w:t xml:space="preserve">法律适用</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21.1 本合同的订立、生效、解释、履行及与本合同有关的争议解决，均适用法律、行政法规。</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21.2 本合同条款与法律、行政法规的强制性规定不一致的，双方当事人</w:t>
      </w:r>
      <w:r>
        <w:rPr>
          <w:rFonts w:hint="default" w:ascii="Times New Roman" w:hAnsi="Times New Roman" w:eastAsia="宋体" w:cs="Times New Roman"/>
          <w:sz w:val="21"/>
          <w:lang w:eastAsia="zh-CN"/>
        </w:rPr>
        <w:t xml:space="preserve">应当</w:t>
      </w:r>
      <w:r>
        <w:rPr>
          <w:rFonts w:hint="default" w:ascii="Times New Roman" w:hAnsi="Times New Roman" w:eastAsia="宋体" w:cs="Times New Roman"/>
          <w:sz w:val="21"/>
        </w:rPr>
        <w:t xml:space="preserve">按照法律、行政法规的强制性规定修改本合同的相关条款。</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22. 通知</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22.4 通知以送达之日或通知书中规定的生效之日起生效，两者中以较迟之日为准。</w:t>
      </w:r>
      <w:r/>
    </w:p>
    <w:p>
      <w:pPr>
        <w:numPr>
          <w:ilvl w:val="0"/>
          <w:numId w:val="0"/>
        </w:numPr>
        <w:ind w:firstLine="482"/>
        <w:jc w:val="left"/>
        <w:spacing w:line="400" w:lineRule="exact"/>
        <w:rPr>
          <w:rFonts w:hint="default" w:ascii="Times New Roman" w:hAnsi="Times New Roman" w:cs="Times New Roman"/>
          <w:b/>
          <w:bCs/>
          <w:sz w:val="24"/>
        </w:rPr>
      </w:pPr>
      <w:r>
        <w:rPr>
          <w:rFonts w:hint="default" w:ascii="Times New Roman" w:hAnsi="Times New Roman" w:eastAsia="宋体" w:cs="Times New Roman"/>
          <w:b/>
          <w:bCs/>
          <w:sz w:val="24"/>
          <w:szCs w:val="22"/>
          <w:lang w:val="en-US" w:eastAsia="zh-CN" w:bidi="ar-SA"/>
        </w:rPr>
        <w:t xml:space="preserve">23.</w:t>
      </w:r>
      <w:r>
        <w:rPr>
          <w:rFonts w:hint="eastAsia" w:ascii="Times New Roman" w:hAnsi="Times New Roman" w:cs="Times New Roman"/>
          <w:b/>
          <w:bCs/>
          <w:sz w:val="24"/>
          <w:szCs w:val="22"/>
          <w:lang w:val="en-US" w:eastAsia="zh-CN" w:bidi="ar-SA"/>
        </w:rPr>
        <w:t xml:space="preserve"> </w:t>
      </w:r>
      <w:r>
        <w:rPr>
          <w:rFonts w:hint="default" w:ascii="Times New Roman" w:hAnsi="Times New Roman" w:cs="Times New Roman"/>
          <w:b/>
          <w:bCs/>
          <w:sz w:val="24"/>
        </w:rPr>
        <w:t xml:space="preserve">合同未尽事项</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23.1 合同未尽事项见</w:t>
      </w:r>
      <w:r>
        <w:rPr>
          <w:rFonts w:hint="default" w:ascii="Times New Roman" w:hAnsi="Times New Roman" w:cs="Times New Roman"/>
          <w:b/>
          <w:szCs w:val="21"/>
        </w:rPr>
        <w:t xml:space="preserve">【政府采购合同专用条款】</w:t>
      </w:r>
      <w:r>
        <w:rPr>
          <w:rFonts w:hint="default" w:ascii="Times New Roman" w:hAnsi="Times New Roman" w:cs="Times New Roman"/>
          <w:bCs/>
          <w:szCs w:val="21"/>
        </w:rPr>
        <w:t xml:space="preserve">。</w:t>
      </w:r>
      <w:r/>
    </w:p>
    <w:p>
      <w:pPr>
        <w:jc w:val="left"/>
        <w:spacing w:line="400" w:lineRule="exact"/>
        <w:rPr>
          <w:rFonts w:hint="default" w:ascii="Times New Roman" w:hAnsi="Times New Roman" w:eastAsia="黑体" w:cs="Times New Roman"/>
          <w:sz w:val="28"/>
          <w:szCs w:val="28"/>
        </w:rPr>
      </w:pPr>
      <w:r>
        <w:rPr>
          <w:rFonts w:hint="default" w:ascii="Times New Roman" w:hAnsi="Times New Roman" w:cs="Times New Roman"/>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70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第1.2（7）项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第4.6款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rPr>
            </w:pPr>
            <w:r>
              <w:rPr>
                <w:rFonts w:hint="default" w:ascii="Times New Roman" w:hAnsi="Times New Roman" w:cs="Times New Roman"/>
                <w:szCs w:val="21"/>
              </w:rPr>
              <w:t xml:space="preserve">第5.4款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第6.1款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center"/>
              <w:rPr>
                <w:rFonts w:hint="eastAsia" w:eastAsia="宋体"/>
                <w:lang w:eastAsia="zh-CN"/>
              </w:rPr>
            </w:pPr>
            <w:r>
              <w:rPr>
                <w:rFonts w:hint="eastAsia"/>
                <w:lang w:eastAsia="zh-CN"/>
              </w:rPr>
              <w:t xml:space="preserve">连云港市发展和改革委员会</w:t>
            </w:r>
            <w:r/>
          </w:p>
        </w:tc>
      </w:tr>
      <w:tr>
        <w:trPr>
          <w:jc w:val="center"/>
          <w:trHeight w:val="772"/>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center"/>
            </w:pPr>
            <w:r>
              <w:rPr>
                <w:rFonts w:hint="eastAsia"/>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第8.2（1）项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货物质量缺陷</w:t>
            </w:r>
            <w:r/>
          </w:p>
          <w:p>
            <w:pPr>
              <w:jc w:val="center"/>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乙方在接到甲方通知后在</w:t>
            </w:r>
            <w:r>
              <w:rPr>
                <w:rFonts w:hint="default" w:ascii="Times New Roman" w:hAnsi="Times New Roman" w:cs="Times New Roman"/>
                <w:szCs w:val="21"/>
              </w:rPr>
              <w:t xml:space="preserve">24</w:t>
            </w:r>
            <w:r>
              <w:rPr>
                <w:rFonts w:ascii="宋体" w:hAnsi="宋体"/>
                <w:szCs w:val="21"/>
              </w:rPr>
              <w:t xml:space="preserve">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pStyle w:val="949"/>
              <w:ind w:firstLine="0"/>
              <w:jc w:val="center"/>
              <w:rPr>
                <w:rFonts w:hint="default" w:ascii="Times New Roman" w:hAnsi="Times New Roman" w:cs="Times New Roman"/>
              </w:rPr>
            </w:pPr>
            <w:r>
              <w:rPr>
                <w:rFonts w:hint="default" w:ascii="Times New Roman" w:hAnsi="Times New Roman" w:eastAsia="宋体" w:cs="Times New Roman"/>
              </w:rPr>
              <w:t xml:space="preserve">第11.1款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第14.1（5）项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第15.2（2）项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在逾期时段按月息2%计息</w:t>
            </w:r>
            <w:r/>
          </w:p>
        </w:tc>
      </w:tr>
      <w:tr>
        <w:trPr>
          <w:jc w:val="center"/>
          <w:trHeight w:val="87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无</w:t>
            </w:r>
            <w:r/>
          </w:p>
        </w:tc>
      </w:tr>
      <w:tr>
        <w:trPr>
          <w:jc w:val="center"/>
          <w:trHeight w:val="9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第19.2款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因本合同及合同有关事项发生的争议，按下列第（2）种方式解决：</w:t>
            </w:r>
            <w:r/>
          </w:p>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（1）向仲裁委员会申请仲裁，仲裁地点为        ；</w:t>
            </w:r>
            <w:r/>
          </w:p>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第23.1款</w:t>
            </w:r>
            <w:r/>
          </w:p>
        </w:tc>
        <w:tc>
          <w:tcPr>
            <w:tcW w:w="1742" w:type="dxa"/>
            <w:vAlign w:val="center"/>
            <w:textDirection w:val="lrTb"/>
            <w:noWrap w:val="false"/>
          </w:tcPr>
          <w:p>
            <w:pPr>
              <w:jc w:val="center"/>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jc w:val="left"/>
        <w:widowControl/>
        <w:rPr>
          <w:rFonts w:hint="eastAsia" w:ascii="宋体" w:hAnsi="宋体"/>
          <w:szCs w:val="21"/>
        </w:rPr>
      </w:pPr>
      <w:r>
        <w:rPr>
          <w:rFonts w:ascii="宋体" w:hAnsi="宋体"/>
          <w:szCs w:val="21"/>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8" w:name="_Toc165205797"/>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第四章  采购需求</w:t>
      </w:r>
      <w:bookmarkEnd w:id="8"/>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rFonts w:hint="eastAsia"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pageBreakBefore w:val="0"/>
        <w:spacing w:line="500" w:lineRule="exact"/>
        <w:widowControl w:val="off"/>
        <w:rPr>
          <w:sz w:val="24"/>
          <w:szCs w:val="24"/>
        </w:rPr>
      </w:pPr>
      <w:r>
        <w:rPr>
          <w:rFonts w:hint="eastAsia"/>
          <w:sz w:val="24"/>
          <w:szCs w:val="24"/>
          <w:lang w:eastAsia="zh-CN"/>
        </w:rPr>
        <w:t xml:space="preserve">1.</w:t>
      </w:r>
      <w:r>
        <w:rPr>
          <w:rFonts w:hint="eastAsia"/>
          <w:sz w:val="24"/>
          <w:szCs w:val="24"/>
          <w:lang w:val="en-US" w:eastAsia="zh-CN"/>
        </w:rPr>
        <w:t xml:space="preserve"> </w:t>
      </w:r>
      <w:r>
        <w:rPr>
          <w:rFonts w:hint="eastAsia"/>
          <w:sz w:val="24"/>
          <w:szCs w:val="24"/>
        </w:rPr>
        <w:t xml:space="preserve">根据《政府采购需求管理办法》等有关规定，采购人确定采购需求。</w:t>
      </w:r>
      <w:r/>
    </w:p>
    <w:p>
      <w:pPr>
        <w:ind w:firstLine="480"/>
        <w:jc w:val="left"/>
        <w:pageBreakBefore w:val="0"/>
        <w:spacing w:line="500" w:lineRule="exact"/>
        <w:widowControl w:val="off"/>
        <w:rPr>
          <w:rFonts w:hint="eastAsia"/>
          <w:sz w:val="24"/>
          <w:szCs w:val="24"/>
        </w:rPr>
      </w:pPr>
      <w:r>
        <w:rPr>
          <w:rFonts w:hint="eastAsia"/>
          <w:color w:val="ff0000"/>
          <w:sz w:val="24"/>
          <w:szCs w:val="24"/>
          <w:lang w:eastAsia="zh-CN"/>
        </w:rPr>
        <w:t xml:space="preserve">2.</w:t>
      </w:r>
      <w:r>
        <w:rPr>
          <w:rFonts w:hint="eastAsia"/>
          <w:color w:val="ff0000"/>
          <w:sz w:val="24"/>
          <w:szCs w:val="24"/>
          <w:lang w:val="en-US" w:eastAsia="zh-CN"/>
        </w:rPr>
        <w:t xml:space="preserve"> </w:t>
      </w:r>
      <w:r>
        <w:rPr>
          <w:rFonts w:hint="eastAsia"/>
          <w:b/>
          <w:color w:val="ff0000"/>
          <w:sz w:val="24"/>
          <w:szCs w:val="24"/>
        </w:rPr>
        <w:t xml:space="preserve">本招标文件中</w:t>
      </w:r>
      <w:r>
        <w:rPr>
          <w:rFonts w:hint="eastAsia"/>
          <w:b/>
          <w:i/>
          <w:color w:val="ff0000"/>
          <w:sz w:val="24"/>
          <w:szCs w:val="24"/>
          <w:u w:val="single"/>
        </w:rPr>
        <w:t xml:space="preserve">斜体且有下划线部分</w:t>
      </w:r>
      <w:r>
        <w:rPr>
          <w:rFonts w:hint="eastAsia"/>
          <w:b/>
          <w:color w:val="ff0000"/>
          <w:sz w:val="24"/>
          <w:szCs w:val="24"/>
        </w:rPr>
        <w:t xml:space="preserve">为实质性要求和条件</w:t>
      </w:r>
      <w:r>
        <w:rPr>
          <w:rFonts w:hint="eastAsia"/>
          <w:color w:val="ff0000"/>
          <w:sz w:val="24"/>
          <w:szCs w:val="24"/>
        </w:rPr>
        <w:t xml:space="preserve">，</w:t>
      </w:r>
      <w:r>
        <w:rPr>
          <w:rFonts w:hint="eastAsia"/>
          <w:b/>
          <w:bCs/>
          <w:color w:val="ff0000"/>
          <w:sz w:val="24"/>
          <w:szCs w:val="24"/>
        </w:rPr>
        <w:t xml:space="preserve">由采购人根据实际情况设置，供应商须逐条明确作出满足实质性要求和条件的响应，否则将按无效响应处理。</w:t>
      </w:r>
      <w:r/>
    </w:p>
    <w:p>
      <w:pPr>
        <w:pStyle w:val="701"/>
      </w:pPr>
      <w:r/>
      <w:r/>
    </w:p>
    <w:tbl>
      <w:tblPr>
        <w:tblStyle w:val="72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295"/>
      </w:tblGrid>
      <w:tr>
        <w:trPr>
          <w:jc w:val="center"/>
        </w:trPr>
        <w:tc>
          <w:tcPr>
            <w:gridSpan w:val="2"/>
            <w:tcBorders>
              <w:top w:val="none" w:color="000000" w:sz="4" w:space="0"/>
              <w:left w:val="none" w:color="000000" w:sz="4" w:space="0"/>
              <w:bottom w:val="single" w:color="auto" w:sz="4" w:space="0"/>
              <w:right w:val="none" w:color="000000" w:sz="4" w:space="0"/>
            </w:tcBorders>
            <w:tcW w:w="9101"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0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29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tcBorders>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Borders>
              <w:top w:val="single" w:color="auto" w:sz="4" w:space="0"/>
            </w:tcBorders>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12平方米单帐篷：</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一、基础规格及总体要求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3.符合YJ/T 9.2—2010《救灾帐篷 第2部分：12m²单帐篷》。</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五、外观喷字要求</w:t>
            </w:r>
            <w:r>
              <w:rPr>
                <w:i w:val="0"/>
                <w:iCs w:val="0"/>
                <w:u w:val="none"/>
              </w:rPr>
            </w:r>
            <w:r/>
          </w:p>
          <w:p>
            <w:pPr>
              <w:jc w:val="left"/>
              <w:spacing w:line="360" w:lineRule="auto"/>
              <w:rPr>
                <w:rFonts w:hint="default" w:ascii="Times New Roman" w:hAnsi="Times New Roman" w:eastAsia="宋体"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篷体印制白色平头标准黑体字，印刷布局合理、清晰、牢固，不易脱落；需印制“连云港储备”白色字样。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折叠床：</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3.执行标准：所有技术要求、材料质量及生产工艺，均符合YJ/T 11.1—2010《救灾装具 第1部分：折叠床》。</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三、印刷要求</w:t>
            </w:r>
            <w:r>
              <w:rPr>
                <w:i w:val="0"/>
                <w:iCs w:val="0"/>
                <w:u w:val="none"/>
              </w:rPr>
            </w:r>
            <w:r/>
          </w:p>
          <w:p>
            <w:pPr>
              <w:jc w:val="left"/>
              <w:spacing w:line="360" w:lineRule="auto"/>
              <w:rPr>
                <w:rFonts w:hint="default" w:ascii="Times New Roman" w:hAnsi="Times New Roman" w:cs="Times New Roman"/>
                <w:b/>
                <w:bCs/>
                <w:i/>
                <w:iCs/>
                <w:sz w:val="24"/>
                <w:szCs w:val="24"/>
                <w:u w:val="single"/>
                <w:lang w:val="en-US" w:eastAsia="zh-CN"/>
              </w:rPr>
            </w:pPr>
            <w:r>
              <w:rPr>
                <w:rFonts w:hint="default" w:ascii="Times New Roman" w:hAnsi="Times New Roman" w:cs="Times New Roman"/>
                <w:b/>
                <w:bCs/>
                <w:i/>
                <w:iCs/>
                <w:sz w:val="24"/>
                <w:szCs w:val="24"/>
                <w:u w:val="single"/>
                <w:lang w:eastAsia="zh-CN"/>
              </w:rPr>
              <w:t xml:space="preserve">床布正面距床头边处向上印刷“连云港储备”字样，字体高度为50mm平头标准黑体字，四个字在长度300mm内居中均布，文字采用白色字体印刷字样。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棉被：</w:t>
            </w:r>
            <w:r>
              <w:rPr>
                <w:i w:val="0"/>
                <w:iCs w:val="0"/>
                <w:u w:val="none"/>
              </w:rPr>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一、被套：</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4.质量技术要求：符合GB 18401—2010《国家纺织产品基本安全技术规范》B类及GB/T 22796—2021《床上用品》一等品标准要求。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二、棉胎</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5.质量技术要求：棉被所用棉胎质量符合GB 18383—2007《絮用纤维制品通用技术要求》，同时相关质量指标符合GB/T 35932—2018《棉胎》二级及以上要求。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三、产品合格证</w:t>
            </w:r>
            <w:r>
              <w:rPr>
                <w:i w:val="0"/>
                <w:iCs w:val="0"/>
                <w:u w:val="none"/>
              </w:rPr>
            </w:r>
            <w:r/>
          </w:p>
          <w:p>
            <w:pPr>
              <w:jc w:val="left"/>
              <w:keepLines w:val="0"/>
              <w:keepNext w:val="0"/>
              <w:spacing w:line="360" w:lineRule="auto"/>
              <w:widowControl/>
              <w:rPr>
                <w:rFonts w:hint="default" w:ascii="Times New Roman" w:hAnsi="Times New Roman" w:cs="Times New Roman"/>
                <w:b/>
                <w:bCs/>
                <w:i/>
                <w:iCs/>
                <w:sz w:val="24"/>
                <w:szCs w:val="24"/>
                <w:u w:val="single"/>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1.质保期：12平方米单帐篷至少6年，折叠床至少6年，棉被至少5年</w:t>
            </w:r>
            <w:r>
              <w:rPr>
                <w:rFonts w:hint="default" w:ascii="Times New Roman" w:hAnsi="Times New Roman" w:cs="Times New Roman"/>
                <w:b/>
                <w:bCs/>
                <w:i/>
                <w:iCs/>
                <w:color w:val="000000"/>
                <w:sz w:val="24"/>
                <w:szCs w:val="24"/>
                <w:u w:val="single"/>
                <w:lang w:val="en-US" w:eastAsia="zh-CN" w:bidi="ar"/>
              </w:rPr>
              <w:t xml:space="preserve">。</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5</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承诺函：</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投标人承诺为本项目提供的所有货物均具有产品合格证，如若30天内没有完成全部供货（包括招标文件要求的所有项目检验检测报</w:t>
            </w:r>
            <w:r>
              <w:rPr>
                <w:rFonts w:hint="default" w:ascii="Times New Roman" w:hAnsi="Times New Roman" w:cs="Times New Roman"/>
                <w:b/>
                <w:bCs/>
                <w:i/>
                <w:iCs/>
                <w:color w:val="000000"/>
                <w:sz w:val="24"/>
                <w:szCs w:val="24"/>
                <w:u w:val="single"/>
                <w:lang w:val="en-US" w:eastAsia="zh-CN" w:bidi="ar"/>
              </w:rPr>
              <w:t xml:space="preserve">告</w:t>
            </w:r>
            <w:r>
              <w:rPr>
                <w:rFonts w:hint="default" w:ascii="Times New Roman" w:hAnsi="Times New Roman" w:eastAsia="宋体" w:cs="Times New Roman"/>
                <w:b/>
                <w:bCs/>
                <w:i/>
                <w:iCs/>
                <w:color w:val="000000"/>
                <w:sz w:val="24"/>
                <w:szCs w:val="24"/>
                <w:u w:val="single"/>
                <w:lang w:val="en-US" w:eastAsia="zh-CN" w:bidi="ar"/>
              </w:rPr>
              <w:t xml:space="preserve">、合格证等相关项目的证明材料</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，或者经采购人验收有两类（包含）以上货物不合格</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视为中标人违约，扣除中标人履约保证金，终止合同，如中标人违约给采购人造成的损失超过履约保证金的，应当依法赔偿超过部分的损失。</w:t>
            </w:r>
            <w:r/>
          </w:p>
        </w:tc>
      </w:tr>
    </w:tbl>
    <w:p>
      <w:pPr>
        <w:ind w:firstLine="480"/>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sz w:val="24"/>
          <w:szCs w:val="24"/>
          <w:lang w:eastAsia="zh-CN"/>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本项目核心产品为：</w:t>
      </w:r>
      <w:r>
        <w:rPr>
          <w:rFonts w:hint="default" w:ascii="Times New Roman" w:hAnsi="Times New Roman" w:cs="Times New Roman"/>
          <w:sz w:val="24"/>
          <w:szCs w:val="24"/>
          <w:u w:val="single"/>
        </w:rPr>
        <w:t xml:space="preserve"> 折叠床</w:t>
      </w:r>
      <w:r>
        <w:rPr>
          <w:rFonts w:hint="default" w:ascii="Times New Roman" w:hAnsi="Times New Roman" w:cs="Times New Roman"/>
          <w:b/>
          <w:bCs/>
          <w:color w:val="000000"/>
          <w:sz w:val="24"/>
          <w:u w:val="single"/>
        </w:rPr>
        <w:t xml:space="preserve"> </w:t>
      </w:r>
      <w:r/>
    </w:p>
    <w:p>
      <w:pPr>
        <w:ind w:firstLine="562"/>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一、项目概况</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连云港市发展和改革委员会根据连云港市应急管理局《关于2026年度市级救灾物资采购计划的函》（连应急〔2025〕21 号 ）文件，拟采购一批市级救灾物资（通用应急物资）。包括采购12平方米单帐篷400顶、折叠床3000张、棉被1000床，合同签订后30天内按要求完成供货</w:t>
      </w:r>
      <w:r>
        <w:rPr>
          <w:rFonts w:hint="default" w:ascii="Times New Roman" w:hAnsi="Times New Roman" w:cs="Times New Roman"/>
          <w:sz w:val="24"/>
          <w:szCs w:val="24"/>
          <w:lang w:val="en-US" w:eastAsia="zh-CN"/>
        </w:rPr>
        <w:t xml:space="preserve">。</w:t>
      </w:r>
      <w:r/>
    </w:p>
    <w:p>
      <w:pPr>
        <w:ind w:firstLine="562"/>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二、货物（标的）采购清单</w:t>
      </w:r>
      <w:r/>
    </w:p>
    <w:tbl>
      <w:tblPr>
        <w:tblStyle w:val="700"/>
        <w:tblW w:w="48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3071"/>
        <w:gridCol w:w="1375"/>
        <w:gridCol w:w="1590"/>
        <w:gridCol w:w="2316"/>
      </w:tblGrid>
      <w:tr>
        <w:trPr>
          <w:jc w:val="center"/>
        </w:trPr>
        <w:tc>
          <w:tcPr>
            <w:tcW w:w="989"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bookmarkStart w:id="9" w:name="_Toc139966432"/>
            <w:r/>
            <w:bookmarkStart w:id="10" w:name="_Toc139967216"/>
            <w:r>
              <w:rPr>
                <w:rFonts w:hint="eastAsia" w:ascii="黑体" w:hAnsi="黑体" w:eastAsia="黑体" w:cs="黑体"/>
                <w:b w:val="0"/>
                <w:bCs w:val="0"/>
                <w:sz w:val="24"/>
                <w:szCs w:val="32"/>
              </w:rPr>
              <w:t xml:space="preserve">序号</w:t>
            </w:r>
            <w:r/>
          </w:p>
        </w:tc>
        <w:tc>
          <w:tcPr>
            <w:tcW w:w="2656"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rPr>
                <w:rFonts w:hint="eastAsia" w:ascii="黑体" w:hAnsi="黑体" w:eastAsia="黑体" w:cs="黑体"/>
                <w:b w:val="0"/>
                <w:bCs w:val="0"/>
                <w:sz w:val="24"/>
                <w:szCs w:val="32"/>
              </w:rPr>
              <w:t xml:space="preserve">货物名称</w:t>
            </w:r>
            <w:r/>
          </w:p>
        </w:tc>
        <w:tc>
          <w:tcPr>
            <w:tcW w:w="1189"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数量</w:t>
            </w:r>
            <w:r/>
          </w:p>
        </w:tc>
        <w:tc>
          <w:tcPr>
            <w:tcW w:w="1375"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单位</w:t>
            </w:r>
            <w:r/>
          </w:p>
        </w:tc>
        <w:tc>
          <w:tcPr>
            <w:tcW w:w="2003"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中小企业划分标准所属行业</w:t>
            </w:r>
            <w:r/>
          </w:p>
        </w:tc>
      </w:tr>
      <w:tr>
        <w:trPr>
          <w:jc w:val="center"/>
          <w:trHeight w:val="380"/>
        </w:trPr>
        <w:tc>
          <w:tcPr>
            <w:tcW w:w="989" w:type="dxa"/>
            <w:vAlign w:val="center"/>
            <w:textDirection w:val="lrTb"/>
            <w:noWrap w:val="false"/>
          </w:tcPr>
          <w:p>
            <w:pPr>
              <w:jc w:val="center"/>
              <w:spacing w:line="240" w:lineRule="exact"/>
              <w:widowControl/>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w:t>
            </w:r>
            <w:r/>
          </w:p>
        </w:tc>
        <w:tc>
          <w:tcPr>
            <w:shd w:val="clear" w:color="auto" w:fill="auto"/>
            <w:tcW w:w="2656" w:type="dxa"/>
            <w:vAlign w:val="center"/>
            <w:textDirection w:val="lrTb"/>
            <w:noWrap w:val="false"/>
          </w:tcPr>
          <w:p>
            <w:pPr>
              <w:jc w:val="center"/>
              <w:spacing w:line="240" w:lineRule="exact"/>
              <w:widowControl/>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400</w:t>
            </w:r>
            <w:r/>
          </w:p>
        </w:tc>
        <w:tc>
          <w:tcPr>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rPr>
            </w:pPr>
            <w:r>
              <w:rPr>
                <w:rFonts w:hint="eastAsia" w:ascii="Calibri" w:hAnsi="Calibri" w:eastAsia="宋体" w:cs="Times New Roman"/>
                <w:sz w:val="24"/>
                <w:szCs w:val="24"/>
              </w:rPr>
              <w:t xml:space="preserve">顶</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折叠床</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3000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张</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棉被</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1000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床</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bl>
    <w:p>
      <w:pPr>
        <w:ind w:firstLine="561"/>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p>
    <w:tbl>
      <w:tblPr>
        <w:tblStyle w:val="700"/>
        <w:tblW w:w="51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240"/>
        <w:gridCol w:w="6950"/>
      </w:tblGrid>
      <w:tr>
        <w:trPr>
          <w:jc w:val="center"/>
        </w:trPr>
        <w:tc>
          <w:tcPr>
            <w:tcW w:w="470"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104"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货物名称</w:t>
            </w:r>
            <w:r/>
          </w:p>
        </w:tc>
        <w:tc>
          <w:tcPr>
            <w:tcW w:w="3425"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技术参数及功能指标</w:t>
            </w:r>
            <w:r/>
          </w:p>
        </w:tc>
      </w:tr>
      <w:tr>
        <w:trPr>
          <w:jc w:val="center"/>
          <w:trHeight w:val="1134"/>
        </w:trPr>
        <w:tc>
          <w:tcPr>
            <w:tcW w:w="470" w:type="pct"/>
            <w:vAlign w:val="center"/>
            <w:textDirection w:val="lrTb"/>
            <w:noWrap w:val="false"/>
          </w:tcPr>
          <w:p>
            <w:pPr>
              <w:jc w:val="center"/>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w:t>
            </w:r>
            <w:r/>
          </w:p>
        </w:tc>
        <w:tc>
          <w:tcPr>
            <w:tcW w:w="1104" w:type="pct"/>
            <w:vAlign w:val="center"/>
            <w:textDirection w:val="lrTb"/>
            <w:noWrap w:val="false"/>
          </w:tcPr>
          <w:p>
            <w:pPr>
              <w:jc w:val="both"/>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3425" w:type="pct"/>
            <w:vAlign w:val="center"/>
            <w:textDirection w:val="lrTb"/>
            <w:noWrap w:val="false"/>
          </w:tcPr>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一、基础规格及总体要求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样式结构：长方形双坡面直墙全框架式建筑样式。出入门在一侧山墙上，顶部开三角窗1个；另一侧山墙开方形窗1个，顶部开三角窗1个；两侧墙各开方形窗户2个。整体帐篷通过钢丝拉绳用三角桩固定。四周配备8根拉绳、8根地桩。</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核心规格：篷体长度×篷体宽度×侧墙高度×脊顶高度约3700×3200×1750×2670mm，使用面积12平方米。</w:t>
            </w:r>
            <w:r/>
          </w:p>
          <w:p>
            <w:pPr>
              <w:numPr>
                <w:ilvl w:val="0"/>
                <w:numId w:val="0"/>
              </w:numPr>
              <w:ind w:firstLine="482"/>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3.</w:t>
            </w:r>
            <w:r>
              <w:rPr>
                <w:rFonts w:hint="default" w:ascii="Times New Roman" w:hAnsi="Times New Roman" w:eastAsia="宋体" w:cs="Times New Roman"/>
                <w:b/>
                <w:bCs/>
                <w:i/>
                <w:iCs/>
                <w:color w:val="000000"/>
                <w:sz w:val="24"/>
                <w:szCs w:val="24"/>
                <w:u w:val="single"/>
                <w:lang w:val="en-US" w:eastAsia="zh-CN" w:bidi="ar"/>
              </w:rPr>
              <w:t xml:space="preserve">符合YJ/T 9.2—2010《救灾帐篷 第2部分：12m²单帐篷》。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二、框架系统参数</w:t>
            </w:r>
            <w:r/>
          </w:p>
          <w:p>
            <w:pPr>
              <w:numPr>
                <w:ilvl w:val="0"/>
                <w:numId w:val="0"/>
              </w:numPr>
              <w:ind w:firstLine="480"/>
              <w:pageBreakBefore w:val="0"/>
              <w:spacing w:line="36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组成部件：由杆件和三（四）通管及钢丝拉绳组件组成；杆件直径约Φ25㎜×1.0mm，管壁厚度≥1.0mm；三（四）通管直径约Φ28㎜×1.0㎜，管壁厚度≥1.0mm；钢丝拉绳直径约4mm，外包PVC材质。</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质量标准：杆件、三（四）通管质量符合GB/T 13793—2008标准；钢丝拉绳质量符合GB/T 20118—2025标准。框架杆件各焊接部位需焊接牢固，焊缝完整，手感光滑、</w:t>
            </w:r>
            <w:r>
              <w:rPr>
                <w:rFonts w:hint="default" w:ascii="Times New Roman" w:hAnsi="Times New Roman" w:cs="Times New Roman"/>
                <w:color w:val="000000"/>
                <w:sz w:val="24"/>
                <w:szCs w:val="24"/>
                <w:lang w:val="en-US" w:eastAsia="zh-CN" w:bidi="ar"/>
              </w:rPr>
              <w:t xml:space="preserve">定位</w:t>
            </w:r>
            <w:r>
              <w:rPr>
                <w:rFonts w:hint="default" w:ascii="Times New Roman" w:hAnsi="Times New Roman" w:eastAsia="宋体" w:cs="Times New Roman"/>
                <w:color w:val="000000"/>
                <w:sz w:val="24"/>
                <w:szCs w:val="24"/>
                <w:lang w:val="en-US" w:eastAsia="zh-CN" w:bidi="ar"/>
              </w:rPr>
              <w:t xml:space="preserve">准确。框架各杆件装配应顺畅、牢固、稳定，杆件标识清楚。</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三、面料及辅助材料参数</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（一）篷体面料</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材质规格：采用333dtex×333dtex PVC涂层布，单位面积质量≤350</w:t>
            </w:r>
            <w:r>
              <w:rPr>
                <w:rFonts w:hint="default" w:ascii="Times New Roman" w:hAnsi="Times New Roman" w:eastAsia="宋体" w:cs="Times New Roman"/>
                <w:sz w:val="24"/>
                <w:szCs w:val="24"/>
              </w:rPr>
              <w:t xml:space="preserve">g/</w:t>
            </w:r>
            <w:r>
              <w:rPr>
                <w:rFonts w:hint="default" w:ascii="Times New Roman" w:hAnsi="Times New Roman" w:eastAsia="宋体" w:cs="Times New Roman"/>
                <w:color w:val="000000"/>
                <w:sz w:val="24"/>
                <w:szCs w:val="24"/>
                <w:lang w:val="en-US" w:eastAsia="zh-CN" w:bidi="ar"/>
              </w:rPr>
              <w:t xml:space="preserve">㎡；断裂强力经向≥1150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、纬向≥1000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；撕破强力经向≥35N、纬向≥30N；静水压未经折叠部位≥50kPa；阻燃性能损毁长度≤150mm，续、阴燃时间≤15s。</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外观要求：面料颜色为天蓝色，生产时需使用生产日期在3个月内的原布，篷体平展、整洁，无破损、污渍、跳线、色差等缺陷。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（二）辅助面料及配件</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窗帘网布：涤纶网布，重量≥80g/㎡，具备防蚊虫、通风功能。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拉链要求：帐篷篷体及包装拉链符合YJ/T 9.2—2010规定标准，拉头采用不锈钢材质，拉动顺畅，无卡顿、脱落现象。</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地</w:t>
            </w:r>
            <w:r>
              <w:rPr>
                <w:rFonts w:hint="default" w:ascii="Times New Roman" w:hAnsi="Times New Roman" w:eastAsia="宋体" w:cs="Times New Roman"/>
                <w:color w:val="000000"/>
                <w:sz w:val="24"/>
                <w:szCs w:val="24"/>
                <w:lang w:val="en-US" w:eastAsia="zh-CN" w:bidi="ar"/>
              </w:rPr>
              <w:t xml:space="preserve">垫要求：需配套提供帐篷地垫，规格约3700×3200mm，材质符合YJ/T 9.2—2010标准，具备防潮、防尘功能。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四、门窗及缝制要求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门窗规格：尺寸符合YJ/T 9.2—2010制作标准，开启面积较大，具备防潮、防尘土、防蚊虫、通风等功能。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缝制要求：缝纫部位表面平整、线迹直顺、针码均匀，各配件位置准确；所有缝制部位牢固可靠，无开线、断线、破损、跳线等缺陷，针脚密度符合行业标准，确保帐篷密封性和耐用性。</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五、外观喷字要求</w:t>
            </w:r>
            <w:r/>
          </w:p>
          <w:p>
            <w:pPr>
              <w:numPr>
                <w:ilvl w:val="0"/>
                <w:numId w:val="0"/>
              </w:numPr>
              <w:ind w:firstLine="482"/>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篷体印制白色平头标准黑体字，印刷布局合理、清晰、牢固，不易脱落；需印制“连云港储备”白色字样。</w:t>
            </w:r>
            <w:r/>
          </w:p>
        </w:tc>
      </w:tr>
      <w:tr>
        <w:trPr>
          <w:jc w:val="center"/>
          <w:trHeight w:val="457"/>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04" w:type="pct"/>
            <w:vAlign w:val="center"/>
            <w:textDirection w:val="lrTb"/>
            <w:noWrap w:val="false"/>
          </w:tcPr>
          <w:p>
            <w:pPr>
              <w:jc w:val="center"/>
              <w:spacing w:line="360" w:lineRule="auto"/>
              <w:widowControl/>
              <w:rPr>
                <w:rFonts w:hint="eastAsia" w:ascii="Arial" w:hAnsi="Arial" w:eastAsia="宋体" w:cs="Times New Roman"/>
                <w:sz w:val="24"/>
                <w:szCs w:val="24"/>
                <w:highlight w:val="none"/>
                <w:lang w:val="en-US" w:eastAsia="zh-CN"/>
              </w:rPr>
            </w:pPr>
            <w:r>
              <w:rPr>
                <w:rFonts w:hint="eastAsia" w:ascii="Arial" w:hAnsi="Arial" w:eastAsia="宋体" w:cs="Times New Roman"/>
                <w:sz w:val="24"/>
                <w:szCs w:val="24"/>
                <w:highlight w:val="none"/>
                <w:lang w:val="en-US" w:eastAsia="zh-CN"/>
              </w:rPr>
              <w:t xml:space="preserve">折叠床</w:t>
            </w:r>
            <w:r/>
          </w:p>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（核心产品）</w:t>
            </w:r>
            <w:r/>
          </w:p>
        </w:tc>
        <w:tc>
          <w:tcPr>
            <w:tcW w:w="3425" w:type="pct"/>
            <w:vAlign w:val="center"/>
            <w:textDirection w:val="lrTb"/>
            <w:noWrap w:val="false"/>
          </w:tcPr>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一、总体要求</w:t>
            </w:r>
            <w:r>
              <w:rPr>
                <w:rFonts w:hint="eastAsia" w:ascii="宋体" w:hAnsi="宋体" w:eastAsia="宋体" w:cs="宋体"/>
                <w:sz w:val="24"/>
                <w:szCs w:val="24"/>
              </w:rPr>
              <w:tab/>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款式：钢管床架折叠式，由床面和床架两部分组成。</w:t>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结构配置：床头附带1个可搭扣固定的海绵枕头；床面上部配备1块塑料板，使用时向床尾方向推，折叠时向床头方向推，塑料板需放置在床头背面专用贴袋内，贴袋开口处设袋盖并通过搭扣带扣合；床背面配置2条可调节束紧带，采用插扣连接。</w:t>
            </w:r>
            <w:r/>
          </w:p>
          <w:p>
            <w:pPr>
              <w:numPr>
                <w:ilvl w:val="0"/>
                <w:numId w:val="0"/>
              </w:numPr>
              <w:ind w:firstLine="482"/>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b/>
                <w:bCs/>
                <w:i/>
                <w:iCs/>
                <w:sz w:val="24"/>
                <w:szCs w:val="24"/>
                <w:u w:val="single"/>
              </w:rPr>
              <w:t xml:space="preserve">3.</w:t>
            </w:r>
            <w:r>
              <w:rPr>
                <w:rFonts w:hint="default" w:ascii="Times New Roman" w:hAnsi="Times New Roman" w:eastAsia="宋体" w:cs="Times New Roman"/>
                <w:b/>
                <w:bCs/>
                <w:i/>
                <w:iCs/>
                <w:sz w:val="24"/>
                <w:szCs w:val="24"/>
                <w:u w:val="single"/>
              </w:rPr>
              <w:t xml:space="preserve">执行标准：所有技术要求、材料质量及生产工艺，均符合YJ/T 11.1—2010《救灾装具 第1部分：折叠床》。</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二、规格要求</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rPr>
              <w:t xml:space="preserve">规格：长度≥1850+10（mm）；宽度≥700+5（mm）；高度350mm。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rPr>
              <w:t xml:space="preserve">床布：天蓝色PVC涂层布（规格666dtex×666dtex涤纶丝）。</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架、床脚：Q215～Q235材质，Φ25mm×1.1mm焊接钢管。100°—105°弯曲部位规整，各配件表面光洁，无毛刺、锐角，管材无裂纹。床脚折页：Q195～Q235材质，t2mm钢板。床架、床脚及折页各配件：喷塑前需经除油、除锈、磷化处理，再进行环氧树脂喷塑，颜色为本白。</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rPr>
              <w:t xml:space="preserve">活动三节环：经除油、除锈后电镀锌钝化处理，镀层厚度≥15μm。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床整体支承后水平偏差：≤5mm。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每张床承重量：≥100kg。</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三、印刷要求</w:t>
            </w:r>
            <w:r/>
          </w:p>
          <w:p>
            <w:pPr>
              <w:numPr>
                <w:ilvl w:val="0"/>
                <w:numId w:val="0"/>
              </w:numPr>
              <w:ind w:firstLine="482"/>
              <w:pageBreakBefore w:val="0"/>
              <w:spacing w:line="360" w:lineRule="auto"/>
              <w:widowControl w:val="off"/>
              <w:rPr>
                <w:rFonts w:hint="eastAsia" w:ascii="宋体" w:hAnsi="宋体" w:eastAsia="宋体" w:cs="宋体"/>
                <w:sz w:val="24"/>
                <w:szCs w:val="24"/>
              </w:rPr>
            </w:pPr>
            <w:r>
              <w:rPr>
                <w:rFonts w:hint="default" w:ascii="Times New Roman" w:hAnsi="Times New Roman" w:eastAsia="宋体" w:cs="Times New Roman"/>
                <w:b/>
                <w:bCs/>
                <w:i/>
                <w:iCs/>
                <w:sz w:val="24"/>
                <w:szCs w:val="24"/>
                <w:u w:val="single"/>
              </w:rPr>
              <w:t xml:space="preserve">床布正面距床头边处向上印刷“连云港储备”字样，字体高度为50mm平头标准黑体字，四个字在长度300mm内居中均布，文字采用白色字体印刷字样。</w:t>
            </w:r>
            <w:r/>
          </w:p>
        </w:tc>
      </w:tr>
      <w:tr>
        <w:trPr>
          <w:jc w:val="center"/>
          <w:trHeight w:val="1134"/>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10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棉被</w:t>
            </w:r>
            <w:r/>
          </w:p>
        </w:tc>
        <w:tc>
          <w:tcPr>
            <w:shd w:val="clear" w:color="auto" w:fill="auto"/>
            <w:tcW w:w="3425" w:type="pct"/>
            <w:vAlign w:val="center"/>
            <w:textDirection w:val="lrTb"/>
            <w:noWrap w:val="false"/>
          </w:tcPr>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颜色：军绿色。</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材质：全棉机织布，100%棉，纱支≥40支，经向密度≥560根/10cm、纬向密度≥260根/10cm。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规格：150cm×200cm（缩后尺寸）。</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4.</w:t>
            </w:r>
            <w:r>
              <w:rPr>
                <w:rFonts w:hint="default" w:ascii="Times New Roman" w:hAnsi="Times New Roman" w:eastAsia="宋体" w:cs="Times New Roman"/>
                <w:b/>
                <w:bCs/>
                <w:i/>
                <w:iCs/>
                <w:color w:val="000000"/>
                <w:sz w:val="24"/>
                <w:szCs w:val="24"/>
                <w:u w:val="single"/>
                <w:lang w:val="en-US" w:eastAsia="zh-CN" w:bidi="ar"/>
              </w:rPr>
              <w:t xml:space="preserve">质量技术要求：符合GB 18401—2010《国家纺织产品基本安全技术规范》B类及GB/T 22796—2021《床上用品》一等品标准要求。</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二、棉胎</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规格：150cm×200cm。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重量：2.5kg（不含被套）。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填充物：100%棉纤维。</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4.</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配套要求：需采用网纱包敷。</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5.</w:t>
            </w:r>
            <w:r>
              <w:rPr>
                <w:rFonts w:hint="default" w:ascii="Times New Roman" w:hAnsi="Times New Roman" w:eastAsia="宋体" w:cs="Times New Roman"/>
                <w:b/>
                <w:bCs/>
                <w:i/>
                <w:iCs/>
                <w:color w:val="000000"/>
                <w:sz w:val="24"/>
                <w:szCs w:val="24"/>
                <w:u w:val="single"/>
                <w:lang w:val="en-US" w:eastAsia="zh-CN" w:bidi="ar"/>
              </w:rPr>
              <w:t xml:space="preserve">质量技术要求：棉被所用棉胎质量符合GB 18383—2007《絮用纤维制品通用技术要求》，同时相关质量指标符合GB/T 35932—2018《棉胎》二级及以上要求</w:t>
            </w:r>
            <w:r>
              <w:rPr>
                <w:rFonts w:hint="default" w:ascii="Times New Roman" w:hAnsi="Times New Roman" w:eastAsia="宋体"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三、产品合格证</w:t>
            </w:r>
            <w:r/>
          </w:p>
          <w:p>
            <w:pPr>
              <w:numPr>
                <w:ilvl w:val="0"/>
                <w:numId w:val="0"/>
              </w:numPr>
              <w:ind w:left="0" w:firstLine="482"/>
              <w:jc w:val="both"/>
              <w:pageBreakBefore w:val="0"/>
              <w:spacing w:line="360" w:lineRule="auto"/>
              <w:widowControl w:val="off"/>
              <w:rPr>
                <w:rFonts w:hint="eastAsia" w:ascii="宋体" w:hAnsi="宋体" w:eastAsia="宋体" w:cs="宋体"/>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bl>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b/>
          <w:bCs/>
          <w:sz w:val="24"/>
          <w:szCs w:val="24"/>
        </w:rPr>
        <w:t xml:space="preserve">注</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上述货物技术参数及功能指标须详细并如实填写技术要求响应及偏离表，如若中标，将作为后期履约验收的依据</w:t>
      </w:r>
      <w:r>
        <w:rPr>
          <w:rFonts w:hint="eastAsia" w:ascii="宋体" w:hAnsi="宋体" w:cs="宋体"/>
          <w:color w:val="000000"/>
          <w:sz w:val="24"/>
        </w:rPr>
        <w:t xml:space="preserve">。</w:t>
      </w:r>
      <w:r/>
    </w:p>
    <w:p>
      <w:pPr>
        <w:ind w:firstLine="562"/>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四</w:t>
      </w:r>
      <w:r>
        <w:rPr>
          <w:rFonts w:hint="eastAsia" w:ascii="Times New Roman" w:hAnsi="Times New Roman"/>
          <w:b/>
          <w:sz w:val="28"/>
          <w:szCs w:val="28"/>
        </w:rPr>
        <w:t xml:space="preserve">、</w:t>
      </w:r>
      <w:r>
        <w:rPr>
          <w:rFonts w:ascii="Times New Roman" w:hAnsi="Times New Roman"/>
          <w:b/>
          <w:sz w:val="28"/>
          <w:szCs w:val="28"/>
        </w:rPr>
        <w:t xml:space="preserve">供货要求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w:t>
      </w:r>
      <w:r>
        <w:rPr>
          <w:rFonts w:hint="eastAsia" w:ascii="宋体" w:hAnsi="宋体" w:eastAsia="宋体" w:cs="Times New Roman"/>
          <w:color w:val="auto"/>
          <w:sz w:val="24"/>
          <w:szCs w:val="24"/>
        </w:rPr>
        <w:t xml:space="preserve">应达到或优于采购要求，是技术成熟的、性能优良，整体设计和配备全新的原厂产品。</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在规定的质保期内，</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应对由于设计、工艺或材料的缺陷或故障负责。货物运抵现场后应完好无损，如有缺漏、损坏，由中标人负责调换、补齐或赔偿。</w:t>
      </w:r>
      <w:r/>
    </w:p>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eastAsia="宋体" w:cs="Times New Roman"/>
          <w:sz w:val="24"/>
          <w:szCs w:val="24"/>
        </w:rPr>
        <w:t xml:space="preserve">3.</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所提供的技术资料完整正确，数据和资料准确无误，在未验收前，货物保管、安全均由中标人负责，货物送到采购人指定地点，并负责办理运输和装卸，费用由中标人负责</w:t>
      </w:r>
      <w:r>
        <w:rPr>
          <w:rFonts w:hint="eastAsia" w:ascii="宋体" w:hAnsi="宋体"/>
          <w:sz w:val="24"/>
          <w:szCs w:val="24"/>
        </w:rPr>
        <w:t xml:space="preserve">。</w:t>
      </w:r>
      <w:r/>
    </w:p>
    <w:p>
      <w:pPr>
        <w:ind w:firstLine="562"/>
        <w:jc w:val="left"/>
        <w:keepLines w:val="0"/>
        <w:keepNext w:val="0"/>
        <w:pageBreakBefore w:val="0"/>
        <w:spacing w:line="500" w:lineRule="exact"/>
        <w:widowControl w:val="off"/>
        <w:rPr>
          <w:rFonts w:hint="eastAsia" w:ascii="Times New Roman" w:hAnsi="Times New Roman" w:eastAsia="宋体"/>
          <w:b/>
          <w:sz w:val="28"/>
          <w:szCs w:val="28"/>
          <w:lang w:eastAsia="zh-CN"/>
        </w:rPr>
      </w:pPr>
      <w:r>
        <w:rPr>
          <w:rFonts w:hint="eastAsia" w:ascii="Times New Roman" w:hAnsi="Times New Roman"/>
          <w:b/>
          <w:sz w:val="28"/>
          <w:szCs w:val="28"/>
          <w:lang w:val="en-US" w:eastAsia="zh-CN"/>
        </w:rPr>
        <w:t xml:space="preserve">五</w:t>
      </w:r>
      <w:r>
        <w:rPr>
          <w:rFonts w:ascii="Times New Roman" w:hAnsi="Times New Roman"/>
          <w:b/>
          <w:sz w:val="28"/>
          <w:szCs w:val="28"/>
        </w:rPr>
        <w:t xml:space="preserve">、</w:t>
      </w:r>
      <w:r>
        <w:rPr>
          <w:rFonts w:hint="eastAsia" w:ascii="Times New Roman" w:hAnsi="Times New Roman"/>
          <w:b/>
          <w:sz w:val="28"/>
          <w:szCs w:val="28"/>
          <w:lang w:val="en-US" w:eastAsia="zh-CN"/>
        </w:rPr>
        <w:t xml:space="preserve">包装要求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供货外包装统一，一面印制“连云港储备”；另一面应显示标记编号、货物名称、型号、规格、数量、制造厂、生产或出厂日期、保质期。要求字体（宋体）清晰。</w:t>
      </w:r>
      <w:r/>
    </w:p>
    <w:p>
      <w:pPr>
        <w:ind w:firstLine="480"/>
        <w:keepLines w:val="0"/>
        <w:keepNext w:val="0"/>
        <w:pageBreakBefore w:val="0"/>
        <w:spacing w:line="500" w:lineRule="exact"/>
        <w:widowControl w:val="off"/>
        <w:rPr>
          <w:rFonts w:hint="default" w:ascii="Arial" w:hAnsi="Arial" w:eastAsia="Arial" w:cs="Helvetica"/>
          <w:color w:val="auto"/>
          <w:sz w:val="24"/>
          <w:szCs w:val="24"/>
          <w:highlight w:val="none"/>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Arial" w:hAnsi="Arial" w:eastAsia="Arial" w:cs="Helvetica"/>
          <w:color w:val="000000"/>
          <w:sz w:val="24"/>
          <w:szCs w:val="24"/>
          <w:highlight w:val="none"/>
        </w:rPr>
        <w:t xml:space="preserve">包装要求说明</w:t>
      </w:r>
      <w:r>
        <w:rPr>
          <w:rFonts w:hint="eastAsia" w:ascii="Arial" w:hAnsi="Arial" w:eastAsia="Arial" w:cs="Helvetica"/>
          <w:color w:val="auto"/>
          <w:sz w:val="24"/>
          <w:szCs w:val="24"/>
          <w:highlight w:val="none"/>
        </w:rPr>
        <w:t xml:space="preserve">：</w:t>
      </w:r>
      <w:r/>
    </w:p>
    <w:tbl>
      <w:tblPr>
        <w:tblStyle w:val="700"/>
        <w:tblW w:w="8347" w:type="dxa"/>
        <w:jc w:val="center"/>
        <w:tblLayout w:type="fixed"/>
        <w:tblCellMar>
          <w:left w:w="108" w:type="dxa"/>
          <w:top w:w="0" w:type="dxa"/>
          <w:right w:w="108" w:type="dxa"/>
          <w:bottom w:w="0" w:type="dxa"/>
        </w:tblCellMar>
        <w:tblLook w:val="04A0" w:firstRow="1" w:lastRow="0" w:firstColumn="1" w:lastColumn="0" w:noHBand="0" w:noVBand="1"/>
      </w:tblPr>
      <w:tblGrid>
        <w:gridCol w:w="2088"/>
        <w:gridCol w:w="6259"/>
      </w:tblGrid>
      <w:tr>
        <w:trPr>
          <w:jc w:val="center"/>
          <w:trHeight w:val="900"/>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default" w:ascii="宋体" w:hAnsi="宋体" w:eastAsia="Arial" w:cs="宋体"/>
                <w:sz w:val="24"/>
                <w:szCs w:val="32"/>
                <w:highlight w:val="none"/>
              </w:rPr>
            </w:pPr>
            <w:r>
              <w:rPr>
                <w:rFonts w:hint="eastAsia" w:ascii="Calibri" w:hAnsi="Calibri" w:eastAsia="宋体" w:cs="Times New Roman"/>
                <w:sz w:val="24"/>
                <w:szCs w:val="24"/>
              </w:rPr>
              <w:t xml:space="preserve">12平方米</w:t>
            </w:r>
            <w:r>
              <w:rPr>
                <w:rFonts w:hint="eastAsia" w:ascii="Calibri" w:hAnsi="Calibri" w:eastAsia="宋体" w:cs="Times New Roman"/>
                <w:sz w:val="24"/>
                <w:szCs w:val="24"/>
                <w:lang w:eastAsia="zh-CN"/>
              </w:rPr>
              <w:t xml:space="preserve">单</w:t>
            </w:r>
            <w:r>
              <w:rPr>
                <w:rFonts w:hint="eastAsia" w:ascii="Calibri" w:hAnsi="Calibri" w:eastAsia="宋体" w:cs="Times New Roman"/>
                <w:sz w:val="24"/>
                <w:szCs w:val="24"/>
              </w:rPr>
              <w:t xml:space="preserve">帐篷</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eastAsia" w:ascii="宋体" w:hAnsi="宋体" w:eastAsia="宋体" w:cs="宋体"/>
                <w:sz w:val="24"/>
                <w:szCs w:val="32"/>
                <w:highlight w:val="none"/>
                <w:lang w:eastAsia="zh-CN"/>
              </w:rPr>
            </w:pPr>
            <w:r>
              <w:rPr>
                <w:rFonts w:hint="eastAsia" w:ascii="宋体" w:hAnsi="宋体" w:cs="宋体"/>
                <w:sz w:val="24"/>
                <w:szCs w:val="32"/>
              </w:rPr>
              <w:t xml:space="preserve">按照验收规范包装，篷体与杆件分两包包装，袋体采用跟篷体一样的布料</w:t>
            </w:r>
            <w:r>
              <w:rPr>
                <w:rFonts w:hint="eastAsia" w:ascii="宋体" w:hAnsi="宋体" w:cs="宋体"/>
                <w:sz w:val="24"/>
                <w:szCs w:val="32"/>
                <w:lang w:eastAsia="zh-CN"/>
              </w:rPr>
              <w:t xml:space="preserve">。</w:t>
            </w:r>
            <w:r/>
          </w:p>
        </w:tc>
      </w:tr>
      <w:tr>
        <w:trPr>
          <w:jc w:val="center"/>
          <w:trHeight w:val="789"/>
        </w:trPr>
        <w:tc>
          <w:tcPr>
            <w:shd w:val="clear" w:color="auto" w:fill="auto"/>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b w:val="0"/>
                <w:bCs w:val="0"/>
                <w:sz w:val="24"/>
                <w:szCs w:val="24"/>
                <w:highlight w:val="none"/>
                <w:lang w:val="en-US" w:eastAsia="zh-CN"/>
              </w:rPr>
              <w:t xml:space="preserve">折叠床</w:t>
            </w:r>
            <w:r/>
          </w:p>
        </w:tc>
        <w:tc>
          <w:tcPr>
            <w:shd w:val="clear" w:color="auto" w:fill="auto"/>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both"/>
              <w:spacing w:line="360" w:lineRule="auto"/>
              <w:rPr>
                <w:rFonts w:hint="eastAsia" w:ascii="宋体" w:hAnsi="宋体" w:eastAsia="宋体" w:cs="宋体"/>
                <w:sz w:val="24"/>
                <w:szCs w:val="32"/>
                <w:highlight w:val="none"/>
                <w:lang w:eastAsia="zh-CN" w:bidi="ar-SA"/>
              </w:rPr>
            </w:pPr>
            <w:r>
              <w:rPr>
                <w:rFonts w:hint="eastAsia" w:ascii="宋体" w:hAnsi="宋体" w:eastAsia="Arial" w:cs="宋体"/>
                <w:sz w:val="24"/>
                <w:szCs w:val="32"/>
                <w:highlight w:val="none"/>
              </w:rPr>
              <w:t xml:space="preserve">原厂包装</w:t>
            </w:r>
            <w:r>
              <w:rPr>
                <w:rFonts w:hint="eastAsia" w:ascii="宋体" w:hAnsi="宋体" w:eastAsia="宋体" w:cs="宋体"/>
                <w:sz w:val="24"/>
                <w:szCs w:val="32"/>
                <w:highlight w:val="none"/>
                <w:lang w:eastAsia="zh-CN"/>
              </w:rPr>
              <w:t xml:space="preserve">。</w:t>
            </w:r>
            <w:r/>
          </w:p>
        </w:tc>
      </w:tr>
      <w:tr>
        <w:trPr>
          <w:jc w:val="center"/>
          <w:trHeight w:val="1748"/>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棉被</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default" w:ascii="宋体" w:hAnsi="宋体" w:eastAsia="Arial" w:cs="宋体"/>
                <w:sz w:val="24"/>
                <w:szCs w:val="32"/>
                <w:highlight w:val="none"/>
              </w:rPr>
            </w:pPr>
            <w:r>
              <w:rPr>
                <w:rFonts w:hint="eastAsia" w:ascii="宋体" w:hAnsi="宋体" w:eastAsia="宋体" w:cs="宋体"/>
                <w:sz w:val="24"/>
                <w:szCs w:val="32"/>
                <w:highlight w:val="none"/>
                <w:lang w:eastAsia="zh-CN"/>
              </w:rPr>
              <w:t xml:space="preserve">箱体：长75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宽55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高60（厘米）。</w:t>
            </w:r>
            <w:r>
              <w:rPr>
                <w:rFonts w:hint="eastAsia" w:ascii="宋体" w:hAnsi="宋体" w:eastAsia="Arial" w:cs="宋体"/>
                <w:sz w:val="24"/>
                <w:szCs w:val="32"/>
                <w:highlight w:val="none"/>
              </w:rPr>
              <w:t xml:space="preserve">单件真空包装，塑料袋厚度为8丝；外包装采用双瓦楞纸箱（面纸采用200g高耐破，里纸采用170gA级，夹心纸采用120gB级，瓦楞采用160g）</w:t>
            </w:r>
            <w:r>
              <w:rPr>
                <w:rFonts w:hint="eastAsia" w:ascii="宋体" w:hAnsi="宋体" w:eastAsia="宋体" w:cs="宋体"/>
                <w:sz w:val="24"/>
                <w:szCs w:val="32"/>
                <w:highlight w:val="none"/>
                <w:lang w:eastAsia="zh-CN"/>
              </w:rPr>
              <w:t xml:space="preserve">。根据箱体，合理布局摆放数量。</w:t>
            </w:r>
            <w:r/>
          </w:p>
        </w:tc>
      </w:tr>
    </w:tbl>
    <w:p>
      <w:pPr>
        <w:numPr>
          <w:ilvl w:val="-1"/>
          <w:numId w:val="0"/>
        </w:numPr>
        <w:ind w:firstLine="480"/>
        <w:jc w:val="left"/>
        <w:spacing w:line="360" w:lineRule="auto"/>
        <w:rPr>
          <w:rFonts w:hint="default" w:ascii="Times New Roman" w:hAnsi="Times New Roman" w:eastAsia="宋体" w:cs="Times New Roman"/>
          <w:bCs/>
          <w:sz w:val="24"/>
          <w:szCs w:val="24"/>
          <w:highlight w:val="none"/>
          <w:lang w:eastAsia="zh-CN"/>
        </w:rPr>
      </w:pPr>
      <w:r>
        <w:rPr>
          <w:rFonts w:hint="default" w:ascii="Times New Roman" w:hAnsi="Times New Roman" w:eastAsia="宋体" w:cs="Times New Roman"/>
          <w:bCs/>
          <w:sz w:val="24"/>
          <w:szCs w:val="24"/>
          <w:highlight w:val="none"/>
          <w:lang w:val="en-US" w:eastAsia="zh-CN"/>
        </w:rPr>
        <w:t xml:space="preserve">3.</w:t>
      </w:r>
      <w:r>
        <w:rPr>
          <w:rFonts w:hint="default" w:ascii="Times New Roman" w:hAnsi="Times New Roman" w:cs="Times New Roman"/>
          <w:bCs/>
          <w:sz w:val="24"/>
          <w:szCs w:val="24"/>
          <w:highlight w:val="none"/>
          <w:lang w:val="en-US" w:eastAsia="zh-CN"/>
        </w:rPr>
        <w:t xml:space="preserve"> </w:t>
      </w:r>
      <w:r>
        <w:rPr>
          <w:rFonts w:hint="default" w:ascii="Times New Roman" w:hAnsi="Times New Roman" w:eastAsia="宋体" w:cs="Times New Roman"/>
          <w:bCs/>
          <w:sz w:val="24"/>
          <w:szCs w:val="24"/>
          <w:highlight w:val="none"/>
        </w:rPr>
        <w:t xml:space="preserve">除上述要求外，在货物发运前应对其进行满足运输距离、防潮、防震、防锈和防破损装卸等要求包装，以保证货物安全运达采购人指定地点，符合《商品包装政府采购需求标准（试行）</w:t>
      </w:r>
      <w:r>
        <w:rPr>
          <w:rFonts w:hint="default" w:ascii="Times New Roman" w:hAnsi="Times New Roman" w:cs="Times New Roman"/>
          <w:bCs/>
          <w:sz w:val="24"/>
          <w:szCs w:val="24"/>
          <w:highlight w:val="none"/>
          <w:lang w:eastAsia="zh-CN"/>
        </w:rPr>
        <w:t xml:space="preserve">》和《</w:t>
      </w:r>
      <w:r>
        <w:rPr>
          <w:rFonts w:hint="default" w:ascii="Times New Roman" w:hAnsi="Times New Roman" w:eastAsia="宋体" w:cs="Times New Roman"/>
          <w:bCs/>
          <w:sz w:val="24"/>
          <w:szCs w:val="24"/>
          <w:highlight w:val="none"/>
        </w:rPr>
        <w:t xml:space="preserve">快递包装政府采购需求标准（试行）》的规定</w:t>
      </w:r>
      <w:r>
        <w:rPr>
          <w:rFonts w:hint="default" w:ascii="Times New Roman" w:hAnsi="Times New Roman" w:eastAsia="宋体" w:cs="Times New Roman"/>
          <w:bCs/>
          <w:sz w:val="24"/>
          <w:szCs w:val="24"/>
          <w:highlight w:val="none"/>
          <w:lang w:eastAsia="zh-CN"/>
        </w:rPr>
        <w:t xml:space="preserve">：</w:t>
      </w:r>
      <w:r/>
    </w:p>
    <w:p>
      <w:pPr>
        <w:numPr>
          <w:ilvl w:val="-1"/>
          <w:numId w:val="0"/>
        </w:num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商品包装层数不得超过3 层，空隙率不大于40%；商品包装尽可能使用单一材质的包装材料；商品包装中铅、汞、镉、六价铬的总含量应不大于100mg/kg</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商品包装印刷使用的油墨中挥发性有机化合物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 5%（以重量计）</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快递包装中重金属（铅、汞、镉、六价铬）总量应不大于 100mg/kg；快递包装印刷使用的油墨中不应添加邻苯二甲酸酯，其挥发性有机化合物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含量应不大于5%（以重量计）；快递包装中使用纸基材的包装材料，纸基材中的有机氯的含量应不大于150 mg/kg；快递包装中使用塑料基材的包装材料不得使用邻苯二甲酸二异壬酯、邻苯二甲酸二正辛酯、邻苯二甲酸二</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2</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乙基</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己酯、邻苯二甲酸二异癸酯、邻苯二甲酸丁基苄基酯、邻苯二甲酸二丁酯等作为增塑剂</w:t>
      </w:r>
      <w:r>
        <w:rPr>
          <w:rFonts w:hint="default" w:ascii="Times New Roman" w:hAnsi="Times New Roman" w:eastAsia="宋体" w:cs="Times New Roman"/>
          <w:sz w:val="24"/>
          <w:szCs w:val="24"/>
        </w:rPr>
        <w:t xml:space="preserve">；快递中使用的塑料包装袋不得使用聚氯乙烯作为原料，且原料应为单一材质制成，生物分解率大于60%；快递中使用的充气类填充物不得使用聚氯乙烯作为 原料，且原料为单一材质制成，生物分解率大于60%；快递中使用的集装袋应为单一材质制成，其重复使用次数应不小于80次；快递中应使用幅宽不大于45mm 的生物降解胶带；快递包装中不得使用溶剂型胶粘剂；快递应使用电子面单；直接使用商品包装作为快递包装的商品，其商品包装满足《商品包装政府采购需求标准（试行）》即可；快递包装产品质量和封装方式应符合相关国家或行业标准技术指标要求</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六</w:t>
      </w:r>
      <w:r>
        <w:rPr>
          <w:rFonts w:hint="default" w:ascii="Times New Roman" w:hAnsi="Times New Roman" w:cs="Times New Roman"/>
          <w:b/>
          <w:sz w:val="28"/>
          <w:szCs w:val="28"/>
        </w:rPr>
        <w:t xml:space="preserve">、质保期和交货期</w:t>
      </w:r>
      <w:r/>
    </w:p>
    <w:p>
      <w:pPr>
        <w:ind w:firstLine="480"/>
        <w:jc w:val="left"/>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i/>
          <w:iCs/>
          <w:sz w:val="24"/>
          <w:szCs w:val="24"/>
          <w:highlight w:val="none"/>
          <w:u w:val="single"/>
          <w:lang w:val="en-US" w:eastAsia="zh-CN"/>
        </w:rPr>
        <w:t xml:space="preserve">1.</w:t>
      </w:r>
      <w:r>
        <w:rPr>
          <w:rFonts w:hint="eastAsia" w:ascii="Times New Roman" w:hAnsi="Times New Roman" w:cs="Times New Roman"/>
          <w:b/>
          <w:bCs/>
          <w:i/>
          <w:iCs/>
          <w:sz w:val="24"/>
          <w:szCs w:val="24"/>
          <w:highlight w:val="none"/>
          <w:u w:val="single"/>
          <w:lang w:val="en-US" w:eastAsia="zh-CN"/>
        </w:rPr>
        <w:t xml:space="preserve"> </w:t>
      </w:r>
      <w:r>
        <w:rPr>
          <w:rFonts w:hint="default" w:ascii="Times New Roman" w:hAnsi="Times New Roman" w:eastAsia="宋体" w:cs="Times New Roman"/>
          <w:b/>
          <w:bCs/>
          <w:i/>
          <w:iCs/>
          <w:sz w:val="24"/>
          <w:szCs w:val="24"/>
          <w:highlight w:val="none"/>
          <w:u w:val="single"/>
          <w:lang w:val="en-US" w:eastAsia="zh-CN"/>
        </w:rPr>
        <w:t xml:space="preserve">质保期：</w:t>
      </w:r>
      <w:r>
        <w:rPr>
          <w:rFonts w:hint="default" w:ascii="Times New Roman" w:hAnsi="Times New Roman" w:eastAsia="宋体" w:cs="Times New Roman"/>
          <w:b/>
          <w:bCs/>
          <w:i/>
          <w:iCs/>
          <w:sz w:val="24"/>
          <w:szCs w:val="24"/>
          <w:u w:val="single"/>
          <w:lang w:val="en-US" w:eastAsia="zh-CN"/>
        </w:rPr>
        <w:t xml:space="preserve">12平方米单帐篷至少6年，折叠床至少6年，棉被至少5年。</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交货期：合同签订后30天内完成供货，达到预期效果</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eastAsia="宋体" w:cs="Times New Roman"/>
          <w:b/>
          <w:sz w:val="28"/>
          <w:szCs w:val="28"/>
        </w:rPr>
      </w:pPr>
      <w:r>
        <w:rPr>
          <w:rFonts w:hint="default" w:ascii="Times New Roman" w:hAnsi="Times New Roman" w:eastAsia="宋体" w:cs="Times New Roman"/>
          <w:b/>
          <w:sz w:val="28"/>
          <w:szCs w:val="28"/>
          <w:lang w:val="en-US" w:eastAsia="zh-CN"/>
        </w:rPr>
        <w:t xml:space="preserve">七</w:t>
      </w:r>
      <w:r>
        <w:rPr>
          <w:rFonts w:hint="default" w:ascii="Times New Roman" w:hAnsi="Times New Roman" w:eastAsia="宋体" w:cs="Times New Roman"/>
          <w:b/>
          <w:sz w:val="28"/>
          <w:szCs w:val="28"/>
        </w:rPr>
        <w:t xml:space="preserve">、售后服务要求</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货物保质期内所有产品保修服务方式均为上门保修，即由中标人派相关人员到采购人产品使用现场维修。</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2.</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产品本身质量出现问题或由于产品本身质量原因造成的任何损伤或损坏，中标人应及时给予维修或更换，由此引起的施工费、人工费、材料费等其它一切费用由中标人负责。</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lang w:val="zh-CN"/>
        </w:rPr>
        <w:t xml:space="preserve">质保期内，一旦发生质量问题，保证在接到通知后第一时间响应，并能在</w:t>
      </w:r>
      <w:r>
        <w:rPr>
          <w:rFonts w:hint="default" w:ascii="Times New Roman" w:hAnsi="Times New Roman" w:eastAsia="宋体"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小时内</w:t>
      </w:r>
      <w:r>
        <w:rPr>
          <w:rFonts w:hint="default" w:ascii="Times New Roman" w:hAnsi="Times New Roman" w:eastAsia="宋体" w:cs="Times New Roman"/>
          <w:color w:val="000000"/>
          <w:sz w:val="24"/>
          <w:szCs w:val="24"/>
          <w:highlight w:val="none"/>
          <w:lang w:val="zh-CN"/>
        </w:rPr>
        <w:t xml:space="preserve">组织人员到现场解决问题，产品出现故障</w:t>
      </w:r>
      <w:r>
        <w:rPr>
          <w:rFonts w:hint="default" w:ascii="Times New Roman" w:hAnsi="Times New Roman" w:eastAsia="宋体" w:cs="Times New Roman"/>
          <w:color w:val="000000"/>
          <w:sz w:val="24"/>
          <w:szCs w:val="24"/>
          <w:highlight w:val="none"/>
        </w:rPr>
        <w:t xml:space="preserve">48</w:t>
      </w:r>
      <w:r>
        <w:rPr>
          <w:rFonts w:hint="default" w:ascii="Times New Roman" w:hAnsi="Times New Roman" w:eastAsia="宋体" w:cs="Times New Roman"/>
          <w:color w:val="000000"/>
          <w:sz w:val="24"/>
          <w:szCs w:val="24"/>
          <w:highlight w:val="none"/>
          <w:lang w:val="zh-CN"/>
        </w:rPr>
        <w:t xml:space="preserve">小时不能修复的</w:t>
      </w:r>
      <w:r>
        <w:rPr>
          <w:rFonts w:hint="default" w:ascii="Times New Roman" w:hAnsi="Times New Roman" w:eastAsia="宋体" w:cs="Times New Roman"/>
          <w:color w:val="000000"/>
          <w:sz w:val="24"/>
          <w:szCs w:val="24"/>
          <w:highlight w:val="none"/>
          <w:lang w:val="en-US" w:eastAsia="zh-CN"/>
        </w:rPr>
        <w:t xml:space="preserve">负责免费</w:t>
      </w:r>
      <w:r>
        <w:rPr>
          <w:rFonts w:hint="default" w:ascii="Times New Roman" w:hAnsi="Times New Roman" w:eastAsia="宋体" w:cs="Times New Roman"/>
          <w:color w:val="000000"/>
          <w:sz w:val="24"/>
          <w:szCs w:val="24"/>
          <w:highlight w:val="none"/>
        </w:rPr>
        <w:t xml:space="preserve">更换</w:t>
      </w:r>
      <w:r>
        <w:rPr>
          <w:rFonts w:hint="default" w:ascii="Times New Roman" w:hAnsi="Times New Roman" w:eastAsia="宋体" w:cs="Times New Roman"/>
          <w:color w:val="000000"/>
          <w:sz w:val="24"/>
          <w:szCs w:val="24"/>
          <w:highlight w:val="none"/>
          <w:lang w:val="en-US" w:eastAsia="zh-CN"/>
        </w:rPr>
        <w:t xml:space="preserve">符合供货要求的</w:t>
      </w:r>
      <w:r>
        <w:rPr>
          <w:rFonts w:hint="default" w:ascii="Times New Roman" w:hAnsi="Times New Roman" w:eastAsia="宋体" w:cs="Times New Roman"/>
          <w:color w:val="000000"/>
          <w:sz w:val="24"/>
          <w:szCs w:val="24"/>
          <w:highlight w:val="none"/>
          <w:lang w:val="zh-CN"/>
        </w:rPr>
        <w:t xml:space="preserve">货物。</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八</w:t>
      </w:r>
      <w:r>
        <w:rPr>
          <w:rFonts w:hint="default" w:ascii="Times New Roman" w:hAnsi="Times New Roman" w:cs="Times New Roman"/>
          <w:b/>
          <w:sz w:val="28"/>
          <w:szCs w:val="28"/>
        </w:rPr>
        <w:t xml:space="preserve">、履约验收要求</w:t>
      </w:r>
      <w:r/>
    </w:p>
    <w:p>
      <w:pPr>
        <w:ind w:firstLine="480"/>
        <w:spacing w:line="360" w:lineRule="auto"/>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rPr>
        <w:t xml:space="preserve">采购单位组织验收专家小组对所提供产品进行验收，中标人提供</w:t>
      </w:r>
      <w:r>
        <w:rPr>
          <w:rFonts w:hint="default" w:ascii="Times New Roman" w:hAnsi="Times New Roman" w:eastAsia="宋体" w:cs="Times New Roman"/>
          <w:sz w:val="24"/>
          <w:szCs w:val="24"/>
          <w:highlight w:val="none"/>
          <w:lang w:eastAsia="zh-CN"/>
        </w:rPr>
        <w:t xml:space="preserve">验收物资</w:t>
      </w:r>
      <w:r>
        <w:rPr>
          <w:rFonts w:hint="default" w:ascii="Times New Roman" w:hAnsi="Times New Roman" w:eastAsia="宋体" w:cs="Times New Roman"/>
          <w:sz w:val="24"/>
          <w:szCs w:val="24"/>
          <w:highlight w:val="none"/>
          <w:lang w:val="en-US" w:eastAsia="zh-CN"/>
        </w:rPr>
        <w:t xml:space="preserve">由</w:t>
      </w:r>
      <w:r>
        <w:rPr>
          <w:rFonts w:hint="default" w:ascii="Times New Roman" w:hAnsi="Times New Roman" w:eastAsia="Arial" w:cs="Times New Roman"/>
          <w:b w:val="0"/>
          <w:bCs w:val="0"/>
          <w:color w:val="auto"/>
          <w:sz w:val="24"/>
          <w:szCs w:val="22"/>
          <w:highlight w:val="none"/>
        </w:rPr>
        <w:t xml:space="preserve">国家认可的第三方检测机构出具的</w:t>
      </w:r>
      <w:r>
        <w:rPr>
          <w:rFonts w:hint="default" w:ascii="Times New Roman" w:hAnsi="Times New Roman" w:eastAsia="宋体" w:cs="Times New Roman"/>
          <w:b w:val="0"/>
          <w:bCs w:val="0"/>
          <w:color w:val="auto"/>
          <w:sz w:val="24"/>
          <w:szCs w:val="22"/>
          <w:highlight w:val="none"/>
          <w:lang w:val="en-US" w:eastAsia="zh-CN"/>
        </w:rPr>
        <w:t xml:space="preserve">带有</w:t>
      </w:r>
      <w:r>
        <w:rPr>
          <w:rFonts w:hint="default" w:ascii="Times New Roman" w:hAnsi="Times New Roman" w:eastAsia="Arial" w:cs="Times New Roman"/>
          <w:sz w:val="24"/>
          <w:szCs w:val="22"/>
          <w:highlight w:val="none"/>
        </w:rPr>
        <w:t xml:space="preserve">CMA标识</w:t>
      </w:r>
      <w:r>
        <w:rPr>
          <w:rFonts w:hint="default" w:ascii="Times New Roman" w:hAnsi="Times New Roman" w:eastAsia="宋体" w:cs="Times New Roman"/>
          <w:sz w:val="24"/>
          <w:szCs w:val="22"/>
          <w:highlight w:val="none"/>
          <w:lang w:eastAsia="zh-CN"/>
        </w:rPr>
        <w:t xml:space="preserve">的</w:t>
      </w:r>
      <w:r>
        <w:rPr>
          <w:rFonts w:hint="default" w:ascii="Times New Roman" w:hAnsi="Times New Roman" w:eastAsia="Arial" w:cs="Times New Roman"/>
          <w:b w:val="0"/>
          <w:bCs w:val="0"/>
          <w:color w:val="auto"/>
          <w:sz w:val="24"/>
          <w:szCs w:val="22"/>
          <w:highlight w:val="none"/>
        </w:rPr>
        <w:t xml:space="preserve">检测报告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zh-CN"/>
        </w:rPr>
        <w:t xml:space="preserve">检测结果符合要求</w:t>
      </w:r>
      <w:r>
        <w:rPr>
          <w:rFonts w:hint="default" w:ascii="Times New Roman" w:hAnsi="Times New Roman" w:eastAsia="宋体" w:cs="Times New Roman"/>
          <w:color w:val="000000"/>
          <w:sz w:val="24"/>
          <w:szCs w:val="24"/>
          <w:highlight w:val="none"/>
          <w:lang w:val="zh-CN" w:eastAsia="zh-CN"/>
        </w:rPr>
        <w:t xml:space="preserve">。</w:t>
      </w:r>
      <w:r>
        <w:rPr>
          <w:rFonts w:hint="default" w:ascii="Times New Roman" w:hAnsi="Times New Roman" w:eastAsia="宋体" w:cs="Times New Roman"/>
          <w:sz w:val="24"/>
          <w:szCs w:val="24"/>
          <w:highlight w:val="none"/>
        </w:rPr>
        <w:t xml:space="preserve">专家小组随机选取部分产品送</w:t>
      </w:r>
      <w:r>
        <w:rPr>
          <w:rFonts w:hint="default" w:ascii="Times New Roman" w:hAnsi="Times New Roman" w:eastAsia="宋体" w:cs="Times New Roman"/>
          <w:sz w:val="24"/>
          <w:szCs w:val="24"/>
          <w:highlight w:val="none"/>
          <w:lang w:val="en-US" w:eastAsia="zh-CN"/>
        </w:rPr>
        <w:t xml:space="preserve">具</w:t>
      </w:r>
      <w:r>
        <w:rPr>
          <w:rFonts w:hint="default" w:ascii="Times New Roman" w:hAnsi="Times New Roman" w:eastAsia="宋体" w:cs="Times New Roman"/>
          <w:sz w:val="24"/>
          <w:szCs w:val="24"/>
          <w:highlight w:val="none"/>
        </w:rPr>
        <w:t xml:space="preserve">有检测资质的检测机构进行常规检测，检测费用均包含在投标报价中，</w:t>
      </w:r>
      <w:r>
        <w:rPr>
          <w:rFonts w:hint="default" w:ascii="Times New Roman" w:hAnsi="Times New Roman" w:eastAsia="Arial" w:cs="Times New Roman"/>
          <w:b w:val="0"/>
          <w:bCs w:val="0"/>
          <w:color w:val="auto"/>
          <w:sz w:val="24"/>
          <w:szCs w:val="22"/>
          <w:highlight w:val="none"/>
        </w:rPr>
        <w:t xml:space="preserve">合格（通过）</w:t>
      </w:r>
      <w:r>
        <w:rPr>
          <w:rFonts w:hint="default" w:ascii="Times New Roman" w:hAnsi="Times New Roman" w:eastAsia="宋体" w:cs="Times New Roman"/>
          <w:sz w:val="24"/>
          <w:szCs w:val="24"/>
          <w:highlight w:val="none"/>
        </w:rPr>
        <w:t xml:space="preserve">后方可办理交货手续，验收专家小组签字确认并存档。如检测结果不符合要求，采购人有权拒收。</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九</w:t>
      </w:r>
      <w:r>
        <w:rPr>
          <w:rFonts w:hint="default" w:ascii="Times New Roman" w:hAnsi="Times New Roman" w:cs="Times New Roman"/>
          <w:b/>
          <w:sz w:val="28"/>
          <w:szCs w:val="28"/>
        </w:rPr>
        <w:t xml:space="preserve">、履约保证金和付款方式</w:t>
      </w:r>
      <w:r/>
    </w:p>
    <w:p>
      <w:pPr>
        <w:ind w:firstLine="482"/>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eastAsia="宋体" w:cs="Times New Roman"/>
          <w:b w:val="0"/>
          <w:bCs w:val="0"/>
          <w:sz w:val="24"/>
          <w:szCs w:val="24"/>
          <w:highlight w:val="none"/>
        </w:rPr>
        <w:t xml:space="preserve">履约保证金：本项目收取履约保证金，金额为合同金额的</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rPr>
        <w:t xml:space="preserve">。</w:t>
      </w:r>
      <w:r/>
    </w:p>
    <w:p>
      <w:pPr>
        <w:ind w:firstLine="480"/>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中标人应当以支票、汇票、本票或者金融机构、担保机构出具的保函等非现金形式在合同签订前提交。逾期退还履约保证金的采购人承担违约责任，按照中国人民银行同期贷款基准利率支付超期资金占用费。</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b w:val="0"/>
          <w:bCs w:val="0"/>
          <w:i w:val="0"/>
          <w:iCs w:val="0"/>
          <w:color w:val="auto"/>
          <w:sz w:val="24"/>
          <w:szCs w:val="24"/>
          <w:highlight w:val="none"/>
          <w:u w:val="none"/>
        </w:rPr>
        <w:t xml:space="preserve">2.</w:t>
      </w:r>
      <w:r>
        <w:rPr>
          <w:rFonts w:hint="eastAsia" w:ascii="Times New Roman" w:hAnsi="Times New Roman" w:cs="Times New Roman"/>
          <w:b w:val="0"/>
          <w:bCs w:val="0"/>
          <w:i w:val="0"/>
          <w:iCs w:val="0"/>
          <w:color w:val="auto"/>
          <w:sz w:val="24"/>
          <w:szCs w:val="24"/>
          <w:highlight w:val="none"/>
          <w:u w:val="none"/>
          <w:lang w:val="en-US" w:eastAsia="zh-CN"/>
        </w:rPr>
        <w:t xml:space="preserve"> </w:t>
      </w:r>
      <w:r>
        <w:rPr>
          <w:rFonts w:hint="default" w:ascii="Times New Roman" w:hAnsi="Times New Roman" w:eastAsia="宋体" w:cs="Times New Roman"/>
          <w:b w:val="0"/>
          <w:bCs w:val="0"/>
          <w:i w:val="0"/>
          <w:iCs w:val="0"/>
          <w:color w:val="auto"/>
          <w:sz w:val="24"/>
          <w:szCs w:val="24"/>
          <w:highlight w:val="none"/>
          <w:u w:val="none"/>
        </w:rPr>
        <w:t xml:space="preserve">付款方式：合同签订后，全部货物供货完毕并验收合格，中标人提供合法有效发票，采购人自收到发票后一次性付清合同金额的100%</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十</w:t>
      </w:r>
      <w:r>
        <w:rPr>
          <w:rFonts w:hint="default" w:ascii="Times New Roman" w:hAnsi="Times New Roman" w:cs="Times New Roman"/>
          <w:b/>
          <w:sz w:val="28"/>
          <w:szCs w:val="28"/>
        </w:rPr>
        <w:t xml:space="preserve">、投标报价要求</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报价币种为人民币</w:t>
      </w:r>
      <w:r>
        <w:rPr>
          <w:rFonts w:hint="default" w:ascii="Times New Roman" w:hAnsi="Times New Roman" w:eastAsia="宋体" w:cs="Times New Roman"/>
          <w:sz w:val="24"/>
          <w:szCs w:val="24"/>
          <w:lang w:eastAsia="zh-CN"/>
        </w:rPr>
        <w:t xml:space="preserve">。</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rPr>
        <w:t xml:space="preserve">投标报价须包含但不限于全部设备、材料备品备件、包装费、运杂费（运抵现场）、卸货费、现场保管费、运输保险费、成品保护费、安装费、调试费、垃圾清运费、产品使用培训费、材料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hint="default" w:ascii="Times New Roman" w:hAnsi="Times New Roman" w:cs="Times New Roman"/>
          <w:sz w:val="24"/>
          <w:szCs w:val="24"/>
        </w:rPr>
        <w:t xml:space="preserve">。</w:t>
      </w:r>
      <w:r/>
    </w:p>
    <w:p>
      <w:pPr>
        <w:ind w:firstLine="562"/>
        <w:jc w:val="left"/>
        <w:spacing w:line="360" w:lineRule="auto"/>
        <w:rPr>
          <w:rFonts w:ascii="Times New Roman" w:hAnsi="Times New Roman"/>
          <w:bCs/>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、承诺函</w:t>
      </w:r>
      <w:bookmarkEnd w:id="9"/>
      <w:r/>
      <w:bookmarkEnd w:id="10"/>
      <w:r/>
      <w:r/>
    </w:p>
    <w:p>
      <w:pPr>
        <w:ind w:firstLine="480"/>
        <w:jc w:val="left"/>
        <w:spacing w:line="360" w:lineRule="auto"/>
        <w:rPr>
          <w:rFonts w:hint="eastAsia" w:ascii="宋体" w:hAnsi="宋体"/>
          <w:sz w:val="24"/>
          <w:szCs w:val="24"/>
        </w:rPr>
      </w:pPr>
      <w:r>
        <w:rPr>
          <w:rFonts w:hint="eastAsia" w:ascii="Times New Roman" w:hAnsi="Times New Roman"/>
          <w:b/>
          <w:bCs w:val="0"/>
          <w:i/>
          <w:iCs/>
          <w:sz w:val="24"/>
          <w:szCs w:val="24"/>
          <w:u w:val="single"/>
        </w:rPr>
        <w:t xml:space="preserve">投标人承诺为本项目提供的所有货物均具有产品合格证，如若30天内没有完成全部供货（包括招标文件要求的所有项目检验检测报</w:t>
      </w:r>
      <w:r>
        <w:rPr>
          <w:rFonts w:hint="eastAsia" w:ascii="Times New Roman" w:hAnsi="Times New Roman"/>
          <w:b/>
          <w:bCs w:val="0"/>
          <w:i/>
          <w:iCs/>
          <w:sz w:val="24"/>
          <w:szCs w:val="24"/>
          <w:u w:val="single"/>
          <w:lang w:eastAsia="zh-CN"/>
        </w:rPr>
        <w:t xml:space="preserve">告</w:t>
      </w:r>
      <w:r>
        <w:rPr>
          <w:rFonts w:hint="eastAsia" w:ascii="Times New Roman" w:hAnsi="Times New Roman"/>
          <w:b/>
          <w:bCs w:val="0"/>
          <w:i/>
          <w:iCs/>
          <w:sz w:val="24"/>
          <w:szCs w:val="24"/>
          <w:u w:val="single"/>
        </w:rPr>
        <w:t xml:space="preserve">、合格证等相关项目的证明材料</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，或者经采购人验收有两类（包含）以上货物不合格</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视为中标人违约，扣除中标人履约保证金，终止合同，如中标人违约给采购人造成的损失超过履约保证金的，应当依法赔偿超过部分的损失</w:t>
      </w:r>
      <w:r>
        <w:rPr>
          <w:rFonts w:hint="eastAsia" w:ascii="宋体" w:hAnsi="宋体"/>
          <w:b/>
          <w:bCs w:val="0"/>
          <w:i/>
          <w:iCs/>
          <w:sz w:val="24"/>
          <w:szCs w:val="24"/>
          <w:u w:val="single"/>
        </w:rPr>
        <w:t xml:space="preserve">。</w:t>
      </w:r>
      <w:r/>
    </w:p>
    <w:p>
      <w:pPr>
        <w:ind w:firstLine="480"/>
        <w:jc w:val="left"/>
        <w:spacing w:line="360" w:lineRule="auto"/>
        <w:rPr>
          <w:rFonts w:hint="eastAsia" w:ascii="宋体" w:hAnsi="宋体"/>
          <w:sz w:val="24"/>
          <w:szCs w:val="24"/>
        </w:rPr>
      </w:pPr>
      <w:r>
        <w:rPr>
          <w:sz w:val="24"/>
          <w:szCs w:val="24"/>
        </w:rPr>
        <w:br w:type="page" w:clear="all"/>
      </w:r>
      <w:r/>
    </w:p>
    <w:p>
      <w:pPr>
        <w:pStyle w:val="918"/>
        <w:jc w:val="center"/>
        <w:pageBreakBefore w:val="0"/>
        <w:spacing w:before="0" w:after="0" w:line="500" w:lineRule="exact"/>
        <w:widowControl w:val="off"/>
        <w:rPr>
          <w:rFonts w:ascii="黑体" w:hAnsi="黑体" w:eastAsia="黑体"/>
          <w:b w:val="0"/>
        </w:rPr>
      </w:pPr>
      <w:r/>
      <w:bookmarkStart w:id="11" w:name="_Toc165205798"/>
      <w:r/>
      <w:r/>
    </w:p>
    <w:p>
      <w:pPr>
        <w:pStyle w:val="918"/>
        <w:jc w:val="center"/>
        <w:pageBreakBefore w:val="0"/>
        <w:spacing w:before="0" w:after="0" w:line="500" w:lineRule="exact"/>
        <w:widowControl w:val="off"/>
        <w:rPr>
          <w:rFonts w:hint="eastAsia"/>
          <w:sz w:val="24"/>
          <w:szCs w:val="24"/>
          <w:lang w:eastAsia="zh-CN"/>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rPr>
        <w:suppressLineNumbers w:val="0"/>
      </w:pPr>
      <w:r>
        <w:rPr>
          <w:rFonts w:hint="default" w:ascii="Times New Roman" w:hAnsi="Times New Roman" w:eastAsia="黑体" w:cs="Times New Roman"/>
          <w:sz w:val="24"/>
          <w:szCs w:val="24"/>
          <w:lang w:val="en-US" w:eastAsia="zh-CN" w:bidi="ar"/>
        </w:rPr>
        <w:t xml:space="preserve">一、评标方法:综合评分法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综合评分法，是指投标文件满足招标文件全部实质性要求，且按照评审因素的量化指标评审得分最高的投标人为中标候选人的评标办法。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二、评标委员会构成：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本采购项目评标委员会的评委由采购人代表和评审专家组成。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三、评标原则：</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rPr>
        <w:suppressLineNumbers w:val="0"/>
      </w:pPr>
      <w:r>
        <w:rPr>
          <w:rFonts w:hint="default" w:ascii="Times New Roman" w:hAnsi="Times New Roman" w:eastAsia="黑体" w:cs="Times New Roman"/>
          <w:sz w:val="24"/>
          <w:szCs w:val="24"/>
          <w:lang w:val="en-US" w:eastAsia="zh-CN" w:bidi="ar"/>
        </w:rPr>
        <w:t xml:space="preserve">四、评标标准：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（1）评标时，评标评委会以招标文件为评标依据，评委委员会各成员独立对每个投标人的投标文件进行评价，并汇总每个投标人的得分。评标过程中，不得去掉报价中的最高报价和最低报价。</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（2）本项目评分总分为100分，按四舍五入取至小数点后两位。</w:t>
      </w:r>
      <w:r/>
    </w:p>
    <w:p>
      <w:pPr>
        <w:ind w:firstLine="480"/>
        <w:jc w:val="left"/>
        <w:pageBreakBefore w:val="0"/>
        <w:spacing w:line="500" w:lineRule="exact"/>
        <w:widowControl w:val="off"/>
        <w:rPr>
          <w:sz w:val="24"/>
          <w:szCs w:val="24"/>
        </w:rPr>
      </w:pPr>
      <w:r>
        <w:rPr>
          <w:rFonts w:hint="eastAsia"/>
          <w:sz w:val="24"/>
          <w:szCs w:val="24"/>
          <w:lang w:eastAsia="zh-CN"/>
        </w:rPr>
        <w:t xml:space="preserve">（</w:t>
      </w:r>
      <w:r>
        <w:rPr>
          <w:rFonts w:hint="eastAsia"/>
          <w:sz w:val="24"/>
          <w:szCs w:val="24"/>
        </w:rPr>
        <w:t xml:space="preserve">3）总得分=价格分+技术分+商务分。</w:t>
      </w:r>
      <w:r/>
    </w:p>
    <w:p>
      <w:pPr>
        <w:ind w:firstLine="480"/>
        <w:jc w:val="left"/>
        <w:pageBreakBefore w:val="0"/>
        <w:spacing w:line="500" w:lineRule="exact"/>
        <w:widowControl w:val="off"/>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采购本国产品的支持政策</w:t>
      </w:r>
      <w:r>
        <w:rPr>
          <w:rFonts w:hint="eastAsia"/>
          <w:sz w:val="24"/>
          <w:szCs w:val="24"/>
          <w:lang w:eastAsia="zh-CN"/>
        </w:rPr>
        <w:t xml:space="preserve">。</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 五、中标标准：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eastAsia" w:ascii="Times New Roman" w:hAnsi="Times New Roman" w:eastAsia="Arial" w:cs="Times New Roman"/>
          <w:sz w:val="24"/>
          <w:szCs w:val="24"/>
          <w:lang w:val="en-US" w:eastAsia="zh-CN" w:bidi="ar"/>
        </w:rPr>
        <w:t xml:space="preserve">本项目推荐3名中标候选人，</w:t>
      </w:r>
      <w:r>
        <w:rPr>
          <w:rFonts w:hint="default" w:ascii="Times New Roman" w:hAnsi="Times New Roman" w:eastAsia="Arial" w:cs="Times New Roman"/>
          <w:sz w:val="24"/>
          <w:szCs w:val="24"/>
          <w:lang w:val="en-US" w:eastAsia="zh-CN" w:bidi="ar"/>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w:t>
      </w:r>
      <w:r>
        <w:rPr>
          <w:rFonts w:hint="eastAsia" w:ascii="Times New Roman" w:hAnsi="Times New Roman" w:eastAsia="Arial" w:cs="Times New Roman"/>
          <w:sz w:val="24"/>
          <w:szCs w:val="24"/>
          <w:lang w:val="en-US" w:eastAsia="zh-CN" w:bidi="ar"/>
        </w:rPr>
        <w:t xml:space="preserve">1</w:t>
      </w:r>
      <w:r>
        <w:rPr>
          <w:rFonts w:hint="default" w:ascii="Times New Roman" w:hAnsi="Times New Roman" w:eastAsia="Arial" w:cs="Times New Roman"/>
          <w:sz w:val="24"/>
          <w:szCs w:val="24"/>
          <w:lang w:val="en-US" w:eastAsia="zh-CN" w:bidi="ar"/>
        </w:rPr>
        <w:t xml:space="preserve">的中标候选人。</w:t>
      </w:r>
      <w:r/>
    </w:p>
    <w:p>
      <w:pPr>
        <w:jc w:val="left"/>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r>
      <w:r/>
    </w:p>
    <w:p>
      <w:pPr>
        <w:jc w:val="center"/>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（1）价格分（30分）</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投标报价得分=（评标基准价／投标报价）×30分</w:t>
      </w:r>
      <w:r/>
    </w:p>
    <w:p>
      <w:pPr>
        <w:ind w:left="0" w:right="0" w:firstLine="480"/>
        <w:jc w:val="left"/>
        <w:keepLines w:val="0"/>
        <w:keepNext w:val="0"/>
        <w:spacing w:before="0" w:beforeAutospacing="0" w:after="0" w:afterAutospacing="0" w:line="500" w:lineRule="exact"/>
        <w:widowControl w:val="off"/>
        <w:rPr>
          <w:rFonts w:hint="default" w:ascii="Times New Roman" w:hAnsi="Times New Roman" w:cs="Times New Roman"/>
          <w:sz w:val="24"/>
          <w:szCs w:val="24"/>
        </w:rPr>
        <w:suppressLineNumbers w:val="0"/>
      </w:pPr>
      <w:r>
        <w:rPr>
          <w:rFonts w:hint="default" w:ascii="Times New Roman" w:hAnsi="Times New Roman" w:eastAsia="Arial" w:cs="Times New Roman"/>
          <w:sz w:val="24"/>
          <w:szCs w:val="24"/>
          <w:lang w:val="en-US" w:eastAsia="zh-CN" w:bidi="ar"/>
        </w:rPr>
        <w:t xml:space="preserve">因落实政府采购政策进行价格调整的，以调整后的价格计算评标基准价和投标报价，小数点后保留两位。</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（2）技术分（</w:t>
      </w:r>
      <w:r>
        <w:rPr>
          <w:rFonts w:hint="default" w:ascii="Times New Roman" w:hAnsi="Times New Roman" w:cs="Times New Roman"/>
          <w:sz w:val="24"/>
          <w:szCs w:val="24"/>
          <w:lang w:val="en-US" w:eastAsia="zh-CN"/>
        </w:rPr>
        <w:t xml:space="preserve">32</w:t>
      </w:r>
      <w:r>
        <w:rPr>
          <w:rFonts w:hint="default" w:ascii="Times New Roman" w:hAnsi="Times New Roman" w:cs="Times New Roman"/>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8398"/>
      </w:tblGrid>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b/>
                <w:bCs/>
                <w:sz w:val="24"/>
                <w:szCs w:val="24"/>
              </w:rPr>
              <w:t xml:space="preserve">评审标准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实施方案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2"/>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投标人针对本项目提供实施方案，内容包括但不限于具体供货实施安排、进度计划、质量保证措施、紧急预案等：</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针对采购需求制定实施方案，内容完整详实，措施完善，科学合理，可行性、可操作性强，供货及时到位的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针对采购需求制定实施方案，内容较完整，措施较完善，可行性、可操作性较强，供货及时到位的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完整，措施</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完善，可行性、可操作性</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没有完全针对本项目细化制定实施方案，内容笼统且有缺失，可行性、可操作性较差的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eastAsia="宋体" w:cs="Times New Roman"/>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质量保障方案（</w:t>
            </w:r>
            <w:r>
              <w:rPr>
                <w:rFonts w:hint="default" w:ascii="Times New Roman" w:hAnsi="Times New Roman" w:eastAsia="宋体" w:cs="Times New Roman"/>
                <w:bCs/>
                <w:sz w:val="24"/>
                <w:szCs w:val="24"/>
                <w:lang w:val="en-US" w:eastAsia="zh-CN" w:bidi="ar"/>
              </w:rPr>
              <w:t xml:space="preserve">8分</w:t>
            </w:r>
            <w:r>
              <w:rPr>
                <w:rFonts w:hint="eastAsia" w:ascii="宋体" w:hAnsi="宋体" w:eastAsia="宋体" w:cs="宋体"/>
                <w:sz w:val="24"/>
                <w:szCs w:val="24"/>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针对本项目的质量保障方案进行评审，包含质量保证措施、产品检测方案、质量管理方案等。</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方案全面满足招标人要求、措施详细具体、管理方案完善</w:t>
            </w:r>
            <w:r>
              <w:rPr>
                <w:rFonts w:hint="eastAsia" w:ascii="宋体" w:hAnsi="宋体" w:eastAsia="宋体" w:cs="宋体"/>
                <w:b/>
                <w:bCs/>
                <w:sz w:val="24"/>
                <w:szCs w:val="24"/>
                <w:lang w:val="en-US" w:eastAsia="zh-CN"/>
              </w:rPr>
              <w:t xml:space="preserve">得8分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方案满足招标人要求、措施较详细、管理方案较完善</w:t>
            </w:r>
            <w:r>
              <w:rPr>
                <w:rFonts w:hint="eastAsia" w:ascii="宋体" w:hAnsi="宋体" w:eastAsia="宋体" w:cs="宋体"/>
                <w:b/>
                <w:bCs/>
                <w:sz w:val="24"/>
                <w:szCs w:val="24"/>
                <w:lang w:val="en-US" w:eastAsia="zh-CN"/>
              </w:rPr>
              <w:t xml:space="preserve">得6分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方案基本满足招标人要求、有基本质量保证措施、管理方案一般的</w:t>
            </w:r>
            <w:r>
              <w:rPr>
                <w:rFonts w:hint="eastAsia" w:ascii="宋体" w:hAnsi="宋体" w:eastAsia="宋体" w:cs="宋体"/>
                <w:b/>
                <w:bCs/>
                <w:sz w:val="24"/>
                <w:szCs w:val="24"/>
                <w:lang w:val="en-US" w:eastAsia="zh-CN"/>
              </w:rPr>
              <w:t xml:space="preserve">得4分；</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方案有偏差、质量保证措施有遗漏、管理</w:t>
            </w:r>
            <w:r>
              <w:rPr>
                <w:rFonts w:hint="eastAsia" w:ascii="宋体" w:hAnsi="宋体" w:cs="宋体"/>
                <w:sz w:val="24"/>
                <w:szCs w:val="24"/>
                <w:lang w:val="en-US" w:eastAsia="zh-CN"/>
              </w:rPr>
              <w:t xml:space="preserve">方案</w:t>
            </w:r>
            <w:r>
              <w:rPr>
                <w:rFonts w:hint="eastAsia" w:ascii="宋体" w:hAnsi="宋体" w:eastAsia="宋体" w:cs="宋体"/>
                <w:sz w:val="24"/>
                <w:szCs w:val="24"/>
                <w:lang w:val="en-US" w:eastAsia="zh-CN"/>
              </w:rPr>
              <w:t xml:space="preserve">有遗漏的</w:t>
            </w:r>
            <w:r>
              <w:rPr>
                <w:rFonts w:hint="eastAsia" w:ascii="宋体" w:hAnsi="宋体" w:eastAsia="宋体" w:cs="宋体"/>
                <w:b/>
                <w:bCs/>
                <w:sz w:val="24"/>
                <w:szCs w:val="24"/>
                <w:lang w:val="en-US" w:eastAsia="zh-CN"/>
              </w:rPr>
              <w:t xml:space="preserve">得2分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运输方案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suppressLineNumbers w:val="0"/>
            </w:pPr>
            <w:r>
              <w:rPr>
                <w:rFonts w:hint="default" w:ascii="Times New Roman" w:hAnsi="Times New Roman" w:eastAsia="宋体" w:cs="Times New Roman"/>
                <w:bCs/>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投标人针对本项目提供运输方案，内容至少包含但不限于运输工具、贮运组织方案、装卸人员的素质保证、搬运过程中的保护措施、及时供应措施等：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方案措施切实可行，有完善的贮运组织实施流程，保护措施得当，能够保质保量完成任务的</w:t>
            </w:r>
            <w:r>
              <w:rPr>
                <w:rFonts w:hint="default" w:ascii="Times New Roman" w:hAnsi="Times New Roman" w:eastAsia="宋体" w:cs="Times New Roman"/>
                <w:b/>
                <w:bCs w:val="0"/>
                <w:sz w:val="24"/>
                <w:szCs w:val="24"/>
                <w:lang w:val="en-US" w:eastAsia="zh-CN" w:bidi="ar"/>
              </w:rPr>
              <w:t xml:space="preserve">得8</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方案措施较可行，有贮运组织实施流程，保护措施较得当，较能够保质保量完成任务的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，有贮运组织实施流程，保护措施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方案措施可行性不高，实施流程简单，无保护措施的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val="en-US" w:eastAsia="zh-CN" w:bidi="ar"/>
              </w:rPr>
              <w:suppressLineNumbers w:val="0"/>
            </w:pPr>
            <w:r>
              <w:rPr>
                <w:rStyle w:val="967"/>
                <w:rFonts w:hint="default" w:ascii="Times New Roman" w:hAnsi="Times New Roman" w:eastAsia="宋体" w:cs="Times New Roman"/>
                <w:b/>
                <w:bCs/>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售后服务</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投标人提供售后服务方案。内容包括但不限于服务内容、响应时间、故障处理、售后维修服务响应流程、支撑保障、是否具备完善的维护服务保障体系等：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方案科学合理，流程清晰，有完善的维护服务保障体系的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方案较科学合理，流程较清晰，有较完善的服务保障体系的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方案内容简单，合理性一般，措施可操作性一般的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val="0"/>
                <w:sz w:val="24"/>
                <w:szCs w:val="24"/>
                <w:lang w:val="en-US" w:eastAsia="zh-CN" w:bidi="ar"/>
              </w:rPr>
              <w:t xml:space="preserve">分；</w:t>
            </w:r>
            <w:r/>
          </w:p>
          <w:p>
            <w:pPr>
              <w:pStyle w:val="701"/>
              <w:rPr>
                <w:rFonts w:hint="default"/>
              </w:rPr>
            </w:pPr>
            <w:r>
              <w:rPr>
                <w:rFonts w:hint="default" w:ascii="Times New Roman" w:hAnsi="Times New Roman" w:eastAsia="宋体" w:cs="Times New Roman"/>
                <w:sz w:val="24"/>
                <w:szCs w:val="24"/>
                <w:lang w:val="en-US" w:eastAsia="zh-CN" w:bidi="ar"/>
              </w:rPr>
              <w:t xml:space="preserve">方案内容</w:t>
            </w:r>
            <w:r>
              <w:rPr>
                <w:rFonts w:hint="eastAsia" w:ascii="Times New Roman" w:hAnsi="Times New Roman" w:eastAsia="宋体" w:cs="Times New Roman"/>
                <w:sz w:val="24"/>
                <w:szCs w:val="24"/>
                <w:lang w:val="en-US" w:eastAsia="zh-CN" w:bidi="ar"/>
              </w:rPr>
              <w:t xml:space="preserve">不符合本项目要求</w:t>
            </w:r>
            <w:r>
              <w:rPr>
                <w:rFonts w:hint="default" w:ascii="Times New Roman" w:hAnsi="Times New Roman" w:eastAsia="宋体" w:cs="Times New Roman"/>
                <w:sz w:val="24"/>
                <w:szCs w:val="24"/>
                <w:lang w:val="en-US" w:eastAsia="zh-CN" w:bidi="ar"/>
              </w:rPr>
              <w:t xml:space="preserve">，合理性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，措施可操作性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b/>
                <w:bCs w:val="0"/>
                <w:sz w:val="24"/>
                <w:szCs w:val="24"/>
                <w:lang w:val="en-US" w:eastAsia="zh-CN" w:bidi="ar"/>
              </w:rPr>
              <w:t xml:space="preserve">该项未见阐述不得分。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38</w:t>
      </w:r>
      <w:r>
        <w:rPr>
          <w:rFonts w:hint="eastAsia"/>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8593"/>
      </w:tblGrid>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
                <w:bCs/>
                <w:sz w:val="24"/>
                <w:szCs w:val="24"/>
              </w:rPr>
              <w:t xml:space="preserve">评审标准</w:t>
            </w:r>
            <w:r/>
          </w:p>
        </w:tc>
      </w:tr>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技术参数</w:t>
            </w:r>
            <w:r/>
          </w:p>
          <w:p>
            <w:pPr>
              <w:ind w:left="0" w:right="0"/>
              <w:jc w:val="center"/>
              <w:keepLines w:val="0"/>
              <w:keepNext w:val="0"/>
              <w:spacing w:before="0" w:beforeAutospacing="0" w:after="0" w:afterAutospacing="0" w:line="273" w:lineRule="auto"/>
              <w:widowControl w:val="off"/>
              <w:rPr>
                <w:rFonts w:hint="eastAsia" w:ascii="宋体" w:hAnsi="宋体" w:cs="宋体"/>
                <w:b/>
                <w:bCs/>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12</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所投产品技术参数完全满足招标文件第四章 项目需求 三、货物技术参数及功能指标的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cs="Times New Roman"/>
                <w:b/>
                <w:bCs w:val="0"/>
                <w:sz w:val="24"/>
                <w:szCs w:val="24"/>
                <w:lang w:val="en-US" w:eastAsia="zh-CN" w:bidi="ar"/>
              </w:rPr>
              <w:t xml:space="preserve">12</w:t>
            </w:r>
            <w:r>
              <w:rPr>
                <w:rFonts w:hint="default" w:ascii="Times New Roman" w:hAnsi="Times New Roman" w:eastAsia="宋体" w:cs="Times New Roman"/>
                <w:b/>
                <w:bCs w:val="0"/>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，参数每有一项负偏离扣</w:t>
            </w:r>
            <w:r>
              <w:rPr>
                <w:rFonts w:hint="eastAsia" w:ascii="Times New Roman" w:hAnsi="Times New Roman" w:cs="Times New Roman"/>
                <w:sz w:val="24"/>
                <w:szCs w:val="24"/>
                <w:lang w:val="en-US" w:eastAsia="zh-CN" w:bidi="ar"/>
              </w:rPr>
              <w:t xml:space="preserve">3</w:t>
            </w:r>
            <w:r>
              <w:rPr>
                <w:rFonts w:hint="default" w:ascii="Times New Roman" w:hAnsi="Times New Roman" w:eastAsia="宋体" w:cs="Times New Roman"/>
                <w:sz w:val="24"/>
                <w:szCs w:val="24"/>
                <w:lang w:val="en-US" w:eastAsia="zh-CN" w:bidi="ar"/>
              </w:rPr>
              <w:t xml:space="preserve">分，所有技术参数多于</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个（不含</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个）负偏离的，本项不得分。</w:t>
            </w:r>
            <w:r/>
          </w:p>
          <w:p>
            <w:pPr>
              <w:ind w:left="0" w:right="0"/>
              <w:jc w:val="both"/>
              <w:keepLines w:val="0"/>
              <w:keepNext w:val="0"/>
              <w:spacing w:before="0" w:beforeAutospacing="0" w:after="0" w:afterAutospacing="0" w:line="440" w:lineRule="exact"/>
              <w:widowControl w:val="off"/>
              <w:rPr>
                <w:rFonts w:hint="eastAsia" w:ascii="宋体" w:hAnsi="宋体" w:cs="宋体"/>
                <w:b/>
                <w:bCs/>
                <w:sz w:val="24"/>
                <w:szCs w:val="24"/>
              </w:rPr>
              <w:suppressLineNumbers w:val="0"/>
            </w:pPr>
            <w:r>
              <w:rPr>
                <w:rFonts w:hint="default" w:ascii="Times New Roman" w:hAnsi="Times New Roman" w:eastAsia="宋体" w:cs="Times New Roman"/>
                <w:b/>
                <w:bCs w:val="0"/>
                <w:sz w:val="24"/>
                <w:szCs w:val="24"/>
                <w:lang w:val="en-US" w:eastAsia="zh-CN" w:bidi="ar"/>
              </w:rPr>
              <w:t xml:space="preserve">（投标文件中详细填写技术要求响应及偏离表，须逐条响应，否则不得分。请投标人如实填写，如若中标，将作为履约验收依据）</w:t>
            </w:r>
            <w:r/>
          </w:p>
        </w:tc>
      </w:tr>
      <w:tr>
        <w:trPr>
          <w:trHeight w:val="251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rPr>
            </w:r>
            <w:r/>
          </w:p>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企业实力</w:t>
            </w:r>
            <w:r/>
          </w:p>
          <w:p>
            <w:pPr>
              <w:ind w:left="0" w:right="0"/>
              <w:jc w:val="center"/>
              <w:keepLines w:val="0"/>
              <w:keepNext w:val="0"/>
              <w:spacing w:before="0" w:beforeAutospacing="0" w:after="0" w:afterAutospacing="0" w:line="400" w:lineRule="exact"/>
              <w:widowControl w:val="off"/>
              <w:rPr>
                <w:rFonts w:hint="eastAsia" w:ascii="宋体" w:hAnsi="宋体" w:cs="宋体"/>
                <w:b/>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具有质量管理体系认证证书的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具有环境管理体系认证证书的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color w:val="ff0000"/>
                <w:sz w:val="24"/>
                <w:szCs w:val="24"/>
                <w:highlight w:val="none"/>
                <w:lang w:val="en-US"/>
              </w:rPr>
              <w:suppressLineNumbers w:val="0"/>
            </w:pPr>
            <w:r>
              <w:rPr>
                <w:rFonts w:hint="default"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具有职业健康安全管理体系认证证书的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suppressLineNumbers w:val="0"/>
            </w:pPr>
            <w:r>
              <w:rPr>
                <w:rFonts w:hint="default" w:ascii="Times New Roman" w:hAnsi="Times New Roman" w:eastAsia="宋体" w:cs="Times New Roman"/>
                <w:b/>
                <w:bCs w:val="0"/>
                <w:sz w:val="24"/>
                <w:szCs w:val="24"/>
                <w:highlight w:val="none"/>
                <w:lang w:val="en-US" w:eastAsia="zh-CN" w:bidi="ar"/>
              </w:rPr>
              <w:t xml:space="preserve">（上述1</w:t>
            </w:r>
            <w:r>
              <w:rPr>
                <w:rFonts w:hint="eastAsia" w:ascii="Times New Roman" w:hAnsi="Times New Roman" w:eastAsia="宋体" w:cs="Times New Roman"/>
                <w:b/>
                <w:bCs w:val="0"/>
                <w:sz w:val="24"/>
                <w:szCs w:val="24"/>
                <w:highlight w:val="none"/>
                <w:lang w:val="en-US" w:eastAsia="zh-CN" w:bidi="ar"/>
              </w:rPr>
              <w:t xml:space="preserve">—</w:t>
            </w:r>
            <w:r>
              <w:rPr>
                <w:rFonts w:hint="eastAsia" w:ascii="Times New Roman" w:hAnsi="Times New Roman" w:cs="Times New Roman"/>
                <w:b/>
                <w:bCs w:val="0"/>
                <w:sz w:val="24"/>
                <w:szCs w:val="24"/>
                <w:highlight w:val="none"/>
                <w:lang w:val="en-US" w:eastAsia="zh-CN" w:bidi="ar"/>
              </w:rPr>
              <w:t xml:space="preserve">3</w:t>
            </w:r>
            <w:r>
              <w:rPr>
                <w:rFonts w:hint="default" w:ascii="Times New Roman" w:hAnsi="Times New Roman" w:eastAsia="宋体" w:cs="Times New Roman"/>
                <w:b/>
                <w:bCs w:val="0"/>
                <w:sz w:val="24"/>
                <w:szCs w:val="24"/>
                <w:highlight w:val="none"/>
                <w:lang w:val="en-US" w:eastAsia="zh-CN" w:bidi="ar"/>
              </w:rPr>
              <w:t xml:space="preserve">项投标文件中同时提供：1.有效证书扫描件；2.国家认证认可监督管理委员会官网查询截图，并加盖投标人公章，缺项或未提供均不得分。</w:t>
            </w:r>
            <w:r/>
          </w:p>
        </w:tc>
      </w:tr>
      <w:tr>
        <w:trPr>
          <w:trHeight w:val="567"/>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产品质量</w:t>
            </w:r>
            <w:r/>
          </w:p>
          <w:p>
            <w:pPr>
              <w:ind w:left="0" w:right="0"/>
              <w:jc w:val="center"/>
              <w:keepLines w:val="0"/>
              <w:keepNext w:val="0"/>
              <w:spacing w:before="0" w:beforeAutospacing="0" w:after="0" w:afterAutospacing="0" w:line="273" w:lineRule="auto"/>
              <w:widowControl w:val="off"/>
              <w:rPr>
                <w:rFonts w:hint="default" w:ascii="宋体" w:hAnsi="宋体" w:eastAsia="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（1</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1.自202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年1月1日以来，所投12平方米单帐篷由国家认可的第三方检测机构出具的带有CMA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成品外观质量、防雨性能、篷体面料：①断裂强力②撕破强力③抗粘连性④单位面积质量⑤静水压⑥纤维含量⑦</w:t>
            </w:r>
            <w:r>
              <w:rPr>
                <w:rFonts w:hint="default" w:ascii="Times New Roman" w:hAnsi="Times New Roman" w:eastAsia="宋体" w:cs="Times New Roman"/>
                <w:color w:val="auto"/>
                <w:sz w:val="24"/>
                <w:szCs w:val="24"/>
                <w:lang w:val="en-US" w:eastAsia="zh-CN"/>
              </w:rPr>
              <w:t xml:space="preserve">阻燃性能（损毁长度、续燃时间、阴燃时间）</w:t>
            </w:r>
            <w:r>
              <w:rPr>
                <w:rFonts w:hint="eastAsia" w:ascii="Times New Roman" w:hAnsi="Times New Roman" w:eastAsia="宋体" w:cs="Times New Roman"/>
                <w:color w:val="auto"/>
                <w:sz w:val="24"/>
                <w:szCs w:val="24"/>
                <w:lang w:val="en-US" w:eastAsia="zh-CN"/>
              </w:rPr>
              <w:t xml:space="preserve">；包芯绳断裂强力、网眼布顶破强力、编织布断裂强力、机织布密度；电镀锌配件耐腐蚀性能；杆件外径及壁厚；拉链平拉强力、拉头拉片结合强力；外观要求：①外观描述②外形尺寸、蓬体材料、窗户描述③框架材料规格④</w:t>
            </w:r>
            <w:r>
              <w:rPr>
                <w:rFonts w:hint="eastAsia" w:ascii="Times New Roman" w:hAnsi="Times New Roman" w:cs="Times New Roman"/>
                <w:color w:val="auto"/>
                <w:sz w:val="24"/>
                <w:szCs w:val="24"/>
                <w:lang w:val="en-US" w:eastAsia="zh-CN"/>
              </w:rPr>
              <w:t xml:space="preserve">篷</w:t>
            </w:r>
            <w:r>
              <w:rPr>
                <w:rFonts w:hint="eastAsia" w:ascii="Times New Roman" w:hAnsi="Times New Roman" w:eastAsia="宋体" w:cs="Times New Roman"/>
                <w:color w:val="auto"/>
                <w:sz w:val="24"/>
                <w:szCs w:val="24"/>
                <w:lang w:val="en-US" w:eastAsia="zh-CN"/>
              </w:rPr>
              <w:t xml:space="preserve">顶缝制线要求⑤框架杆件要求⑥所有绳头、带头要求的</w:t>
            </w:r>
            <w:r>
              <w:rPr>
                <w:rFonts w:hint="eastAsia"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eastAsia="宋体" w:cs="Times New Roman"/>
                <w:b/>
                <w:bCs/>
                <w:color w:val="auto"/>
                <w:sz w:val="24"/>
                <w:szCs w:val="24"/>
                <w:lang w:val="en-US" w:eastAsia="zh-CN"/>
              </w:rPr>
              <w:t xml:space="preserve">分</w:t>
            </w:r>
            <w:r>
              <w:rPr>
                <w:rFonts w:hint="eastAsia"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2.自202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年1月1日以来，所投折叠床由国家认可的第三方检测机构出具的带有 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样式结构、</w:t>
            </w:r>
            <w:r>
              <w:rPr>
                <w:rFonts w:hint="default" w:ascii="Times New Roman" w:hAnsi="Times New Roman" w:eastAsia="宋体" w:cs="Times New Roman"/>
                <w:color w:val="auto"/>
                <w:sz w:val="24"/>
                <w:szCs w:val="24"/>
                <w:lang w:val="en-US" w:eastAsia="zh-CN"/>
              </w:rPr>
              <w:t xml:space="preserve">整体规格：①</w:t>
            </w:r>
            <w:r>
              <w:rPr>
                <w:rFonts w:hint="eastAsia" w:ascii="Times New Roman" w:hAnsi="Times New Roman" w:eastAsia="宋体" w:cs="Times New Roman"/>
                <w:color w:val="auto"/>
                <w:sz w:val="24"/>
                <w:szCs w:val="24"/>
                <w:lang w:val="en-US" w:eastAsia="zh-CN"/>
              </w:rPr>
              <w:t xml:space="preserve">展开</w:t>
            </w:r>
            <w:r>
              <w:rPr>
                <w:rFonts w:hint="default" w:ascii="Times New Roman" w:hAnsi="Times New Roman" w:eastAsia="宋体" w:cs="Times New Roman"/>
                <w:color w:val="auto"/>
                <w:sz w:val="24"/>
                <w:szCs w:val="24"/>
                <w:lang w:val="en-US" w:eastAsia="zh-CN"/>
              </w:rPr>
              <w:t xml:space="preserve">长度、宽度、高度尺寸②</w:t>
            </w:r>
            <w:r>
              <w:rPr>
                <w:rFonts w:hint="eastAsia" w:ascii="Times New Roman" w:hAnsi="Times New Roman" w:eastAsia="宋体" w:cs="Times New Roman"/>
                <w:color w:val="auto"/>
                <w:sz w:val="24"/>
                <w:szCs w:val="24"/>
                <w:lang w:val="en-US" w:eastAsia="zh-CN"/>
              </w:rPr>
              <w:t xml:space="preserve">折叠状态</w:t>
            </w:r>
            <w:r>
              <w:rPr>
                <w:rFonts w:hint="default" w:ascii="Times New Roman" w:hAnsi="Times New Roman" w:eastAsia="宋体" w:cs="Times New Roman"/>
                <w:color w:val="auto"/>
                <w:sz w:val="24"/>
                <w:szCs w:val="24"/>
                <w:lang w:val="en-US" w:eastAsia="zh-CN"/>
              </w:rPr>
              <w:t xml:space="preserve">长度、宽度、高度尺寸③承重量；</w:t>
            </w:r>
            <w:r>
              <w:rPr>
                <w:rFonts w:hint="eastAsia" w:ascii="Times New Roman" w:hAnsi="Times New Roman" w:eastAsia="宋体" w:cs="Times New Roman"/>
                <w:color w:val="auto"/>
                <w:sz w:val="24"/>
                <w:szCs w:val="24"/>
                <w:lang w:val="en-US" w:eastAsia="zh-CN"/>
              </w:rPr>
              <w:t xml:space="preserve">外观质量、缝制要求、床架要求、</w:t>
            </w:r>
            <w:r>
              <w:rPr>
                <w:rFonts w:hint="default" w:ascii="Times New Roman" w:hAnsi="Times New Roman" w:eastAsia="宋体" w:cs="Times New Roman"/>
                <w:color w:val="auto"/>
                <w:sz w:val="24"/>
                <w:szCs w:val="24"/>
                <w:lang w:val="en-US" w:eastAsia="zh-CN"/>
              </w:rPr>
              <w:t xml:space="preserve">床架及配件：①床架 / 床脚钢管材质及规格（</w:t>
            </w:r>
            <w:r>
              <w:rPr>
                <w:rFonts w:hint="eastAsia" w:ascii="Times New Roman" w:hAnsi="Times New Roman" w:eastAsia="宋体" w:cs="Times New Roman"/>
                <w:color w:val="auto"/>
                <w:sz w:val="24"/>
                <w:szCs w:val="24"/>
                <w:lang w:val="en-US" w:eastAsia="zh-CN"/>
              </w:rPr>
              <w:t xml:space="preserve">外</w:t>
            </w:r>
            <w:r>
              <w:rPr>
                <w:rFonts w:hint="default" w:ascii="Times New Roman" w:hAnsi="Times New Roman" w:eastAsia="宋体" w:cs="Times New Roman"/>
                <w:color w:val="auto"/>
                <w:sz w:val="24"/>
                <w:szCs w:val="24"/>
                <w:lang w:val="en-US" w:eastAsia="zh-CN"/>
              </w:rPr>
              <w:t xml:space="preserve">径、管壁厚度）②床脚折页钢板厚度③</w:t>
            </w:r>
            <w:r>
              <w:rPr>
                <w:rFonts w:hint="eastAsia" w:ascii="Times New Roman" w:hAnsi="Times New Roman" w:eastAsia="宋体" w:cs="Times New Roman"/>
                <w:color w:val="auto"/>
                <w:sz w:val="24"/>
                <w:szCs w:val="24"/>
                <w:lang w:val="en-US" w:eastAsia="zh-CN"/>
              </w:rPr>
              <w:t xml:space="preserve">钢管、钢板喷塑漆膜厚度</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钢管、钢板喷塑漆膜耐腐蚀度</w:t>
            </w:r>
            <w:r>
              <w:rPr>
                <w:rFonts w:hint="default" w:ascii="Times New Roman" w:hAnsi="Times New Roman" w:eastAsia="宋体" w:cs="Times New Roman"/>
                <w:color w:val="auto"/>
                <w:sz w:val="24"/>
                <w:szCs w:val="24"/>
                <w:lang w:val="en-US" w:eastAsia="zh-CN"/>
              </w:rPr>
              <w:t xml:space="preserve">；床布：①材质规格（666dtex×666dtex 涤纶丝）②</w:t>
            </w:r>
            <w:r>
              <w:rPr>
                <w:rFonts w:hint="eastAsia" w:ascii="Times New Roman" w:hAnsi="Times New Roman" w:eastAsia="宋体" w:cs="Times New Roman"/>
                <w:color w:val="auto"/>
                <w:sz w:val="24"/>
                <w:szCs w:val="24"/>
                <w:lang w:val="en-US" w:eastAsia="zh-CN"/>
              </w:rPr>
              <w:t xml:space="preserve">阻燃性能</w:t>
            </w:r>
            <w:r>
              <w:rPr>
                <w:rFonts w:hint="default" w:ascii="Times New Roman" w:hAnsi="Times New Roman" w:eastAsia="宋体" w:cs="Times New Roman"/>
                <w:color w:val="auto"/>
                <w:sz w:val="24"/>
                <w:szCs w:val="24"/>
                <w:lang w:val="en-US" w:eastAsia="zh-CN"/>
              </w:rPr>
              <w:t xml:space="preserve">③</w:t>
            </w:r>
            <w:r>
              <w:rPr>
                <w:rFonts w:hint="eastAsia" w:ascii="Times New Roman" w:hAnsi="Times New Roman" w:eastAsia="宋体" w:cs="Times New Roman"/>
                <w:color w:val="auto"/>
                <w:sz w:val="24"/>
                <w:szCs w:val="24"/>
                <w:lang w:val="en-US" w:eastAsia="zh-CN"/>
              </w:rPr>
              <w:t xml:space="preserve">静水压</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单位面积质量</w:t>
            </w:r>
            <w:r>
              <w:rPr>
                <w:rFonts w:hint="default" w:ascii="Times New Roman" w:hAnsi="Times New Roman" w:eastAsia="宋体" w:cs="Times New Roman"/>
                <w:color w:val="auto"/>
                <w:sz w:val="24"/>
                <w:szCs w:val="24"/>
                <w:lang w:val="en-US" w:eastAsia="zh-CN"/>
              </w:rPr>
              <w:t xml:space="preserve">⑤</w:t>
            </w:r>
            <w:r>
              <w:rPr>
                <w:rFonts w:hint="eastAsia" w:ascii="Times New Roman" w:hAnsi="Times New Roman" w:eastAsia="宋体" w:cs="Times New Roman"/>
                <w:color w:val="auto"/>
                <w:sz w:val="24"/>
                <w:szCs w:val="24"/>
                <w:lang w:val="en-US" w:eastAsia="zh-CN"/>
              </w:rPr>
              <w:t xml:space="preserve">断裂强力、撕破强力</w:t>
            </w:r>
            <w:r>
              <w:rPr>
                <w:rFonts w:hint="default" w:ascii="Times New Roman" w:hAnsi="Times New Roman" w:eastAsia="宋体" w:cs="Times New Roman"/>
                <w:color w:val="auto"/>
                <w:sz w:val="24"/>
                <w:szCs w:val="24"/>
                <w:lang w:val="en-US" w:eastAsia="zh-CN"/>
              </w:rPr>
              <w:t xml:space="preserve">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3.自202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棉被由国家认可的第三方检测机构出具的带有CMA标识的检测报告，且检测结果为合格（通过），检测内容至少包含但不限于以下指标，被套①纤维含量②甲醛含量③pH值④可分解致癌芳香胺染料⑤耐水色牢度⑥规格尺寸偏差率（缩后尺寸）⑦断裂强力；棉胎：①原料要求（包含短纤维含量、含杂质率、纤维含量）②颜色级③重量偏差率④规格尺寸偏差率（检测报告书上可以明确</w:t>
            </w:r>
            <w:r>
              <w:rPr>
                <w:rFonts w:hint="eastAsia" w:ascii="Times New Roman" w:hAnsi="Times New Roman" w:cs="Times New Roman"/>
                <w:color w:val="auto"/>
                <w:sz w:val="24"/>
                <w:szCs w:val="24"/>
                <w:lang w:val="en-US" w:eastAsia="zh-CN"/>
              </w:rPr>
              <w:t xml:space="preserve">反映</w:t>
            </w:r>
            <w:r>
              <w:rPr>
                <w:rFonts w:hint="default" w:ascii="Times New Roman" w:hAnsi="Times New Roman" w:eastAsia="宋体" w:cs="Times New Roman"/>
                <w:color w:val="auto"/>
                <w:sz w:val="24"/>
                <w:szCs w:val="24"/>
                <w:lang w:val="en-US" w:eastAsia="zh-CN"/>
              </w:rPr>
              <w:t xml:space="preserve">相关检测指标）的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供应商所投棉被承诺采用拉链式缝口的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2</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（投标文件中提供承诺书（格式自拟）并加盖投标人公章，否则不得分）</w:t>
            </w:r>
            <w:r/>
          </w:p>
          <w:p>
            <w:pPr>
              <w:ind w:left="0" w:right="0"/>
              <w:jc w:val="both"/>
              <w:keepLines w:val="0"/>
              <w:keepNext w:val="0"/>
              <w:spacing w:before="0" w:beforeAutospacing="0" w:after="0" w:afterAutospacing="0" w:line="440" w:lineRule="exact"/>
              <w:widowControl w:val="off"/>
              <w:rPr>
                <w:rFonts w:hint="eastAsia" w:hAnsi="宋体"/>
                <w:b/>
                <w:szCs w:val="24"/>
              </w:rPr>
              <w:suppressLineNumbers w:val="0"/>
            </w:pPr>
            <w:r>
              <w:rPr>
                <w:rFonts w:hint="default" w:ascii="Times New Roman" w:hAnsi="Times New Roman" w:eastAsia="宋体" w:cs="Times New Roman"/>
                <w:color w:val="auto"/>
                <w:sz w:val="24"/>
                <w:szCs w:val="24"/>
                <w:lang w:val="en-US" w:eastAsia="zh-CN"/>
              </w:rPr>
              <w:t xml:space="preserve">本项最高得</w:t>
            </w:r>
            <w:r>
              <w:rPr>
                <w:rFonts w:hint="eastAsia" w:ascii="Times New Roman" w:hAnsi="Times New Roman" w:eastAsia="宋体" w:cs="Times New Roman"/>
                <w:color w:val="auto"/>
                <w:sz w:val="24"/>
                <w:szCs w:val="24"/>
                <w:lang w:val="en-US" w:eastAsia="zh-CN"/>
              </w:rPr>
              <w:t xml:space="preserve">14</w:t>
            </w:r>
            <w:r>
              <w:rPr>
                <w:rFonts w:hint="default" w:ascii="Times New Roman" w:hAnsi="Times New Roman" w:eastAsia="宋体" w:cs="Times New Roman"/>
                <w:color w:val="auto"/>
                <w:sz w:val="24"/>
                <w:szCs w:val="24"/>
                <w:lang w:val="en-US" w:eastAsia="zh-CN"/>
              </w:rPr>
              <w:t xml:space="preserve">分（上述要求，检测（测试）报告中名称表述不完全一致，功能相近的，由评标委员会统一认定后</w:t>
            </w:r>
            <w:r>
              <w:rPr>
                <w:rFonts w:hint="eastAsia" w:ascii="Times New Roman" w:hAnsi="Times New Roman" w:cs="Times New Roman"/>
                <w:color w:val="auto"/>
                <w:sz w:val="24"/>
                <w:szCs w:val="24"/>
                <w:lang w:val="en-US" w:eastAsia="zh-CN"/>
              </w:rPr>
              <w:t xml:space="preserve">给予得分</w:t>
            </w:r>
            <w:r>
              <w:rPr>
                <w:rFonts w:hint="default" w:ascii="Times New Roman" w:hAnsi="Times New Roman" w:eastAsia="宋体" w:cs="Times New Roman"/>
                <w:color w:val="auto"/>
                <w:sz w:val="24"/>
                <w:szCs w:val="24"/>
                <w:lang w:val="en-US" w:eastAsia="zh-CN"/>
              </w:rPr>
              <w:t xml:space="preserve">。投标人可以提供说明并附相关证明材料，便于评审）。</w:t>
            </w:r>
            <w:r/>
          </w:p>
        </w:tc>
      </w:tr>
      <w:tr>
        <w:trPr>
          <w:trHeight w:val="154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业绩</w:t>
            </w:r>
            <w:r/>
          </w:p>
          <w:p>
            <w:pPr>
              <w:ind w:left="0" w:right="0"/>
              <w:jc w:val="center"/>
              <w:keepLines w:val="0"/>
              <w:keepNext w:val="0"/>
              <w:spacing w:before="0" w:beforeAutospacing="0" w:after="0" w:afterAutospacing="0" w:line="273" w:lineRule="auto"/>
              <w:widowControl w:val="off"/>
              <w:rPr>
                <w:rFonts w:hint="default" w:ascii="宋体" w:hAnsi="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Times New Roman" w:hAnsi="Times New Roman" w:eastAsia="宋体" w:cs="Times New Roman"/>
                <w:color w:val="auto"/>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投标人自2024年1月1日以来（以合同签订日期为准）具有同类产品的类似业绩，每提供一个业绩得1分，最高得6分（1个合同视作1个业绩，最多得1分）。</w:t>
            </w:r>
            <w:r/>
          </w:p>
          <w:p>
            <w:pPr>
              <w:ind w:left="0" w:right="0"/>
              <w:jc w:val="both"/>
              <w:keepLines w:val="0"/>
              <w:keepNext w:val="0"/>
              <w:spacing w:before="0" w:beforeAutospacing="0" w:after="0" w:afterAutospacing="0" w:line="440" w:lineRule="exact"/>
              <w:widowControl w:val="off"/>
              <w:rPr>
                <w:rFonts w:hint="default" w:ascii="宋体" w:hAnsi="宋体" w:eastAsia="宋体" w:cs="宋体"/>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注：投标人需提供的类似业绩证明材料，证明材料需要提供合同。货物名称表述不一致，由评标委员会统一认定后给予得分。</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spacing w:line="500" w:lineRule="exact"/>
        <w:rPr>
          <w:sz w:val="24"/>
          <w:szCs w:val="24"/>
        </w:rPr>
      </w:pPr>
      <w:r>
        <w:rPr>
          <w:rFonts w:hint="eastAsia" w:ascii="Arial" w:hAnsi="Arial" w:cs="Arial"/>
          <w:i/>
          <w:sz w:val="36"/>
          <w:u w:val="single"/>
        </w:rPr>
        <w:t xml:space="preserve">二、上一年度的财务状况报告（成立不满一年无需提供）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lang w:eastAsia="zh-CN"/>
        </w:rPr>
        <w:t xml:space="preserve">）</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致：采购人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代表我方______________（供应商的名称），全权处理本次项目投标的有关事宜。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财库〔2020〕46号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采购活动，提供的货物全部由符合政策要求的中小企业制造。根据《关于印发中小企业划型标准规定的通知》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工信部联企业〔2011〕300号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hint="eastAsia"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eastAsia"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连云港市发展和改革委员会</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Pr>
            <w:r>
              <w:rPr>
                <w:rFonts w:hint="eastAsia" w:ascii="Times New Roman" w:hAnsi="Times New Roman"/>
                <w:color w:val="000000"/>
                <w:szCs w:val="24"/>
              </w:rPr>
              <w:t xml:space="preserve">本采购包中提供的符合本国产品标准的产品成本之和占该采购包提供的全部产品成本之和的比例为</w:t>
            </w:r>
            <w:r>
              <w:rPr>
                <w:rFonts w:hint="eastAsia" w:ascii="Times New Roman" w:hAnsi="Times New Roman"/>
                <w:color w:val="000000"/>
                <w:szCs w:val="24"/>
                <w:u w:val="single"/>
                <w:lang w:val="en-US" w:eastAsia="zh-CN"/>
              </w:rPr>
              <w:t xml:space="preserve">    </w:t>
            </w:r>
            <w:r>
              <w:rPr>
                <w:rFonts w:hint="eastAsia" w:ascii="Times New Roman" w:hAnsi="Times New Roman"/>
                <w:color w:val="000000"/>
                <w:szCs w:val="24"/>
              </w:rPr>
              <w:t xml:space="preserve">%。</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1.</w:t>
      </w:r>
      <w:r>
        <w:rPr>
          <w:rFonts w:hint="eastAsia" w:ascii="宋体" w:hAnsi="宋体"/>
          <w:color w:val="000000"/>
          <w:szCs w:val="24"/>
        </w:rPr>
        <w:t xml:space="preserve">“制造商企业类型”栏填写内容为“大型”“中型”“小型”“微型”“监狱企业”或“残疾人福利性单位”。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2.</w:t>
      </w:r>
      <w:r>
        <w:rPr>
          <w:rFonts w:hint="eastAsia" w:ascii="宋体" w:hAnsi="宋体"/>
          <w:color w:val="000000"/>
          <w:szCs w:val="24"/>
        </w:rPr>
        <w:t xml:space="preserve">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3.</w:t>
      </w:r>
      <w:r>
        <w:rPr>
          <w:rFonts w:hint="eastAsia" w:ascii="宋体" w:hAnsi="宋体"/>
          <w:color w:val="00000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4.</w:t>
      </w:r>
      <w:r>
        <w:rPr>
          <w:rFonts w:hint="eastAsia" w:ascii="宋体" w:hAnsi="宋体"/>
          <w:color w:val="000000"/>
          <w:szCs w:val="24"/>
        </w:rPr>
        <w:t xml:space="preserve">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lang w:val="en-US" w:eastAsia="zh-CN"/>
        </w:rPr>
        <w:t xml:space="preserve">5.</w:t>
      </w:r>
      <w:r>
        <w:rPr>
          <w:rFonts w:hint="eastAsia" w:ascii="Times New Roman" w:hAnsi="宋体"/>
          <w:color w:val="000000"/>
          <w:szCs w:val="24"/>
        </w:rPr>
        <w:t xml:space="preserve">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4" w:name="_Hlt26671343"/>
            <w:r/>
            <w:bookmarkEnd w:id="14"/>
            <w:r/>
            <w:bookmarkStart w:id="15" w:name="_Hlt24879081"/>
            <w:r/>
            <w:bookmarkEnd w:id="15"/>
            <w:r/>
            <w:bookmarkStart w:id="16" w:name="_Hlt26609391"/>
            <w:r/>
            <w:bookmarkEnd w:id="16"/>
            <w:r/>
            <w:bookmarkStart w:id="17" w:name="_Hlt26955064"/>
            <w:r/>
            <w:bookmarkEnd w:id="17"/>
            <w:r/>
            <w:bookmarkStart w:id="18" w:name="_Hlt26671372"/>
            <w:r/>
            <w:bookmarkEnd w:id="18"/>
            <w:r/>
            <w:bookmarkStart w:id="19" w:name="_Hlt26580838"/>
            <w:r/>
            <w:bookmarkEnd w:id="19"/>
            <w:r/>
            <w:bookmarkStart w:id="20" w:name="_Hlt26955056"/>
            <w:r/>
            <w:bookmarkEnd w:id="20"/>
            <w:r/>
            <w:bookmarkStart w:id="21" w:name="_Hlt26782999"/>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955066"/>
      <w:r/>
      <w:bookmarkEnd w:id="22"/>
      <w:r/>
      <w:bookmarkStart w:id="23" w:name="_格式2__法定代表人授权书"/>
      <w:r/>
      <w:bookmarkEnd w:id="23"/>
      <w:r/>
      <w:bookmarkStart w:id="24" w:name="_Hlt26609389"/>
      <w:r/>
      <w:bookmarkEnd w:id="24"/>
      <w:r/>
      <w:bookmarkStart w:id="25" w:name="_Hlt26671374"/>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rPr>
          <w:rFonts w:hint="eastAsia" w:ascii="宋体" w:hAnsi="宋体"/>
          <w:color w:val="000000"/>
          <w:sz w:val="24"/>
          <w:szCs w:val="24"/>
        </w:rPr>
      </w:pPr>
      <w:r>
        <w:rPr>
          <w:rFonts w:hint="eastAsia" w:ascii="宋体" w:hAnsi="宋体"/>
          <w:color w:val="000000"/>
          <w:sz w:val="24"/>
          <w:szCs w:val="24"/>
        </w:rPr>
        <w:br w:type="page" w:clear="all"/>
      </w:r>
      <w:r/>
    </w:p>
    <w:p>
      <w:pPr>
        <w:jc w:val="left"/>
        <w:rPr>
          <w:rFonts w:hint="eastAsia" w:ascii="宋体" w:hAnsi="宋体"/>
          <w:color w:val="000000"/>
          <w:sz w:val="36"/>
          <w:szCs w:val="36"/>
          <w:lang w:val="en-US" w:eastAsia="zh-CN"/>
        </w:rPr>
      </w:pPr>
      <w:r>
        <w:rPr>
          <w:rFonts w:hint="eastAsia" w:ascii="宋体" w:hAnsi="宋体"/>
          <w:color w:val="000000"/>
          <w:sz w:val="36"/>
          <w:szCs w:val="36"/>
          <w:lang w:val="en-US" w:eastAsia="zh-CN"/>
        </w:rPr>
        <w:t xml:space="preserve">二十、关于符合本国产品标准的声明函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center"/>
        <w:rPr>
          <w:rFonts w:hint="eastAsia" w:ascii="宋体" w:hAnsi="宋体"/>
          <w:color w:val="000000"/>
          <w:sz w:val="24"/>
          <w:szCs w:val="24"/>
          <w:lang w:val="en-US" w:eastAsia="zh-CN"/>
        </w:rPr>
      </w:pPr>
      <w:r>
        <w:rPr>
          <w:rFonts w:hint="eastAsia" w:ascii="宋体" w:hAnsi="宋体"/>
          <w:b/>
          <w:bCs/>
          <w:color w:val="000000"/>
          <w:sz w:val="24"/>
          <w:szCs w:val="24"/>
          <w:lang w:val="en-US" w:eastAsia="zh-CN"/>
        </w:rPr>
        <w:t xml:space="preserve">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1，生产厂为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2，厂址为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3。</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4在中国境内生产。</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5在中国境内完成。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w:t>
      </w:r>
      <w:r>
        <w:rPr>
          <w:rFonts w:hint="eastAsia" w:ascii="宋体" w:hAnsi="宋体"/>
          <w:color w:val="000000"/>
          <w:sz w:val="24"/>
          <w:szCs w:val="24"/>
          <w:u w:val="single"/>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在中国境内生产。</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本公司（单位）对上述声明内容的真实性负责。如有虚假，愿承担相应法律责任。</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公司（单位）名称（盖章）：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日期：　     年　  月　  日</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1.产品如有型号，请在“产品名称”栏一并填写。</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2.生产厂名与厂址应与生产厂营业执照载明的相关信息保持一致。</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3.该产品的中国境内生产的组件成本占比相关要求实施前，“规定比例”栏可不填，下同。</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4.该产品的关键组件要求实施前，“关键组件”栏可不填。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5.该产品的关键工序要求实施前，“关键工序”栏可不填。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6.划除栏无需填写。</w:t>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ambria">
    <w:panose1 w:val="02040503050406030204"/>
  </w:font>
  <w:font w:name="Courier New">
    <w:panose1 w:val="02070309020205020404"/>
  </w:font>
  <w:font w:name="金山简黑体">
    <w:panose1 w:val="020B0503020202020204"/>
  </w:font>
  <w:font w:name="汉仪书宋二S">
    <w:panose1 w:val="020B0503020202020204"/>
  </w:font>
  <w:font w:name="MS Mincho">
    <w:panose1 w:val="020206030504050903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v:textbox>
            </v:shape>
          </w:pict>
        </mc:Fallback>
      </mc:AlternateContent>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Calibri" w:hAnsi="Calibri" w:eastAsia="宋体" w:cs="Times New Roman"/>
      <w:sz w:val="21"/>
      <w:szCs w:val="22"/>
      <w:lang w:val="en-US" w:eastAsia="zh-CN" w:bidi="ar-SA"/>
    </w:rPr>
  </w:style>
  <w:style w:type="paragraph" w:styleId="690">
    <w:name w:val="Heading 1"/>
    <w:basedOn w:val="689"/>
    <w:next w:val="689"/>
    <w:link w:val="78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90"/>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91"/>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92"/>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93"/>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94"/>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95"/>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96"/>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97"/>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semiHidden/>
    <w:unhideWhenUsed/>
    <w:qFormat/>
    <w:pPr>
      <w:jc w:val="left"/>
    </w:pPr>
  </w:style>
  <w:style w:type="paragraph" w:styleId="705">
    <w:name w:val="Body Text"/>
    <w:basedOn w:val="689"/>
    <w:uiPriority w:val="0"/>
    <w:qFormat/>
    <w:rPr>
      <w:rFonts w:ascii="金山简黑体" w:hAnsi="Courier New" w:eastAsia="金山简黑体"/>
      <w:b/>
      <w:spacing w:val="-8"/>
      <w:sz w:val="44"/>
      <w:szCs w:val="20"/>
    </w:rPr>
  </w:style>
  <w:style w:type="paragraph" w:styleId="706">
    <w:name w:val="Body Text Indent"/>
    <w:basedOn w:val="689"/>
    <w:uiPriority w:val="0"/>
    <w:qFormat/>
    <w:pPr>
      <w:ind w:left="420"/>
      <w:spacing w:after="120"/>
    </w:pPr>
  </w:style>
  <w:style w:type="paragraph" w:styleId="707">
    <w:name w:val="toc 5"/>
    <w:basedOn w:val="689"/>
    <w:next w:val="689"/>
    <w:uiPriority w:val="39"/>
    <w:unhideWhenUsed/>
    <w:qFormat/>
    <w:pPr>
      <w:ind w:left="1134"/>
      <w:spacing w:after="57"/>
    </w:pPr>
  </w:style>
  <w:style w:type="paragraph" w:styleId="708">
    <w:name w:val="toc 3"/>
    <w:basedOn w:val="689"/>
    <w:next w:val="689"/>
    <w:uiPriority w:val="39"/>
    <w:unhideWhenUsed/>
    <w:qFormat/>
    <w:pPr>
      <w:ind w:left="567"/>
      <w:spacing w:after="57"/>
    </w:pPr>
  </w:style>
  <w:style w:type="paragraph" w:styleId="709">
    <w:name w:val="Plain Text"/>
    <w:basedOn w:val="689"/>
    <w:uiPriority w:val="0"/>
    <w:unhideWhenUsed/>
    <w:qFormat/>
    <w:pPr>
      <w:ind w:firstLine="200"/>
      <w:spacing w:line="360" w:lineRule="auto"/>
    </w:pPr>
    <w:rPr>
      <w:rFonts w:ascii="宋体" w:hAnsi="Courier New"/>
      <w:sz w:val="24"/>
      <w:szCs w:val="21"/>
    </w:rPr>
  </w:style>
  <w:style w:type="paragraph" w:styleId="710">
    <w:name w:val="toc 8"/>
    <w:basedOn w:val="689"/>
    <w:next w:val="689"/>
    <w:uiPriority w:val="39"/>
    <w:unhideWhenUsed/>
    <w:qFormat/>
    <w:pPr>
      <w:ind w:left="1984"/>
      <w:spacing w:after="57"/>
    </w:pPr>
  </w:style>
  <w:style w:type="paragraph" w:styleId="711">
    <w:name w:val="Date"/>
    <w:basedOn w:val="689"/>
    <w:next w:val="689"/>
    <w:uiPriority w:val="0"/>
    <w:qFormat/>
    <w:rPr>
      <w:sz w:val="24"/>
      <w:szCs w:val="20"/>
    </w:rPr>
  </w:style>
  <w:style w:type="paragraph" w:styleId="712">
    <w:name w:val="endnote text"/>
    <w:basedOn w:val="689"/>
    <w:link w:val="916"/>
    <w:uiPriority w:val="99"/>
    <w:semiHidden/>
    <w:unhideWhenUsed/>
    <w:qFormat/>
    <w:rPr>
      <w:sz w:val="20"/>
    </w:rPr>
  </w:style>
  <w:style w:type="paragraph" w:styleId="713">
    <w:name w:val="Footer"/>
    <w:basedOn w:val="689"/>
    <w:link w:val="808"/>
    <w:uiPriority w:val="99"/>
    <w:unhideWhenUsed/>
    <w:qFormat/>
    <w:pPr>
      <w:tabs>
        <w:tab w:val="center" w:pos="7143" w:leader="none"/>
        <w:tab w:val="right" w:pos="14287" w:leader="none"/>
      </w:tabs>
    </w:pPr>
  </w:style>
  <w:style w:type="paragraph" w:styleId="714">
    <w:name w:val="Header"/>
    <w:basedOn w:val="689"/>
    <w:link w:val="806"/>
    <w:uiPriority w:val="99"/>
    <w:unhideWhenUsed/>
    <w:qFormat/>
    <w:pPr>
      <w:tabs>
        <w:tab w:val="center" w:pos="7143" w:leader="none"/>
        <w:tab w:val="right" w:pos="14287" w:leader="none"/>
      </w:tabs>
    </w:pPr>
  </w:style>
  <w:style w:type="paragraph" w:styleId="715">
    <w:name w:val="toc 1"/>
    <w:basedOn w:val="689"/>
    <w:next w:val="689"/>
    <w:uiPriority w:val="39"/>
    <w:unhideWhenUsed/>
    <w:qFormat/>
    <w:pPr>
      <w:spacing w:after="57"/>
    </w:pPr>
  </w:style>
  <w:style w:type="paragraph" w:styleId="716">
    <w:name w:val="toc 4"/>
    <w:basedOn w:val="689"/>
    <w:next w:val="689"/>
    <w:uiPriority w:val="39"/>
    <w:unhideWhenUsed/>
    <w:qFormat/>
    <w:pPr>
      <w:ind w:left="850"/>
      <w:spacing w:after="57"/>
    </w:pPr>
  </w:style>
  <w:style w:type="paragraph" w:styleId="717">
    <w:name w:val="Subtitle"/>
    <w:basedOn w:val="689"/>
    <w:next w:val="689"/>
    <w:link w:val="801"/>
    <w:uiPriority w:val="11"/>
    <w:qFormat/>
    <w:pPr>
      <w:spacing w:before="200" w:after="200"/>
    </w:pPr>
    <w:rPr>
      <w:sz w:val="24"/>
      <w:szCs w:val="24"/>
    </w:rPr>
  </w:style>
  <w:style w:type="paragraph" w:styleId="718">
    <w:name w:val="footnote text"/>
    <w:basedOn w:val="689"/>
    <w:link w:val="915"/>
    <w:uiPriority w:val="99"/>
    <w:semiHidden/>
    <w:unhideWhenUsed/>
    <w:qFormat/>
    <w:pPr>
      <w:spacing w:after="40"/>
    </w:pPr>
    <w:rPr>
      <w:sz w:val="18"/>
    </w:rPr>
  </w:style>
  <w:style w:type="paragraph" w:styleId="719">
    <w:name w:val="toc 6"/>
    <w:basedOn w:val="689"/>
    <w:next w:val="689"/>
    <w:uiPriority w:val="39"/>
    <w:unhideWhenUsed/>
    <w:qFormat/>
    <w:pPr>
      <w:ind w:left="1417"/>
      <w:spacing w:after="57"/>
    </w:pPr>
  </w:style>
  <w:style w:type="paragraph" w:styleId="720">
    <w:name w:val="table of figures"/>
    <w:basedOn w:val="689"/>
    <w:next w:val="689"/>
    <w:uiPriority w:val="99"/>
    <w:unhideWhenUsed/>
    <w:qFormat/>
  </w:style>
  <w:style w:type="paragraph" w:styleId="721">
    <w:name w:val="toc 2"/>
    <w:basedOn w:val="689"/>
    <w:next w:val="689"/>
    <w:uiPriority w:val="39"/>
    <w:unhideWhenUsed/>
    <w:qFormat/>
    <w:pPr>
      <w:ind w:left="283"/>
      <w:spacing w:after="57"/>
    </w:pPr>
  </w:style>
  <w:style w:type="paragraph" w:styleId="722">
    <w:name w:val="toc 9"/>
    <w:basedOn w:val="689"/>
    <w:next w:val="689"/>
    <w:uiPriority w:val="39"/>
    <w:unhideWhenUsed/>
    <w:qFormat/>
    <w:pPr>
      <w:ind w:left="2268"/>
      <w:spacing w:after="57"/>
    </w:pPr>
  </w:style>
  <w:style w:type="paragraph" w:styleId="723">
    <w:name w:val="Normal (Web)"/>
    <w:basedOn w:val="689"/>
    <w:uiPriority w:val="99"/>
    <w:semiHidden/>
    <w:unhideWhenUsed/>
    <w:qFormat/>
    <w:pPr>
      <w:ind w:left="0" w:right="0"/>
      <w:jc w:val="left"/>
      <w:spacing w:before="0" w:beforeAutospacing="1" w:after="0" w:afterAutospacing="1"/>
    </w:pPr>
    <w:rPr>
      <w:sz w:val="24"/>
      <w:lang w:val="en-US" w:eastAsia="zh-CN" w:bidi="ar"/>
    </w:rPr>
  </w:style>
  <w:style w:type="paragraph" w:styleId="724">
    <w:name w:val="Title"/>
    <w:basedOn w:val="689"/>
    <w:next w:val="689"/>
    <w:link w:val="800"/>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9"/>
    <w:uiPriority w:val="22"/>
    <w:qFormat/>
    <w:rPr>
      <w:b/>
    </w:rPr>
  </w:style>
  <w:style w:type="character" w:styleId="727">
    <w:name w:val="endnote reference"/>
    <w:uiPriority w:val="99"/>
    <w:semiHidden/>
    <w:unhideWhenUsed/>
    <w:qFormat/>
    <w:rPr>
      <w:vertAlign w:val="superscript"/>
    </w:rPr>
  </w:style>
  <w:style w:type="character" w:styleId="728">
    <w:name w:val="Emphasis"/>
    <w:basedOn w:val="699"/>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9"/>
    <w:uiPriority w:val="99"/>
    <w:semiHidden/>
    <w:unhideWhenUsed/>
    <w:qFormat/>
    <w:rPr>
      <w:sz w:val="21"/>
      <w:szCs w:val="21"/>
    </w:rPr>
  </w:style>
  <w:style w:type="character" w:styleId="731">
    <w:name w:val="footnote reference"/>
    <w:uiPriority w:val="99"/>
    <w:unhideWhenUsed/>
    <w:qFormat/>
    <w:rPr>
      <w:vertAlign w:val="superscript"/>
    </w:rPr>
  </w:style>
  <w:style w:type="table" w:styleId="73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Heading 1 Char"/>
    <w:basedOn w:val="699"/>
    <w:uiPriority w:val="9"/>
    <w:qFormat/>
    <w:rPr>
      <w:rFonts w:ascii="Arial" w:hAnsi="Arial" w:eastAsia="Arial" w:cs="Arial"/>
      <w:sz w:val="40"/>
      <w:szCs w:val="40"/>
    </w:rPr>
  </w:style>
  <w:style w:type="character" w:styleId="753" w:customStyle="1">
    <w:name w:val="Heading 2 Char"/>
    <w:basedOn w:val="699"/>
    <w:uiPriority w:val="9"/>
    <w:qFormat/>
    <w:rPr>
      <w:rFonts w:ascii="Arial" w:hAnsi="Arial" w:eastAsia="Arial" w:cs="Arial"/>
      <w:sz w:val="34"/>
    </w:rPr>
  </w:style>
  <w:style w:type="character" w:styleId="754" w:customStyle="1">
    <w:name w:val="Heading 3 Char"/>
    <w:basedOn w:val="699"/>
    <w:uiPriority w:val="9"/>
    <w:qFormat/>
    <w:rPr>
      <w:rFonts w:ascii="Arial" w:hAnsi="Arial" w:eastAsia="Arial" w:cs="Arial"/>
      <w:sz w:val="30"/>
      <w:szCs w:val="30"/>
    </w:rPr>
  </w:style>
  <w:style w:type="character" w:styleId="755" w:customStyle="1">
    <w:name w:val="Heading 4 Char"/>
    <w:basedOn w:val="699"/>
    <w:uiPriority w:val="9"/>
    <w:qFormat/>
    <w:rPr>
      <w:rFonts w:ascii="Arial" w:hAnsi="Arial" w:eastAsia="Arial" w:cs="Arial"/>
      <w:b/>
      <w:bCs/>
      <w:sz w:val="26"/>
      <w:szCs w:val="26"/>
    </w:rPr>
  </w:style>
  <w:style w:type="character" w:styleId="756" w:customStyle="1">
    <w:name w:val="Heading 5 Char"/>
    <w:basedOn w:val="699"/>
    <w:uiPriority w:val="9"/>
    <w:qFormat/>
    <w:rPr>
      <w:rFonts w:ascii="Arial" w:hAnsi="Arial" w:eastAsia="Arial" w:cs="Arial"/>
      <w:b/>
      <w:bCs/>
      <w:sz w:val="24"/>
      <w:szCs w:val="24"/>
    </w:rPr>
  </w:style>
  <w:style w:type="character" w:styleId="757" w:customStyle="1">
    <w:name w:val="Heading 6 Char"/>
    <w:basedOn w:val="699"/>
    <w:uiPriority w:val="9"/>
    <w:qFormat/>
    <w:rPr>
      <w:rFonts w:ascii="Arial" w:hAnsi="Arial" w:eastAsia="Arial" w:cs="Arial"/>
      <w:b/>
      <w:bCs/>
      <w:sz w:val="22"/>
      <w:szCs w:val="22"/>
    </w:rPr>
  </w:style>
  <w:style w:type="character" w:styleId="758" w:customStyle="1">
    <w:name w:val="Heading 7 Char"/>
    <w:basedOn w:val="699"/>
    <w:uiPriority w:val="9"/>
    <w:qFormat/>
    <w:rPr>
      <w:rFonts w:ascii="Arial" w:hAnsi="Arial" w:eastAsia="Arial" w:cs="Arial"/>
      <w:b/>
      <w:bCs/>
      <w:i/>
      <w:iCs/>
      <w:sz w:val="22"/>
      <w:szCs w:val="22"/>
    </w:rPr>
  </w:style>
  <w:style w:type="character" w:styleId="759" w:customStyle="1">
    <w:name w:val="Heading 8 Char"/>
    <w:basedOn w:val="699"/>
    <w:uiPriority w:val="9"/>
    <w:qFormat/>
    <w:rPr>
      <w:rFonts w:ascii="Arial" w:hAnsi="Arial" w:eastAsia="Arial" w:cs="Arial"/>
      <w:i/>
      <w:iCs/>
      <w:sz w:val="22"/>
      <w:szCs w:val="22"/>
    </w:rPr>
  </w:style>
  <w:style w:type="character" w:styleId="760" w:customStyle="1">
    <w:name w:val="Heading 9 Char"/>
    <w:basedOn w:val="699"/>
    <w:uiPriority w:val="9"/>
    <w:qFormat/>
    <w:rPr>
      <w:rFonts w:ascii="Arial" w:hAnsi="Arial" w:eastAsia="Arial" w:cs="Arial"/>
      <w:i/>
      <w:iCs/>
      <w:sz w:val="21"/>
      <w:szCs w:val="21"/>
    </w:rPr>
  </w:style>
  <w:style w:type="character" w:styleId="761" w:customStyle="1">
    <w:name w:val="Title Char"/>
    <w:basedOn w:val="699"/>
    <w:uiPriority w:val="10"/>
    <w:qFormat/>
    <w:rPr>
      <w:sz w:val="48"/>
      <w:szCs w:val="48"/>
    </w:rPr>
  </w:style>
  <w:style w:type="character" w:styleId="762" w:customStyle="1">
    <w:name w:val="Subtitle Char"/>
    <w:basedOn w:val="699"/>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699"/>
    <w:uiPriority w:val="99"/>
    <w:qFormat/>
  </w:style>
  <w:style w:type="character" w:styleId="766" w:customStyle="1">
    <w:name w:val="Caption Char"/>
    <w:uiPriority w:val="99"/>
    <w:qFormat/>
  </w:style>
  <w:style w:type="table" w:styleId="767"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0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0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0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character" w:styleId="789" w:customStyle="1">
    <w:name w:val="标题 1 字符"/>
    <w:link w:val="690"/>
    <w:uiPriority w:val="9"/>
    <w:qFormat/>
    <w:rPr>
      <w:rFonts w:ascii="Arial" w:hAnsi="Arial" w:eastAsia="Arial" w:cs="Arial"/>
      <w:sz w:val="40"/>
      <w:szCs w:val="40"/>
    </w:rPr>
  </w:style>
  <w:style w:type="character" w:styleId="790" w:customStyle="1">
    <w:name w:val="标题 2 字符"/>
    <w:link w:val="691"/>
    <w:uiPriority w:val="9"/>
    <w:qFormat/>
    <w:rPr>
      <w:rFonts w:ascii="Arial" w:hAnsi="Arial" w:eastAsia="Arial" w:cs="Arial"/>
      <w:sz w:val="34"/>
    </w:rPr>
  </w:style>
  <w:style w:type="character" w:styleId="791" w:customStyle="1">
    <w:name w:val="标题 3 字符"/>
    <w:link w:val="692"/>
    <w:uiPriority w:val="9"/>
    <w:qFormat/>
    <w:rPr>
      <w:rFonts w:ascii="Arial" w:hAnsi="Arial" w:eastAsia="Arial" w:cs="Arial"/>
      <w:sz w:val="30"/>
      <w:szCs w:val="30"/>
    </w:rPr>
  </w:style>
  <w:style w:type="character" w:styleId="792" w:customStyle="1">
    <w:name w:val="标题 4 字符"/>
    <w:link w:val="693"/>
    <w:uiPriority w:val="9"/>
    <w:qFormat/>
    <w:rPr>
      <w:rFonts w:ascii="Arial" w:hAnsi="Arial" w:eastAsia="Arial" w:cs="Arial"/>
      <w:b/>
      <w:bCs/>
      <w:sz w:val="26"/>
      <w:szCs w:val="26"/>
    </w:rPr>
  </w:style>
  <w:style w:type="character" w:styleId="793" w:customStyle="1">
    <w:name w:val="标题 5 字符"/>
    <w:link w:val="694"/>
    <w:uiPriority w:val="9"/>
    <w:qFormat/>
    <w:rPr>
      <w:rFonts w:ascii="Arial" w:hAnsi="Arial" w:eastAsia="Arial" w:cs="Arial"/>
      <w:b/>
      <w:bCs/>
      <w:sz w:val="24"/>
      <w:szCs w:val="24"/>
    </w:rPr>
  </w:style>
  <w:style w:type="character" w:styleId="794" w:customStyle="1">
    <w:name w:val="标题 6 字符"/>
    <w:link w:val="695"/>
    <w:uiPriority w:val="9"/>
    <w:qFormat/>
    <w:rPr>
      <w:rFonts w:ascii="Arial" w:hAnsi="Arial" w:eastAsia="Arial" w:cs="Arial"/>
      <w:b/>
      <w:bCs/>
      <w:sz w:val="22"/>
      <w:szCs w:val="22"/>
    </w:rPr>
  </w:style>
  <w:style w:type="character" w:styleId="795" w:customStyle="1">
    <w:name w:val="标题 7 字符"/>
    <w:link w:val="696"/>
    <w:uiPriority w:val="9"/>
    <w:qFormat/>
    <w:rPr>
      <w:rFonts w:ascii="Arial" w:hAnsi="Arial" w:eastAsia="Arial" w:cs="Arial"/>
      <w:b/>
      <w:bCs/>
      <w:i/>
      <w:iCs/>
      <w:sz w:val="22"/>
      <w:szCs w:val="22"/>
    </w:rPr>
  </w:style>
  <w:style w:type="character" w:styleId="796" w:customStyle="1">
    <w:name w:val="标题 8 字符"/>
    <w:link w:val="697"/>
    <w:uiPriority w:val="9"/>
    <w:qFormat/>
    <w:rPr>
      <w:rFonts w:ascii="Arial" w:hAnsi="Arial" w:eastAsia="Arial" w:cs="Arial"/>
      <w:i/>
      <w:iCs/>
      <w:sz w:val="22"/>
      <w:szCs w:val="22"/>
    </w:rPr>
  </w:style>
  <w:style w:type="character" w:styleId="797" w:customStyle="1">
    <w:name w:val="标题 9 字符"/>
    <w:link w:val="698"/>
    <w:uiPriority w:val="9"/>
    <w:qFormat/>
    <w:rPr>
      <w:rFonts w:ascii="Arial" w:hAnsi="Arial" w:eastAsia="Arial" w:cs="Arial"/>
      <w:i/>
      <w:iCs/>
      <w:sz w:val="21"/>
      <w:szCs w:val="21"/>
    </w:rPr>
  </w:style>
  <w:style w:type="paragraph" w:styleId="798">
    <w:name w:val="List Paragraph"/>
    <w:basedOn w:val="689"/>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link w:val="724"/>
    <w:uiPriority w:val="10"/>
    <w:qFormat/>
    <w:rPr>
      <w:sz w:val="48"/>
      <w:szCs w:val="48"/>
    </w:rPr>
  </w:style>
  <w:style w:type="character" w:styleId="801" w:customStyle="1">
    <w:name w:val="副标题 字符"/>
    <w:link w:val="717"/>
    <w:uiPriority w:val="11"/>
    <w:qFormat/>
    <w:rPr>
      <w:sz w:val="24"/>
      <w:szCs w:val="24"/>
    </w:rPr>
  </w:style>
  <w:style w:type="paragraph" w:styleId="802">
    <w:name w:val="Quote"/>
    <w:basedOn w:val="689"/>
    <w:next w:val="689"/>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689"/>
    <w:next w:val="689"/>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link w:val="714"/>
    <w:uiPriority w:val="99"/>
    <w:qFormat/>
  </w:style>
  <w:style w:type="character" w:styleId="807" w:customStyle="1">
    <w:name w:val="Footer Char"/>
    <w:uiPriority w:val="99"/>
    <w:qFormat/>
  </w:style>
  <w:style w:type="character" w:styleId="808" w:customStyle="1">
    <w:name w:val="页脚 字符"/>
    <w:link w:val="71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8"/>
    <w:uiPriority w:val="99"/>
    <w:qFormat/>
    <w:rPr>
      <w:sz w:val="18"/>
    </w:rPr>
  </w:style>
  <w:style w:type="character" w:styleId="916" w:customStyle="1">
    <w:name w:val="尾注文本 字符"/>
    <w:link w:val="712"/>
    <w:uiPriority w:val="99"/>
    <w:qFormat/>
    <w:rPr>
      <w:sz w:val="20"/>
    </w:rPr>
  </w:style>
  <w:style w:type="paragraph" w:styleId="917" w:customStyle="1">
    <w:name w:val="TOC 标题11"/>
    <w:uiPriority w:val="39"/>
    <w:unhideWhenUsed/>
    <w:qFormat/>
    <w:rPr>
      <w:rFonts w:hint="default" w:ascii="Times New Roman" w:hAnsi="Times New Roman" w:eastAsia="宋体" w:cs="Times New Roman"/>
      <w:lang w:val="en-US" w:eastAsia="zh-CN" w:bidi="ar-SA"/>
    </w:rPr>
  </w:style>
  <w:style w:type="paragraph" w:styleId="918" w:customStyle="1">
    <w:name w:val="标题 11"/>
    <w:basedOn w:val="689"/>
    <w:next w:val="689"/>
    <w:link w:val="923"/>
    <w:uiPriority w:val="0"/>
    <w:qFormat/>
    <w:pPr>
      <w:keepLines/>
      <w:keepNext/>
      <w:spacing w:before="340" w:after="330" w:line="578" w:lineRule="auto"/>
      <w:outlineLvl w:val="0"/>
    </w:pPr>
    <w:rPr>
      <w:rFonts w:ascii="Times New Roman" w:hAnsi="Times New Roman"/>
      <w:b/>
      <w:bCs/>
      <w:sz w:val="44"/>
      <w:szCs w:val="44"/>
    </w:rPr>
  </w:style>
  <w:style w:type="paragraph" w:styleId="919" w:customStyle="1">
    <w:name w:val="标题 21"/>
    <w:basedOn w:val="689"/>
    <w:next w:val="689"/>
    <w:link w:val="924"/>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
    <w:basedOn w:val="689"/>
    <w:next w:val="689"/>
    <w:link w:val="925"/>
    <w:uiPriority w:val="0"/>
    <w:qFormat/>
    <w:pPr>
      <w:keepLines/>
      <w:keepNext/>
      <w:spacing w:before="260" w:after="260" w:line="416" w:lineRule="auto"/>
      <w:outlineLvl w:val="2"/>
    </w:pPr>
    <w:rPr>
      <w:rFonts w:ascii="Times New Roman" w:hAnsi="Times New Roman"/>
      <w:b/>
      <w:bCs/>
      <w:sz w:val="32"/>
      <w:szCs w:val="32"/>
    </w:rPr>
  </w:style>
  <w:style w:type="character" w:styleId="921" w:customStyle="1">
    <w:name w:val="默认段落字体1"/>
    <w:uiPriority w:val="0"/>
    <w:qFormat/>
    <w:rPr>
      <w:rFonts w:ascii="Times New Roman" w:hAnsi="Times New Roman" w:eastAsia="宋体" w:cs="Times New Roman"/>
    </w:rPr>
  </w:style>
  <w:style w:type="table" w:styleId="922" w:customStyle="1">
    <w:name w:val="普通表格1"/>
    <w:uiPriority w:val="0"/>
    <w:qFormat/>
    <w:tblPr>
      <w:tblCellMar>
        <w:left w:w="0" w:type="dxa"/>
        <w:top w:w="0" w:type="dxa"/>
        <w:right w:w="0" w:type="dxa"/>
        <w:bottom w:w="0" w:type="dxa"/>
      </w:tblCellMar>
    </w:tblPr>
  </w:style>
  <w:style w:type="character" w:styleId="923" w:customStyle="1">
    <w:name w:val="标题 1 Char"/>
    <w:basedOn w:val="921"/>
    <w:link w:val="918"/>
    <w:uiPriority w:val="0"/>
    <w:qFormat/>
    <w:rPr>
      <w:rFonts w:ascii="Times New Roman" w:hAnsi="Times New Roman" w:eastAsia="宋体" w:cs="Times New Roman"/>
      <w:b/>
      <w:bCs/>
      <w:sz w:val="44"/>
      <w:szCs w:val="44"/>
    </w:rPr>
  </w:style>
  <w:style w:type="character" w:styleId="924" w:customStyle="1">
    <w:name w:val="标题 2 Char"/>
    <w:basedOn w:val="921"/>
    <w:link w:val="919"/>
    <w:uiPriority w:val="0"/>
    <w:qFormat/>
    <w:rPr>
      <w:rFonts w:ascii="Cambria" w:hAnsi="Cambria" w:eastAsia="宋体" w:cs="Times New Roman"/>
      <w:b/>
      <w:bCs/>
      <w:sz w:val="32"/>
      <w:szCs w:val="32"/>
    </w:rPr>
  </w:style>
  <w:style w:type="character" w:styleId="925" w:customStyle="1">
    <w:name w:val="标题 3 Char"/>
    <w:basedOn w:val="921"/>
    <w:link w:val="920"/>
    <w:uiPriority w:val="0"/>
    <w:qFormat/>
    <w:rPr>
      <w:rFonts w:ascii="Times New Roman" w:hAnsi="Times New Roman" w:eastAsia="宋体" w:cs="Times New Roman"/>
      <w:b/>
      <w:bCs/>
      <w:sz w:val="32"/>
      <w:szCs w:val="32"/>
    </w:rPr>
  </w:style>
  <w:style w:type="paragraph" w:styleId="926" w:customStyle="1">
    <w:name w:val="文档结构图1"/>
    <w:basedOn w:val="689"/>
    <w:link w:val="927"/>
    <w:uiPriority w:val="0"/>
    <w:qFormat/>
    <w:rPr>
      <w:rFonts w:ascii="宋体" w:hAnsi="Times New Roman"/>
      <w:sz w:val="18"/>
      <w:szCs w:val="18"/>
    </w:rPr>
  </w:style>
  <w:style w:type="character" w:styleId="927" w:customStyle="1">
    <w:name w:val="文档结构图 Char"/>
    <w:basedOn w:val="921"/>
    <w:link w:val="926"/>
    <w:uiPriority w:val="0"/>
    <w:qFormat/>
    <w:rPr>
      <w:rFonts w:ascii="宋体" w:hAnsi="Times New Roman" w:eastAsia="宋体" w:cs="Times New Roman"/>
      <w:sz w:val="18"/>
      <w:szCs w:val="18"/>
    </w:rPr>
  </w:style>
  <w:style w:type="paragraph" w:styleId="928" w:customStyle="1">
    <w:name w:val="批注文字1"/>
    <w:basedOn w:val="689"/>
    <w:link w:val="929"/>
    <w:uiPriority w:val="0"/>
    <w:qFormat/>
    <w:pPr>
      <w:ind w:firstLine="922"/>
      <w:jc w:val="left"/>
      <w:spacing w:line="360" w:lineRule="auto"/>
    </w:pPr>
    <w:rPr>
      <w:rFonts w:ascii="Times New Roman" w:hAnsi="Times New Roman"/>
      <w:szCs w:val="24"/>
    </w:rPr>
  </w:style>
  <w:style w:type="character" w:styleId="929" w:customStyle="1">
    <w:name w:val="批注文字 Char"/>
    <w:basedOn w:val="921"/>
    <w:link w:val="928"/>
    <w:uiPriority w:val="0"/>
    <w:qFormat/>
    <w:rPr>
      <w:rFonts w:ascii="Times New Roman" w:hAnsi="Times New Roman" w:eastAsia="宋体" w:cs="Times New Roman"/>
      <w:szCs w:val="24"/>
    </w:rPr>
  </w:style>
  <w:style w:type="paragraph" w:styleId="930" w:customStyle="1">
    <w:name w:val="正文文本1"/>
    <w:basedOn w:val="689"/>
    <w:next w:val="689"/>
    <w:link w:val="931"/>
    <w:uiPriority w:val="0"/>
    <w:qFormat/>
    <w:pPr>
      <w:spacing w:after="120"/>
    </w:pPr>
  </w:style>
  <w:style w:type="character" w:styleId="931" w:customStyle="1">
    <w:name w:val="正文文本 Char"/>
    <w:basedOn w:val="921"/>
    <w:link w:val="930"/>
    <w:uiPriority w:val="0"/>
    <w:qFormat/>
    <w:rPr>
      <w:rFonts w:ascii="Calibri" w:hAnsi="Calibri" w:eastAsia="宋体" w:cs="Times New Roman"/>
    </w:rPr>
  </w:style>
  <w:style w:type="paragraph" w:styleId="932" w:customStyle="1">
    <w:name w:val="正文文本缩进1"/>
    <w:basedOn w:val="689"/>
    <w:link w:val="933"/>
    <w:uiPriority w:val="0"/>
    <w:qFormat/>
    <w:pPr>
      <w:ind w:left="420"/>
      <w:spacing w:after="120"/>
    </w:pPr>
    <w:rPr>
      <w:rFonts w:ascii="Times New Roman" w:hAnsi="Times New Roman"/>
      <w:szCs w:val="24"/>
    </w:rPr>
  </w:style>
  <w:style w:type="character" w:styleId="933" w:customStyle="1">
    <w:name w:val="正文文本缩进 Char"/>
    <w:basedOn w:val="921"/>
    <w:link w:val="932"/>
    <w:uiPriority w:val="0"/>
    <w:qFormat/>
    <w:rPr>
      <w:rFonts w:ascii="Times New Roman" w:hAnsi="Times New Roman" w:eastAsia="宋体" w:cs="Times New Roman"/>
      <w:szCs w:val="24"/>
    </w:rPr>
  </w:style>
  <w:style w:type="paragraph" w:styleId="934" w:customStyle="1">
    <w:name w:val="纯文本1"/>
    <w:basedOn w:val="689"/>
    <w:link w:val="935"/>
    <w:uiPriority w:val="0"/>
    <w:qFormat/>
    <w:rPr>
      <w:rFonts w:ascii="宋体" w:hAnsi="Courier New" w:cs="Courier New"/>
      <w:szCs w:val="21"/>
    </w:rPr>
  </w:style>
  <w:style w:type="character" w:styleId="935" w:customStyle="1">
    <w:name w:val="纯文本 Char"/>
    <w:basedOn w:val="921"/>
    <w:link w:val="934"/>
    <w:uiPriority w:val="0"/>
    <w:qFormat/>
    <w:rPr>
      <w:rFonts w:ascii="宋体" w:hAnsi="Courier New" w:eastAsia="宋体" w:cs="Courier New"/>
      <w:szCs w:val="21"/>
    </w:rPr>
  </w:style>
  <w:style w:type="paragraph" w:styleId="936" w:customStyle="1">
    <w:name w:val="日期1"/>
    <w:basedOn w:val="689"/>
    <w:next w:val="689"/>
    <w:link w:val="937"/>
    <w:uiPriority w:val="0"/>
    <w:qFormat/>
    <w:pPr>
      <w:ind w:left="100"/>
    </w:pPr>
    <w:rPr>
      <w:rFonts w:ascii="Times New Roman" w:hAnsi="Times New Roman"/>
    </w:rPr>
  </w:style>
  <w:style w:type="character" w:styleId="937" w:customStyle="1">
    <w:name w:val="日期 Char"/>
    <w:basedOn w:val="921"/>
    <w:link w:val="936"/>
    <w:uiPriority w:val="0"/>
    <w:qFormat/>
    <w:rPr>
      <w:rFonts w:ascii="Times New Roman" w:hAnsi="Times New Roman" w:eastAsia="宋体" w:cs="Times New Roman"/>
    </w:rPr>
  </w:style>
  <w:style w:type="paragraph" w:styleId="938" w:customStyle="1">
    <w:name w:val="批注框文本1"/>
    <w:basedOn w:val="689"/>
    <w:link w:val="939"/>
    <w:uiPriority w:val="0"/>
    <w:qFormat/>
    <w:rPr>
      <w:rFonts w:ascii="Times New Roman" w:hAnsi="Times New Roman"/>
      <w:sz w:val="18"/>
      <w:szCs w:val="18"/>
    </w:rPr>
  </w:style>
  <w:style w:type="character" w:styleId="939" w:customStyle="1">
    <w:name w:val="批注框文本 Char"/>
    <w:basedOn w:val="921"/>
    <w:link w:val="938"/>
    <w:uiPriority w:val="0"/>
    <w:qFormat/>
    <w:rPr>
      <w:rFonts w:ascii="Times New Roman" w:hAnsi="Times New Roman" w:eastAsia="宋体" w:cs="Times New Roman"/>
      <w:sz w:val="18"/>
      <w:szCs w:val="18"/>
    </w:rPr>
  </w:style>
  <w:style w:type="paragraph" w:styleId="940" w:customStyle="1">
    <w:name w:val="页脚1"/>
    <w:basedOn w:val="689"/>
    <w:link w:val="941"/>
    <w:uiPriority w:val="0"/>
    <w:qFormat/>
    <w:pPr>
      <w:jc w:val="left"/>
      <w:tabs>
        <w:tab w:val="center" w:pos="4153" w:leader="none"/>
        <w:tab w:val="right" w:pos="8306" w:leader="none"/>
      </w:tabs>
    </w:pPr>
    <w:rPr>
      <w:rFonts w:ascii="Times New Roman" w:hAnsi="Times New Roman"/>
      <w:sz w:val="18"/>
      <w:szCs w:val="18"/>
    </w:rPr>
  </w:style>
  <w:style w:type="character" w:styleId="941" w:customStyle="1">
    <w:name w:val="页脚 Char"/>
    <w:basedOn w:val="921"/>
    <w:link w:val="940"/>
    <w:uiPriority w:val="0"/>
    <w:qFormat/>
    <w:rPr>
      <w:rFonts w:ascii="Times New Roman" w:hAnsi="Times New Roman" w:eastAsia="宋体" w:cs="Times New Roman"/>
      <w:sz w:val="18"/>
      <w:szCs w:val="18"/>
    </w:rPr>
  </w:style>
  <w:style w:type="paragraph" w:styleId="942" w:customStyle="1">
    <w:name w:val="页眉1"/>
    <w:basedOn w:val="689"/>
    <w:link w:val="94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3" w:customStyle="1">
    <w:name w:val="页眉 Char"/>
    <w:basedOn w:val="921"/>
    <w:link w:val="942"/>
    <w:uiPriority w:val="0"/>
    <w:qFormat/>
    <w:rPr>
      <w:rFonts w:ascii="Times New Roman" w:hAnsi="Times New Roman" w:eastAsia="宋体" w:cs="Times New Roman"/>
      <w:sz w:val="18"/>
      <w:szCs w:val="18"/>
    </w:rPr>
  </w:style>
  <w:style w:type="paragraph" w:styleId="944" w:customStyle="1">
    <w:name w:val="目录 11"/>
    <w:basedOn w:val="689"/>
    <w:next w:val="689"/>
    <w:uiPriority w:val="0"/>
    <w:qFormat/>
    <w:pPr>
      <w:jc w:val="center"/>
      <w:tabs>
        <w:tab w:val="right" w:pos="8296" w:leader="dot"/>
      </w:tabs>
    </w:pPr>
    <w:rPr>
      <w:rFonts w:ascii="黑体" w:hAnsi="黑体" w:eastAsia="黑体"/>
      <w:sz w:val="44"/>
      <w:szCs w:val="44"/>
    </w:rPr>
  </w:style>
  <w:style w:type="paragraph" w:styleId="945" w:customStyle="1">
    <w:name w:val="普通(网站)1"/>
    <w:basedOn w:val="689"/>
    <w:uiPriority w:val="0"/>
    <w:qFormat/>
    <w:rPr>
      <w:rFonts w:ascii="Times New Roman" w:hAnsi="Times New Roman"/>
      <w:sz w:val="24"/>
    </w:rPr>
  </w:style>
  <w:style w:type="table" w:styleId="946" w:customStyle="1">
    <w:name w:val="网格型1"/>
    <w:basedOn w:val="922"/>
    <w:uiPriority w:val="0"/>
    <w:qFormat/>
    <w:tblPr/>
  </w:style>
  <w:style w:type="character" w:styleId="947" w:customStyle="1">
    <w:name w:val="超链接1"/>
    <w:uiPriority w:val="0"/>
    <w:qFormat/>
    <w:rPr>
      <w:rFonts w:ascii="Times New Roman" w:hAnsi="Times New Roman" w:eastAsia="宋体" w:cs="Times New Roman"/>
      <w:color w:val="0000ff"/>
      <w:u w:val="none"/>
    </w:rPr>
  </w:style>
  <w:style w:type="character" w:styleId="948" w:customStyle="1">
    <w:name w:val="批注引用1"/>
    <w:uiPriority w:val="0"/>
    <w:qFormat/>
    <w:rPr>
      <w:rFonts w:ascii="Times New Roman" w:hAnsi="Times New Roman" w:eastAsia="宋体" w:cs="Times New Roman"/>
      <w:sz w:val="21"/>
      <w:szCs w:val="21"/>
    </w:rPr>
  </w:style>
  <w:style w:type="paragraph" w:styleId="9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0" w:customStyle="1">
    <w:name w:val="列出段落1"/>
    <w:basedOn w:val="689"/>
    <w:uiPriority w:val="0"/>
    <w:qFormat/>
    <w:pPr>
      <w:ind w:firstLine="420"/>
    </w:pPr>
    <w:rPr>
      <w:rFonts w:ascii="Times New Roman" w:hAnsi="Times New Roman"/>
      <w:szCs w:val="21"/>
    </w:rPr>
  </w:style>
  <w:style w:type="paragraph" w:styleId="951" w:customStyle="1">
    <w:name w:val="无间隔1"/>
    <w:basedOn w:val="689"/>
    <w:uiPriority w:val="0"/>
    <w:qFormat/>
    <w:rPr>
      <w:rFonts w:ascii="Times New Roman" w:hAnsi="Times New Roman"/>
    </w:rPr>
  </w:style>
  <w:style w:type="paragraph" w:styleId="952" w:customStyle="1">
    <w:name w:val="正文文本11"/>
    <w:basedOn w:val="689"/>
    <w:next w:val="689"/>
    <w:uiPriority w:val="0"/>
    <w:qFormat/>
    <w:rPr>
      <w:rFonts w:ascii="楷体_GB2312" w:hAnsi="Arial" w:eastAsia="楷体_GB2312"/>
      <w:sz w:val="28"/>
      <w:szCs w:val="28"/>
      <w:lang w:eastAsia="en-US"/>
    </w:rPr>
  </w:style>
  <w:style w:type="paragraph" w:styleId="953" w:customStyle="1">
    <w:name w:val="正文首行缩进11"/>
    <w:basedOn w:val="952"/>
    <w:uiPriority w:val="0"/>
    <w:qFormat/>
    <w:pPr>
      <w:ind w:firstLine="200"/>
      <w:spacing w:line="360" w:lineRule="auto"/>
    </w:pPr>
    <w:rPr>
      <w:rFonts w:ascii="仿宋_GB2312" w:hAnsi="Times New Roman" w:eastAsia="仿宋_GB2312"/>
      <w:sz w:val="30"/>
      <w:szCs w:val="30"/>
    </w:rPr>
  </w:style>
  <w:style w:type="paragraph" w:styleId="954" w:customStyle="1">
    <w:name w:val="正文1"/>
    <w:basedOn w:val="689"/>
    <w:uiPriority w:val="0"/>
    <w:qFormat/>
    <w:pPr>
      <w:ind w:left="357" w:firstLine="420"/>
      <w:jc w:val="left"/>
      <w:spacing w:line="360" w:lineRule="auto"/>
      <w:widowControl/>
    </w:pPr>
    <w:rPr>
      <w:rFonts w:cs="Arial"/>
      <w:szCs w:val="20"/>
    </w:rPr>
  </w:style>
  <w:style w:type="character" w:styleId="955" w:customStyle="1">
    <w:name w:val="font11"/>
    <w:basedOn w:val="699"/>
    <w:uiPriority w:val="0"/>
    <w:qFormat/>
    <w:rPr>
      <w:rFonts w:ascii="宋体" w:hAnsi="宋体" w:eastAsia="宋体" w:cs="宋体"/>
      <w:color w:val="463800"/>
      <w:sz w:val="28"/>
      <w:szCs w:val="28"/>
      <w:u w:val="none"/>
    </w:rPr>
  </w:style>
  <w:style w:type="character" w:styleId="956" w:customStyle="1">
    <w:name w:val="font21"/>
    <w:basedOn w:val="699"/>
    <w:uiPriority w:val="0"/>
    <w:qFormat/>
    <w:rPr>
      <w:rFonts w:ascii="宋体" w:hAnsi="宋体" w:eastAsia="宋体" w:cs="宋体"/>
      <w:b/>
      <w:bCs/>
      <w:color w:val="372700"/>
      <w:sz w:val="28"/>
      <w:szCs w:val="28"/>
      <w:u w:val="none"/>
    </w:rPr>
  </w:style>
  <w:style w:type="character" w:styleId="957" w:customStyle="1">
    <w:name w:val="font51"/>
    <w:basedOn w:val="699"/>
    <w:uiPriority w:val="0"/>
    <w:qFormat/>
    <w:rPr>
      <w:rFonts w:ascii="宋体" w:hAnsi="宋体" w:eastAsia="宋体" w:cs="宋体"/>
      <w:color w:val="000000"/>
      <w:sz w:val="28"/>
      <w:szCs w:val="28"/>
      <w:u w:val="none"/>
    </w:rPr>
  </w:style>
  <w:style w:type="character" w:styleId="958" w:customStyle="1">
    <w:name w:val="font61"/>
    <w:basedOn w:val="699"/>
    <w:uiPriority w:val="0"/>
    <w:qFormat/>
    <w:rPr>
      <w:rFonts w:ascii="Arial" w:hAnsi="Arial" w:cs="Arial"/>
      <w:color w:val="000000"/>
      <w:sz w:val="19"/>
      <w:szCs w:val="19"/>
      <w:u w:val="none"/>
    </w:rPr>
  </w:style>
  <w:style w:type="character" w:styleId="959" w:customStyle="1">
    <w:name w:val="font71"/>
    <w:basedOn w:val="699"/>
    <w:uiPriority w:val="0"/>
    <w:qFormat/>
    <w:rPr>
      <w:rFonts w:hint="default" w:ascii="Arial" w:hAnsi="Arial" w:cs="Arial"/>
      <w:color w:val="000000"/>
      <w:sz w:val="21"/>
      <w:szCs w:val="21"/>
      <w:u w:val="none"/>
    </w:rPr>
  </w:style>
  <w:style w:type="character" w:styleId="960" w:customStyle="1">
    <w:name w:val="font81"/>
    <w:basedOn w:val="699"/>
    <w:uiPriority w:val="0"/>
    <w:qFormat/>
    <w:rPr>
      <w:rFonts w:ascii="Arial" w:hAnsi="Arial" w:cs="Arial"/>
      <w:color w:val="000000"/>
      <w:sz w:val="22"/>
      <w:szCs w:val="22"/>
      <w:u w:val="none"/>
    </w:rPr>
  </w:style>
  <w:style w:type="character" w:styleId="961" w:customStyle="1">
    <w:name w:val="font12"/>
    <w:basedOn w:val="699"/>
    <w:uiPriority w:val="0"/>
    <w:qFormat/>
    <w:rPr>
      <w:rFonts w:ascii="宋体" w:hAnsi="宋体" w:eastAsia="宋体" w:cs="宋体"/>
      <w:color w:val="000000"/>
      <w:sz w:val="28"/>
      <w:szCs w:val="28"/>
      <w:u w:val="none"/>
    </w:rPr>
  </w:style>
  <w:style w:type="character" w:styleId="962" w:customStyle="1">
    <w:name w:val="font91"/>
    <w:basedOn w:val="699"/>
    <w:uiPriority w:val="0"/>
    <w:qFormat/>
    <w:rPr>
      <w:rFonts w:hint="default" w:ascii="Arial" w:hAnsi="Arial" w:cs="Arial"/>
      <w:color w:val="000000"/>
      <w:sz w:val="21"/>
      <w:szCs w:val="21"/>
      <w:u w:val="none"/>
    </w:rPr>
  </w:style>
  <w:style w:type="character" w:styleId="963" w:customStyle="1">
    <w:name w:val="font101"/>
    <w:basedOn w:val="699"/>
    <w:uiPriority w:val="0"/>
    <w:qFormat/>
    <w:rPr>
      <w:rFonts w:hint="default" w:ascii="Arial" w:hAnsi="Arial" w:cs="Arial"/>
      <w:color w:val="000000"/>
      <w:sz w:val="12"/>
      <w:szCs w:val="12"/>
      <w:u w:val="none"/>
    </w:rPr>
  </w:style>
  <w:style w:type="character" w:styleId="964" w:customStyle="1">
    <w:name w:val="font111"/>
    <w:basedOn w:val="699"/>
    <w:uiPriority w:val="0"/>
    <w:qFormat/>
    <w:rPr>
      <w:rFonts w:hint="default" w:ascii="Arial" w:hAnsi="Arial" w:cs="Arial"/>
      <w:color w:val="000000"/>
      <w:sz w:val="18"/>
      <w:szCs w:val="18"/>
      <w:u w:val="none"/>
    </w:rPr>
  </w:style>
  <w:style w:type="character" w:styleId="965" w:customStyle="1">
    <w:name w:val="font122"/>
    <w:basedOn w:val="699"/>
    <w:uiPriority w:val="0"/>
    <w:qFormat/>
    <w:rPr>
      <w:rFonts w:hint="default" w:ascii="Arial" w:hAnsi="Arial" w:cs="Arial"/>
      <w:color w:val="000000"/>
      <w:sz w:val="19"/>
      <w:szCs w:val="19"/>
      <w:u w:val="none"/>
    </w:rPr>
  </w:style>
  <w:style w:type="character" w:styleId="966" w:customStyle="1">
    <w:name w:val="font131"/>
    <w:basedOn w:val="699"/>
    <w:uiPriority w:val="0"/>
    <w:qFormat/>
    <w:rPr>
      <w:rFonts w:hint="default" w:ascii="Arial" w:hAnsi="Arial" w:cs="Arial"/>
      <w:color w:val="000000"/>
      <w:sz w:val="16"/>
      <w:szCs w:val="16"/>
      <w:u w:val="none"/>
    </w:rPr>
  </w:style>
  <w:style w:type="character" w:styleId="967" w:customStyle="1">
    <w:name w:val="15"/>
    <w:basedOn w:val="699"/>
    <w:uiPriority w:val="0"/>
    <w:qFormat/>
    <w:rPr>
      <w:rFonts w:hint="eastAsia" w:ascii="宋体" w:hAnsi="宋体" w:eastAsia="宋体" w:cs="宋体"/>
      <w:color w:val="000000"/>
      <w:sz w:val="21"/>
      <w:szCs w:val="21"/>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bae7304e-7684-4c06-b6cc-e88d97808bda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5C9E8530</paraID>
      <start>48</start>
      <end>49</end>
      <status>ignored</status>
      <modifiedWord/>
      <trackRevisions>false</trackRevisions>
    </reviewItem>
    <reviewItem>
      <errorID>bd285748-2182-4fad-99e4-d41177fdde89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5A214EBA</paraID>
      <start>48</start>
      <end>49</end>
      <status>ignored</status>
      <modifiedWord/>
      <trackRevisions>false</trackRevisions>
    </reviewItem>
    <reviewItem>
      <errorID>9fa85492-2f64-45f1-9eef-63d59b983031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4EB88DE7</paraID>
      <start>33</start>
      <end>34</end>
      <status>ignored</status>
      <modifiedWord/>
      <trackRevisions>false</trackRevisions>
    </reviewItem>
    <reviewItem>
      <errorID>7335faf3-808f-4bdf-8e3b-ae97a6eeba77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1C4E92BF</paraID>
      <start>44</start>
      <end>45</end>
      <status>unmodified</status>
      <modifiedWord/>
      <trackRevisions>false</trackRevisions>
    </reviewItem>
    <reviewItem>
      <errorID>b773fc3b-eea8-4319-be5d-17ea3ee2969f</errorID>
      <errorWord>中止</errorWord>
      <group>L1_Word</group>
      <groupName>字词问题</groupName>
      <ability>L2_Typo</ability>
      <abilityName>字词错误</abilityName>
      <candidateList>
        <item>终止</item>
      </candidateList>
      <explain/>
      <paraID>3800DE79</paraID>
      <start>109</start>
      <end>111</end>
      <status>unmodified</status>
      <modifiedWord/>
      <trackRevisions>false</trackRevisions>
    </reviewItem>
    <reviewItem>
      <errorID>6371aadd-c3de-45f8-81bf-a03fe8e5ef37</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215453F7</paraID>
      <start>6</start>
      <end>8</end>
      <status>ignored</status>
      <modifiedWord/>
      <trackRevisions>false</trackRevisions>
    </reviewItem>
    <reviewItem>
      <errorID>e062d7c5-5ed6-416f-aeef-16f4848cfcad</errorID>
      <errorWord>胶粘剂</errorWord>
      <group>L1_Word</group>
      <groupName>字词问题</groupName>
      <ability>L2_Typo</ability>
      <abilityName>字词错误</abilityName>
      <candidateList>
        <item>胶黏剂</item>
      </candidateList>
      <explain/>
      <paraID>2BC6207A</paraID>
      <start>394</start>
      <end>397</end>
      <status>ignored</status>
      <modifiedWord/>
      <trackRevisions>false</trackRevisions>
    </reviewItem>
    <reviewItem>
      <errorID>e8127f06-f5b9-462f-b936-bae4fbc5d6df</errorID>
      <errorWord>详实</errorWord>
      <group>L1_Word</group>
      <groupName>字词问题</groupName>
      <ability>L2_Typo</ability>
      <abilityName>字词错误</abilityName>
      <candidateList>
        <item>翔实</item>
      </candidateList>
      <explain/>
      <paraID>70B9640C</paraID>
      <start>17</start>
      <end>19</end>
      <status>ignored</status>
      <modifiedWord/>
      <trackRevisions>false</trackRevisions>
    </reviewItem>
    <reviewItem>
      <errorID>6e886438-648f-4b3a-baed-7cabe88606b4</errorID>
      <errorWord>，较</errorWord>
      <group>L1_Word</group>
      <groupName>字词问题</groupName>
      <ability>L2_Typo</ability>
      <abilityName>字词错误</abilityName>
      <candidateList>
        <item>，</item>
      </candidateList>
      <explain/>
      <paraID>1D3B0953</paraID>
      <start>25</start>
      <end>27</end>
      <status>ignored</status>
      <modifiedWord/>
      <trackRevisions>false</trackRevisions>
    </reviewItem>
    <reviewItem>
      <errorID>14f72ed7-1f8f-48d0-a199-593ea4eeff25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4F43BE6D</paraID>
      <start>0</start>
      <end>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FFF2811-A34D-4C71-8D8F-CFAD8E8598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陈帅</cp:lastModifiedBy>
  <cp:revision>15</cp:revision>
  <dcterms:created xsi:type="dcterms:W3CDTF">2025-12-17T02:25:00Z</dcterms:created>
  <dcterms:modified xsi:type="dcterms:W3CDTF">2026-05-27T07:38:04Z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eyJoZGlkIjoiNGY0NzM5MjNkZjY0YjMyZmFhOTVkMTM3MTdmNzFmMWUiLCJ1c2VySWQiOiIxMDA5MDUwNTQyIn0=</vt:lpwstr>
  </property>
  <property fmtid="{D5CDD505-2E9C-101B-9397-08002B2CF9AE}" pid="3" name="KSOProductBuildVer">
    <vt:lpwstr>2052-12.1.0.25865</vt:lpwstr>
  </property>
  <property fmtid="{D5CDD505-2E9C-101B-9397-08002B2CF9AE}" pid="4" name="ICV">
    <vt:lpwstr>DC47BAB7D71240FF9FC01B497BFD5A1D_13</vt:lpwstr>
  </property>
</Properties>
</file>