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ascii="Arial" w:hAnsi="Arial" w:eastAsia="黑体"/>
          <w:b/>
          <w:bCs/>
          <w:color w:val="000000" w:themeColor="text1"/>
          <w:sz w:val="84"/>
          <w:szCs w:val="24"/>
          <w:highlight w:val="none"/>
          <w14:textFill>
            <w14:solidFill>
              <w14:schemeClr w14:val="tx1"/>
            </w14:solidFill>
          </w14:textFill>
        </w:rPr>
      </w:r>
      <w:r/>
    </w:p>
    <w:p>
      <w:pPr>
        <w:ind w:firstLine="1687"/>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center"/>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ind w:firstLine="361"/>
        <w:jc w:val="left"/>
        <w:spacing w:line="600" w:lineRule="exact"/>
        <w:rPr>
          <w:rFonts w:hint="eastAsia"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r>
      <w:r/>
    </w:p>
    <w:p>
      <w:pPr>
        <w:ind w:firstLine="361"/>
        <w:jc w:val="left"/>
        <w:spacing w:line="600" w:lineRule="exact"/>
        <w:rPr>
          <w:rFonts w:hint="eastAsia"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r>
      <w:r/>
    </w:p>
    <w:p>
      <w:pPr>
        <w:ind w:firstLine="361"/>
        <w:jc w:val="left"/>
        <w:spacing w:line="600" w:lineRule="exac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 xml:space="preserve">JSZC-320581-SZXY-G2026-0013</w:t>
      </w:r>
      <w:r/>
    </w:p>
    <w:p>
      <w:pPr>
        <w:ind w:firstLine="361"/>
        <w:spacing w:line="600" w:lineRule="exac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项目名称：</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 xml:space="preserve">常熟市遗体接运服务（2026年-2028年）</w:t>
      </w:r>
      <w:r/>
    </w:p>
    <w:p>
      <w:pPr>
        <w:ind w:firstLine="361"/>
        <w:jc w:val="left"/>
        <w:spacing w:line="600" w:lineRule="exact"/>
        <w:rPr>
          <w:rFonts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项目属性：服务类项目</w:t>
      </w:r>
      <w:r/>
    </w:p>
    <w:p>
      <w:pPr>
        <w:ind w:left="2100" w:firstLine="480"/>
        <w:rPr>
          <w:rFonts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b/>
          <w:color w:val="000000" w:themeColor="text1"/>
          <w:sz w:val="30"/>
          <w:szCs w:val="30"/>
          <w:highlight w:val="none"/>
          <w14:textFill>
            <w14:solidFill>
              <w14:schemeClr w14:val="tx1"/>
            </w14:solidFill>
          </w14:textFill>
        </w:rPr>
        <w:t xml:space="preserve">    </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jc w:val="center"/>
        <w:spacing w:before="120" w:after="120" w:line="360" w:lineRule="auto"/>
        <w:rPr>
          <w:rFonts w:hint="eastAsia" w:ascii="宋体" w:hAnsi="宋体"/>
          <w:b/>
          <w:bCs/>
          <w:color w:val="000000" w:themeColor="text1"/>
          <w:sz w:val="40"/>
          <w:szCs w:val="28"/>
          <w:highlight w:val="none"/>
          <w14:textFill>
            <w14:solidFill>
              <w14:schemeClr w14:val="tx1"/>
            </w14:solidFill>
          </w14:textFill>
        </w:rPr>
      </w:pPr>
      <w:r>
        <w:rPr>
          <w:rFonts w:hint="eastAsia" w:ascii="宋体" w:hAnsi="宋体"/>
          <w:b/>
          <w:bCs/>
          <w:color w:val="000000" w:themeColor="text1"/>
          <w:sz w:val="40"/>
          <w:szCs w:val="28"/>
          <w:highlight w:val="none"/>
          <w14:textFill>
            <w14:solidFill>
              <w14:schemeClr w14:val="tx1"/>
            </w14:solidFill>
          </w14:textFill>
        </w:rPr>
      </w:r>
      <w:r/>
    </w:p>
    <w:p>
      <w:pPr>
        <w:ind w:firstLine="723"/>
        <w:jc w:val="center"/>
        <w:spacing w:before="120" w:after="120" w:line="360" w:lineRule="auto"/>
        <w:rPr>
          <w:rFonts w:hint="eastAsia" w:ascii="宋体" w:hAnsi="宋体"/>
          <w:b/>
          <w:bCs/>
          <w:color w:val="000000" w:themeColor="text1"/>
          <w:sz w:val="40"/>
          <w:szCs w:val="28"/>
          <w:highlight w:val="none"/>
          <w14:textFill>
            <w14:solidFill>
              <w14:schemeClr w14:val="tx1"/>
            </w14:solidFill>
          </w14:textFill>
        </w:rPr>
      </w:pPr>
      <w:r>
        <w:rPr>
          <w:rFonts w:hint="eastAsia" w:ascii="宋体" w:hAnsi="宋体"/>
          <w:b/>
          <w:bCs/>
          <w:color w:val="000000" w:themeColor="text1"/>
          <w:sz w:val="40"/>
          <w:szCs w:val="28"/>
          <w:highlight w:val="none"/>
          <w14:textFill>
            <w14:solidFill>
              <w14:schemeClr w14:val="tx1"/>
            </w14:solidFill>
          </w14:textFill>
        </w:rPr>
      </w:r>
      <w:r/>
    </w:p>
    <w:p>
      <w:pPr>
        <w:ind w:firstLine="723"/>
        <w:jc w:val="center"/>
        <w:spacing w:before="120" w:after="120" w:line="360" w:lineRule="auto"/>
        <w:rPr>
          <w:rFonts w:ascii="宋体" w:hAnsi="宋体"/>
          <w:b/>
          <w:bCs/>
          <w:color w:val="000000" w:themeColor="text1"/>
          <w:sz w:val="40"/>
          <w:szCs w:val="28"/>
          <w:highlight w:val="none"/>
          <w14:textFill>
            <w14:solidFill>
              <w14:schemeClr w14:val="tx1"/>
            </w14:solidFill>
          </w14:textFill>
        </w:rPr>
      </w:pPr>
      <w:r>
        <w:rPr>
          <w:rFonts w:hint="eastAsia" w:ascii="宋体" w:hAnsi="宋体"/>
          <w:b/>
          <w:bCs/>
          <w:color w:val="000000" w:themeColor="text1"/>
          <w:sz w:val="40"/>
          <w:szCs w:val="28"/>
          <w:highlight w:val="none"/>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highlight w:val="none"/>
          <w14:textFill>
            <w14:solidFill>
              <w14:schemeClr w14:val="tx1"/>
            </w14:solidFill>
          </w14:textFill>
        </w:rPr>
      </w:pPr>
      <w:r>
        <w:rPr>
          <w:rFonts w:ascii="宋体" w:hAnsi="宋体"/>
          <w:b/>
          <w:bCs/>
          <w:color w:val="000000" w:themeColor="text1"/>
          <w:sz w:val="40"/>
          <w:szCs w:val="28"/>
          <w:highlight w:val="none"/>
          <w14:textFill>
            <w14:solidFill>
              <w14:schemeClr w14:val="tx1"/>
            </w14:solidFill>
          </w14:textFill>
        </w:rPr>
        <w:t xml:space="preserve">202</w:t>
      </w:r>
      <w:r>
        <w:rPr>
          <w:rFonts w:hint="eastAsia" w:ascii="宋体" w:hAnsi="宋体"/>
          <w:b/>
          <w:bCs/>
          <w:color w:val="000000" w:themeColor="text1"/>
          <w:sz w:val="40"/>
          <w:szCs w:val="28"/>
          <w:highlight w:val="none"/>
          <w:lang w:val="en-US" w:eastAsia="zh-CN"/>
          <w14:textFill>
            <w14:solidFill>
              <w14:schemeClr w14:val="tx1"/>
            </w14:solidFill>
          </w14:textFill>
        </w:rPr>
        <w:t xml:space="preserve">6</w:t>
      </w:r>
      <w:r>
        <w:rPr>
          <w:rFonts w:hint="eastAsia" w:ascii="宋体" w:hAnsi="宋体"/>
          <w:b/>
          <w:bCs/>
          <w:color w:val="000000" w:themeColor="text1"/>
          <w:sz w:val="40"/>
          <w:szCs w:val="28"/>
          <w:highlight w:val="none"/>
          <w14:textFill>
            <w14:solidFill>
              <w14:schemeClr w14:val="tx1"/>
            </w14:solidFill>
          </w14:textFill>
        </w:rPr>
        <w:t xml:space="preserve">年</w:t>
      </w:r>
      <w:r>
        <w:rPr>
          <w:rFonts w:hint="eastAsia" w:ascii="宋体" w:hAnsi="宋体"/>
          <w:b/>
          <w:bCs/>
          <w:color w:val="000000" w:themeColor="text1"/>
          <w:sz w:val="40"/>
          <w:szCs w:val="28"/>
          <w:highlight w:val="none"/>
          <w:lang w:val="en-US" w:eastAsia="zh-CN"/>
          <w14:textFill>
            <w14:solidFill>
              <w14:schemeClr w14:val="tx1"/>
            </w14:solidFill>
          </w14:textFill>
        </w:rPr>
        <w:t xml:space="preserve">5</w:t>
      </w:r>
      <w:r>
        <w:rPr>
          <w:rFonts w:hint="eastAsia" w:ascii="宋体" w:hAnsi="宋体"/>
          <w:b/>
          <w:bCs/>
          <w:color w:val="000000" w:themeColor="text1"/>
          <w:sz w:val="40"/>
          <w:szCs w:val="28"/>
          <w:highlight w:val="none"/>
          <w14:textFill>
            <w14:solidFill>
              <w14:schemeClr w14:val="tx1"/>
            </w14:solidFill>
          </w14:textFill>
        </w:rPr>
        <w:t xml:space="preserve">月</w:t>
      </w:r>
      <w:r>
        <w:rPr>
          <w:rFonts w:hint="eastAsia" w:ascii="宋体" w:hAnsi="宋体"/>
          <w:b/>
          <w:bCs/>
          <w:color w:val="000000" w:themeColor="text1"/>
          <w:sz w:val="40"/>
          <w:szCs w:val="28"/>
          <w:highlight w:val="none"/>
          <w:lang w:val="en-US" w:eastAsia="zh-CN"/>
          <w14:textFill>
            <w14:solidFill>
              <w14:schemeClr w14:val="tx1"/>
            </w14:solidFill>
          </w14:textFill>
        </w:rPr>
        <w:t xml:space="preserve">6</w:t>
      </w:r>
      <w:r>
        <w:rPr>
          <w:rFonts w:hint="eastAsia" w:ascii="宋体" w:hAnsi="宋体"/>
          <w:b/>
          <w:bCs/>
          <w:color w:val="000000" w:themeColor="text1"/>
          <w:sz w:val="40"/>
          <w:szCs w:val="28"/>
          <w:highlight w:val="none"/>
          <w14:textFill>
            <w14:solidFill>
              <w14:schemeClr w14:val="tx1"/>
            </w14:solidFill>
          </w14:textFill>
        </w:rPr>
        <w:t xml:space="preserve">日</w:t>
      </w:r>
      <w:r/>
    </w:p>
    <w:p>
      <w:pPr>
        <w:pStyle w:val="1199"/>
        <w:ind w:firstLine="640"/>
        <w:jc w:val="center"/>
        <w:rPr>
          <w:b/>
          <w:bCs/>
          <w:color w:val="000000" w:themeColor="text1"/>
          <w:highlight w:val="none"/>
          <w:lang w:val="zh-CN"/>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771" w:right="720" w:bottom="993" w:left="720" w:header="231" w:footer="452" w:gutter="0"/>
          <w:cols w:num="1" w:sep="0" w:space="720" w:equalWidth="1"/>
          <w:docGrid w:linePitch="360"/>
          <w:titlePg/>
        </w:sectPr>
      </w:pPr>
      <w:r/>
      <w:bookmarkStart w:id="0" w:name="_Toc120614210"/>
      <w:r/>
      <w:bookmarkStart w:id="1" w:name="_Toc16938516"/>
      <w:r/>
      <w:bookmarkStart w:id="2" w:name="_Toc20823272"/>
      <w:r/>
      <w:bookmarkStart w:id="3" w:name="_Toc513029200"/>
      <w:r/>
      <w:bookmarkStart w:id="4" w:name="_Toc479757206"/>
      <w:r/>
      <w:bookmarkStart w:id="5" w:name="_Toc523127445"/>
      <w:r/>
      <w:r/>
    </w:p>
    <w:p>
      <w:pPr>
        <w:pStyle w:val="1199"/>
        <w:ind w:firstLine="640"/>
        <w:jc w:val="center"/>
        <w:rPr>
          <w:b/>
          <w:bCs/>
          <w:color w:val="000000" w:themeColor="text1"/>
          <w:highlight w:val="none"/>
          <w14:textFill>
            <w14:solidFill>
              <w14:schemeClr w14:val="tx1"/>
            </w14:solidFill>
          </w14:textFill>
        </w:rPr>
      </w:pPr>
      <w:r>
        <w:rPr>
          <w:b/>
          <w:bCs/>
          <w:color w:val="000000" w:themeColor="text1"/>
          <w:highlight w:val="none"/>
          <w:lang w:val="zh-CN"/>
          <w14:textFill>
            <w14:solidFill>
              <w14:schemeClr w14:val="tx1"/>
            </w14:solidFill>
          </w14:textFill>
        </w:rPr>
        <w:t xml:space="preserve">目录</w:t>
      </w:r>
      <w:r/>
    </w:p>
    <w:p>
      <w:pPr>
        <w:pStyle w:val="831"/>
        <w:tabs>
          <w:tab w:val="right" w:pos="10466" w:leader="dot"/>
        </w:tabs>
        <w:rPr>
          <w:color w:val="000000" w:themeColor="text1"/>
          <w14:textFill>
            <w14:solidFill>
              <w14:schemeClr w14:val="tx1"/>
            </w14:solidFill>
          </w14:textFill>
        </w:rPr>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TOC \o "1-3" \h \z \u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HYPERLINK \l _Toc6736 </w:instrText>
      </w:r>
      <w:r>
        <w:rPr>
          <w:rFonts w:ascii="Times New Roman" w:hAnsi="Times New Roman"/>
          <w:color w:val="000000" w:themeColor="text1"/>
          <w:highlight w:val="none"/>
          <w14:textFill>
            <w14:solidFill>
              <w14:schemeClr w14:val="tx1"/>
            </w14:solidFill>
          </w14:textFill>
        </w:rPr>
        <w:fldChar w:fldCharType="separate"/>
      </w:r>
      <w:r>
        <w:rPr>
          <w:rFonts w:hint="eastAsia" w:ascii="黑体" w:hAnsi="Times New Roman" w:eastAsia="黑体"/>
          <w:color w:val="000000" w:themeColor="text1"/>
          <w:szCs w:val="44"/>
          <w:highlight w:val="none"/>
          <w14:textFill>
            <w14:solidFill>
              <w14:schemeClr w14:val="tx1"/>
            </w14:solidFill>
          </w14:textFill>
        </w:rPr>
        <w:t xml:space="preserve">第一章  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_Toc6736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_Toc14022 </w:instrText>
      </w:r>
      <w:r>
        <w:rPr>
          <w:rFonts w:ascii="Times New Roman" w:hAnsi="Times New Roman"/>
          <w:caps/>
          <w:color w:val="000000" w:themeColor="text1"/>
          <w:szCs w:val="24"/>
          <w:highlight w:val="none"/>
          <w14:textFill>
            <w14:solidFill>
              <w14:schemeClr w14:val="tx1"/>
            </w14:solidFill>
          </w14:textFill>
        </w:rPr>
        <w:fldChar w:fldCharType="separate"/>
      </w:r>
      <w:r>
        <w:rPr>
          <w:rFonts w:ascii="Times New Roman" w:hAnsi="Times New Roman"/>
          <w:bCs/>
          <w:color w:val="000000" w:themeColor="text1"/>
          <w:szCs w:val="24"/>
          <w:highlight w:val="none"/>
          <w14:textFill>
            <w14:solidFill>
              <w14:schemeClr w14:val="tx1"/>
            </w14:solidFill>
          </w14:textFill>
        </w:rPr>
        <w:t xml:space="preserve">一、项目基本情况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_Toc14022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_Toc22707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4"/>
          <w:highlight w:val="none"/>
          <w14:textFill>
            <w14:solidFill>
              <w14:schemeClr w14:val="tx1"/>
            </w14:solidFill>
          </w14:textFill>
        </w:rPr>
        <w:t xml:space="preserve">二、申请人的资格要求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_Toc15022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4"/>
          <w:highlight w:val="none"/>
          <w14:textFill>
            <w14:solidFill>
              <w14:schemeClr w14:val="tx1"/>
            </w14:solidFill>
          </w14:textFill>
        </w:rPr>
        <w:t xml:space="preserve">三、获取招标文件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_Toc15022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_Toc29802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4"/>
          <w:highlight w:val="none"/>
          <w14:textFill>
            <w14:solidFill>
              <w14:schemeClr w14:val="tx1"/>
            </w14:solidFill>
          </w14:textFill>
        </w:rPr>
        <w:t xml:space="preserve">四、提交投标文件截止时间、开标</w:t>
      </w:r>
      <w:r>
        <w:rPr>
          <w:rFonts w:ascii="Times New Roman" w:hAnsi="Times New Roman"/>
          <w:bCs/>
          <w:color w:val="000000" w:themeColor="text1"/>
          <w:szCs w:val="24"/>
          <w:highlight w:val="none"/>
          <w14:textFill>
            <w14:solidFill>
              <w14:schemeClr w14:val="tx1"/>
            </w14:solidFill>
          </w14:textFill>
        </w:rPr>
        <w:t xml:space="preserve">时间和地点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_Toc29802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_Toc17247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4"/>
          <w:highlight w:val="none"/>
          <w14:textFill>
            <w14:solidFill>
              <w14:schemeClr w14:val="tx1"/>
            </w14:solidFill>
          </w14:textFill>
        </w:rPr>
        <w:t xml:space="preserve">五、</w:t>
      </w:r>
      <w:r>
        <w:rPr>
          <w:rFonts w:ascii="Times New Roman" w:hAnsi="Times New Roman"/>
          <w:bCs/>
          <w:color w:val="000000" w:themeColor="text1"/>
          <w:szCs w:val="24"/>
          <w:highlight w:val="none"/>
          <w14:textFill>
            <w14:solidFill>
              <w14:schemeClr w14:val="tx1"/>
            </w14:solidFill>
          </w14:textFill>
        </w:rPr>
        <w:t xml:space="preserve">公告</w:t>
      </w:r>
      <w:r>
        <w:rPr>
          <w:rFonts w:hint="eastAsia" w:ascii="Times New Roman" w:hAnsi="Times New Roman"/>
          <w:bCs/>
          <w:color w:val="000000" w:themeColor="text1"/>
          <w:szCs w:val="24"/>
          <w:highlight w:val="none"/>
          <w14:textFill>
            <w14:solidFill>
              <w14:schemeClr w14:val="tx1"/>
            </w14:solidFill>
          </w14:textFill>
        </w:rPr>
        <w:t xml:space="preserve">期限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_Toc17247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_Toc20597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4"/>
          <w:highlight w:val="none"/>
          <w14:textFill>
            <w14:solidFill>
              <w14:schemeClr w14:val="tx1"/>
            </w14:solidFill>
          </w14:textFill>
        </w:rPr>
        <w:t xml:space="preserve">六、其他补充事宜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_Toc20597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_Toc12292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4"/>
          <w:highlight w:val="none"/>
          <w14:textFill>
            <w14:solidFill>
              <w14:schemeClr w14:val="tx1"/>
            </w14:solidFill>
          </w14:textFill>
        </w:rPr>
        <w:t xml:space="preserve">七、本次招标联系方式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_Toc12292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1"/>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_Toc24280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黑体" w:hAnsi="Times New Roman" w:eastAsia="黑体"/>
          <w:color w:val="000000" w:themeColor="text1"/>
          <w:szCs w:val="44"/>
          <w:highlight w:val="none"/>
          <w14:textFill>
            <w14:solidFill>
              <w14:schemeClr w14:val="tx1"/>
            </w14:solidFill>
          </w14:textFill>
        </w:rPr>
        <w:t xml:space="preserve">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_Toc24280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_Toc1033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t xml:space="preserve">一、总则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_Toc28891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t xml:space="preserve">二、招标文件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_Toc28891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_Toc224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t xml:space="preserve">三、投标文件的编制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_Toc19027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t xml:space="preserve">四、投标文件的递交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_Toc19027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_Toc19112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t xml:space="preserve">五、开标与评标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_Toc6159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t xml:space="preserve">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_Toc6159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10</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_Toc22363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t xml:space="preserve">七、授予合同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_Toc22363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12</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1"/>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_Toc10979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黑体" w:hAnsi="Times New Roman" w:eastAsia="黑体"/>
          <w:bCs/>
          <w:color w:val="000000" w:themeColor="text1"/>
          <w:szCs w:val="28"/>
          <w:highlight w:val="none"/>
          <w14:textFill>
            <w14:solidFill>
              <w14:schemeClr w14:val="tx1"/>
            </w14:solidFill>
          </w14:textFill>
        </w:rPr>
        <w:t xml:space="preserve">第三章  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_Toc10979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1"/>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_Toc9269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黑体" w:hAnsi="Courier New" w:eastAsia="黑体" w:cs="Courier New"/>
          <w:bCs/>
          <w:color w:val="000000" w:themeColor="text1"/>
          <w:szCs w:val="21"/>
          <w:highlight w:val="none"/>
          <w14:textFill>
            <w14:solidFill>
              <w14:schemeClr w14:val="tx1"/>
            </w14:solidFill>
          </w14:textFill>
        </w:rPr>
        <w:t xml:space="preserve">第四章 </w:t>
      </w:r>
      <w:r>
        <w:rPr>
          <w:rFonts w:ascii="黑体" w:hAnsi="Courier New" w:eastAsia="黑体" w:cs="Courier New"/>
          <w:bCs/>
          <w:color w:val="000000" w:themeColor="text1"/>
          <w:szCs w:val="21"/>
          <w:highlight w:val="none"/>
          <w14:textFill>
            <w14:solidFill>
              <w14:schemeClr w14:val="tx1"/>
            </w14:solidFill>
          </w14:textFill>
        </w:rPr>
        <w:t xml:space="preserve"> </w:t>
      </w:r>
      <w:r>
        <w:rPr>
          <w:rFonts w:hint="eastAsia" w:ascii="黑体" w:hAnsi="Courier New" w:eastAsia="黑体" w:cs="Courier New"/>
          <w:bCs/>
          <w:color w:val="000000" w:themeColor="text1"/>
          <w:szCs w:val="21"/>
          <w:highlight w:val="none"/>
          <w14:textFill>
            <w14:solidFill>
              <w14:schemeClr w14:val="tx1"/>
            </w14:solidFill>
          </w14:textFill>
        </w:rPr>
        <w:t xml:space="preserve">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_Toc9269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18</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1"/>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_Toc9198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黑体" w:hAnsi="Courier New" w:eastAsia="黑体" w:cs="Courier New"/>
          <w:bCs/>
          <w:color w:val="000000" w:themeColor="text1"/>
          <w:szCs w:val="21"/>
          <w:highlight w:val="none"/>
          <w14:textFill>
            <w14:solidFill>
              <w14:schemeClr w14:val="tx1"/>
            </w14:solidFill>
          </w14:textFill>
        </w:rPr>
        <w:t xml:space="preserve">第五章  评审因素和评分标准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_Toc9198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24</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1"/>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_Toc19303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黑体" w:hAnsi="Courier New" w:eastAsia="黑体" w:cs="Courier New"/>
          <w:bCs/>
          <w:color w:val="000000" w:themeColor="text1"/>
          <w:szCs w:val="21"/>
          <w:highlight w:val="none"/>
          <w14:textFill>
            <w14:solidFill>
              <w14:schemeClr w14:val="tx1"/>
            </w14:solidFill>
          </w14:textFill>
        </w:rPr>
        <w:t xml:space="preserve">第六章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_Toc19303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_Toc25600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附件1 开标一览表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29</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_Toc9305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eastAsia="宋体" w:cs="Times New Roman"/>
          <w:bCs/>
          <w:color w:val="000000" w:themeColor="text1"/>
          <w:szCs w:val="28"/>
          <w:highlight w:val="none"/>
          <w14:textFill>
            <w14:solidFill>
              <w14:schemeClr w14:val="tx1"/>
            </w14:solidFill>
          </w14:textFill>
        </w:rPr>
        <w:t xml:space="preserve">附件</w:t>
      </w:r>
      <w:r>
        <w:rPr>
          <w:rFonts w:hint="eastAsia" w:ascii="Times New Roman" w:hAnsi="Times New Roman" w:eastAsia="宋体" w:cs="Times New Roman"/>
          <w:bCs/>
          <w:color w:val="000000" w:themeColor="text1"/>
          <w:szCs w:val="28"/>
          <w:highlight w:val="none"/>
          <w:lang w:val="en-US" w:eastAsia="zh-CN"/>
          <w14:textFill>
            <w14:solidFill>
              <w14:schemeClr w14:val="tx1"/>
            </w14:solidFill>
          </w14:textFill>
        </w:rPr>
        <w:t xml:space="preserve">2</w:t>
      </w:r>
      <w:r>
        <w:rPr>
          <w:rFonts w:hint="eastAsia" w:ascii="Times New Roman" w:hAnsi="Times New Roman" w:eastAsia="宋体" w:cs="Times New Roman"/>
          <w:bCs/>
          <w:color w:val="000000" w:themeColor="text1"/>
          <w:szCs w:val="28"/>
          <w:highlight w:val="none"/>
          <w14:textFill>
            <w14:solidFill>
              <w14:schemeClr w14:val="tx1"/>
            </w14:solidFill>
          </w14:textFill>
        </w:rPr>
        <w:t xml:space="preserve"> 项目服务要求响应及偏离表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_Toc9305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30</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_Toc24403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3</w:t>
      </w:r>
      <w:r>
        <w:rPr>
          <w:rFonts w:ascii="Times New Roman" w:hAnsi="Times New Roman"/>
          <w:bCs/>
          <w:color w:val="000000" w:themeColor="text1"/>
          <w:szCs w:val="28"/>
          <w:highlight w:val="none"/>
          <w14:textFill>
            <w14:solidFill>
              <w14:schemeClr w14:val="tx1"/>
            </w14:solidFill>
          </w14:textFill>
        </w:rPr>
        <w:t xml:space="preserve"> </w:t>
      </w:r>
      <w:r>
        <w:rPr>
          <w:rFonts w:hint="eastAsia" w:ascii="Times New Roman" w:hAnsi="Times New Roman"/>
          <w:bCs/>
          <w:color w:val="000000" w:themeColor="text1"/>
          <w:szCs w:val="28"/>
          <w:highlight w:val="none"/>
          <w14:textFill>
            <w14:solidFill>
              <w14:schemeClr w14:val="tx1"/>
            </w14:solidFill>
          </w14:textFill>
        </w:rPr>
        <w:t xml:space="preserve">项目方案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_Toc24403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_Toc11013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eastAsia="宋体" w:cs="Times New Roman"/>
          <w:bCs/>
          <w:color w:val="000000" w:themeColor="text1"/>
          <w:szCs w:val="28"/>
          <w:highlight w:val="none"/>
          <w14:textFill>
            <w14:solidFill>
              <w14:schemeClr w14:val="tx1"/>
            </w14:solidFill>
          </w14:textFill>
        </w:rPr>
        <w:t xml:space="preserve">附件4 人员配置情况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_Toc11013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32</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_Toc16375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eastAsia="宋体" w:cs="Times New Roman"/>
          <w:bCs/>
          <w:color w:val="000000" w:themeColor="text1"/>
          <w:szCs w:val="28"/>
          <w:highlight w:val="none"/>
          <w14:textFill>
            <w14:solidFill>
              <w14:schemeClr w14:val="tx1"/>
            </w14:solidFill>
          </w14:textFill>
        </w:rPr>
        <w:t xml:space="preserve">附件</w:t>
      </w:r>
      <w:r>
        <w:rPr>
          <w:rFonts w:hint="eastAsia" w:ascii="Times New Roman" w:hAnsi="Times New Roman" w:eastAsia="宋体" w:cs="Times New Roman"/>
          <w:bCs/>
          <w:color w:val="000000" w:themeColor="text1"/>
          <w:szCs w:val="28"/>
          <w:highlight w:val="none"/>
          <w:lang w:val="en-US" w:eastAsia="zh-CN"/>
          <w14:textFill>
            <w14:solidFill>
              <w14:schemeClr w14:val="tx1"/>
            </w14:solidFill>
          </w14:textFill>
        </w:rPr>
        <w:t xml:space="preserve">5</w:t>
      </w:r>
      <w:r>
        <w:rPr>
          <w:rFonts w:hint="eastAsia" w:ascii="Times New Roman" w:hAnsi="Times New Roman" w:eastAsia="宋体" w:cs="Times New Roman"/>
          <w:bCs/>
          <w:color w:val="000000" w:themeColor="text1"/>
          <w:szCs w:val="28"/>
          <w:highlight w:val="none"/>
          <w14:textFill>
            <w14:solidFill>
              <w14:schemeClr w14:val="tx1"/>
            </w14:solidFill>
          </w14:textFill>
        </w:rPr>
        <w:t xml:space="preserve"> 车辆配备一览表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_Toc16375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33</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_Toc3898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6</w:t>
      </w:r>
      <w:r>
        <w:rPr>
          <w:rFonts w:hint="eastAsia" w:ascii="Times New Roman" w:hAnsi="Times New Roman"/>
          <w:bCs/>
          <w:color w:val="000000" w:themeColor="text1"/>
          <w:szCs w:val="28"/>
          <w:highlight w:val="none"/>
          <w14:textFill>
            <w14:solidFill>
              <w14:schemeClr w14:val="tx1"/>
            </w14:solidFill>
          </w14:textFill>
        </w:rPr>
        <w:t xml:space="preserve"> 商务要求响应及偏离表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_Toc3898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_Toc21657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7</w:t>
      </w:r>
      <w:r>
        <w:rPr>
          <w:rFonts w:hint="eastAsia" w:ascii="Times New Roman" w:hAnsi="Times New Roman"/>
          <w:bCs/>
          <w:color w:val="000000" w:themeColor="text1"/>
          <w:szCs w:val="28"/>
          <w:highlight w:val="none"/>
          <w14:textFill>
            <w14:solidFill>
              <w14:schemeClr w14:val="tx1"/>
            </w14:solidFill>
          </w14:textFill>
        </w:rPr>
        <w:t xml:space="preserve"> 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_Toc21657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_Toc4793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8</w:t>
      </w:r>
      <w:r>
        <w:rPr>
          <w:rFonts w:hint="eastAsia" w:ascii="Times New Roman" w:hAnsi="Times New Roman"/>
          <w:bCs/>
          <w:color w:val="000000" w:themeColor="text1"/>
          <w:szCs w:val="28"/>
          <w:highlight w:val="none"/>
          <w14:textFill>
            <w14:solidFill>
              <w14:schemeClr w14:val="tx1"/>
            </w14:solidFill>
          </w14:textFill>
        </w:rPr>
        <w:t xml:space="preserve"> 具备履行合同所必需的设备和专业技术能力的书面声明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_Toc4793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36</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_Toc30352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9</w:t>
      </w:r>
      <w:r>
        <w:rPr>
          <w:rFonts w:ascii="Times New Roman" w:hAnsi="Times New Roman"/>
          <w:bCs/>
          <w:color w:val="000000" w:themeColor="text1"/>
          <w:szCs w:val="28"/>
          <w:highlight w:val="none"/>
          <w14:textFill>
            <w14:solidFill>
              <w14:schemeClr w14:val="tx1"/>
            </w14:solidFill>
          </w14:textFill>
        </w:rPr>
        <w:t xml:space="preserve"> </w:t>
      </w:r>
      <w:r>
        <w:rPr>
          <w:rFonts w:hint="eastAsia" w:ascii="Times New Roman" w:hAnsi="Times New Roman"/>
          <w:bCs/>
          <w:color w:val="000000" w:themeColor="text1"/>
          <w:szCs w:val="28"/>
          <w:highlight w:val="none"/>
          <w14:textFill>
            <w14:solidFill>
              <w14:schemeClr w14:val="tx1"/>
            </w14:solidFill>
          </w14:textFill>
        </w:rPr>
        <w:t xml:space="preserve">参加政府采购活动前 3 年内在经营活动中没有重大违法记录的书面声明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_Toc30352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_Toc21909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10</w:t>
      </w:r>
      <w:r>
        <w:rPr>
          <w:rFonts w:ascii="Times New Roman" w:hAnsi="Times New Roman"/>
          <w:bCs/>
          <w:color w:val="000000" w:themeColor="text1"/>
          <w:szCs w:val="28"/>
          <w:highlight w:val="none"/>
          <w14:textFill>
            <w14:solidFill>
              <w14:schemeClr w14:val="tx1"/>
            </w14:solidFill>
          </w14:textFill>
        </w:rPr>
        <w:t xml:space="preserve"> </w:t>
      </w:r>
      <w:r>
        <w:rPr>
          <w:rFonts w:hint="eastAsia" w:ascii="Times New Roman" w:hAnsi="Times New Roman"/>
          <w:bCs/>
          <w:color w:val="000000" w:themeColor="text1"/>
          <w:szCs w:val="28"/>
          <w:highlight w:val="none"/>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_Toc21909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_Toc10587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11</w:t>
      </w:r>
      <w:r>
        <w:rPr>
          <w:rFonts w:hint="eastAsia" w:ascii="Times New Roman" w:hAnsi="Times New Roman"/>
          <w:bCs/>
          <w:color w:val="000000" w:themeColor="text1"/>
          <w:szCs w:val="28"/>
          <w:highlight w:val="none"/>
          <w14:textFill>
            <w14:solidFill>
              <w14:schemeClr w14:val="tx1"/>
            </w14:solidFill>
          </w14:textFill>
        </w:rPr>
        <w:t xml:space="preserve"> 中小企业声明函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_Toc10587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_Toc27195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12</w:t>
      </w:r>
      <w:r>
        <w:rPr>
          <w:rFonts w:hint="eastAsia" w:ascii="Times New Roman" w:hAnsi="Times New Roman"/>
          <w:bCs/>
          <w:color w:val="000000" w:themeColor="text1"/>
          <w:szCs w:val="28"/>
          <w:highlight w:val="none"/>
          <w14:textFill>
            <w14:solidFill>
              <w14:schemeClr w14:val="tx1"/>
            </w14:solidFill>
          </w14:textFill>
        </w:rPr>
        <w:t xml:space="preserve"> 残疾人福利性单位声明函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_Toc27195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_Toc1774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13 </w:t>
      </w:r>
      <w:r>
        <w:rPr>
          <w:rFonts w:hint="eastAsia" w:ascii="Times New Roman" w:hAnsi="Times New Roman"/>
          <w:bCs/>
          <w:color w:val="000000" w:themeColor="text1"/>
          <w:szCs w:val="28"/>
          <w:highlight w:val="none"/>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41</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37"/>
        <w:tabs>
          <w:tab w:val="right" w:pos="10466" w:leader="dot"/>
        </w:tabs>
        <w:rPr>
          <w:color w:val="000000" w:themeColor="text1"/>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color w:val="000000" w:themeColor="text1"/>
          <w:szCs w:val="24"/>
          <w:highlight w:val="none"/>
          <w14:textFill>
            <w14:solidFill>
              <w14:schemeClr w14:val="tx1"/>
            </w14:solidFill>
          </w14:textFill>
        </w:rPr>
        <w:instrText xml:space="preserve"> HYPERLINK \l _Toc5901 </w:instrText>
      </w:r>
      <w:r>
        <w:rPr>
          <w:rFonts w:ascii="Times New Roman" w:hAnsi="Times New Roman"/>
          <w:caps/>
          <w:color w:val="000000" w:themeColor="text1"/>
          <w:szCs w:val="24"/>
          <w:highlight w:val="none"/>
          <w14:textFill>
            <w14:solidFill>
              <w14:schemeClr w14:val="tx1"/>
            </w14:solidFill>
          </w14:textFill>
        </w:rPr>
        <w:fldChar w:fldCharType="separate"/>
      </w:r>
      <w:r>
        <w:rPr>
          <w:rFonts w:hint="eastAsia" w:ascii="Times New Roman" w:hAnsi="Times New Roman"/>
          <w:bCs/>
          <w:color w:val="000000" w:themeColor="text1"/>
          <w:szCs w:val="28"/>
          <w:highlight w:val="none"/>
          <w14:textFill>
            <w14:solidFill>
              <w14:schemeClr w14:val="tx1"/>
            </w14:solidFill>
          </w14:textFill>
        </w:rPr>
        <w:t xml:space="preserve">附件</w:t>
      </w:r>
      <w:r>
        <w:rPr>
          <w:rFonts w:hint="eastAsia" w:ascii="Times New Roman" w:hAnsi="Times New Roman"/>
          <w:bCs/>
          <w:color w:val="000000" w:themeColor="text1"/>
          <w:szCs w:val="28"/>
          <w:highlight w:val="none"/>
          <w:lang w:val="en-US" w:eastAsia="zh-CN"/>
          <w14:textFill>
            <w14:solidFill>
              <w14:schemeClr w14:val="tx1"/>
            </w14:solidFill>
          </w14:textFill>
        </w:rPr>
        <w:t xml:space="preserve">14 </w:t>
      </w:r>
      <w:r>
        <w:rPr>
          <w:rFonts w:hint="eastAsia" w:ascii="Times New Roman" w:hAnsi="Times New Roman"/>
          <w:bCs/>
          <w:color w:val="000000" w:themeColor="text1"/>
          <w:szCs w:val="28"/>
          <w:highlight w:val="none"/>
          <w14:textFill>
            <w14:solidFill>
              <w14:schemeClr w14:val="tx1"/>
            </w14:solidFill>
          </w14:textFill>
        </w:rPr>
        <w:t xml:space="preserve">实质性要求响应及偏离表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_Toc5901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jc w:val="left"/>
        <w:spacing w:line="440" w:lineRule="exact"/>
        <w:rPr>
          <w:rFonts w:ascii="Times New Roman" w:hAnsi="Times New Roman"/>
          <w:caps/>
          <w:color w:val="000000" w:themeColor="text1"/>
          <w:sz w:val="24"/>
          <w:szCs w:val="24"/>
          <w:highlight w:val="none"/>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end"/>
      </w:r>
      <w:r/>
    </w:p>
    <w:p>
      <w:pPr>
        <w:ind w:firstLine="880"/>
        <w:jc w:val="center"/>
        <w:keepNext/>
        <w:rPr>
          <w:rFonts w:hint="eastAsia" w:ascii="黑体" w:hAnsi="Times New Roman"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771" w:right="720" w:bottom="993" w:left="720" w:header="231" w:footer="452" w:gutter="0"/>
          <w:cols w:num="1" w:sep="0" w:space="720" w:equalWidth="1"/>
          <w:docGrid w:linePitch="360"/>
          <w:titlePg/>
        </w:sectPr>
        <w:outlineLvl w:val="0"/>
      </w:pPr>
      <w:r>
        <w:rPr>
          <w:rFonts w:hint="eastAsia" w:ascii="黑体" w:hAnsi="Times New Roman" w:eastAsia="黑体"/>
          <w:color w:val="000000" w:themeColor="text1"/>
          <w:sz w:val="44"/>
          <w:szCs w:val="44"/>
          <w:highlight w:val="none"/>
          <w14:textFill>
            <w14:solidFill>
              <w14:schemeClr w14:val="tx1"/>
            </w14:solidFill>
          </w14:textFill>
        </w:rPr>
      </w:r>
      <w:r/>
    </w:p>
    <w:p>
      <w:pPr>
        <w:ind w:firstLine="880"/>
        <w:jc w:val="center"/>
        <w:keepNext/>
        <w:rPr>
          <w:rFonts w:ascii="黑体" w:hAnsi="Times New Roman" w:eastAsia="黑体"/>
          <w:bCs/>
          <w:color w:val="000000" w:themeColor="text1"/>
          <w:sz w:val="44"/>
          <w:szCs w:val="44"/>
          <w:highlight w:val="none"/>
          <w14:textFill>
            <w14:solidFill>
              <w14:schemeClr w14:val="tx1"/>
            </w14:solidFill>
          </w14:textFill>
        </w:rPr>
        <w:outlineLvl w:val="0"/>
      </w:pPr>
      <w:r/>
      <w:bookmarkStart w:id="6" w:name="_Toc6736"/>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bookmarkEnd w:id="6"/>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受常熟市殡仪馆（常熟市殡仪服务中心）的委托，苏州新一造价师价格事务所有限公司就</w:t>
      </w:r>
      <w:r>
        <w:rPr>
          <w:rFonts w:hint="eastAsia" w:ascii="宋体" w:hAnsi="宋体"/>
          <w:color w:val="000000" w:themeColor="text1"/>
          <w:sz w:val="24"/>
          <w:szCs w:val="24"/>
          <w:highlight w:val="none"/>
          <w:lang w:eastAsia="zh-CN"/>
          <w14:textFill>
            <w14:solidFill>
              <w14:schemeClr w14:val="tx1"/>
            </w14:solidFill>
          </w14:textFill>
        </w:rPr>
        <w:t xml:space="preserve">常熟市遗体接运服务（2026年-2028年）</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eastAsia="zh-CN"/>
          <w14:textFill>
            <w14:solidFill>
              <w14:schemeClr w14:val="tx1"/>
            </w14:solidFill>
          </w14:textFill>
        </w:rPr>
        <w:t xml:space="preserve">JSZC-320581-SZXY-G2026-0013</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)项目进行公开招标采购，欢迎符合条件的供应商投标。</w:t>
      </w:r>
      <w:r/>
    </w:p>
    <w:p>
      <w:pPr>
        <w:ind w:firstLine="480"/>
        <w:spacing w:line="4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14:textFill>
            <w14:solidFill>
              <w14:schemeClr w14:val="tx1"/>
            </w14:solidFill>
          </w14:textFill>
        </w:rPr>
        <w:t xml:space="preserve">常熟市遗体接运服务（2026年-2028年）</w:t>
      </w:r>
      <w:r>
        <w:rPr>
          <w:rFonts w:hint="eastAsia" w:ascii="Times New Roman" w:hAnsi="Times New Roman"/>
          <w:color w:val="000000" w:themeColor="text1"/>
          <w:sz w:val="24"/>
          <w:szCs w:val="24"/>
          <w:highlight w:val="none"/>
          <w14:textFill>
            <w14:solidFill>
              <w14:schemeClr w14:val="tx1"/>
            </w14:solidFill>
          </w14:textFill>
        </w:rPr>
        <w:t xml:space="preserve">招标项目的潜在投标人应在“</w:t>
      </w:r>
      <w:r>
        <w:rPr>
          <w:rFonts w:ascii="Times New Roman" w:hAnsi="Times New Roman"/>
          <w:color w:val="000000" w:themeColor="text1"/>
          <w:sz w:val="24"/>
          <w:szCs w:val="24"/>
          <w:highlight w:val="none"/>
          <w14:textFill>
            <w14:solidFill>
              <w14:schemeClr w14:val="tx1"/>
            </w14:solidFill>
          </w14:textFill>
        </w:rPr>
        <w:t xml:space="preserve">苏采云政府采购一体化平台</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中参与项目</w:t>
      </w:r>
      <w:r>
        <w:rPr>
          <w:rFonts w:hint="eastAsia" w:ascii="Times New Roman" w:hAnsi="Times New Roman"/>
          <w:color w:val="000000" w:themeColor="text1"/>
          <w:sz w:val="24"/>
          <w:szCs w:val="24"/>
          <w:highlight w:val="none"/>
          <w14:textFill>
            <w14:solidFill>
              <w14:schemeClr w14:val="tx1"/>
            </w14:solidFill>
          </w14:textFill>
        </w:rPr>
        <w:t xml:space="preserve">获取招标文件，并于</w:t>
      </w:r>
      <w:r>
        <w:rPr>
          <w:rFonts w:hint="eastAsia" w:ascii="Times New Roman" w:hAnsi="Times New Roman"/>
          <w:color w:val="000000" w:themeColor="text1"/>
          <w:sz w:val="24"/>
          <w:szCs w:val="21"/>
          <w:highlight w:val="none"/>
          <w:u w:val="single"/>
          <w:lang w:eastAsia="zh-CN"/>
          <w14:textFill>
            <w14:solidFill>
              <w14:schemeClr w14:val="tx1"/>
            </w14:solidFill>
          </w14:textFill>
        </w:rPr>
        <w:t xml:space="preserve">2026年</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 xml:space="preserve">5</w:t>
      </w:r>
      <w:r>
        <w:rPr>
          <w:rFonts w:hint="eastAsia" w:ascii="Times New Roman" w:hAnsi="Times New Roman"/>
          <w:color w:val="000000" w:themeColor="text1"/>
          <w:sz w:val="24"/>
          <w:szCs w:val="21"/>
          <w:highlight w:val="none"/>
          <w:u w:val="single"/>
          <w:lang w:eastAsia="zh-CN"/>
          <w14:textFill>
            <w14:solidFill>
              <w14:schemeClr w14:val="tx1"/>
            </w14:solidFill>
          </w14:textFill>
        </w:rPr>
        <w:t xml:space="preserve">月</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 xml:space="preserve">28</w:t>
      </w:r>
      <w:r>
        <w:rPr>
          <w:rFonts w:hint="eastAsia" w:ascii="Times New Roman" w:hAnsi="Times New Roman"/>
          <w:color w:val="000000" w:themeColor="text1"/>
          <w:sz w:val="24"/>
          <w:szCs w:val="21"/>
          <w:highlight w:val="none"/>
          <w:u w:val="single"/>
          <w:lang w:eastAsia="zh-CN"/>
          <w14:textFill>
            <w14:solidFill>
              <w14:schemeClr w14:val="tx1"/>
            </w14:solidFill>
          </w14:textFill>
        </w:rPr>
        <w:t xml:space="preserve">日</w:t>
      </w:r>
      <w:r>
        <w:rPr>
          <w:rFonts w:ascii="Times New Roman" w:hAnsi="Times New Roman"/>
          <w:color w:val="000000" w:themeColor="text1"/>
          <w:sz w:val="24"/>
          <w:szCs w:val="21"/>
          <w:highlight w:val="none"/>
          <w:u w:val="single"/>
          <w14:textFill>
            <w14:solidFill>
              <w14:schemeClr w14:val="tx1"/>
            </w14:solidFill>
          </w14:textFill>
        </w:rPr>
        <w:t xml:space="preserve">13</w:t>
      </w:r>
      <w:r>
        <w:rPr>
          <w:rFonts w:hint="eastAsia" w:ascii="Times New Roman" w:hAnsi="Times New Roman"/>
          <w:color w:val="000000" w:themeColor="text1"/>
          <w:sz w:val="24"/>
          <w:szCs w:val="21"/>
          <w:highlight w:val="none"/>
          <w:u w:val="single"/>
          <w14:textFill>
            <w14:solidFill>
              <w14:schemeClr w14:val="tx1"/>
            </w14:solidFill>
          </w14:textFill>
        </w:rPr>
        <w:t xml:space="preserve">点00分（北京时间）</w:t>
      </w:r>
      <w:r>
        <w:rPr>
          <w:rFonts w:hint="eastAsia" w:hAnsi="宋体"/>
          <w:color w:val="000000" w:themeColor="text1"/>
          <w:sz w:val="24"/>
          <w:szCs w:val="21"/>
          <w:highlight w:val="none"/>
          <w14:textFill>
            <w14:solidFill>
              <w14:schemeClr w14:val="tx1"/>
            </w14:solidFill>
          </w14:textFill>
        </w:rPr>
        <w:t xml:space="preserve">前按规定提交投标</w:t>
      </w:r>
      <w:r>
        <w:rPr>
          <w:rFonts w:hAnsi="宋体"/>
          <w:color w:val="000000" w:themeColor="text1"/>
          <w:sz w:val="24"/>
          <w:szCs w:val="21"/>
          <w:highlight w:val="none"/>
          <w14:textFill>
            <w14:solidFill>
              <w14:schemeClr w14:val="tx1"/>
            </w14:solidFill>
          </w14:textFill>
        </w:rPr>
        <w:t xml:space="preserve">文件</w:t>
      </w:r>
      <w:r>
        <w:rPr>
          <w:rFonts w:hint="eastAsia" w:hAnsi="宋体"/>
          <w:color w:val="000000" w:themeColor="text1"/>
          <w:sz w:val="24"/>
          <w:szCs w:val="21"/>
          <w:highlight w:val="none"/>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7" w:name="_Toc38985263"/>
      <w:r/>
      <w:bookmarkStart w:id="8" w:name="_Toc35393621"/>
      <w:r/>
      <w:bookmarkStart w:id="9" w:name="_Toc35393790"/>
      <w:r/>
      <w:bookmarkStart w:id="10" w:name="_Toc28359079"/>
      <w:r/>
      <w:bookmarkStart w:id="11" w:name="_Toc28359002"/>
      <w:r/>
      <w:bookmarkStart w:id="12" w:name="_Toc14022"/>
      <w:r/>
      <w:bookmarkStart w:id="13" w:name="_Hlk24379207"/>
      <w:r>
        <w:rPr>
          <w:rFonts w:ascii="Times New Roman" w:hAnsi="Times New Roman"/>
          <w:b/>
          <w:bCs/>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spacing w:line="4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JSZC-320581-SZXY-G2026-0013</w:t>
      </w:r>
      <w:r/>
    </w:p>
    <w:p>
      <w:pPr>
        <w:ind w:firstLine="480"/>
        <w:spacing w:line="4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常熟市遗体接运服务（2026年-2028年）</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采购方式：公开招标</w:t>
      </w:r>
      <w:bookmarkEnd w:id="13"/>
      <w:r/>
      <w:r/>
    </w:p>
    <w:p>
      <w:pPr>
        <w:ind w:firstLine="480"/>
        <w:spacing w:line="460" w:lineRule="exact"/>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w:t>
      </w:r>
      <w:r>
        <w:rPr>
          <w:rFonts w:hint="eastAsia" w:ascii="宋体" w:hAnsi="宋体"/>
          <w:color w:val="000000" w:themeColor="text1"/>
          <w:sz w:val="24"/>
          <w:szCs w:val="24"/>
          <w:highlight w:val="none"/>
          <w:lang w:val="en-US" w:eastAsia="zh-CN"/>
          <w14:textFill>
            <w14:solidFill>
              <w14:schemeClr w14:val="tx1"/>
            </w14:solidFill>
          </w14:textFill>
        </w:rPr>
        <w:t xml:space="preserve">金额</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1749.00万元；</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最高限价（如有）：无。</w:t>
      </w:r>
      <w:r/>
    </w:p>
    <w:p>
      <w:pPr>
        <w:ind w:firstLine="480"/>
        <w:spacing w:line="460" w:lineRule="exact"/>
        <w:rPr>
          <w:rFonts w:hint="default" w:ascii="宋体" w:hAnsi="宋体"/>
          <w:color w:val="000000" w:themeColor="text1"/>
          <w:sz w:val="24"/>
          <w:szCs w:val="24"/>
          <w:highlight w:val="none"/>
          <w:lang w:val="en-US"/>
          <w14:textFill>
            <w14:solidFill>
              <w14:schemeClr w14:val="tx1"/>
            </w14:solidFill>
          </w14:textFill>
        </w:rPr>
      </w:pPr>
      <w:r/>
      <w:bookmarkStart w:id="14" w:name="_Toc35393622"/>
      <w:r/>
      <w:bookmarkStart w:id="15" w:name="_Toc28359080"/>
      <w:r/>
      <w:bookmarkStart w:id="16" w:name="_Toc35393791"/>
      <w:r/>
      <w:bookmarkStart w:id="17" w:name="_Toc38985264"/>
      <w:r/>
      <w:bookmarkStart w:id="18" w:name="_Toc28359003"/>
      <w:r>
        <w:rPr>
          <w:rFonts w:hint="eastAsia" w:ascii="宋体" w:hAnsi="宋体"/>
          <w:color w:val="000000" w:themeColor="text1"/>
          <w:sz w:val="24"/>
          <w:szCs w:val="24"/>
          <w:highlight w:val="none"/>
          <w14:textFill>
            <w14:solidFill>
              <w14:schemeClr w14:val="tx1"/>
            </w14:solidFill>
          </w14:textFill>
        </w:rPr>
        <w:t xml:space="preserve">采购需求概况</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常熟市殡仪馆（常熟市殡仪服务中心）所需的</w:t>
      </w:r>
      <w:r>
        <w:rPr>
          <w:rFonts w:hint="eastAsia" w:ascii="宋体" w:hAnsi="宋体"/>
          <w:color w:val="000000" w:themeColor="text1"/>
          <w:sz w:val="24"/>
          <w:szCs w:val="24"/>
          <w:highlight w:val="none"/>
          <w:lang w:eastAsia="zh-CN"/>
          <w14:textFill>
            <w14:solidFill>
              <w14:schemeClr w14:val="tx1"/>
            </w14:solidFill>
          </w14:textFill>
        </w:rPr>
        <w:t xml:space="preserve">遗体接运服务</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合同履行期限：</w:t>
      </w:r>
      <w:r>
        <w:rPr>
          <w:rFonts w:hint="eastAsia" w:ascii="宋体" w:hAnsi="宋体"/>
          <w:color w:val="000000" w:themeColor="text1"/>
          <w:sz w:val="24"/>
          <w:szCs w:val="24"/>
          <w:highlight w:val="none"/>
          <w:lang w:val="en-US" w:eastAsia="zh-CN"/>
          <w14:textFill>
            <w14:solidFill>
              <w14:schemeClr w14:val="tx1"/>
            </w14:solidFill>
          </w14:textFill>
        </w:rPr>
        <w:t xml:space="preserve">三年</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本项目不接受联合体投标。</w:t>
      </w:r>
      <w:r/>
    </w:p>
    <w:p>
      <w:pPr>
        <w:ind w:firstLine="482"/>
        <w:keepLines/>
        <w:keepNext/>
        <w:spacing w:line="440" w:lineRule="exact"/>
        <w:rPr>
          <w:rFonts w:hint="eastAsia" w:ascii="Times New Roman" w:hAnsi="Times New Roman" w:eastAsia="宋体"/>
          <w:b/>
          <w:bCs/>
          <w:color w:val="000000" w:themeColor="text1"/>
          <w:sz w:val="24"/>
          <w:szCs w:val="24"/>
          <w:highlight w:val="none"/>
          <w:lang w:eastAsia="zh-CN"/>
          <w14:textFill>
            <w14:solidFill>
              <w14:schemeClr w14:val="tx1"/>
            </w14:solidFill>
          </w14:textFill>
        </w:rPr>
        <w:outlineLvl w:val="1"/>
      </w:pPr>
      <w:r/>
      <w:bookmarkStart w:id="19" w:name="_Toc22707"/>
      <w:r>
        <w:rPr>
          <w:rFonts w:hint="eastAsia" w:ascii="Times New Roman" w:hAnsi="Times New Roman"/>
          <w:b/>
          <w:bCs/>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bookmarkEnd w:id="19"/>
      <w:r/>
      <w:bookmarkStart w:id="20" w:name="_Toc38985265"/>
      <w:r/>
      <w:bookmarkStart w:id="21" w:name="_Toc35393792"/>
      <w:r/>
      <w:bookmarkStart w:id="22" w:name="_Toc28359004"/>
      <w:r/>
      <w:bookmarkStart w:id="23" w:name="_Toc35393623"/>
      <w:r/>
      <w:bookmarkStart w:id="24" w:name="_Toc28359081"/>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（一）满足《中华人民共和国政府采购法》第二十二条规定；</w:t>
      </w:r>
      <w:r/>
    </w:p>
    <w:p>
      <w:pPr>
        <w:ind w:firstLine="787"/>
        <w:spacing w:line="460" w:lineRule="exact"/>
        <w:rPr>
          <w:rFonts w:hint="eastAsia"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1、具有独立承担民事责任的能力。（法人或者其他组织的营业执照等证明文件）</w:t>
      </w:r>
      <w:r/>
    </w:p>
    <w:p>
      <w:pPr>
        <w:ind w:firstLine="787"/>
        <w:spacing w:line="460" w:lineRule="exact"/>
        <w:rPr>
          <w:rFonts w:hint="eastAsia"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2、具有良好的商业信誉和健全的财务会计制度。（提供最近一期的财务报告（财务报表）或金融机构（中介机构）出具的资信证明）</w:t>
      </w:r>
      <w:r/>
    </w:p>
    <w:p>
      <w:pPr>
        <w:ind w:firstLine="787"/>
        <w:spacing w:line="460" w:lineRule="exact"/>
        <w:rPr>
          <w:rFonts w:hint="eastAsia"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3、具有履行合同所必需的设备和专业技术能力。（具备履行合同所必需的设备和专业技术能力的书面声明）</w:t>
      </w:r>
      <w:r/>
    </w:p>
    <w:p>
      <w:pPr>
        <w:ind w:firstLine="787"/>
        <w:spacing w:line="460" w:lineRule="exact"/>
        <w:rPr>
          <w:rFonts w:hint="eastAsia"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ind w:firstLine="482"/>
        <w:jc w:val="left"/>
        <w:spacing w:line="440" w:lineRule="exact"/>
        <w:shd w:val="clear" w:color="auto" w:fill="ffffff"/>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（二）落实政府采购政策需满足的资格要求：</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 xml:space="preserve">本项目专门面</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向中小企业采购</w:t>
      </w:r>
      <w:r>
        <w:rPr>
          <w:rFonts w:hint="eastAsia" w:ascii="宋体" w:hAnsi="宋体" w:cs="宋体"/>
          <w:b/>
          <w:color w:val="000000" w:themeColor="text1"/>
          <w:sz w:val="24"/>
          <w:szCs w:val="24"/>
          <w:highlight w:val="none"/>
          <w14:textFill>
            <w14:solidFill>
              <w14:schemeClr w14:val="tx1"/>
            </w14:solidFill>
          </w14:textFill>
        </w:rPr>
        <w:t xml:space="preserve">，所属行业为</w:t>
      </w:r>
      <w:r>
        <w:rPr>
          <w:rFonts w:hint="eastAsia" w:ascii="宋体" w:hAnsi="宋体" w:cs="宋体"/>
          <w:b/>
          <w:color w:val="000000" w:themeColor="text1"/>
          <w:sz w:val="24"/>
          <w:szCs w:val="24"/>
          <w:highlight w:val="none"/>
          <w:lang w:eastAsia="zh-CN"/>
          <w14:textFill>
            <w14:solidFill>
              <w14:schemeClr w14:val="tx1"/>
            </w14:solidFill>
          </w14:textFill>
        </w:rPr>
        <w:t xml:space="preserve">交通运输业</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2"/>
        <w:jc w:val="left"/>
        <w:spacing w:line="440" w:lineRule="exact"/>
        <w:shd w:val="clear" w:color="auto" w:fill="ffffff"/>
        <w:widowControl/>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具有有效期内的《道路运输经营许可证》（经营范围含“客运”类）。</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25" w:name="_Toc15022"/>
      <w:r>
        <w:rPr>
          <w:rFonts w:hint="eastAsia" w:ascii="Times New Roman" w:hAnsi="Times New Roman"/>
          <w:b/>
          <w:bCs/>
          <w:color w:val="000000" w:themeColor="text1"/>
          <w:sz w:val="24"/>
          <w:szCs w:val="24"/>
          <w:highlight w:val="none"/>
          <w14:textFill>
            <w14:solidFill>
              <w14:schemeClr w14:val="tx1"/>
            </w14:solidFill>
          </w14:textFill>
        </w:rPr>
        <w:t xml:space="preserve">三、获取招标文件</w:t>
      </w:r>
      <w:bookmarkEnd w:id="20"/>
      <w:r/>
      <w:bookmarkEnd w:id="21"/>
      <w:r/>
      <w:bookmarkEnd w:id="22"/>
      <w:r/>
      <w:bookmarkEnd w:id="23"/>
      <w:r/>
      <w:bookmarkEnd w:id="24"/>
      <w:r/>
      <w:bookmarkEnd w:id="25"/>
      <w:r/>
      <w:bookmarkStart w:id="26" w:name="_Toc35393624"/>
      <w:r/>
      <w:bookmarkStart w:id="27" w:name="_Toc38985266"/>
      <w:r/>
      <w:bookmarkStart w:id="28" w:name="_Toc35393793"/>
      <w:r/>
      <w:bookmarkStart w:id="29" w:name="_Toc28359005"/>
      <w:r/>
      <w:bookmarkStart w:id="30" w:name="_Toc28359082"/>
      <w:r/>
      <w:r/>
    </w:p>
    <w:p>
      <w:pPr>
        <w:ind w:firstLine="480"/>
        <w:keepLines/>
        <w:keepNex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时间：自招标文件公告发布之日起5个工作日 </w:t>
      </w:r>
      <w:r/>
    </w:p>
    <w:p>
      <w:pPr>
        <w:ind w:firstLine="480"/>
        <w:keepLines/>
        <w:keepNex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地点：苏采云政府采购一体化平台 </w:t>
      </w:r>
      <w:r/>
    </w:p>
    <w:p>
      <w:pPr>
        <w:ind w:firstLine="480"/>
        <w:keepLines/>
        <w:keepNex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方式：在“苏采云政府采购一体化平台”自行免费下载采购文件 </w:t>
      </w:r>
      <w:r/>
    </w:p>
    <w:p>
      <w:pPr>
        <w:ind w:firstLine="480"/>
        <w:keepLines/>
        <w:keepNex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售价：0.00元 </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31" w:name="_Toc29802"/>
      <w:r>
        <w:rPr>
          <w:rFonts w:hint="eastAsia" w:ascii="Times New Roman" w:hAnsi="Times New Roman"/>
          <w:b/>
          <w:bCs/>
          <w:color w:val="000000" w:themeColor="text1"/>
          <w:sz w:val="24"/>
          <w:szCs w:val="24"/>
          <w:highlight w:val="none"/>
          <w14:textFill>
            <w14:solidFill>
              <w14:schemeClr w14:val="tx1"/>
            </w14:solidFill>
          </w14:textFill>
        </w:rPr>
        <w:t xml:space="preserve">四、</w:t>
      </w:r>
      <w:bookmarkEnd w:id="26"/>
      <w:r/>
      <w:bookmarkEnd w:id="27"/>
      <w:r/>
      <w:bookmarkEnd w:id="28"/>
      <w:r/>
      <w:bookmarkEnd w:id="29"/>
      <w:r/>
      <w:bookmarkEnd w:id="30"/>
      <w:r>
        <w:rPr>
          <w:rFonts w:hint="eastAsia" w:ascii="Times New Roman" w:hAnsi="Times New Roman"/>
          <w:b/>
          <w:bCs/>
          <w:color w:val="000000" w:themeColor="text1"/>
          <w:sz w:val="24"/>
          <w:szCs w:val="24"/>
          <w:highlight w:val="none"/>
          <w14:textFill>
            <w14:solidFill>
              <w14:schemeClr w14:val="tx1"/>
            </w14:solidFill>
          </w14:textFill>
        </w:rPr>
        <w:t xml:space="preserve">提交投标文件截止时间、开标</w:t>
      </w:r>
      <w:r>
        <w:rPr>
          <w:rFonts w:ascii="Times New Roman" w:hAnsi="Times New Roman"/>
          <w:b/>
          <w:bCs/>
          <w:color w:val="000000" w:themeColor="text1"/>
          <w:sz w:val="24"/>
          <w:szCs w:val="24"/>
          <w:highlight w:val="none"/>
          <w14:textFill>
            <w14:solidFill>
              <w14:schemeClr w14:val="tx1"/>
            </w14:solidFill>
          </w14:textFill>
        </w:rPr>
        <w:t xml:space="preserve">时间和地点</w:t>
      </w:r>
      <w:bookmarkEnd w:id="31"/>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bookmarkStart w:id="32" w:name="_Toc35393794"/>
      <w:r/>
      <w:bookmarkStart w:id="33" w:name="_Toc28359007"/>
      <w:r/>
      <w:bookmarkStart w:id="34" w:name="_Toc35393625"/>
      <w:r/>
      <w:bookmarkStart w:id="35" w:name="_Toc28359084"/>
      <w:r/>
      <w:bookmarkStart w:id="36" w:name="_Toc38985267"/>
      <w:r>
        <w:rPr>
          <w:rFonts w:hint="eastAsia" w:ascii="Times New Roman" w:hAnsi="Times New Roman"/>
          <w:color w:val="000000" w:themeColor="text1"/>
          <w:sz w:val="24"/>
          <w:szCs w:val="24"/>
          <w:highlight w:val="none"/>
          <w14:textFill>
            <w14:solidFill>
              <w14:schemeClr w14:val="tx1"/>
            </w14:solidFill>
          </w14:textFill>
        </w:rPr>
        <w:t xml:space="preserve">时间：202</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28</w:t>
      </w:r>
      <w:r>
        <w:rPr>
          <w:rFonts w:hint="eastAsia" w:ascii="Times New Roman" w:hAnsi="Times New Roman"/>
          <w:color w:val="000000" w:themeColor="text1"/>
          <w:sz w:val="24"/>
          <w:szCs w:val="24"/>
          <w:highlight w:val="none"/>
          <w14:textFill>
            <w14:solidFill>
              <w14:schemeClr w14:val="tx1"/>
            </w14:solidFill>
          </w14:textFill>
        </w:rPr>
        <w:t xml:space="preserve"> 13:00（北京时间）</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37" w:name="_Toc17247"/>
      <w:r>
        <w:rPr>
          <w:rFonts w:hint="eastAsia" w:ascii="Times New Roman" w:hAnsi="Times New Roman"/>
          <w:b/>
          <w:bCs/>
          <w:color w:val="000000" w:themeColor="text1"/>
          <w:sz w:val="24"/>
          <w:szCs w:val="24"/>
          <w:highlight w:val="none"/>
          <w14:textFill>
            <w14:solidFill>
              <w14:schemeClr w14:val="tx1"/>
            </w14:solidFill>
          </w14:textFill>
        </w:rPr>
        <w:t xml:space="preserve">五、</w:t>
      </w:r>
      <w:bookmarkEnd w:id="32"/>
      <w:r/>
      <w:bookmarkEnd w:id="33"/>
      <w:r/>
      <w:bookmarkEnd w:id="34"/>
      <w:r/>
      <w:bookmarkEnd w:id="35"/>
      <w:r/>
      <w:bookmarkEnd w:id="36"/>
      <w:r>
        <w:rPr>
          <w:rFonts w:ascii="Times New Roman" w:hAnsi="Times New Roman"/>
          <w:b/>
          <w:bCs/>
          <w:color w:val="000000" w:themeColor="text1"/>
          <w:sz w:val="24"/>
          <w:szCs w:val="24"/>
          <w:highlight w:val="none"/>
          <w14:textFill>
            <w14:solidFill>
              <w14:schemeClr w14:val="tx1"/>
            </w14:solidFill>
          </w14:textFill>
        </w:rPr>
        <w:t xml:space="preserve">公告</w:t>
      </w:r>
      <w:r>
        <w:rPr>
          <w:rFonts w:hint="eastAsia" w:ascii="Times New Roman" w:hAnsi="Times New Roman"/>
          <w:b/>
          <w:bCs/>
          <w:color w:val="000000" w:themeColor="text1"/>
          <w:sz w:val="24"/>
          <w:szCs w:val="24"/>
          <w:highlight w:val="none"/>
          <w14:textFill>
            <w14:solidFill>
              <w14:schemeClr w14:val="tx1"/>
            </w14:solidFill>
          </w14:textFill>
        </w:rPr>
        <w:t xml:space="preserve">期限</w:t>
      </w:r>
      <w:bookmarkEnd w:id="37"/>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bookmarkStart w:id="38" w:name="_Toc35393626"/>
      <w:r/>
      <w:bookmarkStart w:id="39" w:name="_Toc38985268"/>
      <w:r/>
      <w:bookmarkStart w:id="40" w:name="_Toc35393795"/>
      <w:r>
        <w:rPr>
          <w:rFonts w:hint="eastAsia" w:ascii="Times New Roman" w:hAnsi="Times New Roman"/>
          <w:color w:val="000000" w:themeColor="text1"/>
          <w:sz w:val="24"/>
          <w:szCs w:val="24"/>
          <w:highlight w:val="none"/>
          <w14:textFill>
            <w14:solidFill>
              <w14:schemeClr w14:val="tx1"/>
            </w14:solidFill>
          </w14:textFill>
        </w:rPr>
        <w:t xml:space="preserve">公告期限：自本公告发布之日起5个工作日。</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41" w:name="_Toc20597"/>
      <w:r>
        <w:rPr>
          <w:rFonts w:hint="eastAsia" w:ascii="Times New Roman" w:hAnsi="Times New Roman"/>
          <w:b/>
          <w:bCs/>
          <w:color w:val="000000" w:themeColor="text1"/>
          <w:sz w:val="24"/>
          <w:szCs w:val="24"/>
          <w:highlight w:val="none"/>
          <w14:textFill>
            <w14:solidFill>
              <w14:schemeClr w14:val="tx1"/>
            </w14:solidFill>
          </w14:textFill>
        </w:rPr>
        <w:t xml:space="preserve">六、其他补充事宜</w:t>
      </w:r>
      <w:bookmarkEnd w:id="38"/>
      <w:r/>
      <w:bookmarkEnd w:id="39"/>
      <w:r/>
      <w:bookmarkEnd w:id="40"/>
      <w:r/>
      <w:bookmarkEnd w:id="41"/>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5、有关本次采购的事项若存在变动或修改，敬请及时关注政府采购信息发布媒体上的更正（补充）公告</w:t>
      </w:r>
      <w:bookmarkStart w:id="42" w:name="_Hlk87882297"/>
      <w:r>
        <w:rPr>
          <w:rFonts w:hint="eastAsia" w:ascii="Times New Roman" w:hAnsi="Times New Roman"/>
          <w:color w:val="000000" w:themeColor="text1"/>
          <w:sz w:val="24"/>
          <w:szCs w:val="24"/>
          <w:highlight w:val="none"/>
          <w14:textFill>
            <w14:solidFill>
              <w14:schemeClr w14:val="tx1"/>
            </w14:solidFill>
          </w14:textFill>
        </w:rPr>
        <w:t xml:space="preserve">，并按规定获取相关信息内容。</w:t>
      </w:r>
      <w:bookmarkEnd w:id="42"/>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8、公告媒体：苏州市政府采购网、江苏政府采购网。</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43" w:name="_Toc28359085"/>
      <w:r/>
      <w:bookmarkStart w:id="44" w:name="_Toc35393627"/>
      <w:r/>
      <w:bookmarkStart w:id="45" w:name="_Toc35393796"/>
      <w:r/>
      <w:bookmarkStart w:id="46" w:name="_Toc28359008"/>
      <w:r/>
      <w:bookmarkStart w:id="47" w:name="_Toc38985269"/>
      <w:r/>
      <w:bookmarkStart w:id="48" w:name="_Toc12292"/>
      <w:r>
        <w:rPr>
          <w:rFonts w:hint="eastAsia" w:ascii="Times New Roman" w:hAnsi="Times New Roman"/>
          <w:b/>
          <w:bCs/>
          <w:color w:val="000000" w:themeColor="text1"/>
          <w:sz w:val="24"/>
          <w:szCs w:val="24"/>
          <w:highlight w:val="none"/>
          <w14:textFill>
            <w14:solidFill>
              <w14:schemeClr w14:val="tx1"/>
            </w14:solidFill>
          </w14:textFill>
        </w:rPr>
        <w:t xml:space="preserve">七、本次招标联系</w:t>
      </w:r>
      <w:bookmarkEnd w:id="43"/>
      <w:r/>
      <w:bookmarkEnd w:id="44"/>
      <w:r/>
      <w:bookmarkEnd w:id="45"/>
      <w:r/>
      <w:bookmarkEnd w:id="46"/>
      <w:r/>
      <w:bookmarkEnd w:id="47"/>
      <w:r>
        <w:rPr>
          <w:rFonts w:hint="eastAsia" w:ascii="Times New Roman" w:hAnsi="Times New Roman"/>
          <w:b/>
          <w:bCs/>
          <w:color w:val="000000" w:themeColor="text1"/>
          <w:sz w:val="24"/>
          <w:szCs w:val="24"/>
          <w:highlight w:val="none"/>
          <w14:textFill>
            <w14:solidFill>
              <w14:schemeClr w14:val="tx1"/>
            </w14:solidFill>
          </w14:textFill>
        </w:rPr>
        <w:t xml:space="preserve">方式</w:t>
      </w:r>
      <w:bookmarkEnd w:id="48"/>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1、采购人信息</w:t>
      </w:r>
      <w:r/>
    </w:p>
    <w:p>
      <w:pPr>
        <w:ind w:firstLine="480"/>
        <w:spacing w:line="440" w:lineRule="exact"/>
        <w:rPr>
          <w:rFonts w:hint="eastAsia" w:ascii="Times New Roman" w:hAnsi="Times New Roman"/>
          <w:color w:val="000000" w:themeColor="text1"/>
          <w:sz w:val="24"/>
          <w:szCs w:val="24"/>
          <w:highlight w:val="none"/>
          <w:lang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单位名称：</w:t>
      </w:r>
      <w:r>
        <w:rPr>
          <w:rFonts w:hint="eastAsia" w:ascii="Times New Roman" w:hAnsi="Times New Roman"/>
          <w:color w:val="000000" w:themeColor="text1"/>
          <w:sz w:val="24"/>
          <w:szCs w:val="24"/>
          <w:highlight w:val="none"/>
          <w:lang w:eastAsia="zh-CN"/>
          <w14:textFill>
            <w14:solidFill>
              <w14:schemeClr w14:val="tx1"/>
            </w14:solidFill>
          </w14:textFill>
        </w:rPr>
        <w:t xml:space="preserve">常熟市殡仪馆（常熟市殡仪服务中心）</w:t>
      </w:r>
      <w:r/>
    </w:p>
    <w:p>
      <w:pPr>
        <w:ind w:firstLine="480"/>
        <w:spacing w:line="440" w:lineRule="exact"/>
        <w:rPr>
          <w:rFonts w:hint="default" w:ascii="Times New Roman" w:hAnsi="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单位地址：常熟市西三环路张墓桥南</w:t>
      </w:r>
      <w:r/>
    </w:p>
    <w:p>
      <w:pPr>
        <w:ind w:firstLine="480"/>
        <w:spacing w:line="440" w:lineRule="exact"/>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联系人</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王晓波</w:t>
      </w:r>
      <w:r/>
    </w:p>
    <w:p>
      <w:pPr>
        <w:ind w:firstLine="480"/>
        <w:spacing w:line="440" w:lineRule="exact"/>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联系方式</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0512-528</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40567</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2、采购代理机构信息</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bookmarkStart w:id="49" w:name="_Toc28359010"/>
      <w:r/>
      <w:bookmarkStart w:id="50" w:name="_Toc28359087"/>
      <w:r>
        <w:rPr>
          <w:rFonts w:hint="eastAsia" w:ascii="Times New Roman" w:hAnsi="Times New Roman"/>
          <w:color w:val="000000" w:themeColor="text1"/>
          <w:sz w:val="24"/>
          <w:szCs w:val="24"/>
          <w:highlight w:val="none"/>
          <w14:textFill>
            <w14:solidFill>
              <w14:schemeClr w14:val="tx1"/>
            </w14:solidFill>
          </w14:textFill>
        </w:rPr>
        <w:t xml:space="preserve">单位名称：苏州新一造价师价格事务所有限公司</w:t>
      </w:r>
      <w:r/>
    </w:p>
    <w:p>
      <w:pPr>
        <w:ind w:firstLine="480"/>
        <w:spacing w:line="440" w:lineRule="exact"/>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单位地址：</w:t>
      </w:r>
      <w:r>
        <w:rPr>
          <w:rFonts w:hint="eastAsia" w:ascii="Times New Roman" w:hAnsi="Times New Roman"/>
          <w:color w:val="000000" w:themeColor="text1"/>
          <w:sz w:val="24"/>
          <w:szCs w:val="24"/>
          <w:highlight w:val="none"/>
          <w:lang w:eastAsia="zh-CN"/>
          <w14:textFill>
            <w14:solidFill>
              <w14:schemeClr w14:val="tx1"/>
            </w14:solidFill>
          </w14:textFill>
        </w:rPr>
        <w:t xml:space="preserve">常熟市开元东路2号一楼</w:t>
      </w:r>
      <w:r/>
    </w:p>
    <w:p>
      <w:pPr>
        <w:ind w:firstLine="480"/>
        <w:spacing w:line="440" w:lineRule="exact"/>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联系人：韩忆程</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代福勇、吕永中</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联系方式：0512-52808032</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3、项目联系方式</w:t>
      </w:r>
      <w:r/>
    </w:p>
    <w:p>
      <w:pPr>
        <w:ind w:firstLine="480"/>
        <w:spacing w:line="440" w:lineRule="exact"/>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项目联系人：韩忆程</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代福勇、吕永中</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电话：0512-52808032</w:t>
      </w:r>
      <w:bookmarkEnd w:id="49"/>
      <w:bookmarkEnd w:id="50"/>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highlight w:val="none"/>
          <w14:textFill>
            <w14:solidFill>
              <w14:schemeClr w14:val="tx1"/>
            </w14:solidFill>
          </w14:textFill>
        </w:rPr>
        <w:outlineLvl w:val="0"/>
      </w:pPr>
      <w:r/>
      <w:bookmarkStart w:id="51" w:name="_Toc120614211"/>
      <w:r/>
      <w:bookmarkStart w:id="52" w:name="_Toc24280"/>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51"/>
      <w:r/>
      <w:bookmarkStart w:id="53" w:name="_Toc20823274"/>
      <w:r/>
      <w:bookmarkStart w:id="54" w:name="_Toc16938518"/>
      <w:r/>
      <w:bookmarkStart w:id="55" w:name="_Toc120614213"/>
      <w:r/>
      <w:bookmarkStart w:id="56" w:name="_Toc513029202"/>
      <w:r>
        <w:rPr>
          <w:rFonts w:hint="eastAsia" w:ascii="黑体" w:hAnsi="Times New Roman" w:eastAsia="黑体"/>
          <w:color w:val="000000" w:themeColor="text1"/>
          <w:sz w:val="44"/>
          <w:szCs w:val="44"/>
          <w:highlight w:val="none"/>
          <w14:textFill>
            <w14:solidFill>
              <w14:schemeClr w14:val="tx1"/>
            </w14:solidFill>
          </w14:textFill>
        </w:rPr>
        <w:t xml:space="preserve">投标人须知</w:t>
      </w:r>
      <w:bookmarkEnd w:id="52"/>
      <w:r/>
      <w:bookmarkEnd w:id="53"/>
      <w:r/>
      <w:bookmarkEnd w:id="54"/>
      <w:r/>
      <w:bookmarkEnd w:id="55"/>
      <w:r/>
      <w:bookmarkEnd w:id="56"/>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57" w:name="_Toc513029203"/>
      <w:r/>
      <w:bookmarkStart w:id="58" w:name="_Toc120614214"/>
      <w:r/>
      <w:bookmarkStart w:id="59" w:name="_Toc20823275"/>
      <w:r/>
      <w:bookmarkStart w:id="60" w:name="_Toc1033"/>
      <w:r/>
      <w:bookmarkStart w:id="61" w:name="_Toc16938519"/>
      <w:r>
        <w:rPr>
          <w:rFonts w:hint="eastAsia" w:ascii="宋体" w:hAnsi="宋体" w:cs="宋体"/>
          <w:b/>
          <w:bCs/>
          <w:color w:val="000000" w:themeColor="text1"/>
          <w:sz w:val="28"/>
          <w:szCs w:val="28"/>
          <w:highlight w:val="none"/>
          <w14:textFill>
            <w14:solidFill>
              <w14:schemeClr w14:val="tx1"/>
            </w14:solidFill>
          </w14:textFill>
        </w:rPr>
        <w:t xml:space="preserve">一、总则</w:t>
      </w:r>
      <w:bookmarkEnd w:id="57"/>
      <w:r/>
      <w:bookmarkEnd w:id="58"/>
      <w:r/>
      <w:bookmarkEnd w:id="59"/>
      <w:r/>
      <w:bookmarkEnd w:id="60"/>
      <w:r/>
      <w:bookmarkEnd w:id="61"/>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62" w:name="_Hlt16619475"/>
      <w:r/>
      <w:bookmarkEnd w:id="62"/>
      <w:r/>
      <w:bookmarkStart w:id="63" w:name="_Toc458694821"/>
      <w:r/>
      <w:bookmarkStart w:id="64" w:name="_Toc513029204"/>
      <w:r/>
      <w:bookmarkStart w:id="65" w:name="_Toc20823276"/>
      <w:r/>
      <w:bookmarkStart w:id="66" w:name="_Toc16938520"/>
      <w:r>
        <w:rPr>
          <w:rFonts w:hint="eastAsia" w:ascii="宋体" w:hAnsi="宋体" w:cs="宋体"/>
          <w:color w:val="000000" w:themeColor="text1"/>
          <w:sz w:val="24"/>
          <w:szCs w:val="24"/>
          <w:highlight w:val="none"/>
          <w14:textFill>
            <w14:solidFill>
              <w14:schemeClr w14:val="tx1"/>
            </w14:solidFill>
          </w14:textFill>
        </w:rPr>
        <w:t xml:space="preserve">1</w:t>
      </w:r>
      <w:bookmarkEnd w:id="63"/>
      <w:r>
        <w:rPr>
          <w:rFonts w:hint="eastAsia" w:ascii="宋体" w:hAnsi="宋体" w:cs="宋体"/>
          <w:color w:val="000000" w:themeColor="text1"/>
          <w:sz w:val="24"/>
          <w:szCs w:val="24"/>
          <w:highlight w:val="none"/>
          <w14:textFill>
            <w14:solidFill>
              <w14:schemeClr w14:val="tx1"/>
            </w14:solidFill>
          </w14:textFill>
        </w:rPr>
        <w:t xml:space="preserve">、采购方式</w:t>
      </w:r>
      <w:bookmarkEnd w:id="64"/>
      <w:r/>
      <w:bookmarkEnd w:id="65"/>
      <w:r/>
      <w:bookmarkEnd w:id="66"/>
      <w:r>
        <w:rPr>
          <w:rFonts w:hint="eastAsia" w:ascii="宋体" w:hAnsi="宋体" w:cs="宋体"/>
          <w:color w:val="000000" w:themeColor="text1"/>
          <w:sz w:val="24"/>
          <w:szCs w:val="24"/>
          <w:highlight w:val="none"/>
          <w14:textFill>
            <w14:solidFill>
              <w14:schemeClr w14:val="tx1"/>
            </w14:solidFill>
          </w14:textFill>
        </w:rPr>
        <w:t xml:space="preserve">及适用法律</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本次招标及由此产生的合同受中华人民共和国有关的法律法规制约和保护。</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2、定义</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“采购人”系指购买本项目货物并接受相关服务的国家机关、事业单位、团体组织。</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“投标人”系指响应招标、参加投标竞争的供应商。</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67" w:name="_Toc20823277"/>
      <w:r/>
      <w:bookmarkStart w:id="68" w:name="_Toc16938521"/>
      <w:r/>
      <w:bookmarkStart w:id="69" w:name="_Toc513029205"/>
      <w:r>
        <w:rPr>
          <w:rFonts w:hint="eastAsia" w:ascii="宋体" w:hAnsi="宋体" w:cs="宋体"/>
          <w:color w:val="000000" w:themeColor="text1"/>
          <w:sz w:val="24"/>
          <w:szCs w:val="24"/>
          <w:highlight w:val="none"/>
          <w14:textFill>
            <w14:solidFill>
              <w14:schemeClr w14:val="tx1"/>
            </w14:solidFill>
          </w14:textFill>
        </w:rPr>
        <w:t xml:space="preserve">3、合格的投标人</w:t>
      </w:r>
      <w:bookmarkEnd w:id="67"/>
      <w:r/>
      <w:bookmarkEnd w:id="68"/>
      <w:r/>
      <w:bookmarkEnd w:id="69"/>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满足招标公告中供应商的资格要求的规定，详见《第一章 投标邀请》中投标人资格要求。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 满足本文件实质性要求和条件的规定。</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70" w:name="_Toc16938523"/>
      <w:r/>
      <w:bookmarkStart w:id="71" w:name="_Toc513029207"/>
      <w:r/>
      <w:bookmarkStart w:id="72" w:name="_Toc20823279"/>
      <w:r/>
      <w:bookmarkStart w:id="73" w:name="_Toc462564067"/>
      <w:r>
        <w:rPr>
          <w:rFonts w:hint="eastAsia" w:ascii="宋体" w:hAnsi="宋体" w:cs="宋体"/>
          <w:color w:val="000000" w:themeColor="text1"/>
          <w:sz w:val="24"/>
          <w:szCs w:val="24"/>
          <w:highlight w:val="none"/>
          <w14:textFill>
            <w14:solidFill>
              <w14:schemeClr w14:val="tx1"/>
            </w14:solidFill>
          </w14:textFill>
        </w:rPr>
        <w:t xml:space="preserve">4、投标费用</w:t>
      </w:r>
      <w:bookmarkEnd w:id="70"/>
      <w:r/>
      <w:bookmarkEnd w:id="71"/>
      <w:r/>
      <w:bookmarkEnd w:id="72"/>
      <w:r/>
      <w:bookmarkEnd w:id="73"/>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无论投标过程中的做法和结果如何，投标人应自行承担所有与准备和参加投标有关的全部费用。</w:t>
      </w:r>
      <w:r/>
    </w:p>
    <w:p>
      <w:pPr>
        <w:ind w:firstLine="789"/>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rPr>
          <w:rFonts w:hint="eastAsia" w:ascii="宋体" w:hAnsi="宋体" w:cs="宋体"/>
          <w:b/>
          <w:color w:val="000000" w:themeColor="text1"/>
          <w:sz w:val="24"/>
          <w:szCs w:val="24"/>
          <w:highlight w:val="none"/>
          <w14:textFill>
            <w14:solidFill>
              <w14:schemeClr w14:val="tx1"/>
            </w14:solidFill>
          </w14:textFill>
        </w:rPr>
        <w:t xml:space="preserve">本次招标不收取采购文件工本费</w:t>
      </w:r>
      <w:r/>
    </w:p>
    <w:p>
      <w:pPr>
        <w:ind w:firstLine="789"/>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w:t>
      </w:r>
      <w:r>
        <w:rPr>
          <w:rFonts w:hint="eastAsia" w:ascii="宋体" w:hAnsi="宋体" w:cs="宋体"/>
          <w:b/>
          <w:color w:val="000000" w:themeColor="text1"/>
          <w:sz w:val="24"/>
          <w:szCs w:val="24"/>
          <w:highlight w:val="none"/>
          <w14:textFill>
            <w14:solidFill>
              <w14:schemeClr w14:val="tx1"/>
            </w14:solidFill>
          </w14:textFill>
        </w:rPr>
        <w:t xml:space="preserve">本项目</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采购代理</w:t>
      </w:r>
      <w:r>
        <w:rPr>
          <w:rFonts w:hint="eastAsia" w:ascii="宋体" w:hAnsi="宋体" w:cs="宋体"/>
          <w:b/>
          <w:color w:val="000000" w:themeColor="text1"/>
          <w:sz w:val="24"/>
          <w:szCs w:val="24"/>
          <w:highlight w:val="none"/>
          <w14:textFill>
            <w14:solidFill>
              <w14:schemeClr w14:val="tx1"/>
            </w14:solidFill>
          </w14:textFill>
        </w:rPr>
        <w:t xml:space="preserve">服务费由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
          <w:color w:val="000000" w:themeColor="text1"/>
          <w:sz w:val="24"/>
          <w:szCs w:val="24"/>
          <w:highlight w:val="none"/>
          <w14:textFill>
            <w14:solidFill>
              <w14:schemeClr w14:val="tx1"/>
            </w14:solidFill>
          </w14:textFill>
        </w:rPr>
        <w:t xml:space="preserve">支付，</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代理服务费为50500.00</w:t>
      </w:r>
      <w:r>
        <w:rPr>
          <w:rFonts w:hint="eastAsia" w:ascii="宋体" w:hAnsi="宋体" w:cs="宋体"/>
          <w:b/>
          <w:color w:val="000000" w:themeColor="text1"/>
          <w:sz w:val="24"/>
          <w:szCs w:val="24"/>
          <w:highlight w:val="none"/>
          <w14:textFill>
            <w14:solidFill>
              <w14:schemeClr w14:val="tx1"/>
            </w14:solidFill>
          </w14:textFill>
        </w:rPr>
        <w:t xml:space="preserve">元整。</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5、招标文件的约束力</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74" w:name="_Toc120614215"/>
      <w:r/>
      <w:bookmarkStart w:id="75" w:name="_Toc513029209"/>
      <w:r/>
      <w:bookmarkStart w:id="76" w:name="_Toc16938525"/>
      <w:r/>
      <w:bookmarkStart w:id="77" w:name="_Toc28891"/>
      <w:r/>
      <w:bookmarkStart w:id="78" w:name="_Toc20823281"/>
      <w:r>
        <w:rPr>
          <w:rFonts w:hint="eastAsia" w:ascii="宋体" w:hAnsi="宋体" w:cs="宋体"/>
          <w:b/>
          <w:bCs/>
          <w:color w:val="000000" w:themeColor="text1"/>
          <w:sz w:val="28"/>
          <w:szCs w:val="28"/>
          <w:highlight w:val="none"/>
          <w14:textFill>
            <w14:solidFill>
              <w14:schemeClr w14:val="tx1"/>
            </w14:solidFill>
          </w14:textFill>
        </w:rPr>
        <w:t xml:space="preserve">二、招标文件</w:t>
      </w:r>
      <w:bookmarkEnd w:id="74"/>
      <w:r/>
      <w:bookmarkEnd w:id="75"/>
      <w:r/>
      <w:bookmarkEnd w:id="76"/>
      <w:r/>
      <w:bookmarkEnd w:id="77"/>
      <w:r/>
      <w:bookmarkEnd w:id="78"/>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79" w:name="_Toc20823282"/>
      <w:r/>
      <w:bookmarkStart w:id="80" w:name="_Toc513029210"/>
      <w:r/>
      <w:bookmarkStart w:id="81" w:name="_Toc16938526"/>
      <w:r>
        <w:rPr>
          <w:rFonts w:hint="eastAsia" w:ascii="宋体" w:hAnsi="宋体" w:cs="宋体"/>
          <w:color w:val="000000" w:themeColor="text1"/>
          <w:sz w:val="24"/>
          <w:szCs w:val="24"/>
          <w:highlight w:val="none"/>
          <w14:textFill>
            <w14:solidFill>
              <w14:schemeClr w14:val="tx1"/>
            </w14:solidFill>
          </w14:textFill>
        </w:rPr>
        <w:t xml:space="preserve">1、招标文件构成</w:t>
      </w:r>
      <w:bookmarkEnd w:id="79"/>
      <w:r/>
      <w:bookmarkEnd w:id="80"/>
      <w:r/>
      <w:bookmarkEnd w:id="81"/>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 招标文件由以下部分组成：</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（1）投标邀请</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（2）投标人须知</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（3）合同文本</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（5）评标方法与评标标准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（6）投标文件格式</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请仔细检查招标文件是否齐全，如有缺漏请立即与代理机构联系解决。</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82" w:name="_Toc513029211"/>
      <w:r/>
      <w:bookmarkStart w:id="83" w:name="_Toc16938527"/>
      <w:r/>
      <w:bookmarkStart w:id="84" w:name="_Toc20823283"/>
      <w:r/>
      <w:bookmarkStart w:id="85" w:name="_Toc462564070"/>
      <w:r>
        <w:rPr>
          <w:rFonts w:hint="eastAsia" w:ascii="宋体" w:hAnsi="宋体" w:cs="宋体"/>
          <w:color w:val="000000" w:themeColor="text1"/>
          <w:sz w:val="24"/>
          <w:szCs w:val="24"/>
          <w:highlight w:val="none"/>
          <w14:textFill>
            <w14:solidFill>
              <w14:schemeClr w14:val="tx1"/>
            </w14:solidFill>
          </w14:textFill>
        </w:rPr>
        <w:t xml:space="preserve">2、招标文件的澄清、修改</w:t>
      </w:r>
      <w:r/>
    </w:p>
    <w:p>
      <w:pPr>
        <w:ind w:firstLine="789"/>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highlight w:val="none"/>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highlight w:val="none"/>
          <w14:textFill>
            <w14:solidFill>
              <w14:schemeClr w14:val="tx1"/>
            </w14:solidFill>
          </w14:textFill>
        </w:rPr>
        <w:t xml:space="preserve">政府采购信息发布媒体上</w:t>
      </w:r>
      <w:r>
        <w:rPr>
          <w:rFonts w:hint="eastAsia" w:ascii="宋体" w:hAnsi="宋体" w:cs="宋体"/>
          <w:b/>
          <w:bCs/>
          <w:color w:val="000000" w:themeColor="text1"/>
          <w:sz w:val="24"/>
          <w:szCs w:val="24"/>
          <w:highlight w:val="none"/>
          <w14:textFill>
            <w14:solidFill>
              <w14:schemeClr w14:val="tx1"/>
            </w14:solidFill>
          </w14:textFill>
        </w:rPr>
        <w:t xml:space="preserve">“补充通知”栏，按规定获取相关信息内容，否则其投标风险由投标人承担。</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代理机构有权按照法定的要求顺延投标截止时间和开标时间。</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有关澄清或者修改的内容将作为招标文件的组成部分，对所有投标人具有约束力。</w:t>
      </w:r>
      <w:bookmarkEnd w:id="82"/>
      <w:r/>
      <w:bookmarkEnd w:id="83"/>
      <w:r/>
      <w:bookmarkEnd w:id="84"/>
      <w:r/>
      <w:bookmarkEnd w:id="85"/>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86" w:name="_Toc462564072"/>
      <w:r/>
      <w:bookmarkStart w:id="87" w:name="_Toc16938529"/>
      <w:r/>
      <w:bookmarkStart w:id="88" w:name="_Toc513029213"/>
      <w:r/>
      <w:bookmarkStart w:id="89" w:name="_Toc20823285"/>
      <w:r/>
      <w:bookmarkStart w:id="90" w:name="_Toc120614216"/>
      <w:r/>
      <w:bookmarkStart w:id="91" w:name="_Toc224"/>
      <w:r>
        <w:rPr>
          <w:rFonts w:hint="eastAsia" w:ascii="宋体" w:hAnsi="宋体" w:cs="宋体"/>
          <w:b/>
          <w:bCs/>
          <w:color w:val="000000" w:themeColor="text1"/>
          <w:sz w:val="28"/>
          <w:szCs w:val="28"/>
          <w:highlight w:val="none"/>
          <w14:textFill>
            <w14:solidFill>
              <w14:schemeClr w14:val="tx1"/>
            </w14:solidFill>
          </w14:textFill>
        </w:rPr>
        <w:t xml:space="preserve">三、投标文件的编制</w:t>
      </w:r>
      <w:bookmarkEnd w:id="86"/>
      <w:r/>
      <w:bookmarkEnd w:id="87"/>
      <w:r/>
      <w:bookmarkEnd w:id="88"/>
      <w:r/>
      <w:bookmarkEnd w:id="89"/>
      <w:r/>
      <w:bookmarkEnd w:id="90"/>
      <w:r/>
      <w:bookmarkEnd w:id="91"/>
      <w:r/>
      <w:r/>
    </w:p>
    <w:p>
      <w:pPr>
        <w:ind w:firstLine="480"/>
        <w:keepLines/>
        <w:keepNext/>
        <w:spacing w:line="440" w:lineRule="exact"/>
        <w:rPr>
          <w:rFonts w:ascii="宋体" w:hAnsi="宋体" w:cs="宋体"/>
          <w:b/>
          <w:color w:val="000000" w:themeColor="text1"/>
          <w:sz w:val="24"/>
          <w:szCs w:val="24"/>
          <w:highlight w:val="none"/>
          <w14:textFill>
            <w14:solidFill>
              <w14:schemeClr w14:val="tx1"/>
            </w14:solidFill>
          </w14:textFill>
        </w:rPr>
        <w:outlineLvl w:val="3"/>
      </w:pPr>
      <w:r/>
      <w:bookmarkStart w:id="92" w:name="_Toc16938530"/>
      <w:r/>
      <w:bookmarkStart w:id="93" w:name="_Toc513029214"/>
      <w:r/>
      <w:bookmarkStart w:id="94" w:name="_Toc20823286"/>
      <w:r/>
      <w:bookmarkStart w:id="95" w:name="_Toc462564073"/>
      <w:r>
        <w:rPr>
          <w:rFonts w:hint="eastAsia" w:ascii="宋体" w:hAnsi="宋体" w:cs="宋体"/>
          <w:color w:val="000000" w:themeColor="text1"/>
          <w:sz w:val="24"/>
          <w:szCs w:val="24"/>
          <w:highlight w:val="none"/>
          <w14:textFill>
            <w14:solidFill>
              <w14:schemeClr w14:val="tx1"/>
            </w14:solidFill>
          </w14:textFill>
        </w:rPr>
        <w:t xml:space="preserve">1、投标文件的语言及度量衡单位</w:t>
      </w:r>
      <w:bookmarkEnd w:id="92"/>
      <w:r/>
      <w:bookmarkEnd w:id="93"/>
      <w:r/>
      <w:bookmarkEnd w:id="94"/>
      <w:r/>
      <w:bookmarkEnd w:id="95"/>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1.1投标人提交的投标文件以及投标人与代理机构就有关投标的所有来往通知、函件和文件均应使用</w:t>
      </w:r>
      <w:r>
        <w:rPr>
          <w:rFonts w:hint="eastAsia" w:ascii="宋体" w:hAnsi="宋体" w:cs="宋体"/>
          <w:b/>
          <w:bCs/>
          <w:color w:val="000000" w:themeColor="text1"/>
          <w:sz w:val="24"/>
          <w:szCs w:val="24"/>
          <w:highlight w:val="none"/>
          <w14:textFill>
            <w14:solidFill>
              <w14:schemeClr w14:val="tx1"/>
            </w14:solidFill>
          </w14:textFill>
        </w:rPr>
        <w:t xml:space="preserve">简体中文</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789"/>
        <w:spacing w:line="44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96" w:name="_Toc462564074"/>
      <w:r/>
      <w:bookmarkStart w:id="97" w:name="_Toc16938531"/>
      <w:r/>
      <w:bookmarkStart w:id="98" w:name="_Toc20823287"/>
      <w:r/>
      <w:bookmarkStart w:id="99" w:name="_Toc513029215"/>
      <w:r>
        <w:rPr>
          <w:rFonts w:hint="eastAsia" w:ascii="宋体" w:hAnsi="宋体" w:cs="宋体"/>
          <w:color w:val="000000" w:themeColor="text1"/>
          <w:sz w:val="24"/>
          <w:szCs w:val="24"/>
          <w:highlight w:val="none"/>
          <w14:textFill>
            <w14:solidFill>
              <w14:schemeClr w14:val="tx1"/>
            </w14:solidFill>
          </w14:textFill>
        </w:rPr>
        <w:t xml:space="preserve">2、投标文件构成</w:t>
      </w:r>
      <w:bookmarkEnd w:id="96"/>
      <w:r/>
      <w:bookmarkEnd w:id="97"/>
      <w:r/>
      <w:bookmarkEnd w:id="98"/>
      <w:r/>
      <w:bookmarkEnd w:id="99"/>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00" w:name="_Hlt26954838"/>
      <w:r/>
      <w:bookmarkEnd w:id="100"/>
      <w:r/>
      <w:bookmarkStart w:id="101" w:name="_Hlt26670360"/>
      <w:r/>
      <w:bookmarkEnd w:id="101"/>
      <w:r/>
      <w:bookmarkStart w:id="102" w:name="_Hlt26668975"/>
      <w:r/>
      <w:bookmarkEnd w:id="102"/>
      <w:r/>
      <w:bookmarkStart w:id="103" w:name="_Toc513029219"/>
      <w:r/>
      <w:bookmarkStart w:id="104" w:name="_Toc49090509"/>
      <w:r/>
      <w:bookmarkStart w:id="105" w:name="_Toc513029216"/>
      <w:r/>
      <w:bookmarkStart w:id="106" w:name="_Toc14577357"/>
      <w:r/>
      <w:bookmarkStart w:id="107" w:name="_Toc49090507"/>
      <w:r/>
      <w:bookmarkStart w:id="108" w:name="_Toc14577354"/>
      <w:r/>
      <w:bookmarkStart w:id="109" w:name="_Toc14577355"/>
      <w:r/>
      <w:bookmarkStart w:id="110" w:name="_Toc49090508"/>
      <w:r>
        <w:rPr>
          <w:rFonts w:hint="eastAsia" w:ascii="宋体" w:hAnsi="宋体" w:cs="宋体"/>
          <w:color w:val="000000" w:themeColor="text1"/>
          <w:sz w:val="24"/>
          <w:szCs w:val="24"/>
          <w:highlight w:val="none"/>
          <w14:textFill>
            <w14:solidFill>
              <w14:schemeClr w14:val="tx1"/>
            </w14:solidFill>
          </w14:textFill>
        </w:rPr>
        <w:t xml:space="preserve">3、证明投标人及投标标的符合招标文件规定的文件</w:t>
      </w:r>
      <w:bookmarkEnd w:id="103"/>
      <w:r/>
      <w:bookmarkEnd w:id="104"/>
      <w:r/>
      <w:bookmarkEnd w:id="105"/>
      <w:r/>
      <w:bookmarkEnd w:id="106"/>
      <w:r/>
      <w:bookmarkEnd w:id="107"/>
      <w:r/>
      <w:bookmarkEnd w:id="108"/>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投标人应按照招标文件要求提交证明文件，证明其及投标标的符合招标文件规定。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3.2招标文件对证明文件无明确形式要求的，证明文件可以以文字资料、图纸和数据等形式提交。</w:t>
      </w:r>
      <w:bookmarkEnd w:id="109"/>
      <w:r/>
      <w:bookmarkEnd w:id="110"/>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4、投标函和开标一览表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投标人应按照招标文件中提供的格式完整、正确填写投标函、开标一览表。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5、报价明细表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如有</w:t>
      </w:r>
      <w:bookmarkStart w:id="246" w:name="_GoBack"/>
      <w:r/>
      <w:bookmarkEnd w:id="246"/>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投标人应按照招标文件规定格式填报报价明细表。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5.2投标货币。投标文件中的单价和总价无特殊规定的采用人民币报价，以元为单位标注。招标文件中另有规定的按规定执行。</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11" w:name="_Hlt26670486"/>
      <w:r/>
      <w:bookmarkEnd w:id="111"/>
      <w:r/>
      <w:bookmarkStart w:id="112" w:name="_Hlt26670482"/>
      <w:r/>
      <w:bookmarkEnd w:id="112"/>
      <w:r/>
      <w:bookmarkStart w:id="113" w:name="_Hlt26954846"/>
      <w:r/>
      <w:bookmarkEnd w:id="113"/>
      <w:r/>
      <w:bookmarkStart w:id="114" w:name="_Hlt26954848"/>
      <w:r/>
      <w:bookmarkEnd w:id="114"/>
      <w:r/>
      <w:bookmarkStart w:id="115" w:name="_Hlt26954731"/>
      <w:r/>
      <w:bookmarkEnd w:id="115"/>
      <w:r/>
      <w:bookmarkStart w:id="116" w:name="_Hlk155763835"/>
      <w:r>
        <w:rPr>
          <w:rFonts w:hint="eastAsia" w:ascii="宋体" w:hAnsi="宋体" w:cs="宋体"/>
          <w:color w:val="000000" w:themeColor="text1"/>
          <w:sz w:val="24"/>
          <w:szCs w:val="24"/>
          <w:highlight w:val="none"/>
          <w14:textFill>
            <w14:solidFill>
              <w14:schemeClr w14:val="tx1"/>
            </w14:solidFill>
          </w14:textFill>
        </w:rPr>
        <w:t xml:space="preserve">6、服务、商务要求响应及偏离表</w:t>
      </w:r>
      <w:r/>
    </w:p>
    <w:p>
      <w:pPr>
        <w:ind w:firstLine="789"/>
        <w:spacing w:line="44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w:t>
      </w:r>
      <w:r>
        <w:rPr>
          <w:rFonts w:hint="eastAsia" w:ascii="宋体" w:hAnsi="宋体" w:cs="宋体"/>
          <w:color w:val="000000" w:themeColor="text1"/>
          <w:sz w:val="24"/>
          <w:szCs w:val="24"/>
          <w:highlight w:val="none"/>
          <w:lang w:val="zh-CN"/>
          <w14:textFill>
            <w14:solidFill>
              <w14:schemeClr w14:val="tx1"/>
            </w14:solidFill>
          </w14:textFill>
        </w:rPr>
        <w:t xml:space="preserve"> 投标人需对招标文件中的服务要求与商务要求逐项作出响应或偏离，并说明原因。</w:t>
      </w:r>
      <w:r/>
    </w:p>
    <w:p>
      <w:pPr>
        <w:ind w:firstLine="789"/>
        <w:spacing w:line="44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w:t>
      </w:r>
      <w:r>
        <w:rPr>
          <w:rFonts w:hint="eastAsia" w:ascii="宋体" w:hAnsi="宋体" w:cs="宋体"/>
          <w:color w:val="000000" w:themeColor="text1"/>
          <w:sz w:val="24"/>
          <w:szCs w:val="24"/>
          <w:highlight w:val="none"/>
          <w:lang w:val="zh-CN"/>
          <w14:textFill>
            <w14:solidFill>
              <w14:schemeClr w14:val="tx1"/>
            </w14:solidFill>
          </w14:textFill>
        </w:rPr>
        <w:t xml:space="preserve">投标人需按照招标文件要求，在投标文件中提供与服务要求和商务要求相关的证明材料。</w:t>
      </w:r>
      <w:bookmarkEnd w:id="116"/>
      <w:r>
        <w:rPr>
          <w:rFonts w:hint="eastAsia" w:ascii="宋体" w:hAnsi="宋体" w:cs="宋体"/>
          <w:color w:val="000000" w:themeColor="text1"/>
          <w:sz w:val="24"/>
          <w:szCs w:val="24"/>
          <w:highlight w:val="none"/>
          <w:lang w:val="zh-CN"/>
          <w14:textFill>
            <w14:solidFill>
              <w14:schemeClr w14:val="tx1"/>
            </w14:solidFill>
          </w14:textFill>
        </w:rPr>
        <w:t xml:space="preserve">（如有）</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7、项目服务方案情况</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 投标人需根据招标文件要求提供有关项目服务方案和关键技术问题及难点分析、项目进度计划安排、质量管理及保证措施、响应承诺等。</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 投标人需根据招标文件要求提供实施的类似项目业绩情况。</w:t>
      </w:r>
      <w:bookmarkStart w:id="117" w:name="_Toc49090510"/>
      <w:r/>
      <w:bookmarkStart w:id="118" w:name="_Toc14577359"/>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8、其他</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8.1 投标人需根据招标文件要求提供的其他证明材料。</w:t>
      </w:r>
      <w:bookmarkEnd w:id="117"/>
      <w:r/>
      <w:bookmarkEnd w:id="118"/>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19" w:name="_Toc14577360"/>
      <w:r/>
      <w:bookmarkStart w:id="120" w:name="_Toc49090511"/>
      <w:r>
        <w:rPr>
          <w:rFonts w:hint="eastAsia" w:ascii="宋体" w:hAnsi="宋体" w:cs="宋体"/>
          <w:color w:val="000000" w:themeColor="text1"/>
          <w:sz w:val="24"/>
          <w:szCs w:val="24"/>
          <w:highlight w:val="none"/>
          <w14:textFill>
            <w14:solidFill>
              <w14:schemeClr w14:val="tx1"/>
            </w14:solidFill>
          </w14:textFill>
        </w:rPr>
        <w:t xml:space="preserve">9、投标有效期</w:t>
      </w:r>
      <w:bookmarkEnd w:id="119"/>
      <w:r/>
      <w:bookmarkEnd w:id="120"/>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9.1投标有效期为代理机构</w:t>
      </w:r>
      <w:r>
        <w:rPr>
          <w:rFonts w:hint="eastAsia" w:ascii="宋体" w:hAnsi="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cs="宋体"/>
          <w:bCs/>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10、投标有效期的延长</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21" w:name="_Hlt26954739"/>
      <w:r/>
      <w:bookmarkEnd w:id="121"/>
      <w:r/>
      <w:bookmarkStart w:id="122" w:name="_Hlt26954852"/>
      <w:r/>
      <w:bookmarkEnd w:id="122"/>
      <w:r/>
      <w:bookmarkStart w:id="123" w:name="_Toc20823296"/>
      <w:r/>
      <w:bookmarkStart w:id="124" w:name="_Toc513029224"/>
      <w:r/>
      <w:bookmarkStart w:id="125" w:name="_Toc16938540"/>
      <w:r/>
      <w:bookmarkStart w:id="126" w:name="_Toc19027"/>
      <w:r/>
      <w:bookmarkStart w:id="127" w:name="_Toc120614217"/>
      <w:r>
        <w:rPr>
          <w:rFonts w:hint="eastAsia" w:ascii="宋体" w:hAnsi="宋体" w:cs="宋体"/>
          <w:b/>
          <w:bCs/>
          <w:color w:val="000000" w:themeColor="text1"/>
          <w:sz w:val="28"/>
          <w:szCs w:val="28"/>
          <w:highlight w:val="none"/>
          <w14:textFill>
            <w14:solidFill>
              <w14:schemeClr w14:val="tx1"/>
            </w14:solidFill>
          </w14:textFill>
        </w:rPr>
        <w:t xml:space="preserve">四、投标文件的递交</w:t>
      </w:r>
      <w:bookmarkEnd w:id="123"/>
      <w:r/>
      <w:bookmarkEnd w:id="124"/>
      <w:r/>
      <w:bookmarkEnd w:id="125"/>
      <w:r/>
      <w:bookmarkEnd w:id="126"/>
      <w:r/>
      <w:bookmarkEnd w:id="127"/>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28" w:name="_Toc462564084"/>
      <w:r/>
      <w:bookmarkStart w:id="129" w:name="_Toc513029225"/>
      <w:r/>
      <w:bookmarkStart w:id="130" w:name="_Toc16938541"/>
      <w:r/>
      <w:bookmarkStart w:id="131" w:name="_Toc20823297"/>
      <w:r>
        <w:rPr>
          <w:rFonts w:hint="eastAsia" w:ascii="宋体" w:hAnsi="宋体" w:cs="宋体"/>
          <w:color w:val="000000" w:themeColor="text1"/>
          <w:sz w:val="24"/>
          <w:szCs w:val="24"/>
          <w:highlight w:val="none"/>
          <w14:textFill>
            <w14:solidFill>
              <w14:schemeClr w14:val="tx1"/>
            </w14:solidFill>
          </w14:textFill>
        </w:rPr>
        <w:t xml:space="preserve">1、电子投标文件</w:t>
      </w:r>
      <w:bookmarkEnd w:id="128"/>
      <w:r/>
      <w:bookmarkEnd w:id="129"/>
      <w:r/>
      <w:bookmarkEnd w:id="130"/>
      <w:r/>
      <w:bookmarkEnd w:id="131"/>
      <w:r>
        <w:rPr>
          <w:rFonts w:hint="eastAsia" w:ascii="宋体" w:hAnsi="宋体" w:cs="宋体"/>
          <w:color w:val="000000" w:themeColor="text1"/>
          <w:sz w:val="24"/>
          <w:szCs w:val="24"/>
          <w:highlight w:val="none"/>
          <w14:textFill>
            <w14:solidFill>
              <w14:schemeClr w14:val="tx1"/>
            </w14:solidFill>
          </w14:textFill>
        </w:rPr>
        <w:t xml:space="preserve">的递交</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1.1投标人应当按照《苏采云系统供应商操作手册》规定，在投标截止时间前制作并上传电子投标文件。</w:t>
      </w:r>
      <w:bookmarkStart w:id="132" w:name="_Toc20823298"/>
      <w:r/>
      <w:bookmarkStart w:id="133" w:name="_Toc16938542"/>
      <w:r/>
      <w:bookmarkStart w:id="134" w:name="_Toc513029226"/>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2、投标截止日期</w:t>
      </w:r>
      <w:bookmarkEnd w:id="132"/>
      <w:r/>
      <w:bookmarkEnd w:id="133"/>
      <w:r/>
      <w:bookmarkEnd w:id="134"/>
      <w:r/>
      <w:r/>
    </w:p>
    <w:p>
      <w:pPr>
        <w:ind w:firstLine="789"/>
        <w:spacing w:line="440" w:lineRule="exact"/>
        <w:rPr>
          <w:rFonts w:ascii="宋体" w:hAnsi="宋体" w:cs="宋体"/>
          <w:bCs/>
          <w:iCs/>
          <w:color w:val="000000" w:themeColor="text1"/>
          <w:sz w:val="24"/>
          <w:szCs w:val="24"/>
          <w:highlight w:val="none"/>
          <w:u w:val="single"/>
          <w14:textFill>
            <w14:solidFill>
              <w14:schemeClr w14:val="tx1"/>
            </w14:solidFill>
          </w14:textFill>
        </w:rPr>
      </w:pPr>
      <w:r>
        <w:rPr>
          <w:rFonts w:hint="eastAsia" w:ascii="宋体" w:hAnsi="宋体" w:cs="宋体"/>
          <w:iCs/>
          <w:color w:val="000000" w:themeColor="text1"/>
          <w:sz w:val="24"/>
          <w:szCs w:val="24"/>
          <w:highlight w:val="none"/>
          <w:u w:val="single"/>
          <w14:textFill>
            <w14:solidFill>
              <w14:schemeClr w14:val="tx1"/>
            </w14:solidFill>
          </w14:textFill>
        </w:rPr>
        <w:t xml:space="preserve">2.1</w:t>
      </w:r>
      <w:r>
        <w:rPr>
          <w:rFonts w:hint="eastAsia" w:ascii="宋体" w:hAnsi="宋体" w:cs="宋体"/>
          <w:bCs/>
          <w:iCs/>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35" w:name="_Toc513029227"/>
      <w:r/>
      <w:bookmarkStart w:id="136" w:name="_Toc20823299"/>
      <w:r/>
      <w:bookmarkStart w:id="137" w:name="_Toc16938543"/>
      <w:r>
        <w:rPr>
          <w:rFonts w:hint="eastAsia" w:ascii="宋体" w:hAnsi="宋体" w:cs="宋体"/>
          <w:color w:val="000000" w:themeColor="text1"/>
          <w:sz w:val="24"/>
          <w:szCs w:val="24"/>
          <w:highlight w:val="none"/>
          <w14:textFill>
            <w14:solidFill>
              <w14:schemeClr w14:val="tx1"/>
            </w14:solidFill>
          </w14:textFill>
        </w:rPr>
        <w:t xml:space="preserve">3、投标文件</w:t>
      </w:r>
      <w:bookmarkEnd w:id="135"/>
      <w:r/>
      <w:bookmarkEnd w:id="136"/>
      <w:r/>
      <w:bookmarkEnd w:id="137"/>
      <w:r>
        <w:rPr>
          <w:rFonts w:hint="eastAsia" w:ascii="宋体" w:hAnsi="宋体" w:cs="宋体"/>
          <w:color w:val="000000" w:themeColor="text1"/>
          <w:sz w:val="24"/>
          <w:szCs w:val="24"/>
          <w:highlight w:val="none"/>
          <w14:textFill>
            <w14:solidFill>
              <w14:schemeClr w14:val="tx1"/>
            </w14:solidFill>
          </w14:textFill>
        </w:rPr>
        <w:t xml:space="preserve">的拒收</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3.1 代理机构拒绝接收在其规定的投标截止时间后上传的任何投标文件。</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38" w:name="_Toc20823300"/>
      <w:r/>
      <w:bookmarkStart w:id="139" w:name="_Toc513029228"/>
      <w:r/>
      <w:bookmarkStart w:id="140" w:name="_Toc16938544"/>
      <w:r>
        <w:rPr>
          <w:rFonts w:hint="eastAsia" w:ascii="宋体" w:hAnsi="宋体" w:cs="宋体"/>
          <w:color w:val="000000" w:themeColor="text1"/>
          <w:sz w:val="24"/>
          <w:szCs w:val="24"/>
          <w:highlight w:val="none"/>
          <w14:textFill>
            <w14:solidFill>
              <w14:schemeClr w14:val="tx1"/>
            </w14:solidFill>
          </w14:textFill>
        </w:rPr>
        <w:t xml:space="preserve">4、投标文件的撤回和修改</w:t>
      </w:r>
      <w:bookmarkEnd w:id="138"/>
      <w:r/>
      <w:bookmarkEnd w:id="139"/>
      <w:r/>
      <w:bookmarkEnd w:id="140"/>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投标文件的撤回</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电子投标文件的撤回</w:t>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投标人可在投标截止时间前，撤回其电子投标文件，具体操作方法见《苏采云系统供应商操作手册》。</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投标人撤回电子投标文件，则认为其不再参与本项目投标活动。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投标文件的修改</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 在投标截止时间之后，投标人不得对其电子投标文件作任何修改。</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41" w:name="_Toc513029229"/>
      <w:r/>
      <w:bookmarkStart w:id="142" w:name="_Toc120614218"/>
      <w:r/>
      <w:bookmarkStart w:id="143" w:name="_Toc19112"/>
      <w:r/>
      <w:bookmarkStart w:id="144" w:name="_Toc20823301"/>
      <w:r/>
      <w:bookmarkStart w:id="145" w:name="_Toc16938545"/>
      <w:r>
        <w:rPr>
          <w:rFonts w:hint="eastAsia" w:ascii="宋体" w:hAnsi="宋体" w:cs="宋体"/>
          <w:b/>
          <w:bCs/>
          <w:color w:val="000000" w:themeColor="text1"/>
          <w:sz w:val="28"/>
          <w:szCs w:val="28"/>
          <w:highlight w:val="none"/>
          <w14:textFill>
            <w14:solidFill>
              <w14:schemeClr w14:val="tx1"/>
            </w14:solidFill>
          </w14:textFill>
        </w:rPr>
        <w:t xml:space="preserve">五、开标与评标</w:t>
      </w:r>
      <w:bookmarkEnd w:id="141"/>
      <w:r/>
      <w:bookmarkEnd w:id="142"/>
      <w:r/>
      <w:bookmarkEnd w:id="143"/>
      <w:r/>
      <w:bookmarkEnd w:id="144"/>
      <w:r/>
      <w:bookmarkEnd w:id="145"/>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46" w:name="_Toc16938546"/>
      <w:r/>
      <w:bookmarkStart w:id="147" w:name="_Toc513029230"/>
      <w:r/>
      <w:bookmarkStart w:id="148" w:name="_Toc20823302"/>
      <w:r>
        <w:rPr>
          <w:rFonts w:hint="eastAsia" w:ascii="宋体" w:hAnsi="宋体" w:cs="宋体"/>
          <w:color w:val="000000" w:themeColor="text1"/>
          <w:sz w:val="24"/>
          <w:szCs w:val="24"/>
          <w:highlight w:val="none"/>
          <w14:textFill>
            <w14:solidFill>
              <w14:schemeClr w14:val="tx1"/>
            </w14:solidFill>
          </w14:textFill>
        </w:rPr>
        <w:t xml:space="preserve">1、开标</w:t>
      </w:r>
      <w:bookmarkEnd w:id="146"/>
      <w:r/>
      <w:bookmarkEnd w:id="147"/>
      <w:r/>
      <w:bookmarkEnd w:id="148"/>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1.2开标仪式由代理机构组织。苏采云系统将自动对项目进行开标，并宣布各投标人名称和投标价格。</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49" w:name="_Toc16938547"/>
      <w:r/>
      <w:bookmarkStart w:id="150" w:name="_Toc20823303"/>
      <w:r/>
      <w:bookmarkStart w:id="151" w:name="_Toc513029231"/>
      <w:r>
        <w:rPr>
          <w:rFonts w:hint="eastAsia" w:ascii="宋体" w:hAnsi="宋体" w:cs="宋体"/>
          <w:color w:val="000000" w:themeColor="text1"/>
          <w:sz w:val="24"/>
          <w:szCs w:val="24"/>
          <w:highlight w:val="none"/>
          <w14:textFill>
            <w14:solidFill>
              <w14:schemeClr w14:val="tx1"/>
            </w14:solidFill>
          </w14:textFill>
        </w:rPr>
        <w:t xml:space="preserve">2、评标委员会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开标后，代理机构将立即组织评标委员会（以下简称评委会）进行评标。</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评委会由采购人代表和有关技术、经济等方面的专家组成，且人员构成符合政府采购有关规定。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2.3评委会独立工作，负责评审所有投标文件并确定中标侯选人。</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3．评标过程的保密与公正</w:t>
      </w:r>
      <w:bookmarkEnd w:id="149"/>
      <w:r/>
      <w:bookmarkEnd w:id="150"/>
      <w:r/>
      <w:bookmarkEnd w:id="151"/>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rPr>
          <w:rFonts w:hint="eastAsia" w:ascii="宋体" w:hAnsi="宋体" w:cs="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3.2在评标过程中，投标人不得以任何行为影响评标过程，否则其投标文件将被作为无效投标文件。</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 代理机构和评委会不向未中标的投标人解释未中标原因，也不公布评标过程中的相关细节。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 采用综合评分法的项目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未中标的投标人可于中标结果公告期限届满之日起通过苏采云系统查看自己的评审得分及排序情况。</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52" w:name="_Toc16938548"/>
      <w:r/>
      <w:bookmarkStart w:id="153" w:name="_Toc20823304"/>
      <w:r/>
      <w:bookmarkStart w:id="154" w:name="_Toc513029232"/>
      <w:r>
        <w:rPr>
          <w:rFonts w:hint="eastAsia" w:ascii="宋体" w:hAnsi="宋体" w:cs="宋体"/>
          <w:color w:val="000000" w:themeColor="text1"/>
          <w:sz w:val="24"/>
          <w:szCs w:val="24"/>
          <w:highlight w:val="none"/>
          <w14:textFill>
            <w14:solidFill>
              <w14:schemeClr w14:val="tx1"/>
            </w14:solidFill>
          </w14:textFill>
        </w:rPr>
        <w:t xml:space="preserve">4. 投标文件的澄清</w:t>
      </w:r>
      <w:bookmarkEnd w:id="152"/>
      <w:r/>
      <w:bookmarkEnd w:id="153"/>
      <w:r/>
      <w:bookmarkEnd w:id="154"/>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55" w:name="_Toc16938549"/>
      <w:r/>
      <w:bookmarkStart w:id="156" w:name="_Toc20823305"/>
      <w:r/>
      <w:bookmarkStart w:id="157" w:name="_Toc513029233"/>
      <w:r>
        <w:rPr>
          <w:rFonts w:hint="eastAsia" w:ascii="宋体" w:hAnsi="宋体" w:cs="宋体"/>
          <w:color w:val="000000" w:themeColor="text1"/>
          <w:sz w:val="24"/>
          <w:szCs w:val="24"/>
          <w:highlight w:val="none"/>
          <w14:textFill>
            <w14:solidFill>
              <w14:schemeClr w14:val="tx1"/>
            </w14:solidFill>
          </w14:textFill>
        </w:rPr>
        <w:t xml:space="preserve">4.1评标期间，评委会对投标文件中含义不明确、同类问题表述不一致或者有明显文字和计算错误的内容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有权要求投标人作出必要的澄清、说明或者补正。</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评标委员会并非对每个投标人都做澄清要求。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 对投标文件的初审</w:t>
      </w:r>
      <w:bookmarkEnd w:id="155"/>
      <w:r/>
      <w:bookmarkEnd w:id="156"/>
      <w:r/>
      <w:bookmarkEnd w:id="157"/>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w:t>
      </w:r>
      <w:r>
        <w:rPr>
          <w:rFonts w:hint="eastAsia" w:ascii="宋体" w:hAnsi="宋体" w:cs="宋体"/>
          <w:bCs/>
          <w:color w:val="000000" w:themeColor="text1"/>
          <w:sz w:val="24"/>
          <w:szCs w:val="24"/>
          <w:highlight w:val="none"/>
          <w14:textFill>
            <w14:solidFill>
              <w14:schemeClr w14:val="tx1"/>
            </w14:solidFill>
          </w14:textFill>
        </w:rPr>
        <w:t xml:space="preserve">投标文件初审分为资格审查和符合性审查。</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采购人在进行资格性审查的同时，将在</w:t>
      </w:r>
      <w:r>
        <w:rPr>
          <w:rFonts w:hint="eastAsia" w:cs="宋体"/>
          <w:color w:val="000000" w:themeColor="text1"/>
          <w:sz w:val="24"/>
          <w:szCs w:val="24"/>
          <w:highlight w:val="none"/>
          <w14:textFill>
            <w14:solidFill>
              <w14:schemeClr w14:val="tx1"/>
            </w14:solidFill>
          </w14:textFill>
        </w:rPr>
        <w:t xml:space="preserve">中国政府采购网</w:t>
      </w:r>
      <w:r>
        <w:rPr>
          <w:rFonts w:cs="宋体"/>
          <w:color w:val="000000" w:themeColor="text1"/>
          <w:sz w:val="24"/>
          <w:szCs w:val="24"/>
          <w:highlight w:val="none"/>
          <w14:textFill>
            <w14:solidFill>
              <w14:schemeClr w14:val="tx1"/>
            </w14:solidFill>
          </w14:textFill>
        </w:rPr>
        <w:t xml:space="preserve">(http://www.ccgp.gov.cn/search/cr/)、信用中国（https://www.creditchina.gov.cn/）</w:t>
      </w:r>
      <w:r>
        <w:rPr>
          <w:rFonts w:hint="eastAsia" w:ascii="宋体" w:hAnsi="宋体" w:cs="宋体"/>
          <w:bCs/>
          <w:color w:val="000000" w:themeColor="text1"/>
          <w:sz w:val="24"/>
          <w:szCs w:val="24"/>
          <w:highlight w:val="none"/>
          <w14:textFill>
            <w14:solidFill>
              <w14:schemeClr w14:val="tx1"/>
            </w14:solidFill>
          </w14:textFill>
        </w:rPr>
        <w:t xml:space="preserve">查询投标人的信用记录，以确定投标人是否具备投标资格,查询结果留存并归档。</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14:textFill>
            <w14:solidFill>
              <w14:schemeClr w14:val="tx1"/>
            </w14:solidFill>
          </w14:textFill>
        </w:rPr>
        <w:t xml:space="preserve">评委决定投标文件的响应性只根据投标文件本身的内容，而不寻求外部的证据。</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w:t>
      </w:r>
      <w:r>
        <w:rPr>
          <w:rFonts w:hint="eastAsia" w:ascii="宋体" w:hAnsi="宋体" w:cs="宋体"/>
          <w:bCs/>
          <w:color w:val="000000" w:themeColor="text1"/>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w:t>
      </w:r>
      <w:r>
        <w:rPr>
          <w:rFonts w:hint="eastAsia" w:ascii="宋体" w:hAnsi="宋体" w:cs="宋体"/>
          <w:bCs/>
          <w:color w:val="000000" w:themeColor="text1"/>
          <w:sz w:val="24"/>
          <w:szCs w:val="24"/>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96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5.5</w:t>
      </w:r>
      <w:r>
        <w:rPr>
          <w:rFonts w:hint="eastAsia" w:ascii="宋体" w:hAnsi="宋体" w:cs="宋体"/>
          <w:bCs/>
          <w:color w:val="000000" w:themeColor="text1"/>
          <w:sz w:val="24"/>
          <w:szCs w:val="24"/>
          <w:highlight w:val="none"/>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4"/>
          <w:highlight w:val="none"/>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58" w:name="_Toc16938550"/>
      <w:r/>
      <w:bookmarkStart w:id="159" w:name="_Toc20823306"/>
      <w:r/>
      <w:bookmarkStart w:id="160" w:name="_Toc513029234"/>
      <w:r>
        <w:rPr>
          <w:rFonts w:hint="eastAsia" w:ascii="宋体" w:hAnsi="宋体" w:cs="宋体"/>
          <w:color w:val="000000" w:themeColor="text1"/>
          <w:sz w:val="24"/>
          <w:szCs w:val="24"/>
          <w:highlight w:val="none"/>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highlight w:val="none"/>
          <w14:textFill>
            <w14:solidFill>
              <w14:schemeClr w14:val="tx1"/>
            </w14:solidFill>
          </w14:textFill>
        </w:rPr>
        <w:t xml:space="preserve">评委会</w:t>
      </w:r>
      <w:r>
        <w:rPr>
          <w:rFonts w:hint="eastAsia" w:ascii="宋体" w:hAnsi="宋体" w:cs="宋体"/>
          <w:color w:val="000000" w:themeColor="text1"/>
          <w:sz w:val="24"/>
          <w:szCs w:val="24"/>
          <w:highlight w:val="none"/>
          <w14:textFill>
            <w14:solidFill>
              <w14:schemeClr w14:val="tx1"/>
            </w14:solidFill>
          </w14:textFill>
        </w:rPr>
        <w:t xml:space="preserve">根据招标文件规定的方式（招标文件未规定的采取随机抽取的方式）确定一个中标候选人。</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highlight w:val="none"/>
          <w14:textFill>
            <w14:solidFill>
              <w14:schemeClr w14:val="tx1"/>
            </w14:solidFill>
          </w14:textFill>
        </w:rPr>
        <w:t xml:space="preserve">评委会</w:t>
      </w:r>
      <w:r>
        <w:rPr>
          <w:rFonts w:hint="eastAsia" w:ascii="宋体" w:hAnsi="宋体" w:cs="宋体"/>
          <w:color w:val="000000" w:themeColor="text1"/>
          <w:sz w:val="24"/>
          <w:szCs w:val="24"/>
          <w:highlight w:val="none"/>
          <w14:textFill>
            <w14:solidFill>
              <w14:schemeClr w14:val="tx1"/>
            </w14:solidFill>
          </w14:textFill>
        </w:rPr>
        <w:t xml:space="preserve">联系。</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6</w:t>
      </w:r>
      <w:bookmarkEnd w:id="158"/>
      <w:r/>
      <w:bookmarkEnd w:id="159"/>
      <w:r/>
      <w:bookmarkEnd w:id="160"/>
      <w:r>
        <w:rPr>
          <w:rFonts w:hint="eastAsia" w:ascii="宋体" w:hAnsi="宋体" w:cs="宋体"/>
          <w:color w:val="000000" w:themeColor="text1"/>
          <w:sz w:val="24"/>
          <w:szCs w:val="24"/>
          <w:highlight w:val="none"/>
          <w14:textFill>
            <w14:solidFill>
              <w14:schemeClr w14:val="tx1"/>
            </w14:solidFill>
          </w14:textFill>
        </w:rPr>
        <w:t xml:space="preserve">.无效投标条款和废标条款</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61" w:name="_Toc16938551"/>
      <w:r/>
      <w:bookmarkStart w:id="162" w:name="_Toc513029235"/>
      <w:r/>
      <w:bookmarkStart w:id="163" w:name="_Toc20823307"/>
      <w:r>
        <w:rPr>
          <w:rFonts w:hint="eastAsia" w:ascii="宋体" w:hAnsi="宋体" w:cs="宋体"/>
          <w:color w:val="000000" w:themeColor="text1"/>
          <w:sz w:val="24"/>
          <w:szCs w:val="24"/>
          <w:highlight w:val="none"/>
          <w14:textFill>
            <w14:solidFill>
              <w14:schemeClr w14:val="tx1"/>
            </w14:solidFill>
          </w14:textFill>
        </w:rPr>
        <w:t xml:space="preserve">6.1无效投标条款</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 投标人在苏采云系统规定的时间内未成功解密电子投标文件的。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6.1.2 投标人未按照招标文件要求上传电子投标文件的。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6.1.3同一投标人提交两个（含两个）以上不同的投标报价的。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6.1.4投标人不具备招标文件中规定资格要求的。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6.1.5投标人的报价超过了采购预算或最高限价的。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6.1.6未通过符合性审查的。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highlight w:val="none"/>
          <w14:textFill>
            <w14:solidFill>
              <w14:schemeClr w14:val="tx1"/>
            </w14:solidFill>
          </w14:textFill>
        </w:rPr>
        <w:t xml:space="preserve">（</w:t>
      </w:r>
      <w:r>
        <w:rPr>
          <w:rFonts w:hint="eastAsia" w:ascii="宋体" w:hAnsi="宋体"/>
          <w:bCs/>
          <w:i/>
          <w:color w:val="000000" w:themeColor="text1"/>
          <w:sz w:val="24"/>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6.1.9  投标文件含有采购人不能接受的附加条件的。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6.1.12 投标文件未按照招标文件要求加盖CA电子公章的。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6.1.13其他法律、法规及本招标文件规定的属无效投标的情形。</w:t>
      </w:r>
      <w:r/>
    </w:p>
    <w:p>
      <w:pPr>
        <w:ind w:left="479" w:firstLine="24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6.2废标条款</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6.2.1符合专业条件的供应商或者对招标文件作实质响应的供应商不足三家的。</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6.2.2出现影响采购公正的违法、违规行为的。</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6.2.3因重大变故，采购任务取消的。</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6.2.4评标委员会认定招标文件存在歧义、重大缺陷导致评审工作无法进行。</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6.2.5 因</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4"/>
          <w:highlight w:val="none"/>
          <w14:textFill>
            <w14:solidFill>
              <w14:schemeClr w14:val="tx1"/>
            </w14:solidFill>
          </w14:textFill>
        </w:rPr>
        <w:t xml:space="preserve">系统故障原因造成开标不成功的。</w:t>
      </w:r>
      <w:r/>
    </w:p>
    <w:p>
      <w:pPr>
        <w:ind w:left="479" w:firstLine="24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6.3 投标截止时间结束后参加投标的供应商不足三家的处理：</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64" w:name="_Toc120614219"/>
      <w:r/>
      <w:bookmarkStart w:id="165" w:name="_Toc6159"/>
      <w:r>
        <w:rPr>
          <w:rFonts w:hint="eastAsia" w:ascii="宋体" w:hAnsi="宋体" w:cs="宋体"/>
          <w:b/>
          <w:bCs/>
          <w:color w:val="000000" w:themeColor="text1"/>
          <w:sz w:val="28"/>
          <w:szCs w:val="28"/>
          <w:highlight w:val="none"/>
          <w14:textFill>
            <w14:solidFill>
              <w14:schemeClr w14:val="tx1"/>
            </w14:solidFill>
          </w14:textFill>
        </w:rPr>
        <w:t xml:space="preserve">六、</w:t>
      </w:r>
      <w:bookmarkEnd w:id="161"/>
      <w:r/>
      <w:bookmarkEnd w:id="162"/>
      <w:r/>
      <w:bookmarkEnd w:id="163"/>
      <w:r>
        <w:rPr>
          <w:rFonts w:hint="eastAsia" w:ascii="宋体" w:hAnsi="宋体" w:cs="宋体"/>
          <w:b/>
          <w:bCs/>
          <w:color w:val="000000" w:themeColor="text1"/>
          <w:sz w:val="28"/>
          <w:szCs w:val="28"/>
          <w:highlight w:val="none"/>
          <w14:textFill>
            <w14:solidFill>
              <w14:schemeClr w14:val="tx1"/>
            </w14:solidFill>
          </w14:textFill>
        </w:rPr>
        <w:t xml:space="preserve">定标</w:t>
      </w:r>
      <w:bookmarkEnd w:id="164"/>
      <w:r/>
      <w:bookmarkEnd w:id="165"/>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bookmarkStart w:id="166" w:name="_Toc513029238"/>
      <w:r/>
      <w:bookmarkStart w:id="167" w:name="_Toc16938554"/>
      <w:r/>
      <w:bookmarkStart w:id="168" w:name="_Toc20823310"/>
      <w:r>
        <w:rPr>
          <w:rFonts w:hint="eastAsia" w:ascii="宋体" w:hAnsi="宋体" w:cs="宋体"/>
          <w:bCs/>
          <w:color w:val="000000" w:themeColor="text1"/>
          <w:sz w:val="24"/>
          <w:szCs w:val="24"/>
          <w:highlight w:val="none"/>
          <w14:textFill>
            <w14:solidFill>
              <w14:schemeClr w14:val="tx1"/>
            </w14:solidFill>
          </w14:textFill>
        </w:rPr>
        <w:t xml:space="preserve">1、</w:t>
      </w:r>
      <w:bookmarkEnd w:id="166"/>
      <w:r>
        <w:rPr>
          <w:rFonts w:hint="eastAsia" w:ascii="宋体" w:hAnsi="宋体" w:cs="宋体"/>
          <w:bCs/>
          <w:color w:val="000000" w:themeColor="text1"/>
          <w:sz w:val="24"/>
          <w:szCs w:val="24"/>
          <w:highlight w:val="none"/>
          <w14:textFill>
            <w14:solidFill>
              <w14:schemeClr w14:val="tx1"/>
            </w14:solidFill>
          </w14:textFill>
        </w:rPr>
        <w:t xml:space="preserve">确定</w:t>
      </w:r>
      <w:bookmarkEnd w:id="167"/>
      <w:r/>
      <w:bookmarkEnd w:id="168"/>
      <w:r>
        <w:rPr>
          <w:rFonts w:hint="eastAsia" w:ascii="宋体" w:hAnsi="宋体" w:cs="宋体"/>
          <w:bCs/>
          <w:color w:val="000000" w:themeColor="text1"/>
          <w:sz w:val="24"/>
          <w:szCs w:val="24"/>
          <w:highlight w:val="none"/>
          <w14:textFill>
            <w14:solidFill>
              <w14:schemeClr w14:val="tx1"/>
            </w14:solidFill>
          </w14:textFill>
        </w:rPr>
        <w:t xml:space="preserve">中标单位</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1.1中标候选人的选取原则和数量见招标文件第五章规定。 </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采购人应根据评委会推荐的中标候选人确定中标人。</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w:t>
      </w:r>
      <w:r>
        <w:rPr>
          <w:rFonts w:hint="eastAsia" w:ascii="宋体" w:hAnsi="宋体" w:cs="宋体"/>
          <w:color w:val="000000" w:themeColor="text1"/>
          <w:sz w:val="24"/>
          <w:szCs w:val="24"/>
          <w:highlight w:val="none"/>
          <w14:textFill>
            <w14:solidFill>
              <w14:schemeClr w14:val="tx1"/>
            </w14:solidFill>
          </w14:textFill>
        </w:rPr>
        <w:t xml:space="preserve">代理机构将在指定媒体上发布中标公告，公告期限为1个工作日。</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  若有充分证据证明，中标人出现下列情况之一的，一经查实，将被取消中标资格：</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1.4.1提供虚假材料谋取中标的。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1.4.2向采购人、代理机构行贿或者提供其他不正当利益的。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1.4.3属于本文件规定的无效条件，但在评标过程中又未被评委会发现的。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1.4.4与采购人或者其他供应商恶意串通的。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1.4.5采取不正当手段诋毁、排挤其他供应商的。</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69" w:name="_Toc200451960"/>
      <w:r>
        <w:rPr>
          <w:rFonts w:hint="eastAsia" w:ascii="宋体" w:hAnsi="宋体" w:cs="宋体"/>
          <w:color w:val="000000" w:themeColor="text1"/>
          <w:sz w:val="24"/>
          <w:szCs w:val="24"/>
          <w:highlight w:val="none"/>
          <w14:textFill>
            <w14:solidFill>
              <w14:schemeClr w14:val="tx1"/>
            </w14:solidFill>
          </w14:textFill>
        </w:rPr>
        <w:t xml:space="preserve">1.5. 有下列情形之一的，视为投标人串通投标，投标无效：</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1.5.1不同投标人的投标文件由同一单位或者个人编制；</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1.5.2不同投标人委托同一单位或者个人办理投标事宜；</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 不同投标人的投标文件载明的项目管理成员或者联系人员为同一人；</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1.5.4不同投标人的投标文件异常一致或者投标报价呈规律性差异；</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2、质疑处理</w:t>
      </w:r>
      <w:bookmarkEnd w:id="169"/>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70" w:name="_Hlk98510751"/>
      <w:r>
        <w:rPr>
          <w:rFonts w:hint="eastAsia" w:ascii="宋体" w:hAnsi="宋体" w:cs="宋体"/>
          <w:color w:val="000000" w:themeColor="text1"/>
          <w:sz w:val="24"/>
          <w:szCs w:val="24"/>
          <w:highlight w:val="none"/>
          <w14:textFill>
            <w14:solidFill>
              <w14:schemeClr w14:val="tx1"/>
            </w14:solidFill>
          </w14:textFill>
        </w:rPr>
        <w:t xml:space="preserve">获取采购文件后打印留存的《投标供应商确认函》等</w:t>
      </w:r>
      <w:bookmarkEnd w:id="170"/>
      <w:r>
        <w:rPr>
          <w:rFonts w:hint="eastAsia" w:ascii="宋体" w:hAnsi="宋体" w:cs="宋体"/>
          <w:color w:val="000000" w:themeColor="text1"/>
          <w:sz w:val="24"/>
          <w:szCs w:val="24"/>
          <w:highlight w:val="none"/>
          <w14:textFill>
            <w14:solidFill>
              <w14:schemeClr w14:val="tx1"/>
            </w14:solidFill>
          </w14:textFill>
        </w:rPr>
        <w:t xml:space="preserve">必要的证明材料与质疑函一起递交，否则不予受理。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2.2.1对可以质疑的采购文件提出质疑的，为收到采购文件之日或者采购文件公告期限届满之日；</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2.2.2对采购过程提出质疑的，为各采购程序环节结束之日；</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2.2.3对中标或者成交结果提出质疑的，为中标或者成交结果公告期限届满之日。</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highlight w:val="none"/>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highlight w:val="none"/>
          <w14:textFill>
            <w14:solidFill>
              <w14:schemeClr w14:val="tx1"/>
            </w14:solidFill>
          </w14:textFill>
        </w:rPr>
        <w:t xml:space="preserve">质疑接收单位为苏州新一造价师价格事务所有限公司，联系地址：</w:t>
      </w:r>
      <w:r>
        <w:rPr>
          <w:rFonts w:hint="eastAsia" w:ascii="宋体" w:hAnsi="宋体" w:cs="宋体"/>
          <w:color w:val="000000" w:themeColor="text1"/>
          <w:sz w:val="24"/>
          <w:highlight w:val="none"/>
          <w:lang w:val="en-US" w:eastAsia="zh-CN"/>
          <w14:textFill>
            <w14:solidFill>
              <w14:schemeClr w14:val="tx1"/>
            </w14:solidFill>
          </w14:textFill>
        </w:rPr>
        <w:t xml:space="preserve">常熟市开元东路2号一楼</w:t>
      </w:r>
      <w:r>
        <w:rPr>
          <w:rFonts w:hint="eastAsia" w:ascii="宋体" w:hAnsi="宋体" w:cs="宋体"/>
          <w:color w:val="000000" w:themeColor="text1"/>
          <w:sz w:val="24"/>
          <w:highlight w:val="none"/>
          <w14:textFill>
            <w14:solidFill>
              <w14:schemeClr w14:val="tx1"/>
            </w14:solidFill>
          </w14:textFill>
        </w:rPr>
        <w:t xml:space="preserve">，联系人：韩忆程，联系电话：189 1565 5067</w:t>
      </w:r>
      <w:r>
        <w:rPr>
          <w:rFonts w:ascii="宋体" w:hAnsi="宋体" w:cs="宋体"/>
          <w:color w:val="000000" w:themeColor="text1"/>
          <w:sz w:val="24"/>
          <w:highlight w:val="none"/>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 以下情形的质疑不予受理</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 内容不符合《政府采购质疑和投诉办法》第十二条规定的质疑。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 超出政府采购法定期限的质疑。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2.5.3 以传真、电子邮件等方式递交的非原件形式的质疑。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2.5.4 未参加投标活动的供应商或在投标活动中自身权益未受到损害的供应商所提出的质疑。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2.5.5供应商组成联合体参加投标，联合体中任何一方或多方未按要求签字、盖章、加盖公章的质疑。</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3、中标通知书</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3.l</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71" w:name="_Toc20823308"/>
      <w:r/>
      <w:bookmarkStart w:id="172" w:name="_Toc16938552"/>
      <w:r/>
      <w:bookmarkStart w:id="173" w:name="_Toc22363"/>
      <w:r/>
      <w:bookmarkStart w:id="174" w:name="_Toc120614220"/>
      <w:r/>
      <w:bookmarkStart w:id="175" w:name="_Toc513029236"/>
      <w:r>
        <w:rPr>
          <w:rFonts w:hint="eastAsia" w:ascii="宋体" w:hAnsi="宋体" w:cs="宋体"/>
          <w:b/>
          <w:bCs/>
          <w:color w:val="000000" w:themeColor="text1"/>
          <w:sz w:val="28"/>
          <w:szCs w:val="28"/>
          <w:highlight w:val="none"/>
          <w14:textFill>
            <w14:solidFill>
              <w14:schemeClr w14:val="tx1"/>
            </w14:solidFill>
          </w14:textFill>
        </w:rPr>
        <w:t xml:space="preserve">七、授予合同</w:t>
      </w:r>
      <w:bookmarkEnd w:id="171"/>
      <w:r/>
      <w:bookmarkEnd w:id="172"/>
      <w:r/>
      <w:bookmarkEnd w:id="173"/>
      <w:r/>
      <w:bookmarkEnd w:id="174"/>
      <w:r/>
      <w:bookmarkEnd w:id="175"/>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bookmarkStart w:id="176" w:name="_Toc20823309"/>
      <w:r/>
      <w:bookmarkStart w:id="177" w:name="_Toc16938553"/>
      <w:r/>
      <w:bookmarkStart w:id="178" w:name="_Toc513029237"/>
      <w:r>
        <w:rPr>
          <w:rFonts w:hint="eastAsia" w:ascii="宋体" w:hAnsi="宋体" w:cs="宋体"/>
          <w:bCs/>
          <w:color w:val="000000" w:themeColor="text1"/>
          <w:sz w:val="24"/>
          <w:szCs w:val="24"/>
          <w:highlight w:val="none"/>
          <w14:textFill>
            <w14:solidFill>
              <w14:schemeClr w14:val="tx1"/>
            </w14:solidFill>
          </w14:textFill>
        </w:rPr>
        <w:t xml:space="preserve">1、签订合同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 签订合同后，</w:t>
      </w:r>
      <w:r>
        <w:rPr>
          <w:rFonts w:hint="eastAsia" w:ascii="宋体" w:hAnsi="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2、服务（包含与项目有关的服务）的追加</w:t>
      </w:r>
      <w:r/>
    </w:p>
    <w:p>
      <w:pPr>
        <w:ind w:firstLine="789"/>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76"/>
      <w:r/>
      <w:bookmarkEnd w:id="177"/>
      <w:r/>
      <w:bookmarkEnd w:id="178"/>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bookmarkStart w:id="179" w:name="_Toc479757207"/>
      <w:r/>
      <w:bookmarkStart w:id="180" w:name="_Toc120614221"/>
      <w:r/>
      <w:bookmarkStart w:id="181" w:name="_Toc16938558"/>
      <w:r/>
      <w:bookmarkStart w:id="182" w:name="_Toc513029242"/>
      <w:r/>
      <w:bookmarkStart w:id="183" w:name="_Toc20823314"/>
      <w:r>
        <w:rPr>
          <w:rFonts w:hint="eastAsia" w:ascii="宋体" w:hAnsi="宋体" w:cs="宋体"/>
          <w:bCs/>
          <w:color w:val="000000" w:themeColor="text1"/>
          <w:sz w:val="24"/>
          <w:szCs w:val="24"/>
          <w:highlight w:val="none"/>
          <w14:textFill>
            <w14:solidFill>
              <w14:schemeClr w14:val="tx1"/>
            </w14:solidFill>
          </w14:textFill>
        </w:rPr>
        <w:t xml:space="preserve">3、政府采购信用融资政策</w:t>
      </w:r>
      <w:r/>
    </w:p>
    <w:p>
      <w:pPr>
        <w:ind w:firstLine="789"/>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4、合同公示</w:t>
      </w:r>
      <w:r/>
    </w:p>
    <w:p>
      <w:pPr>
        <w:ind w:firstLine="789"/>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4.1采购合同将在签订之日起2个工作日内在指定媒体公示，涉及国家秘密、商业秘密的内容除外。</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highlight w:val="none"/>
          <w14:textFill>
            <w14:solidFill>
              <w14:schemeClr w14:val="tx1"/>
            </w14:solidFill>
          </w14:textFill>
        </w:rPr>
        <w:outlineLvl w:val="0"/>
      </w:pPr>
      <w:r/>
      <w:bookmarkStart w:id="184" w:name="_Toc10979"/>
      <w:r>
        <w:rPr>
          <w:rFonts w:hint="eastAsia" w:ascii="黑体" w:hAnsi="Times New Roman" w:eastAsia="黑体"/>
          <w:bCs/>
          <w:color w:val="000000" w:themeColor="text1"/>
          <w:sz w:val="44"/>
          <w:szCs w:val="28"/>
          <w:highlight w:val="none"/>
          <w14:textFill>
            <w14:solidFill>
              <w14:schemeClr w14:val="tx1"/>
            </w14:solidFill>
          </w14:textFill>
        </w:rPr>
        <w:t xml:space="preserve">第三章  合同</w:t>
      </w:r>
      <w:bookmarkEnd w:id="179"/>
      <w:r/>
      <w:bookmarkEnd w:id="180"/>
      <w:r/>
      <w:bookmarkEnd w:id="181"/>
      <w:r/>
      <w:bookmarkEnd w:id="182"/>
      <w:r/>
      <w:bookmarkEnd w:id="183"/>
      <w:r>
        <w:rPr>
          <w:rFonts w:hint="eastAsia" w:ascii="黑体" w:hAnsi="Times New Roman" w:eastAsia="黑体"/>
          <w:bCs/>
          <w:color w:val="000000" w:themeColor="text1"/>
          <w:sz w:val="44"/>
          <w:szCs w:val="28"/>
          <w:highlight w:val="none"/>
          <w14:textFill>
            <w14:solidFill>
              <w14:schemeClr w14:val="tx1"/>
            </w14:solidFill>
          </w14:textFill>
        </w:rPr>
        <w:t xml:space="preserve">文本</w:t>
      </w:r>
      <w:bookmarkEnd w:id="184"/>
      <w:r/>
      <w:r/>
    </w:p>
    <w:p>
      <w:pPr>
        <w:ind w:left="6237" w:right="-27"/>
        <w:spacing w:line="660" w:lineRule="exact"/>
        <w:rPr>
          <w:rFonts w:ascii="宋体" w:hAnsi="宋体" w:cs="宋体"/>
          <w:bCs/>
          <w:color w:val="000000" w:themeColor="text1"/>
          <w:sz w:val="24"/>
          <w:szCs w:val="24"/>
          <w:highlight w:val="none"/>
          <w14:textFill>
            <w14:solidFill>
              <w14:schemeClr w14:val="tx1"/>
            </w14:solidFill>
          </w14:textFill>
        </w:rPr>
      </w:pPr>
      <w:r/>
      <w:bookmarkStart w:id="185" w:name="_Hlt16619369"/>
      <w:r/>
      <w:bookmarkEnd w:id="185"/>
      <w:r/>
      <w:bookmarkStart w:id="186" w:name="_Hlt16619350"/>
      <w:r/>
      <w:bookmarkStart w:id="187" w:name="_Toc120614244"/>
      <w:r/>
      <w:bookmarkStart w:id="188" w:name="_Toc16938590"/>
      <w:r/>
      <w:bookmarkStart w:id="189" w:name="_Toc20823346"/>
      <w:r/>
      <w:bookmarkStart w:id="190" w:name="_Toc479757211"/>
      <w:r/>
      <w:bookmarkStart w:id="191" w:name="_Toc462564139"/>
      <w:r>
        <w:rPr>
          <w:rFonts w:hint="eastAsia" w:ascii="宋体" w:hAnsi="宋体" w:cs="宋体"/>
          <w:bCs/>
          <w:color w:val="000000" w:themeColor="text1"/>
          <w:sz w:val="24"/>
          <w:szCs w:val="24"/>
          <w:highlight w:val="none"/>
          <w14:textFill>
            <w14:solidFill>
              <w14:schemeClr w14:val="tx1"/>
            </w14:solidFill>
          </w14:textFill>
        </w:rPr>
        <w:t xml:space="preserve">编号：</w:t>
      </w:r>
      <w:r/>
    </w:p>
    <w:p>
      <w:pPr>
        <w:ind w:left="6237" w:right="-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签订地点：常熟市</w:t>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spacing w:line="480" w:lineRule="exact"/>
        <w:tabs>
          <w:tab w:val="left" w:pos="0" w:leader="none"/>
        </w:tabs>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pacing w:line="440" w:lineRule="exact"/>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信用融资回款账户：</w:t>
      </w:r>
      <w:r>
        <w:rPr>
          <w:rFonts w:hint="eastAsia"/>
          <w:bCs/>
          <w:color w:val="000000" w:themeColor="text1"/>
          <w:sz w:val="24"/>
          <w:szCs w:val="24"/>
          <w:highlight w:val="none"/>
          <w:u w:val="singl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 xml:space="preserve">（如无可不填写）</w:t>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开户银行：</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p>
    <w:p>
      <w:pPr>
        <w:ind w:right="-27" w:firstLine="480"/>
        <w:spacing w:line="48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根据《中华人民共和国政府采购法》及其实施条例、《中华人民共和国民法典》等法律法规的规定，甲乙双方按照</w:t>
      </w:r>
      <w:r>
        <w:rPr>
          <w:rFonts w:hint="eastAsia" w:ascii="宋体" w:hAnsi="宋体"/>
          <w:color w:val="000000" w:themeColor="text1"/>
          <w:sz w:val="24"/>
          <w:szCs w:val="24"/>
          <w:highlight w:val="none"/>
          <w:u w:val="single"/>
          <w:lang w:eastAsia="zh-CN"/>
          <w14:textFill>
            <w14:solidFill>
              <w14:schemeClr w14:val="tx1"/>
            </w14:solidFill>
          </w14:textFill>
        </w:rPr>
        <w:t xml:space="preserve">常熟市遗体接运服务（2026年-2028年）</w:t>
      </w:r>
      <w:r>
        <w:rPr>
          <w:rFonts w:hint="eastAsia" w:ascii="宋体" w:hAnsi="宋体" w:cs="宋体"/>
          <w:bCs/>
          <w:color w:val="000000" w:themeColor="text1"/>
          <w:sz w:val="24"/>
          <w:szCs w:val="24"/>
          <w:highlight w:val="none"/>
          <w14:textFill>
            <w14:solidFill>
              <w14:schemeClr w14:val="tx1"/>
            </w14:solidFill>
          </w14:textFill>
        </w:rPr>
        <w:t xml:space="preserve">项目（项目编号：</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JSZC-320581-SZXY-G2026-0013</w:t>
      </w:r>
      <w:r>
        <w:rPr>
          <w:rFonts w:hint="eastAsia" w:ascii="宋体" w:hAnsi="宋体" w:cs="宋体"/>
          <w:bCs/>
          <w:color w:val="000000" w:themeColor="text1"/>
          <w:sz w:val="24"/>
          <w:szCs w:val="24"/>
          <w:highlight w:val="none"/>
          <w14:textFill>
            <w14:solidFill>
              <w14:schemeClr w14:val="tx1"/>
            </w14:solidFill>
          </w14:textFill>
        </w:rPr>
        <w:t xml:space="preserve">）政府采购结果签订本合同。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第一条 定义</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4、服务：提供本合同规定的乙方承担的</w:t>
      </w:r>
      <w:r>
        <w:rPr>
          <w:rFonts w:hint="eastAsia" w:ascii="宋体" w:hAnsi="宋体"/>
          <w:color w:val="000000" w:themeColor="text1"/>
          <w:sz w:val="24"/>
          <w:szCs w:val="24"/>
          <w:highlight w:val="none"/>
          <w:u w:val="single"/>
          <w:lang w:eastAsia="zh-CN"/>
          <w14:textFill>
            <w14:solidFill>
              <w14:schemeClr w14:val="tx1"/>
            </w14:solidFill>
          </w14:textFill>
        </w:rPr>
        <w:t xml:space="preserve">常熟市遗体接运服务（2026年-2028年）</w:t>
      </w:r>
      <w:r>
        <w:rPr>
          <w:rFonts w:hint="eastAsia" w:ascii="宋体" w:hAnsi="宋体" w:cs="宋体"/>
          <w:bCs/>
          <w:color w:val="000000" w:themeColor="text1"/>
          <w:sz w:val="24"/>
          <w:szCs w:val="24"/>
          <w:highlight w:val="none"/>
          <w14:textFill>
            <w14:solidFill>
              <w14:schemeClr w14:val="tx1"/>
            </w14:solidFill>
          </w14:textFill>
        </w:rPr>
        <w:t xml:space="preserve">及相关工作。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第二条 组成本合同的文件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、下列文件是组成本合同的不可分割的部分：</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①中标通知书；</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②招标文件（以下统称“采购文件”）；</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③乙方的投标文件；</w:t>
      </w:r>
      <w:r/>
    </w:p>
    <w:p>
      <w:pPr>
        <w:ind w:right="-27" w:firstLine="480"/>
        <w:spacing w:line="440" w:lineRule="exact"/>
        <w:tabs>
          <w:tab w:val="left" w:pos="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④乙方在投标过程中所作的其它承诺、声明、书面澄清等。</w:t>
      </w:r>
      <w:r/>
    </w:p>
    <w:p>
      <w:pPr>
        <w:ind w:right="-27" w:firstLine="480"/>
        <w:spacing w:line="440" w:lineRule="exact"/>
        <w:tabs>
          <w:tab w:val="left" w:pos="0" w:leader="none"/>
        </w:tabs>
        <w:rPr>
          <w:rFonts w:ascii="宋体" w:hAnsi="宋体"/>
          <w:color w:val="000000" w:themeColor="text1"/>
          <w:sz w:val="24"/>
          <w:szCs w:val="24"/>
          <w:highlight w:val="none"/>
          <w14:textFill>
            <w14:solidFill>
              <w14:schemeClr w14:val="tx1"/>
            </w14:solidFill>
          </w14:textFill>
        </w:rPr>
      </w:pPr>
      <w:r/>
      <w:bookmarkStart w:id="192" w:name="_Hlk144021334"/>
      <w:r>
        <w:rPr>
          <w:rFonts w:hint="eastAsia" w:ascii="宋体" w:hAnsi="宋体"/>
          <w:color w:val="000000" w:themeColor="text1"/>
          <w:sz w:val="24"/>
          <w:szCs w:val="24"/>
          <w:highlight w:val="none"/>
          <w14:textFill>
            <w14:solidFill>
              <w14:schemeClr w14:val="tx1"/>
            </w14:solidFill>
          </w14:textFill>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192"/>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第三条 合同内容</w:t>
      </w:r>
      <w:r/>
    </w:p>
    <w:p>
      <w:pPr>
        <w:ind w:right="-27" w:firstLine="480"/>
        <w:spacing w:line="420" w:lineRule="exact"/>
        <w:tabs>
          <w:tab w:val="left" w:pos="0" w:leader="none"/>
        </w:tabs>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1、服务内容：</w:t>
      </w:r>
      <w:r>
        <w:rPr>
          <w:rFonts w:hint="eastAsia" w:ascii="宋体" w:hAnsi="宋体"/>
          <w:color w:val="000000" w:themeColor="text1"/>
          <w:sz w:val="24"/>
          <w:szCs w:val="24"/>
          <w:highlight w:val="none"/>
          <w:u w:val="none"/>
          <w14:textFill>
            <w14:solidFill>
              <w14:schemeClr w14:val="tx1"/>
            </w14:solidFill>
          </w14:textFill>
        </w:rPr>
        <w:t xml:space="preserve">常熟市殡仪馆（常熟市殡仪服务中心）</w:t>
      </w:r>
      <w:r>
        <w:rPr>
          <w:rFonts w:hint="eastAsia" w:ascii="宋体" w:hAnsi="宋体" w:cs="宋体"/>
          <w:bCs/>
          <w:color w:val="000000" w:themeColor="text1"/>
          <w:sz w:val="24"/>
          <w:szCs w:val="24"/>
          <w:highlight w:val="none"/>
          <w:u w:val="none"/>
          <w14:textFill>
            <w14:solidFill>
              <w14:schemeClr w14:val="tx1"/>
            </w14:solidFill>
          </w14:textFill>
        </w:rPr>
        <w:t xml:space="preserve">所需的</w:t>
      </w:r>
      <w:r>
        <w:rPr>
          <w:rFonts w:hint="eastAsia" w:ascii="宋体" w:hAnsi="宋体" w:cs="宋体"/>
          <w:bCs/>
          <w:color w:val="000000" w:themeColor="text1"/>
          <w:sz w:val="24"/>
          <w:szCs w:val="24"/>
          <w:highlight w:val="none"/>
          <w:u w:val="none"/>
          <w:lang w:eastAsia="zh-CN"/>
          <w14:textFill>
            <w14:solidFill>
              <w14:schemeClr w14:val="tx1"/>
            </w14:solidFill>
          </w14:textFill>
        </w:rPr>
        <w:t xml:space="preserve">常熟市遗体接运服务（2026年-2028年）</w:t>
      </w:r>
      <w:r>
        <w:rPr>
          <w:rFonts w:hint="eastAsia" w:ascii="宋体" w:hAnsi="宋体" w:cs="宋体"/>
          <w:bCs/>
          <w:color w:val="000000" w:themeColor="text1"/>
          <w:sz w:val="24"/>
          <w:szCs w:val="24"/>
          <w:highlight w:val="none"/>
          <w:u w:val="none"/>
          <w14:textFill>
            <w14:solidFill>
              <w14:schemeClr w14:val="tx1"/>
            </w14:solidFill>
          </w14:textFill>
        </w:rPr>
        <w:t xml:space="preserve">。</w:t>
      </w:r>
      <w:r/>
    </w:p>
    <w:p>
      <w:pPr>
        <w:ind w:right="-27" w:firstLine="480"/>
        <w:spacing w:line="440" w:lineRule="exact"/>
        <w:tabs>
          <w:tab w:val="left" w:pos="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2、服务期限：</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三年，自    年  月  日起至    年  月  日。</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3、乙方承诺上述服务由乙方自行完成，不转包予第三方完成。</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第四条 合同价款</w:t>
      </w:r>
      <w:r/>
    </w:p>
    <w:p>
      <w:pPr>
        <w:ind w:right="-27" w:firstLine="480"/>
        <w:spacing w:line="440" w:lineRule="exact"/>
        <w:tabs>
          <w:tab w:val="left" w:pos="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本项目预估合同总金额为</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color w:val="000000" w:themeColor="text1"/>
          <w:sz w:val="24"/>
          <w:szCs w:val="24"/>
          <w:highlight w:val="none"/>
          <w:u w:val="none"/>
          <w:lang w:val="en-US" w:eastAsia="zh-CN"/>
          <w14:textFill>
            <w14:solidFill>
              <w14:schemeClr w14:val="tx1"/>
            </w14:solidFill>
          </w14:textFill>
        </w:rPr>
        <w:t xml:space="preserve">1749.00万元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；合同单价为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530.00 </w:t>
      </w:r>
      <w:r>
        <w:rPr>
          <w:rFonts w:hint="eastAsia" w:ascii="宋体" w:hAnsi="宋体" w:cs="宋体"/>
          <w:color w:val="000000" w:themeColor="text1"/>
          <w:sz w:val="24"/>
          <w:szCs w:val="24"/>
          <w:highlight w:val="none"/>
          <w:lang w:val="en-US" w:eastAsia="zh-CN"/>
          <w14:textFill>
            <w14:solidFill>
              <w14:schemeClr w14:val="tx1"/>
            </w14:solidFill>
          </w14:textFill>
        </w:rPr>
        <w:t xml:space="preserve">元/次；服务期内如遇上级新政策出台，按最新政策执行。</w:t>
      </w:r>
      <w:r/>
    </w:p>
    <w:p>
      <w:pPr>
        <w:ind w:right="-27" w:firstLine="482"/>
        <w:spacing w:line="46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第五条 付款方式 </w:t>
      </w:r>
      <w:r/>
    </w:p>
    <w:p>
      <w:pPr>
        <w:numPr>
          <w:ilvl w:val="0"/>
          <w:numId w:val="0"/>
        </w:numPr>
        <w:ind w:firstLine="480"/>
        <w:keepLines w:val="0"/>
        <w:keepNext w:val="0"/>
        <w:pageBreakBefore w:val="0"/>
        <w:spacing w:line="480" w:lineRule="exact"/>
        <w:rPr>
          <w:rFonts w:hint="default" w:ascii="宋体" w:hAnsi="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1、结算方式：最终结算=单价*实际运输次数；</w:t>
      </w:r>
      <w:r/>
    </w:p>
    <w:p>
      <w:pPr>
        <w:numPr>
          <w:ilvl w:val="0"/>
          <w:numId w:val="0"/>
        </w:numPr>
        <w:ind w:firstLine="480"/>
        <w:keepLines w:val="0"/>
        <w:keepNext w:val="0"/>
        <w:pageBreakBefore w:val="0"/>
        <w:spacing w:line="480" w:lineRule="exact"/>
        <w:rPr>
          <w:rFonts w:hint="default" w:ascii="宋体" w:hAnsi="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2、付款方式</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w:t>
      </w: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服务期开始后每季度结算一次接运服务费。</w:t>
      </w:r>
      <w:r/>
    </w:p>
    <w:p>
      <w:pPr>
        <w:keepLines w:val="0"/>
        <w:keepNext w:val="0"/>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注：（1）以上每次付款前，中标人均应提供符合采购人要求的同等金额合法有效发票。否则，采购人有权顺延付款时间，且不承担任何违约或赔偿责任。</w:t>
      </w:r>
      <w:r/>
    </w:p>
    <w:p>
      <w:pPr>
        <w:ind w:firstLine="482"/>
        <w:keepLines w:val="0"/>
        <w:keepNext w:val="0"/>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）本项目合同款支付支持数字人民币方式。</w:t>
      </w:r>
      <w:r/>
    </w:p>
    <w:p>
      <w:pPr>
        <w:ind w:right="-27" w:firstLine="482"/>
        <w:spacing w:line="440" w:lineRule="exact"/>
        <w:tabs>
          <w:tab w:val="left" w:pos="0" w:leader="none"/>
          <w:tab w:val="left" w:pos="6983"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14:textFill>
            <w14:solidFill>
              <w14:schemeClr w14:val="tx1"/>
            </w14:solidFill>
          </w14:textFill>
        </w:rPr>
        <w:t xml:space="preserve">条 验收办法</w:t>
      </w:r>
      <w:r>
        <w:rPr>
          <w:rFonts w:ascii="宋体" w:hAnsi="宋体" w:cs="宋体"/>
          <w:b/>
          <w:bCs/>
          <w:color w:val="000000" w:themeColor="text1"/>
          <w:sz w:val="24"/>
          <w:szCs w:val="24"/>
          <w:highlight w:val="none"/>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2、甲方按照确定的验收方案进行验收。乙方应根据验收方案内容做好相应配合工作。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验收合格的项目,甲方根据采购合同的约定及时向乙方支付合同款项、退还履约保证金（如有）。验收不合格的项目，甲方依法及时处理。</w:t>
      </w:r>
      <w:r/>
    </w:p>
    <w:p>
      <w:pPr>
        <w:ind w:firstLine="480"/>
        <w:keepLines w:val="0"/>
        <w:keepNext w:val="0"/>
        <w:pageBreakBefore w:val="0"/>
        <w:spacing w:line="480" w:lineRule="exact"/>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7、考核标准详见采购需求，考核办法在合同期内可根据实际情况作适当调整。</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条</w:t>
      </w:r>
      <w:r>
        <w:rPr>
          <w:rFonts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1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①</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30%</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2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②</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3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③</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4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④</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乙方应当及时响应甲方的服务需求，在甲方提出派员到场服务时，应当与甲方确定到场时间。甲方紧急服务需求时，乙方应在</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0.5</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5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⑤</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6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⑥</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7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⑦</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8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⑧</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条 质量保证</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乙方各项服务承诺指标及所采取的措施按照采购文件要求及相应文件的承诺予以确定。  </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bCs/>
          <w:color w:val="000000" w:themeColor="text1"/>
          <w:sz w:val="24"/>
          <w:szCs w:val="24"/>
          <w:highlight w:val="none"/>
          <w14:textFill>
            <w14:solidFill>
              <w14:schemeClr w14:val="tx1"/>
            </w14:solidFill>
          </w14:textFill>
        </w:rPr>
        <w:t xml:space="preserve">条 违约责任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5</w:t>
      </w:r>
      <w:r>
        <w:rPr>
          <w:rFonts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highlight w:val="none"/>
          <w:u w:val="single"/>
          <w14:textFill>
            <w14:solidFill>
              <w14:schemeClr w14:val="tx1"/>
            </w14:solidFill>
          </w14:textFill>
        </w:rPr>
        <w:t xml:space="preserve">5</w:t>
      </w:r>
      <w:r>
        <w:rPr>
          <w:rFonts w:hint="eastAsia" w:ascii="宋体" w:hAnsi="宋体" w:cs="宋体"/>
          <w:bCs/>
          <w:color w:val="000000" w:themeColor="text1"/>
          <w:sz w:val="24"/>
          <w:szCs w:val="24"/>
          <w:highlight w:val="none"/>
          <w:u w:val="single"/>
          <w14:textFill>
            <w14:solidFill>
              <w14:schemeClr w14:val="tx1"/>
            </w14:solidFill>
          </w14:textFill>
        </w:rPr>
        <w:t xml:space="preserve">个</w:t>
      </w:r>
      <w:r>
        <w:rPr>
          <w:rFonts w:ascii="宋体" w:hAnsi="宋体" w:cs="宋体"/>
          <w:bCs/>
          <w:color w:val="000000" w:themeColor="text1"/>
          <w:sz w:val="24"/>
          <w:szCs w:val="24"/>
          <w:highlight w:val="none"/>
          <w:u w:val="single"/>
          <w14:textFill>
            <w14:solidFill>
              <w14:schemeClr w14:val="tx1"/>
            </w14:solidFill>
          </w14:textFill>
        </w:rPr>
        <w:t xml:space="preserve">工作</w:t>
      </w:r>
      <w:r>
        <w:rPr>
          <w:rFonts w:hint="eastAsia" w:ascii="宋体" w:hAnsi="宋体" w:cs="宋体"/>
          <w:bCs/>
          <w:color w:val="000000" w:themeColor="text1"/>
          <w:sz w:val="24"/>
          <w:szCs w:val="24"/>
          <w:highlight w:val="none"/>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1.5因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根据第七条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5 </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第十条 合同的解除</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30%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hint="eastAsia"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7、合同期内月度考核分出现两次低于80分的；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条 不可抗力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条 合同的变更、中止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条 合同的终止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szCs w:val="24"/>
          <w:highlight w:val="none"/>
          <w14:textFill>
            <w14:solidFill>
              <w14:schemeClr w14:val="tx1"/>
            </w14:solidFill>
          </w14:textFill>
        </w:rPr>
        <w:t xml:space="preserve">条 合同的转让</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szCs w:val="24"/>
          <w:highlight w:val="none"/>
          <w14:textFill>
            <w14:solidFill>
              <w14:schemeClr w14:val="tx1"/>
            </w14:solidFill>
          </w14:textFill>
        </w:rPr>
        <w:t xml:space="preserve">条 履约保证金</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14:textFill>
            <w14:solidFill>
              <w14:schemeClr w14:val="tx1"/>
            </w14:solidFill>
          </w14:textFill>
        </w:rPr>
        <w:t xml:space="preserve">条 争议解决方式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条 通知与送达</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条 合同生效及其他</w:t>
      </w:r>
      <w:r/>
    </w:p>
    <w:p>
      <w:pPr>
        <w:ind w:right="-27" w:firstLine="480"/>
        <w:spacing w:line="440" w:lineRule="exact"/>
        <w:tabs>
          <w:tab w:val="left" w:pos="0" w:leader="none"/>
        </w:tabs>
        <w:rPr>
          <w:rFonts w:ascii="Times New Roman" w:hAnsi="Times New Roman"/>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合同在双方加盖公章或</w:t>
      </w:r>
      <w:r>
        <w:rPr>
          <w:rFonts w:hint="eastAsia" w:ascii="宋体" w:hAnsi="宋体"/>
          <w:b/>
          <w:color w:val="000000" w:themeColor="text1"/>
          <w:sz w:val="24"/>
          <w:szCs w:val="24"/>
          <w:highlight w:val="none"/>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本合同一式</w:t>
      </w:r>
      <w:r>
        <w:rPr>
          <w:rFonts w:hint="eastAsia" w:ascii="宋体" w:hAnsi="宋体"/>
          <w:color w:val="000000" w:themeColor="text1"/>
          <w:sz w:val="24"/>
          <w:szCs w:val="24"/>
          <w:highlight w:val="none"/>
          <w:u w:val="single"/>
          <w14:textFill>
            <w14:solidFill>
              <w14:schemeClr w14:val="tx1"/>
            </w14:solidFill>
          </w14:textFill>
        </w:rPr>
        <w:t xml:space="preserve">四</w:t>
      </w:r>
      <w:r>
        <w:rPr>
          <w:rFonts w:hint="eastAsia" w:ascii="宋体" w:hAnsi="宋体"/>
          <w:color w:val="000000" w:themeColor="text1"/>
          <w:sz w:val="24"/>
          <w:szCs w:val="24"/>
          <w:highlight w:val="none"/>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法定（授权）代表人（签字）：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年   月   日                        年   月   日</w:t>
      </w:r>
      <w:r/>
    </w:p>
    <w:p>
      <w:pPr>
        <w:ind w:firstLine="880"/>
        <w:jc w:val="center"/>
        <w:keepNext/>
        <w:rPr>
          <w:rFonts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93" w:name="_Toc9269"/>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86"/>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87"/>
      <w:r/>
      <w:bookmarkEnd w:id="188"/>
      <w:r/>
      <w:bookmarkEnd w:id="189"/>
      <w:r/>
      <w:bookmarkEnd w:id="193"/>
      <w:r/>
      <w:r/>
    </w:p>
    <w:p>
      <w:pPr>
        <w:spacing w:line="440" w:lineRule="exact"/>
        <w:rPr>
          <w:rFonts w:ascii="宋体" w:hAnsi="宋体"/>
          <w:b/>
          <w:color w:val="000000" w:themeColor="text1"/>
          <w:sz w:val="28"/>
          <w:szCs w:val="24"/>
          <w:highlight w:val="none"/>
          <w14:textFill>
            <w14:solidFill>
              <w14:schemeClr w14:val="tx1"/>
            </w14:solidFill>
          </w14:textFill>
        </w:rPr>
      </w:pPr>
      <w:r/>
      <w:bookmarkStart w:id="194" w:name="_Toc120614281"/>
      <w:r/>
      <w:bookmarkStart w:id="195" w:name="_Toc49090575"/>
      <w:r/>
      <w:bookmarkStart w:id="196" w:name="_Toc26554093"/>
      <w:r>
        <w:rPr>
          <w:rFonts w:hint="eastAsia" w:ascii="宋体" w:hAnsi="宋体"/>
          <w:b/>
          <w:color w:val="000000" w:themeColor="text1"/>
          <w:sz w:val="28"/>
          <w:szCs w:val="24"/>
          <w:highlight w:val="none"/>
          <w14:textFill>
            <w14:solidFill>
              <w14:schemeClr w14:val="tx1"/>
            </w14:solidFill>
          </w14:textFill>
        </w:rPr>
        <w:t xml:space="preserve">一、项目说明：</w:t>
      </w:r>
      <w:r/>
    </w:p>
    <w:p>
      <w:pPr>
        <w:ind w:firstLine="480"/>
        <w:keepLines w:val="0"/>
        <w:keepNext w:val="0"/>
        <w:pageBreakBefore w:val="0"/>
        <w:spacing w:line="480" w:lineRule="exact"/>
        <w:widowControl/>
        <w:rPr>
          <w:rFonts w:hint="default" w:ascii="宋体" w:hAnsi="宋体"/>
          <w:color w:val="000000" w:themeColor="text1"/>
          <w:sz w:val="24"/>
          <w:szCs w:val="24"/>
          <w:highlight w:val="none"/>
          <w:lang w:val="en-US" w:eastAsia="zh-CN"/>
          <w14:textFill>
            <w14:solidFill>
              <w14:schemeClr w14:val="tx1"/>
            </w14:solidFill>
          </w14:textFill>
        </w:rPr>
      </w:pPr>
      <w:r/>
      <w:bookmarkStart w:id="197" w:name="_Toc20352"/>
      <w:r>
        <w:rPr>
          <w:rFonts w:hint="eastAsia" w:ascii="宋体" w:hAnsi="宋体"/>
          <w:color w:val="000000" w:themeColor="text1"/>
          <w:sz w:val="24"/>
          <w:szCs w:val="24"/>
          <w:highlight w:val="none"/>
          <w:lang w:eastAsia="zh-CN"/>
          <w14:textFill>
            <w14:solidFill>
              <w14:schemeClr w14:val="tx1"/>
            </w14:solidFill>
          </w14:textFill>
        </w:rPr>
        <w:t xml:space="preserve">1、项目简介：</w:t>
      </w:r>
      <w:r>
        <w:rPr>
          <w:rFonts w:hint="eastAsia" w:ascii="宋体" w:hAnsi="宋体"/>
          <w:color w:val="000000" w:themeColor="text1"/>
          <w:sz w:val="24"/>
          <w:szCs w:val="24"/>
          <w:highlight w:val="none"/>
          <w:lang w:val="en-US" w:eastAsia="zh-CN"/>
          <w14:textFill>
            <w14:solidFill>
              <w14:schemeClr w14:val="tx1"/>
            </w14:solidFill>
          </w14:textFill>
        </w:rPr>
        <w:t xml:space="preserve">常熟市殡仪馆</w:t>
      </w:r>
      <w:r>
        <w:rPr>
          <w:rFonts w:hint="eastAsia" w:ascii="宋体" w:hAnsi="宋体"/>
          <w:color w:val="000000" w:themeColor="text1"/>
          <w:sz w:val="24"/>
          <w:szCs w:val="24"/>
          <w:highlight w:val="none"/>
          <w:lang w:eastAsia="zh-CN"/>
          <w14:textFill>
            <w14:solidFill>
              <w14:schemeClr w14:val="tx1"/>
            </w14:solidFill>
          </w14:textFill>
        </w:rPr>
        <w:t xml:space="preserve">所需的遗体接运服务</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，每年接运遗体约11000次。</w:t>
      </w:r>
      <w:r/>
    </w:p>
    <w:p>
      <w:pPr>
        <w:ind w:firstLine="480"/>
        <w:keepLines w:val="0"/>
        <w:keepNext w:val="0"/>
        <w:pageBreakBefore w:val="0"/>
        <w:spacing w:line="48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接运范围：</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由投标人接运常熟市范围内正常死亡的遗体，</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接运前须由医疗机构、村(居)委会或公安部门出具死亡证明。</w:t>
      </w:r>
      <w:r/>
    </w:p>
    <w:p>
      <w:pPr>
        <w:ind w:firstLine="480"/>
        <w:keepLines w:val="0"/>
        <w:keepNext w:val="0"/>
        <w:pageBreakBefore w:val="0"/>
        <w:spacing w:line="480" w:lineRule="exact"/>
        <w:widowControl/>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3、服务期限：</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三年</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p>
    <w:p>
      <w:pPr>
        <w:numPr>
          <w:ilvl w:val="0"/>
          <w:numId w:val="0"/>
        </w:numPr>
        <w:ind w:firstLine="480"/>
        <w:keepLines w:val="0"/>
        <w:keepNext w:val="0"/>
        <w:pageBreakBefore w:val="0"/>
        <w:spacing w:line="480" w:lineRule="exact"/>
        <w:rPr>
          <w:rFonts w:hint="default" w:ascii="宋体" w:hAnsi="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4、结算方式：最终结算=单价*实际运输次数。</w:t>
      </w:r>
      <w:r/>
    </w:p>
    <w:p>
      <w:pPr>
        <w:numPr>
          <w:ilvl w:val="0"/>
          <w:numId w:val="0"/>
        </w:numPr>
        <w:ind w:firstLine="480"/>
        <w:keepLines w:val="0"/>
        <w:keepNext w:val="0"/>
        <w:pageBreakBefore w:val="0"/>
        <w:spacing w:line="480" w:lineRule="exact"/>
        <w:rPr>
          <w:rFonts w:hint="default" w:ascii="宋体" w:hAnsi="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5、付款方式：服务期开始后每季度结算一次接运服务费。</w:t>
      </w:r>
      <w:r/>
    </w:p>
    <w:p>
      <w:pPr>
        <w:keepLines w:val="0"/>
        <w:keepNext w:val="0"/>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注：（1）以上每次付款前，中标人均应提供符合采购人要求的同等金额合法有效发票。否则，采购人有权顺延付款时间，且不承担任何违约或赔偿责任。</w:t>
      </w:r>
      <w:r/>
    </w:p>
    <w:p>
      <w:pPr>
        <w:ind w:firstLine="482"/>
        <w:keepLines w:val="0"/>
        <w:keepNext w:val="0"/>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（2）不满足上述付款方式的将作无效投标处理。</w:t>
      </w:r>
      <w:r/>
    </w:p>
    <w:p>
      <w:pPr>
        <w:ind w:firstLine="482"/>
        <w:keepLines w:val="0"/>
        <w:keepNext w:val="0"/>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（3）本项目合同款支付支持数字人民币方式。</w:t>
      </w:r>
      <w:r/>
    </w:p>
    <w:p>
      <w:pPr>
        <w:numPr>
          <w:ilvl w:val="0"/>
          <w:numId w:val="0"/>
        </w:numPr>
        <w:ind w:firstLine="480"/>
        <w:keepLines w:val="0"/>
        <w:keepNext w:val="0"/>
        <w:pageBreakBefore w:val="0"/>
        <w:spacing w:line="480" w:lineRule="exact"/>
        <w:rPr>
          <w:rFonts w:hint="default" w:ascii="宋体" w:hAnsi="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6、价格标准：过渡期间（上级文件出台前）统一按每次530.00元执行；服务期内如遇上级新政策出台，按最新政策执行。</w:t>
      </w:r>
      <w:r/>
    </w:p>
    <w:p>
      <w:pPr>
        <w:numPr>
          <w:ilvl w:val="0"/>
          <w:numId w:val="0"/>
        </w:num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本项目不接受联合体参加投标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420" w:lineRule="exact"/>
        <w:rPr>
          <w:rFonts w:hint="eastAsia" w:ascii="宋体" w:hAnsi="宋体"/>
          <w:b/>
          <w:color w:val="000000" w:themeColor="text1"/>
          <w:sz w:val="28"/>
          <w:szCs w:val="24"/>
          <w:highlight w:val="none"/>
          <w14:textFill>
            <w14:solidFill>
              <w14:schemeClr w14:val="tx1"/>
            </w14:solidFill>
          </w14:textFill>
        </w:rPr>
      </w:pPr>
      <w:r/>
      <w:bookmarkStart w:id="198" w:name="_Toc22245"/>
      <w:r>
        <w:rPr>
          <w:rFonts w:hint="eastAsia" w:ascii="宋体" w:hAnsi="宋体"/>
          <w:b/>
          <w:color w:val="000000" w:themeColor="text1"/>
          <w:sz w:val="28"/>
          <w:szCs w:val="24"/>
          <w:highlight w:val="none"/>
          <w:lang w:val="en-US" w:eastAsia="zh-CN"/>
          <w14:textFill>
            <w14:solidFill>
              <w14:schemeClr w14:val="tx1"/>
            </w14:solidFill>
          </w14:textFill>
        </w:rPr>
        <w:t xml:space="preserve">二</w:t>
      </w:r>
      <w:r>
        <w:rPr>
          <w:rFonts w:hint="eastAsia" w:ascii="宋体" w:hAnsi="宋体"/>
          <w:b/>
          <w:color w:val="000000" w:themeColor="text1"/>
          <w:sz w:val="28"/>
          <w:szCs w:val="24"/>
          <w:highlight w:val="none"/>
          <w14:textFill>
            <w14:solidFill>
              <w14:schemeClr w14:val="tx1"/>
            </w14:solidFill>
          </w14:textFill>
        </w:rPr>
        <w:t xml:space="preserve">、</w:t>
      </w:r>
      <w:r>
        <w:rPr>
          <w:rFonts w:hint="eastAsia" w:ascii="宋体" w:hAnsi="宋体"/>
          <w:b/>
          <w:color w:val="000000" w:themeColor="text1"/>
          <w:sz w:val="28"/>
          <w:szCs w:val="24"/>
          <w:highlight w:val="none"/>
          <w:lang w:val="en-US" w:eastAsia="zh-CN"/>
          <w14:textFill>
            <w14:solidFill>
              <w14:schemeClr w14:val="tx1"/>
            </w14:solidFill>
          </w14:textFill>
        </w:rPr>
        <w:t xml:space="preserve">项目</w:t>
      </w:r>
      <w:r>
        <w:rPr>
          <w:rFonts w:hint="eastAsia" w:ascii="宋体" w:hAnsi="宋体"/>
          <w:b/>
          <w:color w:val="000000" w:themeColor="text1"/>
          <w:sz w:val="28"/>
          <w:szCs w:val="24"/>
          <w:highlight w:val="none"/>
          <w14:textFill>
            <w14:solidFill>
              <w14:schemeClr w14:val="tx1"/>
            </w14:solidFill>
          </w14:textFill>
        </w:rPr>
        <w:t xml:space="preserve">服务要求：</w:t>
      </w:r>
      <w:bookmarkEnd w:id="198"/>
      <w:r/>
      <w:r/>
    </w:p>
    <w:p>
      <w:pPr>
        <w:ind w:firstLine="48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1、社会化接运企业</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应当拥有合法固定的服务场所，有与开展服务相适应的从业人员</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、车辆。</w:t>
      </w:r>
      <w:r/>
    </w:p>
    <w:p>
      <w:pPr>
        <w:ind w:firstLine="48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2、车辆配备要求：</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2.1、遗体接运车辆应当使用殡葬专用车辆，车辆须符合《殡仪车通用技术规范》 (MZ/T 227—2024) 要求。禁止使用货运客运车辆及非法改装车辆接运遗体，禁止遗体接运车辆从事与遗体接运无关的经营活动。</w:t>
      </w:r>
      <w:r/>
    </w:p>
    <w:p>
      <w:pPr>
        <w:ind w:firstLine="72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2.2、遗体接运车辆应按车辆登记注册机关要求，遵守按期检验、报废等相关规定，及时购买机动车交通事故责任强制保险、第三者责任险（不低于300万元）、驾驶人员及乘车人员保险、不计免赔险等，保证车辆符合道路交通法律法规管理规定。</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2.3、遗体接运车辆应当按采购人要求统一涂装车身标识，确保车辆标识清晰醒目。</w:t>
      </w:r>
      <w:r/>
    </w:p>
    <w:p>
      <w:pPr>
        <w:ind w:firstLine="72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2.4、投标人需配备符合《殡仪车通用技术规范》 (MZ/T 227—2024)的服务车辆数量不少于25辆，车辆配备到位后须向采购人提供车辆合格证、车辆一致性证明、车辆登记证书、行驶证、保险单等材料用于上报民政部门纳入殡葬管理服务系统平台；如服务期内运力无法满足实际需求，投标人需根据项目情况逐步增加符合要求的车辆及人员以保障项目实施。</w:t>
      </w:r>
      <w:r/>
    </w:p>
    <w:p>
      <w:pPr>
        <w:ind w:firstLine="48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3、人员配备要求：</w:t>
      </w:r>
      <w:r/>
    </w:p>
    <w:p>
      <w:pPr>
        <w:ind w:firstLine="72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3.1、项目负责人1名，要求如下：</w:t>
      </w:r>
      <w:r/>
    </w:p>
    <w:p>
      <w:pPr>
        <w:ind w:firstLine="96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3.1.1 负责项目的总体执行、负责与采购人沟通协调，具有良好的沟通协调能力；</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3.1.2 身体健康，有健康证，男60周岁以下，女50周岁以下，熟悉辖区地形、地图和主要道路。</w:t>
      </w:r>
      <w:r/>
    </w:p>
    <w:p>
      <w:pPr>
        <w:ind w:firstLine="720"/>
        <w:keepLines w:val="0"/>
        <w:keepNext w:val="0"/>
        <w:pageBreakBefore w:val="0"/>
        <w:spacing w:line="440" w:lineRule="exact"/>
        <w:rPr>
          <w:rFonts w:hint="eastAsia"/>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3.2、车辆管理人员1名，要求如下：</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3.2.1身体健康，有健康证，男60周岁以下，女50周岁以下；</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3.2.2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做好车辆管理工作</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3.2.3督促检查驾驶员做好车辆的车容、车貌、车况及例保等项工作；</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3.2.4督促检查各项规章制度的执行情况，对违章违纪、交通事故负责查处；</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3.2.5抓好安全教育，定期组织驾驶员学习业务技术及安全知识；</w:t>
      </w:r>
      <w:r/>
    </w:p>
    <w:p>
      <w:pPr>
        <w:ind w:firstLine="96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3.2.6建立健全驾驶员安全档案及车辆管理档案。</w:t>
      </w:r>
      <w:r/>
    </w:p>
    <w:p>
      <w:pPr>
        <w:ind w:firstLine="72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3.3、调度管理人员2名，要求如下：</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3.3.1、身体健康，有健康证，男60周岁以下，女50周岁以下；</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3.3.2、调度管理人员需入驻采购单位调度管理中心，接受采购人统一管理，服从采购人对车辆调度的安排；</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3.3.3、熟练掌握管理平台各项操作，负责车辆预约的登记、确认，管理车辆的调度工作，确保各项工作顺利进行。</w:t>
      </w:r>
      <w:r/>
    </w:p>
    <w:p>
      <w:pPr>
        <w:ind w:firstLine="720"/>
        <w:keepLines w:val="0"/>
        <w:keepNext w:val="0"/>
        <w:pageBreakBefore w:val="0"/>
        <w:spacing w:line="44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3.4、驾驶员人员要求：</w:t>
      </w:r>
      <w:r/>
    </w:p>
    <w:p>
      <w:pPr>
        <w:ind w:firstLine="96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3.4.1 配备驾驶员数量：不少于25人；</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3.4.2 男性，60周岁以下，身体健康，能适应24小时轮班制；</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3.4.3 持有相应准驾车型驾驶证三年(含)以上，近三年(含)内无较大以上交通责任事故，掌握相关道路运输法规、应急处理等基本知识；</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3.4.4 熟知本市（道路、小区、商场）及周边区域地理位置；</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3.4.5 工作认真负责，责任心强，具有吃苦耐劳和团队协作精神能适应工作；</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3.4.6 服从值班调度的指挥，迅速出车，在保证安全的同时快速完成任务；</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3.4.7 负责处理各种出车信息，执行任务过程中保持通信畅通；</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3.4.8 交接班前做好车辆的检修、保养和清洗消毒工作，保持车况良好，节约油料，安全行驶，详细记录车辆运行情况；</w:t>
      </w:r>
      <w:r/>
    </w:p>
    <w:p>
      <w:pPr>
        <w:ind w:firstLine="96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3.4.9 严格遵守交通规则，认真执行操作规程，确保行车安全，任务完成后立即返回，不私自出车。</w:t>
      </w:r>
      <w:r/>
    </w:p>
    <w:p>
      <w:pPr>
        <w:ind w:firstLine="48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4、接运服务要求</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4.1、遗体接运人员在调度中心指挥下，按照与丧事承办人或经办人约定的时间接运遗体；遗体接运人员应当佩戴工作证，文明规范服务，认真核对逝者身份证件，查验死亡证明，登记丧事承办人或经办人身份证件及联系电话号码，认真履行登记手续。</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4.2、接运遗体需审核的有关证件：正常死亡人员的遗体，在家中、养老机构或其他地方死亡的，丧属应当提交死者和承办人的身份证明；在医疗机构死亡的，丧属应提交医疗机构出具的死亡证明，以及死者和承办人的身份证明。</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4.3、接运遗体时，应当做到文明操作、稳抬轻放、尊重逝者，并采取必要的自身安全防护措施。</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4.4、遗体运输须对遗体进行必要的防腐、消毒技术处理。</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4.5、遗体应使用卫生棺椁或专用卫生袋封装，接运车辆保持密闭、清洁、无异味。</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4.6、接运任务完成，遗体接运车应当按要求停放在指定区域（殡仪馆、各板块属地安息堂），不得擅自变更停放地点。</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4.7、按照“一车一运一消毒”的要求，在完成遗体接运后，工作人员要按照相关卫生防疫技术规范及时对车辆进行消毒处理。</w:t>
      </w:r>
      <w:r/>
    </w:p>
    <w:p>
      <w:pPr>
        <w:ind w:firstLine="48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信息化管理平台：投标人应为采购人提供信息化管理平台，管理平台应具统一调度管理（驾驶员管理、车辆管理）、对应车辆定位搜索、车辆运行轨迹、自动派单（自动推荐空余车辆/驾驶员，就近自动推荐派车）、车载视频监控等用于管理的功能，以保证项目受采购人监督。</w:t>
      </w:r>
      <w:r/>
    </w:p>
    <w:p>
      <w:pPr>
        <w:ind w:firstLine="48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6、其他要求：</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6.1、投标人应健全安全生产教育培训、考核奖惩制度，定期组织车辆安全检查，保持车况良好。</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6.2、驾驶人员是车辆安全管理直接责任人，应严格遵守《中华人民共和国道路交通安全法》,加强对车辆维护保养。</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6.3、殡仪专用车辆应符合国家有关规定和技术规范，应当缴纳交强险、第三者责任险、乘员座位险和不计免赔险齐全。</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6.4、投标人应当制定遗体接运突发事件应急预案，定期组织演练，确保车辆故障、自然灾害等突发情况下的快速响应和处置。</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6.5、2026年7月31日前，中标人需把车辆、人员配备到位以及岗前培训，所有人员、车辆均需经主管部门培训、备案后方可上岗接运。</w:t>
      </w:r>
      <w:r/>
    </w:p>
    <w:p>
      <w:pPr>
        <w:ind w:firstLine="720"/>
        <w:keepLines w:val="0"/>
        <w:keepNext w:val="0"/>
        <w:pageBreakBefore w:val="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6.6、遗体接运服务费用由采购人统一收取，并开具票据。严禁遗体接运车辆司乘人员直接收取费用，严禁巧立名目增加收费项目，严禁捆绑消费、强制搭售丧葬用品，严禁诱导丧事承办人消费高价商品和高价服务项目，严禁欺行霸市、野蛮服务、刁难群众等扰乱市场秩序行为。</w:t>
      </w:r>
      <w:r/>
    </w:p>
    <w:p>
      <w:pPr>
        <w:ind w:firstLine="720"/>
        <w:keepLines w:val="0"/>
        <w:keepNext w:val="0"/>
        <w:pageBreakBefore w:val="0"/>
        <w:spacing w:line="440" w:lineRule="exact"/>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6.7、为保障家属客运接送需求，投标人可配有合法道路交通运输车辆供家属选择。</w:t>
      </w:r>
      <w:r/>
    </w:p>
    <w:p>
      <w:pPr>
        <w:keepLines w:val="0"/>
        <w:keepNext w:val="0"/>
        <w:pageBreakBefore w:val="0"/>
        <w:spacing w:line="420" w:lineRule="exact"/>
        <w:widowControl w:val="off"/>
        <w:rPr>
          <w:rFonts w:hint="eastAsia" w:ascii="宋体" w:hAnsi="宋体"/>
          <w:b/>
          <w:color w:val="000000" w:themeColor="text1"/>
          <w:sz w:val="28"/>
          <w:szCs w:val="24"/>
          <w:highlight w:val="none"/>
          <w14:textFill>
            <w14:solidFill>
              <w14:schemeClr w14:val="tx1"/>
            </w14:solidFill>
          </w14:textFill>
        </w:rPr>
      </w:pPr>
      <w:r/>
      <w:bookmarkStart w:id="199" w:name="_Toc13362"/>
      <w:r/>
      <w:bookmarkStart w:id="200" w:name="_Toc2856"/>
      <w:r/>
      <w:bookmarkStart w:id="201" w:name="_Toc7798"/>
      <w:r/>
      <w:bookmarkStart w:id="202" w:name="_Toc9678"/>
      <w:r/>
      <w:bookmarkStart w:id="203" w:name="_Toc19708"/>
      <w:r/>
      <w:bookmarkStart w:id="204" w:name="_Toc12857"/>
      <w:r/>
      <w:bookmarkStart w:id="205" w:name="_Toc16975"/>
      <w:r/>
      <w:bookmarkStart w:id="206" w:name="_Toc7955"/>
      <w:r/>
      <w:bookmarkStart w:id="207" w:name="_Toc13357"/>
      <w:r/>
      <w:bookmarkStart w:id="208" w:name="_Toc17225"/>
      <w:r/>
      <w:bookmarkStart w:id="209" w:name="_Toc7545"/>
      <w:r/>
      <w:bookmarkStart w:id="210" w:name="_Toc24075"/>
      <w:r/>
      <w:bookmarkStart w:id="211" w:name="_Toc8214"/>
      <w:r/>
      <w:bookmarkStart w:id="212" w:name="_Toc27928"/>
      <w:r/>
      <w:bookmarkStart w:id="213" w:name="_Toc16066"/>
      <w:r>
        <w:rPr>
          <w:rFonts w:hint="eastAsia" w:ascii="宋体" w:hAnsi="宋体"/>
          <w:b/>
          <w:color w:val="000000" w:themeColor="text1"/>
          <w:sz w:val="28"/>
          <w:szCs w:val="24"/>
          <w:highlight w:val="none"/>
          <w14:textFill>
            <w14:solidFill>
              <w14:schemeClr w14:val="tx1"/>
            </w14:solidFill>
          </w14:textFill>
        </w:rPr>
        <w:t xml:space="preserve">四、投标报价要求：</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82"/>
        <w:spacing w:line="450" w:lineRule="exact"/>
        <w:rPr>
          <w:rFonts w:hint="default" w:eastAsia="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1、过渡期间（上级文件出台前）</w:t>
      </w:r>
      <w:r>
        <w:rPr>
          <w:rFonts w:hint="eastAsia" w:ascii="宋体" w:hAnsi="宋体"/>
          <w:b/>
          <w:bCs/>
          <w:color w:val="000000" w:themeColor="text1"/>
          <w:sz w:val="24"/>
          <w:szCs w:val="24"/>
          <w:highlight w:val="none"/>
          <w:lang w:val="en-US" w:eastAsia="zh-CN"/>
          <w14:textFill>
            <w14:solidFill>
              <w14:schemeClr w14:val="tx1"/>
            </w14:solidFill>
          </w14:textFill>
        </w:rPr>
        <w:t xml:space="preserve">统一按每次530.00元执行；服务期内如遇上级新政策出台，按最新政策执行；投标人只需响应报价，不响应的将失去投标资格。</w:t>
      </w:r>
      <w:r/>
    </w:p>
    <w:p>
      <w:pPr>
        <w:ind w:firstLine="480"/>
        <w:keepLines w:val="0"/>
        <w:keepNext w:val="0"/>
        <w:pageBreakBefore w:val="0"/>
        <w:spacing w:line="420" w:lineRule="exact"/>
        <w:widowControl w:val="off"/>
        <w:rPr>
          <w:color w:val="000000" w:themeColor="text1"/>
          <w:sz w:val="24"/>
          <w:highlight w:val="none"/>
          <w:lang w:val="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w:t>
      </w:r>
      <w:r>
        <w:rPr>
          <w:color w:val="000000" w:themeColor="text1"/>
          <w:sz w:val="24"/>
          <w:highlight w:val="none"/>
          <w:lang w:val="zh-CN"/>
          <w14:textFill>
            <w14:solidFill>
              <w14:schemeClr w14:val="tx1"/>
            </w14:solidFill>
          </w14:textFill>
        </w:rPr>
        <w:t xml:space="preserve">、本项目</w:t>
      </w:r>
      <w:r>
        <w:rPr>
          <w:rFonts w:hint="eastAsia"/>
          <w:color w:val="000000" w:themeColor="text1"/>
          <w:sz w:val="24"/>
          <w:highlight w:val="none"/>
          <w:lang w:val="en-US" w:eastAsia="zh-CN"/>
          <w14:textFill>
            <w14:solidFill>
              <w14:schemeClr w14:val="tx1"/>
            </w14:solidFill>
          </w14:textFill>
        </w:rPr>
        <w:t xml:space="preserve">服务价格</w:t>
      </w:r>
      <w:r>
        <w:rPr>
          <w:color w:val="000000" w:themeColor="text1"/>
          <w:sz w:val="24"/>
          <w:highlight w:val="none"/>
          <w:lang w:val="zh-CN"/>
          <w14:textFill>
            <w14:solidFill>
              <w14:schemeClr w14:val="tx1"/>
            </w14:solidFill>
          </w14:textFill>
        </w:rPr>
        <w:t xml:space="preserve">包括但不仅限于完成作业所需的</w:t>
      </w:r>
      <w:r>
        <w:rPr>
          <w:rFonts w:hint="eastAsia"/>
          <w:color w:val="000000" w:themeColor="text1"/>
          <w:sz w:val="24"/>
          <w:highlight w:val="none"/>
          <w:lang w:val="en-US" w:eastAsia="zh-CN"/>
          <w14:textFill>
            <w14:solidFill>
              <w14:schemeClr w14:val="tx1"/>
            </w14:solidFill>
          </w14:textFill>
        </w:rPr>
        <w:t xml:space="preserve">车辆接运费（含折旧费、燃油费、保险费等）、</w:t>
      </w:r>
      <w:r>
        <w:rPr>
          <w:rFonts w:hint="eastAsia" w:ascii="宋体" w:hAnsi="宋体" w:eastAsia="宋体" w:cs="宋体"/>
          <w:color w:val="000000" w:themeColor="text1"/>
          <w:sz w:val="24"/>
          <w:szCs w:val="20"/>
          <w:highlight w:val="none"/>
          <w:lang w:val="en-US" w:eastAsia="zh-CN" w:bidi="ar"/>
          <w14:textFill>
            <w14:solidFill>
              <w14:schemeClr w14:val="tx1"/>
            </w14:solidFill>
          </w14:textFill>
        </w:rPr>
        <w:t xml:space="preserve">基本工资、加班费用（日常超工时及法定节假日）、社会保险、公积金、服装（须满足采购人要求）、福利、人工培训费、不可预见费</w:t>
      </w:r>
      <w:r>
        <w:rPr>
          <w:color w:val="000000" w:themeColor="text1"/>
          <w:sz w:val="24"/>
          <w:highlight w:val="none"/>
          <w:lang w:val="zh-CN"/>
          <w14:textFill>
            <w14:solidFill>
              <w14:schemeClr w14:val="tx1"/>
            </w14:solidFill>
          </w14:textFill>
        </w:rPr>
        <w:t xml:space="preserve">、税费、利润等费用，以及合同的所有责任、义务和一般风险。</w:t>
      </w:r>
      <w:r/>
    </w:p>
    <w:p>
      <w:pPr>
        <w:ind w:firstLine="480"/>
        <w:keepLines w:val="0"/>
        <w:keepNext w:val="0"/>
        <w:pageBreakBefore w:val="0"/>
        <w:spacing w:line="420" w:lineRule="exact"/>
        <w:widowControl w:val="off"/>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的工作人员在岗履行职责期间（包括上下班途中），发生自身的人身伤害、伤亡，均由中标人负责处理并承担经济和道义上的责任，采购人不承担任何责任。</w:t>
      </w:r>
      <w:r/>
    </w:p>
    <w:p>
      <w:pPr>
        <w:ind w:firstLine="480"/>
        <w:keepLines w:val="0"/>
        <w:keepNext w:val="0"/>
        <w:pageBreakBefore w:val="0"/>
        <w:spacing w:line="420" w:lineRule="exact"/>
        <w:widowControl w:val="off"/>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、其他为有利于项目实施的便利因素，包含在投标报价中。</w:t>
      </w:r>
      <w:r/>
    </w:p>
    <w:p>
      <w:pPr>
        <w:keepLines w:val="0"/>
        <w:keepNext w:val="0"/>
        <w:pageBreakBefore w:val="0"/>
        <w:spacing w:line="420" w:lineRule="exact"/>
        <w:widowControl w:val="off"/>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五、其他要求：</w:t>
      </w:r>
      <w:r/>
    </w:p>
    <w:p>
      <w:pPr>
        <w:ind w:firstLine="482"/>
        <w:keepLines w:val="0"/>
        <w:keepNext w:val="0"/>
        <w:pageBreakBefore w:val="0"/>
        <w:spacing w:line="420" w:lineRule="exact"/>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1、实质性要求：“第四章  采购需求”中，斜体且有下划线部分为实质性要求，其余的均为常规要求，任何一项实质性要求未满足的，将作无效投标处理。</w:t>
      </w:r>
      <w:r/>
    </w:p>
    <w:p>
      <w:pPr>
        <w:ind w:firstLine="482"/>
        <w:keepLines w:val="0"/>
        <w:keepNext w:val="0"/>
        <w:pageBreakBefore w:val="0"/>
        <w:spacing w:line="420" w:lineRule="exact"/>
        <w:widowControl w:val="off"/>
        <w:rPr>
          <w:rFonts w:hint="eastAsia" w:ascii="宋体" w:hAnsi="宋体"/>
          <w:b w:val="0"/>
          <w:bCs w:val="0"/>
          <w:color w:val="000000" w:themeColor="text1"/>
          <w:sz w:val="24"/>
          <w:szCs w:val="24"/>
          <w:highlight w:val="none"/>
          <w:lang w:val="en-US"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投标人在投标文件中的拟投入人员即实际提供履约服务的人员，非经采购人允许，不得随意更换。经采购人同意后，方可更换，需保证服务人员的职称、证书、资历等要求不低于投标文件中的拟投入人员，同时服从采购人的人员备案、考核管理，否则采购人有权终止项目合同，采购人无须承担相应的违约责任。</w:t>
      </w:r>
      <w:r/>
    </w:p>
    <w:p>
      <w:pPr>
        <w:ind w:firstLine="482"/>
        <w:keepLines w:val="0"/>
        <w:keepNext w:val="0"/>
        <w:pageBreakBefore w:val="0"/>
        <w:spacing w:line="420" w:lineRule="exact"/>
        <w:widowControl w:val="off"/>
        <w:rPr>
          <w:rFonts w:hint="default" w:ascii="宋体" w:hAnsi="宋体"/>
          <w:b w:val="0"/>
          <w:bCs w:val="0"/>
          <w:color w:val="000000" w:themeColor="text1"/>
          <w:sz w:val="24"/>
          <w:szCs w:val="24"/>
          <w:highlight w:val="none"/>
          <w:lang w:val="en-US"/>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w:t>
      </w:r>
      <w:bookmarkStart w:id="214" w:name="OLE_LINK43"/>
      <w:r/>
      <w:bookmarkStart w:id="215" w:name="OLE_LINK44"/>
      <w:r>
        <w:rPr>
          <w:rFonts w:hint="eastAsia" w:ascii="宋体" w:hAnsi="宋体"/>
          <w:b w:val="0"/>
          <w:bCs w:val="0"/>
          <w:color w:val="000000" w:themeColor="text1"/>
          <w:sz w:val="24"/>
          <w:szCs w:val="24"/>
          <w:highlight w:val="none"/>
          <w14:textFill>
            <w14:solidFill>
              <w14:schemeClr w14:val="tx1"/>
            </w14:solidFill>
          </w14:textFill>
        </w:rPr>
        <w:t xml:space="preserve">投标文件中</w:t>
      </w:r>
      <w:bookmarkEnd w:id="214"/>
      <w:r/>
      <w:bookmarkEnd w:id="215"/>
      <w:r>
        <w:rPr>
          <w:rFonts w:hint="eastAsia" w:ascii="宋体" w:hAnsi="宋体"/>
          <w:b w:val="0"/>
          <w:bCs w:val="0"/>
          <w:color w:val="000000" w:themeColor="text1"/>
          <w:sz w:val="24"/>
          <w:szCs w:val="24"/>
          <w:highlight w:val="none"/>
          <w14:textFill>
            <w14:solidFill>
              <w14:schemeClr w14:val="tx1"/>
            </w14:solidFill>
          </w14:textFill>
        </w:rPr>
        <w:t xml:space="preserve">提供</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整体服务设想、重难点分析、遗体接运服务方案（①遗体接运、遗体接运衔接方案（与</w:t>
      </w:r>
      <w:r>
        <w:rPr>
          <w:rFonts w:hint="eastAsia" w:ascii="宋体" w:hAnsi="宋体"/>
          <w:b w:val="0"/>
          <w:bCs w:val="0"/>
          <w:color w:val="000000" w:themeColor="text1"/>
          <w:sz w:val="24"/>
          <w:szCs w:val="24"/>
          <w:highlight w:val="none"/>
          <w14:textFill>
            <w14:solidFill>
              <w14:schemeClr w14:val="tx1"/>
            </w14:solidFill>
          </w14:textFill>
        </w:rPr>
        <w:t xml:space="preserve">医院、家属、殡仪馆</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）；②消毒、防疫方案）、项目管理方案（①驾驶员管理方案②车辆管理方案③安全管理方案）、突发事件应急预案、人员到位方案。</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keepLines w:val="0"/>
        <w:keepNext w:val="0"/>
        <w:pageBreakBefore w:val="0"/>
        <w:spacing w:line="420" w:lineRule="exact"/>
        <w:widowControl w:val="off"/>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lang w:val="en-US" w:eastAsia="zh-CN"/>
          <w14:textFill>
            <w14:solidFill>
              <w14:schemeClr w14:val="tx1"/>
            </w14:solidFill>
          </w14:textFill>
        </w:rPr>
        <w:t xml:space="preserve">六</w:t>
      </w:r>
      <w:r>
        <w:rPr>
          <w:rFonts w:hint="eastAsia" w:ascii="宋体" w:hAnsi="宋体"/>
          <w:b/>
          <w:color w:val="000000" w:themeColor="text1"/>
          <w:sz w:val="28"/>
          <w:szCs w:val="24"/>
          <w:highlight w:val="none"/>
          <w14:textFill>
            <w14:solidFill>
              <w14:schemeClr w14:val="tx1"/>
            </w14:solidFill>
          </w14:textFill>
        </w:rPr>
        <w:t xml:space="preserve">、</w:t>
      </w:r>
      <w:r>
        <w:rPr>
          <w:rFonts w:hint="eastAsia" w:ascii="宋体" w:hAnsi="宋体"/>
          <w:b/>
          <w:color w:val="000000" w:themeColor="text1"/>
          <w:sz w:val="28"/>
          <w:szCs w:val="24"/>
          <w:highlight w:val="none"/>
          <w:lang w:val="en-US" w:eastAsia="zh-CN"/>
          <w14:textFill>
            <w14:solidFill>
              <w14:schemeClr w14:val="tx1"/>
            </w14:solidFill>
          </w14:textFill>
        </w:rPr>
        <w:t xml:space="preserve">考核办法</w:t>
      </w:r>
      <w:r>
        <w:rPr>
          <w:rFonts w:hint="eastAsia" w:ascii="宋体" w:hAnsi="宋体"/>
          <w:b/>
          <w:color w:val="000000" w:themeColor="text1"/>
          <w:sz w:val="28"/>
          <w:szCs w:val="24"/>
          <w:highlight w:val="none"/>
          <w14:textFill>
            <w14:solidFill>
              <w14:schemeClr w14:val="tx1"/>
            </w14:solidFill>
          </w14:textFill>
        </w:rPr>
        <w:t xml:space="preserve">：</w:t>
      </w:r>
      <w:r/>
    </w:p>
    <w:p>
      <w:pPr>
        <w:ind w:firstLine="480"/>
        <w:jc w:val="center"/>
        <w:spacing w:before="120" w:after="12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附件：社会车辆遗体接运服务（单位）月度考核细则</w:t>
      </w:r>
      <w:r/>
    </w:p>
    <w:p>
      <w:pPr>
        <w:spacing w:before="120" w:after="12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考核指标及评分标准（总分100分）</w:t>
      </w:r>
      <w:r/>
    </w:p>
    <w:tbl>
      <w:tblPr>
        <w:tblStyle w:val="813"/>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816"/>
        <w:gridCol w:w="4601"/>
        <w:gridCol w:w="1598"/>
        <w:gridCol w:w="578"/>
        <w:gridCol w:w="850"/>
      </w:tblGrid>
      <w:tr>
        <w:trPr>
          <w:jc w:val="center"/>
        </w:trPr>
        <w:tc>
          <w:tcPr>
            <w:tcW w:w="12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类别</w:t>
            </w:r>
            <w:r/>
          </w:p>
        </w:tc>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46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考核细则</w:t>
            </w:r>
            <w:r/>
          </w:p>
        </w:tc>
        <w:tc>
          <w:tcPr>
            <w:tcW w:w="159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单次扣分（或加分）分值</w:t>
            </w:r>
            <w:r/>
          </w:p>
        </w:tc>
        <w:tc>
          <w:tcPr>
            <w:tcW w:w="5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次数</w:t>
            </w:r>
            <w:r/>
          </w:p>
        </w:tc>
        <w:tc>
          <w:tcPr>
            <w:tcW w:w="8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所扣总分</w:t>
            </w:r>
            <w:r/>
          </w:p>
        </w:tc>
      </w:tr>
      <w:tr>
        <w:trPr>
          <w:jc w:val="center"/>
          <w:trHeight w:val="317"/>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服务质量</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未统一着装及佩戴工作牌；用语不文明。</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服务不及时，存在迟到早退情况。</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信息记录不完整或未核实；发现或产生问题未移交。</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逝者及丧事承办人信息核对错误或接运路程及费用未确认。</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未按要求巡检车辆等设施设备。</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提供接运服务不达标。</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车辆内环境脏乱差的。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发生违反遗体接运法规的。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岗位工作人员技术水平低下；管理人员管理无序。</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缺少内部管理和考核制度。在执行内部管理和考核制度的。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每月未对业务开展情况进行自查自纠，缺少日常监督；对甲方单位提出的问题，未制定相应整改措施，未在规定时间内整改到位。</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服务安全</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上岗前未检查车辆等设施设备是否正常运行，未做好巡检记录，未发现设备故障、危险隐患或其他事项，未做到及时如实上报。</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未按照招标文件及采购方规定的流程开展服务工作。</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工作期间饮酒、赌博；泄露逝者信息及丧户（经办人）信息。</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在禁烟区域吸烟。</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未做好相关业务档案整理、存档工作，台账资料不完善。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17</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遇突发事件或投诉情况，缺乏应急处置措施能力，出现一推了之踢皮球的，或转移矛盾、激化问题的。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18</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挑唆家属与殡仪馆矛盾造成业务事故的。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19</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利用网络、手机或其他通信工具进行非法活动，侵害他人权益，发表或散布反动言论、不良及不实信息。</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将车辆随意转让给他人驾驶，为进行任何报备手续的。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restart"/>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未定期组织安全教育培训，驾驶员不掌握旅客运输法规、应急处理等基本知识的。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22</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不配合馆方开展各类活动的；或者配合不积极，出现推诿塞责情况的。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服务对象满意度</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职工服务意识和工作责任心差，慵懒躺平，工作作风差。</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24</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未能较好完成接运任务，工作实绩低下，服务对象投诉，每月服务对象回访覆盖率及满意率均低于95%。</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-8/次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restart"/>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廉洁从业</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25</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出现违法犯罪情况；违反行业规定及职业道德的情况。</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26</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疏于廉政教育；腐败问题及案件屡禁不止的；向采购方工作人员行贿的。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vMerge w:val="continue"/>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27</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与社会人员串通销售商品或服务；以不法手段获取家属信息从事无关工作的。</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-10/次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加分项</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28</w:t>
            </w:r>
            <w:r/>
          </w:p>
        </w:tc>
        <w:tc>
          <w:tcPr>
            <w:tcW w:w="4601"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因服务创新、业绩突出或获得荣誉表彰、受到表扬。（可累计，最高30）</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否定项</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29</w:t>
            </w:r>
            <w:r/>
          </w:p>
        </w:tc>
        <w:tc>
          <w:tcPr>
            <w:tcW w:w="4601" w:type="dxa"/>
            <w:vAlign w:val="center"/>
            <w:textDirection w:val="lrTb"/>
            <w:noWrap w:val="false"/>
          </w:tcPr>
          <w:p>
            <w:pPr>
              <w:numPr>
                <w:ilvl w:val="0"/>
                <w:numId w:val="6"/>
              </w:num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出现重大</w:t>
            </w:r>
            <w:r>
              <w:rPr>
                <w:rFonts w:hint="eastAsia" w:ascii="宋体" w:hAnsi="宋体" w:cs="宋体"/>
                <w:color w:val="000000" w:themeColor="text1"/>
                <w:sz w:val="24"/>
                <w:szCs w:val="24"/>
                <w:highlight w:val="none"/>
                <w:lang w:val="en-US" w:eastAsia="zh-CN"/>
                <w14:textFill>
                  <w14:solidFill>
                    <w14:schemeClr w14:val="tx1"/>
                  </w14:solidFill>
                </w14:textFill>
              </w:rPr>
              <w:t xml:space="preserve">安全生产事故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6"/>
              </w:num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出现重大投诉事项；</w:t>
            </w:r>
            <w:r/>
          </w:p>
          <w:p>
            <w:pPr>
              <w:numPr>
                <w:ilvl w:val="0"/>
                <w:numId w:val="6"/>
              </w:num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出现廉政问题。出现任一情况，当月考核为0分。</w:t>
            </w:r>
            <w:r/>
          </w:p>
          <w:p>
            <w:pPr>
              <w:numPr>
                <w:ilvl w:val="0"/>
                <w:numId w:val="6"/>
              </w:num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拒不接受考核结果，出现胡搅蛮缠、无理取闹情况。</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-100/次</w:t>
            </w:r>
            <w:r/>
          </w:p>
        </w:tc>
        <w:tc>
          <w:tcPr>
            <w:tcW w:w="57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总分</w:t>
            </w:r>
            <w:r/>
          </w:p>
        </w:tc>
        <w:tc>
          <w:tcPr>
            <w:gridSpan w:val="5"/>
            <w:tcW w:w="844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2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考核人员</w:t>
            </w:r>
            <w:r/>
          </w:p>
        </w:tc>
        <w:tc>
          <w:tcPr>
            <w:gridSpan w:val="2"/>
            <w:tcW w:w="541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159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tc>
        <w:tc>
          <w:tcPr>
            <w:gridSpan w:val="2"/>
            <w:tcW w:w="142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考核说明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1.考核总分设定为100分，采用月度考核方式。</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2.涉及"单次"的指标，每发现一次违规即扣对应分值，扣分累计从总分中扣除。</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3.采购方扣分应以事实为依据，明确具体时间、人、事。中标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应服从甲方考核，不得胡搅蛮缠。</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上述所涉情况扣分量设置的前提为采购方通过日常巡视或接家属口头反馈发现，如因家属在“12345”“寒山闻钟”或媒体投诉举报或经上级民政或其他政府单位反馈的，一经核实加倍扣分处罚。</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.加分项可根据实际情况累计加分，最高加30分；否定项一旦触发，当月考核直接记0分，不参与其他分值计算。</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月度考核90（含）分以上的</w:t>
      </w:r>
      <w:r>
        <w:rPr>
          <w:rFonts w:hint="eastAsia" w:ascii="宋体" w:hAnsi="宋体" w:eastAsia="宋体" w:cs="宋体"/>
          <w:color w:val="000000" w:themeColor="text1"/>
          <w:sz w:val="24"/>
          <w:szCs w:val="24"/>
          <w:highlight w:val="none"/>
          <w14:textFill>
            <w14:solidFill>
              <w14:schemeClr w14:val="tx1"/>
            </w14:solidFill>
          </w14:textFill>
        </w:rPr>
        <w:t xml:space="preserve">全额支付当月应付款；</w:t>
      </w:r>
      <w:r>
        <w:rPr>
          <w:rFonts w:hint="eastAsia" w:ascii="宋体" w:hAnsi="宋体" w:cs="宋体"/>
          <w:color w:val="000000" w:themeColor="text1"/>
          <w:sz w:val="24"/>
          <w:szCs w:val="24"/>
          <w:highlight w:val="none"/>
          <w:lang w:val="en-US" w:eastAsia="zh-CN"/>
          <w14:textFill>
            <w14:solidFill>
              <w14:schemeClr w14:val="tx1"/>
            </w14:solidFill>
          </w14:textFill>
        </w:rPr>
        <w:t xml:space="preserve">低于90分的，每低1分，扣200元，</w:t>
      </w:r>
      <w:r>
        <w:rPr>
          <w:rFonts w:hint="eastAsia" w:ascii="宋体" w:hAnsi="宋体" w:eastAsia="宋体" w:cs="宋体"/>
          <w:color w:val="000000" w:themeColor="text1"/>
          <w:sz w:val="24"/>
          <w:szCs w:val="24"/>
          <w:highlight w:val="none"/>
          <w14:textFill>
            <w14:solidFill>
              <w14:schemeClr w14:val="tx1"/>
            </w14:solidFill>
          </w14:textFill>
        </w:rPr>
        <w:t xml:space="preserve">合同期内月度考核分出现两次低于80分的，则甲方可无条件与乙方解除合同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.考核由业务科室组织考核工作小组每月进行，坚持公平、公正、公开原则。</w:t>
      </w:r>
      <w:r>
        <w:rPr>
          <w:rFonts w:hint="eastAsia" w:ascii="宋体" w:hAnsi="宋体"/>
          <w:b/>
          <w:bCs/>
          <w:color w:val="000000" w:themeColor="text1"/>
          <w:sz w:val="24"/>
          <w:szCs w:val="24"/>
          <w:highlight w:val="none"/>
          <w14:textFill>
            <w14:solidFill>
              <w14:schemeClr w14:val="tx1"/>
            </w14:solidFill>
          </w14:textFill>
        </w:rPr>
        <w:br w:type="page" w:clear="all"/>
      </w:r>
      <w:r/>
    </w:p>
    <w:p>
      <w:pPr>
        <w:ind w:firstLine="880"/>
        <w:jc w:val="center"/>
        <w:keepNext/>
        <w:rPr>
          <w:rFonts w:hint="eastAsia" w:ascii="黑体" w:hAnsi="Courier New" w:eastAsia="黑体" w:cs="Courier New"/>
          <w:bCs/>
          <w:color w:val="000000" w:themeColor="text1"/>
          <w:sz w:val="44"/>
          <w:szCs w:val="21"/>
          <w:highlight w:val="none"/>
          <w14:textFill>
            <w14:solidFill>
              <w14:schemeClr w14:val="tx1"/>
            </w14:solidFill>
          </w14:textFill>
        </w:rPr>
        <w:outlineLvl w:val="0"/>
      </w:pPr>
      <w:r/>
      <w:bookmarkStart w:id="216" w:name="_Toc9198"/>
      <w:r>
        <w:rPr>
          <w:rFonts w:hint="eastAsia" w:ascii="黑体" w:hAnsi="Courier New" w:eastAsia="黑体" w:cs="Courier New"/>
          <w:bCs/>
          <w:color w:val="000000" w:themeColor="text1"/>
          <w:sz w:val="44"/>
          <w:szCs w:val="21"/>
          <w:highlight w:val="none"/>
          <w14:textFill>
            <w14:solidFill>
              <w14:schemeClr w14:val="tx1"/>
            </w14:solidFill>
          </w14:textFill>
        </w:rPr>
        <w:t xml:space="preserve">第五章  评审因素和评分标准</w:t>
      </w:r>
      <w:bookmarkEnd w:id="197"/>
      <w:r/>
      <w:bookmarkEnd w:id="216"/>
      <w:r/>
      <w:r/>
    </w:p>
    <w:p>
      <w:pPr>
        <w:spacing w:line="440" w:lineRule="exact"/>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 xml:space="preserve">一、评审方法：</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本项目采用综合评分法。评标结果按</w:t>
      </w:r>
      <w:r>
        <w:rPr>
          <w:rFonts w:hint="eastAsia" w:ascii="宋体" w:hAnsi="宋体" w:eastAsia="宋体" w:cs="宋体"/>
          <w:color w:val="000000" w:themeColor="text1"/>
          <w:sz w:val="24"/>
          <w:szCs w:val="24"/>
          <w:highlight w:val="none"/>
          <w14:textFill>
            <w14:solidFill>
              <w14:schemeClr w14:val="tx1"/>
            </w14:solidFill>
          </w14:textFill>
        </w:rPr>
        <w:t xml:space="preserve">评审后得分由高到低顺序排列。得分相同的，按</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项目服务方案优劣进行排序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2、评委会根据排列情况将推荐前三名为中标候选人，并根据采购人委托直接确定排名第一的中标候选人为中标人。</w:t>
      </w:r>
      <w:r/>
    </w:p>
    <w:p>
      <w:pPr>
        <w:spacing w:line="440" w:lineRule="exact"/>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 xml:space="preserve">二、评审因素、权值及评分标准：</w:t>
      </w:r>
      <w:r/>
    </w:p>
    <w:p>
      <w:pPr>
        <w:ind w:firstLine="470"/>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注：每部分的得分保留小数点后两位，合计得分保留小数点后两位。</w:t>
      </w:r>
      <w:r/>
    </w:p>
    <w:p>
      <w:pPr>
        <w:ind w:firstLine="482"/>
        <w:spacing w:line="48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、项目服务</w:t>
      </w:r>
      <w:r>
        <w:rPr>
          <w:rFonts w:hint="eastAsia" w:ascii="宋体" w:hAnsi="宋体" w:cs="宋体"/>
          <w:b/>
          <w:bCs/>
          <w:color w:val="000000" w:themeColor="text1"/>
          <w:sz w:val="24"/>
          <w:highlight w:val="none"/>
          <w:lang w:val="en-US" w:eastAsia="zh-CN"/>
          <w14:textFill>
            <w14:solidFill>
              <w14:schemeClr w14:val="tx1"/>
            </w14:solidFill>
          </w14:textFill>
        </w:rPr>
        <w:t xml:space="preserve">方案</w:t>
      </w:r>
      <w:r>
        <w:rPr>
          <w:rFonts w:hint="eastAsia" w:ascii="宋体" w:hAnsi="宋体" w:cs="宋体"/>
          <w:b/>
          <w:bCs/>
          <w:strike w:val="0"/>
          <w:color w:val="000000" w:themeColor="text1"/>
          <w:sz w:val="24"/>
          <w:highlight w:val="none"/>
          <w:lang w:val="en-US" w:eastAsia="zh-CN"/>
          <w14:textFill>
            <w14:solidFill>
              <w14:schemeClr w14:val="tx1"/>
            </w14:solidFill>
          </w14:textFill>
        </w:rPr>
        <w:t xml:space="preserve">69</w:t>
      </w:r>
      <w:r>
        <w:rPr>
          <w:rFonts w:hint="eastAsia" w:ascii="宋体" w:hAnsi="宋体" w:eastAsia="宋体" w:cs="宋体"/>
          <w:b/>
          <w:bCs/>
          <w:color w:val="000000" w:themeColor="text1"/>
          <w:sz w:val="24"/>
          <w:highlight w:val="none"/>
          <w14:textFill>
            <w14:solidFill>
              <w14:schemeClr w14:val="tx1"/>
            </w14:solidFill>
          </w14:textFill>
        </w:rPr>
        <w:t xml:space="preserve">分</w:t>
      </w:r>
      <w:r/>
    </w:p>
    <w:tbl>
      <w:tblPr>
        <w:tblStyle w:val="813"/>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860"/>
        <w:gridCol w:w="821"/>
        <w:gridCol w:w="6259"/>
      </w:tblGrid>
      <w:tr>
        <w:trPr>
          <w:jc w:val="center"/>
          <w:trHeight w:val="599"/>
        </w:trPr>
        <w:tc>
          <w:tcPr>
            <w:tcW w:w="8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8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评审因素</w:t>
            </w:r>
            <w:r/>
          </w:p>
        </w:tc>
        <w:tc>
          <w:tcPr>
            <w:tcW w:w="8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权值</w:t>
            </w:r>
            <w:r/>
          </w:p>
        </w:tc>
        <w:tc>
          <w:tcPr>
            <w:tcW w:w="62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评分标准</w:t>
            </w:r>
            <w:r/>
          </w:p>
        </w:tc>
      </w:tr>
      <w:tr>
        <w:trPr>
          <w:jc w:val="center"/>
          <w:trHeight w:val="758"/>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8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服务响应情况</w:t>
            </w:r>
            <w:r/>
          </w:p>
        </w:tc>
        <w:tc>
          <w:tcPr>
            <w:tcW w:w="82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p>
        </w:tc>
        <w:tc>
          <w:tcPr>
            <w:tcW w:w="625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投标人承诺提供的服务全部满足招标文件要求（</w:t>
            </w:r>
            <w:r>
              <w:rPr>
                <w:rFonts w:hint="eastAsia" w:ascii="宋体" w:hAnsi="宋体" w:cs="宋体"/>
                <w:color w:val="000000" w:themeColor="text1"/>
                <w:sz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4"/>
                <w:highlight w:val="none"/>
                <w14:textFill>
                  <w14:solidFill>
                    <w14:schemeClr w14:val="tx1"/>
                  </w14:solidFill>
                </w14:textFill>
              </w:rPr>
              <w:t xml:space="preserve">条）的得</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highlight w:val="none"/>
                <w14:textFill>
                  <w14:solidFill>
                    <w14:schemeClr w14:val="tx1"/>
                  </w14:solidFill>
                </w14:textFill>
              </w:rPr>
              <w:t xml:space="preserve">分；存在负偏离的，每条扣</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highlight w:val="none"/>
                <w14:textFill>
                  <w14:solidFill>
                    <w14:schemeClr w14:val="tx1"/>
                  </w14:solidFill>
                </w14:textFill>
              </w:rPr>
              <w:t xml:space="preserve">分。</w:t>
            </w:r>
            <w:r/>
          </w:p>
        </w:tc>
      </w:tr>
      <w:tr>
        <w:trPr>
          <w:jc w:val="center"/>
          <w:trHeight w:val="475"/>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p>
        </w:tc>
        <w:tc>
          <w:tcPr>
            <w:tcW w:w="18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整体服务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设想</w:t>
            </w:r>
            <w:r/>
          </w:p>
        </w:tc>
        <w:tc>
          <w:tcPr>
            <w:tcW w:w="8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25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根据投标人针对本项目的</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整体服务设想方案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进行综合评定</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合理，切实可行的得3分，内容合理，满足项目实施的得1.5分，内容明显不合理或未作说明的不得分。</w:t>
            </w:r>
            <w:r/>
          </w:p>
        </w:tc>
      </w:tr>
      <w:tr>
        <w:trPr>
          <w:jc w:val="center"/>
          <w:trHeight w:val="1043"/>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W w:w="18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重难点分析</w:t>
            </w:r>
            <w:r/>
          </w:p>
        </w:tc>
        <w:tc>
          <w:tcPr>
            <w:tcW w:w="82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625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根据投标人针对本项目的</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重难点分析方案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进行综合评定</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合理，切实可行的得3分，内容合理，满足项目实施的得1.5分，内容明显不合理或未作说明的不得分。</w:t>
            </w:r>
            <w:r/>
          </w:p>
        </w:tc>
      </w:tr>
      <w:tr>
        <w:trPr>
          <w:jc w:val="center"/>
          <w:trHeight w:val="475"/>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18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遗体接运服务方案</w:t>
            </w:r>
            <w:r/>
          </w:p>
        </w:tc>
        <w:tc>
          <w:tcPr>
            <w:tcW w:w="82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6259"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根据投标人针对本项目的</w:t>
            </w:r>
            <w:r>
              <w:rPr>
                <w:rFonts w:hint="eastAsia" w:ascii="宋体" w:hAnsi="宋体" w:cs="宋体"/>
                <w:b/>
                <w:bCs/>
                <w:color w:val="000000" w:themeColor="text1"/>
                <w:sz w:val="24"/>
                <w:highlight w:val="none"/>
                <w:lang w:val="en-US" w:eastAsia="zh-CN"/>
                <w14:textFill>
                  <w14:solidFill>
                    <w14:schemeClr w14:val="tx1"/>
                  </w14:solidFill>
                </w14:textFill>
              </w:rPr>
              <w:t xml:space="preserve">①遗体接运、</w:t>
            </w:r>
            <w:r>
              <w:rPr>
                <w:rFonts w:hint="eastAsia" w:ascii="Segoe UI" w:hAnsi="Segoe UI" w:eastAsia="宋体" w:cs="Segoe UI"/>
                <w:b/>
                <w:bCs/>
                <w:i w:val="0"/>
                <w:iCs w:val="0"/>
                <w:caps w:val="0"/>
                <w:color w:val="000000" w:themeColor="text1"/>
                <w:spacing w:val="0"/>
                <w:sz w:val="24"/>
                <w:szCs w:val="24"/>
                <w:highlight w:val="none"/>
                <w:lang w:val="en-US" w:eastAsia="zh-CN"/>
                <w14:textFill>
                  <w14:solidFill>
                    <w14:schemeClr w14:val="tx1"/>
                  </w14:solidFill>
                </w14:textFill>
              </w:rPr>
              <w:t xml:space="preserve">遗体接运衔接方案（与</w:t>
            </w:r>
            <w:r>
              <w:rPr>
                <w:rFonts w:ascii="Segoe UI" w:hAnsi="Segoe UI" w:eastAsia="Segoe UI" w:cs="Segoe UI"/>
                <w:b/>
                <w:bCs/>
                <w:i w:val="0"/>
                <w:iCs w:val="0"/>
                <w:caps w:val="0"/>
                <w:color w:val="000000" w:themeColor="text1"/>
                <w:spacing w:val="0"/>
                <w:sz w:val="24"/>
                <w:szCs w:val="24"/>
                <w:highlight w:val="none"/>
                <w14:textFill>
                  <w14:solidFill>
                    <w14:schemeClr w14:val="tx1"/>
                  </w14:solidFill>
                </w14:textFill>
              </w:rPr>
              <w:t xml:space="preserve">医院、家属、殡仪馆</w:t>
            </w:r>
            <w:r>
              <w:rPr>
                <w:rFonts w:hint="eastAsia" w:ascii="Segoe UI" w:hAnsi="Segoe UI" w:eastAsia="宋体" w:cs="Segoe UI"/>
                <w:b/>
                <w:bCs/>
                <w:i w:val="0"/>
                <w:iCs w:val="0"/>
                <w:caps w:val="0"/>
                <w:color w:val="000000" w:themeColor="text1"/>
                <w:spacing w:val="0"/>
                <w:sz w:val="24"/>
                <w:szCs w:val="24"/>
                <w:highlight w:val="none"/>
                <w:lang w:val="en-US" w:eastAsia="zh-CN"/>
                <w14:textFill>
                  <w14:solidFill>
                    <w14:schemeClr w14:val="tx1"/>
                  </w14:solidFill>
                </w14:textFill>
              </w:rPr>
              <w:t xml:space="preserve">）</w:t>
            </w:r>
            <w:r>
              <w:rPr>
                <w:rFonts w:hint="eastAsia" w:ascii="Segoe UI" w:hAnsi="Segoe UI" w:cs="Segoe UI"/>
                <w:i w:val="0"/>
                <w:iCs w:val="0"/>
                <w:caps w:val="0"/>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消毒</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防疫</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；以上内容每有一项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合理，切实可行的得3分，内容合理，满足项目实施的得1.5分，内容明显不合理或未作说明的不得分。</w:t>
            </w:r>
            <w:r/>
          </w:p>
        </w:tc>
      </w:tr>
      <w:tr>
        <w:trPr>
          <w:jc w:val="center"/>
          <w:trHeight w:val="1328"/>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p>
        </w:tc>
        <w:tc>
          <w:tcPr>
            <w:tcW w:w="186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项目管理方案</w:t>
            </w:r>
            <w:r/>
          </w:p>
        </w:tc>
        <w:tc>
          <w:tcPr>
            <w:tcW w:w="82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6259" w:type="dxa"/>
            <w:vAlign w:val="center"/>
            <w:textDirection w:val="lrTb"/>
            <w:noWrap w:val="false"/>
          </w:tcPr>
          <w:p>
            <w:pPr>
              <w:ind w:left="0" w:right="0"/>
              <w:jc w:val="both"/>
              <w:keepLines w:val="0"/>
              <w:keepNext w:val="0"/>
              <w:spacing w:before="0" w:beforeAutospacing="0" w:after="0" w:afterAutospacing="0"/>
              <w:rPr>
                <w:rFonts w:hint="default"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根据投标人</w:t>
            </w:r>
            <w:r>
              <w:rPr>
                <w:rFonts w:hint="eastAsia" w:ascii="宋体" w:hAnsi="宋体" w:cs="宋体"/>
                <w:color w:val="000000" w:themeColor="text1"/>
                <w:sz w:val="24"/>
                <w:highlight w:val="none"/>
                <w:lang w:val="en-US" w:eastAsia="zh-CN"/>
                <w14:textFill>
                  <w14:solidFill>
                    <w14:schemeClr w14:val="tx1"/>
                  </w14:solidFill>
                </w14:textFill>
              </w:rPr>
              <w:t xml:space="preserve">提供的项目管理方案</w:t>
            </w:r>
            <w:r>
              <w:rPr>
                <w:rFonts w:hint="eastAsia" w:ascii="宋体" w:hAnsi="宋体" w:cs="宋体"/>
                <w:b/>
                <w:bCs/>
                <w:color w:val="000000" w:themeColor="text1"/>
                <w:sz w:val="24"/>
                <w:highlight w:val="none"/>
                <w:lang w:val="en-US" w:eastAsia="zh-CN"/>
                <w14:textFill>
                  <w14:solidFill>
                    <w14:schemeClr w14:val="tx1"/>
                  </w14:solidFill>
                </w14:textFill>
              </w:rPr>
              <w:t xml:space="preserve">①驾驶员管理方案②车辆管理方案③安全管理方案</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以上内容每有一项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合理，切实可行的得3分，内容合理，满足项目实施的得1.5分，内容明显不合理或未作说明的不得分。</w:t>
            </w:r>
            <w:r/>
          </w:p>
        </w:tc>
      </w:tr>
      <w:tr>
        <w:trPr>
          <w:jc w:val="center"/>
          <w:trHeight w:val="475"/>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p>
        </w:tc>
        <w:tc>
          <w:tcPr>
            <w:shd w:val="clear" w:color="auto" w:fill="auto"/>
            <w:tcW w:w="18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突发事件应急预案</w:t>
            </w:r>
            <w:r/>
          </w:p>
        </w:tc>
        <w:tc>
          <w:tcPr>
            <w:shd w:val="clear" w:color="auto" w:fill="auto"/>
            <w:tcW w:w="8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w:t>
            </w:r>
            <w:r/>
          </w:p>
        </w:tc>
        <w:tc>
          <w:tcPr>
            <w:shd w:val="clear" w:color="auto" w:fill="auto"/>
            <w:tcW w:w="625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000000" w:themeColor="text1"/>
                <w:sz w:val="24"/>
                <w:szCs w:val="22"/>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根据投标人针对本项目的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突发事件应急预案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（应急事件处理机制、车辆故障处理、交通事故处理、人员伤亡处理）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进行综合评定：各类应急预案健全</w:t>
            </w:r>
            <w:r>
              <w:rPr>
                <w:rFonts w:hint="eastAsia" w:ascii="宋体" w:hAnsi="宋体" w:cs="宋体"/>
                <w:color w:val="000000" w:themeColor="text1"/>
                <w:sz w:val="24"/>
                <w:highlight w:val="none"/>
                <w:lang w:val="en-US" w:eastAsia="zh-CN"/>
                <w14:textFill>
                  <w14:solidFill>
                    <w14:schemeClr w14:val="tx1"/>
                  </w14:solidFill>
                </w14:textFill>
              </w:rPr>
              <w:t xml:space="preserve">，有利于项目实施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的得3分，各类应急预案合理，满足项目实施的得1.5分，内容明显不合理或未作说明的不得分。</w:t>
            </w:r>
            <w:r/>
          </w:p>
        </w:tc>
      </w:tr>
      <w:tr>
        <w:trPr>
          <w:jc w:val="center"/>
          <w:trHeight w:val="475"/>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p>
        </w:tc>
        <w:tc>
          <w:tcPr>
            <w:shd w:val="clear" w:color="auto" w:fill="auto"/>
            <w:tcW w:w="18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2"/>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人员到位</w:t>
            </w:r>
            <w:r/>
          </w:p>
        </w:tc>
        <w:tc>
          <w:tcPr>
            <w:shd w:val="clear" w:color="auto" w:fill="auto"/>
            <w:tcW w:w="8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625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根据投标人针对本项目的</w:t>
            </w:r>
            <w:r>
              <w:rPr>
                <w:rFonts w:hint="eastAsia" w:ascii="宋体" w:hAnsi="宋体" w:cs="宋体"/>
                <w:b/>
                <w:bCs/>
                <w:color w:val="000000" w:themeColor="text1"/>
                <w:sz w:val="24"/>
                <w:highlight w:val="none"/>
                <w:lang w:val="en-US" w:eastAsia="zh-CN"/>
                <w14:textFill>
                  <w14:solidFill>
                    <w14:schemeClr w14:val="tx1"/>
                  </w14:solidFill>
                </w14:textFill>
              </w:rPr>
              <w:t xml:space="preserve">①人员到位方案；②</w:t>
            </w:r>
            <w:r>
              <w:rPr>
                <w:rFonts w:hint="eastAsia" w:ascii="宋体" w:hAnsi="宋体" w:eastAsia="宋体" w:cs="宋体"/>
                <w:b/>
                <w:bCs/>
                <w:color w:val="000000" w:themeColor="text1"/>
                <w:sz w:val="24"/>
                <w:highlight w:val="none"/>
                <w:lang w:val="zh-CN" w:eastAsia="zh-CN"/>
                <w14:textFill>
                  <w14:solidFill>
                    <w14:schemeClr w14:val="tx1"/>
                  </w14:solidFill>
                </w14:textFill>
              </w:rPr>
              <w:t xml:space="preserve">现有</w:t>
            </w:r>
            <w:r>
              <w:rPr>
                <w:rFonts w:hint="eastAsia" w:ascii="宋体" w:hAnsi="宋体" w:cs="宋体"/>
                <w:b/>
                <w:bCs/>
                <w:color w:val="000000" w:themeColor="text1"/>
                <w:sz w:val="24"/>
                <w:highlight w:val="none"/>
                <w:lang w:val="en-US" w:eastAsia="zh-CN"/>
                <w14:textFill>
                  <w14:solidFill>
                    <w14:schemeClr w14:val="tx1"/>
                  </w14:solidFill>
                </w14:textFill>
              </w:rPr>
              <w:t xml:space="preserve">殡葬行业相关</w:t>
            </w:r>
            <w:r>
              <w:rPr>
                <w:rFonts w:hint="eastAsia" w:ascii="宋体" w:hAnsi="宋体" w:eastAsia="宋体" w:cs="宋体"/>
                <w:b/>
                <w:bCs/>
                <w:color w:val="000000" w:themeColor="text1"/>
                <w:sz w:val="24"/>
                <w:highlight w:val="none"/>
                <w:lang w:val="zh-CN" w:eastAsia="zh-CN"/>
                <w14:textFill>
                  <w14:solidFill>
                    <w14:schemeClr w14:val="tx1"/>
                  </w14:solidFill>
                </w14:textFill>
              </w:rPr>
              <w:t xml:space="preserve">从业人员吸纳方案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进行综合评定</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以上内容每有一项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合理，切实可行的得3分，内容合理，满足项目实施的得1.5分，内容明显不合理或未作说明的不得分。</w:t>
            </w:r>
            <w:r/>
          </w:p>
        </w:tc>
      </w:tr>
      <w:tr>
        <w:trPr>
          <w:jc w:val="center"/>
          <w:trHeight w:val="475"/>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p>
        </w:tc>
        <w:tc>
          <w:tcPr>
            <w:shd w:val="clear" w:color="auto" w:fill="auto"/>
            <w:tcW w:w="18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2"/>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平台管理实施方案</w:t>
            </w:r>
            <w:r/>
          </w:p>
        </w:tc>
        <w:tc>
          <w:tcPr>
            <w:shd w:val="clear" w:color="auto" w:fill="auto"/>
            <w:tcW w:w="821" w:type="dxa"/>
            <w:vAlign w:val="center"/>
            <w:textDirection w:val="lrTb"/>
            <w:noWrap w:val="false"/>
          </w:tcPr>
          <w:p>
            <w:pPr>
              <w:ind w:left="0" w:right="0" w:firstLine="240"/>
              <w:jc w:val="left"/>
              <w:keepLines w:val="0"/>
              <w:keepNext w:val="0"/>
              <w:spacing w:before="0" w:beforeAutospacing="0" w:after="0" w:afterAutospacing="0"/>
              <w:tabs>
                <w:tab w:val="center" w:pos="361" w:leader="none"/>
                <w:tab w:val="left" w:pos="572"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5</w:t>
            </w:r>
            <w:r/>
          </w:p>
        </w:tc>
        <w:tc>
          <w:tcPr>
            <w:shd w:val="clear" w:color="auto" w:fill="auto"/>
            <w:tcW w:w="625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szCs w:val="22"/>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根据投标人</w:t>
            </w:r>
            <w:r>
              <w:rPr>
                <w:rFonts w:hint="eastAsia" w:ascii="宋体" w:hAnsi="宋体" w:cs="宋体"/>
                <w:color w:val="000000" w:themeColor="text1"/>
                <w:sz w:val="24"/>
                <w:highlight w:val="none"/>
                <w:lang w:val="en-US" w:eastAsia="zh-CN"/>
                <w14:textFill>
                  <w14:solidFill>
                    <w14:schemeClr w14:val="tx1"/>
                  </w14:solidFill>
                </w14:textFill>
              </w:rPr>
              <w:t xml:space="preserve">拟提供的管理平台具有</w:t>
            </w:r>
            <w:r>
              <w:rPr>
                <w:rFonts w:hint="eastAsia" w:ascii="宋体" w:hAnsi="宋体" w:cs="宋体"/>
                <w:b/>
                <w:bCs/>
                <w:color w:val="000000" w:themeColor="text1"/>
                <w:sz w:val="24"/>
                <w:highlight w:val="none"/>
                <w:lang w:val="en-US" w:eastAsia="zh-CN"/>
                <w14:textFill>
                  <w14:solidFill>
                    <w14:schemeClr w14:val="tx1"/>
                  </w14:solidFill>
                </w14:textFill>
              </w:rPr>
              <w:t xml:space="preserve">①</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统一调度管理②对应车辆定位搜索③自动派单功能④车辆运行轨迹⑤车载视频监控；</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每有一个功能点得1分，最高得5分。</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注：投标文件中提供对应管理平台的功能说明及功能界面截图，未提供或提供不全的不得分。</w:t>
            </w:r>
            <w:r/>
          </w:p>
        </w:tc>
      </w:tr>
      <w:tr>
        <w:trPr>
          <w:jc w:val="center"/>
          <w:trHeight w:val="475"/>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p>
        </w:tc>
        <w:tc>
          <w:tcPr>
            <w:shd w:val="clear" w:color="auto" w:fill="auto"/>
            <w:tcW w:w="186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服务响应时间承诺</w:t>
            </w:r>
            <w:r/>
          </w:p>
        </w:tc>
        <w:tc>
          <w:tcPr>
            <w:shd w:val="clear" w:color="auto" w:fill="auto"/>
            <w:tcW w:w="821" w:type="dxa"/>
            <w:vAlign w:val="center"/>
            <w:textDirection w:val="lrTb"/>
            <w:noWrap w:val="false"/>
          </w:tcPr>
          <w:p>
            <w:pPr>
              <w:ind w:left="0" w:right="0" w:firstLine="240"/>
              <w:jc w:val="left"/>
              <w:keepLines w:val="0"/>
              <w:keepNext w:val="0"/>
              <w:spacing w:before="0" w:beforeAutospacing="0" w:after="0" w:afterAutospacing="0"/>
              <w:tabs>
                <w:tab w:val="center" w:pos="361" w:leader="none"/>
                <w:tab w:val="left" w:pos="572" w:leader="none"/>
              </w:tabs>
              <w:rPr>
                <w:rFonts w:hint="default" w:ascii="宋体" w:hAnsi="宋体" w:cs="宋体"/>
                <w:strike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4</w:t>
            </w:r>
            <w:r/>
          </w:p>
        </w:tc>
        <w:tc>
          <w:tcPr>
            <w:shd w:val="clear" w:color="auto" w:fill="auto"/>
            <w:tcW w:w="6259"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承诺能够在接到采购人通知的指定时间60分钟内到达指定地点的得基本分2分，</w:t>
            </w:r>
            <w:r>
              <w:rPr>
                <w:rFonts w:hint="eastAsia" w:ascii="宋体" w:hAnsi="宋体" w:cs="宋体"/>
                <w:color w:val="000000" w:themeColor="text1"/>
                <w:sz w:val="24"/>
                <w:szCs w:val="24"/>
                <w:highlight w:val="none"/>
                <w14:textFill>
                  <w14:solidFill>
                    <w14:schemeClr w14:val="tx1"/>
                  </w14:solidFill>
                </w14:textFill>
              </w:rPr>
              <w:t xml:space="preserve">在上述时间要求上缩减5分钟的，在基本分上加0.5分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在上述时间要求上缩减10分钟的，在基本分上加1分；在上述时间要求上缩减15分钟的，在基本分上加2分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b/>
                <w:color w:val="000000" w:themeColor="text1"/>
                <w:sz w:val="24"/>
                <w:szCs w:val="24"/>
                <w:highlight w:val="none"/>
                <w:lang w:bidi="ar"/>
                <w14:textFill>
                  <w14:solidFill>
                    <w14:schemeClr w14:val="tx1"/>
                  </w14:solidFill>
                </w14:textFill>
              </w:rPr>
              <w:t xml:space="preserve">注：投标文件中提供对应的承诺函【格式自拟，但必须体现本项评审要素并加盖投标人公章】，否则对应评分项不得分。</w:t>
            </w:r>
            <w:r/>
          </w:p>
        </w:tc>
      </w:tr>
      <w:tr>
        <w:trPr>
          <w:jc w:val="center"/>
          <w:trHeight w:val="960"/>
        </w:trPr>
        <w:tc>
          <w:tcPr>
            <w:tcW w:w="83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p>
        </w:tc>
        <w:tc>
          <w:tcPr>
            <w:shd w:val="clear" w:color="auto" w:fill="auto"/>
            <w:tcW w:w="18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商务条件</w:t>
            </w:r>
            <w:r/>
          </w:p>
          <w:p>
            <w:pPr>
              <w:ind w:left="0" w:right="0"/>
              <w:jc w:val="center"/>
              <w:keepLines w:val="0"/>
              <w:keepNext w:val="0"/>
              <w:spacing w:before="0" w:beforeAutospacing="0" w:after="0" w:afterAutospacing="0"/>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响应性</w:t>
            </w:r>
            <w:r/>
          </w:p>
        </w:tc>
        <w:tc>
          <w:tcPr>
            <w:shd w:val="clear" w:color="auto" w:fill="auto"/>
            <w:tcW w:w="82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trike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10</w:t>
            </w:r>
            <w:r/>
          </w:p>
        </w:tc>
        <w:tc>
          <w:tcPr>
            <w:shd w:val="clear" w:color="auto" w:fill="auto"/>
            <w:tcW w:w="6259"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投标人对招标文件中合同条款等商务条件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条</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完全响应的得</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分；存在负偏离条款的，</w:t>
            </w:r>
            <w:r>
              <w:rPr>
                <w:rFonts w:hint="eastAsia" w:ascii="宋体" w:hAnsi="宋体" w:eastAsia="宋体" w:cs="宋体"/>
                <w:color w:val="000000" w:themeColor="text1"/>
                <w:sz w:val="24"/>
                <w:szCs w:val="24"/>
                <w:highlight w:val="none"/>
                <w14:textFill>
                  <w14:solidFill>
                    <w14:schemeClr w14:val="tx1"/>
                  </w14:solidFill>
                </w14:textFill>
              </w:rPr>
              <w:t xml:space="preserve">每条扣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14:textFill>
                  <w14:solidFill>
                    <w14:schemeClr w14:val="tx1"/>
                  </w14:solidFill>
                </w14:textFill>
              </w:rPr>
              <w:t xml:space="preserve">。</w:t>
            </w:r>
            <w:r/>
          </w:p>
        </w:tc>
      </w:tr>
    </w:tbl>
    <w:p>
      <w:pPr>
        <w:ind w:firstLine="482"/>
        <w:spacing w:line="48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、人员及</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车辆</w:t>
      </w:r>
      <w:r>
        <w:rPr>
          <w:rFonts w:hint="eastAsia" w:ascii="宋体" w:hAnsi="宋体" w:eastAsia="宋体" w:cs="宋体"/>
          <w:b/>
          <w:bCs/>
          <w:color w:val="000000" w:themeColor="text1"/>
          <w:sz w:val="24"/>
          <w:highlight w:val="none"/>
          <w14:textFill>
            <w14:solidFill>
              <w14:schemeClr w14:val="tx1"/>
            </w14:solidFill>
          </w14:textFill>
        </w:rPr>
        <w:t xml:space="preserve">配置</w:t>
      </w:r>
      <w:r>
        <w:rPr>
          <w:rFonts w:hint="eastAsia" w:ascii="宋体" w:hAnsi="宋体" w:cs="宋体"/>
          <w:b/>
          <w:bCs/>
          <w:color w:val="000000" w:themeColor="text1"/>
          <w:sz w:val="24"/>
          <w:highlight w:val="none"/>
          <w:lang w:val="en-US" w:eastAsia="zh-CN"/>
          <w14:textFill>
            <w14:solidFill>
              <w14:schemeClr w14:val="tx1"/>
            </w14:solidFill>
          </w14:textFill>
        </w:rPr>
        <w:t xml:space="preserve">31</w:t>
      </w:r>
      <w:r>
        <w:rPr>
          <w:rFonts w:hint="eastAsia" w:ascii="宋体" w:hAnsi="宋体" w:eastAsia="宋体" w:cs="宋体"/>
          <w:b/>
          <w:bCs/>
          <w:color w:val="000000" w:themeColor="text1"/>
          <w:sz w:val="24"/>
          <w:highlight w:val="none"/>
          <w14:textFill>
            <w14:solidFill>
              <w14:schemeClr w14:val="tx1"/>
            </w14:solidFill>
          </w14:textFill>
        </w:rPr>
        <w:t xml:space="preserve">分</w:t>
      </w:r>
      <w:r/>
    </w:p>
    <w:tbl>
      <w:tblPr>
        <w:tblStyle w:val="813"/>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808"/>
        <w:gridCol w:w="863"/>
        <w:gridCol w:w="6248"/>
      </w:tblGrid>
      <w:tr>
        <w:trPr>
          <w:jc w:val="center"/>
          <w:trHeight w:val="429"/>
        </w:trPr>
        <w:tc>
          <w:tcPr>
            <w:tcW w:w="8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8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评审因素</w:t>
            </w:r>
            <w:r/>
          </w:p>
        </w:tc>
        <w:tc>
          <w:tcPr>
            <w:tcW w:w="8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权值</w:t>
            </w:r>
            <w:r/>
          </w:p>
        </w:tc>
        <w:tc>
          <w:tcPr>
            <w:tcW w:w="62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评分标准</w:t>
            </w:r>
            <w:r/>
          </w:p>
        </w:tc>
      </w:tr>
      <w:tr>
        <w:trPr>
          <w:jc w:val="center"/>
          <w:trHeight w:val="2082"/>
        </w:trPr>
        <w:tc>
          <w:tcPr>
            <w:tcW w:w="8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8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项目组主要人员</w:t>
            </w:r>
            <w:r/>
          </w:p>
        </w:tc>
        <w:tc>
          <w:tcPr>
            <w:tcW w:w="86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p>
        </w:tc>
        <w:tc>
          <w:tcPr>
            <w:tcW w:w="6248" w:type="dxa"/>
            <w:vAlign w:val="center"/>
            <w:textDirection w:val="lrTb"/>
            <w:noWrap w:val="false"/>
          </w:tcPr>
          <w:p>
            <w:pPr>
              <w:ind w:left="0" w:right="0"/>
              <w:keepLines w:val="0"/>
              <w:keepNext w:val="0"/>
              <w:spacing w:before="0" w:beforeAutospacing="0" w:after="0" w:afterAutospacing="0"/>
              <w:rPr>
                <w:rFonts w:hint="default" w:ascii="宋体" w:hAnsi="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①拟投入项目负责人具有大专（或以上）学历的得1分；具有交通运输专业中级（或以上）职称的得2分；本小项最高得3分。</w:t>
            </w:r>
            <w:r/>
          </w:p>
          <w:p>
            <w:pPr>
              <w:ind w:left="0" w:right="0"/>
              <w:keepLines w:val="0"/>
              <w:keepNext w:val="0"/>
              <w:spacing w:before="0" w:beforeAutospacing="0" w:after="0" w:afterAutospacing="0"/>
              <w:rPr>
                <w:rFonts w:hint="eastAsia" w:ascii="宋体" w:hAnsi="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②拟投入调度管理人员中具有大专（或以上）学历的得1分；具有计算机专业中级（或以上）职称的得2分；本小项最高得3分。</w:t>
            </w:r>
            <w:r/>
          </w:p>
          <w:p>
            <w:pPr>
              <w:ind w:left="0" w:right="0"/>
              <w:keepLines w:val="0"/>
              <w:keepNext w:val="0"/>
              <w:spacing w:before="0" w:beforeAutospacing="0" w:after="0" w:afterAutospacing="0"/>
              <w:rPr>
                <w:rFonts w:hint="eastAsia" w:ascii="宋体" w:hAnsi="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注：投标文件中提供上述①至②项人员投标人为其缴纳的近三个月中任意一月的社保证明及相关证书扫描件。</w:t>
            </w:r>
            <w:r/>
          </w:p>
          <w:p>
            <w:pPr>
              <w:ind w:left="0" w:right="0"/>
              <w:keepLines w:val="0"/>
              <w:keepNext w:val="0"/>
              <w:spacing w:before="0" w:beforeAutospacing="0" w:after="0" w:afterAutospacing="0"/>
              <w:rPr>
                <w:rFonts w:hint="eastAsia" w:ascii="宋体" w:hAnsi="宋体" w:cs="宋体"/>
                <w:b w:val="0"/>
                <w:bCs w:val="0"/>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③根据投标人为本项目配备的驾驶员数量进行评定，投标人承诺拟投入驾驶员数量满足招标文件要求(25人)的得基本分2.5分，超出最低要求的每增加1人加0.5分，最多加2.5分。本小项最高得5分。</w:t>
            </w:r>
            <w:r/>
          </w:p>
          <w:p>
            <w:pPr>
              <w:ind w:left="0" w:right="0"/>
              <w:keepLines w:val="0"/>
              <w:keepNext w:val="0"/>
              <w:spacing w:before="0" w:beforeAutospacing="0" w:after="0" w:afterAutospacing="0"/>
              <w:rPr>
                <w:rFonts w:hint="default" w:ascii="宋体" w:hAnsi="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注：投标文件中须提供体现驾驶员人数、持有相应准驾车型驾驶证三年(含)以上且近三年(含)内无较大以上交通责任事故的承诺函（格式自拟），否则不得分。</w:t>
            </w:r>
            <w:r/>
          </w:p>
        </w:tc>
      </w:tr>
      <w:tr>
        <w:trPr>
          <w:jc w:val="center"/>
          <w:trHeight w:val="2850"/>
        </w:trPr>
        <w:tc>
          <w:tcPr>
            <w:tcW w:w="8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18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highlight w:val="none"/>
                <w:lang w:val="en-US"/>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车辆</w:t>
            </w:r>
            <w:r>
              <w:rPr>
                <w:rFonts w:hint="eastAsia" w:ascii="宋体" w:hAnsi="宋体" w:cs="宋体"/>
                <w:color w:val="000000" w:themeColor="text1"/>
                <w:sz w:val="24"/>
                <w:highlight w:val="none"/>
                <w:lang w:val="en-US" w:eastAsia="zh-CN"/>
                <w14:textFill>
                  <w14:solidFill>
                    <w14:schemeClr w14:val="tx1"/>
                  </w14:solidFill>
                </w14:textFill>
              </w:rPr>
              <w:t xml:space="preserve">配备</w:t>
            </w:r>
            <w:r/>
          </w:p>
        </w:tc>
        <w:tc>
          <w:tcPr>
            <w:tcW w:w="863" w:type="dxa"/>
            <w:vAlign w:val="center"/>
            <w:textDirection w:val="lrTb"/>
            <w:noWrap w:val="false"/>
          </w:tcPr>
          <w:p>
            <w:pPr>
              <w:ind w:left="0" w:right="0"/>
              <w:jc w:val="center"/>
              <w:keepLines/>
              <w:keepNext/>
              <w:spacing w:before="0" w:beforeAutospacing="0" w:after="0" w:afterAutospacing="0" w:line="440" w:lineRule="exact"/>
              <w:rPr>
                <w:rFonts w:hint="default" w:ascii="宋体" w:hAnsi="宋体" w:eastAsia="宋体" w:cs="宋体"/>
                <w:b/>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20</w:t>
            </w:r>
            <w:r/>
          </w:p>
        </w:tc>
        <w:tc>
          <w:tcPr>
            <w:tcW w:w="62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本项目配备的符合要求的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遗体接运车辆数量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进行评定；满足招标要求（25辆）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的得基本分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超出最低要求的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增加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一辆加</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分，最</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加</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left="0" w:right="0"/>
              <w:keepLines w:val="0"/>
              <w:keepNext w:val="0"/>
              <w:spacing w:before="0" w:beforeAutospacing="0" w:after="0" w:afterAutospacing="0"/>
              <w:rPr>
                <w:rFonts w:hint="eastAsia" w:ascii="宋体" w:hAnsi="宋体" w:eastAsia="宋体" w:cs="宋体"/>
                <w:b/>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注：①</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 xml:space="preserve">上述车辆为投标人自有的，需提供发票扫描件、车辆照片及行驶证扫描件。</w:t>
            </w:r>
            <w:r/>
          </w:p>
          <w:p>
            <w:pPr>
              <w:ind w:left="0" w:right="0" w:firstLine="482"/>
              <w:keepLines w:val="0"/>
              <w:keepNext w:val="0"/>
              <w:spacing w:before="0" w:beforeAutospacing="0" w:after="0" w:afterAutospacing="0"/>
              <w:rPr>
                <w:rFonts w:hint="eastAsia" w:ascii="宋体" w:hAnsi="宋体" w:eastAsia="宋体" w:cs="宋体"/>
                <w:b/>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bidi="ar"/>
                <w14:textFill>
                  <w14:solidFill>
                    <w14:schemeClr w14:val="tx1"/>
                  </w14:solidFill>
                </w14:textFill>
              </w:rPr>
              <w:t xml:space="preserve">②</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 xml:space="preserve">上述车辆为投标人租赁的，需提供发票扫描件、租赁协议扫描件、车辆照片及行驶证扫描件。</w:t>
            </w:r>
            <w:r/>
          </w:p>
          <w:p>
            <w:pPr>
              <w:ind w:left="0" w:right="0" w:firstLine="482"/>
              <w:keepLines w:val="0"/>
              <w:keepNext w:val="0"/>
              <w:spacing w:before="0" w:beforeAutospacing="0" w:after="0" w:afterAutospacing="0"/>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bidi="ar"/>
                <w14:textFill>
                  <w14:solidFill>
                    <w14:schemeClr w14:val="tx1"/>
                  </w14:solidFill>
                </w14:textFill>
              </w:rPr>
              <w:t xml:space="preserve">③投标人拟中标后配备的，需提供与车辆供货方签订的采购意向合作书。</w:t>
            </w:r>
            <w:r/>
          </w:p>
        </w:tc>
      </w:tr>
    </w:tbl>
    <w:p>
      <w:pPr>
        <w:rPr>
          <w:rFonts w:hint="eastAsia"/>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br w:type="page" w:clear="all"/>
      </w:r>
      <w:r/>
    </w:p>
    <w:p>
      <w:pPr>
        <w:ind w:firstLine="281"/>
        <w:spacing w:line="440" w:lineRule="exact"/>
        <w:rPr>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t xml:space="preserve">三、政府采购政策：</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1、落实政府采购政策需满足的资格要求：</w:t>
      </w:r>
      <w:r/>
    </w:p>
    <w:p>
      <w:pPr>
        <w:ind w:firstLine="482"/>
        <w:spacing w:line="440" w:lineRule="exac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w:t>
      </w:r>
      <w:r>
        <w:rPr>
          <w:b/>
          <w:bCs/>
          <w:color w:val="000000" w:themeColor="text1"/>
          <w:sz w:val="24"/>
          <w:szCs w:val="24"/>
          <w:highlight w:val="none"/>
          <w14:textFill>
            <w14:solidFill>
              <w14:schemeClr w14:val="tx1"/>
            </w14:solidFill>
          </w14:textFill>
        </w:rPr>
        <w:t xml:space="preserve">本项目专门面向中小企业采购，所属行业为</w:t>
      </w:r>
      <w:r>
        <w:rPr>
          <w:rFonts w:hint="eastAsia"/>
          <w:b/>
          <w:bCs/>
          <w:color w:val="000000" w:themeColor="text1"/>
          <w:sz w:val="24"/>
          <w:szCs w:val="24"/>
          <w:highlight w:val="none"/>
          <w:lang w:val="en-US" w:eastAsia="zh-CN"/>
          <w14:textFill>
            <w14:solidFill>
              <w14:schemeClr w14:val="tx1"/>
            </w14:solidFill>
          </w14:textFill>
        </w:rPr>
        <w:t xml:space="preserve">交通运输业</w:t>
      </w:r>
      <w:r>
        <w:rPr>
          <w:b/>
          <w:bCs/>
          <w:color w:val="000000" w:themeColor="text1"/>
          <w:sz w:val="24"/>
          <w:szCs w:val="24"/>
          <w:highlight w:val="none"/>
          <w14:textFill>
            <w14:solidFill>
              <w14:schemeClr w14:val="tx1"/>
            </w14:solidFill>
          </w14:textFill>
        </w:rPr>
        <w:t xml:space="preserve">。</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（2）在投标文件中须提供《中小企业声明函》。（填报严格按工信部联企业〔2011〕300号通知中的《中小企业划型标准规定》进行）</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）本项目专门面向中小企业采购应符合下列情形</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供应商提供的货物由中小企业制造，即货物由中小企业生产且使用该中小企业商号或者注册商标。如既有中小企业制造货物，也有大型企业制造货物的则不予认定。</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政府采购法</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相关规定处理并报请政府监管部门给予行政处罚。</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ind w:firstLine="880"/>
        <w:jc w:val="center"/>
        <w:spacing w:before="240" w:after="240" w:line="440" w:lineRule="exact"/>
        <w:rPr>
          <w:rFonts w:ascii="黑体" w:hAnsi="Courier New" w:eastAsia="黑体" w:cs="Courier New"/>
          <w:bCs/>
          <w:color w:val="000000" w:themeColor="text1"/>
          <w:sz w:val="44"/>
          <w:szCs w:val="21"/>
          <w:highlight w:val="none"/>
          <w14:textFill>
            <w14:solidFill>
              <w14:schemeClr w14:val="tx1"/>
            </w14:solidFill>
          </w14:textFill>
        </w:rPr>
        <w:outlineLvl w:val="0"/>
      </w:pPr>
      <w:r/>
      <w:bookmarkStart w:id="217" w:name="_Toc19303"/>
      <w:r>
        <w:rPr>
          <w:rFonts w:hint="eastAsia" w:ascii="黑体" w:hAnsi="Courier New" w:eastAsia="黑体" w:cs="Courier New"/>
          <w:bCs/>
          <w:color w:val="000000" w:themeColor="text1"/>
          <w:sz w:val="44"/>
          <w:szCs w:val="21"/>
          <w:highlight w:val="none"/>
          <w14:textFill>
            <w14:solidFill>
              <w14:schemeClr w14:val="tx1"/>
            </w14:solidFill>
          </w14:textFill>
        </w:rPr>
        <w:t xml:space="preserve">第六章  投标</w:t>
      </w:r>
      <w:bookmarkEnd w:id="194"/>
      <w:r/>
      <w:bookmarkEnd w:id="195"/>
      <w:r/>
      <w:bookmarkEnd w:id="196"/>
      <w:r>
        <w:rPr>
          <w:rFonts w:hint="eastAsia" w:ascii="黑体" w:hAnsi="Courier New" w:eastAsia="黑体" w:cs="Courier New"/>
          <w:bCs/>
          <w:color w:val="000000" w:themeColor="text1"/>
          <w:sz w:val="44"/>
          <w:szCs w:val="21"/>
          <w:highlight w:val="none"/>
          <w14:textFill>
            <w14:solidFill>
              <w14:schemeClr w14:val="tx1"/>
            </w14:solidFill>
          </w14:textFill>
        </w:rPr>
        <w:t xml:space="preserve">文件格式</w:t>
      </w:r>
      <w:bookmarkEnd w:id="217"/>
      <w:r>
        <w:rPr>
          <w:rFonts w:hint="eastAsia" w:ascii="黑体" w:hAnsi="Courier New" w:eastAsia="黑体" w:cs="Courier New"/>
          <w:bCs/>
          <w:color w:val="000000" w:themeColor="text1"/>
          <w:sz w:val="44"/>
          <w:szCs w:val="21"/>
          <w:highlight w:val="none"/>
          <w14:textFill>
            <w14:solidFill>
              <w14:schemeClr w14:val="tx1"/>
            </w14:solidFill>
          </w14:textFill>
        </w:rPr>
        <w:t xml:space="preserve"> </w:t>
      </w:r>
      <w:r/>
    </w:p>
    <w:p>
      <w:pPr>
        <w:ind w:firstLine="1446"/>
        <w:jc w:val="center"/>
        <w:rPr>
          <w:rFonts w:ascii="宋体" w:hAnsi="宋体"/>
          <w:b/>
          <w:color w:val="000000" w:themeColor="text1"/>
          <w:sz w:val="72"/>
          <w:szCs w:val="21"/>
          <w:highlight w:val="none"/>
          <w14:textFill>
            <w14:solidFill>
              <w14:schemeClr w14:val="tx1"/>
            </w14:solidFill>
          </w14:textFill>
        </w:rPr>
      </w:pPr>
      <w:r/>
      <w:bookmarkStart w:id="218" w:name="_Hlt26955039"/>
      <w:r/>
      <w:bookmarkEnd w:id="218"/>
      <w:r/>
      <w:bookmarkStart w:id="219" w:name="_Hlt26671244"/>
      <w:r/>
      <w:bookmarkEnd w:id="219"/>
      <w:r/>
      <w:bookmarkStart w:id="220" w:name="_Toc49090576"/>
      <w:r/>
      <w:bookmarkStart w:id="221" w:name="_Toc26554094"/>
      <w:r/>
      <w:bookmarkStart w:id="222" w:name="_Toc120614282"/>
      <w:r/>
      <w:r/>
    </w:p>
    <w:p>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ind w:firstLine="1446"/>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1446"/>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803"/>
        <w:spacing w:line="480" w:lineRule="exact"/>
        <w:rPr>
          <w:rFonts w:hint="eastAsia" w:ascii="宋体" w:hAnsi="宋体" w:eastAsia="宋体"/>
          <w:b/>
          <w:color w:val="000000" w:themeColor="text1"/>
          <w:sz w:val="40"/>
          <w:highlight w:val="non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项 目 名 称：</w:t>
      </w:r>
      <w:r>
        <w:rPr>
          <w:rFonts w:hint="eastAsia" w:ascii="宋体" w:hAnsi="宋体"/>
          <w:b/>
          <w:color w:val="000000" w:themeColor="text1"/>
          <w:sz w:val="36"/>
          <w:szCs w:val="24"/>
          <w:highlight w:val="none"/>
          <w:lang w:eastAsia="zh-CN"/>
          <w14:textFill>
            <w14:solidFill>
              <w14:schemeClr w14:val="tx1"/>
            </w14:solidFill>
          </w14:textFill>
        </w:rPr>
        <w:t xml:space="preserve">常熟市遗体接运服务（2026年-2028年）</w:t>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hint="eastAsia" w:ascii="宋体" w:hAnsi="宋体" w:eastAsia="宋体"/>
          <w:b/>
          <w:color w:val="000000" w:themeColor="text1"/>
          <w:sz w:val="40"/>
          <w:highlight w:val="none"/>
          <w:u w:val="singl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项 目 编 号：</w:t>
      </w:r>
      <w:r>
        <w:rPr>
          <w:rFonts w:hint="eastAsia" w:ascii="宋体" w:hAnsi="宋体"/>
          <w:b/>
          <w:color w:val="000000" w:themeColor="text1"/>
          <w:sz w:val="36"/>
          <w:szCs w:val="24"/>
          <w:highlight w:val="none"/>
          <w:lang w:eastAsia="zh-CN"/>
          <w14:textFill>
            <w14:solidFill>
              <w14:schemeClr w14:val="tx1"/>
            </w14:solidFill>
          </w14:textFill>
        </w:rPr>
        <w:t xml:space="preserve">JSZC-320581-SZXY-G2026-0013</w:t>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jc w:val="center"/>
        <w:spacing w:line="480" w:lineRule="exact"/>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投标人名称 ：</w:t>
      </w:r>
      <w:r>
        <w:rPr>
          <w:rFonts w:hint="eastAsia" w:ascii="宋体" w:hAnsi="宋体"/>
          <w:b/>
          <w:color w:val="000000" w:themeColor="text1"/>
          <w:sz w:val="40"/>
          <w:highlight w:val="none"/>
          <w:u w:val="single"/>
          <w14:textFill>
            <w14:solidFill>
              <w14:schemeClr w14:val="tx1"/>
            </w14:solidFill>
          </w14:textFill>
        </w:rPr>
        <w:t xml:space="preserve">（加盖CA电子公章）</w:t>
      </w:r>
      <w:r/>
    </w:p>
    <w:p>
      <w:pPr>
        <w:ind w:firstLine="803"/>
        <w:jc w:val="center"/>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2008"/>
        <w:jc w:val="both"/>
        <w:spacing w:line="480" w:lineRule="exact"/>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日      期 ：</w:t>
      </w:r>
      <w:r>
        <w:rPr>
          <w:rFonts w:hint="eastAsia" w:ascii="宋体" w:hAnsi="宋体"/>
          <w:b/>
          <w:color w:val="000000" w:themeColor="text1"/>
          <w:sz w:val="36"/>
          <w:szCs w:val="24"/>
          <w:highlight w:val="none"/>
          <w:lang w:val="en-US" w:eastAsia="zh-CN"/>
          <w14:textFill>
            <w14:solidFill>
              <w14:schemeClr w14:val="tx1"/>
            </w14:solidFill>
          </w14:textFill>
        </w:rPr>
        <w:t xml:space="preserve">2026年</w:t>
      </w:r>
      <w:r>
        <w:rPr>
          <w:rFonts w:hint="eastAsia"/>
          <w:b/>
          <w:color w:val="000000" w:themeColor="text1"/>
          <w:sz w:val="40"/>
          <w:szCs w:val="40"/>
          <w:highlight w:val="none"/>
          <w14:textFill>
            <w14:solidFill>
              <w14:schemeClr w14:val="tx1"/>
            </w14:solidFill>
          </w14:textFill>
        </w:rPr>
        <w:t xml:space="preserve">   </w:t>
      </w:r>
      <w:r>
        <w:rPr>
          <w:b/>
          <w:color w:val="000000" w:themeColor="text1"/>
          <w:sz w:val="40"/>
          <w:szCs w:val="40"/>
          <w:highlight w:val="none"/>
          <w14:textFill>
            <w14:solidFill>
              <w14:schemeClr w14:val="tx1"/>
            </w14:solidFill>
          </w14:textFill>
        </w:rPr>
        <w:t xml:space="preserve">月     日</w:t>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43"/>
        <w:jc w:val="left"/>
        <w:widowControl/>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一、基本目录</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1、开标一览表（格式见附件）</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二、资格审查内容</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满足《中华人民共和国政府采购法》第二十二条规定，并提供下列材料：</w:t>
      </w:r>
      <w:r/>
    </w:p>
    <w:p>
      <w:pPr>
        <w:ind w:firstLine="7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法人或者其他组织的营业执照等证明文件；</w:t>
      </w:r>
      <w:r/>
    </w:p>
    <w:p>
      <w:pPr>
        <w:ind w:firstLine="72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w:t>
      </w:r>
      <w:r>
        <w:rPr>
          <w:rFonts w:hint="eastAsia" w:ascii="宋体" w:hAnsi="宋体" w:cs="宋体"/>
          <w:color w:val="000000" w:themeColor="text1"/>
          <w:sz w:val="24"/>
          <w:highlight w:val="none"/>
          <w:lang w:val="en-US" w:eastAsia="zh-CN"/>
          <w14:textFill>
            <w14:solidFill>
              <w14:schemeClr w14:val="tx1"/>
            </w14:solidFill>
          </w14:textFill>
        </w:rPr>
        <w:t xml:space="preserve">最近</w:t>
      </w:r>
      <w:r>
        <w:rPr>
          <w:rFonts w:hint="eastAsia" w:ascii="宋体" w:hAnsi="宋体" w:cs="宋体"/>
          <w:color w:val="000000" w:themeColor="text1"/>
          <w:sz w:val="24"/>
          <w:highlight w:val="none"/>
          <w14:textFill>
            <w14:solidFill>
              <w14:schemeClr w14:val="tx1"/>
            </w14:solidFill>
          </w14:textFill>
        </w:rPr>
        <w:t xml:space="preserve">一期的财务报告（财务报表）或金融机构（中介机构）出具的资信证明</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7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具备履行合同所必需的设备和专业技术能力的书面声明（格式见附件）</w:t>
      </w:r>
      <w:r/>
    </w:p>
    <w:p>
      <w:pPr>
        <w:ind w:firstLine="7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highlight w:val="none"/>
          <w14:textFill>
            <w14:solidFill>
              <w14:schemeClr w14:val="tx1"/>
            </w14:solidFill>
          </w14:textFill>
        </w:rPr>
        <w:t xml:space="preserve">，如投标人缴纳税收的凭据、缴纳社会保险的专用收据或社会保险缴纳清单</w:t>
      </w:r>
      <w:r>
        <w:rPr>
          <w:rFonts w:hint="eastAsia" w:ascii="宋体" w:hAnsi="宋体" w:cs="宋体"/>
          <w:color w:val="000000" w:themeColor="text1"/>
          <w:sz w:val="24"/>
          <w:highlight w:val="none"/>
          <w14:textFill>
            <w14:solidFill>
              <w14:schemeClr w14:val="tx1"/>
            </w14:solidFill>
          </w14:textFill>
        </w:rPr>
        <w:t xml:space="preserve">。投标人依法享受免缴税收、社会保障资金的提供证明材料。）</w:t>
      </w:r>
      <w:r/>
    </w:p>
    <w:p>
      <w:pPr>
        <w:ind w:firstLine="72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 参加政府采购活动前 3 年内在经营活动中没有重大违法记录的书面声明（格式见附件）</w:t>
      </w:r>
      <w:r/>
    </w:p>
    <w:p>
      <w:pPr>
        <w:ind w:firstLine="480"/>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2、中小企业声明函（格式见附件）或残疾人福利性单位声明函（格式见附件）或省级以上监狱管理局、戒毒管理局（含新疆生产建设兵团）出具的属于监狱企业的证明文件。</w:t>
      </w:r>
      <w:r/>
    </w:p>
    <w:p>
      <w:pPr>
        <w:ind w:firstLine="480"/>
        <w:spacing w:line="440" w:lineRule="exact"/>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3、投标人具有有效期内的《道路运输经营许可证》（经营范围含“客运”类）。</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三、符合性审查内容</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1、投标函（格式见附件）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2、法人授权书（</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格式见附件，</w:t>
      </w:r>
      <w:r>
        <w:rPr>
          <w:rFonts w:hint="default" w:ascii="宋体" w:hAnsi="宋体" w:eastAsia="宋体" w:cs="Times New Roman"/>
          <w:b/>
          <w:color w:val="000000" w:themeColor="text1"/>
          <w:sz w:val="24"/>
          <w:highlight w:val="none"/>
          <w14:textFill>
            <w14:solidFill>
              <w14:schemeClr w14:val="tx1"/>
            </w14:solidFill>
          </w14:textFill>
        </w:rPr>
        <w:t xml:space="preserve">①</w:t>
      </w:r>
      <w:r>
        <w:rPr>
          <w:rFonts w:hint="eastAsia" w:ascii="宋体" w:hAnsi="宋体" w:eastAsia="宋体" w:cs="Times New Roman"/>
          <w:b/>
          <w:color w:val="000000" w:themeColor="text1"/>
          <w:sz w:val="24"/>
          <w:highlight w:val="none"/>
          <w14:textFill>
            <w14:solidFill>
              <w14:schemeClr w14:val="tx1"/>
            </w14:solidFill>
          </w14:textFill>
        </w:rPr>
        <w:t xml:space="preserve">如授权代表参加本项目投报，“法人授权书”必须提供，且须提供</w:t>
      </w:r>
      <w:r>
        <w:rPr>
          <w:rFonts w:hint="default" w:ascii="宋体" w:hAnsi="宋体" w:eastAsia="宋体" w:cs="Times New Roman"/>
          <w:b/>
          <w:color w:val="000000" w:themeColor="text1"/>
          <w:sz w:val="24"/>
          <w:highlight w:val="none"/>
          <w14:textFill>
            <w14:solidFill>
              <w14:schemeClr w14:val="tx1"/>
            </w14:solidFill>
          </w14:textFill>
        </w:rPr>
        <w:t xml:space="preserve">被授权人</w:t>
      </w:r>
      <w:r>
        <w:rPr>
          <w:rFonts w:hint="eastAsia" w:ascii="宋体" w:hAnsi="宋体" w:eastAsia="宋体" w:cs="Times New Roman"/>
          <w:b/>
          <w:color w:val="000000" w:themeColor="text1"/>
          <w:sz w:val="24"/>
          <w:highlight w:val="none"/>
          <w14:textFill>
            <w14:solidFill>
              <w14:schemeClr w14:val="tx1"/>
            </w14:solidFill>
          </w14:textFill>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3、实质性要求响应及偏离表（格式见附件）</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四、综合评审文件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1、项目服务要求响应及偏离表（格式见附件）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2、项目方案（格式见附件）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3、人员配置情况（格式见附件）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4、车辆配备一览表（格式见附件）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、商务要求响应及偏离表（格式详见附件）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、其他</w:t>
      </w:r>
      <w:r/>
    </w:p>
    <w:p>
      <w:pPr>
        <w:ind w:firstLine="482"/>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23" w:name="_Toc25600"/>
      <w:r>
        <w:rPr>
          <w:rFonts w:hint="eastAsia" w:ascii="Times New Roman" w:hAnsi="Times New Roman"/>
          <w:b/>
          <w:bCs/>
          <w:color w:val="000000" w:themeColor="text1"/>
          <w:sz w:val="28"/>
          <w:szCs w:val="28"/>
          <w:highlight w:val="none"/>
          <w14:textFill>
            <w14:solidFill>
              <w14:schemeClr w14:val="tx1"/>
            </w14:solidFill>
          </w14:textFill>
        </w:rPr>
        <w:t xml:space="preserve">附件1 开标一览表</w:t>
      </w:r>
      <w:bookmarkEnd w:id="223"/>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482"/>
        <w:spacing w:line="440" w:lineRule="exact"/>
        <w:rPr>
          <w:rFonts w:hint="eastAsia"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常熟市遗体接运服务（2026年-2028年）</w:t>
      </w:r>
      <w:r/>
    </w:p>
    <w:p>
      <w:pPr>
        <w:ind w:firstLine="482"/>
        <w:spacing w:line="44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bookmarkEnd w:id="190"/>
      <w:r/>
      <w:bookmarkEnd w:id="191"/>
      <w:r/>
      <w:bookmarkEnd w:id="220"/>
      <w:r/>
      <w:bookmarkEnd w:id="221"/>
      <w:r/>
      <w:bookmarkEnd w:id="222"/>
      <w:r>
        <w:rPr>
          <w:rFonts w:hint="eastAsia" w:ascii="宋体" w:hAnsi="宋体"/>
          <w:color w:val="000000" w:themeColor="text1"/>
          <w:sz w:val="24"/>
          <w:szCs w:val="24"/>
          <w:highlight w:val="none"/>
          <w:lang w:eastAsia="zh-CN"/>
          <w14:textFill>
            <w14:solidFill>
              <w14:schemeClr w14:val="tx1"/>
            </w14:solidFill>
          </w14:textFill>
        </w:rPr>
        <w:t xml:space="preserve">JSZC-320581-SZXY-G2026-0013</w:t>
      </w:r>
      <w:r/>
    </w:p>
    <w:tbl>
      <w:tblPr>
        <w:tblStyle w:val="813"/>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0"/>
      </w:tblGrid>
      <w:tr>
        <w:trPr>
          <w:cantSplit/>
          <w:jc w:val="center"/>
          <w:trHeight w:val="901"/>
        </w:trPr>
        <w:tc>
          <w:tcPr>
            <w:tcW w:w="9340" w:type="dxa"/>
            <w:vAlign w:val="center"/>
            <w:textDirection w:val="lrTb"/>
            <w:noWrap w:val="false"/>
          </w:tcPr>
          <w:p>
            <w:pPr>
              <w:ind w:left="0" w:right="0"/>
              <w:jc w:val="center"/>
              <w:keepLines w:val="0"/>
              <w:keepNext w:val="0"/>
              <w:spacing w:before="0" w:beforeAutospacing="0" w:after="0" w:afterAutospacing="0" w:line="440" w:lineRule="exact"/>
              <w:rPr>
                <w:rFonts w:hint="default" w:eastAsia="宋体"/>
                <w:color w:val="000000" w:themeColor="text1"/>
                <w:sz w:val="24"/>
                <w:szCs w:val="24"/>
                <w:highlight w:val="none"/>
                <w:lang w:val="en-US" w:eastAsia="zh-CN"/>
                <w14:textFill>
                  <w14:solidFill>
                    <w14:schemeClr w14:val="tx1"/>
                  </w14:solidFill>
                </w14:textFill>
              </w:rPr>
              <w:suppressLineNumbers w:val="0"/>
            </w:pPr>
            <w:r>
              <w:rPr>
                <w:rFonts w:hint="eastAsia"/>
                <w:color w:val="000000" w:themeColor="text1"/>
                <w:sz w:val="24"/>
                <w:szCs w:val="24"/>
                <w:highlight w:val="none"/>
                <w:lang w:val="en-US" w:eastAsia="zh-CN"/>
                <w14:textFill>
                  <w14:solidFill>
                    <w14:schemeClr w14:val="tx1"/>
                  </w14:solidFill>
                </w14:textFill>
              </w:rPr>
              <w:t xml:space="preserve">投标单价（元）</w:t>
            </w:r>
            <w:r/>
          </w:p>
        </w:tc>
      </w:tr>
      <w:tr>
        <w:trPr>
          <w:cantSplit/>
          <w:jc w:val="center"/>
          <w:trHeight w:val="800"/>
        </w:trPr>
        <w:tc>
          <w:tcPr>
            <w:tcW w:w="9340" w:type="dxa"/>
            <w:vAlign w:val="center"/>
            <w:textDirection w:val="lrTb"/>
            <w:noWrap w:val="false"/>
          </w:tcPr>
          <w:p>
            <w:pPr>
              <w:ind w:left="0" w:right="0"/>
              <w:jc w:val="center"/>
              <w:keepLines w:val="0"/>
              <w:keepNext w:val="0"/>
              <w:spacing w:before="0" w:beforeAutospacing="0" w:after="0" w:afterAutospacing="0" w:line="440" w:lineRule="exact"/>
              <w:rPr>
                <w:rFonts w:hint="default" w:eastAsia="宋体"/>
                <w:color w:val="000000" w:themeColor="text1"/>
                <w:sz w:val="24"/>
                <w:highlight w:val="none"/>
                <w:lang w:val="en-US" w:eastAsia="zh-CN"/>
                <w14:textFill>
                  <w14:solidFill>
                    <w14:schemeClr w14:val="tx1"/>
                  </w14:solidFill>
                </w14:textFill>
              </w:rPr>
              <w:suppressLineNumbers w:val="0"/>
            </w:pPr>
            <w:r>
              <w:rPr>
                <w:rFonts w:hint="eastAsia"/>
                <w:color w:val="000000" w:themeColor="text1"/>
                <w:sz w:val="24"/>
                <w:highlight w:val="none"/>
                <w:lang w:val="en-US" w:eastAsia="zh-CN"/>
                <w14:textFill>
                  <w14:solidFill>
                    <w14:schemeClr w14:val="tx1"/>
                  </w14:solidFill>
                </w14:textFill>
              </w:rPr>
              <w:t xml:space="preserve">530.00</w:t>
            </w:r>
            <w:r/>
          </w:p>
        </w:tc>
      </w:tr>
    </w:tbl>
    <w:p>
      <w:pPr>
        <w:ind w:firstLine="482"/>
        <w:spacing w:line="44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注：</w:t>
      </w:r>
      <w:r>
        <w:rPr>
          <w:rFonts w:hint="eastAsia" w:ascii="宋体" w:hAnsi="宋体"/>
          <w:b/>
          <w:bCs/>
          <w:color w:val="000000" w:themeColor="text1"/>
          <w:sz w:val="24"/>
          <w:szCs w:val="24"/>
          <w:highlight w:val="none"/>
          <w:lang w:val="en-US" w:eastAsia="zh-CN"/>
          <w14:textFill>
            <w14:solidFill>
              <w14:schemeClr w14:val="tx1"/>
            </w14:solidFill>
          </w14:textFill>
        </w:rPr>
        <w:t xml:space="preserve">1、投标人只需对价格（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过渡期间（上级文件出台前）</w:t>
      </w:r>
      <w:r>
        <w:rPr>
          <w:rFonts w:hint="eastAsia" w:ascii="宋体" w:hAnsi="宋体"/>
          <w:b/>
          <w:bCs/>
          <w:color w:val="000000" w:themeColor="text1"/>
          <w:sz w:val="24"/>
          <w:szCs w:val="24"/>
          <w:highlight w:val="none"/>
          <w:lang w:val="en-US" w:eastAsia="zh-CN"/>
          <w14:textFill>
            <w14:solidFill>
              <w14:schemeClr w14:val="tx1"/>
            </w14:solidFill>
          </w14:textFill>
        </w:rPr>
        <w:t xml:space="preserve">统一按每次530.00元执行，服务期内如遇上级新政策出台，按最新政策执行）进行响应，在“投标单价”栏中填写“530.00”视同为响应。</w:t>
      </w:r>
      <w:r/>
    </w:p>
    <w:p>
      <w:pPr>
        <w:ind w:firstLine="723"/>
        <w:spacing w:line="440" w:lineRule="exact"/>
        <w:rPr>
          <w:rFonts w:hint="default"/>
          <w:color w:val="000000" w:themeColor="text1"/>
          <w:sz w:val="28"/>
          <w:szCs w:val="28"/>
          <w:highlight w:val="none"/>
          <w:lang w:val="en-US" w:eastAsia="zh-CN"/>
          <w14:textFill>
            <w14:solidFill>
              <w14:schemeClr w14:val="tx1"/>
            </w14:solidFill>
          </w14:textFill>
        </w:rPr>
      </w:pPr>
      <w:r>
        <w:rPr>
          <w:rFonts w:hint="default"/>
          <w:color w:val="000000" w:themeColor="text1"/>
          <w:sz w:val="28"/>
          <w:szCs w:val="28"/>
          <w:highlight w:val="none"/>
          <w:lang w:val="en-US" w:eastAsia="zh-CN"/>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804"/>
        <w:jc w:val="center"/>
        <w:spacing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224" w:name="_Toc9305"/>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 xml:space="preserve">2</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 项目服务要求响应及偏离表</w:t>
      </w:r>
      <w:bookmarkEnd w:id="224"/>
      <w:r/>
      <w:r/>
    </w:p>
    <w:tbl>
      <w:tblPr>
        <w:tblStyle w:val="813"/>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897"/>
        <w:gridCol w:w="2333"/>
        <w:gridCol w:w="1889"/>
        <w:gridCol w:w="2110"/>
      </w:tblGrid>
      <w:tr>
        <w:trPr>
          <w:trHeight w:val="794"/>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序号</w:t>
            </w:r>
            <w:r/>
          </w:p>
        </w:tc>
        <w:tc>
          <w:tcPr>
            <w:tcW w:w="2897"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招标文件</w:t>
            </w:r>
            <w:r>
              <w:rPr>
                <w:rFonts w:hint="default"/>
                <w:color w:val="000000" w:themeColor="text1"/>
                <w:szCs w:val="21"/>
                <w:highlight w:val="none"/>
                <w14:textFill>
                  <w14:solidFill>
                    <w14:schemeClr w14:val="tx1"/>
                  </w14:solidFill>
                </w14:textFill>
              </w:rPr>
              <w:t xml:space="preserve">要求</w:t>
            </w:r>
            <w:r/>
          </w:p>
        </w:tc>
        <w:tc>
          <w:tcPr>
            <w:tcW w:w="2333"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szCs w:val="21"/>
                <w:highlight w:val="none"/>
                <w14:textFill>
                  <w14:solidFill>
                    <w14:schemeClr w14:val="tx1"/>
                  </w14:solidFill>
                </w14:textFill>
              </w:rPr>
              <w:suppressLineNumbers w:val="0"/>
            </w:pPr>
            <w:r>
              <w:rPr>
                <w:rFonts w:hint="eastAsia"/>
                <w:color w:val="000000" w:themeColor="text1"/>
                <w:szCs w:val="21"/>
                <w:highlight w:val="none"/>
                <w14:textFill>
                  <w14:solidFill>
                    <w14:schemeClr w14:val="tx1"/>
                  </w14:solidFill>
                </w14:textFill>
              </w:rPr>
              <w:t xml:space="preserve">投标人</w:t>
            </w:r>
            <w:r>
              <w:rPr>
                <w:rFonts w:hint="default"/>
                <w:color w:val="000000" w:themeColor="text1"/>
                <w:szCs w:val="21"/>
                <w:highlight w:val="none"/>
                <w14:textFill>
                  <w14:solidFill>
                    <w14:schemeClr w14:val="tx1"/>
                  </w14:solidFill>
                </w14:textFill>
              </w:rPr>
              <w:t xml:space="preserve">提供服务承诺</w:t>
            </w:r>
            <w:r/>
          </w:p>
        </w:tc>
        <w:tc>
          <w:tcPr>
            <w:tcW w:w="1889"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有无偏离</w:t>
            </w:r>
            <w:r/>
          </w:p>
        </w:tc>
        <w:tc>
          <w:tcPr>
            <w:tcW w:w="2110"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偏离内容及原因</w:t>
            </w:r>
            <w:r/>
          </w:p>
        </w:tc>
      </w:tr>
      <w:tr>
        <w:trPr>
          <w:trHeight w:val="623"/>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1</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2</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3</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4</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5</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6</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7</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r>
        <w:trPr>
          <w:trHeight w:val="646"/>
        </w:trPr>
        <w:tc>
          <w:tcPr>
            <w:tcW w:w="768"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p>
        </w:tc>
        <w:tc>
          <w:tcPr>
            <w:tcW w:w="2897"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333"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1889"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c>
          <w:tcPr>
            <w:tcW w:w="211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r>
            <w:r/>
          </w:p>
        </w:tc>
      </w:tr>
    </w:tbl>
    <w:p>
      <w:pPr>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注：（1）</w:t>
      </w:r>
      <w:r>
        <w:rPr>
          <w:rFonts w:hint="eastAsia"/>
          <w:color w:val="000000" w:themeColor="text1"/>
          <w:sz w:val="24"/>
          <w:szCs w:val="24"/>
          <w:highlight w:val="none"/>
          <w14:textFill>
            <w14:solidFill>
              <w14:schemeClr w14:val="tx1"/>
            </w14:solidFill>
          </w14:textFill>
        </w:rPr>
        <w:t xml:space="preserve">投标人</w:t>
      </w:r>
      <w:r>
        <w:rPr>
          <w:color w:val="000000" w:themeColor="text1"/>
          <w:sz w:val="24"/>
          <w:szCs w:val="24"/>
          <w:highlight w:val="none"/>
          <w14:textFill>
            <w14:solidFill>
              <w14:schemeClr w14:val="tx1"/>
            </w14:solidFill>
          </w14:textFill>
        </w:rPr>
        <w:t xml:space="preserve">应根据“项目需求”</w:t>
      </w:r>
      <w:r>
        <w:rPr>
          <w:rFonts w:hint="eastAsia"/>
          <w:color w:val="000000" w:themeColor="text1"/>
          <w:sz w:val="24"/>
          <w:szCs w:val="24"/>
          <w:highlight w:val="none"/>
          <w14:textFill>
            <w14:solidFill>
              <w14:schemeClr w14:val="tx1"/>
            </w14:solidFill>
          </w14:textFill>
        </w:rPr>
        <w:t xml:space="preserve">中“</w:t>
      </w:r>
      <w:r>
        <w:rPr>
          <w:rFonts w:hint="eastAsia"/>
          <w:color w:val="000000" w:themeColor="text1"/>
          <w:sz w:val="24"/>
          <w:szCs w:val="24"/>
          <w:highlight w:val="none"/>
          <w:lang w:val="en-US" w:eastAsia="zh-CN"/>
          <w14:textFill>
            <w14:solidFill>
              <w14:schemeClr w14:val="tx1"/>
            </w14:solidFill>
          </w14:textFill>
        </w:rPr>
        <w:t xml:space="preserve">二、项目</w:t>
      </w:r>
      <w:r>
        <w:rPr>
          <w:rFonts w:hint="eastAsia"/>
          <w:color w:val="000000" w:themeColor="text1"/>
          <w:sz w:val="24"/>
          <w:szCs w:val="24"/>
          <w:highlight w:val="none"/>
          <w14:textFill>
            <w14:solidFill>
              <w14:schemeClr w14:val="tx1"/>
            </w14:solidFill>
          </w14:textFill>
        </w:rPr>
        <w:t xml:space="preserve">服务要求”，</w:t>
      </w:r>
      <w:r>
        <w:rPr>
          <w:color w:val="000000" w:themeColor="text1"/>
          <w:sz w:val="24"/>
          <w:szCs w:val="24"/>
          <w:highlight w:val="none"/>
          <w14:textFill>
            <w14:solidFill>
              <w14:schemeClr w14:val="tx1"/>
            </w14:solidFill>
          </w14:textFill>
        </w:rPr>
        <w:t xml:space="preserve">对照所能提供的服务承诺进行评议。</w:t>
      </w:r>
      <w:r/>
    </w:p>
    <w:p>
      <w:pPr>
        <w:ind w:firstLine="480"/>
        <w:spacing w:line="48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若无偏离，在“有无偏离”栏中填写“无”；若有偏离在“有无偏离”栏中填写“有”并在“偏离内容及原因”栏中作出说明；因未标明或表述含糊导致的评审风险将由投标人承担。</w:t>
      </w:r>
      <w:r/>
    </w:p>
    <w:p>
      <w:pPr>
        <w:ind w:firstLine="480"/>
        <w:spacing w:line="48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（3）表格不够可另接。</w:t>
      </w:r>
      <w:r/>
    </w:p>
    <w:p>
      <w:pPr>
        <w:ind w:firstLine="480"/>
        <w:spacing w:after="120" w:line="4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25" w:name="_Toc24403"/>
      <w:r/>
      <w:bookmarkStart w:id="226" w:name="_Toc354834784"/>
      <w:r/>
      <w:bookmarkStart w:id="227" w:name="_Toc146524609"/>
      <w:r/>
      <w:bookmarkStart w:id="228" w:name="_Toc43821328"/>
      <w:r/>
      <w:bookmarkStart w:id="229" w:name="_Toc522610225"/>
      <w:r/>
      <w:bookmarkStart w:id="230" w:name="_Toc387400419"/>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3</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项目方案</w:t>
      </w:r>
      <w:bookmarkEnd w:id="225"/>
      <w:r/>
      <w:r/>
    </w:p>
    <w:p>
      <w:pPr>
        <w:ind w:right="-27"/>
        <w:jc w:val="center"/>
        <w:spacing w:line="460" w:lineRule="exact"/>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根据“第五章 评标</w:t>
      </w:r>
      <w:r>
        <w:rPr>
          <w:rFonts w:ascii="宋体" w:hAnsi="宋体" w:eastAsia="宋体" w:cs="Times New Roman"/>
          <w:color w:val="000000" w:themeColor="text1"/>
          <w:sz w:val="24"/>
          <w:szCs w:val="24"/>
          <w:highlight w:val="none"/>
          <w14:textFill>
            <w14:solidFill>
              <w14:schemeClr w14:val="tx1"/>
            </w14:solidFill>
          </w14:textFill>
        </w:rPr>
        <w:t xml:space="preserve">方法</w:t>
      </w:r>
      <w:r>
        <w:rPr>
          <w:rFonts w:hint="eastAsia" w:ascii="宋体" w:hAnsi="宋体" w:eastAsia="宋体" w:cs="Times New Roman"/>
          <w:color w:val="000000" w:themeColor="text1"/>
          <w:sz w:val="24"/>
          <w:szCs w:val="24"/>
          <w:highlight w:val="none"/>
          <w14:textFill>
            <w14:solidFill>
              <w14:schemeClr w14:val="tx1"/>
            </w14:solidFill>
          </w14:textFill>
        </w:rPr>
        <w:t xml:space="preserve">与</w:t>
      </w:r>
      <w:r>
        <w:rPr>
          <w:rFonts w:ascii="宋体" w:hAnsi="宋体" w:eastAsia="宋体" w:cs="Times New Roman"/>
          <w:color w:val="000000" w:themeColor="text1"/>
          <w:sz w:val="24"/>
          <w:szCs w:val="24"/>
          <w:highlight w:val="none"/>
          <w14:textFill>
            <w14:solidFill>
              <w14:schemeClr w14:val="tx1"/>
            </w14:solidFill>
          </w14:textFill>
        </w:rPr>
        <w:t xml:space="preserve">评标标准</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ascii="宋体" w:hAnsi="宋体" w:eastAsia="宋体" w:cs="Times New Roman"/>
          <w:color w:val="000000" w:themeColor="text1"/>
          <w:sz w:val="24"/>
          <w:szCs w:val="24"/>
          <w:highlight w:val="none"/>
          <w14:textFill>
            <w14:solidFill>
              <w14:schemeClr w14:val="tx1"/>
            </w14:solidFill>
          </w14:textFill>
        </w:rPr>
        <w:t xml:space="preserve">要求</w:t>
      </w:r>
      <w:r>
        <w:rPr>
          <w:rFonts w:hint="eastAsia" w:ascii="宋体" w:hAnsi="宋体" w:eastAsia="宋体" w:cs="Times New Roman"/>
          <w:color w:val="000000" w:themeColor="text1"/>
          <w:sz w:val="24"/>
          <w:szCs w:val="24"/>
          <w:highlight w:val="none"/>
          <w14:textFill>
            <w14:solidFill>
              <w14:schemeClr w14:val="tx1"/>
            </w14:solidFill>
          </w14:textFill>
        </w:rPr>
        <w:t xml:space="preserve">编制并</w:t>
      </w:r>
      <w:r>
        <w:rPr>
          <w:rFonts w:ascii="宋体" w:hAnsi="宋体" w:eastAsia="宋体" w:cs="Times New Roman"/>
          <w:color w:val="000000" w:themeColor="text1"/>
          <w:sz w:val="24"/>
          <w:szCs w:val="24"/>
          <w:highlight w:val="none"/>
          <w14:textFill>
            <w14:solidFill>
              <w14:schemeClr w14:val="tx1"/>
            </w14:solidFill>
          </w14:textFill>
        </w:rPr>
        <w:t xml:space="preserve">上传苏采云系统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4"/>
        <w:jc w:val="center"/>
        <w:spacing w:line="440" w:lineRule="exact"/>
        <w:rPr>
          <w:rFonts w:ascii="Times New Roman" w:hAnsi="Times New Roman" w:eastAsia="宋体" w:cs="Times New Roman"/>
          <w:b/>
          <w:bCs/>
          <w:color w:val="000000" w:themeColor="text1"/>
          <w:sz w:val="28"/>
          <w:szCs w:val="28"/>
          <w:highlight w:val="none"/>
          <w14:textFill>
            <w14:solidFill>
              <w14:schemeClr w14:val="tx1"/>
            </w14:solidFill>
          </w14:textFill>
        </w:rPr>
      </w:pPr>
      <w:r/>
      <w:bookmarkStart w:id="231" w:name="_Toc11013"/>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附件</w:t>
      </w:r>
      <w:bookmarkEnd w:id="226"/>
      <w:r/>
      <w:bookmarkEnd w:id="227"/>
      <w:r/>
      <w:bookmarkEnd w:id="228"/>
      <w:r/>
      <w:bookmarkEnd w:id="229"/>
      <w:r/>
      <w:bookmarkEnd w:id="230"/>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4 人员配置情况</w:t>
      </w:r>
      <w:bookmarkEnd w:id="231"/>
      <w:r/>
      <w:r/>
    </w:p>
    <w:tbl>
      <w:tblPr>
        <w:tblStyle w:val="813"/>
        <w:tblW w:w="9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本项目中拟担任的职务</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专业</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学历</w:t>
            </w:r>
            <w:r/>
          </w:p>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学位</w:t>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具有证书情况</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从业经验</w:t>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履历情况</w:t>
            </w:r>
            <w:r/>
          </w:p>
        </w:tc>
      </w:tr>
      <w:tr>
        <w:trPr>
          <w:cantSplit/>
          <w:jc w:val="center"/>
          <w:trHeight w:val="754"/>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cantSplit/>
          <w:jc w:val="center"/>
          <w:trHeight w:val="741"/>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cantSplit/>
          <w:jc w:val="center"/>
          <w:trHeight w:val="741"/>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cantSplit/>
          <w:jc w:val="center"/>
          <w:trHeight w:val="765"/>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bl>
    <w:p>
      <w:pPr>
        <w:jc w:val="left"/>
        <w:spacing w:line="4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注：1、投标人根据项目实际情况配置人员，如实详细填写上述表格。</w:t>
      </w:r>
      <w:r/>
    </w:p>
    <w:p>
      <w:pPr>
        <w:numPr>
          <w:ilvl w:val="0"/>
          <w:numId w:val="0"/>
        </w:numPr>
        <w:ind w:firstLine="480"/>
        <w:jc w:val="left"/>
        <w:spacing w:line="460" w:lineRule="exac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2、相关人员从业经验、履历情况等内容可另附详细说明，需按“第五章  评标方法与评标标准”要求提供相关证明材料。</w:t>
      </w:r>
      <w:r/>
    </w:p>
    <w:p>
      <w:pPr>
        <w:numPr>
          <w:ilvl w:val="0"/>
          <w:numId w:val="0"/>
        </w:numPr>
        <w:ind w:firstLine="480"/>
        <w:jc w:val="left"/>
        <w:spacing w:line="460" w:lineRule="exact"/>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3、为本项目配备的驾驶员</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的承诺函（格式自拟），</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须提供体现驾驶员人数、持有相应准驾车型驾驶证三年(含)以上且近三年(含)内无较大以上交通责任事故</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w:t>
      </w:r>
      <w:r/>
    </w:p>
    <w:p>
      <w:pPr>
        <w:ind w:firstLine="720"/>
        <w:spacing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rPr>
          <w:rFonts w:hint="eastAsia" w:ascii="Times New Roman" w:hAnsi="Times New Roman" w:eastAsia="宋体" w:cs="Times New Roman"/>
          <w:b/>
          <w:bCs/>
          <w:color w:val="000000" w:themeColor="text1"/>
          <w:sz w:val="28"/>
          <w:szCs w:val="28"/>
          <w:highlight w:val="none"/>
          <w14:textFill>
            <w14:solidFill>
              <w14:schemeClr w14:val="tx1"/>
            </w14:solidFill>
          </w14:textFill>
        </w:rPr>
      </w:pPr>
      <w:r/>
      <w:bookmarkStart w:id="232" w:name="_Toc139725707"/>
      <w:r>
        <w:rPr>
          <w:rFonts w:hint="eastAsia" w:ascii="Times New Roman" w:hAnsi="Times New Roman" w:eastAsia="宋体" w:cs="Times New Roman"/>
          <w:b/>
          <w:bCs/>
          <w:color w:val="000000" w:themeColor="text1"/>
          <w:sz w:val="28"/>
          <w:szCs w:val="28"/>
          <w:highlight w:val="none"/>
          <w14:textFill>
            <w14:solidFill>
              <w14:schemeClr w14:val="tx1"/>
            </w14:solidFill>
          </w14:textFill>
        </w:rPr>
        <w:br w:type="page" w:clear="all"/>
      </w:r>
      <w:r/>
    </w:p>
    <w:p>
      <w:pPr>
        <w:pStyle w:val="804"/>
        <w:jc w:val="center"/>
        <w:spacing w:line="440" w:lineRule="exact"/>
        <w:rPr>
          <w:rFonts w:ascii="Times New Roman" w:hAnsi="Times New Roman" w:eastAsia="宋体" w:cs="Times New Roman"/>
          <w:b/>
          <w:bCs/>
          <w:color w:val="000000" w:themeColor="text1"/>
          <w:sz w:val="28"/>
          <w:szCs w:val="28"/>
          <w:highlight w:val="none"/>
          <w14:textFill>
            <w14:solidFill>
              <w14:schemeClr w14:val="tx1"/>
            </w14:solidFill>
          </w14:textFill>
        </w:rPr>
      </w:pPr>
      <w:r/>
      <w:bookmarkStart w:id="233" w:name="_Toc16375"/>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 xml:space="preserve">5</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 车辆配备一览表</w:t>
      </w:r>
      <w:bookmarkEnd w:id="232"/>
      <w:r/>
      <w:bookmarkEnd w:id="233"/>
      <w:r/>
      <w:r/>
    </w:p>
    <w:tbl>
      <w:tblPr>
        <w:tblStyle w:val="813"/>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08"/>
        <w:gridCol w:w="1991"/>
        <w:gridCol w:w="2332"/>
        <w:gridCol w:w="3124"/>
      </w:tblGrid>
      <w:tr>
        <w:trPr>
          <w:trHeight w:val="558"/>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color w:val="000000" w:themeColor="text1"/>
                <w:sz w:val="24"/>
                <w:szCs w:val="24"/>
                <w:highlight w:val="none"/>
                <w14:textFill>
                  <w14:solidFill>
                    <w14:schemeClr w14:val="tx1"/>
                  </w14:solidFill>
                </w14:textFill>
              </w:rPr>
              <w:suppressLineNumbers w:val="0"/>
            </w:pPr>
            <w:r>
              <w:rPr>
                <w:rFonts w:hint="eastAsia" w:ascii="宋体" w:hAnsi="宋体" w:cs="宋体"/>
                <w:b/>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车牌号码</w:t>
            </w:r>
            <w:r/>
          </w:p>
        </w:tc>
        <w:tc>
          <w:tcPr>
            <w:shd w:val="clear" w:color="auto" w:fill="auto"/>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color w:val="000000" w:themeColor="text1"/>
                <w:sz w:val="24"/>
                <w:szCs w:val="24"/>
                <w:highlight w:val="none"/>
                <w:lang w:val="en-US" w:eastAsia="zh-CN" w:bidi="ar"/>
                <w14:textFill>
                  <w14:solidFill>
                    <w14:schemeClr w14:val="tx1"/>
                  </w14:solidFill>
                </w14:textFill>
              </w:rPr>
              <w:t xml:space="preserve">品牌、规格型号</w:t>
            </w:r>
            <w:r/>
          </w:p>
        </w:tc>
        <w:tc>
          <w:tcPr>
            <w:shd w:val="clear" w:color="auto" w:fill="auto"/>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color w:val="000000" w:themeColor="text1"/>
                <w:sz w:val="24"/>
                <w:szCs w:val="24"/>
                <w:highlight w:val="none"/>
                <w14:textFill>
                  <w14:solidFill>
                    <w14:schemeClr w14:val="tx1"/>
                  </w14:solidFill>
                </w14:textFill>
              </w:rPr>
              <w:suppressLineNumbers w:val="0"/>
            </w:pPr>
            <w:r>
              <w:rPr>
                <w:rFonts w:hint="eastAsia" w:ascii="宋体" w:hAnsi="宋体" w:cs="宋体"/>
                <w:b/>
                <w:color w:val="000000" w:themeColor="text1"/>
                <w:sz w:val="24"/>
                <w:szCs w:val="24"/>
                <w:highlight w:val="none"/>
                <w:lang w:bidi="ar"/>
                <w14:textFill>
                  <w14:solidFill>
                    <w14:schemeClr w14:val="tx1"/>
                  </w14:solidFill>
                </w14:textFill>
              </w:rPr>
              <w:t xml:space="preserve">图片（照片）</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color w:val="000000" w:themeColor="text1"/>
                <w:sz w:val="24"/>
                <w:szCs w:val="24"/>
                <w:highlight w:val="none"/>
                <w14:textFill>
                  <w14:solidFill>
                    <w14:schemeClr w14:val="tx1"/>
                  </w14:solidFill>
                </w14:textFill>
              </w:rPr>
              <w:suppressLineNumbers w:val="0"/>
            </w:pPr>
            <w:r>
              <w:rPr>
                <w:rFonts w:hint="eastAsia" w:ascii="宋体" w:hAnsi="宋体" w:cs="宋体"/>
                <w:b/>
                <w:color w:val="000000" w:themeColor="text1"/>
                <w:sz w:val="24"/>
                <w:szCs w:val="24"/>
                <w:highlight w:val="none"/>
                <w:lang w:bidi="ar"/>
                <w14:textFill>
                  <w14:solidFill>
                    <w14:schemeClr w14:val="tx1"/>
                  </w14:solidFill>
                </w14:textFill>
              </w:rPr>
              <w:t xml:space="preserve">备注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Cs w:val="21"/>
                <w:highlight w:val="none"/>
                <w:lang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4"/>
                <w:szCs w:val="24"/>
                <w:highlight w:val="none"/>
                <w14:textFill>
                  <w14:solidFill>
                    <w14:schemeClr w14:val="tx1"/>
                  </w14:solidFill>
                </w14:textFill>
              </w:rPr>
              <w:suppressLineNumbers w:val="0"/>
            </w:pPr>
            <w:r>
              <w:rPr>
                <w:rFonts w:hint="default" w:ascii="宋体" w:hAnsi="宋体" w:cs="宋体"/>
                <w:color w:val="000000" w:themeColor="text1"/>
                <w:sz w:val="24"/>
                <w:szCs w:val="24"/>
                <w:highlight w:val="none"/>
                <w14:textFill>
                  <w14:solidFill>
                    <w14:schemeClr w14:val="tx1"/>
                  </w14:solidFill>
                </w14:textFill>
              </w:rPr>
            </w:r>
            <w:r/>
          </w:p>
        </w:tc>
      </w:tr>
    </w:tbl>
    <w:p>
      <w:pPr>
        <w:spacing w:line="440" w:lineRule="exact"/>
        <w:rPr>
          <w:rFonts w:hint="eastAsia" w:ascii="新宋体" w:hAnsi="新宋体" w:eastAsia="新宋体" w:cs="新宋体"/>
          <w:b/>
          <w:bCs/>
          <w:color w:val="000000" w:themeColor="text1"/>
          <w:sz w:val="24"/>
          <w:szCs w:val="24"/>
          <w:highlight w:val="none"/>
          <w:lang w:bidi="ar"/>
          <w14:textFill>
            <w14:solidFill>
              <w14:schemeClr w14:val="tx1"/>
            </w14:solidFill>
          </w14:textFill>
        </w:rPr>
      </w:pPr>
      <w:r>
        <w:rPr>
          <w:rFonts w:hint="eastAsia" w:ascii="新宋体" w:hAnsi="新宋体" w:eastAsia="新宋体" w:cs="新宋体"/>
          <w:b/>
          <w:bCs/>
          <w:color w:val="000000" w:themeColor="text1"/>
          <w:sz w:val="24"/>
          <w:szCs w:val="24"/>
          <w:highlight w:val="none"/>
          <w:lang w:bidi="ar"/>
          <w14:textFill>
            <w14:solidFill>
              <w14:schemeClr w14:val="tx1"/>
            </w14:solidFill>
          </w14:textFill>
        </w:rPr>
        <w:t xml:space="preserve">注：1、上述车辆为投标人自有的，需提供发票扫描件、车辆照片及行驶证扫描件</w:t>
      </w:r>
      <w:r>
        <w:rPr>
          <w:rFonts w:hint="eastAsia" w:ascii="新宋体" w:hAnsi="新宋体" w:eastAsia="新宋体" w:cs="新宋体"/>
          <w:b/>
          <w:bCs/>
          <w:color w:val="000000" w:themeColor="text1"/>
          <w:sz w:val="24"/>
          <w:szCs w:val="24"/>
          <w:highlight w:val="none"/>
          <w:lang w:eastAsia="zh-CN" w:bidi="ar"/>
          <w14:textFill>
            <w14:solidFill>
              <w14:schemeClr w14:val="tx1"/>
            </w14:solidFill>
          </w14:textFill>
        </w:rPr>
        <w:t xml:space="preserve">；</w:t>
      </w:r>
      <w:r>
        <w:rPr>
          <w:rFonts w:hint="eastAsia" w:ascii="新宋体" w:hAnsi="新宋体" w:eastAsia="新宋体" w:cs="新宋体"/>
          <w:b/>
          <w:bCs/>
          <w:color w:val="000000" w:themeColor="text1"/>
          <w:sz w:val="24"/>
          <w:szCs w:val="24"/>
          <w:highlight w:val="none"/>
          <w:lang w:bidi="ar"/>
          <w14:textFill>
            <w14:solidFill>
              <w14:schemeClr w14:val="tx1"/>
            </w14:solidFill>
          </w14:textFill>
        </w:rPr>
        <w:t xml:space="preserve">上述车辆为投标人租赁的，需提供发票扫描件、租赁协议扫描件、车辆照片及行驶证扫描件</w:t>
      </w:r>
      <w:r>
        <w:rPr>
          <w:rFonts w:hint="eastAsia" w:ascii="新宋体" w:hAnsi="新宋体" w:eastAsia="新宋体" w:cs="新宋体"/>
          <w:b/>
          <w:bCs/>
          <w:color w:val="000000" w:themeColor="text1"/>
          <w:sz w:val="24"/>
          <w:szCs w:val="24"/>
          <w:highlight w:val="none"/>
          <w:lang w:eastAsia="zh-CN" w:bidi="ar"/>
          <w14:textFill>
            <w14:solidFill>
              <w14:schemeClr w14:val="tx1"/>
            </w14:solidFill>
          </w14:textFill>
        </w:rPr>
        <w:t xml:space="preserve">；</w:t>
      </w:r>
      <w:r>
        <w:rPr>
          <w:rFonts w:hint="eastAsia" w:ascii="新宋体" w:hAnsi="新宋体" w:eastAsia="新宋体" w:cs="新宋体"/>
          <w:b/>
          <w:bCs/>
          <w:color w:val="000000" w:themeColor="text1"/>
          <w:sz w:val="24"/>
          <w:szCs w:val="24"/>
          <w:highlight w:val="none"/>
          <w:lang w:bidi="ar"/>
          <w14:textFill>
            <w14:solidFill>
              <w14:schemeClr w14:val="tx1"/>
            </w14:solidFill>
          </w14:textFill>
        </w:rPr>
        <w:t xml:space="preserve">投标人拟中标后配备的，需提供与车辆供货方签订的采购意向合作书。</w:t>
      </w:r>
      <w:r/>
    </w:p>
    <w:p>
      <w:pPr>
        <w:ind w:firstLine="482"/>
        <w:spacing w:line="440" w:lineRule="exact"/>
        <w:rPr>
          <w:rFonts w:hint="eastAsia" w:ascii="新宋体" w:hAnsi="新宋体" w:eastAsia="新宋体" w:cs="新宋体"/>
          <w:b/>
          <w:bCs/>
          <w:color w:val="000000" w:themeColor="text1"/>
          <w:sz w:val="24"/>
          <w:szCs w:val="24"/>
          <w:highlight w:val="none"/>
          <w:lang w:bidi="ar"/>
          <w14:textFill>
            <w14:solidFill>
              <w14:schemeClr w14:val="tx1"/>
            </w14:solidFill>
          </w14:textFill>
        </w:rPr>
      </w:pPr>
      <w:r>
        <w:rPr>
          <w:rFonts w:hint="eastAsia" w:ascii="新宋体" w:hAnsi="新宋体" w:eastAsia="新宋体" w:cs="新宋体"/>
          <w:b/>
          <w:bCs/>
          <w:color w:val="000000" w:themeColor="text1"/>
          <w:sz w:val="24"/>
          <w:szCs w:val="24"/>
          <w:highlight w:val="none"/>
          <w:lang w:bidi="ar"/>
          <w14:textFill>
            <w14:solidFill>
              <w14:schemeClr w14:val="tx1"/>
            </w14:solidFill>
          </w14:textFill>
        </w:rPr>
        <w:t xml:space="preserve">2、如有需要说明的事项，请在备注中列明。</w:t>
      </w:r>
      <w:r/>
    </w:p>
    <w:p>
      <w:pPr>
        <w:ind w:firstLine="482"/>
        <w:spacing w:line="440" w:lineRule="exact"/>
        <w:rPr>
          <w:rFonts w:ascii="新宋体" w:hAnsi="新宋体" w:eastAsia="新宋体" w:cs="新宋体"/>
          <w:b/>
          <w:bCs/>
          <w:color w:val="000000" w:themeColor="text1"/>
          <w:sz w:val="24"/>
          <w:szCs w:val="24"/>
          <w:highlight w:val="none"/>
          <w14:textFill>
            <w14:solidFill>
              <w14:schemeClr w14:val="tx1"/>
            </w14:solidFill>
          </w14:textFill>
        </w:rPr>
      </w:pPr>
      <w:r>
        <w:rPr>
          <w:rFonts w:hint="eastAsia" w:ascii="新宋体" w:hAnsi="新宋体" w:eastAsia="新宋体" w:cs="新宋体"/>
          <w:b/>
          <w:bCs/>
          <w:color w:val="000000" w:themeColor="text1"/>
          <w:sz w:val="24"/>
          <w:szCs w:val="24"/>
          <w:highlight w:val="none"/>
          <w:lang w:bidi="ar"/>
          <w14:textFill>
            <w14:solidFill>
              <w14:schemeClr w14:val="tx1"/>
            </w14:solidFill>
          </w14:textFill>
        </w:rPr>
        <w:t xml:space="preserve">3、表格不够可另接。</w:t>
      </w:r>
      <w:r/>
    </w:p>
    <w:p>
      <w:pPr>
        <w:rPr>
          <w:rFonts w:hint="eastAsia" w:ascii="Times New Roman" w:hAnsi="Times New Roman" w:eastAsia="宋体" w:cs="Times New Roman"/>
          <w:b/>
          <w:bCs/>
          <w:color w:val="000000" w:themeColor="text1"/>
          <w:sz w:val="28"/>
          <w:szCs w:val="28"/>
          <w:highlight w:val="none"/>
          <w14:textFill>
            <w14:solidFill>
              <w14:schemeClr w14:val="tx1"/>
            </w14:solidFill>
          </w14:textFill>
        </w:rPr>
      </w:pPr>
      <w:r>
        <w:rPr>
          <w:rFonts w:hint="eastAsia" w:ascii="Times New Roman" w:hAnsi="Times New Roman" w:eastAsia="宋体" w:cs="Times New Roman"/>
          <w:b/>
          <w:bCs/>
          <w:color w:val="000000" w:themeColor="text1"/>
          <w:sz w:val="28"/>
          <w:szCs w:val="28"/>
          <w:highlight w:val="none"/>
          <w14:textFill>
            <w14:solidFill>
              <w14:schemeClr w14:val="tx1"/>
            </w14:solidFill>
          </w14:textFill>
        </w:rPr>
        <w:br w:type="page" w:clear="all"/>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34" w:name="_Toc3898"/>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6</w:t>
      </w:r>
      <w:r>
        <w:rPr>
          <w:rFonts w:hint="eastAsia" w:ascii="Times New Roman" w:hAnsi="Times New Roman"/>
          <w:b/>
          <w:bCs/>
          <w:color w:val="000000" w:themeColor="text1"/>
          <w:sz w:val="28"/>
          <w:szCs w:val="28"/>
          <w:highlight w:val="none"/>
          <w14:textFill>
            <w14:solidFill>
              <w14:schemeClr w14:val="tx1"/>
            </w14:solidFill>
          </w14:textFill>
        </w:rPr>
        <w:t xml:space="preserve"> 商务要求响应及偏离表</w:t>
      </w:r>
      <w:bookmarkEnd w:id="234"/>
      <w:r/>
      <w:r/>
    </w:p>
    <w:tbl>
      <w:tblPr>
        <w:tblStyle w:val="813"/>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514"/>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合同条款</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有无偏离</w:t>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t xml:space="preserve">偏离内容及原因</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第三条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合同内容</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第六条 验收办法</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第七条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双方的其他权利义务</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第八条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质量保证</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第九条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违约责任</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第十条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合同的解除</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第十一条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不可抗力</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第十二条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合同的变更、中止</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第十三条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合同的终止</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第十四条</w:t>
            </w:r>
            <w:r>
              <w:rPr>
                <w:rFonts w:hint="eastAsia"/>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合同的转让</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ind w:left="0" w:right="0"/>
              <w:keepLines w:val="0"/>
              <w:keepNext w:val="0"/>
              <w:spacing w:before="0" w:beforeAutospacing="0" w:after="0" w:afterAutospacing="0"/>
              <w:rPr>
                <w:rFonts w:hint="default"/>
                <w:color w:val="000000" w:themeColor="text1"/>
                <w:sz w:val="24"/>
                <w:szCs w:val="24"/>
                <w:highlight w:val="none"/>
                <w14:textFill>
                  <w14:solidFill>
                    <w14:schemeClr w14:val="tx1"/>
                  </w14:solidFill>
                </w14:textFill>
              </w:rPr>
              <w:suppressLineNumbers w:val="0"/>
            </w:pPr>
            <w:r>
              <w:rPr>
                <w:rFonts w:hint="default"/>
                <w:color w:val="000000" w:themeColor="text1"/>
                <w:sz w:val="24"/>
                <w:szCs w:val="24"/>
                <w:highlight w:val="none"/>
                <w14:textFill>
                  <w14:solidFill>
                    <w14:schemeClr w14:val="tx1"/>
                  </w14:solidFill>
                </w14:textFill>
              </w:rPr>
            </w:r>
            <w:r/>
          </w:p>
        </w:tc>
      </w:tr>
    </w:tbl>
    <w:p>
      <w:pPr>
        <w:ind w:firstLine="24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35" w:name="_Toc21657"/>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7</w:t>
      </w:r>
      <w:r>
        <w:rPr>
          <w:rFonts w:hint="eastAsia" w:ascii="Times New Roman" w:hAnsi="Times New Roman"/>
          <w:b/>
          <w:bCs/>
          <w:color w:val="000000" w:themeColor="text1"/>
          <w:sz w:val="28"/>
          <w:szCs w:val="28"/>
          <w:highlight w:val="none"/>
          <w14:textFill>
            <w14:solidFill>
              <w14:schemeClr w14:val="tx1"/>
            </w14:solidFill>
          </w14:textFill>
        </w:rPr>
        <w:t xml:space="preserve"> 其他</w:t>
      </w:r>
      <w:bookmarkEnd w:id="235"/>
      <w:r/>
      <w:r/>
    </w:p>
    <w:p>
      <w:pPr>
        <w:ind w:firstLine="480"/>
        <w:jc w:val="center"/>
        <w:spacing w:line="400" w:lineRule="exact"/>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14:textFill>
            <w14:solidFill>
              <w14:schemeClr w14:val="tx1"/>
            </w14:solidFill>
          </w14:textFill>
        </w:rPr>
        <w:t xml:space="preserve">投标人根据 “第五章 ”提供相关其他证明材料。</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36" w:name="_Toc4793"/>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8</w:t>
      </w:r>
      <w:r>
        <w:rPr>
          <w:rFonts w:hint="eastAsia" w:ascii="Times New Roman" w:hAnsi="Times New Roman"/>
          <w:b/>
          <w:bCs/>
          <w:color w:val="000000" w:themeColor="text1"/>
          <w:sz w:val="28"/>
          <w:szCs w:val="28"/>
          <w:highlight w:val="none"/>
          <w14:textFill>
            <w14:solidFill>
              <w14:schemeClr w14:val="tx1"/>
            </w14:solidFill>
          </w14:textFill>
        </w:rPr>
        <w:t xml:space="preserve"> 具备履行合同所必需的设备和专业技术能力的书面声明</w:t>
      </w:r>
      <w:bookmarkEnd w:id="236"/>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我单位郑重声明：我单位具备履行本项采购合同所必需的设备和专业技术能力，为履行本项采购合同我公司具备如下主要人员和主要专业技术能力：</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主要设备有：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60" w:lineRule="exact"/>
        <w:rPr>
          <w:rFonts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37" w:name="_Toc30352"/>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9</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参加政府采购活动前 3 年内在经营活动中没有重大违法记录的书面声明</w:t>
      </w:r>
      <w:bookmarkEnd w:id="237"/>
      <w:r/>
      <w:r/>
    </w:p>
    <w:p>
      <w:pPr>
        <w:ind w:firstLine="482"/>
        <w:jc w:val="center"/>
        <w:spacing w:line="46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ind w:firstLine="482"/>
        <w:jc w:val="center"/>
        <w:spacing w:line="46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声  明</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38" w:name="_Toc21909"/>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10</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法人授权书</w:t>
      </w:r>
      <w:bookmarkEnd w:id="238"/>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highlight w:val="none"/>
          <w:lang w:eastAsia="zh-CN"/>
          <w14:textFill>
            <w14:solidFill>
              <w14:schemeClr w14:val="tx1"/>
            </w14:solidFill>
          </w14:textFill>
        </w:rPr>
        <w:t xml:space="preserve">JSZC-320581-SZXY-G2026-0013</w:t>
      </w:r>
      <w:r>
        <w:rPr>
          <w:rFonts w:ascii="Times New Roman" w:hAnsi="Times New Roman"/>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本授权书于</w:t>
      </w:r>
      <w:r>
        <w:rPr>
          <w:rFonts w:hint="eastAsia" w:ascii="Times New Roman" w:hAnsi="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olor w:val="000000" w:themeColor="text1"/>
          <w:sz w:val="24"/>
          <w:szCs w:val="24"/>
          <w:highlight w:val="none"/>
          <w:u w:val="single"/>
          <w14:textFill>
            <w14:solidFill>
              <w14:schemeClr w14:val="tx1"/>
            </w14:solidFill>
          </w14:textFill>
        </w:rPr>
        <w:t xml:space="preserve"> </w:t>
      </w:r>
      <w:r>
        <w:rPr>
          <w:rFonts w:ascii="Times New Roman" w:hAnsi="Times New Roman"/>
          <w:color w:val="000000" w:themeColor="text1"/>
          <w:sz w:val="24"/>
          <w:szCs w:val="24"/>
          <w:highlight w:val="none"/>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被授权人身份证号码：</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被授权人联系电话：（手机）</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授权单位名称：</w:t>
      </w:r>
      <w:r>
        <w:rPr>
          <w:rFonts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单位地址：</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日期：</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highlight w:val="none"/>
          <w14:textFill>
            <w14:solidFill>
              <w14:schemeClr w14:val="tx1"/>
            </w14:solidFill>
          </w14:textFill>
        </w:rPr>
      </w:pPr>
      <w:r>
        <w:rPr>
          <w:rFonts w:ascii="楷体" w:hAnsi="楷体" w:eastAsia="楷体"/>
          <w:color w:val="000000" w:themeColor="text1"/>
          <w:sz w:val="24"/>
          <w:szCs w:val="24"/>
          <w:highlight w:val="none"/>
          <w14:textFill>
            <w14:solidFill>
              <w14:schemeClr w14:val="tx1"/>
            </w14:solidFill>
          </w14:textFill>
        </w:rPr>
      </w:r>
      <w:r/>
    </w:p>
    <w:p>
      <w:pPr>
        <w:ind w:firstLine="480"/>
        <w:spacing w:line="40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注：</w:t>
      </w:r>
      <w:r>
        <w:rPr>
          <w:rFonts w:hint="default" w:ascii="宋体" w:hAnsi="宋体" w:eastAsia="宋体" w:cs="Times New Roman"/>
          <w:b/>
          <w:color w:val="000000" w:themeColor="text1"/>
          <w:sz w:val="24"/>
          <w:highlight w:val="none"/>
          <w14:textFill>
            <w14:solidFill>
              <w14:schemeClr w14:val="tx1"/>
            </w14:solidFill>
          </w14:textFill>
        </w:rPr>
        <w:t xml:space="preserve">①</w:t>
      </w:r>
      <w:r>
        <w:rPr>
          <w:rFonts w:hint="eastAsia" w:ascii="宋体" w:hAnsi="宋体" w:eastAsia="宋体" w:cs="Times New Roman"/>
          <w:b/>
          <w:color w:val="000000" w:themeColor="text1"/>
          <w:sz w:val="24"/>
          <w:highlight w:val="none"/>
          <w14:textFill>
            <w14:solidFill>
              <w14:schemeClr w14:val="tx1"/>
            </w14:solidFill>
          </w14:textFill>
        </w:rPr>
        <w:t xml:space="preserve">如授权代表参加本项目投报，“法人授权书”必须提供，且须提供</w:t>
      </w: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被授权人</w:t>
      </w:r>
      <w:r>
        <w:rPr>
          <w:rFonts w:hint="eastAsia" w:ascii="宋体" w:hAnsi="宋体" w:eastAsia="宋体" w:cs="Times New Roman"/>
          <w:b/>
          <w:color w:val="000000" w:themeColor="text1"/>
          <w:sz w:val="24"/>
          <w:highlight w:val="none"/>
          <w14:textFill>
            <w14:solidFill>
              <w14:schemeClr w14:val="tx1"/>
            </w14:solidFill>
          </w14:textFill>
        </w:rPr>
        <w:t xml:space="preserve">居民身份证正反面扫描件、法定代表人居民身份证正反面扫描件。②如法定代表人参加本项目投报，“法人授权书”可不提供，但须提供法定代表人身份证正反面扫描件。</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bookmarkStart w:id="239" w:name="_Toc10587"/>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11</w:t>
      </w:r>
      <w:r>
        <w:rPr>
          <w:rFonts w:hint="eastAsia" w:ascii="Times New Roman" w:hAnsi="Times New Roman"/>
          <w:b/>
          <w:bCs/>
          <w:color w:val="000000" w:themeColor="text1"/>
          <w:sz w:val="28"/>
          <w:szCs w:val="28"/>
          <w:highlight w:val="none"/>
          <w14:textFill>
            <w14:solidFill>
              <w14:schemeClr w14:val="tx1"/>
            </w14:solidFill>
          </w14:textFill>
        </w:rPr>
        <w:t xml:space="preserve"> 中小企业声明函</w:t>
      </w:r>
      <w:bookmarkEnd w:id="239"/>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仿宋"/>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仿宋"/>
          <w:color w:val="000000" w:themeColor="text1"/>
          <w:sz w:val="24"/>
          <w:szCs w:val="24"/>
          <w:highlight w:val="none"/>
          <w14:textFill>
            <w14:solidFill>
              <w14:schemeClr w14:val="tx1"/>
            </w14:solidFill>
          </w14:textFill>
        </w:rPr>
        <w:t xml:space="preserve">46 </w:t>
      </w:r>
      <w:r>
        <w:rPr>
          <w:rFonts w:hint="eastAsia" w:ascii="宋体" w:hAnsi="宋体" w:cs="仿宋"/>
          <w:color w:val="000000" w:themeColor="text1"/>
          <w:sz w:val="24"/>
          <w:szCs w:val="24"/>
          <w:highlight w:val="none"/>
          <w14:textFill>
            <w14:solidFill>
              <w14:schemeClr w14:val="tx1"/>
            </w14:solidFill>
          </w14:textFill>
        </w:rPr>
        <w:t xml:space="preserve">号）的规定，本公司（联合体）参加</w:t>
      </w:r>
      <w:r>
        <w:rPr>
          <w:rFonts w:hint="eastAsia" w:ascii="宋体" w:hAnsi="宋体" w:cs="仿宋"/>
          <w:color w:val="000000" w:themeColor="text1"/>
          <w:sz w:val="24"/>
          <w:szCs w:val="24"/>
          <w:highlight w:val="none"/>
          <w:u w:val="single"/>
          <w:lang w:eastAsia="zh-CN"/>
          <w14:textFill>
            <w14:solidFill>
              <w14:schemeClr w14:val="tx1"/>
            </w14:solidFill>
          </w14:textFill>
        </w:rPr>
        <w:t xml:space="preserve">常熟市殡仪馆（常熟市殡仪服务中心）</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u w:val="single"/>
          <w:lang w:eastAsia="zh-CN"/>
          <w14:textFill>
            <w14:solidFill>
              <w14:schemeClr w14:val="tx1"/>
            </w14:solidFill>
          </w14:textFill>
        </w:rPr>
        <w:t xml:space="preserve">常熟市遗体接运服务（2026年-2028年）</w:t>
      </w:r>
      <w:r>
        <w:rPr>
          <w:rFonts w:hint="eastAsia" w:ascii="宋体" w:hAnsi="宋体" w:cs="仿宋"/>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t xml:space="preserve">1.</w:t>
      </w:r>
      <w:r>
        <w:rPr>
          <w:rFonts w:hint="eastAsia" w:ascii="Times New Roman" w:hAnsi="Times New Roman"/>
          <w:color w:val="000000" w:themeColor="text1"/>
          <w:szCs w:val="20"/>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lang w:eastAsia="zh-CN"/>
          <w14:textFill>
            <w14:solidFill>
              <w14:schemeClr w14:val="tx1"/>
            </w14:solidFill>
          </w14:textFill>
        </w:rPr>
        <w:t xml:space="preserve">常熟市遗体接运服务（2026年-2028年）</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lang w:val="en-US" w:eastAsia="zh-CN"/>
          <w14:textFill>
            <w14:solidFill>
              <w14:schemeClr w14:val="tx1"/>
            </w14:solidFill>
          </w14:textFill>
        </w:rPr>
        <w:t xml:space="preserve">交通运输业</w:t>
      </w:r>
      <w:r>
        <w:rPr>
          <w:rFonts w:hint="eastAsia" w:ascii="宋体" w:hAnsi="宋体" w:cs="仿宋"/>
          <w:color w:val="000000" w:themeColor="text1"/>
          <w:sz w:val="24"/>
          <w:szCs w:val="24"/>
          <w:highlight w:val="none"/>
          <w14:textFill>
            <w14:solidFill>
              <w14:schemeClr w14:val="tx1"/>
            </w14:solidFill>
          </w14:textFill>
        </w:rPr>
        <w:t xml:space="preserve">；承建（承接）企业为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投标人名称</w:t>
      </w:r>
      <w:r>
        <w:rPr>
          <w:rFonts w:hint="eastAsia" w:ascii="宋体" w:hAnsi="宋体"/>
          <w:color w:val="000000" w:themeColor="text1"/>
          <w:sz w:val="24"/>
          <w:szCs w:val="24"/>
          <w:highlight w:val="none"/>
          <w14:textFill>
            <w14:solidFill>
              <w14:schemeClr w14:val="tx1"/>
            </w14:solidFill>
          </w14:textFill>
        </w:rPr>
        <w:t xml:space="preserve">（加盖CA电子公章）</w:t>
      </w:r>
      <w:r>
        <w:rPr>
          <w:rFonts w:hint="eastAsia" w:ascii="宋体" w:hAnsi="宋体"/>
          <w:color w:val="000000" w:themeColor="text1"/>
          <w:sz w:val="24"/>
          <w:szCs w:val="21"/>
          <w:highlight w:val="none"/>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期：</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___年____月____日</w:t>
      </w:r>
      <w:r/>
    </w:p>
    <w:p>
      <w:pPr>
        <w:ind w:firstLine="482"/>
        <w:spacing w:line="440" w:lineRule="exact"/>
        <w:rPr>
          <w:b/>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（2）本项目所属行业为：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交通运输业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643"/>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ascii="黑体" w:hAnsi="黑体" w:eastAsia="黑体"/>
          <w:b/>
          <w:color w:val="000000" w:themeColor="text1"/>
          <w:sz w:val="32"/>
          <w:szCs w:val="32"/>
          <w:highlight w:val="none"/>
          <w14:textFill>
            <w14:solidFill>
              <w14:schemeClr w14:val="tx1"/>
            </w14:solidFill>
          </w14:textFill>
        </w:rPr>
        <w:br w:type="page" w:clear="all"/>
      </w:r>
      <w:bookmarkStart w:id="240" w:name="_Toc27195"/>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12</w:t>
      </w:r>
      <w:r>
        <w:rPr>
          <w:rFonts w:hint="eastAsia" w:ascii="Times New Roman" w:hAnsi="Times New Roman"/>
          <w:b/>
          <w:bCs/>
          <w:color w:val="000000" w:themeColor="text1"/>
          <w:sz w:val="28"/>
          <w:szCs w:val="28"/>
          <w:highlight w:val="none"/>
          <w14:textFill>
            <w14:solidFill>
              <w14:schemeClr w14:val="tx1"/>
            </w14:solidFill>
          </w14:textFill>
        </w:rPr>
        <w:t xml:space="preserve"> 残疾人福利性单位声明函</w:t>
      </w:r>
      <w:bookmarkEnd w:id="240"/>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41" w:name="_Toc17235"/>
      <w:r/>
      <w:bookmarkStart w:id="242" w:name="_Toc155086574"/>
      <w:r/>
      <w:bookmarkStart w:id="243" w:name="_Toc155086474"/>
      <w:r/>
      <w:bookmarkStart w:id="244" w:name="_Toc1774"/>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13 </w:t>
      </w:r>
      <w:r>
        <w:rPr>
          <w:rFonts w:hint="eastAsia" w:ascii="Times New Roman" w:hAnsi="Times New Roman"/>
          <w:b/>
          <w:bCs/>
          <w:color w:val="000000" w:themeColor="text1"/>
          <w:sz w:val="28"/>
          <w:szCs w:val="28"/>
          <w:highlight w:val="none"/>
          <w14:textFill>
            <w14:solidFill>
              <w14:schemeClr w14:val="tx1"/>
            </w14:solidFill>
          </w14:textFill>
        </w:rPr>
        <w:t xml:space="preserve">投标函</w:t>
      </w:r>
      <w:bookmarkEnd w:id="241"/>
      <w:r/>
      <w:bookmarkEnd w:id="242"/>
      <w:r/>
      <w:bookmarkEnd w:id="243"/>
      <w:r/>
      <w:bookmarkEnd w:id="244"/>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spacing w:line="440" w:lineRule="exac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致：</w:t>
      </w:r>
      <w:r>
        <w:rPr>
          <w:rFonts w:hint="eastAsia" w:ascii="宋体" w:hAnsi="宋体"/>
          <w:color w:val="000000" w:themeColor="text1"/>
          <w:sz w:val="24"/>
          <w:szCs w:val="24"/>
          <w:highlight w:val="none"/>
          <w:u w:val="single"/>
          <w:lang w:val="zh-CN"/>
          <w14:textFill>
            <w14:solidFill>
              <w14:schemeClr w14:val="tx1"/>
            </w14:solidFill>
          </w14:textFill>
        </w:rPr>
        <w:t xml:space="preserve">苏州新一造价师价格事务所有限公司</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lang w:eastAsia="zh-CN"/>
          <w14:textFill>
            <w14:solidFill>
              <w14:schemeClr w14:val="tx1"/>
            </w14:solidFill>
          </w14:textFill>
        </w:rPr>
        <w:t xml:space="preserve">JSZC-320581-SZXY-G2026-0013</w:t>
      </w:r>
      <w:r>
        <w:rPr>
          <w:rFonts w:hint="eastAsia" w:ascii="宋体" w:hAnsi="宋体"/>
          <w:color w:val="000000" w:themeColor="text1"/>
          <w:szCs w:val="21"/>
          <w:highlight w:val="none"/>
          <w14:textFill>
            <w14:solidFill>
              <w14:schemeClr w14:val="tx1"/>
            </w14:solidFill>
          </w14:textFill>
        </w:rPr>
        <w:t xml:space="preserve">号招标文件，正式授权下述______(姓名)代表我方______________（投标人的名称），全权处理本次项目投标的有关事宜。</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据此函，__________（姓名）代表兹宣布同意如下：</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083"/>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.与本投标有关的正式通讯地址为：</w:t>
      </w:r>
      <w:r/>
    </w:p>
    <w:p>
      <w:pPr>
        <w:pStyle w:val="10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 标 人开户行：</w:t>
      </w:r>
      <w:r/>
    </w:p>
    <w:p>
      <w:pPr>
        <w:pStyle w:val="10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r/>
    </w:p>
    <w:p>
      <w:pPr>
        <w:pStyle w:val="10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highlight w:val="none"/>
          <w:u w:val="single"/>
          <w14:textFill>
            <w14:solidFill>
              <w14:schemeClr w14:val="tx1"/>
            </w14:solidFill>
          </w14:textFill>
        </w:rPr>
      </w:pPr>
      <w:r>
        <w:rPr>
          <w:rFonts w:ascii="Times New Roman" w:hAnsi="Times New Roman"/>
          <w:i/>
          <w:color w:val="000000" w:themeColor="text1"/>
          <w:sz w:val="24"/>
          <w:szCs w:val="24"/>
          <w:highlight w:val="none"/>
          <w:u w:val="single"/>
          <w14:textFill>
            <w14:solidFill>
              <w14:schemeClr w14:val="tx1"/>
            </w14:solidFill>
          </w14:textFill>
        </w:rPr>
      </w:r>
      <w:r/>
    </w:p>
    <w:p>
      <w:pPr>
        <w:pStyle w:val="817"/>
        <w:ind w:firstLine="482"/>
        <w:rPr>
          <w:color w:val="000000" w:themeColor="text1"/>
          <w:highlight w:val="none"/>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45" w:name="_Toc5901"/>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14 </w:t>
      </w:r>
      <w:r>
        <w:rPr>
          <w:rFonts w:hint="eastAsia" w:ascii="Times New Roman" w:hAnsi="Times New Roman"/>
          <w:b/>
          <w:bCs/>
          <w:color w:val="000000" w:themeColor="text1"/>
          <w:sz w:val="28"/>
          <w:szCs w:val="28"/>
          <w:highlight w:val="none"/>
          <w14:textFill>
            <w14:solidFill>
              <w14:schemeClr w14:val="tx1"/>
            </w14:solidFill>
          </w14:textFill>
        </w:rPr>
        <w:t xml:space="preserve">实质性要求响应及偏离表</w:t>
      </w:r>
      <w:bookmarkEnd w:id="245"/>
      <w:r/>
      <w:r/>
    </w:p>
    <w:tbl>
      <w:tblPr>
        <w:tblStyle w:val="813"/>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序号</w:t>
            </w:r>
            <w:r/>
          </w:p>
        </w:tc>
        <w:tc>
          <w:tcPr>
            <w:tcW w:w="54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服务</w:t>
            </w:r>
            <w:r>
              <w:rPr>
                <w:rFonts w:hint="default" w:ascii="宋体" w:hAnsi="宋体"/>
                <w:color w:val="000000" w:themeColor="text1"/>
                <w:sz w:val="24"/>
                <w:szCs w:val="24"/>
                <w:highlight w:val="none"/>
                <w14:textFill>
                  <w14:solidFill>
                    <w14:schemeClr w14:val="tx1"/>
                  </w14:solidFill>
                </w14:textFill>
              </w:rPr>
              <w:t xml:space="preserve">要求和商务要求中的实质性要求</w:t>
            </w:r>
            <w:r/>
          </w:p>
        </w:tc>
        <w:tc>
          <w:tcPr>
            <w:tcW w:w="190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62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jc w:val="center"/>
          <w:trHeight w:val="547"/>
        </w:trPr>
        <w:tc>
          <w:tcPr>
            <w:tcW w:w="88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1</w:t>
            </w:r>
            <w:r/>
          </w:p>
        </w:tc>
        <w:tc>
          <w:tcPr>
            <w:shd w:val="clear" w:color="auto" w:fill="auto"/>
            <w:tcW w:w="5451" w:type="dxa"/>
            <w:vAlign w:val="center"/>
            <w:textDirection w:val="lrTb"/>
            <w:noWrap w:val="false"/>
          </w:tcPr>
          <w:p>
            <w:pPr>
              <w:ind w:left="0" w:right="0"/>
              <w:keepLines w:val="0"/>
              <w:keepNext w:val="0"/>
              <w:pageBreakBefore w:val="0"/>
              <w:spacing w:before="0" w:beforeAutospacing="0" w:after="0" w:afterAutospacing="0" w:line="480" w:lineRule="exact"/>
              <w:widowControl/>
              <w:rPr>
                <w:rFonts w:hint="default" w:ascii="Calibri" w:hAnsi="Calibri" w:eastAsia="宋体" w:cs="Times New Roman"/>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服务期限：</w:t>
            </w: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三年</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w:t>
            </w:r>
            <w:r/>
          </w:p>
        </w:tc>
        <w:tc>
          <w:tcPr>
            <w:tcW w:w="190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r>
      <w:tr>
        <w:trPr>
          <w:cantSplit/>
          <w:jc w:val="center"/>
          <w:trHeight w:val="598"/>
        </w:trPr>
        <w:tc>
          <w:tcPr>
            <w:tcW w:w="88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2</w:t>
            </w:r>
            <w:r/>
          </w:p>
        </w:tc>
        <w:tc>
          <w:tcPr>
            <w:shd w:val="clear" w:color="auto" w:fill="auto"/>
            <w:tcW w:w="5451"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Times New Roman"/>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结算方式：最终结算=单价*实际运输次数。</w:t>
            </w:r>
            <w:r/>
          </w:p>
        </w:tc>
        <w:tc>
          <w:tcPr>
            <w:tcW w:w="190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r>
      <w:tr>
        <w:trPr>
          <w:cantSplit/>
          <w:jc w:val="center"/>
          <w:trHeight w:val="598"/>
        </w:trPr>
        <w:tc>
          <w:tcPr>
            <w:tcW w:w="8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shd w:val="clear" w:color="auto" w:fill="auto"/>
            <w:tcW w:w="5451"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Times New Roman"/>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付款方式</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w:t>
            </w: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服务期开始后每季度结算一次接运服务费。</w:t>
            </w:r>
            <w:r/>
          </w:p>
        </w:tc>
        <w:tc>
          <w:tcPr>
            <w:tcW w:w="190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r>
      <w:tr>
        <w:trPr>
          <w:cantSplit/>
          <w:jc w:val="center"/>
          <w:trHeight w:val="598"/>
        </w:trPr>
        <w:tc>
          <w:tcPr>
            <w:tcW w:w="8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olor w:val="000000" w:themeColor="text1"/>
                <w:sz w:val="24"/>
                <w:szCs w:val="24"/>
                <w:highlight w:val="none"/>
                <w:lang w:val="en-US" w:eastAsia="zh-CN"/>
                <w14:textFill>
                  <w14:solidFill>
                    <w14:schemeClr w14:val="tx1"/>
                  </w14:solidFill>
                </w14:textFill>
              </w:rPr>
              <w:t xml:space="preserve">4</w:t>
            </w:r>
            <w:r/>
          </w:p>
        </w:tc>
        <w:tc>
          <w:tcPr>
            <w:shd w:val="clear" w:color="auto" w:fill="auto"/>
            <w:tcW w:w="5451"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Times New Roman"/>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价格标准：</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过渡期间</w:t>
            </w:r>
            <w:r>
              <w:rPr>
                <w:rFonts w:hint="eastAsia" w:ascii="宋体" w:hAnsi="宋体" w:cs="宋体"/>
                <w:i/>
                <w:iCs/>
                <w:color w:val="000000" w:themeColor="text1"/>
                <w:sz w:val="24"/>
                <w:szCs w:val="24"/>
                <w:highlight w:val="none"/>
                <w:u w:val="none"/>
                <w:lang w:val="en-US" w:eastAsia="zh-CN" w:bidi="ar-SA"/>
                <w14:textFill>
                  <w14:solidFill>
                    <w14:schemeClr w14:val="tx1"/>
                  </w14:solidFill>
                </w14:textFill>
              </w:rPr>
              <w:t xml:space="preserve">（上级文件出台前）</w:t>
            </w:r>
            <w:r>
              <w:rPr>
                <w:rFonts w:hint="eastAsia" w:ascii="宋体" w:hAnsi="宋体" w:cs="宋体"/>
                <w:i w:val="0"/>
                <w:iCs w:val="0"/>
                <w:color w:val="000000" w:themeColor="text1"/>
                <w:sz w:val="24"/>
                <w:szCs w:val="24"/>
                <w:highlight w:val="none"/>
                <w:u w:val="none"/>
                <w:lang w:val="en-US" w:eastAsia="zh-CN" w:bidi="ar-SA"/>
                <w14:textFill>
                  <w14:solidFill>
                    <w14:schemeClr w14:val="tx1"/>
                  </w14:solidFill>
                </w14:textFill>
              </w:rPr>
              <w:t xml:space="preserve">统一按每次530.00元执行；服务期内如遇上级新政策出台，按最新政策执行。</w:t>
            </w:r>
            <w:r/>
          </w:p>
        </w:tc>
        <w:tc>
          <w:tcPr>
            <w:tcW w:w="190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themeColor="text1"/>
                <w:sz w:val="24"/>
                <w:szCs w:val="24"/>
                <w:highlight w:val="none"/>
                <w14:textFill>
                  <w14:solidFill>
                    <w14:schemeClr w14:val="tx1"/>
                  </w14:solidFill>
                </w14:textFill>
              </w:rPr>
              <w:suppressLineNumbers w:val="0"/>
            </w:pPr>
            <w:r>
              <w:rPr>
                <w:rFonts w:hint="default" w:ascii="宋体" w:hAnsi="宋体"/>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否则作无效投标处理</w:t>
      </w:r>
      <w:r>
        <w:rPr>
          <w:rFonts w:ascii="宋体" w:hAnsi="宋体"/>
          <w:color w:val="000000" w:themeColor="text1"/>
          <w:sz w:val="24"/>
          <w:highlight w:val="none"/>
          <w14:textFill>
            <w14:solidFill>
              <w14:schemeClr w14:val="tx1"/>
            </w14:solidFill>
          </w14:textFill>
        </w:rPr>
        <w:t xml:space="preserve">。</w:t>
      </w:r>
      <w:r/>
    </w:p>
    <w:p>
      <w:pPr>
        <w:ind w:firstLine="480"/>
        <w:spacing w:line="400" w:lineRule="exact"/>
        <w:rPr>
          <w:color w:val="000000" w:themeColor="text1"/>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.投标人未对实质性要求逐条作出明确响应的，或未按招标文件要求提供证明材料（如有）的，该项目作无效投标处理。</w:t>
      </w:r>
      <w:r/>
    </w:p>
    <w:sectPr>
      <w:footerReference w:type="default" r:id="rId14"/>
      <w:footerReference w:type="first" r:id="rId15"/>
      <w:footnotePr/>
      <w:endnotePr/>
      <w:type w:val="nextPage"/>
      <w:pgSz w:w="11906" w:h="16838" w:orient="portrait"/>
      <w:pgMar w:top="771" w:right="720" w:bottom="993" w:left="720" w:header="231" w:footer="45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新宋体">
    <w:panose1 w:val="02010609030101010101"/>
  </w:font>
  <w:font w:name="Symbol">
    <w:panose1 w:val="05050102010706020507"/>
  </w:font>
  <w:font w:name="Wingdings">
    <w:panose1 w:val="05000000000000000000"/>
  </w:font>
  <w:font w:name="仿宋">
    <w:panose1 w:val="02010609060101010101"/>
  </w:font>
  <w:font w:name="方正细等线_GBK">
    <w:panose1 w:val="020B0503020202020204"/>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rPr>
        <w:rStyle w:val="1061"/>
        <w:rFonts w:ascii="宋体" w:hAnsi="宋体"/>
      </w:rPr>
      <w:framePr w:wrap="around" w:vAnchor="text" w:hAnchor="margin" w:xAlign="center" w:y="1"/>
    </w:pPr>
    <w:r>
      <w:rPr>
        <w:rFonts w:ascii="宋体" w:hAnsi="宋体"/>
      </w:rPr>
      <w:fldChar w:fldCharType="begin"/>
    </w:r>
    <w:r>
      <w:rPr>
        <w:rStyle w:val="1061"/>
        <w:rFonts w:ascii="宋体" w:hAnsi="宋体"/>
      </w:rPr>
      <w:instrText xml:space="preserve">PAGE  </w:instrText>
    </w:r>
    <w:r>
      <w:rPr>
        <w:rFonts w:ascii="宋体" w:hAnsi="宋体"/>
      </w:rPr>
      <w:fldChar w:fldCharType="separate"/>
    </w:r>
    <w:r>
      <w:rPr>
        <w:rStyle w:val="1061"/>
        <w:rFonts w:ascii="宋体" w:hAnsi="宋体"/>
      </w:rPr>
      <w:t xml:space="preserve">2</w:t>
    </w:r>
    <w:r>
      <w:rPr>
        <w:rFonts w:ascii="宋体" w:hAnsi="宋体"/>
      </w:rPr>
      <w:fldChar w:fldCharType="end"/>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rPr>
        <w:rStyle w:val="1061"/>
      </w:rPr>
      <w:framePr w:wrap="around" w:vAnchor="text" w:hAnchor="margin" w:xAlign="center" w:y="1"/>
    </w:pPr>
    <w:r>
      <w:fldChar w:fldCharType="begin"/>
    </w:r>
    <w:r>
      <w:rPr>
        <w:rStyle w:val="1061"/>
      </w:rPr>
      <w:instrText xml:space="preserve">PAGE  </w:instrText>
    </w:r>
    <w:r>
      <w:fldChar w:fldCharType="separate"/>
    </w:r>
    <w:r>
      <w:rPr>
        <w:rStyle w:val="1061"/>
      </w:rPr>
      <w:t xml:space="preserve">1</w:t>
    </w:r>
    <w:r>
      <w:fldChar w:fldCharType="end"/>
    </w:r>
    <w:r/>
  </w:p>
  <w:p>
    <w:pPr>
      <w:pStyle w:val="1133"/>
      <w:ind w:firstLine="360"/>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9733" cy="16278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39732"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0pt;height:12.8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firstLine="360"/>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0"/>
      <w:isLgl w:val="false"/>
      <w:suff w:val="nothing"/>
      <w:lvlText w:val=""/>
      <w:lvlJc w:val="left"/>
      <w:pPr>
        <w:ind w:left="0" w:firstLine="0"/>
      </w:pPr>
      <w:rPr>
        <w:rFonts w:hint="eastAsia"/>
      </w:rPr>
    </w:lvl>
    <w:lvl w:ilvl="6">
      <w:start w:val="1"/>
      <w:numFmt w:val="decimal"/>
      <w:pStyle w:val="1041"/>
      <w:isLgl w:val="false"/>
      <w:suff w:val="nothing"/>
      <w:lvlText w:val=""/>
      <w:lvlJc w:val="left"/>
      <w:pPr>
        <w:ind w:left="0" w:firstLine="0"/>
      </w:pPr>
      <w:rPr>
        <w:rFonts w:hint="eastAsia"/>
      </w:rPr>
    </w:lvl>
    <w:lvl w:ilvl="7">
      <w:start w:val="1"/>
      <w:numFmt w:val="decimal"/>
      <w:pStyle w:val="1042"/>
      <w:isLgl w:val="false"/>
      <w:suff w:val="nothing"/>
      <w:lvlText w:val=""/>
      <w:lvlJc w:val="left"/>
      <w:pPr>
        <w:ind w:left="0" w:firstLine="0"/>
      </w:pPr>
      <w:rPr>
        <w:rFonts w:hint="eastAsia"/>
      </w:rPr>
    </w:lvl>
    <w:lvl w:ilvl="8">
      <w:start w:val="1"/>
      <w:numFmt w:val="decimal"/>
      <w:pStyle w:val="1043"/>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2"/>
      <w:isLgl w:val="false"/>
      <w:suff w:val="tab"/>
      <w:lvlText w:val="%1."/>
      <w:lvlJc w:val="left"/>
      <w:pPr>
        <w:ind w:left="0" w:firstLine="0"/>
        <w:tabs>
          <w:tab w:val="left" w:pos="1055" w:leader="none"/>
        </w:tabs>
      </w:pPr>
    </w:lvl>
    <w:lvl w:ilvl="1">
      <w:start w:val="1"/>
      <w:numFmt w:val="decimal"/>
      <w:isLgl w:val="false"/>
      <w:suff w:val="tab"/>
      <w:lvlText w:val="%1.%2."/>
      <w:lvlJc w:val="left"/>
      <w:pPr>
        <w:ind w:left="0" w:firstLine="0"/>
        <w:tabs>
          <w:tab w:val="left" w:pos="1055" w:leader="none"/>
        </w:tabs>
      </w:pPr>
    </w:lvl>
    <w:lvl w:ilvl="2">
      <w:start w:val="1"/>
      <w:numFmt w:val="decimal"/>
      <w:isLgl w:val="false"/>
      <w:suff w:val="tab"/>
      <w:lvlText w:val="%1.%2.%3."/>
      <w:lvlJc w:val="left"/>
      <w:pPr>
        <w:ind w:left="0" w:firstLine="0"/>
        <w:tabs>
          <w:tab w:val="left" w:pos="1055" w:leader="none"/>
        </w:tabs>
      </w:pPr>
    </w:lvl>
    <w:lvl w:ilvl="3">
      <w:start w:val="1"/>
      <w:numFmt w:val="decimal"/>
      <w:isLgl w:val="false"/>
      <w:suff w:val="tab"/>
      <w:lvlText w:val="%1.%2.%3.%4."/>
      <w:lvlJc w:val="left"/>
      <w:pPr>
        <w:ind w:left="0" w:firstLine="0"/>
        <w:tabs>
          <w:tab w:val="left" w:pos="1055"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5" w:hanging="1135"/>
        <w:tabs>
          <w:tab w:val="left" w:pos="1135"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11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next w:val="804"/>
    <w:uiPriority w:val="0"/>
    <w:qFormat/>
    <w:pPr>
      <w:jc w:val="both"/>
      <w:widowControl w:val="off"/>
    </w:pPr>
    <w:rPr>
      <w:rFonts w:hint="default" w:ascii="Calibri" w:hAnsi="Calibri" w:eastAsia="宋体" w:cs="Times New Roman"/>
      <w:sz w:val="21"/>
      <w:szCs w:val="22"/>
      <w:lang w:val="en-US" w:eastAsia="zh-CN" w:bidi="ar-SA"/>
    </w:rPr>
  </w:style>
  <w:style w:type="paragraph" w:styleId="803">
    <w:name w:val="Heading 1"/>
    <w:basedOn w:val="802"/>
    <w:next w:val="802"/>
    <w:link w:val="886"/>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87"/>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88"/>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89"/>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90"/>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91"/>
    <w:uiPriority w:val="9"/>
    <w:unhideWhenUsed/>
    <w:qFormat/>
    <w:pPr>
      <w:keepLines/>
      <w:keepNext/>
      <w:spacing w:before="320" w:after="200"/>
      <w:outlineLvl w:val="5"/>
    </w:pPr>
    <w:rPr>
      <w:rFonts w:ascii="Arial" w:hAnsi="Arial" w:eastAsia="Arial" w:cs="Arial"/>
      <w:b/>
      <w:bCs/>
      <w:sz w:val="22"/>
    </w:rPr>
  </w:style>
  <w:style w:type="paragraph" w:styleId="809">
    <w:name w:val="Heading 7"/>
    <w:basedOn w:val="802"/>
    <w:next w:val="802"/>
    <w:link w:val="892"/>
    <w:uiPriority w:val="9"/>
    <w:unhideWhenUsed/>
    <w:qFormat/>
    <w:pPr>
      <w:keepLines/>
      <w:keepNext/>
      <w:spacing w:before="320" w:after="200"/>
      <w:outlineLvl w:val="6"/>
    </w:pPr>
    <w:rPr>
      <w:rFonts w:ascii="Arial" w:hAnsi="Arial" w:eastAsia="Arial" w:cs="Arial"/>
      <w:b/>
      <w:bCs/>
      <w:i/>
      <w:iCs/>
      <w:sz w:val="22"/>
    </w:rPr>
  </w:style>
  <w:style w:type="paragraph" w:styleId="810">
    <w:name w:val="Heading 8"/>
    <w:basedOn w:val="802"/>
    <w:next w:val="802"/>
    <w:link w:val="893"/>
    <w:uiPriority w:val="9"/>
    <w:unhideWhenUsed/>
    <w:qFormat/>
    <w:pPr>
      <w:keepLines/>
      <w:keepNext/>
      <w:spacing w:before="320" w:after="200"/>
      <w:outlineLvl w:val="7"/>
    </w:pPr>
    <w:rPr>
      <w:rFonts w:ascii="Arial" w:hAnsi="Arial" w:eastAsia="Arial" w:cs="Arial"/>
      <w:i/>
      <w:iCs/>
      <w:sz w:val="22"/>
    </w:rPr>
  </w:style>
  <w:style w:type="paragraph" w:styleId="811">
    <w:name w:val="Heading 9"/>
    <w:basedOn w:val="802"/>
    <w:next w:val="802"/>
    <w:link w:val="894"/>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4">
    <w:name w:val="toc 7"/>
    <w:basedOn w:val="802"/>
    <w:next w:val="802"/>
    <w:uiPriority w:val="39"/>
    <w:unhideWhenUsed/>
    <w:qFormat/>
    <w:pPr>
      <w:ind w:left="1701"/>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annotation text"/>
    <w:basedOn w:val="802"/>
    <w:link w:val="1201"/>
    <w:uiPriority w:val="99"/>
    <w:semiHidden/>
    <w:unhideWhenUsed/>
    <w:qFormat/>
    <w:pPr>
      <w:jc w:val="left"/>
    </w:pPr>
  </w:style>
  <w:style w:type="paragraph" w:styleId="817">
    <w:name w:val="Body Text"/>
    <w:basedOn w:val="802"/>
    <w:next w:val="818"/>
    <w:uiPriority w:val="0"/>
    <w:qFormat/>
    <w:rPr>
      <w:rFonts w:ascii="楷体_GB2312" w:hAnsi="Arial" w:eastAsia="楷体_GB2312"/>
      <w:sz w:val="28"/>
    </w:rPr>
  </w:style>
  <w:style w:type="paragraph" w:styleId="818">
    <w:name w:val="Body Text First Indent"/>
    <w:basedOn w:val="817"/>
    <w:next w:val="819"/>
    <w:uiPriority w:val="99"/>
    <w:unhideWhenUsed/>
    <w:qFormat/>
    <w:pPr>
      <w:ind w:firstLine="420"/>
    </w:pPr>
  </w:style>
  <w:style w:type="paragraph" w:styleId="819">
    <w:name w:val="Body Text First Indent 2"/>
    <w:basedOn w:val="820"/>
    <w:next w:val="818"/>
    <w:uiPriority w:val="0"/>
    <w:qFormat/>
    <w:pPr>
      <w:ind w:firstLine="420"/>
    </w:pPr>
  </w:style>
  <w:style w:type="paragraph" w:styleId="820">
    <w:name w:val="Body Text Indent"/>
    <w:basedOn w:val="802"/>
    <w:next w:val="821"/>
    <w:uiPriority w:val="0"/>
    <w:qFormat/>
    <w:pPr>
      <w:ind w:firstLine="574"/>
      <w:spacing w:line="312" w:lineRule="atLeast"/>
    </w:pPr>
    <w:rPr>
      <w:rFonts w:ascii="宋体"/>
      <w:sz w:val="28"/>
    </w:rPr>
  </w:style>
  <w:style w:type="paragraph" w:styleId="821">
    <w:name w:val="envelope return"/>
    <w:basedOn w:val="802"/>
    <w:uiPriority w:val="0"/>
    <w:qFormat/>
    <w:rPr>
      <w:rFonts w:ascii="Arial" w:hAnsi="Arial"/>
    </w:rPr>
  </w:style>
  <w:style w:type="paragraph" w:styleId="822">
    <w:name w:val="toc 5"/>
    <w:basedOn w:val="802"/>
    <w:next w:val="802"/>
    <w:uiPriority w:val="39"/>
    <w:unhideWhenUsed/>
    <w:qFormat/>
    <w:pPr>
      <w:ind w:left="1134"/>
      <w:spacing w:after="57"/>
    </w:pPr>
  </w:style>
  <w:style w:type="paragraph" w:styleId="823">
    <w:name w:val="toc 3"/>
    <w:basedOn w:val="802"/>
    <w:next w:val="802"/>
    <w:uiPriority w:val="39"/>
    <w:unhideWhenUsed/>
    <w:qFormat/>
    <w:pPr>
      <w:ind w:left="567"/>
      <w:spacing w:after="57"/>
    </w:pPr>
  </w:style>
  <w:style w:type="paragraph" w:styleId="824">
    <w:name w:val="toc 8"/>
    <w:basedOn w:val="802"/>
    <w:next w:val="802"/>
    <w:uiPriority w:val="39"/>
    <w:unhideWhenUsed/>
    <w:qFormat/>
    <w:pPr>
      <w:ind w:left="1984"/>
      <w:spacing w:after="57"/>
    </w:pPr>
  </w:style>
  <w:style w:type="paragraph" w:styleId="825">
    <w:name w:val="Date"/>
    <w:basedOn w:val="802"/>
    <w:next w:val="802"/>
    <w:uiPriority w:val="0"/>
    <w:qFormat/>
    <w:pPr>
      <w:spacing w:line="312" w:lineRule="atLeast"/>
    </w:pPr>
    <w:rPr>
      <w:rFonts w:ascii="宋体"/>
      <w:sz w:val="28"/>
    </w:rPr>
  </w:style>
  <w:style w:type="paragraph" w:styleId="826">
    <w:name w:val="endnote text"/>
    <w:basedOn w:val="802"/>
    <w:link w:val="1032"/>
    <w:uiPriority w:val="99"/>
    <w:semiHidden/>
    <w:unhideWhenUsed/>
    <w:qFormat/>
    <w:rPr>
      <w:sz w:val="20"/>
    </w:rPr>
  </w:style>
  <w:style w:type="paragraph" w:styleId="827">
    <w:name w:val="Balloon Text"/>
    <w:basedOn w:val="802"/>
    <w:link w:val="1203"/>
    <w:uiPriority w:val="99"/>
    <w:semiHidden/>
    <w:unhideWhenUsed/>
    <w:qFormat/>
    <w:rPr>
      <w:sz w:val="18"/>
      <w:szCs w:val="18"/>
    </w:rPr>
  </w:style>
  <w:style w:type="paragraph" w:styleId="828">
    <w:name w:val="Footer"/>
    <w:basedOn w:val="802"/>
    <w:link w:val="905"/>
    <w:uiPriority w:val="99"/>
    <w:unhideWhenUsed/>
    <w:qFormat/>
    <w:pPr>
      <w:tabs>
        <w:tab w:val="center" w:pos="7143" w:leader="none"/>
        <w:tab w:val="right" w:pos="14287" w:leader="none"/>
      </w:tabs>
    </w:pPr>
  </w:style>
  <w:style w:type="paragraph" w:styleId="829">
    <w:name w:val="Header"/>
    <w:basedOn w:val="802"/>
    <w:link w:val="903"/>
    <w:uiPriority w:val="99"/>
    <w:unhideWhenUsed/>
    <w:qFormat/>
    <w:pPr>
      <w:tabs>
        <w:tab w:val="center" w:pos="7143" w:leader="none"/>
        <w:tab w:val="right" w:pos="14287" w:leader="none"/>
      </w:tabs>
    </w:pPr>
  </w:style>
  <w:style w:type="paragraph" w:styleId="830">
    <w:name w:val="Signature"/>
    <w:basedOn w:val="802"/>
    <w:uiPriority w:val="0"/>
    <w:qFormat/>
    <w:pPr>
      <w:jc w:val="center"/>
      <w:spacing w:after="600" w:line="312" w:lineRule="atLeast"/>
    </w:pPr>
    <w:rPr>
      <w:rFonts w:eastAsia="仿宋_GB2312"/>
      <w:sz w:val="24"/>
    </w:rPr>
  </w:style>
  <w:style w:type="paragraph" w:styleId="831">
    <w:name w:val="toc 1"/>
    <w:basedOn w:val="802"/>
    <w:next w:val="802"/>
    <w:uiPriority w:val="39"/>
    <w:unhideWhenUsed/>
    <w:qFormat/>
    <w:pPr>
      <w:spacing w:after="57"/>
    </w:pPr>
  </w:style>
  <w:style w:type="paragraph" w:styleId="832">
    <w:name w:val="toc 4"/>
    <w:basedOn w:val="802"/>
    <w:next w:val="802"/>
    <w:uiPriority w:val="39"/>
    <w:unhideWhenUsed/>
    <w:qFormat/>
    <w:pPr>
      <w:ind w:left="850"/>
      <w:spacing w:after="57"/>
    </w:pPr>
  </w:style>
  <w:style w:type="paragraph" w:styleId="833">
    <w:name w:val="Subtitle"/>
    <w:basedOn w:val="802"/>
    <w:next w:val="802"/>
    <w:link w:val="898"/>
    <w:uiPriority w:val="11"/>
    <w:qFormat/>
    <w:pPr>
      <w:spacing w:before="200" w:after="200"/>
    </w:pPr>
    <w:rPr>
      <w:sz w:val="24"/>
      <w:szCs w:val="24"/>
    </w:rPr>
  </w:style>
  <w:style w:type="paragraph" w:styleId="834">
    <w:name w:val="footnote text"/>
    <w:basedOn w:val="802"/>
    <w:link w:val="1031"/>
    <w:uiPriority w:val="99"/>
    <w:semiHidden/>
    <w:unhideWhenUsed/>
    <w:qFormat/>
    <w:pPr>
      <w:spacing w:after="40"/>
    </w:pPr>
    <w:rPr>
      <w:sz w:val="18"/>
    </w:rPr>
  </w:style>
  <w:style w:type="paragraph" w:styleId="835">
    <w:name w:val="toc 6"/>
    <w:basedOn w:val="802"/>
    <w:next w:val="802"/>
    <w:uiPriority w:val="39"/>
    <w:unhideWhenUsed/>
    <w:qFormat/>
    <w:pPr>
      <w:ind w:left="1417"/>
      <w:spacing w:after="57"/>
    </w:pPr>
  </w:style>
  <w:style w:type="paragraph" w:styleId="836">
    <w:name w:val="table of figures"/>
    <w:basedOn w:val="802"/>
    <w:next w:val="802"/>
    <w:uiPriority w:val="99"/>
    <w:unhideWhenUsed/>
    <w:qFormat/>
  </w:style>
  <w:style w:type="paragraph" w:styleId="837">
    <w:name w:val="toc 2"/>
    <w:basedOn w:val="802"/>
    <w:next w:val="802"/>
    <w:uiPriority w:val="39"/>
    <w:unhideWhenUsed/>
    <w:qFormat/>
    <w:pPr>
      <w:ind w:left="283"/>
      <w:spacing w:after="57"/>
    </w:pPr>
  </w:style>
  <w:style w:type="paragraph" w:styleId="838">
    <w:name w:val="toc 9"/>
    <w:basedOn w:val="802"/>
    <w:next w:val="802"/>
    <w:uiPriority w:val="39"/>
    <w:unhideWhenUsed/>
    <w:qFormat/>
    <w:pPr>
      <w:ind w:left="2268"/>
      <w:spacing w:after="57"/>
    </w:pPr>
  </w:style>
  <w:style w:type="paragraph" w:styleId="839">
    <w:name w:val="Normal (Web)"/>
    <w:basedOn w:val="802"/>
    <w:uiPriority w:val="99"/>
    <w:semiHidden/>
    <w:unhideWhenUsed/>
    <w:qFormat/>
    <w:pPr>
      <w:jc w:val="left"/>
      <w:spacing w:before="100" w:beforeAutospacing="1" w:after="100" w:afterAutospacing="1"/>
      <w:widowControl/>
    </w:pPr>
    <w:rPr>
      <w:rFonts w:ascii="宋体" w:hAnsi="宋体" w:cs="宋体"/>
      <w:sz w:val="24"/>
      <w:szCs w:val="24"/>
    </w:rPr>
  </w:style>
  <w:style w:type="paragraph" w:styleId="840">
    <w:name w:val="Title"/>
    <w:basedOn w:val="802"/>
    <w:next w:val="802"/>
    <w:link w:val="897"/>
    <w:uiPriority w:val="10"/>
    <w:qFormat/>
    <w:pPr>
      <w:contextualSpacing/>
      <w:spacing w:before="300" w:after="200"/>
    </w:pPr>
    <w:rPr>
      <w:sz w:val="48"/>
      <w:szCs w:val="48"/>
    </w:rPr>
  </w:style>
  <w:style w:type="paragraph" w:styleId="841">
    <w:name w:val="annotation subject"/>
    <w:basedOn w:val="816"/>
    <w:next w:val="816"/>
    <w:link w:val="1202"/>
    <w:uiPriority w:val="99"/>
    <w:semiHidden/>
    <w:unhideWhenUsed/>
    <w:qFormat/>
    <w:rPr>
      <w:b/>
      <w:bCs/>
    </w:rPr>
  </w:style>
  <w:style w:type="table" w:styleId="842">
    <w:name w:val="Table Grid"/>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basedOn w:val="812"/>
    <w:uiPriority w:val="22"/>
    <w:qFormat/>
    <w:rPr>
      <w:b/>
    </w:r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annotation reference"/>
    <w:basedOn w:val="812"/>
    <w:uiPriority w:val="99"/>
    <w:semiHidden/>
    <w:unhideWhenUsed/>
    <w:qFormat/>
    <w:rPr>
      <w:sz w:val="21"/>
      <w:szCs w:val="21"/>
    </w:rPr>
  </w:style>
  <w:style w:type="character" w:styleId="847">
    <w:name w:val="footnote reference"/>
    <w:uiPriority w:val="99"/>
    <w:unhideWhenUsed/>
    <w:qFormat/>
    <w:rPr>
      <w:vertAlign w:val="superscript"/>
    </w:rPr>
  </w:style>
  <w:style w:type="paragraph" w:styleId="848" w:customStyle="1">
    <w:name w:val="Heading 1"/>
    <w:basedOn w:val="802"/>
    <w:next w:val="802"/>
    <w:uiPriority w:val="0"/>
    <w:qFormat/>
    <w:pPr>
      <w:keepLines/>
      <w:keepNext/>
      <w:spacing w:line="578" w:lineRule="auto"/>
    </w:pPr>
    <w:rPr>
      <w:rFonts w:ascii="Calibri" w:hAnsi="Calibri" w:eastAsia="宋体" w:cs="黑体"/>
      <w:b/>
      <w:bCs/>
      <w:sz w:val="44"/>
      <w:szCs w:val="44"/>
    </w:rPr>
  </w:style>
  <w:style w:type="character" w:styleId="849" w:customStyle="1">
    <w:name w:val="Heading 1 Char"/>
    <w:basedOn w:val="812"/>
    <w:uiPriority w:val="9"/>
    <w:qFormat/>
    <w:rPr>
      <w:rFonts w:ascii="Arial" w:hAnsi="Arial" w:eastAsia="Arial" w:cs="Arial"/>
      <w:sz w:val="40"/>
      <w:szCs w:val="40"/>
    </w:rPr>
  </w:style>
  <w:style w:type="character" w:styleId="850" w:customStyle="1">
    <w:name w:val="Heading 2 Char"/>
    <w:basedOn w:val="812"/>
    <w:uiPriority w:val="9"/>
    <w:qFormat/>
    <w:rPr>
      <w:rFonts w:ascii="Arial" w:hAnsi="Arial" w:eastAsia="Arial" w:cs="Arial"/>
      <w:sz w:val="34"/>
    </w:rPr>
  </w:style>
  <w:style w:type="character" w:styleId="851" w:customStyle="1">
    <w:name w:val="Heading 3 Char"/>
    <w:basedOn w:val="812"/>
    <w:uiPriority w:val="9"/>
    <w:qFormat/>
    <w:rPr>
      <w:rFonts w:ascii="Arial" w:hAnsi="Arial" w:eastAsia="Arial" w:cs="Arial"/>
      <w:sz w:val="30"/>
      <w:szCs w:val="30"/>
    </w:rPr>
  </w:style>
  <w:style w:type="character" w:styleId="852" w:customStyle="1">
    <w:name w:val="Heading 4 Char"/>
    <w:basedOn w:val="812"/>
    <w:uiPriority w:val="9"/>
    <w:qFormat/>
    <w:rPr>
      <w:rFonts w:ascii="Arial" w:hAnsi="Arial" w:eastAsia="Arial" w:cs="Arial"/>
      <w:b/>
      <w:bCs/>
      <w:sz w:val="26"/>
      <w:szCs w:val="26"/>
    </w:rPr>
  </w:style>
  <w:style w:type="character" w:styleId="853" w:customStyle="1">
    <w:name w:val="Heading 5 Char"/>
    <w:basedOn w:val="812"/>
    <w:uiPriority w:val="9"/>
    <w:qFormat/>
    <w:rPr>
      <w:rFonts w:ascii="Arial" w:hAnsi="Arial" w:eastAsia="Arial" w:cs="Arial"/>
      <w:b/>
      <w:bCs/>
      <w:sz w:val="24"/>
      <w:szCs w:val="24"/>
    </w:rPr>
  </w:style>
  <w:style w:type="character" w:styleId="854" w:customStyle="1">
    <w:name w:val="Heading 6 Char"/>
    <w:basedOn w:val="812"/>
    <w:uiPriority w:val="9"/>
    <w:qFormat/>
    <w:rPr>
      <w:rFonts w:ascii="Arial" w:hAnsi="Arial" w:eastAsia="Arial" w:cs="Arial"/>
      <w:b/>
      <w:bCs/>
      <w:sz w:val="22"/>
      <w:szCs w:val="22"/>
    </w:rPr>
  </w:style>
  <w:style w:type="character" w:styleId="855" w:customStyle="1">
    <w:name w:val="Heading 7 Char"/>
    <w:basedOn w:val="812"/>
    <w:uiPriority w:val="9"/>
    <w:qFormat/>
    <w:rPr>
      <w:rFonts w:ascii="Arial" w:hAnsi="Arial" w:eastAsia="Arial" w:cs="Arial"/>
      <w:b/>
      <w:bCs/>
      <w:i/>
      <w:iCs/>
      <w:sz w:val="22"/>
      <w:szCs w:val="22"/>
    </w:rPr>
  </w:style>
  <w:style w:type="character" w:styleId="856" w:customStyle="1">
    <w:name w:val="Heading 8 Char"/>
    <w:basedOn w:val="812"/>
    <w:uiPriority w:val="9"/>
    <w:qFormat/>
    <w:rPr>
      <w:rFonts w:ascii="Arial" w:hAnsi="Arial" w:eastAsia="Arial" w:cs="Arial"/>
      <w:i/>
      <w:iCs/>
      <w:sz w:val="22"/>
      <w:szCs w:val="22"/>
    </w:rPr>
  </w:style>
  <w:style w:type="character" w:styleId="857" w:customStyle="1">
    <w:name w:val="Heading 9 Char"/>
    <w:basedOn w:val="812"/>
    <w:uiPriority w:val="9"/>
    <w:qFormat/>
    <w:rPr>
      <w:rFonts w:ascii="Arial" w:hAnsi="Arial" w:eastAsia="Arial" w:cs="Arial"/>
      <w:i/>
      <w:iCs/>
      <w:sz w:val="21"/>
      <w:szCs w:val="21"/>
    </w:rPr>
  </w:style>
  <w:style w:type="character" w:styleId="858" w:customStyle="1">
    <w:name w:val="Title Char"/>
    <w:basedOn w:val="812"/>
    <w:uiPriority w:val="10"/>
    <w:qFormat/>
    <w:rPr>
      <w:sz w:val="48"/>
      <w:szCs w:val="48"/>
    </w:rPr>
  </w:style>
  <w:style w:type="character" w:styleId="859" w:customStyle="1">
    <w:name w:val="Subtitle Char"/>
    <w:basedOn w:val="812"/>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812"/>
    <w:uiPriority w:val="99"/>
    <w:qFormat/>
  </w:style>
  <w:style w:type="character" w:styleId="863" w:customStyle="1">
    <w:name w:val="Caption Char"/>
    <w:uiPriority w:val="99"/>
    <w:qFormat/>
  </w:style>
  <w:style w:type="table" w:styleId="864" w:customStyle="1">
    <w:name w:val="Plain Table 1"/>
    <w:basedOn w:val="8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8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8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8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8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8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8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8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8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8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8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8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8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character" w:styleId="886" w:customStyle="1">
    <w:name w:val="标题 1 字符1"/>
    <w:link w:val="803"/>
    <w:uiPriority w:val="9"/>
    <w:qFormat/>
    <w:rPr>
      <w:rFonts w:ascii="Arial" w:hAnsi="Arial" w:eastAsia="Arial" w:cs="Arial"/>
      <w:sz w:val="40"/>
      <w:szCs w:val="40"/>
    </w:rPr>
  </w:style>
  <w:style w:type="character" w:styleId="887" w:customStyle="1">
    <w:name w:val="标题 2 字符3"/>
    <w:link w:val="804"/>
    <w:uiPriority w:val="9"/>
    <w:qFormat/>
    <w:rPr>
      <w:rFonts w:ascii="Arial" w:hAnsi="Arial" w:eastAsia="Arial" w:cs="Arial"/>
      <w:sz w:val="34"/>
    </w:rPr>
  </w:style>
  <w:style w:type="character" w:styleId="888" w:customStyle="1">
    <w:name w:val="标题 3 字符"/>
    <w:link w:val="805"/>
    <w:uiPriority w:val="9"/>
    <w:qFormat/>
    <w:rPr>
      <w:rFonts w:ascii="Arial" w:hAnsi="Arial" w:eastAsia="Arial" w:cs="Arial"/>
      <w:sz w:val="30"/>
      <w:szCs w:val="30"/>
    </w:rPr>
  </w:style>
  <w:style w:type="character" w:styleId="889" w:customStyle="1">
    <w:name w:val="标题 4 字符"/>
    <w:link w:val="806"/>
    <w:uiPriority w:val="9"/>
    <w:qFormat/>
    <w:rPr>
      <w:rFonts w:ascii="Arial" w:hAnsi="Arial" w:eastAsia="Arial" w:cs="Arial"/>
      <w:b/>
      <w:bCs/>
      <w:sz w:val="26"/>
      <w:szCs w:val="26"/>
    </w:rPr>
  </w:style>
  <w:style w:type="character" w:styleId="890" w:customStyle="1">
    <w:name w:val="标题 5 字符"/>
    <w:link w:val="807"/>
    <w:uiPriority w:val="9"/>
    <w:qFormat/>
    <w:rPr>
      <w:rFonts w:ascii="Arial" w:hAnsi="Arial" w:eastAsia="Arial" w:cs="Arial"/>
      <w:b/>
      <w:bCs/>
      <w:sz w:val="24"/>
      <w:szCs w:val="24"/>
    </w:rPr>
  </w:style>
  <w:style w:type="character" w:styleId="891" w:customStyle="1">
    <w:name w:val="标题 6 字符"/>
    <w:link w:val="808"/>
    <w:uiPriority w:val="9"/>
    <w:qFormat/>
    <w:rPr>
      <w:rFonts w:ascii="Arial" w:hAnsi="Arial" w:eastAsia="Arial" w:cs="Arial"/>
      <w:b/>
      <w:bCs/>
      <w:sz w:val="22"/>
      <w:szCs w:val="22"/>
    </w:rPr>
  </w:style>
  <w:style w:type="character" w:styleId="892" w:customStyle="1">
    <w:name w:val="标题 7 字符"/>
    <w:link w:val="809"/>
    <w:uiPriority w:val="9"/>
    <w:qFormat/>
    <w:rPr>
      <w:rFonts w:ascii="Arial" w:hAnsi="Arial" w:eastAsia="Arial" w:cs="Arial"/>
      <w:b/>
      <w:bCs/>
      <w:i/>
      <w:iCs/>
      <w:sz w:val="22"/>
      <w:szCs w:val="22"/>
    </w:rPr>
  </w:style>
  <w:style w:type="character" w:styleId="893" w:customStyle="1">
    <w:name w:val="标题 8 字符"/>
    <w:link w:val="810"/>
    <w:uiPriority w:val="9"/>
    <w:qFormat/>
    <w:rPr>
      <w:rFonts w:ascii="Arial" w:hAnsi="Arial" w:eastAsia="Arial" w:cs="Arial"/>
      <w:i/>
      <w:iCs/>
      <w:sz w:val="22"/>
      <w:szCs w:val="22"/>
    </w:rPr>
  </w:style>
  <w:style w:type="character" w:styleId="894" w:customStyle="1">
    <w:name w:val="标题 9 字符"/>
    <w:link w:val="811"/>
    <w:uiPriority w:val="9"/>
    <w:qFormat/>
    <w:rPr>
      <w:rFonts w:ascii="Arial" w:hAnsi="Arial" w:eastAsia="Arial" w:cs="Arial"/>
      <w:i/>
      <w:iCs/>
      <w:sz w:val="21"/>
      <w:szCs w:val="21"/>
    </w:rPr>
  </w:style>
  <w:style w:type="paragraph" w:styleId="895">
    <w:name w:val="List Paragraph"/>
    <w:basedOn w:val="802"/>
    <w:uiPriority w:val="34"/>
    <w:qFormat/>
    <w:pPr>
      <w:contextualSpacing/>
      <w:ind w:left="720"/>
    </w:pPr>
  </w:style>
  <w:style w:type="paragraph" w:styleId="896">
    <w:name w:val="No Spacing"/>
    <w:uiPriority w:val="1"/>
    <w:qFormat/>
    <w:rPr>
      <w:rFonts w:hint="default" w:ascii="Calibri" w:hAnsi="Calibri" w:eastAsia="宋体" w:cs="Times New Roman"/>
      <w:lang w:val="en-US" w:eastAsia="zh-CN" w:bidi="ar-SA"/>
    </w:rPr>
  </w:style>
  <w:style w:type="character" w:styleId="897" w:customStyle="1">
    <w:name w:val="标题 字符"/>
    <w:link w:val="840"/>
    <w:uiPriority w:val="10"/>
    <w:qFormat/>
    <w:rPr>
      <w:sz w:val="48"/>
      <w:szCs w:val="48"/>
    </w:rPr>
  </w:style>
  <w:style w:type="character" w:styleId="898" w:customStyle="1">
    <w:name w:val="副标题 字符"/>
    <w:link w:val="833"/>
    <w:uiPriority w:val="11"/>
    <w:qFormat/>
    <w:rPr>
      <w:sz w:val="24"/>
      <w:szCs w:val="24"/>
    </w:rPr>
  </w:style>
  <w:style w:type="paragraph" w:styleId="899">
    <w:name w:val="Quote"/>
    <w:basedOn w:val="802"/>
    <w:next w:val="802"/>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802"/>
    <w:next w:val="802"/>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页眉 字符"/>
    <w:link w:val="829"/>
    <w:uiPriority w:val="99"/>
    <w:qFormat/>
  </w:style>
  <w:style w:type="character" w:styleId="904" w:customStyle="1">
    <w:name w:val="Footer Char"/>
    <w:uiPriority w:val="99"/>
    <w:qFormat/>
  </w:style>
  <w:style w:type="character" w:styleId="905" w:customStyle="1">
    <w:name w:val="页脚 字符"/>
    <w:link w:val="828"/>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1"/>
    <w:link w:val="834"/>
    <w:uiPriority w:val="99"/>
    <w:qFormat/>
    <w:rPr>
      <w:sz w:val="18"/>
    </w:rPr>
  </w:style>
  <w:style w:type="character" w:styleId="1032" w:customStyle="1">
    <w:name w:val="尾注文本 字符"/>
    <w:link w:val="826"/>
    <w:uiPriority w:val="99"/>
    <w:qFormat/>
    <w:rPr>
      <w:sz w:val="20"/>
    </w:rPr>
  </w:style>
  <w:style w:type="paragraph" w:styleId="1033" w:customStyle="1">
    <w:name w:val="TOC 标题1"/>
    <w:uiPriority w:val="39"/>
    <w:unhideWhenUsed/>
    <w:qFormat/>
    <w:rPr>
      <w:rFonts w:hint="default" w:ascii="Calibri" w:hAnsi="Calibri" w:eastAsia="宋体" w:cs="Times New Roman"/>
      <w:lang w:val="en-US" w:eastAsia="zh-CN" w:bidi="ar-SA"/>
    </w:rPr>
  </w:style>
  <w:style w:type="paragraph" w:styleId="1034" w:customStyle="1">
    <w:name w:val="标题 11"/>
    <w:basedOn w:val="802"/>
    <w:next w:val="802"/>
    <w:link w:val="1046"/>
    <w:uiPriority w:val="9"/>
    <w:qFormat/>
    <w:pPr>
      <w:jc w:val="center"/>
      <w:keepNext/>
      <w:outlineLvl w:val="0"/>
    </w:pPr>
    <w:rPr>
      <w:rFonts w:ascii="楷体_GB2312" w:hAnsi="Times New Roman" w:eastAsia="楷体_GB2312"/>
      <w:sz w:val="28"/>
      <w:szCs w:val="28"/>
    </w:rPr>
  </w:style>
  <w:style w:type="paragraph" w:styleId="1035" w:customStyle="1">
    <w:name w:val="标题 21"/>
    <w:basedOn w:val="802"/>
    <w:next w:val="802"/>
    <w:link w:val="10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正文缩进1"/>
    <w:basedOn w:val="802"/>
    <w:link w:val="1057"/>
    <w:uiPriority w:val="0"/>
    <w:qFormat/>
    <w:pPr>
      <w:ind w:firstLine="420"/>
    </w:pPr>
    <w:rPr>
      <w:szCs w:val="21"/>
    </w:rPr>
  </w:style>
  <w:style w:type="paragraph" w:styleId="1037" w:customStyle="1">
    <w:name w:val="标题 31"/>
    <w:basedOn w:val="802"/>
    <w:next w:val="1036"/>
    <w:link w:val="1048"/>
    <w:uiPriority w:val="0"/>
    <w:qFormat/>
    <w:pPr>
      <w:keepLines/>
      <w:keepNext/>
      <w:spacing w:before="260" w:after="260" w:line="416" w:lineRule="auto"/>
      <w:outlineLvl w:val="2"/>
    </w:pPr>
    <w:rPr>
      <w:rFonts w:ascii="Times New Roman" w:hAnsi="Times New Roman"/>
      <w:b/>
      <w:bCs/>
      <w:sz w:val="32"/>
      <w:szCs w:val="32"/>
    </w:rPr>
  </w:style>
  <w:style w:type="paragraph" w:styleId="1038" w:customStyle="1">
    <w:name w:val="标题 41"/>
    <w:basedOn w:val="802"/>
    <w:next w:val="1036"/>
    <w:link w:val="1049"/>
    <w:uiPriority w:val="0"/>
    <w:qFormat/>
    <w:pPr>
      <w:keepLines/>
      <w:keepNext/>
      <w:spacing w:before="280" w:after="290" w:line="376" w:lineRule="auto"/>
      <w:outlineLvl w:val="3"/>
    </w:pPr>
    <w:rPr>
      <w:rFonts w:ascii="Arial" w:hAnsi="Arial" w:eastAsia="黑体" w:cs="Arial"/>
      <w:b/>
      <w:bCs/>
      <w:sz w:val="28"/>
      <w:szCs w:val="28"/>
    </w:rPr>
  </w:style>
  <w:style w:type="paragraph" w:styleId="1039" w:customStyle="1">
    <w:name w:val="标题 51"/>
    <w:basedOn w:val="802"/>
    <w:next w:val="1036"/>
    <w:link w:val="1050"/>
    <w:uiPriority w:val="0"/>
    <w:qFormat/>
    <w:pPr>
      <w:keepNext/>
      <w:outlineLvl w:val="4"/>
    </w:pPr>
    <w:rPr>
      <w:rFonts w:ascii="宋体" w:hAnsi="Times New Roman"/>
      <w:color w:val="000000"/>
      <w:sz w:val="28"/>
      <w:szCs w:val="28"/>
    </w:rPr>
  </w:style>
  <w:style w:type="paragraph" w:styleId="1040" w:customStyle="1">
    <w:name w:val="标题 61"/>
    <w:basedOn w:val="802"/>
    <w:next w:val="802"/>
    <w:link w:val="10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1" w:customStyle="1">
    <w:name w:val="标题 71"/>
    <w:basedOn w:val="802"/>
    <w:next w:val="802"/>
    <w:link w:val="105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42" w:customStyle="1">
    <w:name w:val="标题 81"/>
    <w:basedOn w:val="802"/>
    <w:next w:val="802"/>
    <w:link w:val="10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3" w:customStyle="1">
    <w:name w:val="标题 91"/>
    <w:basedOn w:val="802"/>
    <w:next w:val="802"/>
    <w:link w:val="1054"/>
    <w:uiPriority w:val="0"/>
    <w:qFormat/>
    <w:pPr>
      <w:numPr>
        <w:ilvl w:val="8"/>
        <w:numId w:val="1"/>
      </w:numPr>
      <w:keepLines/>
      <w:keepNext/>
      <w:spacing w:before="240" w:after="64" w:line="320" w:lineRule="auto"/>
      <w:outlineLvl w:val="8"/>
    </w:pPr>
    <w:rPr>
      <w:rFonts w:ascii="Arial" w:hAnsi="Arial" w:eastAsia="黑体"/>
      <w:szCs w:val="21"/>
    </w:rPr>
  </w:style>
  <w:style w:type="character" w:styleId="1044" w:customStyle="1">
    <w:name w:val="默认段落字体1"/>
    <w:uiPriority w:val="1"/>
    <w:semiHidden/>
    <w:unhideWhenUsed/>
    <w:qFormat/>
  </w:style>
  <w:style w:type="table" w:styleId="1045" w:customStyle="1">
    <w:name w:val="普通表格1"/>
    <w:uiPriority w:val="99"/>
    <w:semiHidden/>
    <w:unhideWhenUsed/>
    <w:qFormat/>
    <w:tblPr>
      <w:tblCellMar>
        <w:left w:w="0" w:type="dxa"/>
        <w:top w:w="0" w:type="dxa"/>
        <w:right w:w="0" w:type="dxa"/>
        <w:bottom w:w="0" w:type="dxa"/>
      </w:tblCellMar>
    </w:tblPr>
  </w:style>
  <w:style w:type="character" w:styleId="1046" w:customStyle="1">
    <w:name w:val="标题 1 Char"/>
    <w:link w:val="1034"/>
    <w:uiPriority w:val="0"/>
    <w:qFormat/>
    <w:rPr>
      <w:rFonts w:ascii="楷体_GB2312" w:hAnsi="Times New Roman" w:eastAsia="楷体_GB2312" w:cs="Times New Roman"/>
      <w:sz w:val="28"/>
      <w:szCs w:val="28"/>
    </w:rPr>
  </w:style>
  <w:style w:type="character" w:styleId="1047" w:customStyle="1">
    <w:name w:val="标题 2 Char"/>
    <w:link w:val="1035"/>
    <w:uiPriority w:val="0"/>
    <w:qFormat/>
    <w:rPr>
      <w:rFonts w:ascii="Arial" w:hAnsi="Arial" w:eastAsia="幼圆" w:cs="Arial"/>
      <w:b/>
      <w:bCs/>
      <w:sz w:val="44"/>
      <w:szCs w:val="44"/>
    </w:rPr>
  </w:style>
  <w:style w:type="character" w:styleId="1048" w:customStyle="1">
    <w:name w:val="标题 3 Char"/>
    <w:link w:val="1037"/>
    <w:uiPriority w:val="0"/>
    <w:qFormat/>
    <w:rPr>
      <w:rFonts w:ascii="Times New Roman" w:hAnsi="Times New Roman" w:eastAsia="宋体" w:cs="Times New Roman"/>
      <w:b/>
      <w:bCs/>
      <w:sz w:val="32"/>
      <w:szCs w:val="32"/>
    </w:rPr>
  </w:style>
  <w:style w:type="character" w:styleId="1049" w:customStyle="1">
    <w:name w:val="标题 4 Char"/>
    <w:link w:val="1038"/>
    <w:uiPriority w:val="0"/>
    <w:qFormat/>
    <w:rPr>
      <w:rFonts w:ascii="Arial" w:hAnsi="Arial" w:eastAsia="黑体" w:cs="Arial"/>
      <w:b/>
      <w:bCs/>
      <w:sz w:val="28"/>
      <w:szCs w:val="28"/>
    </w:rPr>
  </w:style>
  <w:style w:type="character" w:styleId="1050" w:customStyle="1">
    <w:name w:val="标题 5 Char"/>
    <w:link w:val="1039"/>
    <w:uiPriority w:val="0"/>
    <w:qFormat/>
    <w:rPr>
      <w:rFonts w:ascii="宋体" w:hAnsi="Times New Roman" w:eastAsia="宋体" w:cs="Times New Roman"/>
      <w:color w:val="000000"/>
      <w:sz w:val="28"/>
      <w:szCs w:val="28"/>
    </w:rPr>
  </w:style>
  <w:style w:type="character" w:styleId="1051" w:customStyle="1">
    <w:name w:val="标题 6 Char"/>
    <w:link w:val="1040"/>
    <w:uiPriority w:val="0"/>
    <w:qFormat/>
    <w:rPr>
      <w:rFonts w:ascii="Arial" w:hAnsi="Arial" w:eastAsia="黑体" w:cs="Times New Roman"/>
      <w:b/>
      <w:bCs/>
      <w:sz w:val="24"/>
      <w:szCs w:val="24"/>
    </w:rPr>
  </w:style>
  <w:style w:type="character" w:styleId="1052" w:customStyle="1">
    <w:name w:val="标题 7 Char"/>
    <w:link w:val="1041"/>
    <w:uiPriority w:val="0"/>
    <w:qFormat/>
    <w:rPr>
      <w:rFonts w:ascii="Times New Roman" w:hAnsi="Times New Roman" w:eastAsia="宋体" w:cs="Times New Roman"/>
      <w:b/>
      <w:bCs/>
      <w:sz w:val="24"/>
      <w:szCs w:val="24"/>
    </w:rPr>
  </w:style>
  <w:style w:type="character" w:styleId="1053" w:customStyle="1">
    <w:name w:val="标题 8 Char"/>
    <w:link w:val="1042"/>
    <w:uiPriority w:val="0"/>
    <w:qFormat/>
    <w:rPr>
      <w:rFonts w:ascii="Arial" w:hAnsi="Arial" w:eastAsia="黑体" w:cs="Times New Roman"/>
      <w:sz w:val="24"/>
      <w:szCs w:val="24"/>
    </w:rPr>
  </w:style>
  <w:style w:type="character" w:styleId="1054" w:customStyle="1">
    <w:name w:val="标题 9 Char"/>
    <w:link w:val="1043"/>
    <w:uiPriority w:val="0"/>
    <w:qFormat/>
    <w:rPr>
      <w:rFonts w:ascii="Arial" w:hAnsi="Arial" w:eastAsia="黑体" w:cs="Times New Roman"/>
      <w:szCs w:val="21"/>
    </w:rPr>
  </w:style>
  <w:style w:type="character" w:styleId="1055" w:customStyle="1">
    <w:name w:val="访问过的超链接1"/>
    <w:uiPriority w:val="0"/>
    <w:qFormat/>
    <w:rPr>
      <w:color w:val="800080"/>
      <w:u w:val="single"/>
    </w:rPr>
  </w:style>
  <w:style w:type="character" w:styleId="1056" w:customStyle="1">
    <w:name w:val="font5 Char"/>
    <w:uiPriority w:val="0"/>
    <w:qFormat/>
    <w:rPr>
      <w:rFonts w:ascii="宋体" w:hAnsi="宋体" w:eastAsia="宋体"/>
      <w:sz w:val="28"/>
      <w:szCs w:val="28"/>
      <w:lang w:val="en-US" w:eastAsia="zh-CN" w:bidi="ar-SA"/>
    </w:rPr>
  </w:style>
  <w:style w:type="character" w:styleId="1057" w:customStyle="1">
    <w:name w:val="正文缩进 Char"/>
    <w:link w:val="1036"/>
    <w:uiPriority w:val="0"/>
    <w:qFormat/>
    <w:rPr>
      <w:szCs w:val="21"/>
    </w:rPr>
  </w:style>
  <w:style w:type="character" w:styleId="1058" w:customStyle="1">
    <w:name w:val="批注引用1"/>
    <w:uiPriority w:val="0"/>
    <w:qFormat/>
    <w:rPr>
      <w:sz w:val="21"/>
      <w:szCs w:val="21"/>
    </w:rPr>
  </w:style>
  <w:style w:type="character" w:styleId="1059" w:customStyle="1">
    <w:name w:val="要点1"/>
    <w:uiPriority w:val="22"/>
    <w:qFormat/>
    <w:rPr>
      <w:b/>
      <w:bCs/>
    </w:rPr>
  </w:style>
  <w:style w:type="character" w:styleId="1060" w:customStyle="1">
    <w:name w:val="超链接1"/>
    <w:uiPriority w:val="99"/>
    <w:qFormat/>
    <w:rPr>
      <w:color w:val="0000ff"/>
      <w:u w:val="single"/>
    </w:rPr>
  </w:style>
  <w:style w:type="character" w:styleId="1061" w:customStyle="1">
    <w:name w:val="页码1"/>
    <w:uiPriority w:val="0"/>
    <w:qFormat/>
  </w:style>
  <w:style w:type="character" w:styleId="1062" w:customStyle="1">
    <w:name w:val="二级目录 Char"/>
    <w:link w:val="1063"/>
    <w:uiPriority w:val="0"/>
    <w:qFormat/>
    <w:rPr>
      <w:b/>
      <w:sz w:val="30"/>
      <w:szCs w:val="28"/>
    </w:rPr>
  </w:style>
  <w:style w:type="paragraph" w:styleId="1063" w:customStyle="1">
    <w:name w:val="二级目录"/>
    <w:next w:val="802"/>
    <w:link w:val="106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4" w:customStyle="1">
    <w:name w:val="列出段落 Char"/>
    <w:link w:val="1065"/>
    <w:uiPriority w:val="0"/>
    <w:qFormat/>
    <w:rPr>
      <w:rFonts w:ascii="Calibri" w:hAnsi="Calibri"/>
      <w:sz w:val="24"/>
      <w:szCs w:val="24"/>
      <w:lang w:eastAsia="en-US" w:bidi="en-US"/>
    </w:rPr>
  </w:style>
  <w:style w:type="paragraph" w:styleId="1065" w:customStyle="1">
    <w:name w:val="列出段落1"/>
    <w:basedOn w:val="802"/>
    <w:link w:val="1064"/>
    <w:uiPriority w:val="0"/>
    <w:qFormat/>
    <w:pPr>
      <w:contextualSpacing/>
      <w:ind w:left="720"/>
      <w:jc w:val="left"/>
      <w:widowControl/>
    </w:pPr>
    <w:rPr>
      <w:sz w:val="24"/>
      <w:szCs w:val="24"/>
      <w:lang w:eastAsia="en-US" w:bidi="en-US"/>
    </w:rPr>
  </w:style>
  <w:style w:type="paragraph" w:styleId="1066" w:customStyle="1">
    <w:name w:val="Body Text(ch)"/>
    <w:basedOn w:val="802"/>
    <w:next w:val="1067"/>
    <w:uiPriority w:val="0"/>
    <w:qFormat/>
    <w:pPr>
      <w:spacing w:after="120"/>
    </w:pPr>
    <w:rPr>
      <w:rFonts w:ascii="宋体" w:hAnsi="Arial"/>
      <w:bCs/>
      <w:iCs/>
      <w:szCs w:val="24"/>
    </w:rPr>
  </w:style>
  <w:style w:type="paragraph" w:styleId="1067" w:customStyle="1">
    <w:name w:val="正文文本1"/>
    <w:basedOn w:val="802"/>
    <w:link w:val="1072"/>
    <w:uiPriority w:val="0"/>
    <w:qFormat/>
    <w:rPr>
      <w:rFonts w:ascii="楷体_GB2312" w:hAnsi="Arial" w:eastAsia="楷体_GB2312"/>
      <w:sz w:val="28"/>
      <w:szCs w:val="28"/>
    </w:rPr>
  </w:style>
  <w:style w:type="paragraph" w:styleId="1068" w:customStyle="1">
    <w:name w:val="目录 91"/>
    <w:basedOn w:val="802"/>
    <w:next w:val="802"/>
    <w:uiPriority w:val="0"/>
    <w:semiHidden/>
    <w:qFormat/>
    <w:pPr>
      <w:ind w:left="1680"/>
      <w:jc w:val="left"/>
    </w:pPr>
    <w:rPr>
      <w:rFonts w:ascii="Times New Roman" w:hAnsi="Times New Roman"/>
      <w:szCs w:val="21"/>
    </w:rPr>
  </w:style>
  <w:style w:type="paragraph" w:styleId="1069" w:customStyle="1">
    <w:name w:val="xl27"/>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customStyle="1">
    <w:name w:val="正文文本缩进 21"/>
    <w:basedOn w:val="802"/>
    <w:link w:val="1071"/>
    <w:uiPriority w:val="0"/>
    <w:qFormat/>
    <w:pPr>
      <w:ind w:left="630" w:firstLine="645"/>
    </w:pPr>
    <w:rPr>
      <w:rFonts w:ascii="Arial" w:hAnsi="Arial" w:eastAsia="仿宋_GB2312" w:cs="Arial"/>
      <w:sz w:val="32"/>
      <w:szCs w:val="32"/>
    </w:rPr>
  </w:style>
  <w:style w:type="character" w:styleId="1071" w:customStyle="1">
    <w:name w:val="正文文本缩进 2 Char"/>
    <w:link w:val="1070"/>
    <w:uiPriority w:val="0"/>
    <w:qFormat/>
    <w:rPr>
      <w:rFonts w:ascii="Arial" w:hAnsi="Arial" w:eastAsia="仿宋_GB2312" w:cs="Arial"/>
      <w:sz w:val="32"/>
      <w:szCs w:val="32"/>
    </w:rPr>
  </w:style>
  <w:style w:type="character" w:styleId="1072" w:customStyle="1">
    <w:name w:val="正文文本 Char"/>
    <w:link w:val="1067"/>
    <w:uiPriority w:val="0"/>
    <w:qFormat/>
    <w:rPr>
      <w:rFonts w:ascii="楷体_GB2312" w:hAnsi="Arial" w:eastAsia="楷体_GB2312" w:cs="Times New Roman"/>
      <w:sz w:val="28"/>
      <w:szCs w:val="28"/>
    </w:rPr>
  </w:style>
  <w:style w:type="paragraph" w:styleId="1073" w:customStyle="1">
    <w:name w:val="图表目录1"/>
    <w:basedOn w:val="802"/>
    <w:next w:val="802"/>
    <w:uiPriority w:val="0"/>
    <w:semiHidden/>
    <w:qFormat/>
    <w:pPr>
      <w:ind w:left="840" w:hanging="420"/>
    </w:pPr>
    <w:rPr>
      <w:rFonts w:ascii="Times New Roman" w:hAnsi="Times New Roman"/>
      <w:szCs w:val="21"/>
    </w:rPr>
  </w:style>
  <w:style w:type="paragraph" w:styleId="1074" w:customStyle="1">
    <w:name w:val="xl26"/>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5" w:customStyle="1">
    <w:name w:val="Char"/>
    <w:basedOn w:val="802"/>
    <w:uiPriority w:val="0"/>
    <w:qFormat/>
    <w:pPr>
      <w:ind w:firstLine="200"/>
      <w:tabs>
        <w:tab w:val="left" w:pos="360" w:leader="none"/>
      </w:tabs>
    </w:pPr>
    <w:rPr>
      <w:rFonts w:ascii="Times New Roman" w:hAnsi="Times New Roman"/>
      <w:sz w:val="28"/>
      <w:szCs w:val="30"/>
    </w:rPr>
  </w:style>
  <w:style w:type="paragraph" w:styleId="1076" w:customStyle="1">
    <w:name w:val="Char1"/>
    <w:basedOn w:val="1077"/>
    <w:uiPriority w:val="0"/>
    <w:qFormat/>
    <w:rPr>
      <w:rFonts w:ascii="Tahoma" w:hAnsi="Tahoma"/>
      <w:sz w:val="24"/>
      <w:szCs w:val="24"/>
    </w:rPr>
  </w:style>
  <w:style w:type="paragraph" w:styleId="1077" w:customStyle="1">
    <w:name w:val="文档结构图1"/>
    <w:basedOn w:val="802"/>
    <w:link w:val="1101"/>
    <w:uiPriority w:val="0"/>
    <w:semiHidden/>
    <w:qFormat/>
    <w:pPr>
      <w:shd w:val="clear" w:color="auto" w:fill="000080"/>
    </w:pPr>
    <w:rPr>
      <w:rFonts w:ascii="Times New Roman" w:hAnsi="Times New Roman"/>
      <w:szCs w:val="21"/>
    </w:rPr>
  </w:style>
  <w:style w:type="paragraph" w:styleId="1078" w:customStyle="1">
    <w:name w:val="批注文字1"/>
    <w:basedOn w:val="802"/>
    <w:link w:val="1079"/>
    <w:uiPriority w:val="0"/>
    <w:unhideWhenUsed/>
    <w:qFormat/>
    <w:pPr>
      <w:jc w:val="left"/>
    </w:pPr>
  </w:style>
  <w:style w:type="character" w:styleId="1079" w:customStyle="1">
    <w:name w:val="批注文字 Char"/>
    <w:basedOn w:val="1044"/>
    <w:link w:val="1078"/>
    <w:uiPriority w:val="0"/>
    <w:qFormat/>
  </w:style>
  <w:style w:type="paragraph" w:styleId="1080" w:customStyle="1">
    <w:name w:val="批注主题1"/>
    <w:basedOn w:val="1078"/>
    <w:next w:val="1078"/>
    <w:link w:val="1081"/>
    <w:uiPriority w:val="0"/>
    <w:qFormat/>
    <w:rPr>
      <w:rFonts w:ascii="Times New Roman" w:hAnsi="Times New Roman"/>
      <w:b/>
      <w:bCs/>
      <w:szCs w:val="21"/>
    </w:rPr>
  </w:style>
  <w:style w:type="character" w:styleId="1081" w:customStyle="1">
    <w:name w:val="批注主题 Char"/>
    <w:link w:val="1080"/>
    <w:uiPriority w:val="0"/>
    <w:semiHidden/>
    <w:qFormat/>
    <w:rPr>
      <w:rFonts w:ascii="Times New Roman" w:hAnsi="Times New Roman" w:eastAsia="宋体" w:cs="Times New Roman"/>
      <w:b/>
      <w:bCs/>
      <w:szCs w:val="21"/>
    </w:rPr>
  </w:style>
  <w:style w:type="paragraph" w:styleId="1082" w:customStyle="1">
    <w:name w:val="索引 11"/>
    <w:basedOn w:val="802"/>
    <w:next w:val="802"/>
    <w:uiPriority w:val="0"/>
    <w:semiHidden/>
    <w:qFormat/>
    <w:pPr>
      <w:spacing w:line="240" w:lineRule="atLeast"/>
    </w:pPr>
    <w:rPr>
      <w:rFonts w:ascii="Times New Roman" w:hAnsi="Times New Roman"/>
      <w:b/>
      <w:bCs/>
      <w:szCs w:val="21"/>
    </w:rPr>
  </w:style>
  <w:style w:type="paragraph" w:styleId="1083" w:customStyle="1">
    <w:name w:val="普通正文"/>
    <w:basedOn w:val="802"/>
    <w:link w:val="1200"/>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802"/>
    <w:uiPriority w:val="0"/>
    <w:qFormat/>
    <w:pPr>
      <w:jc w:val="left"/>
      <w:widowControl/>
    </w:pPr>
    <w:rPr>
      <w:rFonts w:ascii="Times New Roman" w:hAnsi="Times New Roman"/>
      <w:sz w:val="20"/>
      <w:szCs w:val="20"/>
      <w:lang w:val="de-DE" w:eastAsia="de-DE"/>
    </w:rPr>
  </w:style>
  <w:style w:type="paragraph" w:styleId="108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6" w:customStyle="1">
    <w:name w:val="目录 31"/>
    <w:basedOn w:val="802"/>
    <w:next w:val="802"/>
    <w:uiPriority w:val="39"/>
    <w:qFormat/>
    <w:pPr>
      <w:ind w:left="420"/>
      <w:jc w:val="left"/>
    </w:pPr>
    <w:rPr>
      <w:rFonts w:ascii="Times New Roman" w:hAnsi="Times New Roman"/>
      <w:i/>
      <w:iCs/>
      <w:szCs w:val="24"/>
    </w:rPr>
  </w:style>
  <w:style w:type="paragraph" w:styleId="1087" w:customStyle="1">
    <w:name w:val="正文文本缩进1"/>
    <w:basedOn w:val="802"/>
    <w:link w:val="1088"/>
    <w:uiPriority w:val="0"/>
    <w:unhideWhenUsed/>
    <w:qFormat/>
    <w:pPr>
      <w:ind w:left="420"/>
      <w:spacing w:after="120"/>
    </w:pPr>
  </w:style>
  <w:style w:type="character" w:styleId="1088" w:customStyle="1">
    <w:name w:val="正文文本缩进 Char"/>
    <w:basedOn w:val="1044"/>
    <w:link w:val="1087"/>
    <w:uiPriority w:val="99"/>
    <w:semiHidden/>
    <w:qFormat/>
  </w:style>
  <w:style w:type="paragraph" w:styleId="1089" w:customStyle="1">
    <w:name w:val="正文首行缩进 21"/>
    <w:basedOn w:val="1087"/>
    <w:link w:val="1090"/>
    <w:uiPriority w:val="0"/>
    <w:qFormat/>
    <w:pPr>
      <w:ind w:left="0" w:firstLine="420"/>
      <w:spacing w:after="0" w:line="360" w:lineRule="auto"/>
    </w:pPr>
    <w:rPr>
      <w:rFonts w:ascii="宋体" w:hAnsi="宋体"/>
      <w:szCs w:val="20"/>
    </w:rPr>
  </w:style>
  <w:style w:type="character" w:styleId="1090" w:customStyle="1">
    <w:name w:val="正文首行缩进 2 Char"/>
    <w:link w:val="1089"/>
    <w:uiPriority w:val="0"/>
    <w:qFormat/>
    <w:rPr>
      <w:rFonts w:ascii="宋体" w:hAnsi="宋体" w:eastAsia="宋体" w:cs="Times New Roman"/>
      <w:szCs w:val="20"/>
    </w:rPr>
  </w:style>
  <w:style w:type="paragraph" w:styleId="1091" w:customStyle="1">
    <w:name w:val="正文文本缩进 31"/>
    <w:basedOn w:val="802"/>
    <w:link w:val="1092"/>
    <w:uiPriority w:val="0"/>
    <w:qFormat/>
    <w:pPr>
      <w:ind w:left="645" w:firstLine="645"/>
    </w:pPr>
    <w:rPr>
      <w:rFonts w:ascii="Arial" w:hAnsi="Arial" w:eastAsia="仿宋_GB2312" w:cs="Arial"/>
      <w:color w:val="ffff00"/>
      <w:sz w:val="32"/>
      <w:szCs w:val="32"/>
    </w:rPr>
  </w:style>
  <w:style w:type="character" w:styleId="1092" w:customStyle="1">
    <w:name w:val="正文文本缩进 3 Char"/>
    <w:link w:val="1091"/>
    <w:uiPriority w:val="0"/>
    <w:qFormat/>
    <w:rPr>
      <w:rFonts w:ascii="Arial" w:hAnsi="Arial" w:eastAsia="仿宋_GB2312" w:cs="Arial"/>
      <w:color w:val="ffff00"/>
      <w:sz w:val="32"/>
      <w:szCs w:val="32"/>
    </w:rPr>
  </w:style>
  <w:style w:type="paragraph" w:styleId="1093" w:customStyle="1">
    <w:name w:val="目录 61"/>
    <w:basedOn w:val="802"/>
    <w:next w:val="802"/>
    <w:uiPriority w:val="0"/>
    <w:semiHidden/>
    <w:qFormat/>
    <w:pPr>
      <w:ind w:left="1050"/>
      <w:jc w:val="left"/>
    </w:pPr>
    <w:rPr>
      <w:rFonts w:ascii="Times New Roman" w:hAnsi="Times New Roman"/>
      <w:szCs w:val="21"/>
    </w:rPr>
  </w:style>
  <w:style w:type="paragraph" w:styleId="1094" w:customStyle="1">
    <w:name w:val="font7"/>
    <w:basedOn w:val="802"/>
    <w:uiPriority w:val="0"/>
    <w:qFormat/>
    <w:pPr>
      <w:jc w:val="left"/>
      <w:spacing w:before="100" w:beforeAutospacing="1" w:after="100" w:afterAutospacing="1"/>
      <w:widowControl/>
    </w:pPr>
    <w:rPr>
      <w:rFonts w:hint="eastAsia" w:ascii="宋体" w:hAnsi="宋体"/>
      <w:sz w:val="18"/>
      <w:szCs w:val="18"/>
    </w:rPr>
  </w:style>
  <w:style w:type="paragraph" w:styleId="1095" w:customStyle="1">
    <w:name w:val="Char Char Char Char"/>
    <w:basedOn w:val="1077"/>
    <w:uiPriority w:val="0"/>
    <w:qFormat/>
    <w:pPr>
      <w:spacing w:line="360" w:lineRule="auto"/>
    </w:pPr>
    <w:rPr>
      <w:rFonts w:ascii="Tahoma" w:hAnsi="Tahoma"/>
      <w:sz w:val="24"/>
      <w:szCs w:val="24"/>
    </w:rPr>
  </w:style>
  <w:style w:type="paragraph" w:styleId="1096" w:customStyle="1">
    <w:name w:val="正文文本 31"/>
    <w:basedOn w:val="802"/>
    <w:link w:val="1097"/>
    <w:uiPriority w:val="0"/>
    <w:qFormat/>
    <w:rPr>
      <w:rFonts w:ascii="仿宋_GB2312" w:hAnsi="Arial" w:eastAsia="仿宋_GB2312"/>
      <w:sz w:val="32"/>
      <w:szCs w:val="32"/>
    </w:rPr>
  </w:style>
  <w:style w:type="character" w:styleId="1097" w:customStyle="1">
    <w:name w:val="正文文本 3 Char"/>
    <w:link w:val="1096"/>
    <w:uiPriority w:val="0"/>
    <w:qFormat/>
    <w:rPr>
      <w:rFonts w:ascii="仿宋_GB2312" w:hAnsi="Arial" w:eastAsia="仿宋_GB2312" w:cs="Times New Roman"/>
      <w:sz w:val="32"/>
      <w:szCs w:val="32"/>
    </w:rPr>
  </w:style>
  <w:style w:type="paragraph" w:styleId="1098" w:customStyle="1">
    <w:name w:val="普通(网站)1"/>
    <w:basedOn w:val="802"/>
    <w:uiPriority w:val="99"/>
    <w:qFormat/>
    <w:pPr>
      <w:jc w:val="left"/>
      <w:spacing w:before="100" w:beforeAutospacing="1" w:after="100" w:afterAutospacing="1"/>
      <w:widowControl/>
    </w:pPr>
    <w:rPr>
      <w:rFonts w:ascii="宋体" w:hAnsi="宋体" w:cs="宋体"/>
      <w:sz w:val="24"/>
      <w:szCs w:val="24"/>
    </w:rPr>
  </w:style>
  <w:style w:type="paragraph" w:styleId="1099" w:customStyle="1">
    <w:name w:val="目录 41"/>
    <w:basedOn w:val="802"/>
    <w:next w:val="802"/>
    <w:uiPriority w:val="0"/>
    <w:semiHidden/>
    <w:qFormat/>
    <w:pPr>
      <w:ind w:left="630"/>
      <w:jc w:val="left"/>
    </w:pPr>
    <w:rPr>
      <w:rFonts w:ascii="Times New Roman" w:hAnsi="Times New Roman"/>
      <w:szCs w:val="21"/>
    </w:rPr>
  </w:style>
  <w:style w:type="paragraph" w:styleId="1100" w:customStyle="1">
    <w:name w:val="列出段落2"/>
    <w:basedOn w:val="802"/>
    <w:link w:val="1176"/>
    <w:uiPriority w:val="34"/>
    <w:qFormat/>
    <w:pPr>
      <w:contextualSpacing/>
      <w:ind w:left="720"/>
      <w:jc w:val="left"/>
      <w:widowControl/>
    </w:pPr>
    <w:rPr>
      <w:sz w:val="24"/>
      <w:szCs w:val="24"/>
      <w:lang w:eastAsia="en-US" w:bidi="en-US"/>
    </w:rPr>
  </w:style>
  <w:style w:type="character" w:styleId="1101" w:customStyle="1">
    <w:name w:val="文档结构图 Char"/>
    <w:link w:val="1077"/>
    <w:uiPriority w:val="0"/>
    <w:semiHidden/>
    <w:qFormat/>
    <w:rPr>
      <w:rFonts w:ascii="Times New Roman" w:hAnsi="Times New Roman" w:eastAsia="宋体" w:cs="Times New Roman"/>
      <w:szCs w:val="21"/>
      <w:shd w:val="clear" w:color="auto" w:fill="000080"/>
    </w:rPr>
  </w:style>
  <w:style w:type="paragraph" w:styleId="1102" w:customStyle="1">
    <w:name w:val="4"/>
    <w:basedOn w:val="802"/>
    <w:next w:val="1091"/>
    <w:uiPriority w:val="0"/>
    <w:qFormat/>
    <w:pPr>
      <w:ind w:firstLine="420"/>
      <w:spacing w:line="360" w:lineRule="auto"/>
    </w:pPr>
    <w:rPr>
      <w:rFonts w:ascii="Times New Roman" w:hAnsi="Times New Roman"/>
      <w:color w:val="ff0000"/>
      <w:sz w:val="24"/>
      <w:szCs w:val="24"/>
    </w:rPr>
  </w:style>
  <w:style w:type="paragraph" w:styleId="1103" w:customStyle="1">
    <w:name w:val="普通 (Web)"/>
    <w:basedOn w:val="802"/>
    <w:uiPriority w:val="0"/>
    <w:qFormat/>
    <w:pPr>
      <w:jc w:val="left"/>
      <w:spacing w:before="100" w:beforeAutospacing="1" w:after="100" w:afterAutospacing="1"/>
      <w:widowControl/>
    </w:pPr>
    <w:rPr>
      <w:rFonts w:ascii="宋体" w:hAnsi="宋体"/>
      <w:sz w:val="24"/>
      <w:szCs w:val="24"/>
    </w:rPr>
  </w:style>
  <w:style w:type="paragraph" w:styleId="1104" w:customStyle="1">
    <w:name w:val="Char Char Char Char Char Char Char Char Char Char"/>
    <w:basedOn w:val="802"/>
    <w:uiPriority w:val="0"/>
    <w:qFormat/>
    <w:pPr>
      <w:spacing w:line="360" w:lineRule="auto"/>
    </w:pPr>
    <w:rPr>
      <w:rFonts w:ascii="Times New Roman" w:hAnsi="Times New Roman"/>
      <w:sz w:val="24"/>
      <w:szCs w:val="20"/>
    </w:rPr>
  </w:style>
  <w:style w:type="paragraph" w:styleId="1105" w:customStyle="1">
    <w:name w:val="列表 21"/>
    <w:basedOn w:val="802"/>
    <w:uiPriority w:val="0"/>
    <w:qFormat/>
    <w:pPr>
      <w:ind w:left="100" w:hanging="200"/>
    </w:pPr>
    <w:rPr>
      <w:rFonts w:ascii="Times New Roman" w:hAnsi="Times New Roman"/>
      <w:szCs w:val="21"/>
    </w:rPr>
  </w:style>
  <w:style w:type="paragraph" w:styleId="1106" w:customStyle="1">
    <w:name w:val="正文首行缩进1"/>
    <w:basedOn w:val="802"/>
    <w:link w:val="1107"/>
    <w:uiPriority w:val="0"/>
    <w:qFormat/>
    <w:pPr>
      <w:ind w:firstLine="200"/>
      <w:spacing w:line="360" w:lineRule="auto"/>
    </w:pPr>
    <w:rPr>
      <w:rFonts w:ascii="仿宋_GB2312" w:hAnsi="Times New Roman" w:eastAsia="仿宋_GB2312"/>
      <w:sz w:val="30"/>
      <w:szCs w:val="30"/>
    </w:rPr>
  </w:style>
  <w:style w:type="character" w:styleId="1107" w:customStyle="1">
    <w:name w:val="正文首行缩进 Char"/>
    <w:link w:val="1106"/>
    <w:uiPriority w:val="0"/>
    <w:qFormat/>
    <w:rPr>
      <w:rFonts w:ascii="仿宋_GB2312" w:hAnsi="Times New Roman" w:eastAsia="仿宋_GB2312" w:cs="Times New Roman"/>
      <w:sz w:val="30"/>
      <w:szCs w:val="30"/>
    </w:rPr>
  </w:style>
  <w:style w:type="paragraph" w:styleId="1108" w:customStyle="1">
    <w:name w:val="样式1"/>
    <w:basedOn w:val="802"/>
    <w:uiPriority w:val="0"/>
    <w:qFormat/>
    <w:pPr>
      <w:numPr>
        <w:ilvl w:val="0"/>
        <w:numId w:val="3"/>
      </w:numPr>
    </w:pPr>
    <w:rPr>
      <w:rFonts w:ascii="宋体" w:hAnsi="宋体"/>
      <w:szCs w:val="21"/>
    </w:rPr>
  </w:style>
  <w:style w:type="paragraph" w:styleId="1109" w:customStyle="1">
    <w:name w:val="font6"/>
    <w:basedOn w:val="802"/>
    <w:uiPriority w:val="0"/>
    <w:qFormat/>
    <w:pPr>
      <w:jc w:val="left"/>
      <w:spacing w:before="100" w:beforeAutospacing="1" w:after="100" w:afterAutospacing="1"/>
      <w:widowControl/>
    </w:pPr>
    <w:rPr>
      <w:rFonts w:hint="eastAsia" w:ascii="宋体" w:hAnsi="宋体"/>
      <w:sz w:val="28"/>
      <w:szCs w:val="28"/>
      <w:u w:val="single"/>
    </w:rPr>
  </w:style>
  <w:style w:type="paragraph" w:styleId="1110" w:customStyle="1">
    <w:name w:val="目录 51"/>
    <w:basedOn w:val="802"/>
    <w:next w:val="802"/>
    <w:uiPriority w:val="0"/>
    <w:semiHidden/>
    <w:qFormat/>
    <w:pPr>
      <w:ind w:left="840"/>
      <w:jc w:val="left"/>
    </w:pPr>
    <w:rPr>
      <w:rFonts w:ascii="Times New Roman" w:hAnsi="Times New Roman"/>
      <w:szCs w:val="21"/>
    </w:rPr>
  </w:style>
  <w:style w:type="paragraph" w:styleId="1111" w:customStyle="1">
    <w:name w:val="目录 11"/>
    <w:basedOn w:val="802"/>
    <w:next w:val="802"/>
    <w:uiPriority w:val="39"/>
    <w:qFormat/>
    <w:pPr>
      <w:jc w:val="left"/>
      <w:spacing w:before="120" w:after="120" w:line="400" w:lineRule="exact"/>
      <w:tabs>
        <w:tab w:val="right" w:pos="8720" w:leader="dot"/>
      </w:tabs>
    </w:pPr>
    <w:rPr>
      <w:rFonts w:ascii="宋体" w:hAnsi="宋体"/>
      <w:caps/>
      <w:sz w:val="24"/>
      <w:szCs w:val="24"/>
    </w:rPr>
  </w:style>
  <w:style w:type="paragraph" w:styleId="1112" w:customStyle="1">
    <w:name w:val="纯文本1"/>
    <w:basedOn w:val="802"/>
    <w:link w:val="1113"/>
    <w:uiPriority w:val="0"/>
    <w:qFormat/>
    <w:rPr>
      <w:rFonts w:ascii="宋体" w:hAnsi="Courier New" w:cs="Courier New"/>
      <w:szCs w:val="21"/>
    </w:rPr>
  </w:style>
  <w:style w:type="character" w:styleId="1113" w:customStyle="1">
    <w:name w:val="纯文本 Char"/>
    <w:link w:val="1112"/>
    <w:uiPriority w:val="0"/>
    <w:qFormat/>
    <w:rPr>
      <w:rFonts w:ascii="宋体" w:hAnsi="Courier New" w:eastAsia="宋体" w:cs="Courier New"/>
      <w:szCs w:val="21"/>
    </w:rPr>
  </w:style>
  <w:style w:type="paragraph" w:styleId="1114" w:customStyle="1">
    <w:name w:val="批注框文本1"/>
    <w:basedOn w:val="802"/>
    <w:link w:val="1115"/>
    <w:uiPriority w:val="0"/>
    <w:qFormat/>
    <w:rPr>
      <w:rFonts w:ascii="Times New Roman" w:hAnsi="Times New Roman"/>
      <w:sz w:val="18"/>
      <w:szCs w:val="18"/>
    </w:rPr>
  </w:style>
  <w:style w:type="character" w:styleId="1115" w:customStyle="1">
    <w:name w:val="批注框文本 Char"/>
    <w:link w:val="1114"/>
    <w:uiPriority w:val="0"/>
    <w:semiHidden/>
    <w:qFormat/>
    <w:rPr>
      <w:rFonts w:ascii="Times New Roman" w:hAnsi="Times New Roman" w:eastAsia="宋体" w:cs="Times New Roman"/>
      <w:sz w:val="18"/>
      <w:szCs w:val="18"/>
    </w:rPr>
  </w:style>
  <w:style w:type="paragraph" w:styleId="1116" w:customStyle="1">
    <w:name w:val="xl25"/>
    <w:basedOn w:val="8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列表1"/>
    <w:basedOn w:val="802"/>
    <w:uiPriority w:val="0"/>
    <w:qFormat/>
    <w:pPr>
      <w:ind w:left="200" w:hanging="200"/>
    </w:pPr>
    <w:rPr>
      <w:rFonts w:ascii="Times New Roman" w:hAnsi="Times New Roman"/>
      <w:szCs w:val="21"/>
    </w:rPr>
  </w:style>
  <w:style w:type="paragraph" w:styleId="1118" w:customStyle="1">
    <w:name w:val="图标"/>
    <w:basedOn w:val="802"/>
    <w:next w:val="8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9" w:customStyle="1">
    <w:name w:val="日期1"/>
    <w:basedOn w:val="802"/>
    <w:next w:val="802"/>
    <w:link w:val="1120"/>
    <w:uiPriority w:val="0"/>
    <w:qFormat/>
    <w:rPr>
      <w:rFonts w:ascii="Times New Roman" w:hAnsi="Times New Roman"/>
      <w:sz w:val="24"/>
      <w:szCs w:val="24"/>
    </w:rPr>
  </w:style>
  <w:style w:type="character" w:styleId="1120" w:customStyle="1">
    <w:name w:val="日期 Char"/>
    <w:link w:val="1119"/>
    <w:uiPriority w:val="0"/>
    <w:qFormat/>
    <w:rPr>
      <w:rFonts w:ascii="Times New Roman" w:hAnsi="Times New Roman" w:eastAsia="宋体" w:cs="Times New Roman"/>
      <w:sz w:val="24"/>
      <w:szCs w:val="24"/>
    </w:rPr>
  </w:style>
  <w:style w:type="paragraph" w:styleId="1121" w:customStyle="1">
    <w:name w:val="标题3"/>
    <w:basedOn w:val="802"/>
    <w:next w:val="802"/>
    <w:uiPriority w:val="0"/>
    <w:qFormat/>
    <w:pPr>
      <w:ind w:firstLine="624"/>
      <w:spacing w:line="590" w:lineRule="atLeast"/>
    </w:pPr>
    <w:rPr>
      <w:rFonts w:ascii="方正黑体_GBK" w:hAnsi="Times New Roman" w:eastAsia="方正黑体_GBK"/>
      <w:sz w:val="32"/>
      <w:szCs w:val="32"/>
    </w:rPr>
  </w:style>
  <w:style w:type="paragraph" w:styleId="1122" w:customStyle="1">
    <w:name w:val="xl24"/>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9"/>
    <w:basedOn w:val="8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4" w:customStyle="1">
    <w:name w:val="Char Char Char Char Char Char Char Char"/>
    <w:basedOn w:val="802"/>
    <w:uiPriority w:val="0"/>
    <w:qFormat/>
    <w:pPr>
      <w:jc w:val="left"/>
      <w:spacing w:after="160" w:line="240" w:lineRule="exact"/>
      <w:widowControl/>
    </w:pPr>
    <w:rPr>
      <w:rFonts w:ascii="Verdana" w:hAnsi="Verdana"/>
      <w:sz w:val="20"/>
      <w:szCs w:val="20"/>
      <w:lang w:eastAsia="en-US"/>
    </w:rPr>
  </w:style>
  <w:style w:type="paragraph" w:styleId="1125" w:customStyle="1">
    <w:name w:val="正文文本 21"/>
    <w:basedOn w:val="802"/>
    <w:link w:val="1126"/>
    <w:uiPriority w:val="0"/>
    <w:qFormat/>
    <w:pPr>
      <w:jc w:val="center"/>
      <w:widowControl/>
    </w:pPr>
    <w:rPr>
      <w:rFonts w:ascii="楷体_GB2312" w:hAnsi="Times New Roman" w:eastAsia="楷体_GB2312"/>
      <w:sz w:val="28"/>
      <w:szCs w:val="28"/>
    </w:rPr>
  </w:style>
  <w:style w:type="character" w:styleId="1126" w:customStyle="1">
    <w:name w:val="正文文本 2 Char"/>
    <w:link w:val="1125"/>
    <w:uiPriority w:val="0"/>
    <w:qFormat/>
    <w:rPr>
      <w:rFonts w:ascii="楷体_GB2312" w:hAnsi="Times New Roman" w:eastAsia="楷体_GB2312" w:cs="Times New Roman"/>
      <w:sz w:val="28"/>
      <w:szCs w:val="28"/>
    </w:rPr>
  </w:style>
  <w:style w:type="paragraph" w:styleId="1127" w:customStyle="1">
    <w:name w:val="列表 31"/>
    <w:basedOn w:val="802"/>
    <w:uiPriority w:val="0"/>
    <w:qFormat/>
    <w:pPr>
      <w:ind w:left="100" w:hanging="200"/>
    </w:pPr>
    <w:rPr>
      <w:rFonts w:ascii="Times New Roman" w:hAnsi="Times New Roman"/>
      <w:szCs w:val="21"/>
    </w:rPr>
  </w:style>
  <w:style w:type="paragraph" w:styleId="1128" w:customStyle="1">
    <w:name w:val="目录 71"/>
    <w:basedOn w:val="802"/>
    <w:next w:val="802"/>
    <w:uiPriority w:val="0"/>
    <w:semiHidden/>
    <w:qFormat/>
    <w:pPr>
      <w:ind w:left="1260"/>
      <w:jc w:val="left"/>
    </w:pPr>
    <w:rPr>
      <w:rFonts w:ascii="Times New Roman" w:hAnsi="Times New Roman"/>
      <w:szCs w:val="21"/>
    </w:rPr>
  </w:style>
  <w:style w:type="paragraph" w:styleId="1129" w:customStyle="1">
    <w:name w:val="目录 21"/>
    <w:basedOn w:val="802"/>
    <w:next w:val="802"/>
    <w:uiPriority w:val="39"/>
    <w:qFormat/>
    <w:pPr>
      <w:ind w:left="210"/>
      <w:jc w:val="left"/>
      <w:tabs>
        <w:tab w:val="right" w:pos="8719" w:leader="none"/>
      </w:tabs>
    </w:pPr>
    <w:rPr>
      <w:rFonts w:ascii="Times New Roman" w:hAnsi="Times New Roman"/>
      <w:smallCaps/>
      <w:szCs w:val="24"/>
    </w:rPr>
  </w:style>
  <w:style w:type="paragraph" w:styleId="1130" w:customStyle="1">
    <w:name w:val="xl28"/>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页眉1"/>
    <w:basedOn w:val="802"/>
    <w:link w:val="1132"/>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132" w:customStyle="1">
    <w:name w:val="页眉 Char"/>
    <w:link w:val="1131"/>
    <w:uiPriority w:val="0"/>
    <w:qFormat/>
    <w:rPr>
      <w:rFonts w:ascii="Times New Roman" w:hAnsi="Times New Roman"/>
      <w:sz w:val="18"/>
      <w:szCs w:val="18"/>
    </w:rPr>
  </w:style>
  <w:style w:type="paragraph" w:styleId="1133" w:customStyle="1">
    <w:name w:val="页脚1"/>
    <w:basedOn w:val="802"/>
    <w:link w:val="1134"/>
    <w:uiPriority w:val="0"/>
    <w:qFormat/>
    <w:pPr>
      <w:jc w:val="left"/>
      <w:tabs>
        <w:tab w:val="center" w:pos="4153" w:leader="none"/>
        <w:tab w:val="right" w:pos="8306" w:leader="none"/>
      </w:tabs>
    </w:pPr>
    <w:rPr>
      <w:rFonts w:ascii="Times New Roman" w:hAnsi="Times New Roman"/>
      <w:sz w:val="18"/>
      <w:szCs w:val="18"/>
    </w:rPr>
  </w:style>
  <w:style w:type="character" w:styleId="1134" w:customStyle="1">
    <w:name w:val="页脚 Char"/>
    <w:link w:val="1133"/>
    <w:uiPriority w:val="0"/>
    <w:qFormat/>
    <w:rPr>
      <w:rFonts w:ascii="Times New Roman" w:hAnsi="Times New Roman" w:eastAsia="宋体" w:cs="Times New Roman"/>
      <w:sz w:val="18"/>
      <w:szCs w:val="18"/>
    </w:rPr>
  </w:style>
  <w:style w:type="paragraph" w:styleId="1135" w:customStyle="1">
    <w:name w:val="Char Char Char Char Char Char Char Char1"/>
    <w:basedOn w:val="802"/>
    <w:uiPriority w:val="0"/>
    <w:qFormat/>
    <w:pPr>
      <w:jc w:val="left"/>
      <w:spacing w:after="160" w:line="240" w:lineRule="exact"/>
      <w:widowControl/>
    </w:pPr>
    <w:rPr>
      <w:rFonts w:ascii="Verdana" w:hAnsi="Verdana"/>
      <w:sz w:val="20"/>
      <w:szCs w:val="20"/>
      <w:lang w:eastAsia="en-US"/>
    </w:rPr>
  </w:style>
  <w:style w:type="paragraph" w:styleId="1136" w:customStyle="1">
    <w:name w:val="目录 81"/>
    <w:basedOn w:val="802"/>
    <w:next w:val="802"/>
    <w:uiPriority w:val="0"/>
    <w:semiHidden/>
    <w:qFormat/>
    <w:pPr>
      <w:ind w:left="1470"/>
      <w:jc w:val="left"/>
    </w:pPr>
    <w:rPr>
      <w:rFonts w:ascii="Times New Roman" w:hAnsi="Times New Roman"/>
      <w:szCs w:val="21"/>
    </w:rPr>
  </w:style>
  <w:style w:type="paragraph" w:styleId="1137" w:customStyle="1">
    <w:name w:val="xl30"/>
    <w:basedOn w:val="802"/>
    <w:uiPriority w:val="0"/>
    <w:qFormat/>
    <w:pPr>
      <w:jc w:val="center"/>
      <w:spacing w:before="100" w:beforeAutospacing="1" w:after="100" w:afterAutospacing="1"/>
      <w:widowControl/>
    </w:pPr>
    <w:rPr>
      <w:rFonts w:ascii="宋体" w:hAnsi="宋体"/>
      <w:b/>
      <w:bCs/>
      <w:sz w:val="36"/>
      <w:szCs w:val="36"/>
    </w:rPr>
  </w:style>
  <w:style w:type="paragraph" w:styleId="1138" w:customStyle="1">
    <w:name w:val="Char Char Char Char1"/>
    <w:basedOn w:val="1077"/>
    <w:uiPriority w:val="0"/>
    <w:qFormat/>
    <w:pPr>
      <w:spacing w:line="360" w:lineRule="auto"/>
    </w:pPr>
    <w:rPr>
      <w:rFonts w:ascii="Tahoma" w:hAnsi="Tahoma"/>
      <w:sz w:val="24"/>
      <w:szCs w:val="24"/>
    </w:rPr>
  </w:style>
  <w:style w:type="paragraph" w:styleId="1139" w:customStyle="1">
    <w:name w:val="table_1stline"/>
    <w:basedOn w:val="802"/>
    <w:uiPriority w:val="0"/>
    <w:qFormat/>
    <w:pPr>
      <w:jc w:val="left"/>
      <w:spacing w:before="120"/>
      <w:widowControl/>
    </w:pPr>
    <w:rPr>
      <w:rFonts w:ascii="Times New Roman" w:hAnsi="Times New Roman"/>
      <w:bCs/>
      <w:sz w:val="20"/>
      <w:szCs w:val="20"/>
      <w:lang w:val="de-DE" w:eastAsia="de-DE"/>
    </w:rPr>
  </w:style>
  <w:style w:type="paragraph" w:styleId="1140" w:customStyle="1">
    <w:name w:val="font5"/>
    <w:basedOn w:val="802"/>
    <w:uiPriority w:val="0"/>
    <w:qFormat/>
    <w:pPr>
      <w:jc w:val="left"/>
      <w:spacing w:before="100" w:beforeAutospacing="1" w:after="100" w:afterAutospacing="1"/>
      <w:widowControl/>
    </w:pPr>
    <w:rPr>
      <w:rFonts w:hint="eastAsia" w:ascii="宋体" w:hAnsi="宋体"/>
      <w:sz w:val="28"/>
      <w:szCs w:val="28"/>
    </w:rPr>
  </w:style>
  <w:style w:type="paragraph" w:styleId="1141" w:customStyle="1">
    <w:name w:val="标题1"/>
    <w:basedOn w:val="802"/>
    <w:next w:val="80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4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143" w:customStyle="1">
    <w:name w:val="网格型1"/>
    <w:basedOn w:val="1045"/>
    <w:uiPriority w:val="0"/>
    <w:qFormat/>
    <w:pPr>
      <w:jc w:val="both"/>
      <w:widowControl w:val="off"/>
    </w:pPr>
    <w:tblPr/>
  </w:style>
  <w:style w:type="paragraph" w:styleId="114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5" w:customStyle="1">
    <w:name w:val="索引 81"/>
    <w:basedOn w:val="802"/>
    <w:next w:val="802"/>
    <w:uiPriority w:val="0"/>
    <w:semiHidden/>
    <w:qFormat/>
    <w:pPr>
      <w:ind w:left="1400"/>
    </w:pPr>
    <w:rPr>
      <w:rFonts w:ascii="Times New Roman" w:hAnsi="Times New Roman"/>
      <w:szCs w:val="20"/>
    </w:rPr>
  </w:style>
  <w:style w:type="paragraph" w:styleId="1146" w:customStyle="1">
    <w:name w:val="索引 51"/>
    <w:basedOn w:val="802"/>
    <w:next w:val="802"/>
    <w:uiPriority w:val="0"/>
    <w:semiHidden/>
    <w:qFormat/>
    <w:pPr>
      <w:ind w:left="800"/>
    </w:pPr>
    <w:rPr>
      <w:rFonts w:ascii="Times New Roman" w:hAnsi="Times New Roman"/>
      <w:szCs w:val="20"/>
    </w:rPr>
  </w:style>
  <w:style w:type="paragraph" w:styleId="1147" w:customStyle="1">
    <w:name w:val="索引 61"/>
    <w:basedOn w:val="802"/>
    <w:next w:val="802"/>
    <w:uiPriority w:val="0"/>
    <w:semiHidden/>
    <w:qFormat/>
    <w:pPr>
      <w:ind w:left="1000"/>
    </w:pPr>
    <w:rPr>
      <w:rFonts w:ascii="Times New Roman" w:hAnsi="Times New Roman"/>
      <w:szCs w:val="20"/>
    </w:rPr>
  </w:style>
  <w:style w:type="paragraph" w:styleId="1148" w:customStyle="1">
    <w:name w:val="寄信人地址1"/>
    <w:basedOn w:val="802"/>
    <w:uiPriority w:val="0"/>
    <w:qFormat/>
    <w:rPr>
      <w:rFonts w:ascii="Arial" w:hAnsi="Arial"/>
      <w:szCs w:val="20"/>
    </w:rPr>
  </w:style>
  <w:style w:type="paragraph" w:styleId="1149" w:customStyle="1">
    <w:name w:val="文本块1"/>
    <w:basedOn w:val="802"/>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150" w:customStyle="1">
    <w:name w:val="索引 41"/>
    <w:basedOn w:val="802"/>
    <w:next w:val="802"/>
    <w:uiPriority w:val="0"/>
    <w:semiHidden/>
    <w:qFormat/>
    <w:pPr>
      <w:ind w:left="600"/>
    </w:pPr>
    <w:rPr>
      <w:rFonts w:ascii="Times New Roman" w:hAnsi="Times New Roman"/>
      <w:szCs w:val="20"/>
    </w:rPr>
  </w:style>
  <w:style w:type="paragraph" w:styleId="1151" w:customStyle="1">
    <w:name w:val="索引 31"/>
    <w:basedOn w:val="802"/>
    <w:next w:val="802"/>
    <w:uiPriority w:val="0"/>
    <w:semiHidden/>
    <w:qFormat/>
    <w:pPr>
      <w:ind w:left="400"/>
    </w:pPr>
    <w:rPr>
      <w:rFonts w:ascii="Times New Roman" w:hAnsi="Times New Roman"/>
      <w:szCs w:val="20"/>
    </w:rPr>
  </w:style>
  <w:style w:type="paragraph" w:styleId="1152" w:customStyle="1">
    <w:name w:val="签名1"/>
    <w:basedOn w:val="802"/>
    <w:link w:val="1173"/>
    <w:uiPriority w:val="0"/>
    <w:qFormat/>
    <w:pPr>
      <w:jc w:val="center"/>
      <w:spacing w:after="600" w:line="312" w:lineRule="atLeast"/>
    </w:pPr>
    <w:rPr>
      <w:rFonts w:ascii="Times New Roman" w:hAnsi="Times New Roman" w:eastAsia="仿宋_GB2312"/>
      <w:sz w:val="24"/>
      <w:szCs w:val="20"/>
    </w:rPr>
  </w:style>
  <w:style w:type="character" w:styleId="1153" w:customStyle="1">
    <w:name w:val="签名 字符"/>
    <w:uiPriority w:val="0"/>
    <w:qFormat/>
    <w:rPr>
      <w:sz w:val="21"/>
      <w:szCs w:val="22"/>
    </w:rPr>
  </w:style>
  <w:style w:type="paragraph" w:styleId="1154" w:customStyle="1">
    <w:name w:val="索引标题1"/>
    <w:basedOn w:val="802"/>
    <w:next w:val="1082"/>
    <w:uiPriority w:val="0"/>
    <w:semiHidden/>
    <w:qFormat/>
    <w:rPr>
      <w:rFonts w:ascii="Times New Roman" w:hAnsi="Times New Roman"/>
      <w:szCs w:val="20"/>
    </w:rPr>
  </w:style>
  <w:style w:type="paragraph" w:styleId="1155" w:customStyle="1">
    <w:name w:val="脚注文本1"/>
    <w:basedOn w:val="802"/>
    <w:link w:val="1156"/>
    <w:uiPriority w:val="0"/>
    <w:qFormat/>
    <w:pPr>
      <w:jc w:val="left"/>
    </w:pPr>
    <w:rPr>
      <w:rFonts w:ascii="Times New Roman" w:hAnsi="Times New Roman"/>
      <w:sz w:val="18"/>
      <w:szCs w:val="18"/>
    </w:rPr>
  </w:style>
  <w:style w:type="character" w:styleId="1156" w:customStyle="1">
    <w:name w:val="脚注文本 字符"/>
    <w:link w:val="1155"/>
    <w:uiPriority w:val="0"/>
    <w:qFormat/>
    <w:rPr>
      <w:rFonts w:ascii="Times New Roman" w:hAnsi="Times New Roman"/>
      <w:sz w:val="18"/>
      <w:szCs w:val="18"/>
    </w:rPr>
  </w:style>
  <w:style w:type="paragraph" w:styleId="1157" w:customStyle="1">
    <w:name w:val="索引 71"/>
    <w:basedOn w:val="802"/>
    <w:next w:val="802"/>
    <w:uiPriority w:val="0"/>
    <w:semiHidden/>
    <w:qFormat/>
    <w:pPr>
      <w:ind w:left="1200"/>
    </w:pPr>
    <w:rPr>
      <w:rFonts w:ascii="Times New Roman" w:hAnsi="Times New Roman"/>
      <w:szCs w:val="20"/>
    </w:rPr>
  </w:style>
  <w:style w:type="paragraph" w:styleId="1158" w:customStyle="1">
    <w:name w:val="索引 91"/>
    <w:basedOn w:val="802"/>
    <w:next w:val="802"/>
    <w:uiPriority w:val="0"/>
    <w:semiHidden/>
    <w:qFormat/>
    <w:pPr>
      <w:ind w:left="1600"/>
    </w:pPr>
    <w:rPr>
      <w:rFonts w:ascii="Times New Roman" w:hAnsi="Times New Roman"/>
      <w:szCs w:val="20"/>
    </w:rPr>
  </w:style>
  <w:style w:type="paragraph" w:styleId="1159" w:customStyle="1">
    <w:name w:val="HTML 预设格式1"/>
    <w:basedOn w:val="802"/>
    <w:link w:val="11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160" w:customStyle="1">
    <w:name w:val="HTML 预设格式 字符"/>
    <w:link w:val="1159"/>
    <w:uiPriority w:val="0"/>
    <w:qFormat/>
    <w:rPr>
      <w:rFonts w:ascii="Arial" w:hAnsi="Arial"/>
      <w:sz w:val="24"/>
      <w:szCs w:val="24"/>
    </w:rPr>
  </w:style>
  <w:style w:type="paragraph" w:styleId="1161" w:customStyle="1">
    <w:name w:val="索引 21"/>
    <w:basedOn w:val="802"/>
    <w:next w:val="802"/>
    <w:uiPriority w:val="0"/>
    <w:semiHidden/>
    <w:qFormat/>
    <w:pPr>
      <w:ind w:left="200"/>
    </w:pPr>
    <w:rPr>
      <w:rFonts w:ascii="Times New Roman" w:hAnsi="Times New Roman"/>
      <w:szCs w:val="20"/>
    </w:rPr>
  </w:style>
  <w:style w:type="character" w:styleId="1162" w:customStyle="1">
    <w:name w:val="强调1"/>
    <w:uiPriority w:val="20"/>
    <w:qFormat/>
    <w:rPr>
      <w:i/>
      <w:iCs/>
    </w:rPr>
  </w:style>
  <w:style w:type="character" w:styleId="1163" w:customStyle="1">
    <w:name w:val="脚注引用1"/>
    <w:uiPriority w:val="0"/>
    <w:unhideWhenUsed/>
    <w:qFormat/>
    <w:rPr>
      <w:vertAlign w:val="superscript"/>
    </w:rPr>
  </w:style>
  <w:style w:type="character" w:styleId="1164" w:customStyle="1">
    <w:name w:val="标题 1 字符"/>
    <w:uiPriority w:val="9"/>
    <w:qFormat/>
    <w:rPr>
      <w:rFonts w:ascii="宋体" w:hAnsi="宋体"/>
      <w:b/>
      <w:sz w:val="36"/>
    </w:rPr>
  </w:style>
  <w:style w:type="character" w:styleId="1165" w:customStyle="1">
    <w:name w:val="标题 2 字符2"/>
    <w:uiPriority w:val="0"/>
    <w:qFormat/>
    <w:rPr>
      <w:rFonts w:eastAsia="楷体_GB2312"/>
      <w:b/>
      <w:bCs/>
      <w:sz w:val="28"/>
      <w:szCs w:val="28"/>
    </w:rPr>
  </w:style>
  <w:style w:type="character" w:styleId="1166" w:customStyle="1">
    <w:name w:val="正文缩进 字符"/>
    <w:uiPriority w:val="0"/>
    <w:qFormat/>
    <w:rPr>
      <w:sz w:val="21"/>
    </w:rPr>
  </w:style>
  <w:style w:type="character" w:styleId="1167" w:customStyle="1">
    <w:name w:val="批注文字 字符1"/>
    <w:uiPriority w:val="0"/>
    <w:qFormat/>
    <w:rPr>
      <w:sz w:val="21"/>
    </w:rPr>
  </w:style>
  <w:style w:type="character" w:styleId="1168" w:customStyle="1">
    <w:name w:val="正文文本 字符2"/>
    <w:uiPriority w:val="0"/>
    <w:qFormat/>
    <w:rPr>
      <w:rFonts w:ascii="楷体_GB2312" w:hAnsi="Arial" w:eastAsia="楷体_GB2312"/>
      <w:sz w:val="28"/>
    </w:rPr>
  </w:style>
  <w:style w:type="character" w:styleId="1169" w:customStyle="1">
    <w:name w:val="正文文本缩进 字符"/>
    <w:uiPriority w:val="0"/>
    <w:qFormat/>
    <w:rPr>
      <w:rFonts w:ascii="宋体"/>
      <w:sz w:val="28"/>
    </w:rPr>
  </w:style>
  <w:style w:type="character" w:styleId="1170" w:customStyle="1">
    <w:name w:val="纯文本 字符"/>
    <w:uiPriority w:val="0"/>
    <w:qFormat/>
    <w:rPr>
      <w:rFonts w:ascii="宋体" w:hAnsi="Courier New"/>
      <w:sz w:val="21"/>
    </w:rPr>
  </w:style>
  <w:style w:type="character" w:styleId="1171" w:customStyle="1">
    <w:name w:val="日期 字符1"/>
    <w:uiPriority w:val="0"/>
    <w:qFormat/>
    <w:rPr>
      <w:rFonts w:ascii="宋体"/>
      <w:sz w:val="28"/>
    </w:rPr>
  </w:style>
  <w:style w:type="character" w:styleId="1172" w:customStyle="1">
    <w:name w:val="批注框文本 字符"/>
    <w:uiPriority w:val="0"/>
    <w:qFormat/>
    <w:rPr>
      <w:sz w:val="18"/>
      <w:szCs w:val="18"/>
    </w:rPr>
  </w:style>
  <w:style w:type="character" w:styleId="1173" w:customStyle="1">
    <w:name w:val="签名 字符1"/>
    <w:link w:val="1152"/>
    <w:uiPriority w:val="0"/>
    <w:qFormat/>
    <w:rPr>
      <w:rFonts w:ascii="Times New Roman" w:hAnsi="Times New Roman" w:eastAsia="仿宋_GB2312"/>
      <w:sz w:val="24"/>
    </w:rPr>
  </w:style>
  <w:style w:type="character" w:styleId="1174" w:customStyle="1">
    <w:name w:val="批注主题 字符"/>
    <w:uiPriority w:val="0"/>
    <w:qFormat/>
    <w:rPr>
      <w:b/>
      <w:bCs/>
      <w:sz w:val="21"/>
    </w:rPr>
  </w:style>
  <w:style w:type="character" w:styleId="1175" w:customStyle="1">
    <w:name w:val="正文文本 字符"/>
    <w:uiPriority w:val="0"/>
    <w:qFormat/>
    <w:rPr>
      <w:rFonts w:ascii="楷体_GB2312" w:hAnsi="Arial" w:eastAsia="楷体_GB2312"/>
      <w:sz w:val="28"/>
    </w:rPr>
  </w:style>
  <w:style w:type="character" w:styleId="1176" w:customStyle="1">
    <w:name w:val="列表段落 字符"/>
    <w:link w:val="1100"/>
    <w:uiPriority w:val="34"/>
    <w:qFormat/>
    <w:rPr>
      <w:sz w:val="24"/>
      <w:szCs w:val="24"/>
      <w:lang w:eastAsia="en-US" w:bidi="en-US"/>
    </w:rPr>
  </w:style>
  <w:style w:type="paragraph" w:styleId="1177" w:customStyle="1">
    <w:name w:val="Char Char Char"/>
    <w:basedOn w:val="802"/>
    <w:uiPriority w:val="0"/>
    <w:qFormat/>
    <w:pPr>
      <w:numPr>
        <w:ilvl w:val="0"/>
        <w:numId w:val="4"/>
      </w:numPr>
      <w:tabs>
        <w:tab w:val="left" w:pos="1545" w:leader="none"/>
      </w:tabs>
    </w:pPr>
    <w:rPr>
      <w:rFonts w:ascii="Times New Roman" w:hAnsi="Times New Roman"/>
      <w:szCs w:val="20"/>
    </w:rPr>
  </w:style>
  <w:style w:type="paragraph" w:styleId="1178" w:customStyle="1">
    <w:name w:val="Plain Text1"/>
    <w:basedOn w:val="802"/>
    <w:uiPriority w:val="0"/>
    <w:qFormat/>
    <w:rPr>
      <w:rFonts w:ascii="宋体" w:hAnsi="Courier New" w:eastAsia="楷体_GB2312"/>
      <w:sz w:val="28"/>
      <w:szCs w:val="20"/>
    </w:rPr>
  </w:style>
  <w:style w:type="paragraph" w:styleId="117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80" w:customStyle="1">
    <w:name w:val="Char1 Char Char Char"/>
    <w:basedOn w:val="802"/>
    <w:uiPriority w:val="0"/>
    <w:qFormat/>
    <w:rPr>
      <w:rFonts w:ascii="Tahoma" w:hAnsi="Tahoma"/>
      <w:sz w:val="24"/>
      <w:szCs w:val="20"/>
    </w:rPr>
  </w:style>
  <w:style w:type="paragraph" w:styleId="1181" w:customStyle="1">
    <w:name w:val="Char Char1 Char Char Char Char Char Char Char"/>
    <w:basedOn w:val="802"/>
    <w:uiPriority w:val="0"/>
    <w:qFormat/>
    <w:rPr>
      <w:rFonts w:ascii="Calibri Light" w:hAnsi="Calibri Light" w:cs="Berlin Sans FB Demi"/>
      <w:sz w:val="24"/>
      <w:szCs w:val="20"/>
    </w:rPr>
  </w:style>
  <w:style w:type="paragraph" w:styleId="1182" w:customStyle="1">
    <w:name w:val="Char Char"/>
    <w:basedOn w:val="802"/>
    <w:uiPriority w:val="0"/>
    <w:qFormat/>
    <w:rPr>
      <w:rFonts w:ascii="Times New Roman" w:hAnsi="Times New Roman"/>
      <w:szCs w:val="21"/>
    </w:rPr>
  </w:style>
  <w:style w:type="paragraph" w:styleId="1183" w:customStyle="1">
    <w:name w:val="_Style 12"/>
    <w:basedOn w:val="1077"/>
    <w:uiPriority w:val="0"/>
    <w:qFormat/>
    <w:pPr>
      <w:jc w:val="left"/>
      <w:spacing w:line="360" w:lineRule="auto"/>
      <w:widowControl/>
    </w:pPr>
    <w:rPr>
      <w:sz w:val="24"/>
      <w:szCs w:val="24"/>
    </w:rPr>
  </w:style>
  <w:style w:type="character" w:styleId="1184" w:customStyle="1">
    <w:name w:val="正文缩进 Char1"/>
    <w:uiPriority w:val="0"/>
    <w:qFormat/>
    <w:rPr>
      <w:rFonts w:eastAsia="楷体_GB2312"/>
      <w:sz w:val="24"/>
    </w:rPr>
  </w:style>
  <w:style w:type="character" w:styleId="1185" w:customStyle="1">
    <w:name w:val="纯文本 字符1"/>
    <w:uiPriority w:val="0"/>
    <w:qFormat/>
    <w:rPr>
      <w:rFonts w:ascii="宋体" w:hAnsi="Courier New"/>
    </w:rPr>
  </w:style>
  <w:style w:type="character" w:styleId="1186" w:customStyle="1">
    <w:name w:val="未处理的提及1"/>
    <w:uiPriority w:val="99"/>
    <w:unhideWhenUsed/>
    <w:qFormat/>
    <w:rPr>
      <w:color w:val="605e5c"/>
      <w:shd w:val="clear" w:color="auto" w:fill="e1dfdd"/>
    </w:rPr>
  </w:style>
  <w:style w:type="character" w:styleId="1187" w:customStyle="1">
    <w:name w:val="批注文字 字符"/>
    <w:uiPriority w:val="0"/>
    <w:qFormat/>
    <w:rPr>
      <w:sz w:val="21"/>
    </w:rPr>
  </w:style>
  <w:style w:type="character" w:styleId="1188" w:customStyle="1">
    <w:name w:val="标题 2 字符"/>
    <w:uiPriority w:val="0"/>
    <w:qFormat/>
    <w:rPr>
      <w:rFonts w:eastAsia="楷体_GB2312"/>
      <w:b/>
      <w:bCs/>
      <w:sz w:val="28"/>
      <w:szCs w:val="28"/>
    </w:rPr>
  </w:style>
  <w:style w:type="character" w:styleId="1189" w:customStyle="1">
    <w:name w:val="日期 字符"/>
    <w:uiPriority w:val="0"/>
    <w:qFormat/>
    <w:rPr>
      <w:rFonts w:ascii="宋体"/>
      <w:sz w:val="28"/>
    </w:rPr>
  </w:style>
  <w:style w:type="character" w:styleId="1190" w:customStyle="1">
    <w:name w:val="正文文本 字符1"/>
    <w:uiPriority w:val="0"/>
    <w:qFormat/>
    <w:rPr>
      <w:rFonts w:ascii="楷体_GB2312" w:hAnsi="Arial" w:eastAsia="楷体_GB2312"/>
      <w:sz w:val="28"/>
    </w:rPr>
  </w:style>
  <w:style w:type="paragraph" w:styleId="1191" w:customStyle="1">
    <w:name w:val="正文1"/>
    <w:next w:val="802"/>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92" w:customStyle="1">
    <w:name w:val="_正文段落"/>
    <w:basedOn w:val="802"/>
    <w:link w:val="1193"/>
    <w:uiPriority w:val="0"/>
    <w:qFormat/>
    <w:pPr>
      <w:ind w:firstLine="480"/>
      <w:spacing w:line="360" w:lineRule="auto"/>
    </w:pPr>
    <w:rPr>
      <w:rFonts w:ascii="宋体" w:hAnsi="宋体"/>
      <w:sz w:val="24"/>
      <w:szCs w:val="24"/>
    </w:rPr>
  </w:style>
  <w:style w:type="character" w:styleId="1193" w:customStyle="1">
    <w:name w:val="_正文段落 Char"/>
    <w:link w:val="1192"/>
    <w:uiPriority w:val="0"/>
    <w:qFormat/>
    <w:rPr>
      <w:rFonts w:ascii="宋体" w:hAnsi="宋体"/>
      <w:sz w:val="24"/>
      <w:szCs w:val="24"/>
    </w:rPr>
  </w:style>
  <w:style w:type="character" w:styleId="1194" w:customStyle="1">
    <w:name w:val="cf01"/>
    <w:uiPriority w:val="0"/>
    <w:qFormat/>
    <w:rPr>
      <w:rFonts w:hint="eastAsia" w:ascii="Microsoft YaHei UI" w:hAnsi="Microsoft YaHei UI" w:eastAsia="Microsoft YaHei UI"/>
      <w:b/>
      <w:bCs/>
      <w:sz w:val="18"/>
      <w:szCs w:val="18"/>
    </w:rPr>
  </w:style>
  <w:style w:type="character" w:styleId="1195" w:customStyle="1">
    <w:name w:val="标题 2 字符1"/>
    <w:uiPriority w:val="0"/>
    <w:qFormat/>
    <w:rPr>
      <w:rFonts w:eastAsia="楷体_GB2312"/>
      <w:b/>
      <w:bCs/>
      <w:sz w:val="28"/>
      <w:szCs w:val="28"/>
    </w:rPr>
  </w:style>
  <w:style w:type="paragraph" w:styleId="1196" w:customStyle="1">
    <w:name w:val="pf0"/>
    <w:basedOn w:val="802"/>
    <w:uiPriority w:val="0"/>
    <w:qFormat/>
    <w:pPr>
      <w:jc w:val="left"/>
      <w:spacing w:before="100" w:beforeAutospacing="1" w:after="100" w:afterAutospacing="1"/>
      <w:widowControl/>
    </w:pPr>
    <w:rPr>
      <w:rFonts w:ascii="宋体" w:hAnsi="宋体" w:cs="宋体"/>
      <w:sz w:val="24"/>
      <w:szCs w:val="24"/>
    </w:rPr>
  </w:style>
  <w:style w:type="character" w:styleId="1197" w:customStyle="1">
    <w:name w:val="cf11"/>
    <w:uiPriority w:val="0"/>
    <w:qFormat/>
    <w:rPr>
      <w:rFonts w:hint="eastAsia" w:ascii="Microsoft YaHei UI" w:hAnsi="Microsoft YaHei UI" w:eastAsia="Microsoft YaHei UI"/>
      <w:sz w:val="18"/>
      <w:szCs w:val="18"/>
    </w:rPr>
  </w:style>
  <w:style w:type="character" w:styleId="1198" w:customStyle="1">
    <w:name w:val="cf21"/>
    <w:uiPriority w:val="0"/>
    <w:qFormat/>
    <w:rPr>
      <w:rFonts w:hint="eastAsia" w:ascii="Microsoft YaHei UI" w:hAnsi="Microsoft YaHei UI" w:eastAsia="Microsoft YaHei UI"/>
      <w:b/>
      <w:bCs/>
      <w:sz w:val="18"/>
      <w:szCs w:val="18"/>
    </w:rPr>
  </w:style>
  <w:style w:type="paragraph" w:styleId="1199" w:customStyle="1">
    <w:name w:val="TOC 标题11"/>
    <w:basedOn w:val="1034"/>
    <w:next w:val="80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200" w:customStyle="1">
    <w:name w:val="普通正文 Char"/>
    <w:link w:val="1083"/>
    <w:uiPriority w:val="0"/>
    <w:qFormat/>
    <w:rPr>
      <w:rFonts w:ascii="Arial" w:hAnsi="Arial"/>
      <w:sz w:val="24"/>
      <w:szCs w:val="24"/>
    </w:rPr>
  </w:style>
  <w:style w:type="character" w:styleId="1201" w:customStyle="1">
    <w:name w:val="批注文字 字符2"/>
    <w:basedOn w:val="812"/>
    <w:link w:val="816"/>
    <w:uiPriority w:val="99"/>
    <w:semiHidden/>
    <w:qFormat/>
    <w:rPr>
      <w:sz w:val="21"/>
      <w:szCs w:val="22"/>
    </w:rPr>
  </w:style>
  <w:style w:type="character" w:styleId="1202" w:customStyle="1">
    <w:name w:val="批注主题 字符1"/>
    <w:basedOn w:val="1201"/>
    <w:link w:val="841"/>
    <w:uiPriority w:val="99"/>
    <w:semiHidden/>
    <w:qFormat/>
    <w:rPr>
      <w:b/>
      <w:bCs/>
      <w:sz w:val="21"/>
      <w:szCs w:val="22"/>
    </w:rPr>
  </w:style>
  <w:style w:type="character" w:styleId="1203" w:customStyle="1">
    <w:name w:val="批注框文本 字符1"/>
    <w:basedOn w:val="812"/>
    <w:link w:val="827"/>
    <w:uiPriority w:val="99"/>
    <w:semiHidden/>
    <w:qFormat/>
    <w:rPr>
      <w:sz w:val="18"/>
      <w:szCs w:val="18"/>
    </w:rPr>
  </w:style>
  <w:style w:type="character" w:styleId="1204" w:customStyle="1">
    <w:name w:val="1、 字符"/>
    <w:link w:val="1205"/>
    <w:uiPriority w:val="0"/>
    <w:qFormat/>
    <w:rPr>
      <w:sz w:val="24"/>
      <w:szCs w:val="24"/>
    </w:rPr>
  </w:style>
  <w:style w:type="paragraph" w:styleId="1205" w:customStyle="1">
    <w:name w:val="1、"/>
    <w:basedOn w:val="802"/>
    <w:link w:val="1204"/>
    <w:uiPriority w:val="0"/>
    <w:qFormat/>
    <w:pPr>
      <w:ind w:firstLine="200"/>
      <w:spacing w:line="440" w:lineRule="exact"/>
    </w:pPr>
    <w:rPr>
      <w:sz w:val="24"/>
      <w:szCs w:val="24"/>
    </w:rPr>
  </w:style>
  <w:style w:type="paragraph" w:styleId="1206" w:customStyle="1">
    <w:name w:val="段"/>
    <w:next w:val="802"/>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207" w:customStyle="1">
    <w:name w:val="15"/>
    <w:basedOn w:val="812"/>
    <w:uiPriority w:val="0"/>
    <w:qFormat/>
    <w:rPr>
      <w:rFonts w:hint="default" w:ascii="Calibri" w:hAnsi="Calibri" w:cs="Calibri"/>
    </w:rPr>
  </w:style>
  <w:style w:type="paragraph" w:styleId="1208" w:customStyle="1">
    <w:name w:val="Char Char1 Char Char Char Char Char Char Char2"/>
    <w:basedOn w:val="802"/>
    <w:uiPriority w:val="0"/>
    <w:qFormat/>
    <w:rPr>
      <w:rFonts w:ascii="Tahoma" w:hAnsi="Tahoma"/>
      <w:sz w:val="24"/>
    </w:rPr>
  </w:style>
  <w:style w:type="character" w:styleId="1209" w:customStyle="1">
    <w:name w:val="font41"/>
    <w:basedOn w:val="812"/>
    <w:uiPriority w:val="0"/>
    <w:qFormat/>
    <w:rPr>
      <w:rFonts w:hint="eastAsia" w:ascii="宋体" w:hAnsi="宋体" w:eastAsia="宋体" w:cs="宋体"/>
      <w:color w:val="ff0000"/>
      <w:sz w:val="24"/>
      <w:szCs w:val="24"/>
      <w:u w:val="none"/>
    </w:rPr>
  </w:style>
  <w:style w:type="character" w:styleId="1210" w:customStyle="1">
    <w:name w:val="font01"/>
    <w:basedOn w:val="812"/>
    <w:uiPriority w:val="0"/>
    <w:qFormat/>
    <w:rPr>
      <w:rFonts w:hint="eastAsia" w:ascii="宋体" w:hAnsi="宋体" w:eastAsia="宋体" w:cs="宋体"/>
      <w:color w:val="000000"/>
      <w:sz w:val="24"/>
      <w:szCs w:val="24"/>
      <w:u w:val="none"/>
    </w:rPr>
  </w:style>
  <w:style w:type="character" w:styleId="1211" w:customStyle="1">
    <w:name w:val="font51"/>
    <w:basedOn w:val="812"/>
    <w:uiPriority w:val="0"/>
    <w:qFormat/>
    <w:rPr>
      <w:rFonts w:hint="eastAsia" w:ascii="宋体" w:hAnsi="宋体" w:eastAsia="宋体" w:cs="宋体"/>
      <w:color w:val="000000"/>
      <w:sz w:val="24"/>
      <w:szCs w:val="24"/>
      <w:u w:val="none"/>
    </w:rPr>
  </w:style>
  <w:style w:type="paragraph" w:styleId="1212" w:customStyle="1">
    <w:name w:val="标书一级编号"/>
    <w:basedOn w:val="802"/>
    <w:uiPriority w:val="0"/>
    <w:qFormat/>
    <w:pPr>
      <w:numPr>
        <w:ilvl w:val="0"/>
        <w:numId w:val="5"/>
      </w:numPr>
      <w:ind w:left="0" w:right="0" w:firstLine="0"/>
      <w:jc w:val="both"/>
      <w:keepLines w:val="0"/>
      <w:keepNext w:val="0"/>
      <w:spacing w:before="0" w:beforeAutospacing="0" w:after="0" w:afterAutospacing="0" w:line="480" w:lineRule="exact"/>
      <w:widowControl w:val="off"/>
      <w:outlineLvl w:val="2"/>
      <w:suppressLineNumbers w:val="0"/>
    </w:pPr>
    <w:rPr>
      <w:rFonts w:hint="default" w:ascii="Times New Roman" w:hAnsi="Times New Roman" w:eastAsia="方正细等线_GBK" w:cs="Times New Roman"/>
      <w:b/>
      <w:sz w:val="24"/>
      <w:szCs w:val="24"/>
      <w:lang w:val="en-US" w:eastAsia="zh-CN" w:bidi="ar"/>
    </w:rPr>
  </w:style>
  <w:style w:type="numbering" w:styleId="10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陈佳雪</cp:lastModifiedBy>
  <cp:revision>3</cp:revision>
  <dcterms:created xsi:type="dcterms:W3CDTF">2024-11-13T09:00:00Z</dcterms:created>
  <dcterms:modified xsi:type="dcterms:W3CDTF">2026-05-06T07:45:41Z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47947C07F15946E1A42CD2EDA731F43C_13</vt:lpwstr>
  </property>
  <property fmtid="{D5CDD505-2E9C-101B-9397-08002B2CF9AE}" pid="4" name="KSOTemplateDocerSaveRecord">
    <vt:lpwstr>eyJoZGlkIjoiOTliMWRmOWE5NTVhZmI2MjI3MjFjMjEyNGI4YTQ5ODkiLCJ1c2VySWQiOiI0NzA0Njk1MDUifQ==</vt:lpwstr>
  </property>
</Properties>
</file>