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auto"/>
          <w:sz w:val="28"/>
          <w:szCs w:val="20"/>
          <w:highlight w:val="none"/>
          <w:lang w:val="en-US" w:eastAsia="zh-CN"/>
        </w:rPr>
        <w:t xml:space="preserve"> </w:t>
      </w:r>
      <w:r/>
    </w:p>
    <w:p>
      <w:pPr>
        <w:jc w:val="righ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rPr>
        <w:t xml:space="preserve">编号：</w:t>
      </w:r>
      <w:r>
        <w:rPr>
          <w:rFonts w:hint="eastAsia" w:ascii="宋体" w:hAnsi="宋体" w:cs="宋体"/>
          <w:b/>
          <w:bCs/>
          <w:color w:val="auto"/>
          <w:sz w:val="32"/>
          <w:szCs w:val="32"/>
          <w:highlight w:val="none"/>
          <w:lang w:eastAsia="zh-CN"/>
        </w:rPr>
        <w:t xml:space="preserve">JSZC-321003-JSZR-C2026-0037</w:t>
      </w:r>
      <w:r>
        <w:rPr>
          <w:rFonts w:hint="eastAsia" w:ascii="宋体" w:hAnsi="宋体" w:eastAsia="宋体" w:cs="宋体"/>
          <w:b/>
          <w:bCs/>
          <w:color w:val="auto"/>
          <w:sz w:val="32"/>
          <w:szCs w:val="32"/>
          <w:highlight w:val="none"/>
          <w:lang w:eastAsia="zh-CN"/>
        </w:rPr>
        <w:tab/>
      </w:r>
      <w:r/>
    </w:p>
    <w:p>
      <w:pPr>
        <w:pStyle w:val="1037"/>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2026年度城乡建设用地增减挂钩复垦项目及耕地占补平衡项目技术服务</w:t>
      </w:r>
      <w:r>
        <w:rPr>
          <w:rFonts w:hint="eastAsia" w:ascii="宋体" w:hAnsi="宋体" w:eastAsia="宋体" w:cs="宋体"/>
          <w:b/>
          <w:bCs/>
          <w:color w:val="auto"/>
          <w:sz w:val="32"/>
          <w:szCs w:val="32"/>
          <w:highlight w:val="none"/>
        </w:rPr>
        <w:t xml:space="preserve">竞争性磋商文件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71770" cy="3446780"/>
                <wp:effectExtent l="0" t="0" r="5080" b="1270"/>
                <wp:docPr id="3"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898d00c55920de7152bc5057a34c66"/>
                        <pic:cNvPicPr>
                          <a:picLocks noChangeAspect="1"/>
                        </pic:cNvPicPr>
                        <pic:nvPr/>
                      </pic:nvPicPr>
                      <pic:blipFill>
                        <a:blip r:embed="rId15"/>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71.4pt;mso-wrap-distance-left:0.0pt;mso-wrap-distance-top:0.0pt;mso-wrap-distance-right:0.0pt;mso-wrap-distance-bottom:0.0pt;" stroked="f">
                <v:path textboxrect="0,0,0,0"/>
                <v:imagedata r:id="rId15" o:title=""/>
              </v:shape>
            </w:pict>
          </mc:Fallback>
        </mc:AlternateContent>
      </w:r>
      <w:r/>
    </w:p>
    <w:p>
      <w:pPr>
        <w:pStyle w:val="8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w:t>
      </w:r>
      <w:r>
        <w:rPr>
          <w:rFonts w:hint="eastAsia" w:ascii="宋体" w:hAnsi="宋体" w:cs="宋体"/>
          <w:b/>
          <w:color w:val="auto"/>
          <w:sz w:val="28"/>
          <w:szCs w:val="28"/>
          <w:highlight w:val="none"/>
          <w:lang w:eastAsia="zh-CN"/>
        </w:rPr>
        <w:t xml:space="preserve">扬州市自然资源和规划局邗江分局</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采购代理机构：</w:t>
      </w:r>
      <w:r>
        <w:rPr>
          <w:rFonts w:hint="eastAsia" w:ascii="宋体" w:hAnsi="宋体" w:eastAsia="宋体" w:cs="宋体"/>
          <w:b/>
          <w:color w:val="auto"/>
          <w:sz w:val="28"/>
          <w:szCs w:val="28"/>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发放日期：</w:t>
      </w:r>
      <w:r>
        <w:rPr>
          <w:rFonts w:hint="eastAsia" w:ascii="宋体" w:hAnsi="宋体" w:eastAsia="宋体" w:cs="宋体"/>
          <w:b/>
          <w:bCs w:val="0"/>
          <w:color w:val="auto"/>
          <w:sz w:val="28"/>
          <w:szCs w:val="28"/>
          <w:highlight w:val="none"/>
        </w:rPr>
        <w:t xml:space="preserve">202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年</w:t>
      </w:r>
      <w:r>
        <w:rPr>
          <w:rFonts w:hint="eastAsia" w:ascii="宋体" w:hAnsi="宋体" w:eastAsia="宋体" w:cs="宋体"/>
          <w:b/>
          <w:bCs w:val="0"/>
          <w:color w:val="auto"/>
          <w:sz w:val="28"/>
          <w:szCs w:val="28"/>
          <w:highlight w:val="none"/>
          <w:lang w:val="en-US" w:eastAsia="zh-CN"/>
        </w:rPr>
        <w:t xml:space="preserve">0</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月</w:t>
      </w:r>
      <w:r>
        <w:rPr>
          <w:rFonts w:hint="eastAsia" w:ascii="宋体" w:hAnsi="宋体" w:cs="宋体"/>
          <w:b/>
          <w:bCs w:val="0"/>
          <w:color w:val="auto"/>
          <w:sz w:val="28"/>
          <w:szCs w:val="28"/>
          <w:highlight w:val="none"/>
          <w:lang w:val="en-US" w:eastAsia="zh-CN"/>
        </w:rPr>
        <w:t xml:space="preserve">14</w:t>
      </w:r>
      <w:r>
        <w:rPr>
          <w:rFonts w:hint="eastAsia" w:ascii="宋体" w:hAnsi="宋体" w:eastAsia="宋体" w:cs="宋体"/>
          <w:b/>
          <w:bCs w:val="0"/>
          <w:color w:val="auto"/>
          <w:sz w:val="28"/>
          <w:szCs w:val="28"/>
          <w:highlight w:val="none"/>
        </w:rPr>
        <w:t xml:space="preserve">日</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目 录</w:t>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62"/>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 xml:space="preserve">第一章 竞争性磋商采购公告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1062"/>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第二章 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5</w:t>
      </w:r>
      <w:r/>
    </w:p>
    <w:p>
      <w:pPr>
        <w:pStyle w:val="1062"/>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fldChar w:fldCharType="end"/>
      </w:r>
      <w:r/>
    </w:p>
    <w:p>
      <w:pPr>
        <w:pStyle w:val="1062"/>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fldChar w:fldCharType="end"/>
      </w:r>
      <w:r/>
    </w:p>
    <w:p>
      <w:pPr>
        <w:pStyle w:val="1062"/>
        <w:jc w:val="center"/>
        <w:spacing w:line="600" w:lineRule="auto"/>
        <w:tabs>
          <w:tab w:val="right" w:pos="8296"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评审方法及评审标准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3</w:t>
      </w:r>
      <w:r/>
    </w:p>
    <w:p>
      <w:pPr>
        <w:pStyle w:val="1062"/>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第六章 竞争性磋商响应文件格式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31</w:t>
      </w:r>
      <w:r/>
    </w:p>
    <w:p>
      <w:pPr>
        <w:jc w:val="cente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4"/>
        <w:jc w:val="center"/>
        <w:spacing w:line="360" w:lineRule="auto"/>
        <w:rPr>
          <w:rFonts w:hint="eastAsia" w:ascii="宋体" w:hAnsi="宋体" w:eastAsia="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1034"/>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竞争性磋商采购公告</w:t>
      </w:r>
      <w:bookmarkEnd w:id="0"/>
      <w:r/>
      <w:bookmarkEnd w:id="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扬州市自然资源和规划局邗江分局</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的委托，</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江苏中瑞建设项目管理有限公司扬州分公司</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就</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2026年度城乡建设用地增减挂钩复垦项目及耕地占补平衡项目技术服务</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2026年度城乡建设用地增减挂钩复垦项目及耕地占补平衡项目技术服务</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的潜在供应商</w:t>
      </w:r>
      <w:r>
        <w:rPr>
          <w:rFonts w:hint="eastAsia" w:ascii="宋体" w:hAnsi="宋体" w:eastAsia="宋体" w:cs="宋体"/>
          <w:color w:val="auto"/>
          <w:szCs w:val="21"/>
          <w:highlight w:val="none"/>
          <w:u w:val="none"/>
        </w:rPr>
        <w:t xml:space="preserve">可在</w:t>
      </w:r>
      <w:r>
        <w:rPr>
          <w:rFonts w:hint="eastAsia" w:ascii="宋体" w:hAnsi="宋体" w:eastAsia="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自行免费下载采购文件，并于</w:t>
      </w:r>
      <w:bookmarkStart w:id="4"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25</w:t>
      </w:r>
      <w:r>
        <w:rPr>
          <w:rFonts w:hint="eastAsia" w:ascii="宋体" w:hAnsi="宋体" w:eastAsia="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eastAsia="宋体" w:cs="宋体"/>
          <w:bCs/>
          <w:color w:val="auto"/>
          <w:szCs w:val="21"/>
          <w:highlight w:val="none"/>
          <w:u w:val="single"/>
        </w:rPr>
        <w:t xml:space="preserve">点30分</w:t>
      </w:r>
      <w:bookmarkEnd w:id="4"/>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Style w:val="1035"/>
        <w:ind w:firstLine="422"/>
        <w:spacing w:before="0" w:after="0" w:line="360" w:lineRule="auto"/>
        <w:rPr>
          <w:rFonts w:hint="eastAsia" w:ascii="宋体" w:hAnsi="宋体" w:eastAsia="宋体" w:cs="宋体"/>
          <w:bCs w:val="0"/>
          <w:color w:val="auto"/>
          <w:sz w:val="21"/>
          <w:szCs w:val="21"/>
          <w:highlight w:val="none"/>
        </w:rPr>
      </w:pPr>
      <w:r/>
      <w:bookmarkStart w:id="5" w:name="_Toc109304963"/>
      <w:r>
        <w:rPr>
          <w:rFonts w:hint="eastAsia" w:ascii="宋体" w:hAnsi="宋体" w:eastAsia="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JSZC-321003-JSZR-C2026-0037</w:t>
      </w:r>
      <w:r>
        <w:rPr>
          <w:rFonts w:hint="eastAsia" w:ascii="宋体" w:hAnsi="宋体" w:eastAsia="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2026年度城乡建设用地增减挂钩复垦项目及耕地占补平衡项目技术服务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150</w:t>
      </w:r>
      <w:r>
        <w:rPr>
          <w:rFonts w:hint="eastAsia" w:ascii="宋体" w:hAnsi="宋体" w:eastAsia="宋体" w:cs="宋体"/>
          <w:color w:val="auto"/>
          <w:szCs w:val="21"/>
          <w:highlight w:val="none"/>
          <w:lang w:val="en-US" w:eastAsia="zh-CN"/>
        </w:rPr>
        <w:t xml:space="preserve">万</w:t>
      </w:r>
      <w:r>
        <w:rPr>
          <w:rFonts w:hint="eastAsia" w:ascii="宋体" w:hAnsi="宋体" w:cs="宋体"/>
          <w:color w:val="auto"/>
          <w:szCs w:val="21"/>
          <w:highlight w:val="none"/>
          <w:lang w:val="en-US" w:eastAsia="zh-CN"/>
        </w:rPr>
        <w:t xml:space="preserve">元</w:t>
      </w:r>
      <w:r/>
    </w:p>
    <w:p>
      <w:pPr>
        <w:numPr>
          <w:ilvl w:val="0"/>
          <w:numId w:val="0"/>
        </w:numPr>
        <w:ind w:firstLine="422"/>
        <w:spacing w:line="360" w:lineRule="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auto"/>
          <w:szCs w:val="21"/>
          <w:highlight w:val="none"/>
          <w:lang w:val="en-US" w:eastAsia="zh-CN"/>
        </w:rPr>
        <w:t xml:space="preserve">5、最高限价：</w:t>
      </w:r>
      <w:r>
        <w:rPr>
          <w:rFonts w:hint="eastAsia" w:ascii="宋体" w:hAnsi="宋体" w:cs="宋体"/>
          <w:color w:val="auto"/>
          <w:szCs w:val="21"/>
          <w:highlight w:val="none"/>
          <w:lang w:val="en-US" w:eastAsia="zh-CN"/>
        </w:rPr>
        <w:t xml:space="preserve">A包:45万元（预算单价300元/亩）,B包:105万元（预算单价700元/亩），各包</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超过</w:t>
      </w:r>
      <w:r>
        <w:rPr>
          <w:rFonts w:hint="eastAsia" w:ascii="宋体" w:hAnsi="宋体" w:cs="宋体"/>
          <w:color w:val="auto"/>
          <w:sz w:val="21"/>
          <w:szCs w:val="21"/>
          <w:highlight w:val="none"/>
          <w:lang w:val="en-US" w:eastAsia="zh-CN"/>
        </w:rPr>
        <w:t xml:space="preserve">各自</w:t>
      </w:r>
      <w:r>
        <w:rPr>
          <w:rFonts w:hint="eastAsia" w:ascii="宋体" w:hAnsi="宋体" w:eastAsia="宋体" w:cs="宋体"/>
          <w:color w:val="auto"/>
          <w:sz w:val="21"/>
          <w:szCs w:val="21"/>
          <w:highlight w:val="none"/>
          <w:lang w:eastAsia="zh-CN"/>
        </w:rPr>
        <w:t xml:space="preserve">最高限价的为无效报价，按照无效响应处理。</w:t>
      </w: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val="en-US" w:eastAsia="zh-CN"/>
        </w:rPr>
        <w:t xml:space="preserve">本项目分为两个包A包、B包。投标人可兼投各分包但不可兼中，开标、评标、定标顺序为A包→B包。如同一供应商已被确定为A包的成交人后，B包如仍综合排名第一，则B包由第二成交候选人成交。</w:t>
      </w:r>
      <w:r>
        <w:rPr>
          <w:rFonts w:hint="eastAsia" w:ascii="宋体" w:hAnsi="宋体" w:eastAsia="宋体" w:cs="宋体"/>
          <w:color w:val="000000"/>
          <w:szCs w:val="21"/>
          <w:highlight w:val="none"/>
        </w:rPr>
        <w:t xml:space="preserve">详见</w:t>
      </w:r>
      <w:r>
        <w:rPr>
          <w:rFonts w:hint="eastAsia" w:ascii="宋体" w:hAnsi="宋体" w:eastAsia="宋体" w:cs="宋体"/>
          <w:color w:val="000000"/>
          <w:szCs w:val="21"/>
          <w:highlight w:val="none"/>
          <w:lang w:eastAsia="zh-CN"/>
        </w:rPr>
        <w:t xml:space="preserve">磋商文件</w:t>
      </w:r>
      <w:r>
        <w:rPr>
          <w:rFonts w:hint="eastAsia" w:ascii="宋体" w:hAnsi="宋体" w:eastAsia="宋体" w:cs="宋体"/>
          <w:color w:val="000000"/>
          <w:szCs w:val="21"/>
          <w:highlight w:val="none"/>
        </w:rPr>
        <w:t xml:space="preserve">第四章</w:t>
      </w:r>
      <w:r>
        <w:rPr>
          <w:rFonts w:hint="eastAsia" w:ascii="宋体" w:hAnsi="宋体" w:eastAsia="宋体" w:cs="宋体"/>
          <w:color w:val="000000"/>
          <w:szCs w:val="21"/>
          <w:highlight w:val="none"/>
          <w:lang w:eastAsia="zh-CN"/>
        </w:rPr>
        <w:t xml:space="preserve">项目需求</w:t>
      </w:r>
      <w:r>
        <w:rPr>
          <w:rFonts w:hint="eastAsia" w:ascii="宋体" w:hAnsi="宋体" w:eastAsia="宋体" w:cs="宋体"/>
          <w:color w:val="000000"/>
          <w:szCs w:val="21"/>
          <w:highlight w:val="none"/>
        </w:rPr>
        <w:t xml:space="preserve">。</w:t>
      </w:r>
      <w:r/>
    </w:p>
    <w:p>
      <w:pPr>
        <w:numPr>
          <w:ilvl w:val="0"/>
          <w:numId w:val="0"/>
        </w:num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eastAsia="宋体" w:cs="宋体"/>
          <w:color w:val="000000"/>
          <w:szCs w:val="20"/>
          <w:highlight w:val="none"/>
          <w:lang w:bidi="ar"/>
        </w:rPr>
        <w:t xml:space="preserve">自合同签订之日起360日历天内完成</w:t>
      </w:r>
      <w:r>
        <w:rPr>
          <w:rFonts w:hint="eastAsia" w:ascii="宋体" w:hAnsi="宋体" w:cs="宋体"/>
          <w:color w:val="000000"/>
          <w:szCs w:val="20"/>
          <w:highlight w:val="none"/>
          <w:lang w:val="en-US" w:eastAsia="zh-CN" w:bidi="ar"/>
        </w:rPr>
        <w:t xml:space="preserve">测绘</w:t>
      </w:r>
      <w:r>
        <w:rPr>
          <w:rFonts w:hint="eastAsia" w:ascii="宋体" w:hAnsi="宋体" w:eastAsia="宋体" w:cs="宋体"/>
          <w:color w:val="000000"/>
          <w:szCs w:val="20"/>
          <w:highlight w:val="none"/>
          <w:lang w:bidi="ar"/>
        </w:rPr>
        <w:t xml:space="preserve">成果，具体时间进度以发包人的工作进度安排为准。</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pStyle w:val="1035"/>
        <w:ind w:firstLine="422"/>
        <w:spacing w:before="0" w:after="0" w:line="360" w:lineRule="auto"/>
        <w:rPr>
          <w:rFonts w:hint="eastAsia" w:ascii="宋体" w:hAnsi="宋体" w:eastAsia="宋体" w:cs="宋体"/>
          <w:bCs w:val="0"/>
          <w:color w:val="auto"/>
          <w:sz w:val="21"/>
          <w:szCs w:val="21"/>
          <w:highlight w:val="none"/>
        </w:rPr>
      </w:pPr>
      <w:r/>
      <w:bookmarkStart w:id="6" w:name="_Toc109304964"/>
      <w:r>
        <w:rPr>
          <w:rFonts w:hint="eastAsia" w:ascii="宋体" w:hAnsi="宋体" w:eastAsia="宋体" w:cs="宋体"/>
          <w:bCs w:val="0"/>
          <w:color w:val="auto"/>
          <w:sz w:val="21"/>
          <w:szCs w:val="21"/>
          <w:highlight w:val="none"/>
        </w:rPr>
        <w:t xml:space="preserve">二、申请人的资格要求：</w:t>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满足《中华人民共和国政府采购法》第二十二条规定，并提供下列材料：</w:t>
      </w:r>
      <w:r/>
    </w:p>
    <w:p>
      <w:pPr>
        <w:pStyle w:val="823"/>
        <w:ind w:left="0" w:righ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p>
    <w:p>
      <w:pPr>
        <w:pStyle w:val="823"/>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1.2 2024年度</w:t>
      </w:r>
      <w:r>
        <w:rPr>
          <w:rFonts w:hint="eastAsia" w:cs="宋体"/>
          <w:i/>
          <w:iCs/>
          <w:color w:val="000000"/>
          <w:sz w:val="21"/>
          <w:szCs w:val="21"/>
          <w:highlight w:val="none"/>
          <w:u w:val="single"/>
          <w:lang w:val="en-US" w:eastAsia="zh-CN"/>
        </w:rPr>
        <w:t xml:space="preserve">或2025年度</w:t>
      </w:r>
      <w:r>
        <w:rPr>
          <w:rFonts w:hint="eastAsia" w:ascii="宋体" w:hAnsi="宋体" w:eastAsia="宋体" w:cs="宋体"/>
          <w:i/>
          <w:iCs/>
          <w:color w:val="000000"/>
          <w:sz w:val="21"/>
          <w:szCs w:val="21"/>
          <w:highlight w:val="none"/>
          <w:u w:val="single"/>
        </w:rPr>
        <w:t xml:space="preserve">的财务状况报告</w:t>
      </w:r>
      <w:r>
        <w:rPr>
          <w:rFonts w:hint="eastAsia" w:ascii="宋体" w:hAnsi="宋体" w:eastAsia="宋体" w:cs="宋体"/>
          <w:b/>
          <w:bCs/>
          <w:i/>
          <w:iCs/>
          <w:color w:val="000000"/>
          <w:sz w:val="21"/>
          <w:szCs w:val="21"/>
          <w:highlight w:val="none"/>
          <w:u w:val="single"/>
        </w:rPr>
        <w:t xml:space="preserve">（成立不满一年无需提供）；</w:t>
      </w:r>
      <w:r/>
    </w:p>
    <w:p>
      <w:pPr>
        <w:pStyle w:val="823"/>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1.3依法缴纳税收和社会保障资金的相关材料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p>
      <w:pPr>
        <w:pStyle w:val="823"/>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p>
    <w:p>
      <w:pPr>
        <w:pStyle w:val="823"/>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p>
    <w:p>
      <w:pPr>
        <w:pStyle w:val="823"/>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p>
      <w:pPr>
        <w:pStyle w:val="895"/>
        <w:numPr>
          <w:ilvl w:val="0"/>
          <w:numId w:val="0"/>
        </w:num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pStyle w:val="895"/>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w:t>
      </w:r>
      <w:r>
        <w:rPr>
          <w:rFonts w:hint="eastAsia" w:ascii="宋体" w:hAnsi="宋体" w:eastAsia="宋体" w:cs="宋体"/>
          <w:i/>
          <w:iCs/>
          <w:color w:val="auto"/>
          <w:szCs w:val="21"/>
          <w:highlight w:val="none"/>
          <w:u w:val="single"/>
          <w:lang w:val="en-US" w:eastAsia="zh-CN"/>
        </w:rPr>
        <w:t xml:space="preserve">.磋商响应函</w:t>
      </w:r>
      <w:r/>
    </w:p>
    <w:p>
      <w:pPr>
        <w:pStyle w:val="895"/>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w:t>
      </w:r>
      <w:r>
        <w:rPr>
          <w:rFonts w:hint="eastAsia" w:ascii="宋体" w:hAnsi="宋体" w:eastAsia="宋体" w:cs="宋体"/>
          <w:i/>
          <w:iCs/>
          <w:color w:val="auto"/>
          <w:szCs w:val="21"/>
          <w:highlight w:val="none"/>
          <w:u w:val="single"/>
          <w:lang w:val="en-US" w:eastAsia="zh-CN"/>
        </w:rPr>
        <w:t xml:space="preserve">.法人授权书</w:t>
      </w:r>
      <w:r/>
    </w:p>
    <w:p>
      <w:pPr>
        <w:numPr>
          <w:ilvl w:val="0"/>
          <w:numId w:val="0"/>
        </w:numPr>
        <w:ind w:righ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r/>
    </w:p>
    <w:p>
      <w:pPr>
        <w:numPr>
          <w:ilvl w:val="0"/>
          <w:numId w:val="0"/>
        </w:numPr>
        <w:ind w:firstLine="420"/>
        <w:keepLines w:val="0"/>
        <w:keepNext w:val="0"/>
        <w:pageBreakBefore w:val="0"/>
        <w:spacing w:line="360" w:lineRule="auto"/>
        <w:widowControl w:val="off"/>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A包：供应商需具有城乡规划乙级及以上资质证书（证书原件扫描上传）</w:t>
      </w:r>
      <w:r/>
    </w:p>
    <w:p>
      <w:pPr>
        <w:numPr>
          <w:ilvl w:val="0"/>
          <w:numId w:val="0"/>
        </w:num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B包：供应商具有行政主管部门颁发的乙级及以上测绘资质证书（证书原件扫描上传）</w:t>
      </w:r>
      <w:r/>
    </w:p>
    <w:p>
      <w:pPr>
        <w:pStyle w:val="1035"/>
        <w:ind w:firstLine="422"/>
        <w:spacing w:before="0" w:after="0" w:line="360" w:lineRule="auto"/>
        <w:rPr>
          <w:rFonts w:hint="eastAsia" w:ascii="宋体" w:hAnsi="宋体" w:eastAsia="宋体" w:cs="宋体"/>
          <w:bCs w:val="0"/>
          <w:color w:val="auto"/>
          <w:sz w:val="21"/>
          <w:szCs w:val="21"/>
          <w:highlight w:val="none"/>
        </w:rPr>
      </w:pPr>
      <w:r/>
      <w:bookmarkStart w:id="7" w:name="_Toc109304965"/>
      <w:r>
        <w:rPr>
          <w:rFonts w:hint="eastAsia" w:ascii="宋体" w:hAnsi="宋体" w:eastAsia="宋体" w:cs="宋体"/>
          <w:bCs w:val="0"/>
          <w:color w:val="auto"/>
          <w:sz w:val="21"/>
          <w:szCs w:val="21"/>
          <w:highlight w:val="none"/>
        </w:rPr>
        <w:t xml:space="preserve">三、获取采购文件</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时间：磋商公告及磋商文件公告期限为自本公告发布之日起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个工作日后仍可下载采购文件，但不作为供应商权益受到损害的证明材料和依据。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spacing w:line="360" w:lineRule="auto"/>
        <w:rPr>
          <w:rFonts w:hint="eastAsia" w:ascii="宋体" w:hAnsi="宋体" w:eastAsia="宋体" w:cs="宋体"/>
          <w:b/>
          <w:bCs/>
          <w:color w:val="auto"/>
          <w:szCs w:val="21"/>
          <w:highlight w:val="none"/>
        </w:rPr>
      </w:pPr>
      <w:r/>
      <w:bookmarkStart w:id="8"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eastAsia="宋体" w:cs="宋体"/>
          <w:b/>
          <w:bCs/>
          <w:color w:val="auto"/>
          <w:szCs w:val="21"/>
          <w:highlight w:val="none"/>
        </w:rPr>
      </w:pPr>
      <w:r/>
      <w:bookmarkStart w:id="9"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05</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25</w:t>
      </w:r>
      <w:bookmarkStart w:id="27" w:name="_GoBack"/>
      <w:r/>
      <w:bookmarkEnd w:id="27"/>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上午09</w:t>
      </w:r>
      <w:r>
        <w:rPr>
          <w:rFonts w:hint="eastAsia" w:ascii="宋体" w:hAnsi="宋体" w:eastAsia="宋体" w:cs="宋体"/>
          <w:b/>
          <w:bCs/>
          <w:color w:val="auto"/>
          <w:szCs w:val="21"/>
          <w:highlight w:val="none"/>
        </w:rPr>
        <w:t xml:space="preserve">点30分（北京时间）</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9"/>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个工作日。</w:t>
      </w:r>
      <w:r/>
    </w:p>
    <w:p>
      <w:pPr>
        <w:pStyle w:val="1035"/>
        <w:ind w:firstLine="422"/>
        <w:spacing w:before="0" w:after="0" w:line="360" w:lineRule="auto"/>
        <w:rPr>
          <w:rFonts w:hint="eastAsia" w:ascii="宋体" w:hAnsi="宋体" w:eastAsia="宋体" w:cs="宋体"/>
          <w:color w:val="auto"/>
          <w:sz w:val="21"/>
          <w:szCs w:val="21"/>
          <w:highlight w:val="none"/>
        </w:rPr>
      </w:pPr>
      <w:r/>
      <w:bookmarkStart w:id="10"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0"/>
      <w:r/>
      <w:r/>
    </w:p>
    <w:p>
      <w:pPr>
        <w:ind w:firstLine="422"/>
        <w:spacing w:line="360" w:lineRule="auto"/>
        <w:tabs>
          <w:tab w:val="left" w:pos="266" w:leader="none"/>
        </w:tabs>
        <w:rPr>
          <w:rFonts w:hint="eastAsia" w:ascii="宋体" w:hAnsi="宋体" w:eastAsia="宋体" w:cs="宋体"/>
          <w:b/>
          <w:bCs/>
          <w:color w:val="auto"/>
          <w:highlight w:val="none"/>
        </w:rPr>
      </w:pPr>
      <w:r/>
      <w:bookmarkStart w:id="11" w:name="_Toc109304970"/>
      <w:r>
        <w:rPr>
          <w:rFonts w:hint="eastAsia" w:ascii="宋体" w:hAnsi="宋体" w:eastAsia="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 xml:space="preserve">成交供应商可凭政府采购合同办理融资贷款，详见江苏政府采购网“政采贷”专栏。</w:t>
      </w:r>
      <w:r/>
    </w:p>
    <w:p>
      <w:pPr>
        <w:pStyle w:val="1035"/>
        <w:ind w:firstLine="422"/>
        <w:spacing w:before="0" w:after="0" w:line="360" w:lineRule="auto"/>
        <w:rPr>
          <w:rFonts w:hint="eastAsia" w:ascii="宋体" w:hAnsi="宋体" w:eastAsia="宋体" w:cs="宋体"/>
          <w:color w:val="auto"/>
          <w:sz w:val="21"/>
          <w:szCs w:val="21"/>
          <w:highlight w:val="none"/>
        </w:rPr>
      </w:pPr>
      <w:r/>
      <w:bookmarkStart w:id="12" w:name="_Toc109304971"/>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、其他</w:t>
      </w:r>
      <w:bookmarkEnd w:id="12"/>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 xml:space="preserve">磋商</w:t>
      </w:r>
      <w:r>
        <w:rPr>
          <w:rFonts w:hint="eastAsia" w:ascii="宋体" w:hAnsi="宋体" w:eastAsia="宋体" w:cs="宋体"/>
          <w:b/>
          <w:bCs/>
          <w:color w:val="auto"/>
          <w:szCs w:val="21"/>
          <w:highlight w:val="none"/>
        </w:rPr>
        <w:t xml:space="preserve">活动。如供应商未按要求操作，由此所产生的风险由供应商自行承担。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文件，技术支持联系方式：13813140731。</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 xml:space="preserve">承担</w:t>
      </w:r>
      <w:r>
        <w:rPr>
          <w:rFonts w:hint="eastAsia" w:ascii="宋体" w:hAnsi="宋体" w:eastAsia="宋体" w:cs="宋体"/>
          <w:b/>
          <w:bCs/>
          <w:color w:val="auto"/>
          <w:szCs w:val="21"/>
          <w:highlight w:val="none"/>
        </w:rPr>
        <w:t xml:space="preserve">后果。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供应商对于</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产品的包装应按照“财办库〔2020〕123号《关于印发《商品包装政府采购需求标准（试行）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快递包装政府采购需求标准（试行）》的通知》”执行。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潜在供应商对采购文件项目需求部分的询问、质疑请向采购人提出，由采购人负责答复。</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本次采购不收取保证金。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有关本次采购的事项若存在变动或修改，敬请及时关注</w:t>
      </w:r>
      <w:r>
        <w:rPr>
          <w:rFonts w:hint="eastAsia" w:ascii="宋体" w:hAnsi="宋体" w:eastAsia="宋体" w:cs="宋体"/>
          <w:b/>
          <w:bCs/>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b/>
          <w:bCs/>
          <w:color w:val="auto"/>
          <w:szCs w:val="21"/>
          <w:highlight w:val="none"/>
        </w:rPr>
        <w:t xml:space="preserve">发布的信息。</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本项目采购文件中所有斜体下划线部分为实质性条款，如不满足，则为无效响应。</w:t>
      </w:r>
      <w:r/>
    </w:p>
    <w:p>
      <w:pPr>
        <w:pStyle w:val="1035"/>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、本次竞争性磋商联系方式</w:t>
      </w:r>
      <w:bookmarkEnd w:id="11"/>
      <w:r/>
      <w:r/>
    </w:p>
    <w:p>
      <w:pPr>
        <w:pStyle w:val="105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扬州市自然资源和规划局邗江分局</w:t>
      </w:r>
      <w:r/>
    </w:p>
    <w:p>
      <w:pPr>
        <w:pStyle w:val="1052"/>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扬州市邗江区兴城西路180号</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eastAsia="宋体" w:cs="宋体"/>
          <w:bCs/>
          <w:color w:val="auto"/>
          <w:sz w:val="21"/>
          <w:szCs w:val="21"/>
          <w:highlight w:val="none"/>
          <w:lang w:val="en-US" w:eastAsia="zh-CN" w:bidi="ar-SA"/>
        </w:rPr>
        <w:t xml:space="preserve">：王燕</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话：18912132759</w:t>
      </w:r>
      <w:r/>
    </w:p>
    <w:p>
      <w:pPr>
        <w:pStyle w:val="105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05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名    称：江苏中瑞建设项目管理有限公司扬州分公司</w:t>
      </w:r>
      <w:r/>
    </w:p>
    <w:p>
      <w:pPr>
        <w:pStyle w:val="1052"/>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w:t>
      </w:r>
      <w:r>
        <w:rPr>
          <w:rFonts w:hint="eastAsia" w:ascii="宋体" w:hAnsi="宋体" w:eastAsia="宋体" w:cs="宋体"/>
          <w:color w:val="auto"/>
          <w:sz w:val="21"/>
          <w:szCs w:val="21"/>
          <w:highlight w:val="none"/>
          <w:lang w:eastAsia="zh-CN"/>
        </w:rPr>
        <w:t xml:space="preserve">邗江区蜀冈怡庭小区商务楼</w:t>
      </w:r>
      <w:r>
        <w:rPr>
          <w:rFonts w:hint="eastAsia" w:ascii="宋体" w:hAnsi="宋体" w:eastAsia="宋体" w:cs="宋体"/>
          <w:color w:val="auto"/>
          <w:sz w:val="21"/>
          <w:szCs w:val="21"/>
          <w:highlight w:val="none"/>
          <w:lang w:val="en-US" w:eastAsia="zh-CN"/>
        </w:rPr>
        <w:t xml:space="preserve">59栋4楼</w:t>
      </w:r>
      <w:r/>
    </w:p>
    <w:p>
      <w:pPr>
        <w:ind w:firstLine="42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李雪梅</w:t>
      </w:r>
      <w:r/>
      <w:r>
        <w:rPr>
          <w:rFonts w:hint="eastAsia" w:ascii="宋体" w:hAnsi="宋体" w:eastAsia="宋体" w:cs="宋体"/>
          <w:b w:val="0"/>
          <w:bCs/>
          <w:color w:val="auto"/>
          <w:sz w:val="21"/>
          <w:szCs w:val="21"/>
          <w:highlight w:val="none"/>
          <w:lang w:val="en-US" w:eastAsia="zh-CN" w:bidi="ar-SA"/>
        </w:rPr>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话：19952452293</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3、项目联系人</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李雪梅</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18912142557</w:t>
      </w:r>
      <w:r/>
    </w:p>
    <w:p>
      <w:pPr>
        <w:pStyle w:val="105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r>
      <w:r/>
    </w:p>
    <w:p>
      <w:pPr>
        <w:pStyle w:val="1034"/>
        <w:jc w:val="center"/>
        <w:spacing w:line="360" w:lineRule="auto"/>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0" w:bottom="1440" w:left="1800" w:header="850" w:footer="992" w:gutter="0"/>
          <w:pgNumType w:start="1"/>
          <w:cols w:num="1" w:sep="0" w:space="720" w:equalWidth="1"/>
          <w:docGrid w:linePitch="360"/>
        </w:sectPr>
      </w:pPr>
      <w:r/>
      <w:bookmarkStart w:id="13" w:name="_Toc109304972"/>
      <w:r/>
      <w:r/>
    </w:p>
    <w:p>
      <w:pPr>
        <w:pStyle w:val="1034"/>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磋商须知</w:t>
      </w:r>
      <w:bookmarkEnd w:id="13"/>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JSZC-321003-JSZR-C2026-0037</w:t>
      </w:r>
      <w:r>
        <w:rPr>
          <w:rFonts w:hint="eastAsia" w:ascii="宋体" w:hAnsi="宋体" w:eastAsia="宋体" w:cs="宋体"/>
          <w:color w:val="auto"/>
          <w:highlight w:val="none"/>
        </w:rPr>
        <w:t xml:space="preserve">号项目。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3、适用法律</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rPr>
          <w:rFonts w:hint="eastAsia" w:ascii="宋体" w:hAnsi="宋体" w:cs="宋体"/>
          <w:b/>
          <w:bCs/>
          <w:color w:val="auto"/>
          <w:highlight w:val="none"/>
        </w:rPr>
        <w:t xml:space="preserve">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江苏中瑞建设项目管理有限公司扬州分公司</w:t>
      </w:r>
      <w:r>
        <w:rPr>
          <w:rFonts w:hint="eastAsia" w:ascii="宋体" w:hAnsi="宋体" w:eastAsia="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w:t>
      </w:r>
      <w:bookmarkStart w:id="14" w:name="_Hlk115095815"/>
      <w:r>
        <w:rPr>
          <w:rFonts w:hint="eastAsia" w:ascii="宋体" w:hAnsi="宋体" w:eastAsia="宋体" w:cs="宋体"/>
          <w:color w:val="auto"/>
          <w:highlight w:val="none"/>
        </w:rPr>
        <w:t xml:space="preserve">本次采购由</w:t>
      </w:r>
      <w:r>
        <w:rPr>
          <w:rFonts w:hint="eastAsia" w:ascii="宋体" w:hAnsi="宋体" w:cs="宋体"/>
          <w:color w:val="auto"/>
          <w:highlight w:val="none"/>
          <w:lang w:val="en-US" w:eastAsia="zh-CN"/>
        </w:rPr>
        <w:t xml:space="preserve">成交人</w:t>
      </w:r>
      <w:r>
        <w:rPr>
          <w:rFonts w:hint="eastAsia" w:ascii="宋体" w:hAnsi="宋体" w:eastAsia="宋体" w:cs="宋体"/>
          <w:color w:val="auto"/>
          <w:highlight w:val="none"/>
        </w:rPr>
        <w:t xml:space="preserve">按照发改价格【2011】534号服务类收费标准，一次性支付给采购代理机构。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（3）招标代理服务费不在磋商报价中单列，包含在磋商总价中，由成交</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支付给代理机构。</w:t>
      </w:r>
      <w:bookmarkEnd w:id="14"/>
      <w:r>
        <w:rPr>
          <w:rFonts w:hint="eastAsia" w:ascii="宋体" w:hAnsi="宋体" w:eastAsia="宋体" w:cs="宋体"/>
          <w:color w:val="auto"/>
          <w:highlight w:val="none"/>
          <w:lang w:val="en-US" w:eastAsia="zh-CN"/>
        </w:rPr>
        <w:t xml:space="preserve"> </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招标代理服务费开户银行：</w:t>
      </w:r>
      <w:r>
        <w:rPr>
          <w:rFonts w:hint="eastAsia" w:ascii="宋体" w:hAnsi="宋体" w:eastAsia="宋体" w:cs="宋体"/>
          <w:b/>
          <w:color w:val="auto"/>
          <w:szCs w:val="21"/>
          <w:highlight w:val="none"/>
          <w:lang w:eastAsia="zh-CN"/>
        </w:rPr>
        <w:t xml:space="preserve">华夏银行股份有限公司扬州邗江支行</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开户名称：</w:t>
      </w:r>
      <w:r>
        <w:rPr>
          <w:rFonts w:hint="eastAsia" w:ascii="宋体" w:hAnsi="宋体" w:eastAsia="宋体" w:cs="宋体"/>
          <w:b/>
          <w:color w:val="auto"/>
          <w:szCs w:val="21"/>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：10371000000358249</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4.3专家评审相关配套服务费按《扬州市财政局关于进一步规范扬州市政府采购专家评审费标准的通知》（扬财购〔2020〕40号）执行</w:t>
      </w:r>
      <w:r>
        <w:rPr>
          <w:rFonts w:hint="eastAsia" w:ascii="宋体" w:hAnsi="宋体" w:eastAsia="宋体" w:cs="宋体"/>
          <w:b w:val="0"/>
          <w:bCs w:val="0"/>
          <w:color w:val="auto"/>
          <w:szCs w:val="21"/>
          <w:highlight w:val="none"/>
        </w:rPr>
        <w:t xml:space="preserve">。</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6、采购文件构成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7、采购文件的澄清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9、采购文件的语言、度量衡单位、货币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11、证明供应商资格及符合采购文件规定的文件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w:t>
      </w:r>
      <w:r>
        <w:rPr>
          <w:rFonts w:hint="eastAsia" w:ascii="宋体" w:hAnsi="宋体" w:eastAsia="宋体" w:cs="宋体"/>
          <w:color w:val="auto"/>
          <w:highlight w:val="none"/>
          <w:lang w:eastAsia="zh-CN"/>
        </w:rPr>
        <w:t xml:space="preserve">其他费用</w:t>
      </w:r>
      <w:r>
        <w:rPr>
          <w:rFonts w:hint="eastAsia" w:ascii="宋体" w:hAnsi="宋体" w:eastAsia="宋体" w:cs="宋体"/>
          <w:color w:val="auto"/>
          <w:highlight w:val="none"/>
        </w:rPr>
        <w:t xml:space="preserve">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w:t>
      </w:r>
      <w:r>
        <w:rPr>
          <w:rFonts w:hint="eastAsia" w:ascii="宋体" w:hAnsi="宋体" w:eastAsia="宋体" w:cs="宋体"/>
          <w:color w:val="auto"/>
          <w:highlight w:val="none"/>
          <w:lang w:eastAsia="zh-CN"/>
        </w:rPr>
        <w:t xml:space="preserve">按照</w:t>
      </w:r>
      <w:r>
        <w:rPr>
          <w:rFonts w:hint="eastAsia" w:ascii="宋体" w:hAnsi="宋体" w:eastAsia="宋体" w:cs="宋体"/>
          <w:color w:val="auto"/>
          <w:highlight w:val="none"/>
        </w:rPr>
        <w:t xml:space="preserve">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16、磋商响应有效期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auto"/>
          <w:highlight w:val="none"/>
        </w:rPr>
      </w:pPr>
      <w:r/>
      <w:bookmarkStart w:id="15" w:name="_Toc16938541"/>
      <w:r/>
      <w:bookmarkStart w:id="16" w:name="_Toc20823297"/>
      <w:r>
        <w:rPr>
          <w:rFonts w:hint="eastAsia" w:ascii="宋体" w:hAnsi="宋体" w:eastAsia="宋体" w:cs="宋体"/>
          <w:b/>
          <w:bCs/>
          <w:color w:val="auto"/>
          <w:highlight w:val="none"/>
        </w:rPr>
        <w:t xml:space="preserve">17、响应文件</w:t>
      </w:r>
      <w:bookmarkEnd w:id="15"/>
      <w:r/>
      <w:bookmarkEnd w:id="16"/>
      <w:r>
        <w:rPr>
          <w:rFonts w:hint="eastAsia" w:ascii="宋体" w:hAnsi="宋体" w:eastAsia="宋体" w:cs="宋体"/>
          <w:b/>
          <w:bCs/>
          <w:color w:val="auto"/>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17" w:name="_Toc16938542"/>
      <w:r/>
      <w:bookmarkStart w:id="18" w:name="_Toc20823298"/>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17.3供应商应对 CA 证书妥善保管，如被他人盗用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，因此带来的</w:t>
      </w:r>
      <w:r>
        <w:rPr>
          <w:rFonts w:hint="eastAsia" w:ascii="宋体" w:hAnsi="宋体" w:eastAsia="宋体" w:cs="宋体"/>
          <w:b w:val="0"/>
          <w:bCs w:val="0"/>
          <w:color w:val="auto"/>
          <w:szCs w:val="21"/>
          <w:highlight w:val="none"/>
          <w:lang w:eastAsia="zh-CN"/>
        </w:rPr>
        <w:t xml:space="preserve">后果</w:t>
      </w:r>
      <w:r>
        <w:rPr>
          <w:rFonts w:hint="eastAsia" w:ascii="宋体" w:hAnsi="宋体" w:eastAsia="宋体" w:cs="宋体"/>
          <w:b w:val="0"/>
          <w:bCs w:val="0"/>
          <w:color w:val="auto"/>
          <w:szCs w:val="21"/>
          <w:highlight w:val="none"/>
        </w:rPr>
        <w:t xml:space="preserve">均由供应商自行承担。</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17.4供应商应当对采购文件提出的要求和条件作出实质性响应，并在电子</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系统逐条应答。</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17.6</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应当在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文件要求提交</w:t>
      </w: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文件的截止时间前，将</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文件提交至“苏采云”系统，逾期提交的</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文件，“苏采云”系统将自动拒收。</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17.</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各供应商应在规定时间内凭CA证书进行网上解密。</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18、磋商响应截止日期</w:t>
      </w:r>
      <w:bookmarkEnd w:id="17"/>
      <w:r/>
      <w:bookmarkEnd w:id="18"/>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auto"/>
          <w:highlight w:val="none"/>
        </w:rPr>
      </w:pPr>
      <w:r/>
      <w:bookmarkStart w:id="19" w:name="_Toc16938543"/>
      <w:r/>
      <w:bookmarkStart w:id="20" w:name="_Toc20823299"/>
      <w:r>
        <w:rPr>
          <w:rFonts w:hint="eastAsia" w:ascii="宋体" w:hAnsi="宋体" w:eastAsia="宋体" w:cs="宋体"/>
          <w:b/>
          <w:bCs/>
          <w:color w:val="auto"/>
          <w:highlight w:val="none"/>
        </w:rPr>
        <w:t xml:space="preserve">19、响应文件</w:t>
      </w:r>
      <w:bookmarkEnd w:id="19"/>
      <w:r/>
      <w:bookmarkEnd w:id="20"/>
      <w:r>
        <w:rPr>
          <w:rFonts w:hint="eastAsia" w:ascii="宋体" w:hAnsi="宋体" w:eastAsia="宋体" w:cs="宋体"/>
          <w:b/>
          <w:bCs/>
          <w:color w:val="auto"/>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auto"/>
          <w:highlight w:val="none"/>
        </w:rPr>
      </w:pPr>
      <w:r/>
      <w:bookmarkStart w:id="21" w:name="_Toc20823300"/>
      <w:r/>
      <w:bookmarkStart w:id="22" w:name="_Toc16938544"/>
      <w:r>
        <w:rPr>
          <w:rFonts w:hint="eastAsia" w:ascii="宋体" w:hAnsi="宋体" w:eastAsia="宋体" w:cs="宋体"/>
          <w:b/>
          <w:bCs/>
          <w:color w:val="auto"/>
          <w:highlight w:val="none"/>
        </w:rPr>
        <w:t xml:space="preserve">20、响应文件的撤回和修改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eastAsia="宋体" w:cs="宋体"/>
          <w:color w:val="auto"/>
          <w:highlight w:val="none"/>
          <w:lang w:eastAsia="zh-CN"/>
        </w:rPr>
        <w:t xml:space="preserve">涉及的</w:t>
      </w:r>
      <w:r>
        <w:rPr>
          <w:rFonts w:hint="eastAsia" w:ascii="宋体" w:hAnsi="宋体" w:eastAsia="宋体" w:cs="宋体"/>
          <w:color w:val="auto"/>
          <w:highlight w:val="none"/>
        </w:rPr>
        <w:t xml:space="preserve">响应文件解密等工作，应按照《操作手册》规定执行。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24、磋商的澄清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25、对响应文件的初审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26、磋商程序及评审方法和标准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26.1磋商程序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 评审方法和标准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26.2.2评审标准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见本采购文件第五章规定。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27、无效响应及采购活动终止的情况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27.1无效响应条款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27.1.1 供应商未按照采购文件要求上传电子磋商响应文件的。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27.1.2 供应商未成功解密电子磋商响应文件的。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27.1.3 供应商不具备采购文件中规</w:t>
      </w:r>
      <w:r>
        <w:rPr>
          <w:rFonts w:hint="eastAsia" w:ascii="宋体" w:hAnsi="宋体" w:eastAsia="宋体" w:cs="宋体"/>
          <w:color w:val="auto"/>
          <w:highlight w:val="none"/>
          <w:lang w:eastAsia="zh-CN"/>
        </w:rPr>
        <w:t xml:space="preserve">定的</w:t>
      </w:r>
      <w:r>
        <w:rPr>
          <w:rFonts w:hint="eastAsia" w:ascii="宋体" w:hAnsi="宋体" w:eastAsia="宋体" w:cs="宋体"/>
          <w:color w:val="auto"/>
          <w:highlight w:val="none"/>
        </w:rPr>
        <w:t xml:space="preserve">资格要求的。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27.1.4 未通过符合性审查的。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27.1.5 不符合采购文件中规定的其他实质性要求和条件的（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27.1.8 响应文件未按照采购文件要求加盖电子签章。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27.1.9 其他</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及本采购文件规定的属无效响应的情形。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 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27.2.2 出现影响采购公正的违法、违规行为的；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27.2.4 因重大变故，采购任务取消的。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w:t>
      </w:r>
      <w:r>
        <w:rPr>
          <w:rFonts w:hint="eastAsia" w:ascii="宋体" w:hAnsi="宋体" w:eastAsia="宋体" w:cs="宋体"/>
          <w:color w:val="auto"/>
          <w:highlight w:val="none"/>
          <w:lang w:eastAsia="zh-CN"/>
        </w:rPr>
        <w:t xml:space="preserve">原则</w:t>
      </w:r>
      <w:r>
        <w:rPr>
          <w:rFonts w:hint="eastAsia" w:ascii="宋体" w:hAnsi="宋体" w:eastAsia="宋体" w:cs="宋体"/>
          <w:color w:val="auto"/>
          <w:highlight w:val="none"/>
        </w:rPr>
        <w:t xml:space="preserve">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串通</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.5.1不同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.5.2不同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委托同一单位或者个人办理</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.5.3 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.5.4不同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文件异常一致或者</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报价呈规律性差异。</w:t>
      </w:r>
      <w:r/>
    </w:p>
    <w:p>
      <w:pPr>
        <w:ind w:firstLine="420"/>
        <w:spacing w:line="360" w:lineRule="auto"/>
        <w:tabs>
          <w:tab w:val="left" w:pos="528"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.5.5不同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文件相互混装。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3"/>
        </w:numPr>
        <w:ind w:firstLine="420"/>
        <w:spacing w:line="360" w:lineRule="auto"/>
        <w:rPr>
          <w:rFonts w:hint="eastAsia" w:ascii="宋体" w:hAnsi="宋体" w:eastAsia="宋体" w:cs="宋体"/>
          <w:highlight w:val="none"/>
          <w:lang w:val="en-US" w:eastAsia="zh-CN"/>
        </w:rPr>
      </w:pPr>
      <w:r>
        <w:rPr>
          <w:rFonts w:hint="eastAsia" w:ascii="宋体" w:hAnsi="宋体" w:eastAsia="宋体" w:cs="宋体"/>
          <w:b/>
          <w:bCs/>
          <w:color w:val="auto"/>
          <w:highlight w:val="none"/>
          <w:lang w:val="en-US" w:eastAsia="zh-CN"/>
        </w:rPr>
        <w:t xml:space="preserve">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 成交结果确定后，代理机构将向成交供应商发出成通知书。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扬州市政府采购交易管理系统（苏采云）”成交通知书下载模块中自行下载成交通知书。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 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31.3 合同在“</w:t>
      </w:r>
      <w:r>
        <w:rPr>
          <w:rFonts w:hint="eastAsia" w:ascii="宋体" w:hAnsi="宋体" w:eastAsia="宋体" w:cs="宋体"/>
          <w:color w:val="auto"/>
          <w:szCs w:val="21"/>
          <w:highlight w:val="none"/>
          <w:lang w:val="en-US" w:eastAsia="zh-CN"/>
        </w:rPr>
        <w:t xml:space="preserve">扬州市</w:t>
      </w:r>
      <w:r>
        <w:rPr>
          <w:rFonts w:hint="eastAsia" w:ascii="宋体" w:hAnsi="宋体" w:eastAsia="宋体" w:cs="宋体"/>
          <w:color w:val="auto"/>
          <w:szCs w:val="21"/>
          <w:highlight w:val="none"/>
        </w:rPr>
        <w:t xml:space="preserve">政府采购管理交易系统（苏采云）”中签订，签订合同后，</w:t>
      </w:r>
      <w:r>
        <w:rPr>
          <w:rFonts w:hint="eastAsia" w:ascii="宋体" w:hAnsi="宋体" w:eastAsia="宋体" w:cs="宋体"/>
          <w:i/>
          <w:iCs/>
          <w:color w:val="auto"/>
          <w:szCs w:val="21"/>
          <w:highlight w:val="none"/>
          <w:u w:val="single"/>
        </w:rPr>
        <w:t xml:space="preserve">成交供应商不得将货物或服务及其他服务进行转包</w:t>
      </w:r>
      <w:r>
        <w:rPr>
          <w:rFonts w:hint="eastAsia" w:ascii="宋体" w:hAnsi="宋体" w:eastAsia="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依据《政府采购促进中小企业发展管理办法》</w:t>
      </w:r>
      <w:r>
        <w:rPr>
          <w:rFonts w:hint="eastAsia" w:ascii="宋体" w:hAnsi="宋体" w:eastAsia="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4"/>
        <w:numPr>
          <w:ilvl w:val="0"/>
          <w:numId w:val="0"/>
        </w:numPr>
        <w:jc w:val="center"/>
        <w:spacing w:line="360" w:lineRule="auto"/>
        <w:rPr>
          <w:rFonts w:hint="eastAsia" w:ascii="宋体" w:hAnsi="宋体" w:eastAsia="宋体" w:cs="宋体"/>
          <w:color w:val="auto"/>
          <w:highlight w:val="none"/>
        </w:rPr>
      </w:pPr>
      <w:r/>
      <w:bookmarkStart w:id="23"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合同条款及格式</w:t>
      </w:r>
      <w:bookmarkEnd w:id="23"/>
      <w:r/>
      <w:r/>
    </w:p>
    <w:p>
      <w:pPr>
        <w:pStyle w:val="805"/>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后</w:t>
      </w:r>
      <w:r>
        <w:rPr>
          <w:rFonts w:hint="eastAsia" w:ascii="宋体" w:hAnsi="宋体" w:eastAsia="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供应商不得提出实质性的修改。关于专用条款将由采购人与</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供应商结合本项目具体情况协商后补充，但补充内容对</w:t>
      </w:r>
      <w:r>
        <w:rPr>
          <w:rFonts w:hint="eastAsia" w:ascii="宋体" w:hAnsi="宋体" w:eastAsia="宋体" w:cs="宋体"/>
          <w:color w:val="auto"/>
          <w:sz w:val="21"/>
          <w:highlight w:val="none"/>
          <w:lang w:eastAsia="zh-CN"/>
        </w:rPr>
        <w:t xml:space="preserve">磋商</w:t>
      </w:r>
      <w:r>
        <w:rPr>
          <w:rFonts w:hint="eastAsia" w:ascii="宋体" w:hAnsi="宋体" w:eastAsia="宋体" w:cs="宋体"/>
          <w:color w:val="auto"/>
          <w:sz w:val="21"/>
          <w:highlight w:val="none"/>
        </w:rPr>
        <w:t xml:space="preserve">文件和</w:t>
      </w:r>
      <w:r>
        <w:rPr>
          <w:rFonts w:hint="eastAsia" w:ascii="宋体" w:hAnsi="宋体" w:eastAsia="宋体" w:cs="宋体"/>
          <w:color w:val="auto"/>
          <w:sz w:val="21"/>
          <w:highlight w:val="none"/>
          <w:lang w:eastAsia="zh-CN"/>
        </w:rPr>
        <w:t xml:space="preserve">响应</w:t>
      </w:r>
      <w:r>
        <w:rPr>
          <w:rFonts w:hint="eastAsia" w:ascii="宋体" w:hAnsi="宋体" w:eastAsia="宋体" w:cs="宋体"/>
          <w:color w:val="auto"/>
          <w:sz w:val="21"/>
          <w:highlight w:val="none"/>
        </w:rPr>
        <w:t xml:space="preserve">文件以及通用条款，不得作实质性修改。</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3"/>
        <w:ind w:firstLine="422"/>
        <w:jc w:val="center"/>
        <w:spacing w:line="360" w:lineRule="auto"/>
        <w:rPr>
          <w:rFonts w:hint="eastAsia" w:ascii="宋体" w:hAnsi="宋体" w:eastAsia="宋体" w:cs="宋体"/>
          <w:b/>
          <w:bCs/>
          <w:color w:val="000000"/>
          <w:sz w:val="21"/>
          <w:highlight w:val="none"/>
        </w:rPr>
      </w:pPr>
      <w:r/>
      <w:bookmarkStart w:id="24" w:name="_Toc109304974"/>
      <w:r>
        <w:rPr>
          <w:rFonts w:hint="eastAsia" w:ascii="宋体" w:hAnsi="宋体" w:eastAsia="宋体" w:cs="宋体"/>
          <w:b/>
          <w:bCs/>
          <w:color w:val="000000"/>
          <w:sz w:val="21"/>
          <w:highlight w:val="none"/>
        </w:rPr>
        <w:t xml:space="preserve">扬州市政府采购合同（服务）（合同编号）</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项目名称：</w:t>
      </w:r>
      <w:r>
        <w:rPr>
          <w:rFonts w:hint="eastAsia" w:hAnsi="宋体" w:cs="宋体"/>
          <w:color w:val="000000"/>
          <w:sz w:val="21"/>
          <w:highlight w:val="none"/>
          <w:lang w:eastAsia="zh-CN"/>
        </w:rPr>
        <w:t xml:space="preserve">2026年度城乡建设用地增减挂钩复垦项目及耕地占补平衡项目技术服务</w:t>
      </w:r>
      <w:r>
        <w:rPr>
          <w:rFonts w:hint="eastAsia" w:ascii="宋体" w:hAnsi="宋体" w:eastAsia="宋体" w:cs="宋体"/>
          <w:color w:val="000000"/>
          <w:sz w:val="21"/>
          <w:highlight w:val="none"/>
        </w:rPr>
        <w:t xml:space="preserve">               </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项目编号：</w:t>
      </w:r>
      <w:r/>
    </w:p>
    <w:p>
      <w:pPr>
        <w:pStyle w:val="1093"/>
        <w:ind w:firstLine="420"/>
        <w:spacing w:line="360" w:lineRule="auto"/>
        <w:rPr>
          <w:rFonts w:hint="default" w:ascii="宋体" w:hAnsi="宋体" w:eastAsia="宋体" w:cs="宋体"/>
          <w:color w:val="000000"/>
          <w:sz w:val="21"/>
          <w:highlight w:val="none"/>
          <w:lang w:val="en-US" w:eastAsia="zh-CN"/>
        </w:rPr>
      </w:pPr>
      <w:r>
        <w:rPr>
          <w:rFonts w:hint="eastAsia" w:hAnsi="宋体" w:cs="宋体"/>
          <w:color w:val="000000"/>
          <w:sz w:val="21"/>
          <w:highlight w:val="none"/>
          <w:lang w:val="en-US" w:eastAsia="zh-CN"/>
        </w:rPr>
        <w:t xml:space="preserve">包号：</w:t>
      </w:r>
      <w:r/>
    </w:p>
    <w:p>
      <w:pPr>
        <w:pStyle w:val="1093"/>
        <w:ind w:firstLine="420"/>
        <w:spacing w:line="360" w:lineRule="auto"/>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甲方：（买方）</w:t>
      </w:r>
      <w:r>
        <w:rPr>
          <w:rFonts w:hint="eastAsia" w:hAnsi="宋体" w:cs="宋体"/>
          <w:color w:val="000000"/>
          <w:sz w:val="21"/>
          <w:highlight w:val="none"/>
          <w:u w:val="single"/>
          <w:lang w:eastAsia="zh-CN"/>
        </w:rPr>
        <w:t xml:space="preserve">扬州市自然资源和规划局邗江分局</w:t>
      </w:r>
      <w:r>
        <w:rPr>
          <w:rFonts w:hint="eastAsia" w:hAnsi="宋体" w:cs="宋体"/>
          <w:color w:val="000000"/>
          <w:sz w:val="21"/>
          <w:highlight w:val="none"/>
          <w:u w:val="single"/>
          <w:lang w:val="en-US" w:eastAsia="zh-CN"/>
        </w:rPr>
        <w:t xml:space="preserve">  </w:t>
      </w:r>
      <w:r/>
    </w:p>
    <w:p>
      <w:pPr>
        <w:pStyle w:val="1093"/>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乙方：（卖方）</w:t>
      </w:r>
      <w:r>
        <w:rPr>
          <w:rFonts w:hint="eastAsia" w:ascii="宋体" w:hAnsi="宋体" w:eastAsia="宋体" w:cs="宋体"/>
          <w:color w:val="000000"/>
          <w:sz w:val="21"/>
          <w:highlight w:val="none"/>
          <w:u w:val="single"/>
          <w:lang w:val="en-US" w:eastAsia="zh-CN"/>
        </w:rPr>
        <w:t xml:space="preserve">                                </w:t>
      </w:r>
      <w:r/>
    </w:p>
    <w:p>
      <w:pPr>
        <w:pStyle w:val="1052"/>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auto"/>
          <w:sz w:val="21"/>
          <w:highlight w:val="none"/>
        </w:rPr>
        <w:t xml:space="preserve">见证方：</w:t>
      </w:r>
      <w:r>
        <w:rPr>
          <w:rFonts w:hint="eastAsia" w:ascii="宋体" w:hAnsi="宋体" w:eastAsia="宋体" w:cs="宋体"/>
          <w:color w:val="auto"/>
          <w:sz w:val="21"/>
          <w:highlight w:val="none"/>
          <w:u w:val="single"/>
          <w:lang w:eastAsia="zh-CN"/>
        </w:rPr>
        <w:t xml:space="preserve">江苏中瑞建设项目管理有限公司扬州分公司</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甲、乙双方根据江苏中瑞建设项目管理有限公司扬州分公司</w:t>
      </w:r>
      <w:r>
        <w:rPr>
          <w:rFonts w:hint="eastAsia" w:hAnsi="宋体" w:cs="宋体"/>
          <w:color w:val="000000"/>
          <w:sz w:val="21"/>
          <w:highlight w:val="none"/>
          <w:u w:val="single"/>
          <w:lang w:eastAsia="zh-CN"/>
        </w:rPr>
        <w:t xml:space="preserve">2026年度城乡建设用地增减挂钩复垦项目及耕地占补平衡项目技术服务</w:t>
      </w:r>
      <w:r>
        <w:rPr>
          <w:rFonts w:hint="eastAsia" w:ascii="宋体" w:hAnsi="宋体" w:eastAsia="宋体" w:cs="宋体"/>
          <w:color w:val="000000"/>
          <w:sz w:val="21"/>
          <w:highlight w:val="none"/>
          <w:lang w:val="en-US" w:eastAsia="zh-CN"/>
        </w:rPr>
        <w:t xml:space="preserve">磋商</w:t>
      </w:r>
      <w:r>
        <w:rPr>
          <w:rFonts w:hint="eastAsia" w:ascii="宋体" w:hAnsi="宋体" w:eastAsia="宋体" w:cs="宋体"/>
          <w:color w:val="000000"/>
          <w:sz w:val="21"/>
          <w:highlight w:val="none"/>
        </w:rPr>
        <w:t xml:space="preserve">的结果，签署本合同。</w:t>
      </w:r>
      <w:r/>
    </w:p>
    <w:p>
      <w:pPr>
        <w:pStyle w:val="1093"/>
        <w:ind w:firstLine="422"/>
        <w:spacing w:line="360" w:lineRule="auto"/>
        <w:rPr>
          <w:rFonts w:hint="eastAsia"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rPr>
        <w:t xml:space="preserve">一、</w:t>
      </w:r>
      <w:r>
        <w:rPr>
          <w:rFonts w:hint="eastAsia" w:ascii="宋体" w:hAnsi="宋体" w:eastAsia="宋体" w:cs="宋体"/>
          <w:b/>
          <w:bCs/>
          <w:color w:val="000000"/>
          <w:sz w:val="21"/>
          <w:highlight w:val="none"/>
          <w:lang w:val="en-US" w:eastAsia="zh-CN"/>
        </w:rPr>
        <w:t xml:space="preserve">项目概况</w:t>
      </w:r>
      <w:r/>
    </w:p>
    <w:p>
      <w:pPr>
        <w:pStyle w:val="1093"/>
        <w:ind w:firstLine="420"/>
        <w:spacing w:line="360" w:lineRule="auto"/>
        <w:rPr>
          <w:rFonts w:hint="eastAsia" w:ascii="宋体" w:hAnsi="宋体" w:eastAsia="宋体" w:cs="宋体"/>
          <w:color w:val="000000"/>
          <w:sz w:val="21"/>
          <w:highlight w:val="none"/>
          <w:u w:val="single"/>
          <w:lang w:eastAsia="zh-CN"/>
        </w:rPr>
      </w:pPr>
      <w:r>
        <w:rPr>
          <w:rFonts w:hint="eastAsia" w:ascii="宋体" w:hAnsi="宋体" w:eastAsia="宋体" w:cs="宋体"/>
          <w:color w:val="000000"/>
          <w:sz w:val="21"/>
          <w:highlight w:val="none"/>
        </w:rPr>
        <w:t xml:space="preserve">1.1 标的名称：</w:t>
      </w:r>
      <w:r>
        <w:rPr>
          <w:rFonts w:hint="eastAsia" w:hAnsi="宋体" w:cs="宋体"/>
          <w:color w:val="000000"/>
          <w:sz w:val="21"/>
          <w:highlight w:val="none"/>
          <w:u w:val="single"/>
          <w:lang w:eastAsia="zh-CN"/>
        </w:rPr>
        <w:t xml:space="preserve">2026年度城乡建设用地增减挂钩复垦项目及耕地占补平衡项目技术服务（</w:t>
      </w:r>
      <w:r>
        <w:rPr>
          <w:rFonts w:hint="eastAsia" w:hAnsi="宋体" w:cs="宋体"/>
          <w:color w:val="000000"/>
          <w:sz w:val="21"/>
          <w:highlight w:val="none"/>
          <w:u w:val="single"/>
          <w:lang w:val="en-US" w:eastAsia="zh-CN"/>
        </w:rPr>
        <w:t xml:space="preserve">包号</w:t>
      </w:r>
      <w:r>
        <w:rPr>
          <w:rFonts w:hint="eastAsia" w:hAnsi="宋体" w:cs="宋体"/>
          <w:color w:val="000000"/>
          <w:sz w:val="21"/>
          <w:highlight w:val="none"/>
          <w:u w:val="single"/>
          <w:lang w:eastAsia="zh-CN"/>
        </w:rPr>
        <w:t xml:space="preserve">）</w:t>
      </w:r>
      <w:r/>
    </w:p>
    <w:p>
      <w:pPr>
        <w:pStyle w:val="1093"/>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1.2</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标的质量：</w:t>
      </w:r>
      <w:r>
        <w:rPr>
          <w:rFonts w:hint="eastAsia" w:ascii="宋体" w:hAnsi="宋体" w:eastAsia="宋体" w:cs="宋体"/>
          <w:color w:val="000000"/>
          <w:sz w:val="21"/>
          <w:highlight w:val="none"/>
          <w:u w:val="single"/>
          <w:lang w:val="en-US" w:eastAsia="zh-CN"/>
        </w:rPr>
        <w:t xml:space="preserve">合格</w:t>
      </w:r>
      <w:r/>
    </w:p>
    <w:p>
      <w:pPr>
        <w:pStyle w:val="1093"/>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1.3 标的数量（规模）：</w:t>
      </w:r>
      <w:r>
        <w:rPr>
          <w:rFonts w:hint="eastAsia" w:ascii="宋体" w:hAnsi="宋体" w:eastAsia="宋体" w:cs="宋体"/>
          <w:color w:val="000000"/>
          <w:sz w:val="21"/>
          <w:highlight w:val="none"/>
          <w:u w:val="single"/>
          <w:lang w:val="en-US" w:eastAsia="zh-CN"/>
        </w:rPr>
        <w:t xml:space="preserve">由甲方指定</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 履行时间（期限）：</w:t>
      </w:r>
      <w:r>
        <w:rPr>
          <w:rFonts w:hint="eastAsia" w:ascii="宋体" w:hAnsi="宋体" w:eastAsia="宋体" w:cs="宋体"/>
          <w:color w:val="auto"/>
          <w:szCs w:val="21"/>
          <w:highlight w:val="none"/>
          <w:u w:val="single"/>
        </w:rPr>
        <w:t xml:space="preserve">自合同签订之日起360日历天内完成</w:t>
      </w:r>
      <w:r>
        <w:rPr>
          <w:rFonts w:hint="eastAsia" w:hAnsi="宋体" w:cs="宋体"/>
          <w:color w:val="auto"/>
          <w:szCs w:val="21"/>
          <w:highlight w:val="none"/>
          <w:u w:val="single"/>
          <w:lang w:val="en-US" w:eastAsia="zh-CN"/>
        </w:rPr>
        <w:t xml:space="preserve">测绘</w:t>
      </w:r>
      <w:r>
        <w:rPr>
          <w:rFonts w:hint="eastAsia" w:ascii="宋体" w:hAnsi="宋体" w:eastAsia="宋体" w:cs="宋体"/>
          <w:color w:val="auto"/>
          <w:szCs w:val="21"/>
          <w:highlight w:val="none"/>
          <w:u w:val="single"/>
        </w:rPr>
        <w:t xml:space="preserve">成果，具体时间进度以发包人的工作进度安排为准。</w:t>
      </w:r>
      <w:r/>
    </w:p>
    <w:p>
      <w:pPr>
        <w:pStyle w:val="1093"/>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1.5 履行地点：</w:t>
      </w:r>
      <w:r>
        <w:rPr>
          <w:rFonts w:hint="eastAsia" w:ascii="宋体" w:hAnsi="宋体" w:eastAsia="宋体" w:cs="宋体"/>
          <w:color w:val="000000"/>
          <w:sz w:val="21"/>
          <w:highlight w:val="none"/>
          <w:u w:val="single"/>
          <w:lang w:val="en-US" w:eastAsia="zh-CN"/>
        </w:rPr>
        <w:t xml:space="preserve">由甲方指定</w:t>
      </w:r>
      <w:r/>
    </w:p>
    <w:p>
      <w:pPr>
        <w:pStyle w:val="1093"/>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1.6</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履行方式</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u w:val="single"/>
          <w:lang w:val="en-US" w:eastAsia="zh-CN"/>
        </w:rPr>
        <w:t xml:space="preserve">由甲方指定</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二、合同</w:t>
      </w:r>
      <w:r>
        <w:rPr>
          <w:rFonts w:hint="eastAsia" w:ascii="宋体" w:hAnsi="宋体" w:eastAsia="宋体" w:cs="宋体"/>
          <w:b/>
          <w:bCs/>
          <w:color w:val="000000"/>
          <w:sz w:val="21"/>
          <w:highlight w:val="none"/>
          <w:lang w:val="en-US" w:eastAsia="zh-CN"/>
        </w:rPr>
        <w:t xml:space="preserve">金额</w:t>
      </w:r>
      <w:r/>
    </w:p>
    <w:p>
      <w:pPr>
        <w:pStyle w:val="1052"/>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2.1 本合同金额为人民币（大写）：</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none"/>
          <w:lang w:val="en-US" w:eastAsia="zh-CN"/>
        </w:rPr>
        <w:t xml:space="preserve">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以实际完成的工作量结算</w:t>
      </w:r>
      <w:r>
        <w:rPr>
          <w:rFonts w:hint="eastAsia" w:hAnsi="宋体" w:cs="宋体"/>
          <w:color w:val="auto"/>
          <w:sz w:val="21"/>
          <w:szCs w:val="21"/>
          <w:highlight w:val="none"/>
          <w:lang w:eastAsia="zh-CN"/>
        </w:rPr>
        <w:t xml:space="preserve">。</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三、技术资料</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3.1乙方应按采购文件规定的时间向甲方提供使用货物及服务的有关技术资料。</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四、知识产权</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五、产权担保</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5.1 乙方保证所交付的货物及服务的所有权完全属于乙方且无任何抵押、查封等产权瑕疵。</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六、履约保证金</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6.1 乙方交纳人民币</w:t>
      </w:r>
      <w:r>
        <w:rPr>
          <w:rFonts w:hint="eastAsia" w:ascii="宋体" w:hAnsi="宋体" w:eastAsia="宋体" w:cs="宋体"/>
          <w:color w:val="000000"/>
          <w:sz w:val="21"/>
          <w:highlight w:val="none"/>
          <w:u w:val="single"/>
        </w:rPr>
        <w:t xml:space="preserve"> 零  </w:t>
      </w:r>
      <w:r>
        <w:rPr>
          <w:rFonts w:hint="eastAsia" w:ascii="宋体" w:hAnsi="宋体" w:eastAsia="宋体" w:cs="宋体"/>
          <w:color w:val="000000"/>
          <w:sz w:val="21"/>
          <w:highlight w:val="none"/>
        </w:rPr>
        <w:t xml:space="preserve">元作为本合同的履约保证金。（不得超过合同金额的10%）</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6.2合同履行结束后，甲方应及时退还交纳的履约保证金。</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6.2.1履约保证金退还方式：无</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6.2.2履约保证金退还时间：无</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6.2.3履约保证金退还条件：无</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6.2.4履约保证金不予退还的情形：无</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七、转包或分包</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7.1乙方不得将合同标的转包给他人履行。</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7.2乙方不得将合同标的分包给他人履行。</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7.3乙方如有转包或未经甲方同意的分包行为，甲方有权解除合同。</w:t>
      </w:r>
      <w:r/>
    </w:p>
    <w:p>
      <w:pPr>
        <w:pStyle w:val="1093"/>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八、合同款项支付</w:t>
      </w:r>
      <w:r/>
    </w:p>
    <w:p>
      <w:pPr>
        <w:numPr>
          <w:ilvl w:val="0"/>
          <w:numId w:val="0"/>
        </w:numPr>
        <w:ind w:firstLine="422"/>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8.1结算方式</w:t>
      </w:r>
      <w:r/>
    </w:p>
    <w:p>
      <w:pPr>
        <w:numPr>
          <w:ilvl w:val="0"/>
          <w:numId w:val="0"/>
        </w:numPr>
        <w:ind w:firstLine="422"/>
        <w:spacing w:line="360" w:lineRule="auto"/>
        <w:rPr>
          <w:rFonts w:hint="eastAsia" w:ascii="宋体" w:hAnsi="宋体" w:eastAsia="宋体" w:cs="宋体"/>
          <w:szCs w:val="21"/>
          <w:highlight w:val="none"/>
          <w:lang w:val="en-US" w:eastAsia="zh-CN"/>
        </w:rPr>
      </w:pP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pStyle w:val="1093"/>
        <w:ind w:firstLine="420"/>
        <w:spacing w:line="360" w:lineRule="auto"/>
        <w:rPr>
          <w:rFonts w:hint="eastAsia" w:ascii="宋体" w:hAnsi="宋体" w:eastAsia="宋体" w:cs="宋体"/>
          <w:color w:val="000000"/>
          <w:sz w:val="21"/>
          <w:highlight w:val="none"/>
        </w:rPr>
      </w:pPr>
      <w:r>
        <w:rPr>
          <w:rFonts w:hint="eastAsia" w:ascii="宋体" w:hAnsi="宋体" w:eastAsia="宋体" w:cs="宋体"/>
          <w:szCs w:val="21"/>
          <w:highlight w:val="none"/>
          <w:lang w:val="en-US" w:eastAsia="zh-CN"/>
        </w:rPr>
        <w:t xml:space="preserve">8.</w:t>
      </w: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付款方式</w:t>
      </w:r>
      <w:r/>
    </w:p>
    <w:p>
      <w:pPr>
        <w:numPr>
          <w:ilvl w:val="0"/>
          <w:numId w:val="0"/>
        </w:numPr>
        <w:ind w:firstLine="422"/>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合同签订后，乙方向甲方开具发票，甲方自收到发票之日起10个工作日内向乙方支付合同总额30%的预付款；项目通过上级主管部门</w:t>
      </w:r>
      <w:r>
        <w:rPr>
          <w:rFonts w:hint="eastAsia" w:ascii="宋体" w:hAnsi="宋体" w:cs="宋体"/>
          <w:color w:val="000000"/>
          <w:szCs w:val="21"/>
          <w:highlight w:val="none"/>
          <w:lang w:val="en-US" w:eastAsia="zh-CN"/>
        </w:rPr>
        <w:t xml:space="preserve">审核批复</w:t>
      </w:r>
      <w:r>
        <w:rPr>
          <w:rFonts w:hint="eastAsia" w:ascii="宋体" w:hAnsi="宋体" w:eastAsia="宋体" w:cs="宋体"/>
          <w:color w:val="000000"/>
          <w:szCs w:val="21"/>
          <w:highlight w:val="none"/>
        </w:rPr>
        <w:t xml:space="preserve">，且乙方提交全部正式成果后，乙方向甲方开具发票，甲方自收到发票之日起10个工作日内付清余款</w:t>
      </w:r>
      <w:r>
        <w:rPr>
          <w:rFonts w:hint="eastAsia" w:ascii="宋体" w:hAnsi="宋体" w:cs="宋体"/>
          <w:color w:val="000000"/>
          <w:szCs w:val="21"/>
          <w:highlight w:val="none"/>
          <w:lang w:eastAsia="zh-CN"/>
        </w:rPr>
        <w:t xml:space="preserve">。</w:t>
      </w:r>
      <w:r/>
    </w:p>
    <w:p>
      <w:pPr>
        <w:numPr>
          <w:ilvl w:val="0"/>
          <w:numId w:val="0"/>
        </w:num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九、税费</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color w:val="000000"/>
          <w:sz w:val="21"/>
          <w:highlight w:val="none"/>
        </w:rPr>
      </w:pPr>
      <w:r>
        <w:rPr>
          <w:rFonts w:hint="eastAsia" w:ascii="宋体" w:hAnsi="宋体" w:eastAsia="宋体" w:cs="宋体"/>
          <w:b/>
          <w:bCs/>
          <w:color w:val="000000"/>
          <w:szCs w:val="21"/>
          <w:highlight w:val="none"/>
          <w:lang w:val="en-US" w:eastAsia="zh-CN"/>
        </w:rPr>
        <w:t xml:space="preserve">十、</w:t>
      </w:r>
      <w:r>
        <w:rPr>
          <w:rFonts w:hint="eastAsia" w:ascii="宋体" w:hAnsi="宋体" w:eastAsia="宋体" w:cs="宋体"/>
          <w:b/>
          <w:color w:val="000000"/>
          <w:sz w:val="21"/>
          <w:highlight w:val="none"/>
        </w:rPr>
        <w:t xml:space="preserve">项目验收</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甲方依法组织履约验收工作。</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对于实际使用人和甲方分离的项目，甲方邀请实际使用人参与验收。</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如有必要，甲方邀请参加本项目的其他供应商或第三方专业机构及专家参与验收，相关意见将作为验收书的参考资料。</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5"/>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52"/>
        <w:ind w:firstLine="422"/>
        <w:spacing w:line="360"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十一、违约责任</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甲方无正当理由拒绝接受乙方提供服务的，甲方向乙方偿付拒绝接受服务合同价款总值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甲方无故逾期验收和办理合同款项支付手续的,甲方应按逾期付款总额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每日向乙方支付违约金。</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的违约金，如造成甲方损失超过违约金的，超出部分由乙方继续承担赔偿责任。 </w:t>
      </w:r>
      <w:r/>
    </w:p>
    <w:p>
      <w:pPr>
        <w:pStyle w:val="805"/>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11.4乙方所提供服务的标准不符合合同规定及招标文件规定标准的，甲方有权拒绝接受服务，并可单方面解除合同。</w:t>
      </w:r>
      <w:r/>
    </w:p>
    <w:p>
      <w:pPr>
        <w:pStyle w:val="805"/>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十二、不可抗力事件处理</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在合同有效期内，任何一方因不可抗力事件导致不能履行合同，则合同履行期可延长，其延长期与不可抗力影响期相同。</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不可抗力事件发生后，应立即通知对方，并寄送有关权威机构出具的证明。</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不可抗力事件延续120天以上，双方应通过友好协商，确定是否继续履行合同。</w:t>
      </w:r>
      <w:r/>
    </w:p>
    <w:p>
      <w:pPr>
        <w:pStyle w:val="805"/>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十三、解决争议的方法</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13.1双方在签订、履行合同中所发生的一切争议，应通过友好协商解决。如协商不成，由甲方住所地人民法院管辖。</w:t>
      </w:r>
      <w:r/>
    </w:p>
    <w:p>
      <w:pPr>
        <w:pStyle w:val="805"/>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十四、合同生效及其它</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合同经双方法定代表人或授权委托代表人签字并加盖单位公章后生效。</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14.2本合同未尽事宜，遵照《中华人民共和国民法典》、《中华人民共和国政府采购法》有关条文执行。</w:t>
      </w:r>
      <w:r/>
    </w:p>
    <w:p>
      <w:pPr>
        <w:pStyle w:val="805"/>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 本合同正本一式</w:t>
      </w:r>
      <w:r>
        <w:rPr>
          <w:rFonts w:hint="eastAsia" w:hAnsi="宋体" w:cs="宋体"/>
          <w:sz w:val="21"/>
          <w:szCs w:val="21"/>
          <w:highlight w:val="none"/>
          <w:lang w:val="en-US" w:eastAsia="zh-CN"/>
        </w:rPr>
        <w:t xml:space="preserve">四</w:t>
      </w:r>
      <w:r>
        <w:rPr>
          <w:rFonts w:hint="eastAsia" w:ascii="宋体" w:hAnsi="宋体" w:eastAsia="宋体" w:cs="宋体"/>
          <w:sz w:val="21"/>
          <w:szCs w:val="21"/>
          <w:highlight w:val="none"/>
        </w:rPr>
        <w:t xml:space="preserve">份，具有同等法律效力，甲方、乙方、见证方及财政监管部门</w:t>
      </w:r>
      <w:r/>
    </w:p>
    <w:tbl>
      <w:tblPr>
        <w:tblStyle w:val="794"/>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各执一份。</w:t>
            </w:r>
            <w:r/>
          </w:p>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hAnsi="宋体" w:cs="宋体"/>
                <w:color w:val="000000"/>
                <w:sz w:val="21"/>
                <w:szCs w:val="21"/>
                <w:highlight w:val="none"/>
                <w:lang w:eastAsia="zh-CN"/>
              </w:rPr>
              <w:t xml:space="preserve">扬州市自然资源和规划局邗江分局</w:t>
            </w:r>
            <w:r>
              <w:rPr>
                <w:rFonts w:hint="eastAsia" w:ascii="宋体" w:hAnsi="宋体" w:eastAsia="宋体" w:cs="宋体"/>
                <w:color w:val="000000"/>
                <w:sz w:val="21"/>
                <w:szCs w:val="21"/>
                <w:highlight w:val="none"/>
              </w:rPr>
              <w:t xml:space="preserve"> </w:t>
            </w:r>
            <w:r/>
          </w:p>
        </w:tc>
        <w:tc>
          <w:tcPr>
            <w:tcW w:w="4238"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 </w:t>
            </w:r>
            <w:r/>
          </w:p>
        </w:tc>
      </w:tr>
      <w:tr>
        <w:trPr/>
        <w:tc>
          <w:tcPr>
            <w:tcW w:w="4284"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c>
          <w:tcPr>
            <w:tcW w:w="4238"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r>
      <w:tr>
        <w:trPr/>
        <w:tc>
          <w:tcPr>
            <w:tcW w:w="4284"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c>
          <w:tcPr>
            <w:tcW w:w="4238"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r>
      <w:tr>
        <w:trPr/>
        <w:tc>
          <w:tcPr>
            <w:tcW w:w="4284"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tcW w:w="4238"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r>
      <w:tr>
        <w:trPr/>
        <w:tc>
          <w:tcPr>
            <w:tcW w:w="4284"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p>
        </w:tc>
        <w:tc>
          <w:tcPr>
            <w:tcW w:w="4238" w:type="dxa"/>
            <w:vAlign w:val="top"/>
            <w:textDirection w:val="lrTb"/>
            <w:noWrap w:val="false"/>
          </w:tcPr>
          <w:p>
            <w:pPr>
              <w:pStyle w:val="109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r>
    </w:tbl>
    <w:p>
      <w:pPr>
        <w:pStyle w:val="105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江苏中瑞建设项目管理有限公司扬州分公司</w:t>
      </w:r>
      <w:r/>
    </w:p>
    <w:p>
      <w:pPr>
        <w:pStyle w:val="105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p>
      <w:pPr>
        <w:pStyle w:val="105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05"/>
        <w:ind w:firstLine="210"/>
        <w:spacing w:before="120" w:after="120" w:line="360" w:lineRule="auto"/>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r>
      <w:r/>
    </w:p>
    <w:p>
      <w:pPr>
        <w:pStyle w:val="1034"/>
        <w:jc w:val="center"/>
        <w:spacing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rPr>
        <w:t xml:space="preserve">第四章 项目需求</w:t>
      </w:r>
      <w:bookmarkEnd w:id="24"/>
      <w:r/>
      <w:r/>
    </w:p>
    <w:p>
      <w:pPr>
        <w:ind w:firstLine="420"/>
        <w:keepLines w:val="0"/>
        <w:keepNext w:val="0"/>
        <w:pageBreakBefore w:val="0"/>
        <w:spacing w:beforeAutospacing="0" w:line="360" w:lineRule="auto"/>
        <w:rPr>
          <w:rFonts w:hint="eastAsia" w:ascii="宋体" w:hAnsi="宋体" w:eastAsia="宋体" w:cs="宋体"/>
          <w:sz w:val="21"/>
          <w:szCs w:val="21"/>
          <w:highlight w:val="none"/>
        </w:rPr>
      </w:pPr>
      <w:r/>
      <w:bookmarkStart w:id="25" w:name="_Toc109304975"/>
      <w:r>
        <w:rPr>
          <w:rFonts w:hint="eastAsia" w:ascii="宋体" w:hAnsi="宋体" w:eastAsia="宋体" w:cs="宋体"/>
          <w:sz w:val="21"/>
          <w:szCs w:val="21"/>
          <w:highlight w:val="none"/>
        </w:rPr>
        <w:t xml:space="preserve">一、</w:t>
      </w:r>
      <w:r>
        <w:rPr>
          <w:rFonts w:hint="eastAsia" w:ascii="宋体" w:hAnsi="宋体" w:eastAsia="宋体" w:cs="宋体"/>
          <w:b/>
          <w:bCs/>
          <w:sz w:val="21"/>
          <w:szCs w:val="21"/>
          <w:highlight w:val="none"/>
        </w:rPr>
        <w:t xml:space="preserve">项目概况</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JSZC-321003-JSZR-C2026-0037</w:t>
      </w:r>
      <w:r>
        <w:rPr>
          <w:rFonts w:hint="eastAsia" w:ascii="宋体" w:hAnsi="宋体" w:eastAsia="宋体" w:cs="宋体"/>
          <w:color w:val="auto"/>
          <w:sz w:val="21"/>
          <w:szCs w:val="21"/>
          <w:highlight w:val="none"/>
        </w:rPr>
        <w:tab/>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2、项目名称：2026年度城乡建设用地增减挂钩复垦项目及耕地占补平衡项目技术服务</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4、预算金额：150万元</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w:t>
      </w:r>
      <w:r>
        <w:rPr>
          <w:rFonts w:hint="eastAsia" w:ascii="宋体" w:hAnsi="宋体" w:cs="宋体"/>
          <w:color w:val="auto"/>
          <w:szCs w:val="21"/>
          <w:highlight w:val="none"/>
          <w:lang w:val="en-US" w:eastAsia="zh-CN"/>
        </w:rPr>
        <w:t xml:space="preserve">A包:45万元（预算单价300元/亩）,B包:105万元（预算单价700元/亩），各包</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超过</w:t>
      </w:r>
      <w:r>
        <w:rPr>
          <w:rFonts w:hint="eastAsia" w:ascii="宋体" w:hAnsi="宋体" w:cs="宋体"/>
          <w:color w:val="auto"/>
          <w:sz w:val="21"/>
          <w:szCs w:val="21"/>
          <w:highlight w:val="none"/>
          <w:lang w:val="en-US" w:eastAsia="zh-CN"/>
        </w:rPr>
        <w:t xml:space="preserve">各自</w:t>
      </w:r>
      <w:r>
        <w:rPr>
          <w:rFonts w:hint="eastAsia" w:ascii="宋体" w:hAnsi="宋体" w:eastAsia="宋体" w:cs="宋体"/>
          <w:color w:val="auto"/>
          <w:sz w:val="21"/>
          <w:szCs w:val="21"/>
          <w:highlight w:val="none"/>
          <w:lang w:eastAsia="zh-CN"/>
        </w:rPr>
        <w:t xml:space="preserve">最高限价的为无效报价，按照无效响应处理。</w:t>
      </w:r>
      <w:r>
        <w:rPr>
          <w:rFonts w:ascii="宋体" w:hAnsi="宋体" w:eastAsia="宋体" w:cs="宋体"/>
          <w:color w:val="000000"/>
          <w:sz w:val="21"/>
          <w:highlight w:val="none"/>
        </w:rPr>
        <w:t xml:space="preserve">本次采购暂定</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最终结算按照入库项目建设规模亩数数量按实进行结算，以自然资源主管部门批准入库实际面积为准</w:t>
      </w:r>
      <w:r>
        <w:rPr>
          <w:rFonts w:hint="eastAsia" w:hAnsi="宋体" w:cs="宋体"/>
          <w:color w:val="000000"/>
          <w:sz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6、合同履行期限：自合同签订之日起360日历天内完成规划成果，具体时间进度以发包人的工作进度安排为准。</w:t>
      </w:r>
      <w:r/>
    </w:p>
    <w:p>
      <w:pPr>
        <w:numPr>
          <w:ilvl w:val="0"/>
          <w:numId w:val="0"/>
        </w:num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二、A包</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w:t>
      </w:r>
      <w:r>
        <w:rPr>
          <w:rFonts w:hint="eastAsia" w:ascii="宋体" w:hAnsi="宋体" w:eastAsia="宋体" w:cs="宋体"/>
          <w:color w:val="000000"/>
          <w:sz w:val="21"/>
          <w:highlight w:val="none"/>
          <w:lang w:val="en-US" w:eastAsia="zh-CN"/>
        </w:rPr>
        <w:t xml:space="preserve">项目内容</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本项目位于邗江区境内。主要服务内容包括但不仅限于：以“三调”最新年度变更成果为基础，结合历年土地利用变更调查成果、最新影像图及相关基础资料，进行项目合规性检查，编制</w:t>
      </w:r>
      <w:r>
        <w:rPr>
          <w:rFonts w:hint="eastAsia" w:ascii="宋体" w:hAnsi="宋体" w:eastAsia="宋体" w:cs="宋体"/>
          <w:color w:val="000000"/>
          <w:sz w:val="21"/>
          <w:highlight w:val="none"/>
          <w:lang w:eastAsia="zh-CN"/>
        </w:rPr>
        <w:t xml:space="preserve">2026年度</w:t>
      </w:r>
      <w:r>
        <w:rPr>
          <w:rFonts w:hint="eastAsia" w:ascii="宋体" w:hAnsi="宋体" w:eastAsia="宋体" w:cs="宋体"/>
          <w:color w:val="000000"/>
          <w:sz w:val="21"/>
          <w:highlight w:val="none"/>
        </w:rPr>
        <w:t xml:space="preserve">补充耕地项目规划方案，包括但不限于城乡建设用地增减挂钩复垦项目、耕地占补平衡项目库</w:t>
      </w:r>
      <w:r>
        <w:rPr>
          <w:rFonts w:hint="eastAsia" w:ascii="宋体" w:hAnsi="宋体" w:eastAsia="宋体" w:cs="宋体"/>
          <w:color w:val="000000"/>
          <w:sz w:val="21"/>
          <w:highlight w:val="none"/>
          <w:lang w:val="en-US" w:eastAsia="zh-CN"/>
        </w:rPr>
        <w:t xml:space="preserve">等</w:t>
      </w:r>
      <w:r>
        <w:rPr>
          <w:rFonts w:hint="eastAsia" w:ascii="宋体" w:hAnsi="宋体" w:eastAsia="宋体" w:cs="宋体"/>
          <w:color w:val="000000"/>
          <w:sz w:val="21"/>
          <w:highlight w:val="none"/>
        </w:rPr>
        <w:t xml:space="preserve">。</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（二）工程规模：</w:t>
      </w:r>
      <w:r>
        <w:rPr>
          <w:rFonts w:hint="eastAsia" w:ascii="宋体" w:hAnsi="宋体" w:eastAsia="宋体" w:cs="宋体"/>
          <w:color w:val="000000"/>
          <w:sz w:val="21"/>
          <w:highlight w:val="none"/>
          <w:lang w:eastAsia="zh-CN"/>
        </w:rPr>
        <w:t xml:space="preserve">1500亩</w:t>
      </w:r>
      <w:r>
        <w:rPr>
          <w:rFonts w:hint="eastAsia" w:ascii="宋体" w:hAnsi="宋体" w:eastAsia="宋体" w:cs="宋体"/>
          <w:color w:val="000000"/>
          <w:sz w:val="21"/>
          <w:highlight w:val="none"/>
        </w:rPr>
        <w:t xml:space="preserve">（具体以入库项目建设规模为准）</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（三）项目具体需求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1、满足现行国家及省、市有关规范、标准及相关规定，严格按照上级自然资源部门的工作要求完成方案编制，提供的成果资料应满足项目库备案的要求。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投入足够的技术力量，对项目踏勘、权属、规划、公示、听证等基础资料进行复核，确保方案文本、内容、数据相互衔接、准确，注意文、图、表的前后一致性，并对上级审查提出的意见在规定时间内进行修改并递交。</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sz w:val="21"/>
          <w:highlight w:val="none"/>
        </w:rPr>
        <w:t xml:space="preserve">需按照采购人要求，按时、按质、按量提交各项成果，保障后续服务工作。</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sz w:val="21"/>
          <w:highlight w:val="none"/>
        </w:rPr>
        <w:t xml:space="preserve">应在本招标文件约定时间内完成所有工作，如遇不可抗力影响项目进度，由编制单位提出要求延长编制时间的书面申请，经采购人同意后给予调整编制时间。本磋商文件没有约定时间的，以上级行政主管部门文件规定的时间为准。方案获得上级部门批复后完成江苏省国土空间综合整治项目监管系统的备案工作。</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（四）其他要求：</w:t>
      </w:r>
      <w:r/>
    </w:p>
    <w:p>
      <w:pPr>
        <w:ind w:firstLine="420"/>
        <w:jc w:val="both"/>
        <w:keepLines w:val="0"/>
        <w:keepNext w:val="0"/>
        <w:pageBreakBefore w:val="0"/>
        <w:spacing w:line="360" w:lineRule="auto"/>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合同履行期限：自合同签订之日起360日历天内完成规划成果，具体时间进度以发包人的工作进度安排为准。</w:t>
      </w:r>
      <w:r/>
    </w:p>
    <w:p>
      <w:pPr>
        <w:ind w:firstLine="420"/>
        <w:jc w:val="both"/>
        <w:keepLines w:val="0"/>
        <w:keepNext w:val="0"/>
        <w:pageBreakBefore w:val="0"/>
        <w:spacing w:line="360" w:lineRule="auto"/>
        <w:widowControl w:val="off"/>
        <w:tabs>
          <w:tab w:val="left" w:pos="72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付款方式：合同签订后，乙方向甲方开具发票，甲方自收到发票之日起10个工作日内向乙方支付合同总额30%的预付款；项目通过上级主管部门审核批复，且乙方提交全部正式成果后，乙方向甲方开具发票，甲方自收到发票之日起10个工作日内付清余款。</w:t>
      </w:r>
      <w:r/>
    </w:p>
    <w:p>
      <w:pPr>
        <w:ind w:firstLine="420"/>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、本次采购暂定</w:t>
      </w:r>
      <w:r>
        <w:rPr>
          <w:rFonts w:hint="eastAsia" w:ascii="宋体" w:hAnsi="宋体" w:eastAsia="宋体" w:cs="宋体"/>
          <w:color w:val="auto"/>
          <w:sz w:val="21"/>
          <w:szCs w:val="21"/>
          <w:highlight w:val="none"/>
          <w:lang w:val="en-US" w:eastAsia="zh-CN" w:bidi="ar"/>
        </w:rPr>
        <w:t xml:space="preserve">1500</w:t>
      </w:r>
      <w:r>
        <w:rPr>
          <w:rFonts w:hint="eastAsia" w:ascii="宋体" w:hAnsi="宋体" w:eastAsia="宋体" w:cs="宋体"/>
          <w:color w:val="000000"/>
          <w:sz w:val="21"/>
          <w:szCs w:val="21"/>
          <w:highlight w:val="none"/>
          <w:lang w:bidi="ar"/>
        </w:rPr>
        <w:t xml:space="preserve">亩（投标报价按此数量计算）,实际数量多与少不得调整</w:t>
      </w:r>
      <w:r>
        <w:rPr>
          <w:rFonts w:hint="eastAsia" w:ascii="宋体" w:hAnsi="宋体" w:eastAsia="宋体" w:cs="宋体"/>
          <w:color w:val="000000"/>
          <w:sz w:val="21"/>
          <w:szCs w:val="21"/>
          <w:highlight w:val="none"/>
          <w:lang w:eastAsia="zh-CN" w:bidi="ar"/>
        </w:rPr>
        <w:t xml:space="preserve">成交</w:t>
      </w:r>
      <w:r>
        <w:rPr>
          <w:rFonts w:hint="eastAsia" w:ascii="宋体" w:hAnsi="宋体" w:eastAsia="宋体" w:cs="宋体"/>
          <w:color w:val="000000"/>
          <w:sz w:val="21"/>
          <w:szCs w:val="21"/>
          <w:highlight w:val="none"/>
          <w:lang w:bidi="ar"/>
        </w:rPr>
        <w:t xml:space="preserve">单价，最终结算按照入库项目建设规模亩数数量按实进行结算，以自然资源主管部门批准入库实际面积为准。结算总价为实际入库项目建设规模确认量*</w:t>
      </w:r>
      <w:r>
        <w:rPr>
          <w:rFonts w:hint="eastAsia" w:ascii="宋体" w:hAnsi="宋体" w:eastAsia="宋体" w:cs="宋体"/>
          <w:color w:val="000000"/>
          <w:sz w:val="21"/>
          <w:szCs w:val="21"/>
          <w:highlight w:val="none"/>
          <w:lang w:val="en-US" w:eastAsia="zh-CN" w:bidi="ar"/>
        </w:rPr>
        <w:t xml:space="preserve">成交</w:t>
      </w:r>
      <w:r>
        <w:rPr>
          <w:rFonts w:hint="eastAsia" w:ascii="宋体" w:hAnsi="宋体" w:eastAsia="宋体" w:cs="宋体"/>
          <w:color w:val="000000"/>
          <w:sz w:val="21"/>
          <w:szCs w:val="21"/>
          <w:highlight w:val="none"/>
          <w:lang w:bidi="ar"/>
        </w:rPr>
        <w:t xml:space="preserve">单价。</w:t>
      </w:r>
      <w:r/>
    </w:p>
    <w:p>
      <w:pPr>
        <w:ind w:firstLine="420"/>
        <w:keepLines w:val="0"/>
        <w:keepNext w:val="0"/>
        <w:pageBreakBefore w:val="0"/>
        <w:spacing w:line="360" w:lineRule="auto"/>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、投标报价应包括人工费、材料费、设备费、管理费、利润等完成本项目涉及到的一切相关费用。</w:t>
      </w:r>
      <w:r/>
    </w:p>
    <w:p>
      <w:pPr>
        <w:numPr>
          <w:ilvl w:val="0"/>
          <w:numId w:val="0"/>
        </w:num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三、B包</w:t>
      </w:r>
      <w:r/>
    </w:p>
    <w:p>
      <w:pPr>
        <w:ind w:firstLine="420"/>
        <w:jc w:val="both"/>
        <w:keepLines w:val="0"/>
        <w:keepNext w:val="0"/>
        <w:pageBreakBefore w:val="0"/>
        <w:spacing w:line="360" w:lineRule="auto"/>
        <w:tabs>
          <w:tab w:val="left" w:pos="720" w:leader="none"/>
        </w:tabs>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w:t>
      </w:r>
      <w:r>
        <w:rPr>
          <w:rFonts w:hint="eastAsia" w:ascii="宋体" w:hAnsi="宋体" w:eastAsia="宋体" w:cs="宋体"/>
          <w:color w:val="000000"/>
          <w:sz w:val="21"/>
          <w:highlight w:val="none"/>
          <w:lang w:val="en-US" w:eastAsia="zh-CN"/>
        </w:rPr>
        <w:t xml:space="preserve">项目内容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依据耕地占补平衡和增减挂钩项目管理规定和测绘技术规范要求，对</w:t>
      </w:r>
      <w:r>
        <w:rPr>
          <w:rFonts w:hint="eastAsia" w:ascii="宋体" w:hAnsi="宋体" w:eastAsia="宋体" w:cs="宋体"/>
          <w:color w:val="auto"/>
          <w:sz w:val="21"/>
          <w:szCs w:val="21"/>
          <w:highlight w:val="none"/>
          <w:lang w:val="en-US" w:eastAsia="zh-CN" w:bidi="ar"/>
        </w:rPr>
        <w:t xml:space="preserve">2026</w:t>
      </w:r>
      <w:r>
        <w:rPr>
          <w:rFonts w:hint="eastAsia" w:ascii="宋体" w:hAnsi="宋体" w:eastAsia="宋体" w:cs="宋体"/>
          <w:color w:val="000000"/>
          <w:sz w:val="21"/>
          <w:szCs w:val="21"/>
          <w:highlight w:val="none"/>
          <w:lang w:bidi="ar"/>
        </w:rPr>
        <w:t xml:space="preserve">年度补充耕地项目，包括但不限于城乡建设用地增减挂钩复垦项目、耕地占补平衡项目库、耕地进出平衡项目等，以及非项目化实施的补充耕地开展资料收集、实施范围查重、实施前现状地形图测绘、实施范围确认、实施前正射影像航摄、实施前勘测定界报告、实施前现状拍照举证、立项阶段报备、实施后竣工图测绘、协助竣工验收、竣工后勘测定界报告、竣工正射影像航摄、竣工资料整理归档、竣工阶段报备外业举证、竣工阶段项目报备、竣工阶段报备外业举证以及新增耕地质量等别评定。</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二</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技术要求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所有成果必须符合江苏省自然资源厅的土地整理项目管理要求，成果产权归采购人所有。供应商响应在本招标文件约定时间内完成所有工作，磋商文件没有约定时间的以上级行政主管部门文件规定的时间为准。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（1）资料收集：收集各乡镇上报的新增耕地上报表，根据最新年度国土变更调查现状图，确定上报地块的位置。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（2）实施范围查重：将上报地块与邗江区历年新增耕地叠加分析，扣除已实施部分。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）实施前现状地形图测绘：参照《城市测量规范（CJJ/T 8-2011）》中1:500地形图测绘标准执行。测图比例尺为1:500。</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）实施范围确认：利用最新地形图叠加拟新增耕地范围，由资规所和所在村民小组代表共同确定新增耕地范围。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）实施前正射影像航摄：利用无人机拍摄项目实施前正射影像图，分辨率不低于10cm。</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）实施前勘测定界报告：根据确定的实施范围，叠加最新年度国土变更调查现状图，制作项目实施前</w:t>
      </w:r>
      <w:r>
        <w:rPr>
          <w:rFonts w:hint="eastAsia" w:ascii="宋体" w:hAnsi="宋体" w:eastAsia="宋体" w:cs="宋体"/>
          <w:color w:val="auto"/>
          <w:sz w:val="21"/>
          <w:szCs w:val="21"/>
          <w:highlight w:val="none"/>
          <w:lang w:bidi="ar"/>
        </w:rPr>
        <w:t xml:space="preserve">勘测定界报告。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）实施前现状拍照举证：在国土云系统逐地块外业拍照举证，数据保存上传回“</w:t>
      </w:r>
      <w:r>
        <w:rPr>
          <w:rFonts w:hint="eastAsia" w:ascii="宋体" w:hAnsi="宋体" w:eastAsia="宋体" w:cs="宋体"/>
          <w:color w:val="auto"/>
          <w:sz w:val="21"/>
          <w:szCs w:val="21"/>
          <w:highlight w:val="none"/>
        </w:rPr>
        <w:t xml:space="preserve">江苏省耕地保护动态监管系统</w:t>
      </w:r>
      <w:r>
        <w:rPr>
          <w:rFonts w:hint="eastAsia" w:ascii="宋体" w:hAnsi="宋体" w:eastAsia="宋体" w:cs="宋体"/>
          <w:color w:val="auto"/>
          <w:sz w:val="21"/>
          <w:szCs w:val="21"/>
          <w:highlight w:val="none"/>
          <w:lang w:bidi="ar"/>
        </w:rPr>
        <w:t xml:space="preserve">"系</w:t>
      </w:r>
      <w:r>
        <w:rPr>
          <w:rFonts w:hint="eastAsia" w:ascii="宋体" w:hAnsi="宋体" w:eastAsia="宋体" w:cs="宋体"/>
          <w:color w:val="000000"/>
          <w:sz w:val="21"/>
          <w:szCs w:val="21"/>
          <w:highlight w:val="none"/>
          <w:lang w:bidi="ar"/>
        </w:rPr>
        <w:t xml:space="preserve">统。</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）立项阶段报</w:t>
      </w:r>
      <w:r>
        <w:rPr>
          <w:rFonts w:hint="eastAsia" w:ascii="宋体" w:hAnsi="宋体" w:eastAsia="宋体" w:cs="宋体"/>
          <w:color w:val="auto"/>
          <w:sz w:val="21"/>
          <w:szCs w:val="21"/>
          <w:highlight w:val="none"/>
          <w:lang w:bidi="ar"/>
        </w:rPr>
        <w:t xml:space="preserve">备：在“</w:t>
      </w:r>
      <w:r>
        <w:rPr>
          <w:rFonts w:hint="eastAsia" w:ascii="宋体" w:hAnsi="宋体" w:eastAsia="宋体" w:cs="宋体"/>
          <w:color w:val="auto"/>
          <w:sz w:val="21"/>
          <w:szCs w:val="21"/>
          <w:highlight w:val="none"/>
        </w:rPr>
        <w:t xml:space="preserve">江苏省耕地保护动态监管系统</w:t>
      </w:r>
      <w:r>
        <w:rPr>
          <w:rFonts w:hint="eastAsia" w:ascii="宋体" w:hAnsi="宋体" w:eastAsia="宋体" w:cs="宋体"/>
          <w:color w:val="auto"/>
          <w:sz w:val="21"/>
          <w:szCs w:val="21"/>
          <w:highlight w:val="none"/>
          <w:lang w:bidi="ar"/>
        </w:rPr>
        <w:t xml:space="preserve">"系统，上传立项</w:t>
      </w:r>
      <w:r>
        <w:rPr>
          <w:rFonts w:hint="eastAsia" w:ascii="宋体" w:hAnsi="宋体" w:eastAsia="宋体" w:cs="宋体"/>
          <w:color w:val="000000"/>
          <w:sz w:val="21"/>
          <w:szCs w:val="21"/>
          <w:highlight w:val="none"/>
          <w:lang w:bidi="ar"/>
        </w:rPr>
        <w:t xml:space="preserve">批文、项目实施前现场照片、正射影像图、新增耕地地块坐标、地类，报市、省审核。</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）实施后竣工图测绘：项目竣工后，参照《城市测量规范（CJJ/T 8-2011 ）》中1:500地形图测绘标准执行。测图比例尺为1:500。确定新增耕地范围、面积。</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）协助竣工验收：整理验收资料，协助分局组织竣工验收，制作验收报告。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）竣工后勘测定界报告：根据项目竣工验收确定的地类面积，制作勘测定界报告。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）竣工正射影像航摄：利用无人机拍摄项目竣工正射影像图，分辨率不低于10cm。</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）竣工资料整理归档：整理立项批文、规划方案、竣工勘测定界报告、验收批文等档案资料。</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）竣工阶段报备外业举证：在国土云系统逐地块外业拍照举证，数据保存后，导出DB数据包，上传“江苏省耕地保护动态监管系统"系统。</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）竣工阶段项目报备：在“江苏省耕地保护动态监管系统"系统，上传立项批文、项目实施前现场照片、正射影像图、新增耕地地块坐标、地类，报市、省审核。</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w:t>
      </w: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新增耕地质量等别评定：根据各地块的指定作物光温生产潜力表及指定作物产量比系数、耕地质量分等因素权重、土壤pH值、土壤质地、土壤有机质含量、耕作层厚度、障碍层距地表深度等评定标准，对每块新增耕地的利用等别、经济等别、利用等别进行评定，并出具新增耕地质量等别评定报告。</w:t>
      </w:r>
      <w:r/>
    </w:p>
    <w:p>
      <w:pPr>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17</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竣工后，协助做好新增耕地的日常变更举证工作，在国土云系统逐地块外业拍照举证，直至地类变更成功。</w:t>
      </w:r>
      <w:r/>
    </w:p>
    <w:p>
      <w:pPr>
        <w:ind w:firstLine="420"/>
        <w:jc w:val="both"/>
        <w:keepLines w:val="0"/>
        <w:keepNext w:val="0"/>
        <w:pageBreakBefore w:val="0"/>
        <w:spacing w:line="360" w:lineRule="auto"/>
        <w:tabs>
          <w:tab w:val="left" w:pos="7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三</w:t>
      </w:r>
      <w:r>
        <w:rPr>
          <w:rFonts w:hint="eastAsia" w:ascii="宋体" w:hAnsi="宋体" w:eastAsia="宋体" w:cs="宋体"/>
          <w:color w:val="000000"/>
          <w:sz w:val="21"/>
          <w:highlight w:val="none"/>
          <w:lang w:eastAsia="zh-CN"/>
        </w:rPr>
        <w:t xml:space="preserve">）其他要求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1、合同履行期限：自合同签订之日起360日历天内完成规划成果，具体时间进度以发包人的工作进度安排为准。</w:t>
      </w:r>
      <w:r/>
    </w:p>
    <w:p>
      <w:pPr>
        <w:ind w:firstLine="428"/>
        <w:jc w:val="left"/>
        <w:keepLines w:val="0"/>
        <w:keepNext w:val="0"/>
        <w:pageBreakBefore w:val="0"/>
        <w:spacing w:line="360" w:lineRule="auto"/>
        <w:widowControl/>
        <w:rPr>
          <w:rFonts w:hint="eastAsia" w:ascii="宋体" w:hAnsi="宋体" w:eastAsia="宋体" w:cs="宋体"/>
          <w:color w:val="auto"/>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2、</w:t>
      </w:r>
      <w:r>
        <w:rPr>
          <w:rFonts w:hint="eastAsia" w:ascii="宋体" w:hAnsi="宋体" w:eastAsia="宋体" w:cs="宋体"/>
          <w:color w:val="000000"/>
          <w:sz w:val="21"/>
          <w:szCs w:val="21"/>
          <w:highlight w:val="none"/>
          <w:lang w:bidi="ar"/>
        </w:rPr>
        <w:t xml:space="preserve">付款方式：</w:t>
      </w:r>
      <w:r>
        <w:rPr>
          <w:rFonts w:hint="eastAsia" w:ascii="宋体" w:hAnsi="宋体" w:eastAsia="宋体" w:cs="宋体"/>
          <w:color w:val="auto"/>
          <w:sz w:val="21"/>
          <w:szCs w:val="21"/>
          <w:highlight w:val="none"/>
          <w:lang w:bidi="ar"/>
        </w:rPr>
        <w:t xml:space="preserve">合同签订后，乙方向甲方开具发票，甲方自收到发票之日起10个工作日内向乙方支付合同总额30%的预付款；项目通过上级主管部门审核</w:t>
      </w:r>
      <w:r>
        <w:rPr>
          <w:rFonts w:hint="eastAsia" w:ascii="宋体" w:hAnsi="宋体" w:eastAsia="宋体" w:cs="宋体"/>
          <w:color w:val="auto"/>
          <w:sz w:val="21"/>
          <w:szCs w:val="21"/>
          <w:highlight w:val="none"/>
          <w:lang w:eastAsia="zh-CN" w:bidi="ar"/>
        </w:rPr>
        <w:t xml:space="preserve">验收通过</w:t>
      </w:r>
      <w:r>
        <w:rPr>
          <w:rFonts w:hint="eastAsia" w:ascii="宋体" w:hAnsi="宋体" w:eastAsia="宋体" w:cs="宋体"/>
          <w:color w:val="auto"/>
          <w:sz w:val="21"/>
          <w:szCs w:val="21"/>
          <w:highlight w:val="none"/>
          <w:lang w:bidi="ar"/>
        </w:rPr>
        <w:t xml:space="preserve">，且乙方提交全部正式成果后，乙方向甲方开具发票，甲方自收到发票之日起10个工作日内付清余款。</w:t>
      </w:r>
      <w:r/>
    </w:p>
    <w:p>
      <w:pPr>
        <w:ind w:firstLine="428"/>
        <w:jc w:val="left"/>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3、人员配置要求：供应商须为本项目配备具有与本项目需求相匹配的相关专业技术且经验丰富的项目负责人、技术负责人各1名，同时须配备具有与本项目需求相匹配的相关专业技术且经验丰富项目组成员数名，以确保本项目顺利实施。</w:t>
      </w:r>
      <w:r/>
    </w:p>
    <w:p>
      <w:pPr>
        <w:ind w:firstLine="428"/>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none"/>
          <w:lang w:bidi="ar"/>
        </w:rPr>
        <w:t xml:space="preserve">4、仪器设备配置要求：供应商须为本项目配备GPS接收机、全站仪、数字水准仪、无人机倾斜摄影测量系统、三维重建软件系统、实景三维测图系统或航测系统等专业技术设备，以确保本项目顺利实施。</w:t>
      </w:r>
      <w:r/>
    </w:p>
    <w:p>
      <w:pPr>
        <w:ind w:firstLine="420"/>
        <w:keepLines w:val="0"/>
        <w:keepNext w:val="0"/>
        <w:pageBreakBefore w:val="0"/>
        <w:spacing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5、供应商应合理制定项目服务方案，做好技术保障工作，明确组织架构及分工安排，合理制定进度计划，做好项目质量、安全、保密措施，提出合理化建议，以确保本项目顺利实施、完成。</w:t>
      </w:r>
      <w:r>
        <w:rPr>
          <w:rFonts w:hint="eastAsia" w:ascii="宋体" w:hAnsi="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6、本次采购暂定</w:t>
      </w:r>
      <w:r>
        <w:rPr>
          <w:rFonts w:hint="eastAsia" w:ascii="宋体" w:hAnsi="宋体" w:eastAsia="宋体" w:cs="宋体"/>
          <w:color w:val="auto"/>
          <w:sz w:val="21"/>
          <w:szCs w:val="21"/>
          <w:highlight w:val="none"/>
          <w:lang w:val="en-US" w:eastAsia="zh-CN" w:bidi="ar"/>
        </w:rPr>
        <w:t xml:space="preserve">1500</w:t>
      </w:r>
      <w:r>
        <w:rPr>
          <w:rFonts w:hint="eastAsia" w:ascii="宋体" w:hAnsi="宋体" w:eastAsia="宋体" w:cs="宋体"/>
          <w:color w:val="000000"/>
          <w:sz w:val="21"/>
          <w:szCs w:val="21"/>
          <w:highlight w:val="none"/>
          <w:lang w:bidi="ar"/>
        </w:rPr>
        <w:t xml:space="preserve">亩（投标报价按此数量计算）,实际数量多与少不得调整</w:t>
      </w:r>
      <w:r>
        <w:rPr>
          <w:rFonts w:hint="eastAsia" w:ascii="宋体" w:hAnsi="宋体" w:eastAsia="宋体" w:cs="宋体"/>
          <w:color w:val="000000"/>
          <w:sz w:val="21"/>
          <w:szCs w:val="21"/>
          <w:highlight w:val="none"/>
          <w:lang w:eastAsia="zh-CN" w:bidi="ar"/>
        </w:rPr>
        <w:t xml:space="preserve">成交</w:t>
      </w:r>
      <w:r>
        <w:rPr>
          <w:rFonts w:hint="eastAsia" w:ascii="宋体" w:hAnsi="宋体" w:eastAsia="宋体" w:cs="宋体"/>
          <w:color w:val="000000"/>
          <w:sz w:val="21"/>
          <w:szCs w:val="21"/>
          <w:highlight w:val="none"/>
          <w:lang w:bidi="ar"/>
        </w:rPr>
        <w:t xml:space="preserve">单价，最终结算按照入库项目建设规模亩数数量按实进行结算，以自然资源主管部门批准入库实际面积为准。结算总价为实际入库项目建设规模确认量*</w:t>
      </w:r>
      <w:r>
        <w:rPr>
          <w:rFonts w:hint="eastAsia" w:ascii="宋体" w:hAnsi="宋体" w:eastAsia="宋体" w:cs="宋体"/>
          <w:color w:val="000000"/>
          <w:sz w:val="21"/>
          <w:szCs w:val="21"/>
          <w:highlight w:val="none"/>
          <w:lang w:val="en-US" w:eastAsia="zh-CN" w:bidi="ar"/>
        </w:rPr>
        <w:t xml:space="preserve">成交</w:t>
      </w:r>
      <w:r>
        <w:rPr>
          <w:rFonts w:hint="eastAsia" w:ascii="宋体" w:hAnsi="宋体" w:eastAsia="宋体" w:cs="宋体"/>
          <w:color w:val="000000"/>
          <w:sz w:val="21"/>
          <w:szCs w:val="21"/>
          <w:highlight w:val="none"/>
          <w:lang w:bidi="ar"/>
        </w:rPr>
        <w:t xml:space="preserve">单价。</w:t>
      </w:r>
      <w:r/>
    </w:p>
    <w:p>
      <w:pPr>
        <w:ind w:firstLine="420"/>
        <w:keepLines w:val="0"/>
        <w:keepNext w:val="0"/>
        <w:pageBreakBefore w:val="0"/>
        <w:spacing w:line="360" w:lineRule="auto"/>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bidi="ar"/>
        </w:rPr>
        <w:t xml:space="preserve">7、投标报价应包括人工费、材料费、设备费、管理费、利润等完成本项目涉及到的一切相关费用。</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pStyle w:val="1034"/>
        <w:jc w:val="center"/>
        <w:spacing w:after="0" w:afterAutospacing="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评审方法及评审标准</w:t>
      </w:r>
      <w:bookmarkEnd w:id="1"/>
      <w:r/>
      <w:bookmarkEnd w:id="25"/>
      <w:r/>
      <w:r/>
    </w:p>
    <w:p>
      <w:pPr>
        <w:pStyle w:val="1068"/>
        <w:ind w:firstLine="422"/>
        <w:keepLines w:val="0"/>
        <w:keepNext w:val="0"/>
        <w:pageBreakBefore w:val="0"/>
        <w:spacing w:before="0" w:beforeAutospacing="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一、评审方法</w:t>
      </w:r>
      <w:r/>
    </w:p>
    <w:p>
      <w:pPr>
        <w:pStyle w:val="1052"/>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Cs w:val="21"/>
          <w:highlight w:val="none"/>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068"/>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cs="宋体"/>
          <w:b/>
          <w:color w:val="auto"/>
          <w:sz w:val="21"/>
          <w:szCs w:val="21"/>
          <w:highlight w:val="none"/>
          <w:lang w:val="en-US" w:eastAsia="zh-CN" w:bidi="ar-SA"/>
        </w:rPr>
        <w:t xml:space="preserve">A包</w:t>
      </w:r>
      <w:r>
        <w:rPr>
          <w:rFonts w:hint="eastAsia" w:ascii="宋体" w:hAnsi="宋体" w:eastAsia="宋体" w:cs="宋体"/>
          <w:b/>
          <w:color w:val="auto"/>
          <w:sz w:val="21"/>
          <w:szCs w:val="21"/>
          <w:highlight w:val="none"/>
        </w:rPr>
        <w:t xml:space="preserve">评审标准</w:t>
      </w:r>
      <w:r/>
    </w:p>
    <w:tbl>
      <w:tblPr>
        <w:tblStyle w:val="794"/>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964"/>
        <w:gridCol w:w="6398"/>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99"/>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15</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分。其他供应商的价格分统一按照下列公式计算：报价得分=（评标基准价/投标报价）×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49</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项目技术</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（12分）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根据供应商对本项目背景解读针对性及准确性，熟悉情况，项目技术方案科学性、合理性和可操作性等进行综合评审：</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方案科学、合理，描述详细完整，对项目背景解读准确，针对性强，得12分；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方案较科学合理，描述较完整，对项目背景解读较准确，针对性较强，得9分；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方案合理性一般，描述一般，对项目背景解读一般，针对性一般，得6分；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rPr>
              <w:t xml:space="preserve">方案描述简单，对项目背景解读不够准确，针对性较差，得3分。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36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组织实施</w:t>
            </w:r>
            <w:r/>
          </w:p>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方案</w:t>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（8分）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根据供应商对本项目的组织实施方案进行打分：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方案科学、合理，描述详细完整，针对性强，得8分；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方案较科学合理，描述较完整，针对性较强，得6分；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方案基本合理，描述一般，针对性一般，得4分；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方案具备不合理项，描述略欠缺，针对性差的，得2分；</w:t>
            </w:r>
            <w:r/>
          </w:p>
          <w:p>
            <w:pPr>
              <w:numPr>
                <w:ilvl w:val="0"/>
                <w:numId w:val="4"/>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其余不得分。</w:t>
            </w:r>
            <w:r/>
          </w:p>
        </w:tc>
      </w:tr>
      <w:tr>
        <w:trPr>
          <w:jc w:val="center"/>
          <w:trHeight w:val="49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质量保证</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根据供应商的质量保证措施进行打分：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质量保证措施科学、合理，针对性强，得8分；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质量保证措施较合理，针对性较强，得6分；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质量保证措施一般，针对性一般，得4分；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质量保证措施具备不合理项，描述欠缺，针对性差的，得2分；</w:t>
            </w:r>
            <w:r/>
          </w:p>
          <w:p>
            <w:pPr>
              <w:numPr>
                <w:ilvl w:val="0"/>
                <w:numId w:val="5"/>
              </w:numPr>
              <w:ind w:left="425" w:hanging="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Cs w:val="21"/>
                <w:highlight w:val="none"/>
              </w:rPr>
              <w:t xml:space="preserve">其余不得分。</w:t>
            </w:r>
            <w:r>
              <w:rPr>
                <w:rFonts w:hint="eastAsia" w:ascii="宋体" w:hAnsi="宋体" w:eastAsia="宋体" w:cs="宋体"/>
                <w:szCs w:val="21"/>
                <w:highlight w:val="none"/>
                <w:lang w:val="zh-CN"/>
              </w:rPr>
              <w:t xml:space="preserve"> </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进度安排（8分）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根据供应商针对本项目的安排规划进度，进度保证措施等内容进行评审：</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进度计划和进度保证措施符合要求，安排详尽，可操作性强，得8分；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进度计划安排较合理，进度保证措施可操作性较强，得6分；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进度计划安排合理性一般，可操作性一般的，得4分；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进度计划安排具备不合理项，描述欠缺，针对性差的，得2分；</w:t>
            </w:r>
            <w:r/>
          </w:p>
          <w:p>
            <w:pPr>
              <w:numPr>
                <w:ilvl w:val="0"/>
                <w:numId w:val="6"/>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保密措施（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根据供应商提供的安全责任制度和数据资料保密制度进行打分：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 </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(5)</w:t>
            </w: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服务承诺（6分）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根据供应商对各项成果数据后续维护计划、服务响应时间等承诺进行打分；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服务承诺科学、合理，描述详细完整，针对性强，得6分；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服务承诺较科学合理，描述较完整，针对性较强，得4分；</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服务承诺基本合理，描述一般，针对性一般，得2分</w:t>
            </w:r>
            <w:r>
              <w:rPr>
                <w:rFonts w:hint="eastAsia" w:ascii="宋体" w:hAnsi="宋体" w:eastAsia="宋体" w:cs="宋体"/>
                <w:szCs w:val="21"/>
                <w:highlight w:val="none"/>
                <w:lang w:eastAsia="zh-CN"/>
              </w:rPr>
              <w:t xml:space="preserve">；</w:t>
            </w:r>
            <w:r/>
          </w:p>
          <w:p>
            <w:pPr>
              <w:numPr>
                <w:ilvl w:val="0"/>
                <w:numId w:val="0"/>
              </w:numPr>
              <w:ind w:left="425" w:hanging="425"/>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lang w:val="en-US" w:eastAsia="zh-CN"/>
              </w:rPr>
              <w:t xml:space="preserve">其余不得分。</w:t>
            </w:r>
            <w:r/>
          </w:p>
        </w:tc>
      </w:tr>
      <w:tr>
        <w:trPr>
          <w:jc w:val="center"/>
          <w:trHeight w:val="2932"/>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36</w:t>
            </w:r>
            <w:r>
              <w:rPr>
                <w:rFonts w:hint="eastAsia" w:ascii="宋体" w:hAnsi="宋体" w:eastAsia="宋体" w:cs="宋体"/>
                <w:b w:val="0"/>
                <w:bCs w:val="0"/>
                <w:highlight w:val="none"/>
              </w:rPr>
              <w:t xml:space="preserve">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人员配备</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（21分）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1、供应商拟投入的本项目的项目负责人具有土地专业高级及以上职称的得3分。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2、供应商拟投入的项目</w:t>
            </w:r>
            <w:r>
              <w:rPr>
                <w:rFonts w:hint="eastAsia" w:ascii="宋体" w:hAnsi="宋体" w:eastAsia="宋体" w:cs="宋体"/>
                <w:szCs w:val="21"/>
                <w:highlight w:val="none"/>
                <w:lang w:val="en-US" w:eastAsia="zh-CN"/>
              </w:rPr>
              <w:t xml:space="preserve">组成</w:t>
            </w:r>
            <w:r>
              <w:rPr>
                <w:rFonts w:hint="eastAsia" w:ascii="宋体" w:hAnsi="宋体" w:eastAsia="宋体" w:cs="宋体"/>
                <w:szCs w:val="21"/>
                <w:highlight w:val="none"/>
              </w:rPr>
              <w:t xml:space="preserve">员（除项目负责人外）具有土地专业高级及以上职称的有一个得3分，具有土地专业中级职称的有一个得2分，本项最高得18分。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以上专业以职称证书专业为准，职称证书不能反映专业的，以毕业证书专业为准，提供人员相关证书复印件及</w:t>
            </w:r>
            <w:r>
              <w:rPr>
                <w:rFonts w:hint="eastAsia" w:ascii="宋体" w:hAnsi="宋体" w:eastAsia="宋体" w:cs="宋体"/>
                <w:b/>
                <w:bCs/>
                <w:szCs w:val="21"/>
                <w:highlight w:val="none"/>
                <w:lang w:val="en-US" w:eastAsia="zh-CN"/>
              </w:rPr>
              <w:t xml:space="preserve">提</w:t>
            </w:r>
            <w:r>
              <w:rPr>
                <w:rFonts w:hint="eastAsia" w:ascii="宋体" w:hAnsi="宋体" w:eastAsia="宋体" w:cs="宋体"/>
                <w:b/>
                <w:bCs/>
                <w:szCs w:val="21"/>
                <w:highlight w:val="none"/>
              </w:rPr>
              <w:t xml:space="preserve">交投标文件截止时间前一年内至少一个月为其缴纳的社保证明材料，原件扫描上传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p>
        </w:tc>
      </w:tr>
      <w:tr>
        <w:trPr>
          <w:jc w:val="center"/>
          <w:trHeight w:val="16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企业实力</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1、供应商具有有效期内的质量管理体系认证证书、环境管理体系认证证书、职业健康安全管理体系认证证书、信息安全管理体系认证证书的，有1个得1分，本项最高得4分。</w:t>
            </w:r>
            <w:r>
              <w:rPr>
                <w:rFonts w:hint="eastAsia" w:ascii="宋体" w:hAnsi="宋体" w:eastAsia="宋体" w:cs="宋体"/>
                <w:b/>
                <w:color w:val="000000"/>
                <w:sz w:val="21"/>
                <w:highlight w:val="none"/>
              </w:rPr>
              <w:t xml:space="preserve">（提供国家市场监督管理总局全国认证认可信息公共服务平台查询截图及证书原件扫描上传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rPr>
                <w:rFonts w:hint="eastAsia" w:ascii="宋体" w:hAnsi="宋体" w:eastAsia="宋体" w:cs="宋体"/>
                <w:b/>
                <w:color w:val="000000"/>
                <w:sz w:val="21"/>
                <w:highlight w:val="none"/>
              </w:rPr>
              <w:t xml:space="preserve">）</w:t>
            </w:r>
            <w:r/>
          </w:p>
          <w:p>
            <w:pPr>
              <w:spacing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w:t>
            </w:r>
            <w:r>
              <w:rPr>
                <w:rFonts w:hint="eastAsia" w:ascii="宋体" w:hAnsi="宋体" w:eastAsia="宋体" w:cs="宋体"/>
                <w:color w:val="000000"/>
                <w:sz w:val="21"/>
                <w:highlight w:val="none"/>
              </w:rPr>
              <w:t xml:space="preserve">供应商的企业信用等级为AAA级得3分，企业信用等级为AA级得2分，企业信用等级为A级得1分，本项最高得3分。</w:t>
            </w:r>
            <w:r>
              <w:rPr>
                <w:rFonts w:hint="eastAsia" w:ascii="宋体" w:hAnsi="宋体" w:eastAsia="宋体" w:cs="宋体"/>
                <w:b/>
                <w:color w:val="000000"/>
                <w:sz w:val="21"/>
                <w:highlight w:val="none"/>
              </w:rPr>
              <w:t xml:space="preserve">（提供经市发展改革委（市信用办）备案的第三方信用报告扫描件，及网上可查证的网站查询截图加盖公章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rPr>
                <w:rFonts w:hint="eastAsia" w:ascii="宋体" w:hAnsi="宋体" w:eastAsia="宋体" w:cs="宋体"/>
                <w:b/>
                <w:color w:val="000000"/>
                <w:sz w:val="21"/>
                <w:highlight w:val="none"/>
              </w:rPr>
              <w:t xml:space="preserve">）</w:t>
            </w:r>
            <w:r/>
          </w:p>
        </w:tc>
      </w:tr>
      <w:tr>
        <w:trPr>
          <w:jc w:val="center"/>
          <w:trHeight w:val="1683"/>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业绩</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tcPr>
          <w:p>
            <w:pPr>
              <w:spacing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2021年1月1日以来（时间以合同签订时间为准），供应商完成过类似项目业绩的，有1个得</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分，本项最高得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p>
            <w:pPr>
              <w:spacing w:line="360" w:lineRule="auto"/>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rPr>
              <w:t xml:space="preserve">提供业绩合同，原件扫描上传，合同至少应能够反映供应商名称、项目内容、合同签订时间等内容</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不提供不得分</w:t>
            </w:r>
            <w:r>
              <w:rPr>
                <w:rFonts w:hint="eastAsia" w:ascii="宋体" w:hAnsi="宋体" w:eastAsia="宋体" w:cs="宋体"/>
                <w:b/>
                <w:bCs/>
                <w:color w:val="000000"/>
                <w:sz w:val="21"/>
                <w:highlight w:val="none"/>
              </w:rPr>
              <w:t xml:space="preserve">。</w:t>
            </w:r>
            <w:r>
              <w:rPr>
                <w:rFonts w:hint="eastAsia" w:ascii="宋体" w:hAnsi="宋体" w:eastAsia="宋体" w:cs="宋体"/>
                <w:b/>
                <w:bCs/>
                <w:color w:val="000000"/>
                <w:sz w:val="21"/>
                <w:highlight w:val="none"/>
                <w:lang w:eastAsia="zh-CN"/>
              </w:rPr>
              <w:t xml:space="preserve">）</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823"/>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823"/>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823"/>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823"/>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bookmarkStart w:id="26" w:name="_Toc109304976"/>
      <w:r/>
      <w:r/>
    </w:p>
    <w:p>
      <w:pPr>
        <w:pStyle w:val="1034"/>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1068"/>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cs="宋体"/>
          <w:b/>
          <w:color w:val="auto"/>
          <w:sz w:val="21"/>
          <w:szCs w:val="21"/>
          <w:highlight w:val="none"/>
          <w:lang w:val="en-US" w:eastAsia="zh-CN" w:bidi="ar-SA"/>
        </w:rPr>
        <w:t xml:space="preserve">B包</w:t>
      </w:r>
      <w:r>
        <w:rPr>
          <w:rFonts w:hint="eastAsia" w:ascii="宋体" w:hAnsi="宋体" w:eastAsia="宋体" w:cs="宋体"/>
          <w:b/>
          <w:color w:val="auto"/>
          <w:sz w:val="21"/>
          <w:szCs w:val="21"/>
          <w:highlight w:val="none"/>
        </w:rPr>
        <w:t xml:space="preserve">评审标准</w:t>
      </w:r>
      <w:r/>
    </w:p>
    <w:tbl>
      <w:tblPr>
        <w:tblStyle w:val="794"/>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91"/>
        <w:gridCol w:w="6271"/>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99"/>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15</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分。其他供应商的价格分统一按照下列公式计算：报价得分=（评标基准价/投标报价）×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59</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项目总体</w:t>
            </w:r>
            <w:r>
              <w:rPr>
                <w:highlight w:val="none"/>
              </w:rPr>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方案</w:t>
            </w:r>
            <w:r>
              <w:rPr>
                <w:highlight w:val="none"/>
              </w:rPr>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highlight w:val="none"/>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根据本项目的特点和要求，制定总体方案，至少包括技术服务方案的目标范围内容、工作流程、机构设置及人员计划、岗位设置与岗位职责、保证措施、服务制度、工作成果。</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方案细致全面、合理，技术可行性强的得1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方案较为完整合理，基本合理的得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方案完整性、合理性一般，技术可行性一般的得6分；</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方案完整性、合理性较差，技术可行性较低的得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方案完整性、合理性差，技术可行性低的得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highlight w:val="none"/>
              </w:rPr>
            </w:r>
            <w:r/>
          </w:p>
          <w:p>
            <w:pPr>
              <w:numPr>
                <w:ilvl w:val="0"/>
                <w:numId w:val="7"/>
              </w:numPr>
              <w:ind w:left="425" w:hanging="42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Cs w:val="21"/>
                <w:highlight w:val="none"/>
              </w:rPr>
              <w:t xml:space="preserve">其余不得分。</w:t>
            </w:r>
            <w:r>
              <w:rPr>
                <w:highlight w:val="none"/>
              </w:rPr>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组织架构及任务分工（10分）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根据供应商对本项目的组织架构及任务分工进行打分：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方案细致全面、合理，技术可行性强的得10分；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方案较为完整合理，基本合理的得8分；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方案完整性、合理性一般，技术可行性一般的得6分；</w:t>
            </w:r>
            <w:r/>
          </w:p>
          <w:p>
            <w:pPr>
              <w:numPr>
                <w:ilvl w:val="0"/>
                <w:numId w:val="8"/>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方案完整性、合理性较差，技术可行性较低的得4分；</w:t>
            </w:r>
            <w:r/>
          </w:p>
          <w:p>
            <w:pPr>
              <w:numPr>
                <w:ilvl w:val="0"/>
                <w:numId w:val="8"/>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方案完整性、合理性差，技术可行性低的得2分；</w:t>
            </w:r>
            <w:r/>
          </w:p>
          <w:p>
            <w:pPr>
              <w:numPr>
                <w:ilvl w:val="0"/>
                <w:numId w:val="8"/>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其余不得分。</w:t>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进度安排（</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根据供应商针对本项目的安排规划进度，进度保证措施等内容进行评审：</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9"/>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质量保证</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w:t>
            </w:r>
            <w:r/>
          </w:p>
          <w:p>
            <w:pPr>
              <w:jc w:val="center"/>
              <w:spacing w:line="24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根据供应商的质量保证措施进行打分：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10"/>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保密措施（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根据供应商提供的安全责任制度和数据资料保密制度进行打分：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11"/>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 </w:t>
            </w:r>
            <w:r>
              <w:rPr>
                <w:rFonts w:hint="eastAsia" w:ascii="宋体" w:hAnsi="宋体" w:eastAsia="宋体" w:cs="宋体"/>
                <w:color w:val="000000"/>
                <w:sz w:val="21"/>
                <w:highlight w:val="none"/>
              </w:rPr>
              <w:t xml:space="preserve">分；</w:t>
            </w:r>
            <w:r/>
          </w:p>
          <w:p>
            <w:pPr>
              <w:numPr>
                <w:ilvl w:val="0"/>
                <w:numId w:val="11"/>
              </w:numPr>
              <w:ind w:left="425" w:hanging="425"/>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合理化建议（10分）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根据供应商对</w:t>
            </w:r>
            <w:r>
              <w:rPr>
                <w:rFonts w:hint="eastAsia" w:ascii="宋体" w:hAnsi="宋体" w:cs="宋体"/>
                <w:szCs w:val="21"/>
                <w:highlight w:val="none"/>
                <w:lang w:val="en-US" w:eastAsia="zh-CN"/>
              </w:rPr>
              <w:t xml:space="preserve">本项目提出的合理化建议</w:t>
            </w:r>
            <w:r>
              <w:rPr>
                <w:rFonts w:hint="eastAsia" w:ascii="宋体" w:hAnsi="宋体" w:eastAsia="宋体" w:cs="宋体"/>
                <w:szCs w:val="21"/>
                <w:highlight w:val="none"/>
              </w:rPr>
              <w:t xml:space="preserve">进行打分；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方案细致全面、合理，技术可行性强的得10分；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方案较为完整合理，基本合理的得8分；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方案完整性、合理性一般，技术可行性一般的得6分；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方案完整性、合理性较差，技术可行性较低的得4分；</w:t>
            </w:r>
            <w:r/>
          </w:p>
          <w:p>
            <w:pPr>
              <w:numPr>
                <w:ilvl w:val="0"/>
                <w:numId w:val="12"/>
              </w:numPr>
              <w:ind w:left="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方案完整性、合理性差，技术可行性低的得2分；</w:t>
            </w:r>
            <w:r/>
          </w:p>
          <w:p>
            <w:pPr>
              <w:numPr>
                <w:ilvl w:val="0"/>
                <w:numId w:val="12"/>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Cs/>
                <w:color w:val="auto"/>
                <w:szCs w:val="21"/>
                <w:highlight w:val="none"/>
                <w:lang w:val="en-US" w:eastAsia="zh-CN"/>
              </w:rPr>
              <w:t xml:space="preserve">其余不得分。</w:t>
            </w:r>
            <w:r/>
          </w:p>
        </w:tc>
      </w:tr>
      <w:tr>
        <w:trPr>
          <w:jc w:val="center"/>
          <w:trHeight w:val="467"/>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26</w:t>
            </w:r>
            <w:r>
              <w:rPr>
                <w:rFonts w:hint="eastAsia" w:ascii="宋体" w:hAnsi="宋体" w:eastAsia="宋体" w:cs="宋体"/>
                <w:b w:val="0"/>
                <w:bCs w:val="0"/>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ind w:left="0" w:right="0" w:firstLine="0"/>
              <w:jc w:val="center"/>
              <w:spacing w:before="0" w:after="0" w:line="240" w:lineRule="auto"/>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仪器及软件设备</w:t>
            </w:r>
            <w:r>
              <w:rPr>
                <w:rFonts w:hint="eastAsia" w:ascii="宋体" w:hAnsi="宋体" w:eastAsia="宋体" w:cs="宋体"/>
                <w:color w:val="000000"/>
                <w:sz w:val="21"/>
                <w:highlight w:val="none"/>
              </w:rPr>
              <w:br/>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13"/>
              </w:numPr>
              <w:ind w:left="0" w:right="0" w:firstLine="0"/>
              <w:spacing w:before="0" w:after="0" w:line="360" w:lineRule="auto"/>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供应商拟投入本项目GPS接收机5台、全站仪5台、数字水准仪1台的，满足以上要求得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rPr>
                <w:rFonts w:hint="eastAsia" w:ascii="宋体" w:hAnsi="宋体" w:eastAsia="宋体" w:cs="宋体"/>
                <w:b/>
                <w:color w:val="000000"/>
                <w:sz w:val="21"/>
                <w:highlight w:val="none"/>
              </w:rPr>
              <w:br/>
            </w:r>
            <w:r>
              <w:rPr>
                <w:rFonts w:hint="eastAsia" w:ascii="宋体" w:hAnsi="宋体" w:eastAsia="宋体" w:cs="宋体"/>
                <w:color w:val="000000"/>
                <w:sz w:val="21"/>
                <w:highlight w:val="none"/>
              </w:rPr>
              <w:t xml:space="preserve">2</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供应商拟投入本项目无人机倾斜摄影测量系统1套、配套三维重建软件系统1套，满足以上要求得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rPr>
                <w:rFonts w:hint="eastAsia" w:ascii="宋体" w:hAnsi="宋体" w:eastAsia="宋体" w:cs="宋体"/>
                <w:b/>
                <w:color w:val="000000"/>
                <w:sz w:val="21"/>
                <w:highlight w:val="none"/>
              </w:rPr>
              <w:br/>
            </w:r>
            <w:r>
              <w:rPr>
                <w:rFonts w:hint="eastAsia" w:ascii="宋体" w:hAnsi="宋体" w:eastAsia="宋体" w:cs="宋体"/>
                <w:color w:val="000000"/>
                <w:sz w:val="21"/>
                <w:highlight w:val="none"/>
              </w:rPr>
              <w:t xml:space="preserve">3</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供应商拟投入实景三维测图系统或航测系统，2套及以上的得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分，没有或不全不得分。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（以上仪器设备需提供购买发票，如为租赁仪器设备须同时提供租赁合同及租赁发票，原件扫描上传</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rPr>
                <w:rFonts w:hint="eastAsia" w:ascii="宋体" w:hAnsi="宋体" w:eastAsia="宋体" w:cs="宋体"/>
                <w:b/>
                <w:color w:val="000000"/>
                <w:sz w:val="21"/>
                <w:highlight w:val="none"/>
              </w:rPr>
              <w:t xml:space="preserve">）</w:t>
            </w:r>
            <w:r/>
          </w:p>
          <w:p>
            <w:pPr>
              <w:numPr>
                <w:ilvl w:val="0"/>
                <w:numId w:val="0"/>
              </w:numPr>
              <w:ind w:right="0"/>
              <w:spacing w:before="0" w:after="0" w:line="360" w:lineRule="auto"/>
              <w:rPr>
                <w:rFonts w:hint="default" w:ascii="宋体" w:hAnsi="宋体" w:eastAsia="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highlight w:val="none"/>
                <w:lang w:val="en-US" w:eastAsia="zh-CN"/>
              </w:rPr>
              <w:t xml:space="preserve">4、供应商具有有效期内的测绘地理信息相关软件著作权，每个得1分，最高得4分。</w:t>
            </w:r>
            <w:r>
              <w:rPr>
                <w:rFonts w:hint="eastAsia" w:ascii="宋体" w:hAnsi="宋体" w:cs="宋体"/>
                <w:b/>
                <w:bCs w:val="0"/>
                <w:color w:val="000000"/>
                <w:sz w:val="21"/>
                <w:highlight w:val="none"/>
                <w:lang w:val="en-US" w:eastAsia="zh-CN"/>
              </w:rPr>
              <w:t xml:space="preserve">（提供证明资料上传，不提供不得分。）</w:t>
            </w:r>
            <w:r/>
          </w:p>
        </w:tc>
      </w:tr>
      <w:tr>
        <w:trPr>
          <w:jc w:val="center"/>
          <w:trHeight w:val="293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人员配备</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numPr>
                <w:ilvl w:val="0"/>
                <w:numId w:val="14"/>
              </w:numPr>
              <w:ind w:left="0" w:firstLine="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eastAsia="宋体" w:cs="宋体"/>
                <w:szCs w:val="21"/>
                <w:highlight w:val="none"/>
              </w:rPr>
              <w:t xml:space="preserve">供应商拟投入本项目的项目负责人具有高级及以上职称的得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w:t>
            </w:r>
            <w:r>
              <w:rPr>
                <w:rFonts w:hint="eastAsia" w:ascii="宋体" w:hAnsi="宋体" w:cs="宋体"/>
                <w:szCs w:val="21"/>
                <w:highlight w:val="none"/>
                <w:lang w:val="en-US" w:eastAsia="zh-CN"/>
              </w:rPr>
              <w:t xml:space="preserve">注册测绘师资格证书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本项最高得2分；</w:t>
            </w:r>
            <w:r/>
          </w:p>
          <w:p>
            <w:pPr>
              <w:numPr>
                <w:ilvl w:val="0"/>
                <w:numId w:val="14"/>
              </w:numPr>
              <w:ind w:left="0" w:firstLine="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eastAsia="宋体" w:cs="宋体"/>
                <w:szCs w:val="21"/>
                <w:highlight w:val="none"/>
              </w:rPr>
              <w:t xml:space="preserve">供应商拟投入本项目的</w:t>
            </w:r>
            <w:r>
              <w:rPr>
                <w:rFonts w:hint="eastAsia" w:ascii="宋体" w:hAnsi="宋体" w:eastAsia="宋体" w:cs="宋体"/>
                <w:szCs w:val="21"/>
                <w:highlight w:val="none"/>
                <w:lang w:val="en-US" w:eastAsia="zh-CN"/>
              </w:rPr>
              <w:t xml:space="preserve">技术负责人</w:t>
            </w:r>
            <w:r>
              <w:rPr>
                <w:rFonts w:hint="eastAsia" w:ascii="宋体" w:hAnsi="宋体" w:eastAsia="宋体" w:cs="宋体"/>
                <w:szCs w:val="21"/>
                <w:highlight w:val="none"/>
              </w:rPr>
              <w:t xml:space="preserve">具有高级及以上职称的得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w:t>
            </w:r>
            <w:r>
              <w:rPr>
                <w:rFonts w:hint="eastAsia" w:ascii="宋体" w:hAnsi="宋体" w:cs="宋体"/>
                <w:szCs w:val="21"/>
                <w:highlight w:val="none"/>
                <w:lang w:val="en-US" w:eastAsia="zh-CN"/>
              </w:rPr>
              <w:t xml:space="preserve">注册测绘师资格证书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本项最高得2分；</w:t>
            </w:r>
            <w:r/>
          </w:p>
          <w:p>
            <w:pPr>
              <w:numPr>
                <w:ilvl w:val="0"/>
                <w:numId w:val="14"/>
              </w:numPr>
              <w:ind w:left="0" w:firstLine="0"/>
              <w:keepLines w:val="0"/>
              <w:keepNext w:val="0"/>
              <w:pageBreakBefore w:val="0"/>
              <w:spacing w:line="360" w:lineRule="auto"/>
              <w:widowControl w:val="off"/>
              <w:rPr>
                <w:rFonts w:hint="default" w:ascii="宋体" w:hAnsi="宋体" w:cs="宋体"/>
                <w:szCs w:val="21"/>
                <w:highlight w:val="none"/>
              </w:rPr>
            </w:pPr>
            <w:r>
              <w:rPr>
                <w:rFonts w:hint="eastAsia" w:ascii="宋体" w:hAnsi="宋体" w:eastAsia="宋体" w:cs="宋体"/>
                <w:szCs w:val="21"/>
                <w:highlight w:val="none"/>
              </w:rPr>
              <w:t xml:space="preserve">供应商拟投入</w:t>
            </w:r>
            <w:r>
              <w:rPr>
                <w:rFonts w:hint="eastAsia" w:ascii="宋体" w:hAnsi="宋体" w:eastAsia="宋体" w:cs="宋体"/>
                <w:szCs w:val="21"/>
                <w:highlight w:val="none"/>
                <w:lang w:val="en-US" w:eastAsia="zh-CN"/>
              </w:rPr>
              <w:t xml:space="preserve">项目组成员</w:t>
            </w:r>
            <w:r>
              <w:rPr>
                <w:rFonts w:hint="eastAsia" w:ascii="宋体" w:hAnsi="宋体" w:eastAsia="宋体" w:cs="宋体"/>
                <w:szCs w:val="21"/>
                <w:highlight w:val="none"/>
                <w:lang w:val="en-US" w:eastAsia="zh-CN"/>
              </w:rPr>
              <w:t xml:space="preserve">（项目负责人和技术负责人除外）</w:t>
            </w:r>
            <w:r>
              <w:rPr>
                <w:rFonts w:hint="eastAsia" w:ascii="宋体" w:hAnsi="宋体" w:eastAsia="宋体" w:cs="宋体"/>
                <w:szCs w:val="21"/>
                <w:highlight w:val="none"/>
              </w:rPr>
              <w:t xml:space="preserve">具有</w:t>
            </w:r>
            <w:r>
              <w:rPr>
                <w:rFonts w:hint="eastAsia" w:ascii="宋体" w:hAnsi="宋体" w:eastAsia="宋体" w:cs="宋体"/>
                <w:szCs w:val="21"/>
                <w:highlight w:val="none"/>
                <w:lang w:val="en-US" w:eastAsia="zh-CN"/>
              </w:rPr>
              <w:t xml:space="preserve">中级</w:t>
            </w:r>
            <w:r>
              <w:rPr>
                <w:rFonts w:hint="eastAsia" w:ascii="宋体" w:hAnsi="宋体" w:eastAsia="宋体" w:cs="宋体"/>
                <w:szCs w:val="21"/>
                <w:highlight w:val="none"/>
              </w:rPr>
              <w:t xml:space="preserve">及以上职称的</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有一个</w:t>
            </w:r>
            <w:r>
              <w:rPr>
                <w:rFonts w:hint="eastAsia" w:ascii="宋体" w:hAnsi="宋体" w:eastAsia="宋体" w:cs="宋体"/>
                <w:szCs w:val="21"/>
                <w:highlight w:val="none"/>
              </w:rPr>
              <w:t xml:space="preserve">得</w:t>
            </w:r>
            <w:r>
              <w:rPr>
                <w:rFonts w:hint="eastAsia" w:ascii="宋体" w:hAnsi="宋体" w:cs="宋体"/>
                <w:szCs w:val="21"/>
                <w:highlight w:val="none"/>
                <w:lang w:val="en-US" w:eastAsia="zh-CN"/>
              </w:rPr>
              <w:t xml:space="preserve">0.5</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本项最高得4分。</w:t>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提供人员相关证书复印件及</w:t>
            </w:r>
            <w:r>
              <w:rPr>
                <w:rFonts w:hint="eastAsia" w:ascii="宋体" w:hAnsi="宋体" w:eastAsia="宋体" w:cs="宋体"/>
                <w:b/>
                <w:bCs/>
                <w:szCs w:val="21"/>
                <w:highlight w:val="none"/>
                <w:lang w:val="en-US" w:eastAsia="zh-CN"/>
              </w:rPr>
              <w:t xml:space="preserve">提</w:t>
            </w:r>
            <w:r>
              <w:rPr>
                <w:rFonts w:hint="eastAsia" w:ascii="宋体" w:hAnsi="宋体" w:eastAsia="宋体" w:cs="宋体"/>
                <w:b/>
                <w:bCs/>
                <w:szCs w:val="21"/>
                <w:highlight w:val="none"/>
              </w:rPr>
              <w:t xml:space="preserve">交投标文件截止时间前一年内至少一个月为其缴纳的社保证明材料，原件扫描上传</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同一人员不同证书不重复计分，不提供不得分。）</w:t>
            </w:r>
            <w:r/>
          </w:p>
        </w:tc>
      </w:tr>
      <w:tr>
        <w:trPr>
          <w:jc w:val="center"/>
          <w:trHeight w:val="1683"/>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spacing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业绩</w:t>
            </w:r>
            <w:r/>
          </w:p>
          <w:p>
            <w:pPr>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tcPr>
          <w:p>
            <w:pPr>
              <w:ind w:left="0" w:right="0" w:firstLine="0"/>
              <w:spacing w:before="0" w:after="0" w:line="360" w:lineRule="auto"/>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供应商自2021年1月1日（以合同签订时间为准）以来承担过与本项目类似项目业绩的，每提供一个得2分，本项最高得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rPr>
                <w:rFonts w:hint="eastAsia" w:ascii="宋体" w:hAnsi="宋体" w:eastAsia="宋体" w:cs="宋体"/>
                <w:color w:val="000000"/>
                <w:sz w:val="21"/>
                <w:highlight w:val="none"/>
              </w:rPr>
              <w:br/>
            </w:r>
            <w:r>
              <w:rPr>
                <w:rFonts w:hint="eastAsia" w:ascii="宋体" w:hAnsi="宋体" w:eastAsia="宋体" w:cs="宋体"/>
                <w:b/>
                <w:color w:val="000000"/>
                <w:sz w:val="21"/>
                <w:highlight w:val="none"/>
              </w:rPr>
              <w:t xml:space="preserve">注：提供业绩合同，原件扫描上传，合同至少应能够反映供应商名称、项目内容、合同签订时间等内容</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不提供不得分。</w:t>
            </w:r>
            <w:r/>
          </w:p>
        </w:tc>
      </w:tr>
      <w:tr>
        <w:trPr>
          <w:jc w:val="center"/>
          <w:trHeight w:val="373"/>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823"/>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823"/>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823"/>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823"/>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823"/>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r/>
    </w:p>
    <w:p>
      <w:pPr>
        <w:pStyle w:val="1034"/>
        <w:jc w:val="center"/>
        <w:spacing w:line="360" w:lineRule="auto"/>
        <w:rPr>
          <w:rFonts w:hint="eastAsia" w:ascii="宋体" w:hAnsi="宋体" w:eastAsia="宋体" w:cs="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szCs w:val="36"/>
          <w:highlight w:val="none"/>
        </w:rPr>
      </w:r>
      <w:r/>
    </w:p>
    <w:p>
      <w:pPr>
        <w:pStyle w:val="1034"/>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36"/>
          <w:szCs w:val="36"/>
          <w:highlight w:val="none"/>
        </w:rPr>
        <w:t xml:space="preserve">第六章 竞争性磋商响应文件格式</w:t>
      </w:r>
      <w:bookmarkEnd w:id="2"/>
      <w:r/>
      <w:bookmarkEnd w:id="26"/>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both"/>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36"/>
          <w:szCs w:val="36"/>
          <w:highlight w:val="none"/>
        </w:rPr>
        <w:t xml:space="preserve">竞争性磋商响应文件</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磋商主要文件目录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一、资格审查响应对照表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二、符合性审查响应对照表</w:t>
      </w:r>
      <w:r/>
    </w:p>
    <w:p>
      <w:pPr>
        <w:ind w:firstLine="480"/>
        <w:spacing w:line="360" w:lineRule="auto"/>
        <w:rPr>
          <w:rFonts w:hint="eastAsia" w:ascii="宋体" w:hAnsi="宋体" w:eastAsia="宋体" w:cs="宋体"/>
          <w:i/>
          <w:color w:val="000000"/>
          <w:sz w:val="21"/>
          <w:szCs w:val="21"/>
          <w:highlight w:val="none"/>
          <w:u w:val="single"/>
        </w:rP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i w:val="0"/>
          <w:iCs/>
          <w:color w:val="000000"/>
          <w:sz w:val="21"/>
          <w:szCs w:val="21"/>
          <w:highlight w:val="none"/>
          <w:u w:val="none"/>
        </w:rPr>
        <w:t xml:space="preserve">磋商响应报价表</w:t>
      </w:r>
      <w:r/>
    </w:p>
    <w:p>
      <w:pPr>
        <w:ind w:left="480"/>
        <w:spacing w:line="360" w:lineRule="auto"/>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、分项报价表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、技术参数响应及偏离表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、商务条款响应及偏离表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、拟投入人员一览表</w:t>
      </w:r>
      <w:r/>
    </w:p>
    <w:p>
      <w:pPr>
        <w:ind w:left="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、项目方案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、主要标的信息</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十、其他 （供应商认为有必要提供的声明和文件，如有自拟并自行添加）</w:t>
      </w:r>
      <w:r/>
    </w:p>
    <w:p>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一、资格性和符合性检查响应对照表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磋商供应商全称（加盖公章）：</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91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5447"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资格和符合性检查响应内容</w:t>
            </w:r>
            <w:r/>
          </w:p>
        </w:tc>
        <w:tc>
          <w:tcPr>
            <w:tcMar>
              <w:left w:w="108" w:type="dxa"/>
              <w:top w:w="0" w:type="dxa"/>
              <w:right w:w="108" w:type="dxa"/>
              <w:bottom w:w="0" w:type="dxa"/>
            </w:tcMar>
            <w:tcW w:w="2413"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（填是或者否）</w:t>
            </w:r>
            <w:r/>
          </w:p>
        </w:tc>
      </w:tr>
      <w:tr>
        <w:trPr>
          <w:trHeight w:val="376"/>
        </w:trPr>
        <w:tc>
          <w:tcPr>
            <w:gridSpan w:val="3"/>
            <w:tcMar>
              <w:left w:w="108" w:type="dxa"/>
              <w:top w:w="0" w:type="dxa"/>
              <w:right w:w="108" w:type="dxa"/>
              <w:bottom w:w="0" w:type="dxa"/>
            </w:tcMar>
            <w:tcW w:w="8506" w:type="dxa"/>
            <w:vAlign w:val="bottom"/>
            <w:textDirection w:val="lrTb"/>
            <w:noWrap/>
          </w:tcPr>
          <w:p>
            <w:pPr>
              <w:ind w:left="0" w:right="0" w:firstLine="0"/>
              <w:jc w:val="both"/>
              <w:keepLines w:val="0"/>
              <w:keepNext w:val="0"/>
              <w:pageBreakBefore w:val="0"/>
              <w:spacing w:after="0" w:line="240" w:lineRule="auto"/>
              <w:widowControl w:val="off"/>
              <w:tabs>
                <w:tab w:val="left" w:pos="1243" w:leader="none"/>
              </w:tabs>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1</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38"/>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2</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 2024年度或2025年度的财务状况报告</w:t>
            </w:r>
            <w:r>
              <w:rPr>
                <w:rFonts w:hint="eastAsia" w:ascii="宋体" w:hAnsi="宋体" w:eastAsia="宋体" w:cs="宋体"/>
                <w:b/>
                <w:bCs/>
                <w:i/>
                <w:iCs/>
                <w:color w:val="000000"/>
                <w:sz w:val="21"/>
                <w:szCs w:val="21"/>
                <w:highlight w:val="none"/>
                <w:u w:val="single"/>
              </w:rPr>
              <w:t xml:space="preserve">（成立不满一年无需提供）；</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3</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2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4</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具备履行合同所必需的设备和专业技术能力的书面声明；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5</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参加政府采购活动前3年内在经营活动中没有重大违法记录的书面声明；</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0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6</w:t>
            </w:r>
            <w:r/>
          </w:p>
        </w:tc>
        <w:tc>
          <w:tcPr>
            <w:tcMar>
              <w:left w:w="108" w:type="dxa"/>
              <w:top w:w="0" w:type="dxa"/>
              <w:right w:w="108" w:type="dxa"/>
              <w:bottom w:w="0" w:type="dxa"/>
            </w:tcMar>
            <w:tcW w:w="5447" w:type="dxa"/>
            <w:vAlign w:val="center"/>
            <w:textDirection w:val="lrTb"/>
            <w:noWrap/>
          </w:tcPr>
          <w:p>
            <w:pPr>
              <w:pStyle w:val="823"/>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7</w:t>
            </w:r>
            <w:r/>
          </w:p>
        </w:tc>
        <w:tc>
          <w:tcPr>
            <w:tcMar>
              <w:left w:w="108" w:type="dxa"/>
              <w:top w:w="0" w:type="dxa"/>
              <w:right w:w="108" w:type="dxa"/>
              <w:bottom w:w="0" w:type="dxa"/>
            </w:tcMar>
            <w:tcW w:w="5447" w:type="dxa"/>
            <w:vAlign w:val="center"/>
            <w:textDirection w:val="lrTb"/>
            <w:noWrap/>
          </w:tcPr>
          <w:p>
            <w:pPr>
              <w:pStyle w:val="895"/>
              <w:numPr>
                <w:ilvl w:val="0"/>
                <w:numId w:val="0"/>
              </w:numPr>
              <w:ind w:right="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未被“信用中国”网站（www.creditchina.gov.cn）、“中国政府采购网”(www.ccgp.gov.cn)列入失信被执行人、重大税收违法案件当事人名单、政府采购严重违法失信行为记录名单。</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落实政府采购政策需满足的资格要求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8</w:t>
            </w:r>
            <w:r/>
          </w:p>
        </w:tc>
        <w:tc>
          <w:tcPr>
            <w:tcMar>
              <w:left w:w="108" w:type="dxa"/>
              <w:top w:w="0" w:type="dxa"/>
              <w:right w:w="108" w:type="dxa"/>
              <w:bottom w:w="0" w:type="dxa"/>
            </w:tcMar>
            <w:tcW w:w="5447" w:type="dxa"/>
            <w:vAlign w:val="center"/>
            <w:textDirection w:val="lrTb"/>
            <w:noWrap/>
          </w:tcPr>
          <w:p>
            <w:pPr>
              <w:numPr>
                <w:ilvl w:val="0"/>
                <w:numId w:val="0"/>
              </w:numPr>
              <w:ind w:right="0" w:firstLine="0"/>
              <w:keepLines w:val="0"/>
              <w:keepNext w:val="0"/>
              <w:pageBreakBefore w:val="0"/>
              <w:spacing w:line="360" w:lineRule="auto"/>
              <w:widowControl w:val="off"/>
              <w:rPr>
                <w:rFonts w:hint="eastAsia" w:ascii="宋体" w:hAnsi="宋体" w:eastAsia="宋体" w:cs="宋体"/>
                <w:i/>
                <w:color w:val="000000"/>
                <w:sz w:val="21"/>
                <w:szCs w:val="21"/>
                <w:highlight w:val="none"/>
                <w:u w:val="single"/>
              </w:rPr>
            </w:pP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292"/>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特定资格条件</w:t>
            </w:r>
            <w:r/>
          </w:p>
        </w:tc>
      </w:tr>
      <w:tr>
        <w:trPr>
          <w:trHeight w:val="292"/>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9</w:t>
            </w:r>
            <w:r/>
          </w:p>
        </w:tc>
        <w:tc>
          <w:tcPr>
            <w:tcMar>
              <w:left w:w="108" w:type="dxa"/>
              <w:top w:w="0" w:type="dxa"/>
              <w:right w:w="108" w:type="dxa"/>
              <w:bottom w:w="0" w:type="dxa"/>
            </w:tcMar>
            <w:tcW w:w="5447" w:type="dxa"/>
            <w:vAlign w:val="center"/>
            <w:textDirection w:val="lrTb"/>
            <w:noWrap/>
          </w:tcPr>
          <w:p>
            <w:pPr>
              <w:numPr>
                <w:ilvl w:val="0"/>
                <w:numId w:val="0"/>
              </w:numPr>
              <w:ind w:right="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A包：</w:t>
            </w:r>
            <w:r>
              <w:rPr>
                <w:rFonts w:hint="eastAsia" w:ascii="宋体" w:hAnsi="宋体" w:cs="宋体"/>
                <w:i/>
                <w:iCs/>
                <w:color w:val="auto"/>
                <w:szCs w:val="21"/>
                <w:highlight w:val="none"/>
                <w:u w:val="single"/>
                <w:lang w:val="en-US" w:eastAsia="zh-CN"/>
              </w:rPr>
              <w:t xml:space="preserve">供应商需具有城乡规划乙级及以上资质证书</w:t>
            </w:r>
            <w:r>
              <w:rPr>
                <w:rFonts w:hint="eastAsia" w:ascii="宋体" w:hAnsi="宋体" w:eastAsia="宋体" w:cs="宋体"/>
                <w:i/>
                <w:iCs/>
                <w:color w:val="auto"/>
                <w:sz w:val="21"/>
                <w:szCs w:val="21"/>
                <w:highlight w:val="none"/>
                <w:u w:val="single"/>
                <w:lang w:val="en-US" w:eastAsia="zh-CN"/>
              </w:rPr>
              <w:t xml:space="preserve">（证书原件扫描上传）</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292"/>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10</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lang w:val="en-US" w:eastAsia="zh-CN"/>
              </w:rPr>
              <w:t xml:space="preserve">B包：供应商具有行政主管部门颁发的乙级及以上测绘资质证书（证书原件扫描上传）</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292"/>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11</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磋商响应函</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12</w:t>
            </w:r>
            <w:r/>
          </w:p>
        </w:tc>
        <w:tc>
          <w:tcPr>
            <w:tcMar>
              <w:left w:w="108" w:type="dxa"/>
              <w:top w:w="0" w:type="dxa"/>
              <w:right w:w="108" w:type="dxa"/>
              <w:bottom w:w="0" w:type="dxa"/>
            </w:tcMar>
            <w:tcW w:w="5447" w:type="dxa"/>
            <w:vAlign w:val="center"/>
            <w:textDirection w:val="lrTb"/>
            <w:noWrap/>
          </w:tcPr>
          <w:p>
            <w:pPr>
              <w:ind w:left="0" w:right="0" w:firstLine="0"/>
              <w:jc w:val="left"/>
              <w:keepLines w:val="0"/>
              <w:keepNext w:val="0"/>
              <w:pageBreakBefore w:val="0"/>
              <w:spacing w:after="0" w:line="360" w:lineRule="auto"/>
              <w:widowControl w:val="off"/>
              <w:rPr>
                <w:rFonts w:hint="eastAsia" w:ascii="宋体" w:hAnsi="宋体" w:eastAsia="宋体" w:cs="宋体"/>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法人授权书</w:t>
            </w:r>
            <w:r/>
          </w:p>
        </w:tc>
        <w:tc>
          <w:tcPr>
            <w:tcMar>
              <w:left w:w="108" w:type="dxa"/>
              <w:top w:w="0" w:type="dxa"/>
              <w:right w:w="108" w:type="dxa"/>
              <w:bottom w:w="0" w:type="dxa"/>
            </w:tcMar>
            <w:tcW w:w="2413"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bl>
    <w:p>
      <w:pPr>
        <w:ind w:left="0" w:right="0" w:firstLine="0"/>
        <w:jc w:val="both"/>
        <w:spacing w:before="50" w:after="5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pStyle w:val="895"/>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r>
      <w:r/>
    </w:p>
    <w:p>
      <w:pPr>
        <w:rPr>
          <w:rFonts w:hint="eastAsia" w:ascii="宋体" w:hAnsi="宋体" w:eastAsia="宋体" w:cs="宋体"/>
          <w:b/>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磋商响应函</w:t>
      </w:r>
      <w:r/>
    </w:p>
    <w:p>
      <w:pPr>
        <w:ind w:left="0" w:right="0" w:firstLine="0"/>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扬州市自然资源和规划局邗江分局</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根据贵方的号磋商文件，正式授权下述签字人_________________(姓名)代表我方______________（供应商的名称），全权处理本次项目磋商采购的有关事宜。</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据此函，__________（签字人）兹宣布同意如下：</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按磋商文件规定的各项要求，向买方提供所需服务。</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我们已详细审核全部磋商文件及其有效补充文件，我们知道必须放弃提出含糊不清或误解问题的权利。</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我们同意从规定的响应文件接收截止时间起遵循本响应文件，并在规定的磋商有效期期满之前均具有约束力。</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同意向贵方提供贵方可能另外要求的与磋商采购有关的任何证据或资料，并保证我方已提供和将要提供的文件是真实的、准确的。</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一旦我方成交，我方将根据磋商文件的规定，严格履行合同的责任和义务，并保证在磋商文件规定的时间完成项目，交付买方验收。</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遵守磋商文件中要求的收费项目和标准。</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与本磋商采购有关的正式通讯地址为：</w:t>
      </w:r>
      <w:r/>
    </w:p>
    <w:p>
      <w:pPr>
        <w:ind w:left="0" w:right="0" w:firstLine="479"/>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107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资 格 声 明</w:t>
      </w:r>
      <w:r/>
    </w:p>
    <w:p>
      <w:pPr>
        <w:ind w:left="0" w:right="0" w:firstLine="420"/>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1、名称及其它情况：</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（1）供应商名称：</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（2）地址：邮编：</w:t>
      </w:r>
      <w:r/>
    </w:p>
    <w:p>
      <w:pPr>
        <w:ind w:left="0" w:right="0" w:firstLine="84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传真：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（3）成立和/或注册日期：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（4）法定代表人：</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（5）实收资本：</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（6）近期资产负债表：（到</w:t>
      </w:r>
      <w:r>
        <w:rPr>
          <w:rFonts w:hint="eastAsia" w:ascii="宋体" w:hAnsi="宋体" w:eastAsia="宋体" w:cs="宋体"/>
          <w:color w:val="000000"/>
          <w:sz w:val="21"/>
          <w:szCs w:val="21"/>
          <w:highlight w:val="none"/>
          <w:u w:val="single"/>
        </w:rPr>
        <w:t xml:space="preserve">20  年12月31日</w:t>
      </w:r>
      <w:r>
        <w:rPr>
          <w:rFonts w:hint="eastAsia" w:ascii="宋体" w:hAnsi="宋体" w:eastAsia="宋体" w:cs="宋体"/>
          <w:color w:val="000000"/>
          <w:sz w:val="21"/>
          <w:szCs w:val="21"/>
          <w:highlight w:val="none"/>
        </w:rPr>
        <w:t xml:space="preserve">）</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&lt;1&gt; 固定资产：</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&lt;2&gt; 流动资金：</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&lt;3&gt; 长期负债：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&lt;4&gt; 短期负债：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2、近三年同类服务的主要销售业绩（无有效联系人、联系方式和合同复印件的视为未填报本项目）：</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3、本次采购要求的其他资格文件以及供应商认为需要声明的其他情况：</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供应商名称（公章）：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法定代表人姓名（签章）：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r/>
    </w:p>
    <w:p>
      <w:pPr>
        <w:ind w:left="0" w:right="0" w:firstLine="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（注：资格声明为格式文件,实质性内容请勿修改，否则将导致磋商响应文件无效）</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312" w:line="253"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法定代表人授权委托书</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w:t>
      </w:r>
      <w:r>
        <w:rPr>
          <w:rFonts w:hint="eastAsia" w:ascii="宋体" w:hAnsi="宋体" w:eastAsia="宋体" w:cs="宋体"/>
          <w:color w:val="000000"/>
          <w:sz w:val="22"/>
          <w:highlight w:val="none"/>
        </w:rPr>
        <w:t xml:space="preserve">________________</w:t>
      </w:r>
      <w:r>
        <w:rPr>
          <w:rFonts w:hint="eastAsia" w:ascii="宋体" w:hAnsi="宋体" w:eastAsia="宋体" w:cs="宋体"/>
          <w:color w:val="000000"/>
          <w:sz w:val="21"/>
          <w:highlight w:val="none"/>
        </w:rPr>
        <w:t xml:space="preserve">（供应商名称）授权</w:t>
      </w:r>
      <w:r>
        <w:rPr>
          <w:rFonts w:hint="eastAsia" w:ascii="宋体" w:hAnsi="宋体" w:eastAsia="宋体" w:cs="宋体"/>
          <w:color w:val="000000"/>
          <w:sz w:val="22"/>
          <w:highlight w:val="none"/>
        </w:rPr>
        <w:t xml:space="preserve">___________</w:t>
      </w:r>
      <w:r>
        <w:rPr>
          <w:rFonts w:hint="eastAsia" w:ascii="宋体" w:hAnsi="宋体" w:eastAsia="宋体" w:cs="宋体"/>
          <w:color w:val="000000"/>
          <w:sz w:val="21"/>
          <w:highlight w:val="none"/>
        </w:rPr>
        <w:t xml:space="preserve">（被授权人的姓名）为我方就（项目编号及名称）采购活动的合法代理人，以本公司名义全权处理一切与该项目采购有关的事务。</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w:t>
      </w:r>
      <w:r>
        <w:rPr>
          <w:rFonts w:hint="eastAsia" w:ascii="宋体" w:hAnsi="宋体" w:eastAsia="宋体" w:cs="宋体"/>
          <w:color w:val="000000"/>
          <w:sz w:val="22"/>
          <w:highlight w:val="none"/>
        </w:rPr>
        <w:t xml:space="preserve">______</w:t>
      </w:r>
      <w:r>
        <w:rPr>
          <w:rFonts w:hint="eastAsia" w:ascii="宋体" w:hAnsi="宋体" w:eastAsia="宋体" w:cs="宋体"/>
          <w:color w:val="000000"/>
          <w:sz w:val="21"/>
          <w:highlight w:val="none"/>
        </w:rPr>
        <w:t xml:space="preserve">年</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月</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日起生效，特此声明。</w:t>
      </w:r>
      <w:r/>
    </w:p>
    <w:p>
      <w:pPr>
        <w:ind w:left="0" w:right="0" w:firstLine="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法定代表人姓名（签</w:t>
      </w:r>
      <w:r>
        <w:rPr>
          <w:rFonts w:hint="eastAsia" w:ascii="宋体" w:hAnsi="宋体" w:eastAsia="宋体" w:cs="宋体"/>
          <w:color w:val="000000"/>
          <w:sz w:val="21"/>
          <w:highlight w:val="none"/>
          <w:lang w:eastAsia="zh-CN"/>
        </w:rPr>
        <w:t xml:space="preserve">字</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章）：</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被授权人姓名：</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联系电话（手机）：</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单位名称：</w:t>
      </w:r>
      <w:r>
        <w:rPr>
          <w:rFonts w:hint="eastAsia" w:ascii="宋体" w:hAnsi="宋体" w:eastAsia="宋体" w:cs="宋体"/>
          <w:color w:val="000000"/>
          <w:sz w:val="22"/>
          <w:highlight w:val="none"/>
        </w:rPr>
        <w:t xml:space="preserve">_____________________________________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授权单位盖章：</w:t>
      </w:r>
      <w:r>
        <w:rPr>
          <w:rFonts w:hint="eastAsia" w:ascii="宋体" w:hAnsi="宋体" w:eastAsia="宋体" w:cs="宋体"/>
          <w:color w:val="000000"/>
          <w:sz w:val="22"/>
          <w:highlight w:val="none"/>
        </w:rPr>
        <w:t xml:space="preserve">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法定代表人身份证复印件：</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被授权人身份证复印件：</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r/>
    </w:p>
    <w:p>
      <w:pPr>
        <w:ind w:left="0" w:right="0" w:firstLine="0"/>
        <w:jc w:val="both"/>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参加本次政府采购活动前 3 年内在经营活动中没有重大违法记录的书面声明</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声  明</w:t>
      </w:r>
      <w:r/>
    </w:p>
    <w:p>
      <w:pPr>
        <w:ind w:left="0" w:right="0" w:firstLine="420"/>
        <w:jc w:val="both"/>
        <w:keepLines w:val="0"/>
        <w:keepNext w:val="0"/>
        <w:pageBreakBefore w:val="0"/>
        <w:spacing w:before="22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供应商名称（公章）：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法定代表人签章：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ascii="宋体" w:hAnsi="宋体" w:eastAsia="宋体" w:cs="宋体"/>
          <w:highlight w:val="none"/>
        </w:rPr>
      </w:pPr>
      <w:r>
        <w:rPr>
          <w:rFonts w:hint="eastAsia" w:ascii="宋体" w:hAnsi="宋体" w:eastAsia="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承诺单位（签章）：           </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法定代表人（负责人）：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r/>
    </w:p>
    <w:p>
      <w:pPr>
        <w:ind w:left="0" w:right="0" w:firstLine="0"/>
        <w:jc w:val="center"/>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中小企业声明函（服务）</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eastAsia="zh-CN"/>
        </w:rPr>
        <w:t xml:space="preserve">扬州市自然资源和规划局邗江分局</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u w:val="single"/>
          <w:lang w:eastAsia="zh-CN"/>
        </w:rPr>
        <w:t xml:space="preserve">2026年度城乡建设用地增减挂钩复垦项目及耕地占补平衡项目技术服务</w:t>
      </w:r>
      <w:r>
        <w:rPr>
          <w:rFonts w:hint="eastAsia" w:ascii="宋体" w:hAnsi="宋体" w:eastAsia="宋体" w:cs="宋体"/>
          <w:color w:val="000000"/>
          <w:sz w:val="21"/>
          <w:szCs w:val="21"/>
          <w:highlight w:val="none"/>
        </w:rPr>
        <w:t xml:space="preserve">采购活动，服务全部由符合政策要求的中小企业承接。相关企业（含联合体中的中小企业、签订分包意向协议的中小企业）的具体情况如下：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left="0" w:right="0" w:firstLine="422"/>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2、供应商如不提供此声明函，价格将不做相应扣除。</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3、企业声明函请完整填写，</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后将公示。</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4、供应商应当对其出具的《中小企业声明函》真实性负责，供应商出具的《中小企业声明函》内容不实的，属于提供虚假材料谋取</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6、《政府采购法》第七十七条第一款：提供虚假材料谋取</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3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企业名称（盖章）：</w:t>
      </w:r>
      <w:r/>
    </w:p>
    <w:p>
      <w:pPr>
        <w:ind w:left="0" w:right="0" w:firstLine="420"/>
        <w:jc w:val="center"/>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left="0" w:right="0" w:firstLine="2726"/>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keepLines/>
        <w:spacing w:before="300" w:after="3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中小微企业划型标准</w:t>
      </w:r>
      <w:r/>
    </w:p>
    <w:p>
      <w:pPr>
        <w:ind w:left="0" w:right="0" w:firstLine="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中小微企业划型标准如下：</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bl>
    <w:p>
      <w:pPr>
        <w:ind w:left="0" w:right="0" w:firstLine="0"/>
        <w:jc w:val="both"/>
        <w:spacing w:before="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残疾人福利性单位声明函</w:t>
      </w:r>
      <w:r/>
    </w:p>
    <w:p>
      <w:pPr>
        <w:ind w:left="0" w:right="0" w:firstLine="624"/>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（备注：1、供应商如不提供此声明函，价格将不做相应扣除。2、</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供应商为残疾人福利单位的，此声明函将随</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结果同时公告，接受社会监督）</w:t>
      </w:r>
      <w:r/>
    </w:p>
    <w:p>
      <w:pPr>
        <w:ind w:left="0" w:right="0" w:firstLine="444"/>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none"/>
        </w:rPr>
        <w:t xml:space="preserve"> </w:t>
      </w:r>
      <w:r/>
    </w:p>
    <w:p>
      <w:pPr>
        <w:ind w:left="0" w:right="0" w:firstLine="420"/>
        <w:jc w:val="center"/>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供应商全称（盖章）：</w:t>
      </w:r>
      <w:r/>
    </w:p>
    <w:p>
      <w:pPr>
        <w:ind w:left="0" w:right="0" w:firstLine="0"/>
        <w:jc w:val="center"/>
        <w:spacing w:before="220" w:after="312"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rPr>
          <w:rFonts w:hint="eastAsia" w:ascii="宋体" w:hAnsi="宋体" w:eastAsia="宋体" w:cs="宋体"/>
          <w:b/>
          <w:color w:val="000000"/>
          <w:sz w:val="28"/>
          <w:highlight w:val="none"/>
        </w:rPr>
        <w:t xml:space="preserve"> </w:t>
      </w:r>
      <w:r/>
    </w:p>
    <w:p>
      <w:pPr>
        <w:ind w:left="0" w:right="0" w:firstLine="0"/>
        <w:jc w:val="center"/>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15"/>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符合性审查响应对照表</w:t>
      </w:r>
      <w:r/>
    </w:p>
    <w:p>
      <w:pPr>
        <w:pStyle w:val="830"/>
        <w:numPr>
          <w:ilvl w:val="0"/>
          <w:numId w:val="0"/>
        </w:numPr>
        <w:rPr>
          <w:rFonts w:hint="eastAsia"/>
          <w:highlight w:val="none"/>
        </w:rPr>
      </w:pPr>
      <w:r>
        <w:rPr>
          <w:rFonts w:hint="eastAsia"/>
          <w:highlight w:val="none"/>
        </w:rPr>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是否响应</w:t>
            </w:r>
            <w:r/>
          </w:p>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top"/>
            <w:textDirection w:val="lrTb"/>
            <w:noWrap/>
          </w:tcPr>
          <w:p>
            <w:pPr>
              <w:ind w:left="0" w:right="0" w:firstLine="0"/>
              <w:jc w:val="both"/>
              <w:spacing w:before="220" w:after="0" w:line="36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采购需求中必须满足的实质性要求</w:t>
            </w:r>
            <w:r>
              <w:rPr>
                <w:rFonts w:hint="eastAsia" w:ascii="宋体" w:hAnsi="宋体" w:eastAsia="宋体" w:cs="宋体"/>
                <w:b w:val="0"/>
                <w:bCs/>
                <w:color w:val="auto"/>
                <w:sz w:val="21"/>
                <w:szCs w:val="21"/>
                <w:highlight w:val="none"/>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、磋商响应报价表</w:t>
      </w:r>
      <w:r/>
    </w:p>
    <w:p>
      <w:pPr>
        <w:ind w:left="0" w:right="0" w:firstLine="0"/>
        <w:jc w:val="both"/>
        <w:spacing w:before="220" w:afterAutospacing="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项目名称：</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p>
    <w:p>
      <w:pPr>
        <w:ind w:left="0" w:right="0" w:firstLine="0"/>
        <w:spacing w:beforeAutospacing="0"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包号：</w:t>
      </w:r>
      <w:r/>
    </w:p>
    <w:tbl>
      <w:tblPr>
        <w:tblStyle w:val="794"/>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99"/>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99"/>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1068"/>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8"/>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68"/>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1068"/>
              <w:ind w:firstLine="4200"/>
              <w:spacing w:before="0" w:after="0"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99"/>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799"/>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0"/>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备注：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1、磋商响应报价表必须加盖供应商公章。</w:t>
      </w:r>
      <w:r/>
    </w:p>
    <w:p>
      <w:pPr>
        <w:ind w:left="0" w:right="0" w:firstLine="0"/>
        <w:jc w:val="both"/>
        <w:spacing w:before="220" w:after="0"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2、此表可以根据需要自行增减行数，且</w:t>
      </w:r>
      <w:r>
        <w:rPr>
          <w:rFonts w:hint="eastAsia" w:ascii="宋体" w:hAnsi="宋体" w:eastAsia="宋体" w:cs="宋体"/>
          <w:b/>
          <w:color w:val="000000"/>
          <w:sz w:val="22"/>
          <w:highlight w:val="none"/>
        </w:rPr>
        <w:t xml:space="preserve">该表报价非本次磋商中的最后报价</w:t>
      </w:r>
      <w:r>
        <w:rPr>
          <w:rFonts w:hint="eastAsia" w:ascii="宋体" w:hAnsi="宋体" w:eastAsia="宋体" w:cs="宋体"/>
          <w:color w:val="000000"/>
          <w:sz w:val="22"/>
          <w:highlight w:val="none"/>
        </w:rPr>
        <w:t xml:space="preserve">。</w:t>
      </w:r>
      <w:r/>
    </w:p>
    <w:p>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四</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分项报价表</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项目名称：</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p>
    <w:p>
      <w:pPr>
        <w:ind w:left="0" w:right="0" w:firstLine="0"/>
        <w:spacing w:beforeAutospacing="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包号：</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2"/>
        <w:gridCol w:w="1770"/>
        <w:gridCol w:w="1996"/>
        <w:gridCol w:w="2154"/>
      </w:tblGrid>
      <w:tr>
        <w:trPr>
          <w:trHeight w:val="648"/>
        </w:trPr>
        <w:tc>
          <w:tcPr>
            <w:tcMar>
              <w:left w:w="108" w:type="dxa"/>
              <w:top w:w="0" w:type="dxa"/>
              <w:right w:w="108" w:type="dxa"/>
              <w:bottom w:w="0" w:type="dxa"/>
            </w:tcMar>
            <w:tcW w:w="2676"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w:t>
            </w:r>
            <w:r/>
          </w:p>
        </w:tc>
        <w:tc>
          <w:tcPr>
            <w:tcMar>
              <w:left w:w="108" w:type="dxa"/>
              <w:top w:w="0" w:type="dxa"/>
              <w:right w:w="108" w:type="dxa"/>
              <w:bottom w:w="0" w:type="dxa"/>
            </w:tcMar>
            <w:tcW w:w="1808"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数量</w:t>
            </w:r>
            <w:r/>
          </w:p>
        </w:tc>
        <w:tc>
          <w:tcPr>
            <w:tcMar>
              <w:left w:w="108" w:type="dxa"/>
              <w:top w:w="0" w:type="dxa"/>
              <w:right w:w="108" w:type="dxa"/>
              <w:bottom w:w="0" w:type="dxa"/>
            </w:tcMar>
            <w:tcW w:w="2042"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单价（元/亩）</w:t>
            </w:r>
            <w:r/>
          </w:p>
        </w:tc>
        <w:tc>
          <w:tcPr>
            <w:tcMar>
              <w:left w:w="108" w:type="dxa"/>
              <w:top w:w="0" w:type="dxa"/>
              <w:right w:w="108" w:type="dxa"/>
              <w:bottom w:w="0" w:type="dxa"/>
            </w:tcMar>
            <w:tcW w:w="2198" w:type="dxa"/>
            <w:vAlign w:val="center"/>
            <w:textDirection w:val="lrTb"/>
            <w:noWrap w:val="false"/>
          </w:tcPr>
          <w:p>
            <w:pPr>
              <w:ind w:left="0" w:right="0" w:firstLine="0"/>
              <w:jc w:val="center"/>
              <w:keepLines w:val="0"/>
              <w:keepNext w:val="0"/>
              <w:pageBreakBefore w:val="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总价（元）</w:t>
            </w:r>
            <w:r/>
          </w:p>
        </w:tc>
      </w:tr>
      <w:tr>
        <w:trPr>
          <w:trHeight w:val="1547"/>
        </w:trPr>
        <w:tc>
          <w:tcPr>
            <w:tcMar>
              <w:left w:w="108" w:type="dxa"/>
              <w:top w:w="0" w:type="dxa"/>
              <w:right w:w="108" w:type="dxa"/>
              <w:bottom w:w="0" w:type="dxa"/>
            </w:tcMar>
            <w:tcW w:w="2676"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tc>
        <w:tc>
          <w:tcPr>
            <w:tcMar>
              <w:left w:w="108" w:type="dxa"/>
              <w:top w:w="0" w:type="dxa"/>
              <w:right w:w="108" w:type="dxa"/>
              <w:bottom w:w="0" w:type="dxa"/>
            </w:tcMar>
            <w:tcW w:w="1808"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1500</w:t>
            </w:r>
            <w:r>
              <w:rPr>
                <w:rFonts w:ascii="宋体" w:hAnsi="宋体" w:eastAsia="宋体" w:cs="宋体"/>
                <w:color w:val="000000"/>
                <w:sz w:val="21"/>
                <w:szCs w:val="21"/>
                <w:highlight w:val="none"/>
              </w:rPr>
              <w:t xml:space="preserve">亩</w:t>
            </w:r>
            <w:r/>
          </w:p>
        </w:tc>
        <w:tc>
          <w:tcPr>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Mar>
              <w:left w:w="108" w:type="dxa"/>
              <w:top w:w="0" w:type="dxa"/>
              <w:right w:w="108" w:type="dxa"/>
              <w:bottom w:w="0" w:type="dxa"/>
            </w:tcMar>
            <w:tcW w:w="2198" w:type="dxa"/>
            <w:vAlign w:val="center"/>
            <w:textDirection w:val="lrTb"/>
            <w:noWrap w:val="false"/>
          </w:tcPr>
          <w:p>
            <w:pPr>
              <w:ind w:left="0" w:right="0" w:firstLine="0"/>
              <w:jc w:val="center"/>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1619"/>
        </w:trPr>
        <w:tc>
          <w:tcPr>
            <w:gridSpan w:val="4"/>
            <w:tcMar>
              <w:left w:w="108" w:type="dxa"/>
              <w:top w:w="0" w:type="dxa"/>
              <w:right w:w="108" w:type="dxa"/>
              <w:bottom w:w="0" w:type="dxa"/>
            </w:tcMar>
            <w:tcW w:w="8724" w:type="dxa"/>
            <w:vAlign w:val="center"/>
            <w:textDirection w:val="lrTb"/>
            <w:noWrap w:val="false"/>
          </w:tcPr>
          <w:p>
            <w:pPr>
              <w:ind w:left="0" w:right="0" w:firstLine="0"/>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备注：本次采购暂定</w:t>
            </w:r>
            <w:r>
              <w:rPr>
                <w:rFonts w:hint="eastAsia" w:ascii="宋体" w:hAnsi="宋体" w:eastAsia="宋体" w:cs="宋体"/>
                <w:color w:val="000000"/>
                <w:sz w:val="21"/>
                <w:szCs w:val="21"/>
                <w:highlight w:val="none"/>
                <w:lang w:eastAsia="zh-CN"/>
              </w:rPr>
              <w:t xml:space="preserve">1500亩</w:t>
            </w:r>
            <w:r>
              <w:rPr>
                <w:rFonts w:ascii="宋体" w:hAnsi="宋体" w:eastAsia="宋体" w:cs="宋体"/>
                <w:color w:val="000000"/>
                <w:sz w:val="21"/>
                <w:szCs w:val="21"/>
                <w:highlight w:val="none"/>
              </w:rPr>
              <w:t xml:space="preserve">（投标报价按此数量计算）,实际数量多与少不得调整</w:t>
            </w:r>
            <w:r>
              <w:rPr>
                <w:rFonts w:hint="eastAsia" w:ascii="宋体" w:hAnsi="宋体" w:eastAsia="宋体" w:cs="宋体"/>
                <w:color w:val="000000"/>
                <w:sz w:val="21"/>
                <w:szCs w:val="21"/>
                <w:highlight w:val="none"/>
                <w:lang w:eastAsia="zh-CN"/>
              </w:rPr>
              <w:t xml:space="preserve">成交</w:t>
            </w:r>
            <w:r>
              <w:rPr>
                <w:rFonts w:ascii="宋体" w:hAnsi="宋体" w:eastAsia="宋体" w:cs="宋体"/>
                <w:color w:val="000000"/>
                <w:sz w:val="21"/>
                <w:szCs w:val="21"/>
                <w:highlight w:val="none"/>
              </w:rPr>
              <w:t xml:space="preserve">单价，最终结算按照入库项目建设规模亩数数量按实进行结算，以自然资源主管部门批准入库实际面积为准。结算总价为实际入库项目建设规模确认量*</w:t>
            </w:r>
            <w:r>
              <w:rPr>
                <w:rFonts w:hint="eastAsia" w:ascii="宋体" w:hAnsi="宋体" w:cs="宋体"/>
                <w:color w:val="000000"/>
                <w:sz w:val="21"/>
                <w:szCs w:val="21"/>
                <w:highlight w:val="none"/>
                <w:lang w:eastAsia="zh-CN"/>
              </w:rPr>
              <w:t xml:space="preserve">成交</w:t>
            </w:r>
            <w:r>
              <w:rPr>
                <w:rFonts w:ascii="宋体" w:hAnsi="宋体" w:eastAsia="宋体" w:cs="宋体"/>
                <w:color w:val="000000"/>
                <w:sz w:val="21"/>
                <w:szCs w:val="21"/>
                <w:highlight w:val="none"/>
              </w:rPr>
              <w:t xml:space="preserve">单价。</w:t>
            </w:r>
            <w:r/>
          </w:p>
        </w:tc>
      </w:tr>
    </w:tbl>
    <w:p>
      <w:pPr>
        <w:numPr>
          <w:ilvl w:val="0"/>
          <w:numId w:val="0"/>
        </w:numPr>
        <w:ind w:right="0"/>
        <w:jc w:val="both"/>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、技术参数响应及偏离表</w:t>
      </w:r>
      <w:r/>
    </w:p>
    <w:p>
      <w:pPr>
        <w:ind w:left="0" w:right="0" w:firstLine="0"/>
        <w:jc w:val="both"/>
        <w:spacing w:before="312"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right="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Mar>
              <w:left w:w="108" w:type="dxa"/>
              <w:top w:w="0" w:type="dxa"/>
              <w:right w:w="108" w:type="dxa"/>
              <w:bottom w:w="0" w:type="dxa"/>
            </w:tcMar>
            <w:tcW w:w="93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65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176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磋商要求</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w:t>
            </w:r>
            <w:r/>
          </w:p>
        </w:tc>
        <w:tc>
          <w:tcPr>
            <w:tcMar>
              <w:left w:w="108" w:type="dxa"/>
              <w:top w:w="0" w:type="dxa"/>
              <w:right w:w="108" w:type="dxa"/>
              <w:bottom w:w="0" w:type="dxa"/>
            </w:tcMar>
            <w:tcW w:w="140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超出、符合或偏离</w:t>
            </w:r>
            <w:r/>
          </w:p>
        </w:tc>
        <w:tc>
          <w:tcPr>
            <w:tcMar>
              <w:left w:w="108" w:type="dxa"/>
              <w:top w:w="0" w:type="dxa"/>
              <w:right w:w="108" w:type="dxa"/>
              <w:bottom w:w="0" w:type="dxa"/>
            </w:tcMar>
            <w:tcW w:w="132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原因或说明</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注：1、按照项目需求详细填列。</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、商务条款响应及偏离表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w:t>
      </w:r>
      <w:r>
        <w:rPr>
          <w:rFonts w:hint="eastAsia" w:ascii="宋体" w:hAnsi="宋体" w:eastAsia="宋体" w:cs="宋体"/>
          <w:color w:val="000000"/>
          <w:sz w:val="22"/>
          <w:highlight w:val="none"/>
        </w:rPr>
        <w:t xml:space="preserve">：</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响应要求</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供应商的承诺或说明</w:t>
            </w:r>
            <w:r/>
          </w:p>
        </w:tc>
      </w:tr>
      <w:tr>
        <w:trPr>
          <w:trHeight w:val="985"/>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服务期限</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1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服务要求</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111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付款方式</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0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服务地点</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4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磋商响应货币</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3"/>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姓名</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性别</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年龄</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证书</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职称</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岗位</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10"/>
        </w:trPr>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（磋商文件中要求提供的资料及评标标准）</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九</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主要标的信息（成交后将公示）</w:t>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t xml:space="preserve">供应商全称：</w:t>
      </w:r>
      <w:r/>
    </w:p>
    <w:p>
      <w:pPr>
        <w:spacing w:line="240" w:lineRule="auto"/>
        <w:rPr>
          <w:rFonts w:hint="eastAsia" w:ascii="宋体" w:hAnsi="宋体" w:eastAsia="宋体" w:cs="宋体"/>
          <w:highlight w:val="none"/>
        </w:rPr>
      </w:pPr>
      <w:r>
        <w:rPr>
          <w:rFonts w:hint="eastAsia" w:ascii="宋体" w:hAnsi="宋体" w:eastAsia="宋体" w:cs="宋体"/>
          <w:highlight w:val="none"/>
        </w:rPr>
      </w:r>
      <w:r/>
    </w:p>
    <w:tbl>
      <w:tblPr>
        <w:tblStyle w:val="794"/>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工程类</w:t>
            </w:r>
            <w:r/>
          </w:p>
        </w:tc>
      </w:tr>
      <w:tr>
        <w:trPr>
          <w:jc w:val="center"/>
          <w:trHeight w:val="3810"/>
        </w:trPr>
        <w:tc>
          <w:tcPr>
            <w:tcW w:w="2836"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施工范围：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施工工期：</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项目经理：</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执业证书信息：</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十、其他...</w:t>
      </w:r>
      <w:r/>
    </w:p>
    <w:p>
      <w:pPr>
        <w:ind w:left="0" w:right="0" w:firstLine="0"/>
        <w:spacing w:before="220" w:after="20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sectPr>
      <w:headerReference w:type="default" r:id="rId11"/>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10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both"/>
      <w:rPr>
        <w:rFonts w:hint="eastAsia" w:eastAsia="宋体"/>
        <w:szCs w:val="22"/>
        <w:lang w:val="en-US" w:eastAsia="zh-CN"/>
      </w:rPr>
    </w:pPr>
    <w:r>
      <w:rPr>
        <w:rFonts w:hint="eastAsia" w:ascii="宋体" w:hAnsi="宋体" w:cs="宋体"/>
        <w:sz w:val="18"/>
        <w:szCs w:val="18"/>
        <w:lang w:eastAsia="zh-CN"/>
      </w:rPr>
      <w:t xml:space="preserve">JSZC-321003-JSZR-C2026-0037</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3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6"/>
  </w:num>
  <w:num w:numId="5">
    <w:abstractNumId w:val="4"/>
  </w:num>
  <w:num w:numId="6">
    <w:abstractNumId w:val="0"/>
  </w:num>
  <w:num w:numId="7">
    <w:abstractNumId w:val="13"/>
  </w:num>
  <w:num w:numId="8">
    <w:abstractNumId w:val="12"/>
  </w:num>
  <w:num w:numId="9">
    <w:abstractNumId w:val="9"/>
  </w:num>
  <w:num w:numId="10">
    <w:abstractNumId w:val="11"/>
  </w:num>
  <w:num w:numId="11">
    <w:abstractNumId w:val="3"/>
  </w:num>
  <w:num w:numId="12">
    <w:abstractNumId w:val="10"/>
  </w:num>
  <w:num w:numId="13">
    <w:abstractNumId w:val="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4">
    <w:name w:val="Heading 1"/>
    <w:basedOn w:val="783"/>
    <w:next w:val="783"/>
    <w:link w:val="886"/>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87"/>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88"/>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89"/>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90"/>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91"/>
    <w:uiPriority w:val="9"/>
    <w:unhideWhenUsed/>
    <w:qFormat/>
    <w:pPr>
      <w:keepLines/>
      <w:keepNext/>
      <w:spacing w:before="320" w:after="200"/>
      <w:outlineLvl w:val="5"/>
    </w:pPr>
    <w:rPr>
      <w:rFonts w:ascii="Arial" w:hAnsi="Arial" w:eastAsia="Arial" w:cs="Arial"/>
      <w:b/>
      <w:bCs/>
      <w:sz w:val="22"/>
    </w:rPr>
  </w:style>
  <w:style w:type="paragraph" w:styleId="790">
    <w:name w:val="Heading 7"/>
    <w:basedOn w:val="783"/>
    <w:next w:val="783"/>
    <w:link w:val="892"/>
    <w:uiPriority w:val="9"/>
    <w:unhideWhenUsed/>
    <w:qFormat/>
    <w:pPr>
      <w:keepLines/>
      <w:keepNext/>
      <w:spacing w:before="320" w:after="200"/>
      <w:outlineLvl w:val="6"/>
    </w:pPr>
    <w:rPr>
      <w:rFonts w:ascii="Arial" w:hAnsi="Arial" w:eastAsia="Arial" w:cs="Arial"/>
      <w:b/>
      <w:bCs/>
      <w:i/>
      <w:iCs/>
      <w:sz w:val="22"/>
    </w:rPr>
  </w:style>
  <w:style w:type="paragraph" w:styleId="791">
    <w:name w:val="Heading 8"/>
    <w:basedOn w:val="783"/>
    <w:next w:val="783"/>
    <w:link w:val="893"/>
    <w:uiPriority w:val="9"/>
    <w:unhideWhenUsed/>
    <w:qFormat/>
    <w:pPr>
      <w:keepLines/>
      <w:keepNext/>
      <w:spacing w:before="320" w:after="200"/>
      <w:outlineLvl w:val="7"/>
    </w:pPr>
    <w:rPr>
      <w:rFonts w:ascii="Arial" w:hAnsi="Arial" w:eastAsia="Arial" w:cs="Arial"/>
      <w:i/>
      <w:iCs/>
      <w:sz w:val="22"/>
    </w:rPr>
  </w:style>
  <w:style w:type="paragraph" w:styleId="792">
    <w:name w:val="Heading 9"/>
    <w:basedOn w:val="783"/>
    <w:next w:val="783"/>
    <w:link w:val="894"/>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table of authorities"/>
    <w:basedOn w:val="783"/>
    <w:next w:val="783"/>
    <w:uiPriority w:val="99"/>
    <w:qFormat/>
    <w:pPr>
      <w:ind w:left="420"/>
    </w:pPr>
    <w:rPr>
      <w:rFonts w:ascii="Arial" w:hAnsi="Arial" w:eastAsia="Arial" w:cs="Arial"/>
      <w:color w:val="000000"/>
      <w:sz w:val="21"/>
      <w:szCs w:val="21"/>
      <w:lang w:eastAsia="en-US"/>
    </w:rPr>
  </w:style>
  <w:style w:type="paragraph" w:styleId="797">
    <w:name w:val="Normal Indent"/>
    <w:basedOn w:val="783"/>
    <w:uiPriority w:val="0"/>
    <w:qFormat/>
    <w:pPr>
      <w:ind w:firstLine="482"/>
      <w:spacing w:line="360" w:lineRule="atLeast"/>
    </w:pPr>
    <w:rPr>
      <w:sz w:val="24"/>
      <w:szCs w:val="20"/>
    </w:rPr>
  </w:style>
  <w:style w:type="paragraph" w:styleId="798">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Body Text"/>
    <w:basedOn w:val="783"/>
    <w:next w:val="783"/>
    <w:uiPriority w:val="0"/>
    <w:qFormat/>
    <w:rPr>
      <w:rFonts w:ascii="楷体_GB2312" w:hAnsi="Arial" w:eastAsia="楷体_GB2312"/>
      <w:sz w:val="28"/>
      <w:szCs w:val="28"/>
    </w:rPr>
  </w:style>
  <w:style w:type="paragraph" w:styleId="800">
    <w:name w:val="Body Text Indent"/>
    <w:basedOn w:val="783"/>
    <w:next w:val="801"/>
    <w:uiPriority w:val="99"/>
    <w:semiHidden/>
    <w:unhideWhenUsed/>
    <w:qFormat/>
    <w:pPr>
      <w:ind w:left="420"/>
      <w:spacing w:after="120"/>
    </w:pPr>
  </w:style>
  <w:style w:type="paragraph" w:styleId="801" w:customStyle="1">
    <w:name w:val="目录 51"/>
    <w:next w:val="783"/>
    <w:uiPriority w:val="0"/>
    <w:qFormat/>
    <w:pPr>
      <w:ind w:left="1275"/>
      <w:jc w:val="both"/>
    </w:pPr>
    <w:rPr>
      <w:rFonts w:hint="default" w:ascii="Times New Roman" w:hAnsi="Times New Roman" w:eastAsia="宋体" w:cs="Times New Roman"/>
      <w:sz w:val="21"/>
      <w:lang w:val="en-US" w:eastAsia="zh-CN" w:bidi="ar-SA"/>
    </w:rPr>
  </w:style>
  <w:style w:type="paragraph" w:styleId="802">
    <w:name w:val="Block Text"/>
    <w:basedOn w:val="783"/>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803">
    <w:name w:val="toc 5"/>
    <w:basedOn w:val="783"/>
    <w:next w:val="783"/>
    <w:uiPriority w:val="39"/>
    <w:unhideWhenUsed/>
    <w:qFormat/>
    <w:pPr>
      <w:ind w:left="1134"/>
      <w:spacing w:after="57"/>
    </w:pPr>
  </w:style>
  <w:style w:type="paragraph" w:styleId="804">
    <w:name w:val="toc 3"/>
    <w:basedOn w:val="783"/>
    <w:next w:val="783"/>
    <w:uiPriority w:val="39"/>
    <w:unhideWhenUsed/>
    <w:qFormat/>
    <w:pPr>
      <w:ind w:left="567"/>
      <w:spacing w:after="57"/>
    </w:pPr>
  </w:style>
  <w:style w:type="paragraph" w:styleId="805">
    <w:name w:val="Plain Text"/>
    <w:basedOn w:val="783"/>
    <w:uiPriority w:val="0"/>
    <w:qFormat/>
    <w:rPr>
      <w:rFonts w:ascii="宋体" w:hAnsi="Courier New"/>
      <w:sz w:val="20"/>
      <w:szCs w:val="21"/>
    </w:rPr>
  </w:style>
  <w:style w:type="paragraph" w:styleId="806">
    <w:name w:val="toc 8"/>
    <w:basedOn w:val="783"/>
    <w:next w:val="783"/>
    <w:uiPriority w:val="39"/>
    <w:unhideWhenUsed/>
    <w:qFormat/>
    <w:pPr>
      <w:ind w:left="1984"/>
      <w:spacing w:after="57"/>
    </w:pPr>
  </w:style>
  <w:style w:type="paragraph" w:styleId="807">
    <w:name w:val="Body Text Indent 2"/>
    <w:basedOn w:val="783"/>
    <w:uiPriority w:val="99"/>
    <w:qFormat/>
    <w:pPr>
      <w:ind w:firstLine="562"/>
      <w:spacing w:line="480" w:lineRule="exact"/>
    </w:pPr>
    <w:rPr>
      <w:rFonts w:ascii="楷体_GB2312" w:eastAsia="楷体_GB2312"/>
      <w:b/>
      <w:bCs/>
      <w:sz w:val="28"/>
      <w:szCs w:val="24"/>
    </w:rPr>
  </w:style>
  <w:style w:type="paragraph" w:styleId="808">
    <w:name w:val="endnote text"/>
    <w:basedOn w:val="783"/>
    <w:link w:val="1032"/>
    <w:uiPriority w:val="99"/>
    <w:semiHidden/>
    <w:unhideWhenUsed/>
    <w:qFormat/>
    <w:rPr>
      <w:sz w:val="20"/>
    </w:rPr>
  </w:style>
  <w:style w:type="paragraph" w:styleId="809">
    <w:name w:val="Balloon Text"/>
    <w:basedOn w:val="783"/>
    <w:link w:val="1091"/>
    <w:uiPriority w:val="99"/>
    <w:semiHidden/>
    <w:unhideWhenUsed/>
    <w:qFormat/>
    <w:rPr>
      <w:sz w:val="18"/>
      <w:szCs w:val="18"/>
    </w:rPr>
  </w:style>
  <w:style w:type="paragraph" w:styleId="810">
    <w:name w:val="Footer"/>
    <w:basedOn w:val="783"/>
    <w:link w:val="905"/>
    <w:uiPriority w:val="99"/>
    <w:unhideWhenUsed/>
    <w:qFormat/>
    <w:pPr>
      <w:tabs>
        <w:tab w:val="center" w:pos="7143" w:leader="none"/>
        <w:tab w:val="right" w:pos="14287" w:leader="none"/>
      </w:tabs>
    </w:pPr>
  </w:style>
  <w:style w:type="paragraph" w:styleId="811">
    <w:name w:val="envelope return"/>
    <w:basedOn w:val="783"/>
    <w:uiPriority w:val="99"/>
    <w:unhideWhenUsed/>
    <w:qFormat/>
    <w:rPr>
      <w:rFonts w:ascii="Arial" w:hAnsi="Arial"/>
    </w:rPr>
  </w:style>
  <w:style w:type="paragraph" w:styleId="812">
    <w:name w:val="Header"/>
    <w:basedOn w:val="783"/>
    <w:link w:val="903"/>
    <w:uiPriority w:val="99"/>
    <w:unhideWhenUsed/>
    <w:qFormat/>
    <w:pPr>
      <w:tabs>
        <w:tab w:val="center" w:pos="7143" w:leader="none"/>
        <w:tab w:val="right" w:pos="14287" w:leader="none"/>
      </w:tabs>
    </w:pPr>
  </w:style>
  <w:style w:type="paragraph" w:styleId="813">
    <w:name w:val="toc 1"/>
    <w:basedOn w:val="783"/>
    <w:next w:val="783"/>
    <w:uiPriority w:val="39"/>
    <w:unhideWhenUsed/>
    <w:qFormat/>
    <w:pPr>
      <w:spacing w:after="57"/>
    </w:pPr>
  </w:style>
  <w:style w:type="paragraph" w:styleId="814">
    <w:name w:val="toc 4"/>
    <w:basedOn w:val="783"/>
    <w:next w:val="783"/>
    <w:uiPriority w:val="39"/>
    <w:unhideWhenUsed/>
    <w:qFormat/>
    <w:pPr>
      <w:ind w:left="850"/>
      <w:spacing w:after="57"/>
    </w:pPr>
  </w:style>
  <w:style w:type="paragraph" w:styleId="815">
    <w:name w:val="Subtitle"/>
    <w:basedOn w:val="783"/>
    <w:next w:val="783"/>
    <w:link w:val="898"/>
    <w:uiPriority w:val="11"/>
    <w:qFormat/>
    <w:pPr>
      <w:spacing w:before="200" w:after="200"/>
    </w:pPr>
    <w:rPr>
      <w:sz w:val="24"/>
      <w:szCs w:val="24"/>
    </w:rPr>
  </w:style>
  <w:style w:type="paragraph" w:styleId="816">
    <w:name w:val="footnote text"/>
    <w:basedOn w:val="783"/>
    <w:link w:val="1031"/>
    <w:uiPriority w:val="99"/>
    <w:semiHidden/>
    <w:unhideWhenUsed/>
    <w:qFormat/>
    <w:pPr>
      <w:spacing w:after="40"/>
    </w:pPr>
    <w:rPr>
      <w:sz w:val="18"/>
    </w:rPr>
  </w:style>
  <w:style w:type="paragraph" w:styleId="817">
    <w:name w:val="toc 6"/>
    <w:basedOn w:val="783"/>
    <w:next w:val="783"/>
    <w:uiPriority w:val="39"/>
    <w:unhideWhenUsed/>
    <w:qFormat/>
    <w:pPr>
      <w:ind w:left="1417"/>
      <w:spacing w:after="57"/>
    </w:pPr>
  </w:style>
  <w:style w:type="paragraph" w:styleId="818">
    <w:name w:val="table of figures"/>
    <w:basedOn w:val="783"/>
    <w:next w:val="783"/>
    <w:uiPriority w:val="99"/>
    <w:unhideWhenUsed/>
    <w:qFormat/>
  </w:style>
  <w:style w:type="paragraph" w:styleId="819">
    <w:name w:val="toc 2"/>
    <w:basedOn w:val="783"/>
    <w:next w:val="783"/>
    <w:uiPriority w:val="39"/>
    <w:unhideWhenUsed/>
    <w:qFormat/>
    <w:pPr>
      <w:ind w:left="283"/>
      <w:spacing w:after="57"/>
    </w:pPr>
  </w:style>
  <w:style w:type="paragraph" w:styleId="820">
    <w:name w:val="toc 9"/>
    <w:basedOn w:val="783"/>
    <w:next w:val="783"/>
    <w:uiPriority w:val="39"/>
    <w:unhideWhenUsed/>
    <w:qFormat/>
    <w:pPr>
      <w:ind w:left="2268"/>
      <w:spacing w:after="57"/>
    </w:pPr>
  </w:style>
  <w:style w:type="paragraph" w:styleId="821">
    <w:name w:val="Body Text 2"/>
    <w:basedOn w:val="783"/>
    <w:uiPriority w:val="0"/>
    <w:qFormat/>
    <w:pPr>
      <w:spacing w:after="120" w:line="480" w:lineRule="auto"/>
    </w:pPr>
  </w:style>
  <w:style w:type="paragraph" w:styleId="822">
    <w:name w:val="Message Header"/>
    <w:basedOn w:val="78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23">
    <w:name w:val="Normal (Web)"/>
    <w:basedOn w:val="783"/>
    <w:uiPriority w:val="0"/>
    <w:qFormat/>
    <w:pPr>
      <w:jc w:val="left"/>
      <w:spacing w:before="100" w:beforeAutospacing="1" w:after="100" w:afterAutospacing="1"/>
      <w:widowControl/>
    </w:pPr>
    <w:rPr>
      <w:rFonts w:ascii="宋体" w:hAnsi="宋体" w:eastAsia="宋体" w:cs="Times New Roman"/>
      <w:sz w:val="24"/>
      <w:szCs w:val="24"/>
    </w:rPr>
  </w:style>
  <w:style w:type="paragraph" w:styleId="824">
    <w:name w:val="Title"/>
    <w:basedOn w:val="783"/>
    <w:next w:val="783"/>
    <w:link w:val="897"/>
    <w:uiPriority w:val="10"/>
    <w:qFormat/>
    <w:pPr>
      <w:contextualSpacing/>
      <w:spacing w:before="300" w:after="200"/>
    </w:pPr>
    <w:rPr>
      <w:sz w:val="48"/>
      <w:szCs w:val="48"/>
    </w:rPr>
  </w:style>
  <w:style w:type="paragraph" w:styleId="825">
    <w:name w:val="Body Text First Indent 2"/>
    <w:basedOn w:val="800"/>
    <w:uiPriority w:val="99"/>
    <w:semiHidden/>
    <w:unhideWhenUsed/>
    <w:qFormat/>
    <w:pPr>
      <w:ind w:firstLine="420"/>
    </w:p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正文文本缩进11"/>
    <w:basedOn w:val="783"/>
    <w:next w:val="783"/>
    <w:uiPriority w:val="99"/>
    <w:unhideWhenUsed/>
    <w:qFormat/>
    <w:pPr>
      <w:ind w:firstLine="540"/>
      <w:spacing w:line="400" w:lineRule="exact"/>
    </w:pPr>
    <w:rPr>
      <w:sz w:val="24"/>
    </w:rPr>
  </w:style>
  <w:style w:type="paragraph" w:styleId="831" w:customStyle="1">
    <w:name w:val="正文1"/>
    <w:basedOn w:val="783"/>
    <w:next w:val="832"/>
    <w:uiPriority w:val="0"/>
    <w:qFormat/>
    <w:pPr>
      <w:jc w:val="left"/>
      <w:spacing w:line="360" w:lineRule="atLeast"/>
    </w:pPr>
    <w:rPr>
      <w:rFonts w:ascii="宋体" w:hAnsi="Calibri"/>
      <w:sz w:val="24"/>
      <w:szCs w:val="20"/>
    </w:rPr>
  </w:style>
  <w:style w:type="paragraph" w:styleId="832" w:customStyle="1">
    <w:name w:val="正文文本1"/>
    <w:basedOn w:val="831"/>
    <w:next w:val="833"/>
    <w:uiPriority w:val="0"/>
    <w:qFormat/>
    <w:pPr>
      <w:spacing w:after="120"/>
    </w:pPr>
    <w:rPr>
      <w:rFonts w:ascii="Times New Roman" w:hAnsi="Times New Roman"/>
      <w:lang w:eastAsia="en-US"/>
    </w:rPr>
  </w:style>
  <w:style w:type="paragraph" w:styleId="833" w:customStyle="1">
    <w:name w:val="一级条标题"/>
    <w:basedOn w:val="834"/>
    <w:next w:val="83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34" w:customStyle="1">
    <w:name w:val="章标题"/>
    <w:next w:val="8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5" w:customStyle="1">
    <w:name w:val="正文11"/>
    <w:next w:val="8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customStyle="1">
    <w:name w:val="段"/>
    <w:basedOn w:val="831"/>
    <w:next w:val="835"/>
    <w:uiPriority w:val="0"/>
    <w:qFormat/>
    <w:pPr>
      <w:ind w:firstLine="200"/>
      <w:widowControl/>
    </w:pPr>
    <w:rPr>
      <w:rFonts w:hAnsi="Times New Roman"/>
      <w:sz w:val="20"/>
    </w:rPr>
  </w:style>
  <w:style w:type="paragraph" w:styleId="837" w:customStyle="1">
    <w:name w:val="正文文本11"/>
    <w:basedOn w:val="783"/>
    <w:uiPriority w:val="0"/>
    <w:qFormat/>
    <w:rPr>
      <w:rFonts w:ascii="楷体_GB2312" w:hAnsi="Arial" w:eastAsia="楷体_GB2312"/>
      <w:sz w:val="28"/>
      <w:szCs w:val="28"/>
    </w:rPr>
  </w:style>
  <w:style w:type="paragraph" w:styleId="838" w:customStyle="1">
    <w:name w:val="ListBullet21"/>
    <w:basedOn w:val="783"/>
    <w:uiPriority w:val="0"/>
    <w:qFormat/>
    <w:pPr>
      <w:numPr>
        <w:ilvl w:val="0"/>
        <w:numId w:val="1"/>
      </w:numPr>
    </w:pPr>
  </w:style>
  <w:style w:type="paragraph" w:styleId="839" w:customStyle="1">
    <w:name w:val="文本块1"/>
    <w:basedOn w:val="783"/>
    <w:uiPriority w:val="99"/>
    <w:unhideWhenUsed/>
    <w:qFormat/>
    <w:pPr>
      <w:ind w:left="1440" w:right="1440"/>
      <w:spacing w:after="120"/>
    </w:p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ListBullet2"/>
    <w:basedOn w:val="783"/>
    <w:uiPriority w:val="0"/>
    <w:qFormat/>
    <w:pPr>
      <w:numPr>
        <w:ilvl w:val="0"/>
        <w:numId w:val="2"/>
      </w:numPr>
    </w:pPr>
  </w:style>
  <w:style w:type="paragraph" w:styleId="842" w:customStyle="1">
    <w:name w:val="正文（缩进）"/>
    <w:basedOn w:val="783"/>
    <w:next w:val="783"/>
    <w:uiPriority w:val="0"/>
    <w:qFormat/>
    <w:pPr>
      <w:ind w:firstLine="480"/>
    </w:pPr>
  </w:style>
  <w:style w:type="paragraph" w:styleId="843" w:customStyle="1">
    <w:name w:val="Char Char Char Char Char Char Char Char Char"/>
    <w:basedOn w:val="783"/>
    <w:next w:val="844"/>
    <w:uiPriority w:val="99"/>
    <w:qFormat/>
    <w:pPr>
      <w:ind w:left="360" w:firstLine="5784"/>
    </w:pPr>
  </w:style>
  <w:style w:type="paragraph" w:styleId="844" w:customStyle="1">
    <w:name w:val="正文文本 21"/>
    <w:basedOn w:val="783"/>
    <w:next w:val="845"/>
    <w:uiPriority w:val="99"/>
    <w:qFormat/>
    <w:pPr>
      <w:ind w:left="720" w:firstLine="5680"/>
      <w:widowControl/>
    </w:pPr>
  </w:style>
  <w:style w:type="paragraph" w:styleId="845" w:customStyle="1">
    <w:name w:val="默认段落字体 Para Char Char Char Char Char Char Char"/>
    <w:basedOn w:val="783"/>
    <w:next w:val="846"/>
    <w:uiPriority w:val="99"/>
    <w:qFormat/>
    <w:pPr>
      <w:ind w:firstLine="200"/>
    </w:pPr>
    <w:rPr>
      <w:rFonts w:cs="Arial"/>
    </w:rPr>
  </w:style>
  <w:style w:type="paragraph" w:styleId="846" w:customStyle="1">
    <w:name w:val="样式 首行缩进:  2 字符"/>
    <w:basedOn w:val="783"/>
    <w:next w:val="847"/>
    <w:uiPriority w:val="99"/>
    <w:qFormat/>
    <w:pPr>
      <w:ind w:left="480" w:firstLine="5856"/>
      <w:spacing w:line="360" w:lineRule="auto"/>
    </w:pPr>
  </w:style>
  <w:style w:type="paragraph" w:styleId="847" w:customStyle="1">
    <w:name w:val="样式 段后: 0.25 行"/>
    <w:basedOn w:val="783"/>
    <w:next w:val="848"/>
    <w:uiPriority w:val="99"/>
    <w:qFormat/>
    <w:pPr>
      <w:ind w:left="420" w:firstLine="5796"/>
      <w:spacing w:line="300" w:lineRule="auto"/>
      <w:widowControl/>
    </w:pPr>
  </w:style>
  <w:style w:type="paragraph" w:styleId="848" w:customStyle="1">
    <w:name w:val="正文 New New New New New New New New New New New New New New"/>
    <w:next w:val="820"/>
    <w:uiPriority w:val="99"/>
    <w:qFormat/>
    <w:pPr>
      <w:ind w:firstLine="2048"/>
      <w:jc w:val="both"/>
      <w:widowControl w:val="off"/>
    </w:pPr>
    <w:rPr>
      <w:rFonts w:hint="default" w:ascii="Calibri" w:hAnsi="Calibri" w:eastAsia="宋体" w:cs="Times New Roman"/>
      <w:lang w:val="en-US" w:eastAsia="zh-CN" w:bidi="ar-SA"/>
    </w:rPr>
  </w:style>
  <w:style w:type="character" w:styleId="849" w:customStyle="1">
    <w:name w:val="Heading 1 Char"/>
    <w:basedOn w:val="793"/>
    <w:uiPriority w:val="9"/>
    <w:qFormat/>
    <w:rPr>
      <w:rFonts w:ascii="Arial" w:hAnsi="Arial" w:eastAsia="Arial" w:cs="Arial"/>
      <w:sz w:val="40"/>
      <w:szCs w:val="40"/>
    </w:rPr>
  </w:style>
  <w:style w:type="character" w:styleId="850" w:customStyle="1">
    <w:name w:val="Heading 2 Char"/>
    <w:basedOn w:val="793"/>
    <w:uiPriority w:val="9"/>
    <w:qFormat/>
    <w:rPr>
      <w:rFonts w:ascii="Arial" w:hAnsi="Arial" w:eastAsia="Arial" w:cs="Arial"/>
      <w:sz w:val="34"/>
    </w:rPr>
  </w:style>
  <w:style w:type="character" w:styleId="851" w:customStyle="1">
    <w:name w:val="Heading 3 Char"/>
    <w:basedOn w:val="793"/>
    <w:uiPriority w:val="9"/>
    <w:qFormat/>
    <w:rPr>
      <w:rFonts w:ascii="Arial" w:hAnsi="Arial" w:eastAsia="Arial" w:cs="Arial"/>
      <w:sz w:val="30"/>
      <w:szCs w:val="30"/>
    </w:rPr>
  </w:style>
  <w:style w:type="character" w:styleId="852" w:customStyle="1">
    <w:name w:val="Heading 4 Char"/>
    <w:basedOn w:val="793"/>
    <w:uiPriority w:val="9"/>
    <w:qFormat/>
    <w:rPr>
      <w:rFonts w:ascii="Arial" w:hAnsi="Arial" w:eastAsia="Arial" w:cs="Arial"/>
      <w:b/>
      <w:bCs/>
      <w:sz w:val="26"/>
      <w:szCs w:val="26"/>
    </w:rPr>
  </w:style>
  <w:style w:type="character" w:styleId="853" w:customStyle="1">
    <w:name w:val="Heading 5 Char"/>
    <w:basedOn w:val="793"/>
    <w:uiPriority w:val="9"/>
    <w:qFormat/>
    <w:rPr>
      <w:rFonts w:ascii="Arial" w:hAnsi="Arial" w:eastAsia="Arial" w:cs="Arial"/>
      <w:b/>
      <w:bCs/>
      <w:sz w:val="24"/>
      <w:szCs w:val="24"/>
    </w:rPr>
  </w:style>
  <w:style w:type="character" w:styleId="854" w:customStyle="1">
    <w:name w:val="Heading 6 Char"/>
    <w:basedOn w:val="793"/>
    <w:uiPriority w:val="9"/>
    <w:qFormat/>
    <w:rPr>
      <w:rFonts w:ascii="Arial" w:hAnsi="Arial" w:eastAsia="Arial" w:cs="Arial"/>
      <w:b/>
      <w:bCs/>
      <w:sz w:val="22"/>
      <w:szCs w:val="22"/>
    </w:rPr>
  </w:style>
  <w:style w:type="character" w:styleId="855" w:customStyle="1">
    <w:name w:val="Heading 7 Char"/>
    <w:basedOn w:val="793"/>
    <w:uiPriority w:val="9"/>
    <w:qFormat/>
    <w:rPr>
      <w:rFonts w:ascii="Arial" w:hAnsi="Arial" w:eastAsia="Arial" w:cs="Arial"/>
      <w:b/>
      <w:bCs/>
      <w:i/>
      <w:iCs/>
      <w:sz w:val="22"/>
      <w:szCs w:val="22"/>
    </w:rPr>
  </w:style>
  <w:style w:type="character" w:styleId="856" w:customStyle="1">
    <w:name w:val="Heading 8 Char"/>
    <w:basedOn w:val="793"/>
    <w:uiPriority w:val="9"/>
    <w:qFormat/>
    <w:rPr>
      <w:rFonts w:ascii="Arial" w:hAnsi="Arial" w:eastAsia="Arial" w:cs="Arial"/>
      <w:i/>
      <w:iCs/>
      <w:sz w:val="22"/>
      <w:szCs w:val="22"/>
    </w:rPr>
  </w:style>
  <w:style w:type="character" w:styleId="857" w:customStyle="1">
    <w:name w:val="Heading 9 Char"/>
    <w:basedOn w:val="793"/>
    <w:uiPriority w:val="9"/>
    <w:qFormat/>
    <w:rPr>
      <w:rFonts w:ascii="Arial" w:hAnsi="Arial" w:eastAsia="Arial" w:cs="Arial"/>
      <w:i/>
      <w:iCs/>
      <w:sz w:val="21"/>
      <w:szCs w:val="21"/>
    </w:rPr>
  </w:style>
  <w:style w:type="character" w:styleId="858" w:customStyle="1">
    <w:name w:val="Title Char"/>
    <w:basedOn w:val="793"/>
    <w:uiPriority w:val="10"/>
    <w:qFormat/>
    <w:rPr>
      <w:sz w:val="48"/>
      <w:szCs w:val="48"/>
    </w:rPr>
  </w:style>
  <w:style w:type="character" w:styleId="859" w:customStyle="1">
    <w:name w:val="Subtitle Char"/>
    <w:basedOn w:val="793"/>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93"/>
    <w:uiPriority w:val="99"/>
    <w:qFormat/>
  </w:style>
  <w:style w:type="character" w:styleId="863" w:customStyle="1">
    <w:name w:val="Caption Char"/>
    <w:uiPriority w:val="99"/>
    <w:qFormat/>
  </w:style>
  <w:style w:type="table" w:styleId="864"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character" w:styleId="886" w:customStyle="1">
    <w:name w:val="标题 1 Char1"/>
    <w:link w:val="784"/>
    <w:uiPriority w:val="9"/>
    <w:qFormat/>
    <w:rPr>
      <w:rFonts w:ascii="Arial" w:hAnsi="Arial" w:eastAsia="Arial" w:cs="Arial"/>
      <w:sz w:val="40"/>
      <w:szCs w:val="40"/>
    </w:rPr>
  </w:style>
  <w:style w:type="character" w:styleId="887" w:customStyle="1">
    <w:name w:val="标题 2 Char1"/>
    <w:link w:val="785"/>
    <w:uiPriority w:val="9"/>
    <w:qFormat/>
    <w:rPr>
      <w:rFonts w:ascii="Arial" w:hAnsi="Arial" w:eastAsia="Arial" w:cs="Arial"/>
      <w:sz w:val="34"/>
    </w:rPr>
  </w:style>
  <w:style w:type="character" w:styleId="888" w:customStyle="1">
    <w:name w:val="标题 3 Char1"/>
    <w:link w:val="786"/>
    <w:uiPriority w:val="9"/>
    <w:qFormat/>
    <w:rPr>
      <w:rFonts w:ascii="Arial" w:hAnsi="Arial" w:eastAsia="Arial" w:cs="Arial"/>
      <w:sz w:val="30"/>
      <w:szCs w:val="30"/>
    </w:rPr>
  </w:style>
  <w:style w:type="character" w:styleId="889" w:customStyle="1">
    <w:name w:val="标题 4 Char1"/>
    <w:link w:val="787"/>
    <w:uiPriority w:val="9"/>
    <w:qFormat/>
    <w:rPr>
      <w:rFonts w:ascii="Arial" w:hAnsi="Arial" w:eastAsia="Arial" w:cs="Arial"/>
      <w:b/>
      <w:bCs/>
      <w:sz w:val="26"/>
      <w:szCs w:val="26"/>
    </w:rPr>
  </w:style>
  <w:style w:type="character" w:styleId="890" w:customStyle="1">
    <w:name w:val="标题 5 Char"/>
    <w:link w:val="788"/>
    <w:uiPriority w:val="9"/>
    <w:qFormat/>
    <w:rPr>
      <w:rFonts w:ascii="Arial" w:hAnsi="Arial" w:eastAsia="Arial" w:cs="Arial"/>
      <w:b/>
      <w:bCs/>
      <w:sz w:val="24"/>
      <w:szCs w:val="24"/>
    </w:rPr>
  </w:style>
  <w:style w:type="character" w:styleId="891" w:customStyle="1">
    <w:name w:val="标题 6 Char"/>
    <w:link w:val="789"/>
    <w:uiPriority w:val="9"/>
    <w:qFormat/>
    <w:rPr>
      <w:rFonts w:ascii="Arial" w:hAnsi="Arial" w:eastAsia="Arial" w:cs="Arial"/>
      <w:b/>
      <w:bCs/>
      <w:sz w:val="22"/>
      <w:szCs w:val="22"/>
    </w:rPr>
  </w:style>
  <w:style w:type="character" w:styleId="892" w:customStyle="1">
    <w:name w:val="标题 7 Char"/>
    <w:link w:val="790"/>
    <w:uiPriority w:val="9"/>
    <w:qFormat/>
    <w:rPr>
      <w:rFonts w:ascii="Arial" w:hAnsi="Arial" w:eastAsia="Arial" w:cs="Arial"/>
      <w:b/>
      <w:bCs/>
      <w:i/>
      <w:iCs/>
      <w:sz w:val="22"/>
      <w:szCs w:val="22"/>
    </w:rPr>
  </w:style>
  <w:style w:type="character" w:styleId="893" w:customStyle="1">
    <w:name w:val="标题 8 Char"/>
    <w:link w:val="791"/>
    <w:uiPriority w:val="9"/>
    <w:qFormat/>
    <w:rPr>
      <w:rFonts w:ascii="Arial" w:hAnsi="Arial" w:eastAsia="Arial" w:cs="Arial"/>
      <w:i/>
      <w:iCs/>
      <w:sz w:val="22"/>
      <w:szCs w:val="22"/>
    </w:rPr>
  </w:style>
  <w:style w:type="character" w:styleId="894" w:customStyle="1">
    <w:name w:val="标题 9 Char"/>
    <w:link w:val="792"/>
    <w:uiPriority w:val="9"/>
    <w:qFormat/>
    <w:rPr>
      <w:rFonts w:ascii="Arial" w:hAnsi="Arial" w:eastAsia="Arial" w:cs="Arial"/>
      <w:i/>
      <w:iCs/>
      <w:sz w:val="21"/>
      <w:szCs w:val="21"/>
    </w:rPr>
  </w:style>
  <w:style w:type="paragraph" w:styleId="895">
    <w:name w:val="List Paragraph"/>
    <w:basedOn w:val="783"/>
    <w:uiPriority w:val="34"/>
    <w:qFormat/>
    <w:pPr>
      <w:contextualSpacing/>
      <w:ind w:left="720"/>
    </w:pPr>
  </w:style>
  <w:style w:type="paragraph" w:styleId="896">
    <w:name w:val="No Spacing"/>
    <w:uiPriority w:val="1"/>
    <w:qFormat/>
    <w:rPr>
      <w:rFonts w:hint="default" w:ascii="Times New Roman" w:hAnsi="Times New Roman" w:eastAsia="宋体" w:cs="Times New Roman"/>
      <w:lang w:val="en-US" w:eastAsia="zh-CN" w:bidi="ar-SA"/>
    </w:rPr>
  </w:style>
  <w:style w:type="character" w:styleId="897" w:customStyle="1">
    <w:name w:val="标题 Char"/>
    <w:link w:val="824"/>
    <w:uiPriority w:val="10"/>
    <w:qFormat/>
    <w:rPr>
      <w:sz w:val="48"/>
      <w:szCs w:val="48"/>
    </w:rPr>
  </w:style>
  <w:style w:type="character" w:styleId="898" w:customStyle="1">
    <w:name w:val="副标题 Char"/>
    <w:link w:val="815"/>
    <w:uiPriority w:val="11"/>
    <w:qFormat/>
    <w:rPr>
      <w:sz w:val="24"/>
      <w:szCs w:val="24"/>
    </w:rPr>
  </w:style>
  <w:style w:type="paragraph" w:styleId="899">
    <w:name w:val="Quote"/>
    <w:basedOn w:val="783"/>
    <w:next w:val="783"/>
    <w:link w:val="900"/>
    <w:uiPriority w:val="29"/>
    <w:qFormat/>
    <w:pPr>
      <w:ind w:left="720" w:right="720"/>
    </w:pPr>
    <w:rPr>
      <w:i/>
    </w:rPr>
  </w:style>
  <w:style w:type="character" w:styleId="900" w:customStyle="1">
    <w:name w:val="引用 Char"/>
    <w:link w:val="899"/>
    <w:uiPriority w:val="29"/>
    <w:qFormat/>
    <w:rPr>
      <w:i/>
    </w:rPr>
  </w:style>
  <w:style w:type="paragraph" w:styleId="901">
    <w:name w:val="Intense Quote"/>
    <w:basedOn w:val="783"/>
    <w:next w:val="783"/>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
    <w:link w:val="901"/>
    <w:uiPriority w:val="30"/>
    <w:qFormat/>
    <w:rPr>
      <w:i/>
    </w:rPr>
  </w:style>
  <w:style w:type="character" w:styleId="903" w:customStyle="1">
    <w:name w:val="页眉 Char2"/>
    <w:link w:val="812"/>
    <w:uiPriority w:val="99"/>
    <w:qFormat/>
  </w:style>
  <w:style w:type="character" w:styleId="904" w:customStyle="1">
    <w:name w:val="Footer Char"/>
    <w:uiPriority w:val="99"/>
    <w:qFormat/>
  </w:style>
  <w:style w:type="character" w:styleId="905" w:customStyle="1">
    <w:name w:val="页脚 Char2"/>
    <w:link w:val="810"/>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Char"/>
    <w:link w:val="816"/>
    <w:uiPriority w:val="99"/>
    <w:qFormat/>
    <w:rPr>
      <w:sz w:val="18"/>
    </w:rPr>
  </w:style>
  <w:style w:type="character" w:styleId="1032" w:customStyle="1">
    <w:name w:val="尾注文本 Char"/>
    <w:link w:val="808"/>
    <w:uiPriority w:val="99"/>
    <w:qFormat/>
    <w:rPr>
      <w:sz w:val="20"/>
    </w:rPr>
  </w:style>
  <w:style w:type="paragraph" w:styleId="1033" w:customStyle="1">
    <w:name w:val="TOC 标题11"/>
    <w:uiPriority w:val="39"/>
    <w:unhideWhenUsed/>
    <w:qFormat/>
    <w:rPr>
      <w:rFonts w:hint="default" w:ascii="Times New Roman" w:hAnsi="Times New Roman" w:eastAsia="宋体" w:cs="Times New Roman"/>
      <w:lang w:val="en-US" w:eastAsia="zh-CN" w:bidi="ar-SA"/>
    </w:rPr>
  </w:style>
  <w:style w:type="paragraph" w:styleId="1034" w:customStyle="1">
    <w:name w:val="标题 11"/>
    <w:basedOn w:val="783"/>
    <w:next w:val="783"/>
    <w:link w:val="1041"/>
    <w:uiPriority w:val="0"/>
    <w:qFormat/>
    <w:pPr>
      <w:keepLines/>
      <w:keepNext/>
      <w:spacing w:before="340" w:after="330" w:line="578" w:lineRule="auto"/>
      <w:outlineLvl w:val="0"/>
    </w:pPr>
    <w:rPr>
      <w:rFonts w:ascii="Calibri" w:hAnsi="Calibri"/>
      <w:b/>
      <w:bCs/>
      <w:sz w:val="44"/>
      <w:szCs w:val="44"/>
    </w:rPr>
  </w:style>
  <w:style w:type="paragraph" w:styleId="1035" w:customStyle="1">
    <w:name w:val="标题 21"/>
    <w:basedOn w:val="783"/>
    <w:next w:val="1036"/>
    <w:link w:val="1042"/>
    <w:uiPriority w:val="0"/>
    <w:qFormat/>
    <w:pPr>
      <w:keepLines/>
      <w:keepNext/>
      <w:spacing w:before="260" w:after="260" w:line="416" w:lineRule="auto"/>
      <w:outlineLvl w:val="1"/>
    </w:pPr>
    <w:rPr>
      <w:rFonts w:ascii="Cambria" w:hAnsi="Cambria"/>
      <w:b/>
      <w:bCs/>
      <w:sz w:val="32"/>
      <w:szCs w:val="32"/>
    </w:rPr>
  </w:style>
  <w:style w:type="paragraph" w:styleId="1036" w:customStyle="1">
    <w:name w:val="正文缩进1"/>
    <w:basedOn w:val="783"/>
    <w:uiPriority w:val="0"/>
    <w:qFormat/>
    <w:pPr>
      <w:ind w:firstLine="420"/>
    </w:pPr>
    <w:rPr>
      <w:rFonts w:ascii="Calibri" w:hAnsi="Calibri"/>
    </w:rPr>
  </w:style>
  <w:style w:type="paragraph" w:styleId="1037" w:customStyle="1">
    <w:name w:val="标题 31"/>
    <w:basedOn w:val="783"/>
    <w:next w:val="783"/>
    <w:link w:val="1043"/>
    <w:uiPriority w:val="0"/>
    <w:qFormat/>
    <w:pPr>
      <w:keepLines/>
      <w:keepNext/>
      <w:spacing w:before="260" w:after="260" w:line="416" w:lineRule="auto"/>
      <w:outlineLvl w:val="2"/>
    </w:pPr>
    <w:rPr>
      <w:rFonts w:ascii="Calibri" w:hAnsi="Calibri"/>
      <w:b/>
      <w:bCs/>
      <w:sz w:val="32"/>
      <w:szCs w:val="32"/>
    </w:rPr>
  </w:style>
  <w:style w:type="paragraph" w:styleId="1038" w:customStyle="1">
    <w:name w:val="标题 41"/>
    <w:basedOn w:val="783"/>
    <w:next w:val="1036"/>
    <w:link w:val="1044"/>
    <w:uiPriority w:val="0"/>
    <w:qFormat/>
    <w:pPr>
      <w:spacing w:before="280" w:after="290" w:line="377" w:lineRule="auto"/>
      <w:outlineLvl w:val="3"/>
    </w:pPr>
    <w:rPr>
      <w:rFonts w:ascii="Arial" w:hAnsi="Arial" w:eastAsia="黑体"/>
      <w:b/>
      <w:bCs/>
      <w:sz w:val="28"/>
      <w:szCs w:val="28"/>
    </w:rPr>
  </w:style>
  <w:style w:type="character" w:styleId="1039" w:customStyle="1">
    <w:name w:val="默认段落字体1"/>
    <w:uiPriority w:val="0"/>
    <w:qFormat/>
    <w:rPr>
      <w:rFonts w:ascii="Times New Roman" w:hAnsi="Times New Roman" w:eastAsia="宋体" w:cs="Times New Roman"/>
    </w:rPr>
  </w:style>
  <w:style w:type="table" w:styleId="1040" w:customStyle="1">
    <w:name w:val="普通表格1"/>
    <w:uiPriority w:val="0"/>
    <w:qFormat/>
    <w:tblPr>
      <w:tblCellMar>
        <w:left w:w="0" w:type="dxa"/>
        <w:top w:w="0" w:type="dxa"/>
        <w:right w:w="0" w:type="dxa"/>
        <w:bottom w:w="0" w:type="dxa"/>
      </w:tblCellMar>
    </w:tblPr>
  </w:style>
  <w:style w:type="character" w:styleId="1041" w:customStyle="1">
    <w:name w:val="标题 1 Char"/>
    <w:link w:val="1034"/>
    <w:uiPriority w:val="0"/>
    <w:qFormat/>
    <w:rPr>
      <w:rFonts w:ascii="Calibri" w:hAnsi="Calibri" w:eastAsia="宋体" w:cs="Times New Roman"/>
      <w:b/>
      <w:bCs/>
      <w:sz w:val="44"/>
      <w:szCs w:val="44"/>
    </w:rPr>
  </w:style>
  <w:style w:type="character" w:styleId="1042" w:customStyle="1">
    <w:name w:val="标题 2 Char"/>
    <w:link w:val="1035"/>
    <w:uiPriority w:val="0"/>
    <w:qFormat/>
    <w:rPr>
      <w:rFonts w:ascii="Cambria" w:hAnsi="Cambria" w:eastAsia="宋体" w:cs="Times New Roman"/>
      <w:b/>
      <w:bCs/>
      <w:sz w:val="32"/>
      <w:szCs w:val="32"/>
    </w:rPr>
  </w:style>
  <w:style w:type="character" w:styleId="1043" w:customStyle="1">
    <w:name w:val="标题 3 Char"/>
    <w:link w:val="1037"/>
    <w:uiPriority w:val="0"/>
    <w:qFormat/>
    <w:rPr>
      <w:rFonts w:ascii="Calibri" w:hAnsi="Calibri" w:eastAsia="宋体" w:cs="Times New Roman"/>
      <w:b/>
      <w:bCs/>
      <w:sz w:val="32"/>
      <w:szCs w:val="32"/>
    </w:rPr>
  </w:style>
  <w:style w:type="character" w:styleId="1044" w:customStyle="1">
    <w:name w:val="标题 4 Char"/>
    <w:link w:val="1038"/>
    <w:uiPriority w:val="0"/>
    <w:qFormat/>
    <w:rPr>
      <w:rFonts w:ascii="Arial" w:hAnsi="Arial" w:eastAsia="黑体" w:cs="Times New Roman"/>
      <w:b/>
      <w:bCs/>
      <w:sz w:val="28"/>
      <w:szCs w:val="28"/>
    </w:rPr>
  </w:style>
  <w:style w:type="paragraph" w:styleId="1045" w:customStyle="1">
    <w:name w:val="文档结构图1"/>
    <w:basedOn w:val="783"/>
    <w:link w:val="1046"/>
    <w:uiPriority w:val="0"/>
    <w:qFormat/>
    <w:rPr>
      <w:rFonts w:ascii="宋体"/>
      <w:sz w:val="18"/>
      <w:szCs w:val="18"/>
    </w:rPr>
  </w:style>
  <w:style w:type="character" w:styleId="1046" w:customStyle="1">
    <w:name w:val="文档结构图 Char"/>
    <w:link w:val="1045"/>
    <w:uiPriority w:val="0"/>
    <w:qFormat/>
    <w:rPr>
      <w:rFonts w:ascii="宋体" w:hAnsi="Times New Roman" w:eastAsia="宋体" w:cs="Times New Roman"/>
      <w:sz w:val="18"/>
      <w:szCs w:val="18"/>
    </w:rPr>
  </w:style>
  <w:style w:type="paragraph" w:styleId="1047" w:customStyle="1">
    <w:name w:val="引文目录标题1"/>
    <w:basedOn w:val="783"/>
    <w:next w:val="783"/>
    <w:uiPriority w:val="0"/>
    <w:qFormat/>
    <w:pPr>
      <w:spacing w:before="120"/>
    </w:pPr>
    <w:rPr>
      <w:rFonts w:ascii="Cambria" w:hAnsi="Cambria"/>
      <w:sz w:val="24"/>
    </w:rPr>
  </w:style>
  <w:style w:type="paragraph" w:styleId="1048" w:customStyle="1">
    <w:name w:val="批注文字1"/>
    <w:basedOn w:val="783"/>
    <w:uiPriority w:val="0"/>
    <w:qFormat/>
    <w:pPr>
      <w:jc w:val="left"/>
    </w:pPr>
  </w:style>
  <w:style w:type="paragraph" w:styleId="1049" w:customStyle="1">
    <w:name w:val="正文文本缩进1"/>
    <w:basedOn w:val="783"/>
    <w:next w:val="835"/>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50" w:customStyle="1">
    <w:name w:val="正文首行缩进 21"/>
    <w:basedOn w:val="1049"/>
    <w:next w:val="835"/>
    <w:uiPriority w:val="0"/>
    <w:qFormat/>
    <w:pPr>
      <w:ind w:firstLine="420"/>
    </w:pPr>
    <w:rPr>
      <w:rFonts w:ascii="Times New Roman" w:cs="宋体"/>
      <w:szCs w:val="21"/>
    </w:rPr>
  </w:style>
  <w:style w:type="paragraph" w:styleId="1051" w:customStyle="1">
    <w:name w:val="寄信人地址1"/>
    <w:basedOn w:val="783"/>
    <w:uiPriority w:val="0"/>
    <w:qFormat/>
    <w:rPr>
      <w:rFonts w:ascii="Arial" w:hAnsi="Arial"/>
    </w:rPr>
  </w:style>
  <w:style w:type="paragraph" w:styleId="1052" w:customStyle="1">
    <w:name w:val="纯文本1"/>
    <w:basedOn w:val="783"/>
    <w:link w:val="1053"/>
    <w:uiPriority w:val="0"/>
    <w:qFormat/>
    <w:rPr>
      <w:rFonts w:ascii="宋体" w:hAnsi="Courier New"/>
      <w:sz w:val="20"/>
      <w:szCs w:val="20"/>
    </w:rPr>
  </w:style>
  <w:style w:type="character" w:styleId="1053" w:customStyle="1">
    <w:name w:val="纯文本 Char"/>
    <w:link w:val="1052"/>
    <w:uiPriority w:val="0"/>
    <w:qFormat/>
    <w:rPr>
      <w:rFonts w:ascii="宋体" w:hAnsi="Courier New" w:eastAsia="宋体" w:cs="Times New Roman"/>
    </w:rPr>
  </w:style>
  <w:style w:type="paragraph" w:styleId="1054" w:customStyle="1">
    <w:name w:val="日期1"/>
    <w:basedOn w:val="783"/>
    <w:next w:val="783"/>
    <w:link w:val="1055"/>
    <w:uiPriority w:val="0"/>
    <w:qFormat/>
    <w:rPr>
      <w:sz w:val="24"/>
      <w:szCs w:val="20"/>
    </w:rPr>
  </w:style>
  <w:style w:type="character" w:styleId="1055" w:customStyle="1">
    <w:name w:val="日期 Char"/>
    <w:link w:val="1054"/>
    <w:uiPriority w:val="0"/>
    <w:qFormat/>
    <w:rPr>
      <w:rFonts w:ascii="Times New Roman" w:hAnsi="Times New Roman" w:eastAsia="宋体" w:cs="Times New Roman"/>
      <w:sz w:val="24"/>
    </w:rPr>
  </w:style>
  <w:style w:type="paragraph" w:styleId="1056" w:customStyle="1">
    <w:name w:val="批注框文本1"/>
    <w:basedOn w:val="783"/>
    <w:link w:val="1057"/>
    <w:uiPriority w:val="0"/>
    <w:qFormat/>
    <w:rPr>
      <w:sz w:val="18"/>
      <w:szCs w:val="18"/>
    </w:rPr>
  </w:style>
  <w:style w:type="character" w:styleId="1057" w:customStyle="1">
    <w:name w:val="批注框文本 Char"/>
    <w:link w:val="1056"/>
    <w:uiPriority w:val="0"/>
    <w:qFormat/>
    <w:rPr>
      <w:rFonts w:ascii="Times New Roman" w:hAnsi="Times New Roman" w:eastAsia="宋体" w:cs="Times New Roman"/>
      <w:sz w:val="18"/>
      <w:szCs w:val="18"/>
    </w:rPr>
  </w:style>
  <w:style w:type="paragraph" w:styleId="1058" w:customStyle="1">
    <w:name w:val="页脚1"/>
    <w:basedOn w:val="783"/>
    <w:link w:val="1059"/>
    <w:uiPriority w:val="0"/>
    <w:qFormat/>
    <w:pPr>
      <w:jc w:val="left"/>
      <w:tabs>
        <w:tab w:val="center" w:pos="4153" w:leader="none"/>
        <w:tab w:val="right" w:pos="8306" w:leader="none"/>
      </w:tabs>
    </w:pPr>
    <w:rPr>
      <w:sz w:val="18"/>
      <w:szCs w:val="18"/>
    </w:rPr>
  </w:style>
  <w:style w:type="character" w:styleId="1059" w:customStyle="1">
    <w:name w:val="页脚 Char"/>
    <w:link w:val="1058"/>
    <w:uiPriority w:val="0"/>
    <w:qFormat/>
    <w:rPr>
      <w:rFonts w:ascii="Times New Roman" w:hAnsi="Times New Roman" w:eastAsia="宋体" w:cs="Times New Roman"/>
      <w:sz w:val="18"/>
      <w:szCs w:val="18"/>
    </w:rPr>
  </w:style>
  <w:style w:type="paragraph" w:styleId="1060" w:customStyle="1">
    <w:name w:val="页眉1"/>
    <w:basedOn w:val="783"/>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Char"/>
    <w:link w:val="1060"/>
    <w:uiPriority w:val="0"/>
    <w:qFormat/>
    <w:rPr>
      <w:rFonts w:ascii="Times New Roman" w:hAnsi="Times New Roman" w:eastAsia="宋体" w:cs="Times New Roman"/>
      <w:sz w:val="18"/>
      <w:szCs w:val="18"/>
    </w:rPr>
  </w:style>
  <w:style w:type="paragraph" w:styleId="1062" w:customStyle="1">
    <w:name w:val="目录 11"/>
    <w:basedOn w:val="783"/>
    <w:next w:val="783"/>
    <w:uiPriority w:val="0"/>
    <w:qFormat/>
    <w:rPr>
      <w:rFonts w:ascii="Calibri" w:hAnsi="Calibri"/>
    </w:rPr>
  </w:style>
  <w:style w:type="paragraph" w:styleId="1063" w:customStyle="1">
    <w:name w:val="目录 21"/>
    <w:basedOn w:val="783"/>
    <w:next w:val="783"/>
    <w:uiPriority w:val="0"/>
    <w:qFormat/>
    <w:pPr>
      <w:ind w:left="420"/>
    </w:pPr>
  </w:style>
  <w:style w:type="paragraph" w:styleId="1064" w:customStyle="1">
    <w:name w:val="普通(网站)1"/>
    <w:basedOn w:val="783"/>
    <w:uiPriority w:val="0"/>
    <w:qFormat/>
    <w:pPr>
      <w:jc w:val="left"/>
    </w:pPr>
    <w:rPr>
      <w:rFonts w:ascii="Calibri" w:hAnsi="Calibri"/>
      <w:sz w:val="24"/>
      <w:szCs w:val="24"/>
    </w:rPr>
  </w:style>
  <w:style w:type="paragraph" w:styleId="1065" w:customStyle="1">
    <w:name w:val="正文首行缩进1"/>
    <w:basedOn w:val="837"/>
    <w:next w:val="783"/>
    <w:uiPriority w:val="0"/>
    <w:qFormat/>
    <w:pPr>
      <w:ind w:firstLine="420"/>
    </w:pPr>
  </w:style>
  <w:style w:type="character" w:styleId="1066" w:customStyle="1">
    <w:name w:val="要点1"/>
    <w:uiPriority w:val="0"/>
    <w:qFormat/>
    <w:rPr>
      <w:rFonts w:ascii="Times New Roman" w:hAnsi="Times New Roman" w:eastAsia="宋体" w:cs="Times New Roman"/>
      <w:b/>
    </w:rPr>
  </w:style>
  <w:style w:type="paragraph" w:styleId="1067" w:customStyle="1">
    <w:name w:val="列出段落1"/>
    <w:basedOn w:val="783"/>
    <w:uiPriority w:val="0"/>
    <w:qFormat/>
    <w:pPr>
      <w:ind w:firstLine="420"/>
    </w:pPr>
  </w:style>
  <w:style w:type="paragraph" w:styleId="1068" w:customStyle="1">
    <w:name w:val="普通正文"/>
    <w:basedOn w:val="831"/>
    <w:uiPriority w:val="0"/>
    <w:qFormat/>
    <w:pPr>
      <w:ind w:firstLine="480"/>
      <w:spacing w:before="120" w:after="120" w:line="360" w:lineRule="auto"/>
    </w:pPr>
    <w:rPr>
      <w:rFonts w:ascii="Arial" w:hAnsi="Arial"/>
      <w:szCs w:val="24"/>
    </w:rPr>
  </w:style>
  <w:style w:type="paragraph" w:styleId="1069" w:customStyle="1">
    <w:name w:val="UserStyle_52"/>
    <w:basedOn w:val="783"/>
    <w:uiPriority w:val="0"/>
    <w:qFormat/>
    <w:pPr>
      <w:spacing w:line="240" w:lineRule="exact"/>
    </w:pPr>
    <w:rPr>
      <w:rFonts w:ascii="宋体" w:hAnsi="宋体"/>
      <w:lang w:val="zh-TW" w:eastAsia="zh-TW" w:bidi="zh-TW"/>
    </w:rPr>
  </w:style>
  <w:style w:type="character" w:styleId="1070" w:customStyle="1">
    <w:name w:val="HtmlCite1"/>
    <w:uiPriority w:val="0"/>
    <w:qFormat/>
    <w:rPr>
      <w:rFonts w:ascii="Times New Roman" w:hAnsi="Times New Roman" w:eastAsia="宋体" w:cs="Times New Roman"/>
    </w:rPr>
  </w:style>
  <w:style w:type="paragraph" w:styleId="1071" w:customStyle="1">
    <w:name w:val="Table Paragraph"/>
    <w:basedOn w:val="783"/>
    <w:uiPriority w:val="0"/>
    <w:qFormat/>
    <w:rPr>
      <w:rFonts w:ascii="宋体" w:hAnsi="宋体" w:cs="宋体"/>
      <w:sz w:val="22"/>
      <w:lang w:val="zh-CN" w:bidi="zh-CN"/>
    </w:rPr>
  </w:style>
  <w:style w:type="paragraph" w:styleId="1072" w:customStyle="1">
    <w:name w:val="Char"/>
    <w:basedOn w:val="783"/>
    <w:uiPriority w:val="0"/>
    <w:qFormat/>
    <w:pPr>
      <w:ind w:firstLine="200"/>
      <w:tabs>
        <w:tab w:val="left" w:pos="360" w:leader="none"/>
      </w:tabs>
    </w:pPr>
    <w:rPr>
      <w:sz w:val="28"/>
      <w:szCs w:val="30"/>
    </w:rPr>
  </w:style>
  <w:style w:type="character" w:styleId="1073" w:customStyle="1">
    <w:name w:val="页脚 Char1"/>
    <w:uiPriority w:val="0"/>
    <w:qFormat/>
    <w:rPr>
      <w:rFonts w:ascii="Times New Roman" w:hAnsi="Times New Roman" w:eastAsia="宋体" w:cs="Times New Roman"/>
      <w:sz w:val="18"/>
      <w:szCs w:val="18"/>
    </w:rPr>
  </w:style>
  <w:style w:type="character" w:styleId="1074" w:customStyle="1">
    <w:name w:val="日期 Char1"/>
    <w:uiPriority w:val="0"/>
    <w:qFormat/>
    <w:rPr>
      <w:rFonts w:ascii="Times New Roman" w:hAnsi="Times New Roman" w:eastAsia="宋体" w:cs="Times New Roman"/>
    </w:rPr>
  </w:style>
  <w:style w:type="character" w:styleId="1075" w:customStyle="1">
    <w:name w:val="纯文本 Char1"/>
    <w:uiPriority w:val="0"/>
    <w:qFormat/>
    <w:rPr>
      <w:rFonts w:ascii="宋体" w:hAnsi="Courier New" w:eastAsia="宋体" w:cs="Courier New"/>
      <w:szCs w:val="21"/>
    </w:rPr>
  </w:style>
  <w:style w:type="character" w:styleId="1076" w:customStyle="1">
    <w:name w:val="页眉 Char1"/>
    <w:uiPriority w:val="0"/>
    <w:qFormat/>
    <w:rPr>
      <w:rFonts w:ascii="Times New Roman" w:hAnsi="Times New Roman" w:eastAsia="宋体" w:cs="Times New Roman"/>
      <w:sz w:val="18"/>
      <w:szCs w:val="18"/>
    </w:rPr>
  </w:style>
  <w:style w:type="paragraph" w:styleId="107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空2格  1."/>
    <w:basedOn w:val="783"/>
    <w:uiPriority w:val="0"/>
    <w:qFormat/>
    <w:pPr>
      <w:ind w:firstLine="480"/>
    </w:pPr>
    <w:rPr>
      <w:rFonts w:cs="宋体"/>
      <w:sz w:val="28"/>
      <w:szCs w:val="20"/>
    </w:rPr>
  </w:style>
  <w:style w:type="paragraph" w:styleId="10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80"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81" w:customStyle="1">
    <w:name w:val="标题 1 Char Char Char"/>
    <w:uiPriority w:val="0"/>
    <w:qFormat/>
    <w:rPr>
      <w:rFonts w:eastAsia="宋体"/>
      <w:b/>
      <w:bCs/>
      <w:sz w:val="44"/>
      <w:szCs w:val="44"/>
      <w:lang w:val="en-US" w:eastAsia="zh-CN" w:bidi="ar-SA"/>
    </w:rPr>
  </w:style>
  <w:style w:type="paragraph" w:styleId="1082"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83"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84" w:customStyle="1">
    <w:name w:val="正文_0_0"/>
    <w:basedOn w:val="1085"/>
    <w:uiPriority w:val="0"/>
    <w:qFormat/>
    <w:rPr>
      <w:szCs w:val="21"/>
    </w:rPr>
  </w:style>
  <w:style w:type="paragraph" w:styleId="108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6" w:customStyle="1">
    <w:name w:val="Normal_20"/>
    <w:link w:val="1087"/>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87" w:customStyle="1">
    <w:name w:val="Normal_20 Char"/>
    <w:link w:val="1086"/>
    <w:uiPriority w:val="0"/>
    <w:qFormat/>
    <w:rPr>
      <w:rFonts w:ascii="Times New Roman" w:hAnsi="Times New Roman" w:eastAsia="Calibri" w:cs="Times New Roman"/>
      <w:sz w:val="22"/>
      <w:szCs w:val="22"/>
      <w:lang w:val="en-US" w:eastAsia="en-US" w:bidi="ar-SA"/>
    </w:rPr>
  </w:style>
  <w:style w:type="paragraph" w:styleId="1088" w:customStyle="1">
    <w:name w:val="Body text|1"/>
    <w:basedOn w:val="783"/>
    <w:uiPriority w:val="0"/>
    <w:qFormat/>
    <w:pPr>
      <w:spacing w:after="220"/>
    </w:pPr>
    <w:rPr>
      <w:rFonts w:ascii="宋体" w:hAnsi="宋体" w:cs="宋体"/>
      <w:sz w:val="22"/>
      <w:lang w:val="zh-TW" w:eastAsia="zh-TW" w:bidi="zh-TW"/>
    </w:rPr>
  </w:style>
  <w:style w:type="character" w:styleId="1089" w:customStyle="1">
    <w:name w:val="font21"/>
    <w:basedOn w:val="793"/>
    <w:uiPriority w:val="0"/>
    <w:qFormat/>
    <w:rPr>
      <w:rFonts w:hint="eastAsia" w:ascii="宋体" w:hAnsi="宋体" w:eastAsia="宋体" w:cs="宋体"/>
      <w:color w:val="000000"/>
      <w:sz w:val="20"/>
      <w:szCs w:val="20"/>
      <w:u w:val="none"/>
    </w:rPr>
  </w:style>
  <w:style w:type="character" w:styleId="1090" w:customStyle="1">
    <w:name w:val="font31"/>
    <w:basedOn w:val="793"/>
    <w:uiPriority w:val="0"/>
    <w:qFormat/>
    <w:rPr>
      <w:rFonts w:hint="default" w:ascii="Times New Roman" w:hAnsi="Times New Roman" w:cs="Times New Roman"/>
      <w:color w:val="000000"/>
      <w:sz w:val="20"/>
      <w:szCs w:val="20"/>
      <w:u w:val="none"/>
    </w:rPr>
  </w:style>
  <w:style w:type="character" w:styleId="1091" w:customStyle="1">
    <w:name w:val="批注框文本 Char1"/>
    <w:basedOn w:val="793"/>
    <w:link w:val="809"/>
    <w:uiPriority w:val="99"/>
    <w:semiHidden/>
    <w:qFormat/>
    <w:rPr>
      <w:sz w:val="18"/>
      <w:szCs w:val="18"/>
    </w:rPr>
  </w:style>
  <w:style w:type="paragraph" w:styleId="1092" w:customStyle="1">
    <w:name w:val="样式 样式 二级标题 + 段前: 0.2 行 段后: 0.2 行 行距: 2 倍行距 + 段前: 0.2 行 段后: 0.2 行"/>
    <w:basedOn w:val="783"/>
    <w:uiPriority w:val="0"/>
    <w:qFormat/>
    <w:pPr>
      <w:ind w:firstLine="0"/>
      <w:keepLines/>
      <w:keepNext/>
      <w:spacing w:line="480" w:lineRule="auto"/>
      <w:outlineLvl w:val="1"/>
    </w:pPr>
    <w:rPr>
      <w:rFonts w:cs="宋体"/>
      <w:b/>
      <w:bCs/>
      <w:sz w:val="24"/>
      <w:szCs w:val="20"/>
    </w:rPr>
  </w:style>
  <w:style w:type="paragraph" w:styleId="1093" w:customStyle="1">
    <w:name w:val="纯文本11"/>
    <w:basedOn w:val="783"/>
    <w:uiPriority w:val="0"/>
    <w:qFormat/>
    <w:rPr>
      <w:rFonts w:ascii="宋体" w:hAnsi="Courier New" w:eastAsia="宋体" w:cs="Times New Roman"/>
    </w:rPr>
  </w:style>
  <w:style w:type="paragraph" w:styleId="1094" w:customStyle="1">
    <w:name w:val="二级目录"/>
    <w:next w:val="783"/>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95"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096" w:customStyle="1">
    <w:name w:val="NormalCharacter"/>
    <w:uiPriority w:val="0"/>
    <w:semiHidden/>
    <w:qFormat/>
    <w:rPr>
      <w:sz w:val="21"/>
      <w:szCs w:val="24"/>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35</cp:revision>
  <dcterms:created xsi:type="dcterms:W3CDTF">2024-06-09T01:23:00Z</dcterms:created>
  <dcterms:modified xsi:type="dcterms:W3CDTF">2026-05-14T02:36:36Z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AA08794021C3B5517417EF697BAF1334_43</vt:lpwstr>
  </property>
  <property fmtid="{D5CDD505-2E9C-101B-9397-08002B2CF9AE}" pid="4" name="KSOTemplateDocerSaveRecord">
    <vt:lpwstr>eyJoZGlkIjoiMDBjNGFhMTJkYThhM2YzYzFkYjFlMWZlNWQ4OTgzOTQiLCJ1c2VySWQiOiIzNTMyMTAzMjgifQ==</vt:lpwstr>
  </property>
</Properties>
</file>