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9AF4B7">
      <w:pPr>
        <w:pStyle w:val="18"/>
        <w:spacing w:before="120" w:beforeAutospacing="0" w:after="120" w:afterAutospacing="0" w:line="360" w:lineRule="auto"/>
        <w:jc w:val="center"/>
        <w:rPr>
          <w:rFonts w:hint="eastAsia" w:ascii="Arial" w:hAnsi="Arial" w:cs="Arial"/>
          <w:b/>
          <w:color w:val="000000"/>
          <w:sz w:val="44"/>
          <w:szCs w:val="44"/>
          <w:lang w:val="en-US" w:eastAsia="zh-CN"/>
        </w:rPr>
      </w:pPr>
      <w:r>
        <w:rPr>
          <w:highlight w:val="none"/>
        </w:rPr>
        <w:t> </w:t>
      </w:r>
      <w:r>
        <w:rPr>
          <w:rFonts w:hint="eastAsia" w:ascii="Arial" w:hAnsi="Arial" w:cs="Arial"/>
          <w:b/>
          <w:color w:val="000000"/>
          <w:sz w:val="44"/>
          <w:szCs w:val="44"/>
          <w:lang w:val="en-US" w:eastAsia="zh-CN"/>
        </w:rPr>
        <w:t>富安镇政府食堂食材及日用品采购服务</w:t>
      </w:r>
    </w:p>
    <w:p w14:paraId="0F312960">
      <w:pPr>
        <w:pStyle w:val="18"/>
        <w:spacing w:before="120" w:beforeAutospacing="0" w:after="120" w:afterAutospacing="0" w:line="360" w:lineRule="auto"/>
        <w:jc w:val="center"/>
        <w:rPr>
          <w:color w:val="000000"/>
        </w:rPr>
      </w:pPr>
      <w:r>
        <w:rPr>
          <w:rFonts w:hint="eastAsia" w:ascii="Arial" w:hAnsi="Arial" w:cs="Arial"/>
          <w:b/>
          <w:color w:val="000000"/>
          <w:sz w:val="44"/>
          <w:szCs w:val="44"/>
          <w:lang w:val="en-US" w:eastAsia="zh-CN"/>
        </w:rPr>
        <w:t>（二次）</w:t>
      </w:r>
    </w:p>
    <w:p w14:paraId="184D4DA1">
      <w:pPr>
        <w:pStyle w:val="18"/>
        <w:spacing w:before="120" w:beforeAutospacing="0" w:after="120" w:afterAutospacing="0" w:line="360" w:lineRule="auto"/>
        <w:rPr>
          <w:color w:val="000000"/>
        </w:rPr>
      </w:pPr>
    </w:p>
    <w:p w14:paraId="66135AFB">
      <w:pPr>
        <w:pStyle w:val="18"/>
        <w:spacing w:before="120" w:beforeAutospacing="0" w:after="120" w:afterAutospacing="0" w:line="360" w:lineRule="auto"/>
        <w:rPr>
          <w:color w:val="000000"/>
        </w:rPr>
      </w:pPr>
      <w:r>
        <w:rPr>
          <w:color w:val="000000"/>
        </w:rPr>
        <w:t> </w:t>
      </w:r>
    </w:p>
    <w:p w14:paraId="1E8E7A6C">
      <w:pPr>
        <w:pStyle w:val="18"/>
        <w:spacing w:before="120" w:beforeAutospacing="0" w:after="120" w:afterAutospacing="0" w:line="360" w:lineRule="auto"/>
        <w:rPr>
          <w:color w:val="000000"/>
        </w:rPr>
      </w:pPr>
    </w:p>
    <w:p w14:paraId="61954F4F">
      <w:pPr>
        <w:pStyle w:val="18"/>
        <w:spacing w:before="120" w:beforeAutospacing="0" w:after="120" w:afterAutospacing="0" w:line="360" w:lineRule="auto"/>
        <w:jc w:val="center"/>
        <w:rPr>
          <w:rFonts w:ascii="Arial" w:hAnsi="Arial" w:cs="Arial"/>
          <w:b/>
          <w:color w:val="000000"/>
          <w:sz w:val="84"/>
          <w:szCs w:val="84"/>
        </w:rPr>
      </w:pPr>
    </w:p>
    <w:p w14:paraId="6CE13978">
      <w:pPr>
        <w:pStyle w:val="18"/>
        <w:spacing w:before="120" w:beforeAutospacing="0" w:after="120" w:afterAutospacing="0" w:line="360" w:lineRule="auto"/>
        <w:jc w:val="center"/>
        <w:rPr>
          <w:color w:val="000000"/>
        </w:rPr>
      </w:pPr>
      <w:r>
        <w:rPr>
          <w:rFonts w:hint="eastAsia" w:ascii="Arial" w:hAnsi="Arial" w:cs="Arial"/>
          <w:b/>
          <w:color w:val="000000"/>
          <w:sz w:val="84"/>
          <w:szCs w:val="84"/>
        </w:rPr>
        <w:t>招 标 文 件</w:t>
      </w:r>
    </w:p>
    <w:p w14:paraId="0FA1F5B1">
      <w:pPr>
        <w:pStyle w:val="18"/>
        <w:spacing w:before="120" w:beforeAutospacing="0" w:after="120" w:afterAutospacing="0" w:line="360" w:lineRule="auto"/>
        <w:ind w:firstLine="964"/>
        <w:rPr>
          <w:rFonts w:ascii="Arial" w:hAnsi="Arial" w:cs="Arial"/>
          <w:b/>
          <w:color w:val="000000"/>
          <w:sz w:val="32"/>
          <w:szCs w:val="32"/>
        </w:rPr>
      </w:pPr>
    </w:p>
    <w:p w14:paraId="297E2ACE">
      <w:pPr>
        <w:pStyle w:val="18"/>
        <w:spacing w:before="120" w:beforeAutospacing="0" w:after="120" w:afterAutospacing="0" w:line="360" w:lineRule="auto"/>
        <w:ind w:firstLine="964" w:firstLineChars="300"/>
        <w:rPr>
          <w:color w:val="000000"/>
        </w:rPr>
      </w:pPr>
      <w:r>
        <w:rPr>
          <w:rFonts w:ascii="Arial" w:hAnsi="Arial" w:cs="Arial"/>
          <w:b/>
          <w:color w:val="000000"/>
          <w:sz w:val="32"/>
          <w:szCs w:val="32"/>
        </w:rPr>
        <w:t>项目编号：</w:t>
      </w:r>
      <w:r>
        <w:rPr>
          <w:rFonts w:hint="eastAsia" w:ascii="Arial" w:hAnsi="Arial" w:cs="Arial"/>
          <w:b/>
          <w:color w:val="000000"/>
          <w:sz w:val="32"/>
          <w:szCs w:val="32"/>
          <w:lang w:eastAsia="zh-CN"/>
        </w:rPr>
        <w:t>JSZC-320981-JBGS-G2026-0011</w:t>
      </w:r>
      <w:r>
        <w:rPr>
          <w:rFonts w:ascii="Times New Roman" w:hAnsi="Times New Roman"/>
          <w:b/>
          <w:color w:val="000000"/>
          <w:sz w:val="30"/>
          <w:szCs w:val="30"/>
        </w:rPr>
        <w:t xml:space="preserve"> </w:t>
      </w:r>
    </w:p>
    <w:p w14:paraId="1A7DC773">
      <w:pPr>
        <w:pStyle w:val="18"/>
        <w:spacing w:beforeAutospacing="0" w:afterAutospacing="0" w:line="360" w:lineRule="auto"/>
        <w:rPr>
          <w:color w:val="000000"/>
        </w:rPr>
      </w:pPr>
      <w:r>
        <w:rPr>
          <w:color w:val="000000"/>
        </w:rPr>
        <w:t> </w:t>
      </w:r>
    </w:p>
    <w:p w14:paraId="0E23A178">
      <w:pPr>
        <w:pStyle w:val="18"/>
        <w:spacing w:beforeAutospacing="0" w:afterAutospacing="0" w:line="360" w:lineRule="auto"/>
        <w:rPr>
          <w:color w:val="000000"/>
        </w:rPr>
      </w:pPr>
      <w:r>
        <w:rPr>
          <w:color w:val="000000"/>
        </w:rPr>
        <w:t> </w:t>
      </w:r>
    </w:p>
    <w:p w14:paraId="7DB1129C">
      <w:pPr>
        <w:pStyle w:val="18"/>
        <w:spacing w:beforeAutospacing="0" w:afterAutospacing="0" w:line="360" w:lineRule="auto"/>
        <w:rPr>
          <w:color w:val="000000"/>
        </w:rPr>
      </w:pPr>
      <w:r>
        <w:rPr>
          <w:color w:val="000000"/>
        </w:rPr>
        <w:t> </w:t>
      </w:r>
    </w:p>
    <w:p w14:paraId="341EA573">
      <w:pPr>
        <w:pStyle w:val="18"/>
        <w:spacing w:beforeAutospacing="0" w:afterAutospacing="0" w:line="360" w:lineRule="auto"/>
        <w:rPr>
          <w:color w:val="000000"/>
        </w:rPr>
      </w:pPr>
      <w:r>
        <w:rPr>
          <w:color w:val="000000"/>
        </w:rPr>
        <w:t> </w:t>
      </w:r>
    </w:p>
    <w:p w14:paraId="34734071">
      <w:pPr>
        <w:pStyle w:val="18"/>
        <w:spacing w:beforeAutospacing="0" w:afterAutospacing="0" w:line="360" w:lineRule="auto"/>
        <w:rPr>
          <w:color w:val="000000"/>
        </w:rPr>
      </w:pPr>
      <w:r>
        <w:rPr>
          <w:color w:val="000000"/>
        </w:rPr>
        <w:t> </w:t>
      </w:r>
    </w:p>
    <w:p w14:paraId="10A1039A">
      <w:pPr>
        <w:pStyle w:val="18"/>
        <w:spacing w:beforeAutospacing="0" w:afterAutospacing="0" w:line="360" w:lineRule="auto"/>
        <w:rPr>
          <w:color w:val="000000"/>
        </w:rPr>
      </w:pPr>
      <w:r>
        <w:rPr>
          <w:color w:val="000000"/>
        </w:rPr>
        <w:t> </w:t>
      </w:r>
    </w:p>
    <w:p w14:paraId="5C981B22">
      <w:pPr>
        <w:pStyle w:val="18"/>
        <w:spacing w:beforeAutospacing="0" w:afterAutospacing="0" w:line="360" w:lineRule="auto"/>
        <w:rPr>
          <w:color w:val="000000"/>
        </w:rPr>
      </w:pPr>
      <w:r>
        <w:rPr>
          <w:color w:val="000000"/>
        </w:rPr>
        <w:t> </w:t>
      </w:r>
    </w:p>
    <w:p w14:paraId="0DA4F73B">
      <w:pPr>
        <w:pStyle w:val="18"/>
        <w:spacing w:before="120" w:beforeAutospacing="0" w:after="120" w:afterAutospacing="0" w:line="360" w:lineRule="auto"/>
        <w:jc w:val="center"/>
        <w:rPr>
          <w:rFonts w:ascii="Arial" w:hAnsi="Arial" w:cs="Arial"/>
          <w:b/>
          <w:color w:val="000000"/>
          <w:sz w:val="32"/>
          <w:szCs w:val="32"/>
        </w:rPr>
      </w:pPr>
      <w:r>
        <w:rPr>
          <w:rFonts w:hint="eastAsia" w:ascii="Arial" w:hAnsi="Arial" w:cs="Arial"/>
          <w:b/>
          <w:color w:val="000000"/>
          <w:sz w:val="32"/>
          <w:szCs w:val="32"/>
        </w:rPr>
        <w:t>采购单位：东台市</w:t>
      </w:r>
      <w:r>
        <w:rPr>
          <w:rFonts w:hint="eastAsia" w:ascii="Arial" w:hAnsi="Arial" w:cs="Arial"/>
          <w:b/>
          <w:color w:val="000000"/>
          <w:sz w:val="32"/>
          <w:szCs w:val="32"/>
          <w:lang w:val="en-US" w:eastAsia="zh-CN"/>
        </w:rPr>
        <w:t>富安</w:t>
      </w:r>
      <w:r>
        <w:rPr>
          <w:rFonts w:hint="eastAsia" w:ascii="Arial" w:hAnsi="Arial" w:cs="Arial"/>
          <w:b/>
          <w:color w:val="000000"/>
          <w:sz w:val="32"/>
          <w:szCs w:val="32"/>
        </w:rPr>
        <w:t>镇人民政府</w:t>
      </w:r>
    </w:p>
    <w:p w14:paraId="3F9D1B61">
      <w:pPr>
        <w:pStyle w:val="18"/>
        <w:spacing w:before="120" w:beforeAutospacing="0" w:after="120" w:afterAutospacing="0" w:line="360" w:lineRule="auto"/>
        <w:jc w:val="center"/>
        <w:rPr>
          <w:rFonts w:hint="default" w:ascii="Arial" w:hAnsi="Arial" w:cs="Arial" w:eastAsiaTheme="minorEastAsia"/>
          <w:b/>
          <w:color w:val="000000"/>
          <w:sz w:val="32"/>
          <w:szCs w:val="32"/>
          <w:lang w:val="en-US" w:eastAsia="zh-CN"/>
        </w:rPr>
      </w:pPr>
      <w:r>
        <w:rPr>
          <w:rFonts w:hint="eastAsia" w:ascii="Arial" w:hAnsi="Arial" w:cs="Arial"/>
          <w:b/>
          <w:color w:val="000000"/>
          <w:sz w:val="32"/>
          <w:szCs w:val="32"/>
        </w:rPr>
        <w:t>采购代理机构：</w:t>
      </w:r>
      <w:r>
        <w:rPr>
          <w:rFonts w:hint="eastAsia" w:ascii="Arial" w:hAnsi="Arial" w:cs="Arial"/>
          <w:b/>
          <w:color w:val="000000"/>
          <w:sz w:val="32"/>
          <w:szCs w:val="32"/>
          <w:lang w:val="en-US" w:eastAsia="zh-CN"/>
        </w:rPr>
        <w:t>江苏建博工程管理咨询有限公司</w:t>
      </w:r>
    </w:p>
    <w:p w14:paraId="55409E4F">
      <w:pPr>
        <w:pStyle w:val="7"/>
        <w:spacing w:beforeAutospacing="0" w:afterAutospacing="0" w:line="480" w:lineRule="auto"/>
        <w:jc w:val="center"/>
        <w:rPr>
          <w:rFonts w:ascii="Times New Roman" w:hAnsi="Times New Roman"/>
          <w:color w:val="000000"/>
          <w:sz w:val="21"/>
          <w:szCs w:val="21"/>
          <w:highlight w:val="none"/>
        </w:rPr>
      </w:pPr>
      <w:r>
        <w:rPr>
          <w:rFonts w:hint="eastAsia" w:ascii="Arial" w:hAnsi="Arial" w:cs="Arial"/>
          <w:b/>
          <w:color w:val="000000"/>
          <w:sz w:val="32"/>
          <w:szCs w:val="32"/>
          <w:u w:val="single"/>
        </w:rPr>
        <w:t>202</w:t>
      </w:r>
      <w:r>
        <w:rPr>
          <w:rFonts w:hint="eastAsia" w:ascii="Arial" w:hAnsi="Arial" w:cs="Arial"/>
          <w:b/>
          <w:color w:val="000000"/>
          <w:sz w:val="32"/>
          <w:szCs w:val="32"/>
          <w:u w:val="single"/>
          <w:lang w:val="en-US" w:eastAsia="zh-CN"/>
        </w:rPr>
        <w:t>6</w:t>
      </w:r>
      <w:r>
        <w:rPr>
          <w:rFonts w:ascii="Arial" w:hAnsi="Arial" w:cs="Arial"/>
          <w:b/>
          <w:color w:val="000000"/>
          <w:sz w:val="32"/>
          <w:szCs w:val="32"/>
        </w:rPr>
        <w:t>年</w:t>
      </w:r>
      <w:r>
        <w:rPr>
          <w:rFonts w:hint="eastAsia" w:ascii="Arial" w:hAnsi="Arial" w:cs="Arial"/>
          <w:b/>
          <w:color w:val="000000"/>
          <w:sz w:val="32"/>
          <w:szCs w:val="32"/>
          <w:u w:val="single"/>
          <w:lang w:val="en-US" w:eastAsia="zh-CN"/>
        </w:rPr>
        <w:t>4</w:t>
      </w:r>
      <w:r>
        <w:rPr>
          <w:rFonts w:ascii="Arial" w:hAnsi="Arial" w:cs="Arial"/>
          <w:b/>
          <w:color w:val="000000"/>
          <w:sz w:val="32"/>
          <w:szCs w:val="32"/>
        </w:rPr>
        <w:t>月</w:t>
      </w:r>
      <w:r>
        <w:rPr>
          <w:rFonts w:hint="eastAsia" w:ascii="Arial" w:hAnsi="Arial" w:cs="Arial"/>
          <w:b/>
          <w:color w:val="000000"/>
          <w:sz w:val="32"/>
          <w:szCs w:val="32"/>
          <w:u w:val="single"/>
          <w:lang w:val="en-US" w:eastAsia="zh-CN"/>
        </w:rPr>
        <w:t>27</w:t>
      </w:r>
      <w:r>
        <w:rPr>
          <w:rFonts w:hint="eastAsia" w:ascii="Arial" w:hAnsi="Arial" w:cs="Arial"/>
          <w:b/>
          <w:color w:val="000000"/>
          <w:sz w:val="32"/>
          <w:szCs w:val="32"/>
        </w:rPr>
        <w:t>日</w:t>
      </w:r>
      <w:r>
        <w:rPr>
          <w:rFonts w:ascii="Times New Roman" w:hAnsi="Times New Roman"/>
          <w:color w:val="000000"/>
          <w:sz w:val="21"/>
          <w:szCs w:val="21"/>
          <w:highlight w:val="none"/>
        </w:rPr>
        <w:t> </w:t>
      </w:r>
      <w:bookmarkStart w:id="0" w:name="_Toc16938516"/>
      <w:bookmarkStart w:id="1" w:name="_Toc513029200"/>
      <w:bookmarkStart w:id="2" w:name="_Toc120614210"/>
      <w:bookmarkStart w:id="3" w:name="_Toc20823272"/>
      <w:bookmarkStart w:id="4" w:name="_Toc479757206"/>
      <w:bookmarkStart w:id="5" w:name="_Toc523127445"/>
      <w:r>
        <w:rPr>
          <w:rFonts w:ascii="Times New Roman" w:hAnsi="Times New Roman"/>
          <w:color w:val="000000"/>
          <w:sz w:val="21"/>
          <w:szCs w:val="21"/>
          <w:highlight w:val="none"/>
        </w:rPr>
        <w:t> </w:t>
      </w:r>
    </w:p>
    <w:p w14:paraId="38B48C22">
      <w:pPr>
        <w:pStyle w:val="7"/>
        <w:spacing w:beforeAutospacing="0" w:afterAutospacing="0" w:line="480" w:lineRule="auto"/>
        <w:jc w:val="center"/>
        <w:rPr>
          <w:rFonts w:ascii="Times New Roman" w:hAnsi="Times New Roman"/>
          <w:color w:val="000000"/>
          <w:sz w:val="21"/>
          <w:szCs w:val="21"/>
          <w:highlight w:val="none"/>
        </w:rPr>
      </w:pPr>
    </w:p>
    <w:p w14:paraId="31063BF6">
      <w:pPr>
        <w:pStyle w:val="7"/>
        <w:spacing w:beforeAutospacing="0" w:afterAutospacing="0" w:line="480" w:lineRule="auto"/>
        <w:jc w:val="center"/>
        <w:rPr>
          <w:rFonts w:ascii="Times New Roman" w:hAnsi="Times New Roman"/>
          <w:color w:val="000000"/>
          <w:sz w:val="21"/>
          <w:szCs w:val="21"/>
          <w:highlight w:val="none"/>
        </w:rPr>
      </w:pPr>
    </w:p>
    <w:p w14:paraId="1C306D57">
      <w:pPr>
        <w:pStyle w:val="7"/>
        <w:spacing w:beforeAutospacing="0" w:afterAutospacing="0" w:line="480" w:lineRule="auto"/>
        <w:jc w:val="center"/>
        <w:rPr>
          <w:highlight w:val="none"/>
        </w:rPr>
      </w:pP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6EB96C7E">
      <w:pPr>
        <w:pStyle w:val="7"/>
        <w:spacing w:beforeAutospacing="0" w:afterAutospacing="0" w:line="480" w:lineRule="auto"/>
        <w:jc w:val="both"/>
        <w:rPr>
          <w:highlight w:val="none"/>
        </w:rPr>
      </w:pPr>
      <w:r>
        <w:rPr>
          <w:highlight w:val="none"/>
        </w:rPr>
        <w:t> </w:t>
      </w:r>
    </w:p>
    <w:p w14:paraId="63E5A6A0">
      <w:pPr>
        <w:pStyle w:val="7"/>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 xml:space="preserve">…………………………………… </w:t>
      </w:r>
    </w:p>
    <w:p w14:paraId="3F048C29">
      <w:pPr>
        <w:pStyle w:val="7"/>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 xml:space="preserve">投标人须知…………………………………  </w:t>
      </w:r>
    </w:p>
    <w:p w14:paraId="36557F5B">
      <w:pPr>
        <w:pStyle w:val="7"/>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合同文本……………………………………</w:t>
      </w:r>
    </w:p>
    <w:p w14:paraId="76DCD7D4">
      <w:pPr>
        <w:pStyle w:val="7"/>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采购需求……………………………………</w:t>
      </w:r>
    </w:p>
    <w:p w14:paraId="620E178A">
      <w:pPr>
        <w:pStyle w:val="7"/>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评标方法与评标标准………………………</w:t>
      </w:r>
    </w:p>
    <w:p w14:paraId="6D203C59">
      <w:pPr>
        <w:pStyle w:val="7"/>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投标文件格式………………………………</w:t>
      </w:r>
    </w:p>
    <w:p w14:paraId="64341C45">
      <w:pPr>
        <w:pStyle w:val="7"/>
        <w:spacing w:beforeAutospacing="0" w:afterAutospacing="0"/>
        <w:jc w:val="both"/>
        <w:rPr>
          <w:highlight w:val="none"/>
        </w:rPr>
      </w:pPr>
      <w:r>
        <w:rPr>
          <w:highlight w:val="none"/>
        </w:rPr>
        <w:t> </w:t>
      </w:r>
    </w:p>
    <w:p w14:paraId="16364196">
      <w:pPr>
        <w:pStyle w:val="7"/>
        <w:spacing w:beforeAutospacing="0" w:afterAutospacing="0"/>
        <w:jc w:val="both"/>
        <w:rPr>
          <w:highlight w:val="none"/>
        </w:rPr>
      </w:pPr>
      <w:r>
        <w:rPr>
          <w:highlight w:val="none"/>
        </w:rPr>
        <w:t> </w:t>
      </w:r>
    </w:p>
    <w:p w14:paraId="11556BE8">
      <w:pPr>
        <w:pStyle w:val="7"/>
        <w:spacing w:beforeAutospacing="0" w:afterAutospacing="0"/>
        <w:jc w:val="both"/>
        <w:rPr>
          <w:highlight w:val="none"/>
        </w:rPr>
      </w:pPr>
      <w:r>
        <w:rPr>
          <w:highlight w:val="none"/>
        </w:rPr>
        <w:t> </w:t>
      </w:r>
    </w:p>
    <w:p w14:paraId="7B29980D">
      <w:pPr>
        <w:pStyle w:val="7"/>
        <w:spacing w:beforeAutospacing="0" w:afterAutospacing="0"/>
        <w:jc w:val="both"/>
        <w:rPr>
          <w:highlight w:val="none"/>
        </w:rPr>
      </w:pPr>
      <w:r>
        <w:rPr>
          <w:highlight w:val="none"/>
        </w:rPr>
        <w:t> </w:t>
      </w:r>
    </w:p>
    <w:p w14:paraId="1611712B">
      <w:pPr>
        <w:pStyle w:val="7"/>
        <w:spacing w:beforeAutospacing="0" w:afterAutospacing="0"/>
        <w:jc w:val="both"/>
        <w:rPr>
          <w:highlight w:val="none"/>
        </w:rPr>
      </w:pPr>
      <w:r>
        <w:rPr>
          <w:highlight w:val="none"/>
        </w:rPr>
        <w:t> </w:t>
      </w:r>
    </w:p>
    <w:p w14:paraId="69FAA169">
      <w:pPr>
        <w:pStyle w:val="7"/>
        <w:spacing w:beforeAutospacing="0" w:afterAutospacing="0"/>
        <w:jc w:val="both"/>
        <w:rPr>
          <w:highlight w:val="none"/>
        </w:rPr>
      </w:pPr>
      <w:r>
        <w:rPr>
          <w:highlight w:val="none"/>
        </w:rPr>
        <w:t> </w:t>
      </w:r>
    </w:p>
    <w:p w14:paraId="4182AF71">
      <w:pPr>
        <w:pStyle w:val="7"/>
        <w:spacing w:beforeAutospacing="0" w:afterAutospacing="0"/>
        <w:jc w:val="both"/>
        <w:rPr>
          <w:highlight w:val="none"/>
        </w:rPr>
      </w:pPr>
      <w:r>
        <w:rPr>
          <w:highlight w:val="none"/>
        </w:rPr>
        <w:t> </w:t>
      </w:r>
    </w:p>
    <w:p w14:paraId="71654CC7">
      <w:pPr>
        <w:pStyle w:val="7"/>
        <w:spacing w:beforeAutospacing="0" w:afterAutospacing="0"/>
        <w:jc w:val="both"/>
        <w:rPr>
          <w:highlight w:val="none"/>
        </w:rPr>
      </w:pPr>
      <w:r>
        <w:rPr>
          <w:highlight w:val="none"/>
        </w:rPr>
        <w:t> </w:t>
      </w:r>
    </w:p>
    <w:p w14:paraId="04037430">
      <w:pPr>
        <w:pStyle w:val="7"/>
        <w:spacing w:beforeAutospacing="0" w:afterAutospacing="0"/>
        <w:jc w:val="both"/>
        <w:rPr>
          <w:highlight w:val="none"/>
        </w:rPr>
      </w:pPr>
      <w:r>
        <w:rPr>
          <w:highlight w:val="none"/>
        </w:rPr>
        <w:t> </w:t>
      </w:r>
    </w:p>
    <w:p w14:paraId="781B204C">
      <w:pPr>
        <w:pStyle w:val="7"/>
        <w:spacing w:beforeAutospacing="0" w:afterAutospacing="0"/>
        <w:jc w:val="both"/>
        <w:rPr>
          <w:highlight w:val="none"/>
        </w:rPr>
      </w:pPr>
      <w:r>
        <w:rPr>
          <w:highlight w:val="none"/>
        </w:rPr>
        <w:t> </w:t>
      </w:r>
    </w:p>
    <w:p w14:paraId="267F7F03">
      <w:pPr>
        <w:pStyle w:val="7"/>
        <w:spacing w:beforeAutospacing="0" w:afterAutospacing="0"/>
        <w:jc w:val="both"/>
        <w:rPr>
          <w:highlight w:val="none"/>
        </w:rPr>
      </w:pPr>
      <w:r>
        <w:rPr>
          <w:highlight w:val="none"/>
        </w:rPr>
        <w:t> </w:t>
      </w:r>
    </w:p>
    <w:p w14:paraId="27498963">
      <w:pPr>
        <w:pStyle w:val="7"/>
        <w:spacing w:beforeAutospacing="0" w:afterAutospacing="0"/>
        <w:jc w:val="both"/>
        <w:rPr>
          <w:highlight w:val="none"/>
        </w:rPr>
      </w:pPr>
      <w:r>
        <w:rPr>
          <w:highlight w:val="none"/>
        </w:rPr>
        <w:t> </w:t>
      </w:r>
    </w:p>
    <w:p w14:paraId="46A18BE9">
      <w:pPr>
        <w:pStyle w:val="7"/>
        <w:spacing w:beforeAutospacing="0" w:afterAutospacing="0"/>
        <w:jc w:val="both"/>
        <w:rPr>
          <w:highlight w:val="none"/>
        </w:rPr>
      </w:pPr>
      <w:r>
        <w:rPr>
          <w:highlight w:val="none"/>
        </w:rPr>
        <w:t> </w:t>
      </w:r>
    </w:p>
    <w:p w14:paraId="4328D0A4">
      <w:pPr>
        <w:pStyle w:val="7"/>
        <w:spacing w:beforeAutospacing="0" w:afterAutospacing="0"/>
        <w:jc w:val="both"/>
        <w:rPr>
          <w:highlight w:val="none"/>
        </w:rPr>
      </w:pPr>
      <w:r>
        <w:rPr>
          <w:highlight w:val="none"/>
        </w:rPr>
        <w:t> </w:t>
      </w:r>
    </w:p>
    <w:p w14:paraId="6222989F">
      <w:pPr>
        <w:pStyle w:val="7"/>
        <w:spacing w:beforeAutospacing="0" w:afterAutospacing="0"/>
        <w:jc w:val="both"/>
        <w:rPr>
          <w:highlight w:val="none"/>
        </w:rPr>
      </w:pPr>
      <w:r>
        <w:rPr>
          <w:highlight w:val="none"/>
        </w:rPr>
        <w:t> </w:t>
      </w:r>
    </w:p>
    <w:p w14:paraId="16612821">
      <w:pPr>
        <w:pStyle w:val="7"/>
        <w:spacing w:beforeAutospacing="0" w:afterAutospacing="0"/>
        <w:jc w:val="both"/>
        <w:rPr>
          <w:highlight w:val="none"/>
        </w:rPr>
      </w:pPr>
      <w:r>
        <w:rPr>
          <w:highlight w:val="none"/>
        </w:rPr>
        <w:t> </w:t>
      </w:r>
    </w:p>
    <w:p w14:paraId="34917203">
      <w:pPr>
        <w:pStyle w:val="7"/>
        <w:spacing w:beforeAutospacing="0" w:afterAutospacing="0"/>
        <w:jc w:val="both"/>
        <w:rPr>
          <w:highlight w:val="none"/>
        </w:rPr>
      </w:pPr>
      <w:r>
        <w:rPr>
          <w:highlight w:val="none"/>
        </w:rPr>
        <w:t> </w:t>
      </w:r>
    </w:p>
    <w:p w14:paraId="2132A022">
      <w:pPr>
        <w:pStyle w:val="7"/>
        <w:spacing w:beforeAutospacing="0" w:afterAutospacing="0"/>
        <w:jc w:val="both"/>
        <w:rPr>
          <w:highlight w:val="none"/>
        </w:rPr>
      </w:pPr>
      <w:r>
        <w:rPr>
          <w:highlight w:val="none"/>
        </w:rPr>
        <w:t> </w:t>
      </w:r>
    </w:p>
    <w:p w14:paraId="403C6B04">
      <w:pPr>
        <w:pStyle w:val="7"/>
        <w:spacing w:beforeAutospacing="0" w:afterAutospacing="0"/>
        <w:jc w:val="both"/>
        <w:rPr>
          <w:highlight w:val="none"/>
        </w:rPr>
      </w:pPr>
      <w:r>
        <w:rPr>
          <w:highlight w:val="none"/>
        </w:rPr>
        <w:t> </w:t>
      </w:r>
    </w:p>
    <w:p w14:paraId="4D3F100B">
      <w:pPr>
        <w:pStyle w:val="7"/>
        <w:spacing w:beforeAutospacing="0" w:afterAutospacing="0"/>
        <w:jc w:val="both"/>
        <w:rPr>
          <w:highlight w:val="none"/>
        </w:rPr>
      </w:pPr>
      <w:r>
        <w:rPr>
          <w:highlight w:val="none"/>
        </w:rPr>
        <w:t> </w:t>
      </w:r>
    </w:p>
    <w:p w14:paraId="7F92285B">
      <w:pPr>
        <w:pStyle w:val="7"/>
        <w:spacing w:beforeAutospacing="0" w:afterAutospacing="0"/>
        <w:jc w:val="both"/>
        <w:rPr>
          <w:highlight w:val="none"/>
        </w:rPr>
      </w:pPr>
      <w:r>
        <w:rPr>
          <w:highlight w:val="none"/>
        </w:rPr>
        <w:t> </w:t>
      </w:r>
    </w:p>
    <w:p w14:paraId="1D73C107">
      <w:pPr>
        <w:pStyle w:val="7"/>
        <w:spacing w:beforeAutospacing="0" w:afterAutospacing="0"/>
        <w:jc w:val="both"/>
        <w:rPr>
          <w:highlight w:val="none"/>
        </w:rPr>
      </w:pPr>
      <w:r>
        <w:rPr>
          <w:highlight w:val="none"/>
        </w:rPr>
        <w:t> </w:t>
      </w:r>
    </w:p>
    <w:p w14:paraId="726FF3B9">
      <w:pPr>
        <w:pStyle w:val="7"/>
        <w:spacing w:beforeAutospacing="0" w:afterAutospacing="0"/>
        <w:jc w:val="both"/>
        <w:rPr>
          <w:highlight w:val="none"/>
        </w:rPr>
      </w:pPr>
      <w:r>
        <w:rPr>
          <w:highlight w:val="none"/>
        </w:rPr>
        <w:t> </w:t>
      </w:r>
    </w:p>
    <w:p w14:paraId="2DA54E0E">
      <w:pPr>
        <w:pStyle w:val="7"/>
        <w:spacing w:beforeAutospacing="0" w:afterAutospacing="0"/>
        <w:jc w:val="both"/>
        <w:rPr>
          <w:highlight w:val="none"/>
        </w:rPr>
      </w:pPr>
      <w:r>
        <w:rPr>
          <w:highlight w:val="none"/>
        </w:rPr>
        <w:t> </w:t>
      </w:r>
    </w:p>
    <w:p w14:paraId="20FE1C4E">
      <w:pPr>
        <w:pStyle w:val="7"/>
        <w:spacing w:beforeAutospacing="0" w:afterAutospacing="0"/>
        <w:jc w:val="both"/>
        <w:rPr>
          <w:highlight w:val="none"/>
        </w:rPr>
      </w:pPr>
      <w:r>
        <w:rPr>
          <w:highlight w:val="none"/>
        </w:rPr>
        <w:t> </w:t>
      </w:r>
    </w:p>
    <w:p w14:paraId="2659AB6A">
      <w:pPr>
        <w:pStyle w:val="7"/>
        <w:spacing w:beforeAutospacing="0" w:afterAutospacing="0"/>
        <w:jc w:val="both"/>
        <w:rPr>
          <w:highlight w:val="none"/>
        </w:rPr>
      </w:pPr>
      <w:r>
        <w:rPr>
          <w:highlight w:val="none"/>
        </w:rPr>
        <w:t> </w:t>
      </w:r>
    </w:p>
    <w:p w14:paraId="044AC8DD">
      <w:pPr>
        <w:pStyle w:val="7"/>
        <w:spacing w:beforeAutospacing="0" w:afterAutospacing="0"/>
        <w:jc w:val="both"/>
        <w:rPr>
          <w:rFonts w:hint="eastAsia" w:ascii="黑体" w:hAnsi="宋体" w:eastAsia="黑体" w:cs="黑体"/>
          <w:color w:val="000000"/>
          <w:sz w:val="44"/>
          <w:szCs w:val="44"/>
          <w:highlight w:val="none"/>
        </w:rPr>
        <w:sectPr>
          <w:pgSz w:w="11906" w:h="16838"/>
          <w:pgMar w:top="1440" w:right="1800" w:bottom="1440" w:left="1800" w:header="851" w:footer="992" w:gutter="0"/>
          <w:cols w:space="425" w:num="1"/>
          <w:docGrid w:type="lines" w:linePitch="312" w:charSpace="0"/>
        </w:sectPr>
      </w:pPr>
    </w:p>
    <w:p w14:paraId="46154823">
      <w:pPr>
        <w:pStyle w:val="7"/>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7"/>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54A8B89E">
      <w:pPr>
        <w:pStyle w:val="7"/>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sz w:val="24"/>
          <w:szCs w:val="24"/>
          <w:highlight w:val="none"/>
        </w:rPr>
      </w:pPr>
      <w:r>
        <w:rPr>
          <w:rFonts w:hint="eastAsia" w:ascii="宋体" w:hAnsi="宋体" w:cs="宋体"/>
          <w:color w:val="000000"/>
          <w:lang w:eastAsia="zh-CN"/>
        </w:rPr>
        <w:t>富安镇政府食堂食材及日用品采购服务（二次）</w:t>
      </w:r>
      <w:r>
        <w:rPr>
          <w:rFonts w:hint="eastAsia" w:ascii="宋体" w:hAnsi="宋体" w:eastAsia="宋体" w:cs="宋体"/>
          <w:color w:val="000000"/>
          <w:lang w:eastAsia="zh-CN"/>
        </w:rPr>
        <w:t>JSZC-320981-JBGS-G2026-0011</w:t>
      </w:r>
      <w:r>
        <w:rPr>
          <w:rFonts w:hint="eastAsia" w:ascii="宋体" w:hAnsi="宋体" w:eastAsia="宋体" w:cs="宋体"/>
          <w:color w:val="000000"/>
          <w:lang w:val="en-US" w:eastAsia="zh-CN"/>
        </w:rPr>
        <w:t xml:space="preserve"> </w:t>
      </w:r>
      <w:r>
        <w:rPr>
          <w:rFonts w:hint="eastAsia" w:ascii="宋体" w:hAnsi="宋体" w:eastAsia="宋体" w:cs="宋体"/>
          <w:color w:val="000000"/>
        </w:rPr>
        <w:t>招标项目的潜在投标人</w:t>
      </w:r>
      <w:r>
        <w:rPr>
          <w:rFonts w:hint="eastAsia" w:ascii="宋体" w:hAnsi="宋体" w:eastAsia="宋体" w:cs="宋体"/>
          <w:color w:val="000000"/>
          <w:highlight w:val="none"/>
          <w:lang w:eastAsia="zh-CN"/>
        </w:rPr>
        <w:t>应</w:t>
      </w:r>
      <w:r>
        <w:rPr>
          <w:rFonts w:hint="eastAsia" w:ascii="宋体" w:hAnsi="宋体" w:eastAsia="宋体" w:cs="宋体"/>
          <w:color w:val="000000"/>
        </w:rPr>
        <w:t>在</w:t>
      </w:r>
      <w:r>
        <w:rPr>
          <w:rFonts w:hint="eastAsia" w:ascii="宋体" w:hAnsi="宋体" w:eastAsia="宋体" w:cs="宋体"/>
          <w:color w:val="333333"/>
          <w:shd w:val="clear" w:color="auto" w:fill="FFFFFF"/>
        </w:rPr>
        <w:t>“苏采云”系统内免费下载（投标人必须在苏采云系统中获取采购文件，方能参与政府采购项目）获取招标文件</w:t>
      </w:r>
      <w:r>
        <w:rPr>
          <w:rFonts w:hint="eastAsia" w:ascii="宋体" w:hAnsi="宋体" w:eastAsia="宋体" w:cs="宋体"/>
          <w:color w:val="000000"/>
        </w:rPr>
        <w:t>，并于</w:t>
      </w:r>
      <w:r>
        <w:rPr>
          <w:rFonts w:hint="eastAsia" w:ascii="宋体" w:hAnsi="宋体" w:eastAsia="宋体" w:cs="宋体"/>
          <w:color w:val="000000"/>
          <w:lang w:val="en-US" w:eastAsia="zh-CN"/>
        </w:rPr>
        <w:t>202</w:t>
      </w:r>
      <w:r>
        <w:rPr>
          <w:rFonts w:hint="eastAsia" w:ascii="宋体" w:hAnsi="宋体" w:cs="宋体"/>
          <w:color w:val="000000"/>
          <w:lang w:val="en-US" w:eastAsia="zh-CN"/>
        </w:rPr>
        <w:t>6</w:t>
      </w:r>
      <w:r>
        <w:rPr>
          <w:rFonts w:hint="eastAsia" w:ascii="宋体" w:hAnsi="宋体" w:eastAsia="宋体" w:cs="宋体"/>
          <w:color w:val="000000"/>
        </w:rPr>
        <w:t>-</w:t>
      </w:r>
      <w:r>
        <w:rPr>
          <w:rFonts w:hint="eastAsia" w:ascii="宋体" w:hAnsi="宋体" w:cs="宋体"/>
          <w:color w:val="000000"/>
          <w:lang w:val="en-US" w:eastAsia="zh-CN"/>
        </w:rPr>
        <w:t>05</w:t>
      </w:r>
      <w:r>
        <w:rPr>
          <w:rFonts w:hint="eastAsia" w:ascii="宋体" w:hAnsi="宋体" w:eastAsia="宋体" w:cs="宋体"/>
          <w:color w:val="000000"/>
        </w:rPr>
        <w:t>-</w:t>
      </w:r>
      <w:r>
        <w:rPr>
          <w:rFonts w:hint="eastAsia" w:ascii="宋体" w:hAnsi="宋体" w:cs="宋体"/>
          <w:color w:val="000000"/>
          <w:lang w:val="en-US" w:eastAsia="zh-CN"/>
        </w:rPr>
        <w:t xml:space="preserve">18 </w:t>
      </w:r>
      <w:r>
        <w:rPr>
          <w:rFonts w:hint="eastAsia" w:ascii="宋体" w:hAnsi="宋体" w:cs="宋体"/>
          <w:color w:val="auto"/>
          <w:sz w:val="24"/>
          <w:highlight w:val="none"/>
          <w:lang w:val="en-US" w:eastAsia="zh-CN"/>
        </w:rPr>
        <w:t>08</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0</w:t>
      </w:r>
      <w:r>
        <w:rPr>
          <w:rFonts w:hint="eastAsia" w:ascii="宋体" w:hAnsi="宋体" w:eastAsia="宋体" w:cs="宋体"/>
          <w:color w:val="000000"/>
        </w:rPr>
        <w:t>（北京时间）前递交投标文件</w:t>
      </w:r>
      <w:r>
        <w:rPr>
          <w:rFonts w:hint="eastAsia" w:ascii="宋体" w:hAnsi="宋体" w:eastAsia="宋体" w:cs="宋体"/>
          <w:color w:val="000000"/>
          <w:sz w:val="24"/>
          <w:szCs w:val="24"/>
          <w:highlight w:val="none"/>
        </w:rPr>
        <w:t>。</w:t>
      </w:r>
    </w:p>
    <w:p w14:paraId="5C0F5791">
      <w:pPr>
        <w:pStyle w:val="7"/>
        <w:keepNext/>
        <w:keepLines/>
        <w:pageBreakBefore w:val="0"/>
        <w:kinsoku/>
        <w:wordWrap/>
        <w:overflowPunct/>
        <w:topLinePunct w:val="0"/>
        <w:autoSpaceDE/>
        <w:autoSpaceDN/>
        <w:bidi w:val="0"/>
        <w:adjustRightInd/>
        <w:snapToGrid/>
        <w:spacing w:beforeAutospacing="0" w:afterAutospacing="0" w:line="380" w:lineRule="exact"/>
        <w:ind w:firstLine="482" w:firstLineChars="200"/>
        <w:jc w:val="both"/>
        <w:textAlignment w:val="auto"/>
        <w:rPr>
          <w:rFonts w:hint="eastAsia" w:ascii="宋体" w:hAnsi="宋体" w:eastAsia="宋体" w:cs="宋体"/>
          <w:sz w:val="24"/>
          <w:szCs w:val="24"/>
          <w:highlight w:val="none"/>
        </w:rPr>
      </w:pPr>
      <w:bookmarkStart w:id="6" w:name="_Toc35393790"/>
      <w:bookmarkStart w:id="7" w:name="_Toc28359002"/>
      <w:bookmarkStart w:id="8" w:name="_Hlk24379207"/>
      <w:bookmarkStart w:id="9" w:name="_Toc28359079"/>
      <w:bookmarkStart w:id="10" w:name="_Toc35393621"/>
      <w:bookmarkStart w:id="11" w:name="_Toc38985263"/>
      <w:r>
        <w:rPr>
          <w:rFonts w:hint="eastAsia" w:ascii="宋体" w:hAnsi="宋体" w:eastAsia="宋体" w:cs="宋体"/>
          <w:b/>
          <w:color w:val="000000"/>
          <w:sz w:val="24"/>
          <w:szCs w:val="24"/>
          <w:highlight w:val="none"/>
        </w:rPr>
        <w:t>一、项目基本情况</w:t>
      </w:r>
      <w:bookmarkEnd w:id="6"/>
      <w:bookmarkEnd w:id="7"/>
      <w:bookmarkEnd w:id="8"/>
      <w:bookmarkEnd w:id="9"/>
      <w:bookmarkEnd w:id="10"/>
      <w:bookmarkEnd w:id="11"/>
    </w:p>
    <w:p w14:paraId="6E8C93EC">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1.项目编号：</w:t>
      </w:r>
      <w:r>
        <w:rPr>
          <w:rFonts w:hint="eastAsia" w:ascii="宋体" w:hAnsi="宋体" w:eastAsia="宋体" w:cs="宋体"/>
          <w:color w:val="000000"/>
          <w:sz w:val="24"/>
          <w:szCs w:val="24"/>
          <w:highlight w:val="none"/>
          <w:lang w:eastAsia="zh-CN"/>
        </w:rPr>
        <w:t>JSZC-320981-JBGS-G2026-0011</w:t>
      </w:r>
    </w:p>
    <w:p w14:paraId="724DA292">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bookmarkStart w:id="198" w:name="_GoBack"/>
      <w:bookmarkEnd w:id="198"/>
      <w:r>
        <w:rPr>
          <w:rFonts w:hint="eastAsia" w:ascii="宋体" w:hAnsi="宋体" w:eastAsia="宋体" w:cs="宋体"/>
          <w:color w:val="000000"/>
          <w:sz w:val="24"/>
          <w:szCs w:val="24"/>
          <w:highlight w:val="none"/>
          <w:lang w:eastAsia="zh-CN"/>
        </w:rPr>
        <w:t>富安镇政府食堂食材及日用品采购服务（二次）</w:t>
      </w:r>
    </w:p>
    <w:p w14:paraId="35EBDC8A">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45211976">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360万元/三年（120万元/年）</w:t>
      </w:r>
    </w:p>
    <w:p w14:paraId="638F2993">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最高限价（如有）：</w:t>
      </w:r>
      <w:r>
        <w:rPr>
          <w:rFonts w:hint="eastAsia" w:ascii="宋体" w:hAnsi="宋体" w:eastAsia="宋体" w:cs="宋体"/>
          <w:b/>
          <w:color w:val="auto"/>
          <w:sz w:val="24"/>
          <w:szCs w:val="24"/>
          <w:highlight w:val="none"/>
          <w:u w:val="none"/>
          <w:lang w:val="en-US" w:eastAsia="zh-CN"/>
        </w:rPr>
        <w:t>5</w:t>
      </w:r>
      <w:r>
        <w:rPr>
          <w:rFonts w:hint="eastAsia" w:ascii="宋体" w:hAnsi="宋体" w:eastAsia="宋体" w:cs="宋体"/>
          <w:b/>
          <w:color w:val="auto"/>
          <w:sz w:val="24"/>
          <w:szCs w:val="24"/>
          <w:highlight w:val="none"/>
          <w:u w:val="none"/>
        </w:rPr>
        <w:t>%＜优惠率＜100%，超出该范围的响应无效</w:t>
      </w:r>
    </w:p>
    <w:p w14:paraId="2F3263F6">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.采购需求（简介）：拟确定一家</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负责提供机关食堂每日大米、面粉、蔬菜、水果、牛奶、新鲜肉类、水产品、调味品等食材及日用品，</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应确保食材质量达标、新鲜卫生、安全可靠，费用按实际采购量计算，价格不高于同期门店售价(含税)，特价商品按实计算</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（详细内容见本</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文件第四章）</w:t>
      </w:r>
    </w:p>
    <w:p w14:paraId="71E59D54">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自合同签订之日起一年（合同一年一签，经采购人考核合格后可续签一年，续签最多不超过两次）</w:t>
      </w:r>
    </w:p>
    <w:p w14:paraId="52432C18">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本项目（是/否）接受联合体投标：否</w:t>
      </w:r>
    </w:p>
    <w:p w14:paraId="0D95F988">
      <w:pPr>
        <w:pStyle w:val="7"/>
        <w:keepNext/>
        <w:keepLines/>
        <w:pageBreakBefore w:val="0"/>
        <w:kinsoku/>
        <w:wordWrap/>
        <w:overflowPunct/>
        <w:topLinePunct w:val="0"/>
        <w:autoSpaceDE/>
        <w:autoSpaceDN/>
        <w:bidi w:val="0"/>
        <w:adjustRightInd/>
        <w:snapToGrid/>
        <w:spacing w:beforeAutospacing="0" w:afterAutospacing="0" w:line="380" w:lineRule="exact"/>
        <w:ind w:firstLine="482" w:firstLineChars="200"/>
        <w:jc w:val="both"/>
        <w:textAlignment w:val="auto"/>
        <w:rPr>
          <w:rFonts w:hint="eastAsia" w:ascii="宋体" w:hAnsi="宋体" w:eastAsia="宋体" w:cs="宋体"/>
          <w:sz w:val="24"/>
          <w:szCs w:val="24"/>
          <w:highlight w:val="none"/>
        </w:rPr>
      </w:pPr>
      <w:bookmarkStart w:id="12" w:name="_Toc35393791"/>
      <w:bookmarkStart w:id="13" w:name="_Toc35393622"/>
      <w:bookmarkStart w:id="14" w:name="_Toc28359003"/>
      <w:bookmarkStart w:id="15" w:name="_Toc38985264"/>
      <w:bookmarkStart w:id="16" w:name="_Toc28359080"/>
      <w:r>
        <w:rPr>
          <w:rFonts w:hint="eastAsia" w:ascii="宋体" w:hAnsi="宋体" w:eastAsia="宋体" w:cs="宋体"/>
          <w:b/>
          <w:color w:val="000000"/>
          <w:sz w:val="24"/>
          <w:szCs w:val="24"/>
          <w:highlight w:val="none"/>
        </w:rPr>
        <w:t>二、申请人的资格要求：</w:t>
      </w:r>
      <w:bookmarkEnd w:id="12"/>
      <w:bookmarkEnd w:id="13"/>
      <w:bookmarkEnd w:id="14"/>
      <w:bookmarkEnd w:id="15"/>
      <w:bookmarkEnd w:id="16"/>
    </w:p>
    <w:p w14:paraId="1D22B421">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（一）满足《中华人民共和国政府采购法》第二十二条规定，并提供下列材料：</w:t>
      </w:r>
    </w:p>
    <w:p w14:paraId="3839587F">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1.法人或者其他组织的营业执照等证明文件，自然人的身份证明；</w:t>
      </w:r>
    </w:p>
    <w:p w14:paraId="747B7FCD">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上一年度</w:t>
      </w:r>
      <w:r>
        <w:rPr>
          <w:rFonts w:hint="eastAsia" w:ascii="宋体" w:hAnsi="宋体" w:cs="宋体"/>
          <w:color w:val="000000"/>
          <w:sz w:val="24"/>
          <w:szCs w:val="24"/>
          <w:highlight w:val="none"/>
          <w:lang w:val="en-US" w:eastAsia="zh-CN"/>
        </w:rPr>
        <w:t>或上上年度</w:t>
      </w:r>
      <w:r>
        <w:rPr>
          <w:rFonts w:hint="eastAsia" w:ascii="宋体" w:hAnsi="宋体" w:eastAsia="宋体" w:cs="宋体"/>
          <w:color w:val="000000"/>
          <w:sz w:val="24"/>
          <w:szCs w:val="24"/>
          <w:highlight w:val="none"/>
        </w:rPr>
        <w:t>的财务状况报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（至少提供资产负债表、利润表、现金流量表，投标人成立不满一年无需提供）；</w:t>
      </w:r>
    </w:p>
    <w:p w14:paraId="1459E6E0">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具备履行合同所必需的设备和专业技术能力的书面声明；</w:t>
      </w:r>
    </w:p>
    <w:p w14:paraId="5312617D">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参加政府采购活动前3年内在经营活动中没有重大违法记录的书面声明</w:t>
      </w:r>
      <w:r>
        <w:rPr>
          <w:rFonts w:hint="eastAsia" w:ascii="宋体" w:hAnsi="宋体" w:eastAsia="宋体" w:cs="宋体"/>
          <w:color w:val="000000"/>
          <w:sz w:val="24"/>
          <w:szCs w:val="24"/>
          <w:highlight w:val="none"/>
          <w:lang w:eastAsia="zh-CN"/>
        </w:rPr>
        <w:t>；</w:t>
      </w:r>
    </w:p>
    <w:p w14:paraId="48E03DAE">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6.法律、行政法规规定的其他条件；</w:t>
      </w:r>
    </w:p>
    <w:p w14:paraId="359C15D0">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单位负责人为同一人或者存在直接控股、管理关系的不同供应商，不得参加同一合同项下的政府采购活动。（自行承诺，格式自理）</w:t>
      </w:r>
    </w:p>
    <w:p w14:paraId="444123D7">
      <w:pPr>
        <w:pStyle w:val="7"/>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落实政府采购政策需满足的资格要求：</w:t>
      </w:r>
      <w:r>
        <w:rPr>
          <w:rFonts w:hint="eastAsia" w:ascii="宋体" w:hAnsi="宋体" w:eastAsia="宋体" w:cs="宋体"/>
          <w:color w:val="000000"/>
          <w:sz w:val="24"/>
          <w:szCs w:val="24"/>
          <w:highlight w:val="none"/>
          <w:lang w:val="en-US" w:eastAsia="zh-CN"/>
        </w:rPr>
        <w:t>本项目为专门面向中小企业采购的项目,投标人必须为中小微企业（或监狱企业或残疾人福利性单位），不接受非中小微型企业（或监狱企业或残疾人福利性单位）参与本项目投标。投标文件中须提供《中小企业声明函》，《中小企业声明函》不符合要求或未提供的，投标文件无效。</w:t>
      </w:r>
    </w:p>
    <w:p w14:paraId="56CD689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right="0"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w:t>
      </w:r>
    </w:p>
    <w:p w14:paraId="3BA17C3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right="0"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投标人如委托被授权人参与，则被授权人须为本单位正式职工并提供投标人近期为被授权人缴纳的社会养老保险证明</w:t>
      </w:r>
      <w:r>
        <w:rPr>
          <w:rFonts w:hint="eastAsia" w:ascii="宋体" w:hAnsi="宋体" w:eastAsia="宋体" w:cs="宋体"/>
          <w:color w:val="000000"/>
          <w:sz w:val="24"/>
          <w:szCs w:val="24"/>
          <w:highlight w:val="none"/>
          <w:lang w:eastAsia="zh-CN"/>
        </w:rPr>
        <w:t>。</w:t>
      </w:r>
    </w:p>
    <w:p w14:paraId="223DACE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right="0" w:firstLine="480" w:firstLineChars="20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2.供应商为经营型企业的须具有行业主管部门颁发的《食品流通许可证》或《食品经营许可证》，若为生产型企业还须提供《食品生产许可证》，许可证均在有效期内。</w:t>
      </w:r>
    </w:p>
    <w:p w14:paraId="63754E56">
      <w:pPr>
        <w:pStyle w:val="7"/>
        <w:keepNext/>
        <w:keepLines/>
        <w:pageBreakBefore w:val="0"/>
        <w:kinsoku/>
        <w:wordWrap/>
        <w:overflowPunct/>
        <w:topLinePunct w:val="0"/>
        <w:autoSpaceDE/>
        <w:autoSpaceDN/>
        <w:bidi w:val="0"/>
        <w:adjustRightInd/>
        <w:snapToGrid/>
        <w:spacing w:beforeAutospacing="0" w:afterAutospacing="0" w:line="38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1A37E12E">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sz w:val="24"/>
          <w:szCs w:val="32"/>
        </w:rPr>
      </w:pPr>
      <w:bookmarkStart w:id="17" w:name="_Toc35393793"/>
      <w:bookmarkStart w:id="18" w:name="_Toc28359082"/>
      <w:bookmarkStart w:id="19" w:name="_Toc35393624"/>
      <w:bookmarkStart w:id="20" w:name="_Toc28359005"/>
      <w:bookmarkStart w:id="21" w:name="_Toc38985266"/>
      <w:r>
        <w:rPr>
          <w:rFonts w:hint="eastAsia"/>
          <w:sz w:val="24"/>
          <w:szCs w:val="32"/>
        </w:rPr>
        <w:t>1.时间：</w:t>
      </w:r>
      <w:bookmarkEnd w:id="17"/>
      <w:bookmarkEnd w:id="18"/>
      <w:bookmarkEnd w:id="19"/>
      <w:bookmarkEnd w:id="20"/>
      <w:bookmarkEnd w:id="21"/>
      <w:r>
        <w:rPr>
          <w:rFonts w:hint="eastAsia"/>
          <w:sz w:val="24"/>
          <w:szCs w:val="32"/>
          <w:lang w:val="en-US" w:eastAsia="zh-CN"/>
        </w:rPr>
        <w:t>自招标文件公告发布之日起5个工作日</w:t>
      </w:r>
    </w:p>
    <w:p w14:paraId="3E02B509">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sz w:val="24"/>
          <w:szCs w:val="32"/>
          <w:lang w:val="en-US" w:eastAsia="zh-CN"/>
        </w:rPr>
      </w:pPr>
      <w:r>
        <w:rPr>
          <w:rFonts w:hint="eastAsia"/>
          <w:sz w:val="24"/>
          <w:szCs w:val="32"/>
          <w:lang w:val="en-US" w:eastAsia="zh-CN"/>
        </w:rPr>
        <w:t>2.地点：“苏采云”系统内免费下载（投标人必须在苏采云系统中获取采购文件，方能参与政府采购项目）</w:t>
      </w:r>
    </w:p>
    <w:p w14:paraId="45D50D1C">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sz w:val="24"/>
          <w:szCs w:val="32"/>
          <w:lang w:val="en-US" w:eastAsia="zh-CN"/>
        </w:rPr>
      </w:pPr>
      <w:r>
        <w:rPr>
          <w:rFonts w:hint="eastAsia"/>
          <w:sz w:val="24"/>
          <w:szCs w:val="32"/>
          <w:lang w:val="en-US" w:eastAsia="zh-CN"/>
        </w:rPr>
        <w:t>3.方式：本项目采用网上注册登记方式</w:t>
      </w:r>
    </w:p>
    <w:p w14:paraId="190D7F48">
      <w:pPr>
        <w:pStyle w:val="7"/>
        <w:keepNext/>
        <w:keepLines/>
        <w:pageBreakBefore w:val="0"/>
        <w:kinsoku/>
        <w:wordWrap/>
        <w:overflowPunct/>
        <w:topLinePunct w:val="0"/>
        <w:autoSpaceDE/>
        <w:autoSpaceDN/>
        <w:bidi w:val="0"/>
        <w:adjustRightInd/>
        <w:snapToGrid/>
        <w:spacing w:beforeAutospacing="0" w:afterAutospacing="0" w:line="380" w:lineRule="exact"/>
        <w:ind w:firstLine="480" w:firstLineChars="200"/>
        <w:jc w:val="both"/>
        <w:textAlignment w:val="auto"/>
        <w:rPr>
          <w:rFonts w:hint="eastAsia"/>
          <w:sz w:val="24"/>
          <w:szCs w:val="32"/>
          <w:lang w:val="en-US" w:eastAsia="zh-CN"/>
        </w:rPr>
      </w:pPr>
      <w:r>
        <w:rPr>
          <w:rFonts w:hint="eastAsia"/>
          <w:sz w:val="24"/>
          <w:szCs w:val="32"/>
          <w:lang w:val="en-US" w:eastAsia="zh-CN"/>
        </w:rPr>
        <w:t>4.售价：0元</w:t>
      </w:r>
    </w:p>
    <w:p w14:paraId="48944B76">
      <w:pPr>
        <w:pStyle w:val="7"/>
        <w:keepNext/>
        <w:keepLines/>
        <w:pageBreakBefore w:val="0"/>
        <w:kinsoku/>
        <w:wordWrap/>
        <w:overflowPunct/>
        <w:topLinePunct w:val="0"/>
        <w:autoSpaceDE/>
        <w:autoSpaceDN/>
        <w:bidi w:val="0"/>
        <w:adjustRightInd/>
        <w:snapToGrid/>
        <w:spacing w:beforeAutospacing="0" w:afterAutospacing="0" w:line="38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24758BDA">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sz w:val="24"/>
          <w:szCs w:val="32"/>
          <w:lang w:val="en-US" w:eastAsia="zh-CN"/>
        </w:rPr>
      </w:pPr>
      <w:r>
        <w:rPr>
          <w:rFonts w:hint="eastAsia"/>
          <w:sz w:val="24"/>
          <w:szCs w:val="32"/>
          <w:lang w:val="en-US" w:eastAsia="zh-CN"/>
        </w:rPr>
        <w:t>1.时间：</w:t>
      </w:r>
      <w:r>
        <w:rPr>
          <w:rFonts w:hint="eastAsia" w:ascii="宋体" w:hAnsi="宋体" w:eastAsia="宋体" w:cs="宋体"/>
          <w:color w:val="auto"/>
          <w:sz w:val="24"/>
          <w:highlight w:val="none"/>
          <w:lang w:val="en-US" w:eastAsia="zh-CN"/>
        </w:rPr>
        <w:t>2026-</w:t>
      </w:r>
      <w:r>
        <w:rPr>
          <w:rFonts w:hint="eastAsia" w:ascii="宋体" w:hAnsi="宋体" w:cs="宋体"/>
          <w:color w:val="auto"/>
          <w:sz w:val="24"/>
          <w:highlight w:val="none"/>
          <w:lang w:val="en-US" w:eastAsia="zh-CN"/>
        </w:rPr>
        <w:t>05</w:t>
      </w:r>
      <w:r>
        <w:rPr>
          <w:rFonts w:hint="eastAsia" w:ascii="宋体" w:hAnsi="宋体" w:eastAsia="宋体" w:cs="宋体"/>
          <w:color w:val="auto"/>
          <w:sz w:val="24"/>
          <w:highlight w:val="none"/>
          <w:lang w:val="en-US" w:eastAsia="zh-CN"/>
        </w:rPr>
        <w:t>-18</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08</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0（北京时间）</w:t>
      </w:r>
    </w:p>
    <w:p w14:paraId="38C49504">
      <w:pPr>
        <w:keepNext w:val="0"/>
        <w:keepLines w:val="0"/>
        <w:pageBreakBefore w:val="0"/>
        <w:widowControl/>
        <w:suppressLineNumbers w:val="0"/>
        <w:kinsoku/>
        <w:wordWrap/>
        <w:overflowPunct/>
        <w:topLinePunct w:val="0"/>
        <w:autoSpaceDE/>
        <w:autoSpaceDN/>
        <w:bidi w:val="0"/>
        <w:adjustRightInd/>
        <w:snapToGrid/>
        <w:spacing w:line="3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sz w:val="24"/>
          <w:szCs w:val="32"/>
          <w:lang w:val="en-US" w:eastAsia="zh-CN"/>
        </w:rPr>
        <w:t>2.地点：苏采云“不见面”开标大厅</w:t>
      </w:r>
    </w:p>
    <w:p w14:paraId="24E0C040">
      <w:pPr>
        <w:pStyle w:val="7"/>
        <w:keepNext/>
        <w:keepLines/>
        <w:pageBreakBefore w:val="0"/>
        <w:kinsoku/>
        <w:wordWrap/>
        <w:overflowPunct/>
        <w:topLinePunct w:val="0"/>
        <w:autoSpaceDE/>
        <w:autoSpaceDN/>
        <w:bidi w:val="0"/>
        <w:adjustRightInd/>
        <w:snapToGrid/>
        <w:spacing w:beforeAutospacing="0" w:afterAutospacing="0" w:line="380" w:lineRule="exact"/>
        <w:ind w:firstLine="482" w:firstLineChars="200"/>
        <w:jc w:val="both"/>
        <w:textAlignment w:val="auto"/>
        <w:rPr>
          <w:rFonts w:hint="eastAsia" w:ascii="宋体" w:hAnsi="宋体" w:eastAsia="宋体" w:cs="宋体"/>
          <w:sz w:val="24"/>
          <w:szCs w:val="24"/>
          <w:highlight w:val="none"/>
        </w:rPr>
      </w:pPr>
      <w:bookmarkStart w:id="22" w:name="_Toc35393794"/>
      <w:bookmarkStart w:id="23" w:name="_Toc28359007"/>
      <w:bookmarkStart w:id="24" w:name="_Toc28359084"/>
      <w:bookmarkStart w:id="25" w:name="_Toc35393625"/>
      <w:bookmarkStart w:id="26" w:name="_Toc38985267"/>
      <w:r>
        <w:rPr>
          <w:rFonts w:hint="eastAsia" w:ascii="宋体" w:hAnsi="宋体" w:eastAsia="宋体" w:cs="宋体"/>
          <w:b/>
          <w:color w:val="000000"/>
          <w:sz w:val="24"/>
          <w:szCs w:val="24"/>
          <w:highlight w:val="none"/>
        </w:rPr>
        <w:t>五、公告期限</w:t>
      </w:r>
      <w:bookmarkEnd w:id="22"/>
      <w:bookmarkEnd w:id="23"/>
      <w:bookmarkEnd w:id="24"/>
      <w:bookmarkEnd w:id="25"/>
      <w:bookmarkEnd w:id="26"/>
    </w:p>
    <w:p w14:paraId="7C2197F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7" w:name="_Toc35393795"/>
      <w:bookmarkStart w:id="28" w:name="_Toc38985268"/>
      <w:bookmarkStart w:id="29" w:name="_Toc35393626"/>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7"/>
      <w:bookmarkEnd w:id="28"/>
      <w:bookmarkEnd w:id="29"/>
    </w:p>
    <w:p w14:paraId="637476BB">
      <w:pPr>
        <w:pStyle w:val="7"/>
        <w:keepNext/>
        <w:keepLines/>
        <w:pageBreakBefore w:val="0"/>
        <w:kinsoku/>
        <w:wordWrap/>
        <w:overflowPunct/>
        <w:topLinePunct w:val="0"/>
        <w:autoSpaceDE/>
        <w:autoSpaceDN/>
        <w:bidi w:val="0"/>
        <w:adjustRightInd/>
        <w:snapToGrid/>
        <w:spacing w:beforeAutospacing="0" w:afterAutospacing="0" w:line="380" w:lineRule="exact"/>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0"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ageBreakBefore w:val="0"/>
        <w:numPr>
          <w:ilvl w:val="0"/>
          <w:numId w:val="0"/>
        </w:numPr>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i w:val="0"/>
          <w:iCs w:val="0"/>
          <w:caps w:val="0"/>
          <w:color w:val="333333"/>
          <w:spacing w:val="0"/>
          <w:sz w:val="24"/>
          <w:szCs w:val="24"/>
          <w:highlight w:val="none"/>
          <w:shd w:val="clear" w:fill="FFFFFF"/>
          <w:lang w:val="en-US" w:eastAsia="zh-CN"/>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suppressLineNumbers w:val="0"/>
        <w:kinsoku/>
        <w:wordWrap/>
        <w:overflowPunct/>
        <w:topLinePunct w:val="0"/>
        <w:autoSpaceDE/>
        <w:autoSpaceDN/>
        <w:bidi w:val="0"/>
        <w:adjustRightInd/>
        <w:snapToGrid/>
        <w:spacing w:line="3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 潜在供应商访问电子招标响应交易平台的网络地址和方法： </w:t>
      </w:r>
    </w:p>
    <w:p w14:paraId="32A21B87">
      <w:pPr>
        <w:keepNext w:val="0"/>
        <w:keepLines w:val="0"/>
        <w:pageBreakBefore w:val="0"/>
        <w:widowControl/>
        <w:suppressLineNumbers w:val="0"/>
        <w:kinsoku/>
        <w:wordWrap/>
        <w:overflowPunct/>
        <w:topLinePunct w:val="0"/>
        <w:autoSpaceDE/>
        <w:autoSpaceDN/>
        <w:bidi w:val="0"/>
        <w:adjustRightInd/>
        <w:snapToGrid/>
        <w:spacing w:line="3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suppressLineNumbers w:val="0"/>
        <w:kinsoku/>
        <w:wordWrap/>
        <w:overflowPunct/>
        <w:topLinePunct w:val="0"/>
        <w:autoSpaceDE/>
        <w:autoSpaceDN/>
        <w:bidi w:val="0"/>
        <w:adjustRightInd/>
        <w:snapToGrid/>
        <w:spacing w:line="3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pageBreakBefore w:val="0"/>
        <w:widowControl/>
        <w:suppressLineNumbers w:val="0"/>
        <w:kinsoku/>
        <w:wordWrap/>
        <w:overflowPunct/>
        <w:topLinePunct w:val="0"/>
        <w:autoSpaceDE/>
        <w:autoSpaceDN/>
        <w:bidi w:val="0"/>
        <w:adjustRightInd/>
        <w:snapToGrid/>
        <w:spacing w:line="3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pageBreakBefore w:val="0"/>
        <w:widowControl/>
        <w:suppressLineNumbers w:val="0"/>
        <w:kinsoku/>
        <w:wordWrap/>
        <w:overflowPunct/>
        <w:topLinePunct w:val="0"/>
        <w:autoSpaceDE/>
        <w:autoSpaceDN/>
        <w:bidi w:val="0"/>
        <w:adjustRightInd/>
        <w:snapToGrid/>
        <w:spacing w:line="3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pageBreakBefore w:val="0"/>
        <w:widowControl/>
        <w:suppressLineNumbers w:val="0"/>
        <w:kinsoku/>
        <w:wordWrap/>
        <w:overflowPunct/>
        <w:topLinePunct w:val="0"/>
        <w:autoSpaceDE/>
        <w:autoSpaceDN/>
        <w:bidi w:val="0"/>
        <w:adjustRightInd/>
        <w:snapToGrid/>
        <w:spacing w:line="3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pageBreakBefore w:val="0"/>
        <w:widowControl/>
        <w:suppressLineNumbers w:val="0"/>
        <w:kinsoku/>
        <w:wordWrap/>
        <w:overflowPunct/>
        <w:topLinePunct w:val="0"/>
        <w:autoSpaceDE/>
        <w:autoSpaceDN/>
        <w:bidi w:val="0"/>
        <w:adjustRightInd/>
        <w:snapToGrid/>
        <w:spacing w:line="3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364CCC01">
      <w:pPr>
        <w:keepNext w:val="0"/>
        <w:keepLines w:val="0"/>
        <w:pageBreakBefore w:val="0"/>
        <w:widowControl/>
        <w:suppressLineNumbers w:val="0"/>
        <w:kinsoku/>
        <w:wordWrap/>
        <w:overflowPunct/>
        <w:topLinePunct w:val="0"/>
        <w:autoSpaceDE/>
        <w:autoSpaceDN/>
        <w:bidi w:val="0"/>
        <w:adjustRightInd/>
        <w:snapToGrid/>
        <w:spacing w:line="38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3.有关本次招标的事项若存在变动或修改，敬请及时关注盐城市政府采购中心在“中国政府采购网”“江苏政府采购网”“盐城市政府采购网”发布的更正公告。</w:t>
      </w:r>
    </w:p>
    <w:p w14:paraId="48E07BE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w:t>
      </w:r>
    </w:p>
    <w:p w14:paraId="5BFADC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left="0" w:right="0" w:firstLine="480" w:firstLineChars="200"/>
        <w:jc w:val="both"/>
        <w:textAlignment w:val="auto"/>
        <w:rPr>
          <w:rFonts w:hint="eastAsia" w:ascii="宋体" w:hAnsi="宋体" w:eastAsia="宋体" w:cs="宋体"/>
          <w:b w:val="0"/>
          <w:bCs w:val="0"/>
          <w:i w:val="0"/>
          <w:iCs w:val="0"/>
          <w:caps w:val="0"/>
          <w:color w:val="333333"/>
          <w:spacing w:val="0"/>
          <w:sz w:val="24"/>
          <w:szCs w:val="24"/>
          <w:highlight w:val="none"/>
        </w:rPr>
      </w:pP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fill="FFFFFF"/>
        </w:rPr>
        <w:t>、对本次</w:t>
      </w: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fill="FFFFFF"/>
        </w:rPr>
        <w:t>提出询问，请按以下方式联系。</w:t>
      </w:r>
      <w:bookmarkEnd w:id="30"/>
    </w:p>
    <w:p w14:paraId="2EDA6F8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31" w:name="_Toc28359009"/>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01B0D42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w:t>
      </w:r>
      <w:r>
        <w:rPr>
          <w:rFonts w:hint="eastAsia" w:ascii="宋体" w:hAnsi="宋体" w:cs="宋体"/>
          <w:color w:val="000000"/>
          <w:sz w:val="24"/>
          <w:szCs w:val="24"/>
          <w:highlight w:val="none"/>
          <w:lang w:eastAsia="zh-CN"/>
        </w:rPr>
        <w:t>东台市富安镇人民政府</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0739A79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地址：</w:t>
      </w:r>
      <w:r>
        <w:rPr>
          <w:rFonts w:hint="eastAsia" w:ascii="宋体" w:hAnsi="宋体" w:cs="宋体"/>
          <w:color w:val="000000"/>
          <w:sz w:val="24"/>
          <w:szCs w:val="24"/>
          <w:highlight w:val="none"/>
          <w:lang w:val="en-US" w:eastAsia="zh-CN"/>
        </w:rPr>
        <w:t xml:space="preserve"> 东台市富安镇凤凰池路8号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11E162A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联系人：杨先生              </w:t>
      </w:r>
    </w:p>
    <w:p w14:paraId="03C6A7C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联系方式：18262872359              </w:t>
      </w:r>
    </w:p>
    <w:p w14:paraId="27B05B0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2.采购代理机构信息（如有）</w:t>
      </w:r>
    </w:p>
    <w:p w14:paraId="346D62D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称：江苏建博工程管理咨询有限公司 </w:t>
      </w:r>
    </w:p>
    <w:p w14:paraId="4822F82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 址：东台市秀峰美墅110号</w:t>
      </w:r>
    </w:p>
    <w:p w14:paraId="3E08FCC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联系人：吉先生                     </w:t>
      </w:r>
    </w:p>
    <w:p w14:paraId="605A73F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bookmarkStart w:id="32" w:name="_Toc28359010"/>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18306227893       </w:t>
      </w:r>
      <w:bookmarkEnd w:id="32"/>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p>
    <w:p w14:paraId="2CF997F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项目联系方式</w:t>
      </w:r>
    </w:p>
    <w:p w14:paraId="78910BF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80" w:lineRule="exact"/>
        <w:ind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项目联系人：吉先生</w:t>
      </w:r>
    </w:p>
    <w:p w14:paraId="5AA0D51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80" w:lineRule="exact"/>
        <w:ind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电　　 话：18306227893</w:t>
      </w:r>
      <w:r>
        <w:rPr>
          <w:rFonts w:hint="eastAsia" w:ascii="宋体" w:hAnsi="宋体" w:eastAsia="宋体" w:cs="宋体"/>
          <w:i w:val="0"/>
          <w:iCs w:val="0"/>
          <w:caps w:val="0"/>
          <w:color w:val="333333"/>
          <w:spacing w:val="0"/>
          <w:sz w:val="24"/>
          <w:szCs w:val="24"/>
          <w:highlight w:val="none"/>
          <w:shd w:val="clear" w:fill="FFFFFF"/>
          <w:lang w:val="en-US" w:eastAsia="zh-CN"/>
        </w:rPr>
        <w:t>　　　　　　　　　　　　</w:t>
      </w:r>
    </w:p>
    <w:p w14:paraId="2CEFCD0D">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1CD31E3">
      <w:pPr>
        <w:pStyle w:val="7"/>
        <w:spacing w:beforeAutospacing="0" w:afterAutospacing="0"/>
        <w:ind w:right="840"/>
        <w:jc w:val="center"/>
        <w:rPr>
          <w:highlight w:val="none"/>
        </w:rPr>
      </w:pPr>
      <w:r>
        <w:rPr>
          <w:rFonts w:hint="eastAsia" w:ascii="宋体" w:hAnsi="宋体" w:eastAsia="宋体" w:cs="宋体"/>
          <w:color w:val="000000"/>
          <w:sz w:val="24"/>
          <w:szCs w:val="24"/>
          <w:highlight w:val="none"/>
        </w:rPr>
        <w:br w:type="page"/>
      </w:r>
      <w:r>
        <w:rPr>
          <w:rFonts w:hint="eastAsia" w:ascii="宋体" w:hAnsi="宋体" w:eastAsia="宋体" w:cs="宋体"/>
          <w:color w:val="000000"/>
          <w:highlight w:val="none"/>
        </w:rPr>
        <w:t> </w:t>
      </w:r>
      <w:bookmarkStart w:id="35" w:name="_Toc120614211"/>
      <w:r>
        <w:rPr>
          <w:rFonts w:hint="eastAsia" w:ascii="宋体" w:hAnsi="宋体" w:eastAsia="宋体" w:cs="宋体"/>
          <w:color w:val="000000"/>
          <w:highlight w:val="none"/>
          <w:lang w:val="en-US" w:eastAsia="zh-CN"/>
        </w:rPr>
        <w:t xml:space="preserve">      </w:t>
      </w:r>
      <w:r>
        <w:rPr>
          <w:rFonts w:hint="eastAsia" w:ascii="黑体" w:hAnsi="宋体" w:eastAsia="黑体" w:cs="黑体"/>
          <w:b/>
          <w:color w:val="000000"/>
          <w:sz w:val="44"/>
          <w:szCs w:val="44"/>
          <w:highlight w:val="none"/>
        </w:rPr>
        <w:t xml:space="preserve">第二章  </w:t>
      </w:r>
      <w:bookmarkEnd w:id="35"/>
      <w:bookmarkStart w:id="36" w:name="_Toc513029202"/>
      <w:bookmarkStart w:id="37" w:name="_Toc16938518"/>
      <w:bookmarkStart w:id="38" w:name="_Toc120614213"/>
      <w:bookmarkStart w:id="39" w:name="_Toc20823274"/>
      <w:r>
        <w:rPr>
          <w:rFonts w:hint="eastAsia" w:ascii="黑体" w:hAnsi="宋体" w:eastAsia="黑体" w:cs="黑体"/>
          <w:b/>
          <w:color w:val="000000"/>
          <w:sz w:val="44"/>
          <w:szCs w:val="44"/>
          <w:highlight w:val="none"/>
        </w:rPr>
        <w:t>投标人须知</w:t>
      </w:r>
      <w:bookmarkEnd w:id="36"/>
      <w:bookmarkEnd w:id="37"/>
      <w:bookmarkEnd w:id="38"/>
      <w:bookmarkEnd w:id="39"/>
    </w:p>
    <w:p w14:paraId="064070F6">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2" w:firstLineChars="200"/>
        <w:jc w:val="both"/>
        <w:textAlignment w:val="auto"/>
        <w:rPr>
          <w:rFonts w:hint="eastAsia" w:ascii="宋体" w:hAnsi="宋体" w:eastAsia="宋体" w:cs="宋体"/>
          <w:sz w:val="24"/>
          <w:szCs w:val="24"/>
          <w:highlight w:val="none"/>
        </w:rPr>
      </w:pPr>
      <w:bookmarkStart w:id="40" w:name="_Toc513029203"/>
      <w:bookmarkStart w:id="41" w:name="_Toc16938519"/>
      <w:bookmarkStart w:id="42" w:name="_Toc20823275"/>
      <w:bookmarkStart w:id="43" w:name="_Toc120614214"/>
      <w:bookmarkStart w:id="44" w:name="_Hlt26954842"/>
      <w:bookmarkStart w:id="45" w:name="_Hlt26954838"/>
      <w:bookmarkStart w:id="46" w:name="_Hlt26670425"/>
      <w:bookmarkStart w:id="47" w:name="_Hlt26954734"/>
      <w:bookmarkStart w:id="48" w:name="_Hlt26954846"/>
      <w:bookmarkStart w:id="49" w:name="_Hlt26670482"/>
      <w:bookmarkStart w:id="50" w:name="_Hlt26954852"/>
      <w:bookmarkStart w:id="51" w:name="_Hlt26954848"/>
      <w:bookmarkStart w:id="52" w:name="_Hlt26670373"/>
      <w:bookmarkStart w:id="53" w:name="_Hlt26670403"/>
      <w:bookmarkStart w:id="54" w:name="_Hlt26668983"/>
      <w:bookmarkStart w:id="55" w:name="_Hlt26954850"/>
      <w:bookmarkStart w:id="56" w:name="_Hlt26954739"/>
      <w:bookmarkStart w:id="57" w:name="_Hlt26670360"/>
      <w:bookmarkStart w:id="58" w:name="_Hlt26954731"/>
      <w:bookmarkStart w:id="59" w:name="_Hlt26954844"/>
      <w:bookmarkStart w:id="60" w:name="_Hlt26670399"/>
      <w:bookmarkStart w:id="61" w:name="_Hlt26954840"/>
      <w:bookmarkStart w:id="62" w:name="_Toc513029226"/>
      <w:bookmarkStart w:id="63" w:name="_Hlt26670489"/>
      <w:bookmarkStart w:id="64" w:name="_Hlt26670486"/>
      <w:bookmarkStart w:id="65" w:name="_Hlt26668975"/>
      <w:bookmarkStart w:id="66" w:name="_Hlt16619475"/>
      <w:r>
        <w:rPr>
          <w:rFonts w:hint="eastAsia" w:ascii="宋体" w:hAnsi="宋体" w:eastAsia="宋体" w:cs="宋体"/>
          <w:b/>
          <w:color w:val="000000"/>
          <w:sz w:val="24"/>
          <w:szCs w:val="24"/>
          <w:highlight w:val="none"/>
        </w:rPr>
        <w:t>一、总则</w:t>
      </w:r>
      <w:bookmarkEnd w:id="40"/>
      <w:bookmarkEnd w:id="41"/>
      <w:bookmarkEnd w:id="42"/>
      <w:bookmarkEnd w:id="43"/>
    </w:p>
    <w:p w14:paraId="584DD6A3">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67" w:name="_Toc16938520"/>
      <w:bookmarkStart w:id="68" w:name="_Toc20823276"/>
      <w:bookmarkStart w:id="69" w:name="_Toc458694821"/>
      <w:bookmarkStart w:id="70" w:name="_Toc513029204"/>
      <w:r>
        <w:rPr>
          <w:rFonts w:hint="eastAsia" w:ascii="宋体" w:hAnsi="宋体" w:eastAsia="宋体" w:cs="宋体"/>
          <w:color w:val="000000"/>
          <w:sz w:val="24"/>
          <w:szCs w:val="24"/>
          <w:highlight w:val="none"/>
        </w:rPr>
        <w:t>1</w:t>
      </w:r>
      <w:bookmarkEnd w:id="67"/>
      <w:r>
        <w:rPr>
          <w:rFonts w:hint="eastAsia" w:ascii="宋体" w:hAnsi="宋体" w:eastAsia="宋体" w:cs="宋体"/>
          <w:color w:val="000000"/>
          <w:sz w:val="24"/>
          <w:szCs w:val="24"/>
          <w:highlight w:val="none"/>
        </w:rPr>
        <w:t>、招标方式</w:t>
      </w:r>
      <w:bookmarkEnd w:id="68"/>
      <w:bookmarkEnd w:id="69"/>
      <w:bookmarkEnd w:id="70"/>
    </w:p>
    <w:p w14:paraId="6CC868E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2F388461">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71" w:name="_Toc20823277"/>
      <w:bookmarkStart w:id="72" w:name="_Toc16938521"/>
      <w:bookmarkStart w:id="73" w:name="_Toc513029205"/>
      <w:r>
        <w:rPr>
          <w:rFonts w:hint="eastAsia" w:ascii="宋体" w:hAnsi="宋体" w:eastAsia="宋体" w:cs="宋体"/>
          <w:color w:val="000000"/>
          <w:sz w:val="24"/>
          <w:szCs w:val="24"/>
          <w:highlight w:val="none"/>
        </w:rPr>
        <w:t>2、合格的投标人</w:t>
      </w:r>
      <w:bookmarkEnd w:id="71"/>
      <w:bookmarkEnd w:id="72"/>
      <w:bookmarkEnd w:id="73"/>
    </w:p>
    <w:p w14:paraId="3AF5CE2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6911244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1FD32056">
      <w:pPr>
        <w:pageBreakBefore w:val="0"/>
        <w:widowControl w:val="0"/>
        <w:kinsoku/>
        <w:wordWrap/>
        <w:overflowPunct/>
        <w:topLinePunct w:val="0"/>
        <w:autoSpaceDE/>
        <w:autoSpaceDN/>
        <w:bidi w:val="0"/>
        <w:adjustRightInd/>
        <w:snapToGrid/>
        <w:spacing w:line="380" w:lineRule="exact"/>
        <w:ind w:left="0" w:firstLine="480" w:firstLineChars="200"/>
        <w:textAlignment w:val="auto"/>
        <w:rPr>
          <w:rFonts w:hint="eastAsia" w:ascii="方正魏碑_GBK" w:hAnsi="方正魏碑_GBK" w:eastAsia="方正魏碑_GBK" w:cs="方正魏碑_GBK"/>
          <w:color w:val="auto"/>
          <w:sz w:val="24"/>
          <w:szCs w:val="21"/>
        </w:rPr>
      </w:pPr>
      <w:bookmarkStart w:id="74" w:name="_Toc16938522"/>
      <w:bookmarkStart w:id="75" w:name="_Toc513029206"/>
      <w:bookmarkStart w:id="76" w:name="_Toc20823278"/>
      <w:bookmarkStart w:id="77" w:name="_Toc16938523"/>
      <w:bookmarkStart w:id="78" w:name="_Toc462564067"/>
      <w:bookmarkStart w:id="79" w:name="_Toc20823279"/>
      <w:bookmarkStart w:id="80" w:name="_Toc513029207"/>
      <w:r>
        <w:rPr>
          <w:rFonts w:hint="eastAsia" w:ascii="方正魏碑_GBK" w:hAnsi="方正魏碑_GBK" w:eastAsia="方正魏碑_GBK" w:cs="方正魏碑_GBK"/>
          <w:color w:val="auto"/>
          <w:sz w:val="24"/>
          <w:szCs w:val="21"/>
        </w:rPr>
        <w:t>3、适用法律</w:t>
      </w:r>
      <w:bookmarkEnd w:id="74"/>
      <w:bookmarkEnd w:id="75"/>
      <w:bookmarkEnd w:id="76"/>
      <w:r>
        <w:rPr>
          <w:rFonts w:hint="eastAsia" w:ascii="方正魏碑_GBK" w:hAnsi="方正魏碑_GBK" w:eastAsia="方正魏碑_GBK" w:cs="方正魏碑_GBK"/>
          <w:color w:val="auto"/>
          <w:sz w:val="24"/>
          <w:szCs w:val="21"/>
        </w:rPr>
        <w:t>和标准</w:t>
      </w:r>
    </w:p>
    <w:p w14:paraId="2DBD192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5825E59A">
      <w:pPr>
        <w:pageBreakBefore w:val="0"/>
        <w:widowControl w:val="0"/>
        <w:kinsoku/>
        <w:wordWrap/>
        <w:overflowPunct/>
        <w:topLinePunct w:val="0"/>
        <w:autoSpaceDE/>
        <w:autoSpaceDN/>
        <w:bidi w:val="0"/>
        <w:adjustRightInd/>
        <w:snapToGrid/>
        <w:spacing w:line="380" w:lineRule="exact"/>
        <w:ind w:left="0"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7003A4ED">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4、投标费用</w:t>
      </w:r>
      <w:bookmarkEnd w:id="77"/>
      <w:bookmarkEnd w:id="78"/>
      <w:bookmarkEnd w:id="79"/>
      <w:bookmarkEnd w:id="80"/>
    </w:p>
    <w:p w14:paraId="0929C37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在任何情况下均无义务和责任承担这些费用。</w:t>
      </w:r>
    </w:p>
    <w:p w14:paraId="7039AF8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4.2本次招标采购</w:t>
      </w:r>
      <w:r>
        <w:rPr>
          <w:rFonts w:hint="eastAsia" w:ascii="宋体" w:hAnsi="宋体" w:eastAsia="宋体" w:cs="宋体"/>
          <w:color w:val="000000"/>
          <w:sz w:val="24"/>
          <w:szCs w:val="24"/>
          <w:highlight w:val="none"/>
          <w:lang w:val="en-US" w:eastAsia="zh-CN"/>
        </w:rPr>
        <w:t>人</w:t>
      </w:r>
      <w:r>
        <w:rPr>
          <w:rFonts w:hint="eastAsia" w:ascii="宋体" w:hAnsi="宋体" w:eastAsia="宋体" w:cs="宋体"/>
          <w:color w:val="000000"/>
          <w:sz w:val="24"/>
          <w:szCs w:val="24"/>
          <w:highlight w:val="none"/>
        </w:rPr>
        <w:t>和</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不收取标书工本费与中标服务费。</w:t>
      </w:r>
    </w:p>
    <w:p w14:paraId="092B93EB">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招标文件的约束力</w:t>
      </w:r>
    </w:p>
    <w:p w14:paraId="2B63B3E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6497208A">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2" w:firstLineChars="200"/>
        <w:jc w:val="both"/>
        <w:textAlignment w:val="auto"/>
        <w:rPr>
          <w:rFonts w:hint="eastAsia" w:ascii="宋体" w:hAnsi="宋体" w:eastAsia="宋体" w:cs="宋体"/>
          <w:sz w:val="24"/>
          <w:szCs w:val="24"/>
          <w:highlight w:val="none"/>
        </w:rPr>
      </w:pPr>
      <w:bookmarkStart w:id="81" w:name="_Toc20823281"/>
      <w:bookmarkStart w:id="82" w:name="_Toc513029209"/>
      <w:bookmarkStart w:id="83" w:name="_Toc120614215"/>
      <w:bookmarkStart w:id="84" w:name="_Toc16938525"/>
      <w:r>
        <w:rPr>
          <w:rFonts w:hint="eastAsia" w:ascii="宋体" w:hAnsi="宋体" w:eastAsia="宋体" w:cs="宋体"/>
          <w:b/>
          <w:color w:val="000000"/>
          <w:sz w:val="24"/>
          <w:szCs w:val="24"/>
          <w:highlight w:val="none"/>
        </w:rPr>
        <w:t>二、招标文件</w:t>
      </w:r>
      <w:bookmarkEnd w:id="81"/>
      <w:bookmarkEnd w:id="82"/>
      <w:bookmarkEnd w:id="83"/>
      <w:bookmarkEnd w:id="84"/>
    </w:p>
    <w:p w14:paraId="42D4DBD4">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85" w:name="_Toc16938526"/>
      <w:bookmarkStart w:id="86" w:name="_Toc513029210"/>
      <w:bookmarkStart w:id="87" w:name="_Toc20823282"/>
      <w:r>
        <w:rPr>
          <w:rFonts w:hint="eastAsia" w:ascii="宋体" w:hAnsi="宋体" w:eastAsia="宋体" w:cs="宋体"/>
          <w:color w:val="000000"/>
          <w:sz w:val="24"/>
          <w:szCs w:val="24"/>
          <w:highlight w:val="none"/>
        </w:rPr>
        <w:t>6、招标文件构成</w:t>
      </w:r>
      <w:bookmarkEnd w:id="85"/>
      <w:bookmarkEnd w:id="86"/>
      <w:bookmarkEnd w:id="87"/>
    </w:p>
    <w:p w14:paraId="1CE2A069">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47C16255">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2D8612A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52C2D52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388EA20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43C120B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5A411B2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144A823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联系解决。</w:t>
      </w:r>
    </w:p>
    <w:p w14:paraId="480F337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7F974AA">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88" w:name="_Toc513029211"/>
      <w:bookmarkStart w:id="89" w:name="_Toc20823283"/>
      <w:bookmarkStart w:id="90" w:name="_Toc462564070"/>
      <w:bookmarkStart w:id="91" w:name="_Toc16938527"/>
      <w:r>
        <w:rPr>
          <w:rFonts w:hint="eastAsia" w:ascii="宋体" w:hAnsi="宋体" w:eastAsia="宋体" w:cs="宋体"/>
          <w:color w:val="000000"/>
          <w:sz w:val="24"/>
          <w:szCs w:val="24"/>
          <w:highlight w:val="none"/>
        </w:rPr>
        <w:t>7、招标文件的澄清</w:t>
      </w:r>
      <w:bookmarkEnd w:id="88"/>
      <w:bookmarkEnd w:id="89"/>
      <w:bookmarkEnd w:id="90"/>
      <w:bookmarkEnd w:id="91"/>
    </w:p>
    <w:p w14:paraId="67C153A9">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w:t>
      </w:r>
    </w:p>
    <w:p w14:paraId="677E72F5">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92" w:name="_Toc16938528"/>
      <w:bookmarkStart w:id="93" w:name="_Toc513029212"/>
      <w:bookmarkStart w:id="94" w:name="_Toc20823284"/>
      <w:bookmarkStart w:id="95" w:name="_Toc462564071"/>
      <w:r>
        <w:rPr>
          <w:rFonts w:hint="eastAsia" w:ascii="宋体" w:hAnsi="宋体" w:eastAsia="宋体" w:cs="宋体"/>
          <w:color w:val="000000"/>
          <w:sz w:val="24"/>
          <w:szCs w:val="24"/>
          <w:highlight w:val="none"/>
        </w:rPr>
        <w:t>8、招标文件的修改</w:t>
      </w:r>
      <w:bookmarkEnd w:id="92"/>
      <w:bookmarkEnd w:id="93"/>
      <w:bookmarkEnd w:id="94"/>
      <w:bookmarkEnd w:id="95"/>
    </w:p>
    <w:p w14:paraId="13945F0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可以对招标文件进行修改。</w:t>
      </w:r>
    </w:p>
    <w:p w14:paraId="6E760C11">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有权按照法定的要求推迟投标截止日期和开标日期。</w:t>
      </w:r>
    </w:p>
    <w:p w14:paraId="6AC3D93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02350581">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2" w:firstLineChars="200"/>
        <w:jc w:val="both"/>
        <w:textAlignment w:val="auto"/>
        <w:rPr>
          <w:rFonts w:hint="eastAsia" w:ascii="宋体" w:hAnsi="宋体" w:eastAsia="宋体" w:cs="宋体"/>
          <w:sz w:val="24"/>
          <w:szCs w:val="24"/>
          <w:highlight w:val="none"/>
        </w:rPr>
      </w:pPr>
      <w:bookmarkStart w:id="96" w:name="_Toc20823285"/>
      <w:bookmarkStart w:id="97" w:name="_Toc462564072"/>
      <w:bookmarkStart w:id="98" w:name="_Toc120614216"/>
      <w:bookmarkStart w:id="99" w:name="_Toc513029213"/>
      <w:bookmarkStart w:id="100" w:name="_Toc16938529"/>
      <w:r>
        <w:rPr>
          <w:rFonts w:hint="eastAsia" w:ascii="宋体" w:hAnsi="宋体" w:eastAsia="宋体" w:cs="宋体"/>
          <w:b/>
          <w:color w:val="000000"/>
          <w:sz w:val="24"/>
          <w:szCs w:val="24"/>
          <w:highlight w:val="none"/>
        </w:rPr>
        <w:t>三、投标文件的编制</w:t>
      </w:r>
      <w:bookmarkEnd w:id="96"/>
      <w:bookmarkEnd w:id="97"/>
      <w:bookmarkEnd w:id="98"/>
      <w:bookmarkEnd w:id="99"/>
      <w:bookmarkEnd w:id="100"/>
    </w:p>
    <w:p w14:paraId="18A95FD1">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01" w:name="_Toc20823286"/>
      <w:bookmarkStart w:id="102" w:name="_Toc462564073"/>
      <w:bookmarkStart w:id="103" w:name="_Toc513029214"/>
      <w:bookmarkStart w:id="104" w:name="_Toc16938530"/>
      <w:r>
        <w:rPr>
          <w:rFonts w:hint="eastAsia" w:ascii="宋体" w:hAnsi="宋体" w:eastAsia="宋体" w:cs="宋体"/>
          <w:color w:val="000000"/>
          <w:sz w:val="24"/>
          <w:szCs w:val="24"/>
          <w:highlight w:val="none"/>
        </w:rPr>
        <w:t>9、投标文件的语言及度量衡单位</w:t>
      </w:r>
      <w:bookmarkEnd w:id="101"/>
      <w:bookmarkEnd w:id="102"/>
      <w:bookmarkEnd w:id="103"/>
      <w:bookmarkEnd w:id="104"/>
    </w:p>
    <w:p w14:paraId="0519BCD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1AADA03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6CC8E94D">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05" w:name="_Toc513029215"/>
      <w:bookmarkStart w:id="106" w:name="_Toc20823287"/>
      <w:bookmarkStart w:id="107" w:name="_Toc462564074"/>
      <w:bookmarkStart w:id="108" w:name="_Toc16938531"/>
      <w:r>
        <w:rPr>
          <w:rFonts w:hint="eastAsia" w:ascii="宋体" w:hAnsi="宋体" w:eastAsia="宋体" w:cs="宋体"/>
          <w:color w:val="000000"/>
          <w:sz w:val="24"/>
          <w:szCs w:val="24"/>
          <w:highlight w:val="none"/>
        </w:rPr>
        <w:t>10、投标文件构成</w:t>
      </w:r>
      <w:bookmarkEnd w:id="105"/>
      <w:bookmarkEnd w:id="106"/>
      <w:bookmarkEnd w:id="107"/>
      <w:bookmarkEnd w:id="108"/>
    </w:p>
    <w:p w14:paraId="4C34B94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10.1投标人编写的投标文件应包括资格证明文件、符合性证明文件、其他证明文件、投标函、开标一览表等部分。</w:t>
      </w:r>
    </w:p>
    <w:p w14:paraId="0161D51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p>
    <w:p w14:paraId="6758CDFC">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09" w:name="_Toc14577357"/>
      <w:bookmarkStart w:id="110" w:name="_Toc49090507"/>
      <w:bookmarkStart w:id="111" w:name="_Toc513029216"/>
      <w:bookmarkStart w:id="112" w:name="_Toc14577354"/>
      <w:bookmarkStart w:id="113" w:name="_Toc49090509"/>
      <w:bookmarkStart w:id="114" w:name="_Toc513029219"/>
      <w:r>
        <w:rPr>
          <w:rFonts w:hint="eastAsia" w:ascii="宋体" w:hAnsi="宋体" w:eastAsia="宋体" w:cs="宋体"/>
          <w:color w:val="000000"/>
          <w:sz w:val="24"/>
          <w:szCs w:val="24"/>
          <w:highlight w:val="none"/>
        </w:rPr>
        <w:t>11、证明投标人及投标标的符合招标文件规定的文件</w:t>
      </w:r>
      <w:bookmarkEnd w:id="109"/>
      <w:bookmarkEnd w:id="110"/>
      <w:bookmarkEnd w:id="111"/>
      <w:bookmarkEnd w:id="112"/>
      <w:bookmarkEnd w:id="113"/>
      <w:bookmarkEnd w:id="114"/>
    </w:p>
    <w:p w14:paraId="1CC9DAB5">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15" w:name="_Toc49090508"/>
      <w:bookmarkStart w:id="116" w:name="_Toc14577355"/>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bookmarkEnd w:id="115"/>
      <w:bookmarkEnd w:id="116"/>
    </w:p>
    <w:p w14:paraId="2ADC9706">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2C6653C3">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12、投标分项报价表</w:t>
      </w:r>
    </w:p>
    <w:p w14:paraId="4F5790EF">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12.1投标人应按照招标文件规定格式填报投标分项报价表。</w:t>
      </w:r>
    </w:p>
    <w:p w14:paraId="13D5A3D1">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5F830FE3">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13、技术要求响应及偏离表、商务要求响应及偏离表</w:t>
      </w:r>
    </w:p>
    <w:p w14:paraId="15A7FEB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33CD15CB">
      <w:pPr>
        <w:pStyle w:val="7"/>
        <w:pageBreakBefore w:val="0"/>
        <w:widowControl w:val="0"/>
        <w:tabs>
          <w:tab w:val="left" w:pos="1036"/>
        </w:tabs>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6F0357C2">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17" w:name="_Toc49090510"/>
      <w:bookmarkStart w:id="118" w:name="_Toc14577359"/>
      <w:r>
        <w:rPr>
          <w:rFonts w:hint="eastAsia" w:ascii="宋体" w:hAnsi="宋体" w:eastAsia="宋体" w:cs="宋体"/>
          <w:color w:val="000000"/>
          <w:sz w:val="24"/>
          <w:szCs w:val="24"/>
          <w:highlight w:val="none"/>
        </w:rPr>
        <w:t>14、投标函和开标一览表</w:t>
      </w:r>
      <w:bookmarkEnd w:id="117"/>
      <w:bookmarkEnd w:id="118"/>
    </w:p>
    <w:p w14:paraId="02573CC6">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0E0C7C93">
      <w:pPr>
        <w:pStyle w:val="7"/>
        <w:keepNext w:val="0"/>
        <w:keepLines w:val="0"/>
        <w:pageBreakBefore w:val="0"/>
        <w:widowControl/>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bookmarkStart w:id="119" w:name="_Toc49090511"/>
      <w:bookmarkStart w:id="120" w:name="_Toc14577360"/>
    </w:p>
    <w:p w14:paraId="5A454216">
      <w:pPr>
        <w:pStyle w:val="7"/>
        <w:keepNext w:val="0"/>
        <w:keepLines w:val="0"/>
        <w:pageBreakBefore w:val="0"/>
        <w:widowControl/>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15、投标有效期</w:t>
      </w:r>
      <w:bookmarkEnd w:id="119"/>
      <w:bookmarkEnd w:id="120"/>
    </w:p>
    <w:p w14:paraId="6D913D6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4B08F668">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75CDA32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16.1在特殊情况下，</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516201FC">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2" w:firstLineChars="200"/>
        <w:jc w:val="both"/>
        <w:textAlignment w:val="auto"/>
        <w:rPr>
          <w:rFonts w:hint="eastAsia" w:ascii="宋体" w:hAnsi="宋体" w:eastAsia="宋体" w:cs="宋体"/>
          <w:sz w:val="24"/>
          <w:szCs w:val="24"/>
          <w:highlight w:val="none"/>
        </w:rPr>
      </w:pPr>
      <w:bookmarkStart w:id="121" w:name="_Toc20823296"/>
      <w:bookmarkStart w:id="122" w:name="_Toc120614217"/>
      <w:bookmarkStart w:id="123" w:name="_Toc16938540"/>
      <w:bookmarkStart w:id="124" w:name="_Toc513029224"/>
      <w:r>
        <w:rPr>
          <w:rFonts w:hint="eastAsia" w:ascii="宋体" w:hAnsi="宋体" w:eastAsia="宋体" w:cs="宋体"/>
          <w:b/>
          <w:color w:val="000000"/>
          <w:sz w:val="24"/>
          <w:szCs w:val="24"/>
          <w:highlight w:val="none"/>
        </w:rPr>
        <w:t>四、投标文件的递交</w:t>
      </w:r>
      <w:bookmarkEnd w:id="121"/>
      <w:bookmarkEnd w:id="122"/>
      <w:bookmarkEnd w:id="123"/>
      <w:bookmarkEnd w:id="124"/>
    </w:p>
    <w:p w14:paraId="545B0FE4">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25" w:name="_Toc20823297"/>
      <w:bookmarkStart w:id="126" w:name="_Toc16938541"/>
      <w:bookmarkStart w:id="127" w:name="_Toc462564084"/>
      <w:bookmarkStart w:id="128" w:name="_Toc513029225"/>
      <w:r>
        <w:rPr>
          <w:rFonts w:hint="eastAsia" w:ascii="宋体" w:hAnsi="宋体" w:eastAsia="宋体" w:cs="宋体"/>
          <w:color w:val="000000"/>
          <w:sz w:val="24"/>
          <w:szCs w:val="24"/>
          <w:highlight w:val="none"/>
        </w:rPr>
        <w:t>17、投标文件</w:t>
      </w:r>
      <w:bookmarkEnd w:id="125"/>
      <w:bookmarkEnd w:id="126"/>
      <w:bookmarkEnd w:id="127"/>
      <w:bookmarkEnd w:id="128"/>
      <w:r>
        <w:rPr>
          <w:rFonts w:hint="eastAsia" w:ascii="宋体" w:hAnsi="宋体" w:eastAsia="宋体" w:cs="宋体"/>
          <w:color w:val="000000"/>
          <w:sz w:val="24"/>
          <w:szCs w:val="24"/>
          <w:highlight w:val="none"/>
        </w:rPr>
        <w:t>的递交</w:t>
      </w:r>
    </w:p>
    <w:p w14:paraId="4F3F4151">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 电子投标文件的递交</w:t>
      </w:r>
    </w:p>
    <w:p w14:paraId="3C9A3C0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29" w:name="_Toc16938542"/>
      <w:bookmarkEnd w:id="129"/>
      <w:bookmarkStart w:id="130" w:name="_Toc20823298"/>
      <w:bookmarkEnd w:id="130"/>
    </w:p>
    <w:p w14:paraId="4C85E6C8">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414E4B7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p>
    <w:p w14:paraId="49216C29">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46ECD6FF">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44AECEDC">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31" w:name="_Toc513029227"/>
      <w:bookmarkStart w:id="132" w:name="_Toc16938543"/>
      <w:bookmarkStart w:id="133" w:name="_Toc20823299"/>
      <w:r>
        <w:rPr>
          <w:rFonts w:hint="eastAsia" w:ascii="宋体" w:hAnsi="宋体" w:eastAsia="宋体" w:cs="宋体"/>
          <w:color w:val="000000"/>
          <w:sz w:val="24"/>
          <w:szCs w:val="24"/>
          <w:highlight w:val="none"/>
        </w:rPr>
        <w:t>19、投标文件</w:t>
      </w:r>
      <w:bookmarkEnd w:id="131"/>
      <w:bookmarkEnd w:id="132"/>
      <w:bookmarkEnd w:id="133"/>
      <w:r>
        <w:rPr>
          <w:rFonts w:hint="eastAsia" w:ascii="宋体" w:hAnsi="宋体" w:eastAsia="宋体" w:cs="宋体"/>
          <w:color w:val="000000"/>
          <w:sz w:val="24"/>
          <w:szCs w:val="24"/>
          <w:highlight w:val="none"/>
        </w:rPr>
        <w:t>的拒收</w:t>
      </w:r>
    </w:p>
    <w:p w14:paraId="45F1CDD4">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拒绝接收在其规定的投标截止时间后上传的任何投标文件。</w:t>
      </w:r>
    </w:p>
    <w:p w14:paraId="4BE5D94E">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34" w:name="_Toc20823300"/>
      <w:bookmarkStart w:id="135" w:name="_Toc513029228"/>
      <w:bookmarkStart w:id="136" w:name="_Toc16938544"/>
      <w:r>
        <w:rPr>
          <w:rFonts w:hint="eastAsia" w:ascii="宋体" w:hAnsi="宋体" w:eastAsia="宋体" w:cs="宋体"/>
          <w:color w:val="000000"/>
          <w:sz w:val="24"/>
          <w:szCs w:val="24"/>
          <w:highlight w:val="none"/>
        </w:rPr>
        <w:t>20、投标文件的撤回和修改</w:t>
      </w:r>
      <w:bookmarkEnd w:id="134"/>
      <w:bookmarkEnd w:id="135"/>
      <w:bookmarkEnd w:id="136"/>
    </w:p>
    <w:p w14:paraId="2EC84F9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4408BEF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70798B3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2E1D5EA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21322A5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510BA82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5CF9A45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204079F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6672E31E">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2" w:firstLineChars="200"/>
        <w:jc w:val="both"/>
        <w:textAlignment w:val="auto"/>
        <w:rPr>
          <w:rFonts w:hint="eastAsia" w:ascii="宋体" w:hAnsi="宋体" w:eastAsia="宋体" w:cs="宋体"/>
          <w:sz w:val="24"/>
          <w:szCs w:val="24"/>
          <w:highlight w:val="none"/>
        </w:rPr>
      </w:pPr>
      <w:bookmarkStart w:id="137" w:name="_Toc513029229"/>
      <w:bookmarkStart w:id="138" w:name="_Toc120614218"/>
      <w:bookmarkStart w:id="139" w:name="_Toc16938545"/>
      <w:bookmarkStart w:id="140" w:name="_Toc20823301"/>
      <w:r>
        <w:rPr>
          <w:rFonts w:hint="eastAsia" w:ascii="宋体" w:hAnsi="宋体" w:eastAsia="宋体" w:cs="宋体"/>
          <w:b/>
          <w:color w:val="000000"/>
          <w:sz w:val="24"/>
          <w:szCs w:val="24"/>
          <w:highlight w:val="none"/>
        </w:rPr>
        <w:t>五、开标与评标</w:t>
      </w:r>
      <w:bookmarkEnd w:id="137"/>
      <w:bookmarkEnd w:id="138"/>
      <w:bookmarkEnd w:id="139"/>
      <w:bookmarkEnd w:id="140"/>
    </w:p>
    <w:p w14:paraId="738BC36D">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bookmarkStart w:id="141" w:name="_Toc16938546"/>
      <w:bookmarkStart w:id="142" w:name="_Toc513029230"/>
      <w:bookmarkStart w:id="143" w:name="_Toc20823302"/>
      <w:r>
        <w:rPr>
          <w:rFonts w:hint="eastAsia" w:ascii="宋体" w:hAnsi="宋体" w:eastAsia="宋体" w:cs="宋体"/>
          <w:color w:val="auto"/>
          <w:sz w:val="24"/>
          <w:szCs w:val="24"/>
          <w:highlight w:val="none"/>
        </w:rPr>
        <w:t>21、开标</w:t>
      </w:r>
      <w:bookmarkEnd w:id="141"/>
      <w:bookmarkEnd w:id="142"/>
      <w:bookmarkEnd w:id="143"/>
    </w:p>
    <w:p w14:paraId="7EDCC11F">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74D19659">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组织。苏采云系统将自动对项目进行开标，并宣布各投标人名称和投标价格。</w:t>
      </w:r>
    </w:p>
    <w:p w14:paraId="67AD791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7DD33E91">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7010DC35">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bookmarkStart w:id="144" w:name="_Toc20823303"/>
      <w:bookmarkStart w:id="145" w:name="_Toc513029231"/>
      <w:bookmarkStart w:id="146" w:name="_Toc16938547"/>
      <w:r>
        <w:rPr>
          <w:rFonts w:hint="eastAsia" w:ascii="宋体" w:hAnsi="宋体" w:eastAsia="宋体" w:cs="宋体"/>
          <w:color w:val="auto"/>
          <w:sz w:val="24"/>
          <w:szCs w:val="24"/>
          <w:highlight w:val="none"/>
        </w:rPr>
        <w:t>22、评标委员会</w:t>
      </w:r>
      <w:bookmarkEnd w:id="144"/>
      <w:bookmarkEnd w:id="145"/>
      <w:bookmarkEnd w:id="146"/>
    </w:p>
    <w:p w14:paraId="3A3C3C34">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22.1开标后，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将立即组织评标委员会（以下简称评委会）进行评标。</w:t>
      </w:r>
    </w:p>
    <w:p w14:paraId="49AC70A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1CC713C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1BA89D9B">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550C0EA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均不得向投标人或与评标无关的其他人员透露。</w:t>
      </w:r>
    </w:p>
    <w:p w14:paraId="08E4B1F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2D39A3B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3E21331F">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w:t>
      </w:r>
    </w:p>
    <w:p w14:paraId="3F0FC394">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47" w:name="_Toc16938548"/>
      <w:bookmarkStart w:id="148" w:name="_Toc513029232"/>
      <w:bookmarkStart w:id="149" w:name="_Toc20823304"/>
      <w:r>
        <w:rPr>
          <w:rFonts w:hint="eastAsia" w:ascii="宋体" w:hAnsi="宋体" w:eastAsia="宋体" w:cs="宋体"/>
          <w:color w:val="000000"/>
          <w:sz w:val="24"/>
          <w:szCs w:val="24"/>
          <w:highlight w:val="none"/>
        </w:rPr>
        <w:t>24、投标文件的澄清</w:t>
      </w:r>
      <w:bookmarkEnd w:id="147"/>
      <w:bookmarkEnd w:id="148"/>
      <w:bookmarkEnd w:id="149"/>
    </w:p>
    <w:p w14:paraId="47BA3234">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 ，有权要求投标人作出必要的澄清、说明或者补正。</w:t>
      </w:r>
    </w:p>
    <w:p w14:paraId="3C314F7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16314C7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003D199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76E7BA75">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p>
    <w:p w14:paraId="36782376">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50" w:name="_Toc16938549"/>
      <w:bookmarkStart w:id="151" w:name="_Toc513029233"/>
      <w:bookmarkStart w:id="152" w:name="_Toc20823305"/>
      <w:r>
        <w:rPr>
          <w:rFonts w:hint="eastAsia" w:ascii="宋体" w:hAnsi="宋体" w:eastAsia="宋体" w:cs="宋体"/>
          <w:color w:val="000000"/>
          <w:sz w:val="24"/>
          <w:szCs w:val="24"/>
          <w:highlight w:val="none"/>
        </w:rPr>
        <w:t>25、对投标文件的初审</w:t>
      </w:r>
      <w:bookmarkEnd w:id="150"/>
      <w:bookmarkEnd w:id="151"/>
      <w:bookmarkEnd w:id="152"/>
    </w:p>
    <w:p w14:paraId="7E1034D5">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3462B1B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4EB78C54">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075C1CE4">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7ADAFC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5280886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将不再告知</w:t>
      </w:r>
      <w:r>
        <w:rPr>
          <w:rFonts w:hint="eastAsia" w:ascii="宋体" w:hAnsi="宋体" w:eastAsia="宋体" w:cs="宋体"/>
          <w:color w:val="000000"/>
          <w:sz w:val="24"/>
          <w:szCs w:val="24"/>
          <w:highlight w:val="none"/>
        </w:rPr>
        <w:t>未通过资格审查和符合性审查的原因。</w:t>
      </w:r>
    </w:p>
    <w:p w14:paraId="77530948">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11EADD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7A3FEA8">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19FE8F6F">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68A5DDA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4CA65B25">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65FB6EA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4107B52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7D6130E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57D3C03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7545FF8">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bookmarkStart w:id="153" w:name="_Toc20823306"/>
      <w:bookmarkStart w:id="154" w:name="_Toc16938550"/>
      <w:bookmarkStart w:id="155" w:name="_Toc513029234"/>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bookmarkEnd w:id="153"/>
      <w:bookmarkEnd w:id="154"/>
      <w:bookmarkEnd w:id="155"/>
    </w:p>
    <w:p w14:paraId="2F17FCE8">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22A4DEB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bookmarkStart w:id="156" w:name="_Toc20823307"/>
      <w:bookmarkStart w:id="157" w:name="_Toc16938551"/>
      <w:bookmarkStart w:id="158" w:name="_Toc513029235"/>
      <w:r>
        <w:rPr>
          <w:rFonts w:hint="eastAsia" w:ascii="宋体" w:hAnsi="宋体" w:eastAsia="宋体" w:cs="宋体"/>
          <w:color w:val="auto"/>
          <w:sz w:val="24"/>
          <w:szCs w:val="24"/>
          <w:highlight w:val="none"/>
        </w:rPr>
        <w:t>26.1无效投标条款</w:t>
      </w:r>
      <w:bookmarkEnd w:id="156"/>
      <w:bookmarkEnd w:id="157"/>
      <w:bookmarkEnd w:id="158"/>
    </w:p>
    <w:p w14:paraId="4E47B70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041F476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145F0C5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02B14A5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07F15B8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43071021">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3B888FB6">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p>
    <w:p w14:paraId="2F465549">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9B00D8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6437C671">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26.1.10</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55FCFA5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2" w:firstLineChars="200"/>
        <w:jc w:val="both"/>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（一）评审过程中出现下列情形之一的，评标委员会应当启动异常低价投标审查程序：</w:t>
      </w:r>
    </w:p>
    <w:p w14:paraId="452E159C">
      <w:pPr>
        <w:pStyle w:val="7"/>
        <w:pageBreakBefore w:val="0"/>
        <w:widowControl w:val="0"/>
        <w:kinsoku/>
        <w:wordWrap/>
        <w:overflowPunct/>
        <w:topLinePunct w:val="0"/>
        <w:autoSpaceDE/>
        <w:autoSpaceDN/>
        <w:bidi w:val="0"/>
        <w:adjustRightInd/>
        <w:snapToGrid/>
        <w:spacing w:beforeAutospacing="0" w:afterAutospacing="0" w:line="38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7C2B9FCB">
      <w:pPr>
        <w:pStyle w:val="7"/>
        <w:pageBreakBefore w:val="0"/>
        <w:widowControl w:val="0"/>
        <w:kinsoku/>
        <w:wordWrap/>
        <w:overflowPunct/>
        <w:topLinePunct w:val="0"/>
        <w:autoSpaceDE/>
        <w:autoSpaceDN/>
        <w:bidi w:val="0"/>
        <w:adjustRightInd/>
        <w:snapToGrid/>
        <w:spacing w:beforeAutospacing="0" w:afterAutospacing="0" w:line="38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54D77C0F">
      <w:pPr>
        <w:pStyle w:val="7"/>
        <w:pageBreakBefore w:val="0"/>
        <w:widowControl w:val="0"/>
        <w:kinsoku/>
        <w:wordWrap/>
        <w:overflowPunct/>
        <w:topLinePunct w:val="0"/>
        <w:autoSpaceDE/>
        <w:autoSpaceDN/>
        <w:bidi w:val="0"/>
        <w:adjustRightInd/>
        <w:snapToGrid/>
        <w:spacing w:beforeAutospacing="0" w:afterAutospacing="0" w:line="38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3.投标（响应）报价低于采购项目最高限价45%的，即投标（响应）报价&lt;采购项目最高限价×45%；</w:t>
      </w:r>
    </w:p>
    <w:p w14:paraId="316D579C">
      <w:pPr>
        <w:pStyle w:val="7"/>
        <w:pageBreakBefore w:val="0"/>
        <w:widowControl w:val="0"/>
        <w:kinsoku/>
        <w:wordWrap/>
        <w:overflowPunct/>
        <w:topLinePunct w:val="0"/>
        <w:autoSpaceDE/>
        <w:autoSpaceDN/>
        <w:bidi w:val="0"/>
        <w:adjustRightInd/>
        <w:snapToGrid/>
        <w:spacing w:beforeAutospacing="0" w:afterAutospacing="0" w:line="38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4.评审委员会基于专业判断，认为供应商报价过低，有可能影响产品质量或者不能诚信履约的其他情形。</w:t>
      </w:r>
    </w:p>
    <w:p w14:paraId="1D61805E">
      <w:pPr>
        <w:pStyle w:val="7"/>
        <w:pageBreakBefore w:val="0"/>
        <w:widowControl w:val="0"/>
        <w:kinsoku/>
        <w:wordWrap/>
        <w:overflowPunct/>
        <w:topLinePunct w:val="0"/>
        <w:autoSpaceDE/>
        <w:autoSpaceDN/>
        <w:bidi w:val="0"/>
        <w:adjustRightInd/>
        <w:snapToGrid/>
        <w:spacing w:beforeAutospacing="0" w:afterAutospacing="0" w:line="38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相关法律法规对供应商报价有规定的，从其规定。</w:t>
      </w:r>
    </w:p>
    <w:p w14:paraId="342BAD4E">
      <w:pPr>
        <w:pStyle w:val="7"/>
        <w:pageBreakBefore w:val="0"/>
        <w:widowControl w:val="0"/>
        <w:kinsoku/>
        <w:wordWrap/>
        <w:overflowPunct/>
        <w:topLinePunct w:val="0"/>
        <w:autoSpaceDE/>
        <w:autoSpaceDN/>
        <w:bidi w:val="0"/>
        <w:adjustRightInd/>
        <w:snapToGrid/>
        <w:spacing w:beforeAutospacing="0" w:afterAutospacing="0" w:line="38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CDA0C03">
      <w:pPr>
        <w:pStyle w:val="7"/>
        <w:pageBreakBefore w:val="0"/>
        <w:widowControl w:val="0"/>
        <w:kinsoku/>
        <w:wordWrap/>
        <w:overflowPunct/>
        <w:topLinePunct w:val="0"/>
        <w:autoSpaceDE/>
        <w:autoSpaceDN/>
        <w:bidi w:val="0"/>
        <w:adjustRightInd/>
        <w:snapToGrid/>
        <w:spacing w:beforeAutospacing="0" w:afterAutospacing="0" w:line="38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107D577">
      <w:pPr>
        <w:pStyle w:val="7"/>
        <w:pageBreakBefore w:val="0"/>
        <w:widowControl w:val="0"/>
        <w:kinsoku/>
        <w:wordWrap/>
        <w:overflowPunct/>
        <w:topLinePunct w:val="0"/>
        <w:autoSpaceDE/>
        <w:autoSpaceDN/>
        <w:bidi w:val="0"/>
        <w:adjustRightInd/>
        <w:snapToGrid/>
        <w:spacing w:beforeAutospacing="0" w:afterAutospacing="0" w:line="38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768C30C">
      <w:pPr>
        <w:pStyle w:val="7"/>
        <w:pageBreakBefore w:val="0"/>
        <w:widowControl w:val="0"/>
        <w:kinsoku/>
        <w:wordWrap/>
        <w:overflowPunct/>
        <w:topLinePunct w:val="0"/>
        <w:autoSpaceDE/>
        <w:autoSpaceDN/>
        <w:bidi w:val="0"/>
        <w:adjustRightInd/>
        <w:snapToGrid/>
        <w:spacing w:beforeAutospacing="0" w:afterAutospacing="0" w:line="380" w:lineRule="exact"/>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78EDA9C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41F75BB8">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6B09C9D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73DA104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07542A6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1B477628">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251E006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17CBC8D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04D7C89F">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75C450A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1F7DC364">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2" w:firstLineChars="200"/>
        <w:jc w:val="both"/>
        <w:textAlignment w:val="auto"/>
        <w:rPr>
          <w:rFonts w:hint="eastAsia" w:ascii="宋体" w:hAnsi="宋体" w:eastAsia="宋体" w:cs="宋体"/>
          <w:sz w:val="24"/>
          <w:szCs w:val="24"/>
          <w:highlight w:val="none"/>
        </w:rPr>
      </w:pPr>
      <w:bookmarkStart w:id="159" w:name="_Toc120614219"/>
      <w:r>
        <w:rPr>
          <w:rFonts w:hint="eastAsia" w:ascii="宋体" w:hAnsi="宋体" w:eastAsia="宋体" w:cs="宋体"/>
          <w:b/>
          <w:color w:val="000000"/>
          <w:sz w:val="24"/>
          <w:szCs w:val="24"/>
          <w:highlight w:val="none"/>
        </w:rPr>
        <w:t>六、定标</w:t>
      </w:r>
      <w:bookmarkEnd w:id="159"/>
    </w:p>
    <w:p w14:paraId="3A41240A">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60" w:name="_Toc20823310"/>
      <w:bookmarkStart w:id="161" w:name="_Toc16938554"/>
      <w:bookmarkStart w:id="162" w:name="_Toc513029238"/>
      <w:r>
        <w:rPr>
          <w:rFonts w:hint="eastAsia" w:ascii="宋体" w:hAnsi="宋体" w:eastAsia="宋体" w:cs="宋体"/>
          <w:color w:val="000000"/>
          <w:sz w:val="24"/>
          <w:szCs w:val="24"/>
          <w:highlight w:val="none"/>
        </w:rPr>
        <w:t>27、</w:t>
      </w:r>
      <w:bookmarkEnd w:id="160"/>
      <w:r>
        <w:rPr>
          <w:rFonts w:hint="eastAsia" w:ascii="宋体" w:hAnsi="宋体" w:eastAsia="宋体" w:cs="宋体"/>
          <w:color w:val="000000"/>
          <w:sz w:val="24"/>
          <w:szCs w:val="24"/>
          <w:highlight w:val="none"/>
        </w:rPr>
        <w:t>确定</w:t>
      </w:r>
      <w:bookmarkEnd w:id="161"/>
      <w:bookmarkEnd w:id="162"/>
      <w:r>
        <w:rPr>
          <w:rFonts w:hint="eastAsia" w:ascii="宋体" w:hAnsi="宋体" w:eastAsia="宋体" w:cs="宋体"/>
          <w:color w:val="000000"/>
          <w:sz w:val="24"/>
          <w:szCs w:val="24"/>
          <w:highlight w:val="none"/>
        </w:rPr>
        <w:t>中标单位</w:t>
      </w:r>
    </w:p>
    <w:p w14:paraId="6014455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2040A1E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694A6651">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0FAF7F0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531F74E4">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2C6A877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行贿或者提供其他不正当利益的。</w:t>
      </w:r>
    </w:p>
    <w:p w14:paraId="36CDA29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12B7D12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7661EA5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23DF47E8">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63" w:name="_Toc200451960"/>
      <w:r>
        <w:rPr>
          <w:rFonts w:hint="eastAsia" w:ascii="宋体" w:hAnsi="宋体" w:eastAsia="宋体" w:cs="宋体"/>
          <w:color w:val="000000"/>
          <w:sz w:val="24"/>
          <w:szCs w:val="24"/>
          <w:highlight w:val="none"/>
        </w:rPr>
        <w:t>27.5 有下列情形之一的，视为投标人串通投标，投标无效：</w:t>
      </w:r>
      <w:bookmarkEnd w:id="163"/>
    </w:p>
    <w:p w14:paraId="04367AC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270333D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7EEE6B26">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332D92A8">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436F1596">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20A0031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07B42038">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或采购人提出质疑。上述应知其权益受到损害之日，是指：</w:t>
      </w:r>
    </w:p>
    <w:p w14:paraId="056F89F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3FAA0E1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1BFDDB5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7F1B186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代理机构</w:t>
      </w:r>
      <w:r>
        <w:rPr>
          <w:rFonts w:hint="eastAsia" w:ascii="宋体" w:hAnsi="宋体" w:eastAsia="宋体" w:cs="宋体"/>
          <w:color w:val="000000"/>
          <w:sz w:val="24"/>
          <w:szCs w:val="24"/>
          <w:highlight w:val="none"/>
        </w:rPr>
        <w:t>将只对供应商第一次质疑作出答复。</w:t>
      </w:r>
    </w:p>
    <w:p w14:paraId="4038C011">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D50D72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供应商对除上述事项以外其他事项的询问、质疑请向</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提出，由</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负责答复。</w:t>
      </w:r>
    </w:p>
    <w:p w14:paraId="3C1C40A8">
      <w:pPr>
        <w:pageBreakBefore w:val="0"/>
        <w:widowControl w:val="0"/>
        <w:tabs>
          <w:tab w:val="left" w:pos="1331"/>
        </w:tabs>
        <w:kinsoku/>
        <w:wordWrap/>
        <w:overflowPunct/>
        <w:topLinePunct w:val="0"/>
        <w:autoSpaceDE/>
        <w:autoSpaceDN/>
        <w:bidi w:val="0"/>
        <w:adjustRightInd/>
        <w:snapToGrid/>
        <w:spacing w:line="380" w:lineRule="exact"/>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采购人及代理机构只接收以纸质原件形式送达的质疑,采购人及代理机构不接受未填写快递运单的快件。质疑接收部门为东台市富安镇人民政府，联系地址：东台市富安镇凤凰池路8号，联系电话：18262872359。</w:t>
      </w:r>
    </w:p>
    <w:p w14:paraId="48DB2A96">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5EAF1139">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3A44994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30415D0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2FB13B7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1BE783E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59E72474">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55FDE762">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0B6C329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EF6400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4D625F99">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2" w:firstLineChars="200"/>
        <w:jc w:val="both"/>
        <w:textAlignment w:val="auto"/>
        <w:rPr>
          <w:rFonts w:hint="eastAsia" w:ascii="宋体" w:hAnsi="宋体" w:eastAsia="宋体" w:cs="宋体"/>
          <w:sz w:val="24"/>
          <w:szCs w:val="24"/>
          <w:highlight w:val="none"/>
        </w:rPr>
      </w:pPr>
      <w:bookmarkStart w:id="164" w:name="_Toc513029236"/>
      <w:bookmarkStart w:id="165" w:name="_Toc16938552"/>
      <w:bookmarkStart w:id="166" w:name="_Toc120614220"/>
      <w:bookmarkStart w:id="167" w:name="_Toc20823308"/>
      <w:r>
        <w:rPr>
          <w:rFonts w:hint="eastAsia" w:ascii="宋体" w:hAnsi="宋体" w:eastAsia="宋体" w:cs="宋体"/>
          <w:b/>
          <w:color w:val="000000"/>
          <w:sz w:val="24"/>
          <w:szCs w:val="24"/>
          <w:highlight w:val="none"/>
        </w:rPr>
        <w:t>七、授予合同</w:t>
      </w:r>
      <w:bookmarkEnd w:id="164"/>
      <w:bookmarkEnd w:id="165"/>
      <w:bookmarkEnd w:id="166"/>
      <w:bookmarkEnd w:id="167"/>
    </w:p>
    <w:p w14:paraId="524C4A1C">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bookmarkStart w:id="168" w:name="_Toc513029237"/>
      <w:bookmarkStart w:id="169" w:name="_Toc16938553"/>
      <w:bookmarkStart w:id="170" w:name="_Toc20823309"/>
      <w:r>
        <w:rPr>
          <w:rFonts w:hint="eastAsia" w:ascii="宋体" w:hAnsi="宋体" w:eastAsia="宋体" w:cs="宋体"/>
          <w:color w:val="000000"/>
          <w:sz w:val="24"/>
          <w:szCs w:val="24"/>
          <w:highlight w:val="none"/>
        </w:rPr>
        <w:t>30.签订合同</w:t>
      </w:r>
      <w:bookmarkEnd w:id="168"/>
      <w:bookmarkEnd w:id="169"/>
      <w:bookmarkEnd w:id="170"/>
    </w:p>
    <w:p w14:paraId="209671E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00A943B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4CFAC94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3FB47ED9">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31、服务（包含与服务相关的货物）的追加</w:t>
      </w:r>
    </w:p>
    <w:p w14:paraId="4423C0F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940D958">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31B58F02">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35DC5435">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4BF31920">
      <w:pPr>
        <w:pageBreakBefore w:val="0"/>
        <w:widowControl w:val="0"/>
        <w:tabs>
          <w:tab w:val="left" w:pos="1381"/>
        </w:tabs>
        <w:kinsoku/>
        <w:wordWrap/>
        <w:overflowPunct/>
        <w:topLinePunct w:val="0"/>
        <w:autoSpaceDE/>
        <w:autoSpaceDN/>
        <w:bidi w:val="0"/>
        <w:adjustRightInd/>
        <w:snapToGrid/>
        <w:spacing w:line="38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32.2进口产品</w:t>
      </w:r>
    </w:p>
    <w:p w14:paraId="697CC07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B2060BC">
      <w:pPr>
        <w:pageBreakBefore w:val="0"/>
        <w:widowControl w:val="0"/>
        <w:tabs>
          <w:tab w:val="left" w:pos="1381"/>
        </w:tabs>
        <w:kinsoku/>
        <w:wordWrap/>
        <w:overflowPunct/>
        <w:topLinePunct w:val="0"/>
        <w:autoSpaceDE/>
        <w:autoSpaceDN/>
        <w:bidi w:val="0"/>
        <w:adjustRightInd/>
        <w:snapToGrid/>
        <w:spacing w:line="38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32.3中小企业、监狱企业及残疾人福利性单位</w:t>
      </w:r>
    </w:p>
    <w:p w14:paraId="5282A6C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43EC5E0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95B846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45CC29F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13068EB9">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77A5F60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01D29F7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44AC3E74">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4F7E93CD">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CCC66E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0DF86A4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 人（含10 人）；</w:t>
      </w:r>
    </w:p>
    <w:p w14:paraId="27C2674A">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60F66F69">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1EC7A07B">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01203BD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55CF23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B9BA8E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0C745C0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403D0B90">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6AC3F7F1">
      <w:pPr>
        <w:pStyle w:val="7"/>
        <w:keepNext/>
        <w:keepLines/>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6FD15E51">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77EE4FE">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DA143D3">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2C6DFE25">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2C66925">
      <w:pPr>
        <w:pageBreakBefore w:val="0"/>
        <w:widowControl w:val="0"/>
        <w:tabs>
          <w:tab w:val="left" w:pos="1381"/>
        </w:tabs>
        <w:kinsoku/>
        <w:wordWrap/>
        <w:overflowPunct/>
        <w:topLinePunct w:val="0"/>
        <w:autoSpaceDE/>
        <w:autoSpaceDN/>
        <w:bidi w:val="0"/>
        <w:adjustRightInd/>
        <w:snapToGrid/>
        <w:spacing w:line="38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32.6政府采购创新产品</w:t>
      </w:r>
    </w:p>
    <w:p w14:paraId="7EB7FB2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445569A9">
      <w:pPr>
        <w:pageBreakBefore w:val="0"/>
        <w:widowControl w:val="0"/>
        <w:tabs>
          <w:tab w:val="left" w:pos="1381"/>
        </w:tabs>
        <w:kinsoku/>
        <w:wordWrap/>
        <w:overflowPunct/>
        <w:topLinePunct w:val="0"/>
        <w:autoSpaceDE/>
        <w:autoSpaceDN/>
        <w:bidi w:val="0"/>
        <w:adjustRightInd/>
        <w:snapToGrid/>
        <w:spacing w:line="38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32.7绿色数据中心政策 </w:t>
      </w:r>
    </w:p>
    <w:p w14:paraId="4E230CDF">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FBE9F8A">
      <w:pPr>
        <w:pageBreakBefore w:val="0"/>
        <w:widowControl w:val="0"/>
        <w:kinsoku/>
        <w:wordWrap/>
        <w:overflowPunct/>
        <w:topLinePunct w:val="0"/>
        <w:autoSpaceDE/>
        <w:autoSpaceDN/>
        <w:bidi w:val="0"/>
        <w:adjustRightInd/>
        <w:snapToGrid/>
        <w:spacing w:line="380" w:lineRule="exact"/>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32.8实施本国产品标准及相关政策</w:t>
      </w:r>
    </w:p>
    <w:p w14:paraId="506C9291">
      <w:pPr>
        <w:pageBreakBefore w:val="0"/>
        <w:widowControl w:val="0"/>
        <w:kinsoku/>
        <w:wordWrap/>
        <w:overflowPunct/>
        <w:topLinePunct w:val="0"/>
        <w:autoSpaceDE/>
        <w:autoSpaceDN/>
        <w:bidi w:val="0"/>
        <w:adjustRightInd/>
        <w:snapToGrid/>
        <w:spacing w:line="380" w:lineRule="exact"/>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34F27C5A">
      <w:pPr>
        <w:pageBreakBefore w:val="0"/>
        <w:widowControl w:val="0"/>
        <w:kinsoku/>
        <w:wordWrap/>
        <w:overflowPunct/>
        <w:topLinePunct w:val="0"/>
        <w:autoSpaceDE/>
        <w:autoSpaceDN/>
        <w:bidi w:val="0"/>
        <w:adjustRightInd/>
        <w:snapToGrid/>
        <w:spacing w:line="380" w:lineRule="exact"/>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9AF7FE">
      <w:pPr>
        <w:pageBreakBefore w:val="0"/>
        <w:widowControl w:val="0"/>
        <w:kinsoku/>
        <w:wordWrap/>
        <w:overflowPunct/>
        <w:topLinePunct w:val="0"/>
        <w:autoSpaceDE/>
        <w:autoSpaceDN/>
        <w:bidi w:val="0"/>
        <w:adjustRightInd/>
        <w:snapToGrid/>
        <w:spacing w:line="380" w:lineRule="exact"/>
        <w:ind w:left="0" w:firstLine="482" w:firstLineChars="200"/>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D403C74">
      <w:pPr>
        <w:pageBreakBefore w:val="0"/>
        <w:widowControl w:val="0"/>
        <w:numPr>
          <w:ilvl w:val="0"/>
          <w:numId w:val="0"/>
        </w:numPr>
        <w:kinsoku/>
        <w:wordWrap/>
        <w:overflowPunct/>
        <w:topLinePunct w:val="0"/>
        <w:autoSpaceDE/>
        <w:autoSpaceDN/>
        <w:bidi w:val="0"/>
        <w:adjustRightInd/>
        <w:snapToGrid/>
        <w:spacing w:line="380" w:lineRule="exact"/>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3789F76C">
      <w:pPr>
        <w:pageBreakBefore w:val="0"/>
        <w:widowControl w:val="0"/>
        <w:tabs>
          <w:tab w:val="left" w:pos="1381"/>
        </w:tabs>
        <w:kinsoku/>
        <w:wordWrap/>
        <w:overflowPunct/>
        <w:topLinePunct w:val="0"/>
        <w:autoSpaceDE/>
        <w:autoSpaceDN/>
        <w:bidi w:val="0"/>
        <w:adjustRightInd/>
        <w:snapToGrid/>
        <w:spacing w:line="380" w:lineRule="exact"/>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32.9履约保证金政策</w:t>
      </w:r>
    </w:p>
    <w:p w14:paraId="0EC132E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6535E3C7">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8EE5B4C">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78C28465">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09F9DB82">
      <w:pPr>
        <w:pStyle w:val="7"/>
        <w:pageBreakBefore w:val="0"/>
        <w:widowControl w:val="0"/>
        <w:kinsoku/>
        <w:wordWrap/>
        <w:overflowPunct/>
        <w:topLinePunct w:val="0"/>
        <w:autoSpaceDE/>
        <w:autoSpaceDN/>
        <w:bidi w:val="0"/>
        <w:adjustRightInd/>
        <w:snapToGrid/>
        <w:spacing w:beforeAutospacing="0" w:afterAutospacing="0" w:line="380" w:lineRule="exact"/>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03D26D0A">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本项目落实预付款制度，预付款比例为30%。在签订合同时，中标、成交供应商明确书面表示无需预付款或者主动要求降低预付款比例的，采购人可就预付款比例作相应调整。</w:t>
      </w:r>
    </w:p>
    <w:p w14:paraId="53289C7D">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163463">
      <w:pPr>
        <w:pStyle w:val="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42887D">
      <w:pPr>
        <w:pStyle w:val="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1FF7A39">
      <w:pPr>
        <w:pStyle w:val="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AE7C809">
      <w:pPr>
        <w:pStyle w:val="7"/>
        <w:spacing w:beforeAutospacing="0" w:afterAutospacing="0"/>
        <w:jc w:val="both"/>
        <w:rPr>
          <w:rFonts w:hint="eastAsia" w:ascii="宋体" w:hAnsi="宋体" w:eastAsia="宋体" w:cs="宋体"/>
          <w:sz w:val="24"/>
          <w:szCs w:val="24"/>
          <w:highlight w:val="none"/>
        </w:rPr>
      </w:pPr>
    </w:p>
    <w:p w14:paraId="5B975A94">
      <w:pPr>
        <w:pStyle w:val="7"/>
        <w:spacing w:beforeAutospacing="0" w:afterAutospacing="0"/>
        <w:jc w:val="both"/>
        <w:rPr>
          <w:rFonts w:hint="eastAsia" w:ascii="宋体" w:hAnsi="宋体" w:eastAsia="宋体" w:cs="宋体"/>
          <w:sz w:val="24"/>
          <w:szCs w:val="24"/>
          <w:highlight w:val="none"/>
        </w:rPr>
      </w:pPr>
    </w:p>
    <w:p w14:paraId="41848807">
      <w:pPr>
        <w:pStyle w:val="7"/>
        <w:spacing w:beforeAutospacing="0" w:afterAutospacing="0"/>
        <w:jc w:val="both"/>
        <w:rPr>
          <w:rFonts w:hint="eastAsia" w:ascii="宋体" w:hAnsi="宋体" w:eastAsia="宋体" w:cs="宋体"/>
          <w:sz w:val="24"/>
          <w:szCs w:val="24"/>
          <w:highlight w:val="none"/>
        </w:rPr>
      </w:pPr>
    </w:p>
    <w:p w14:paraId="73113D99">
      <w:pPr>
        <w:pStyle w:val="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D979CA6">
      <w:pPr>
        <w:pStyle w:val="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E44C3F7">
      <w:pPr>
        <w:pStyle w:val="7"/>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353F1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318600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162339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1CD1B5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55F183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023A74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黑体" w:hAnsi="宋体" w:eastAsia="黑体" w:cs="黑体"/>
          <w:color w:val="000000"/>
          <w:sz w:val="24"/>
          <w:szCs w:val="24"/>
          <w:highlight w:val="none"/>
        </w:rPr>
      </w:pPr>
    </w:p>
    <w:p w14:paraId="0D5A471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sz w:val="24"/>
          <w:szCs w:val="24"/>
          <w:highlight w:val="none"/>
        </w:rPr>
      </w:pPr>
      <w:r>
        <w:rPr>
          <w:rFonts w:hint="eastAsia" w:ascii="黑体" w:hAnsi="宋体" w:eastAsia="黑体" w:cs="黑体"/>
          <w:color w:val="000000"/>
          <w:sz w:val="24"/>
          <w:szCs w:val="24"/>
          <w:highlight w:val="none"/>
        </w:rPr>
        <w:t>第三章  合同文本</w:t>
      </w:r>
    </w:p>
    <w:p w14:paraId="055425B8">
      <w:pPr>
        <w:pStyle w:val="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sz w:val="24"/>
          <w:szCs w:val="24"/>
          <w:highlight w:val="none"/>
        </w:rPr>
      </w:pPr>
      <w:bookmarkStart w:id="171" w:name="_Toc20823315"/>
      <w:bookmarkStart w:id="172" w:name="_Toc16938559"/>
      <w:bookmarkStart w:id="173" w:name="_Toc513029243"/>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bookmarkEnd w:id="171"/>
      <w:bookmarkEnd w:id="172"/>
      <w:bookmarkEnd w:id="173"/>
    </w:p>
    <w:p w14:paraId="5E3B28FB">
      <w:pPr>
        <w:pStyle w:val="7"/>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000000"/>
          <w:sz w:val="24"/>
          <w:szCs w:val="24"/>
          <w:highlight w:val="none"/>
          <w:lang w:val="en-US" w:eastAsia="zh-CN"/>
        </w:rPr>
      </w:pPr>
    </w:p>
    <w:p w14:paraId="515AD275">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jc w:val="center"/>
        <w:textAlignment w:val="auto"/>
        <w:rPr>
          <w:sz w:val="24"/>
          <w:szCs w:val="24"/>
          <w:highlight w:val="none"/>
        </w:rPr>
      </w:pPr>
      <w:r>
        <w:rPr>
          <w:rFonts w:hint="eastAsia" w:ascii="宋体" w:hAnsi="宋体" w:eastAsia="宋体" w:cs="宋体"/>
          <w:b/>
          <w:color w:val="000000"/>
          <w:sz w:val="24"/>
          <w:szCs w:val="24"/>
          <w:highlight w:val="none"/>
        </w:rPr>
        <w:t>盐城市政府采购合同（服务）（合同编号）</w:t>
      </w:r>
    </w:p>
    <w:p w14:paraId="71D2BD0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lang w:eastAsia="zh-CN"/>
        </w:rPr>
        <w:t>富安镇政府食堂食材及日用品采购服务（二次）</w:t>
      </w:r>
    </w:p>
    <w:p w14:paraId="08C1253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jc w:val="both"/>
        <w:textAlignment w:val="auto"/>
        <w:rPr>
          <w:sz w:val="24"/>
          <w:szCs w:val="24"/>
          <w:highlight w:val="none"/>
        </w:rPr>
      </w:pPr>
      <w:r>
        <w:rPr>
          <w:rFonts w:hint="eastAsia" w:ascii="宋体" w:hAnsi="宋体" w:eastAsia="宋体" w:cs="宋体"/>
          <w:color w:val="000000"/>
          <w:sz w:val="24"/>
          <w:szCs w:val="24"/>
          <w:highlight w:val="none"/>
        </w:rPr>
        <w:t>项目编号：</w:t>
      </w:r>
    </w:p>
    <w:p w14:paraId="3229CF7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jc w:val="both"/>
        <w:textAlignment w:val="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甲方：（</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东台市富安镇人民政府</w:t>
      </w:r>
    </w:p>
    <w:p w14:paraId="65E6F25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jc w:val="both"/>
        <w:textAlignment w:val="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乙方：（</w:t>
      </w: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lang w:val="en-US" w:eastAsia="zh-CN"/>
        </w:rPr>
        <w:t xml:space="preserve">                    </w:t>
      </w:r>
    </w:p>
    <w:p w14:paraId="3B4D9C0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jc w:val="both"/>
        <w:textAlignment w:val="auto"/>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u w:val="single"/>
          <w:lang w:eastAsia="zh-CN"/>
        </w:rPr>
        <w:t>富安镇政府食堂食材及日用品采购服务（二次）</w:t>
      </w:r>
      <w:r>
        <w:rPr>
          <w:rFonts w:hint="eastAsia" w:ascii="宋体" w:hAnsi="宋体" w:eastAsia="宋体" w:cs="宋体"/>
          <w:color w:val="000000"/>
          <w:sz w:val="24"/>
          <w:szCs w:val="24"/>
          <w:highlight w:val="none"/>
        </w:rPr>
        <w:t>项目公开招标的结果，签署本合同。</w:t>
      </w:r>
    </w:p>
    <w:p w14:paraId="60E3B41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一、合同内容</w:t>
      </w:r>
    </w:p>
    <w:p w14:paraId="7FD485F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eastAsia="宋体"/>
          <w:sz w:val="24"/>
          <w:szCs w:val="24"/>
          <w:highlight w:val="none"/>
          <w:lang w:eastAsia="zh-CN"/>
        </w:rPr>
      </w:pPr>
      <w:r>
        <w:rPr>
          <w:rFonts w:hint="eastAsia" w:ascii="宋体" w:hAnsi="宋体" w:eastAsia="宋体" w:cs="宋体"/>
          <w:color w:val="000000"/>
          <w:sz w:val="24"/>
          <w:szCs w:val="24"/>
          <w:highlight w:val="none"/>
        </w:rPr>
        <w:t>1.1 标的名称：</w:t>
      </w:r>
      <w:r>
        <w:rPr>
          <w:rFonts w:hint="eastAsia" w:ascii="宋体" w:hAnsi="宋体" w:eastAsia="宋体" w:cs="宋体"/>
          <w:color w:val="000000"/>
          <w:sz w:val="24"/>
          <w:szCs w:val="24"/>
          <w:highlight w:val="none"/>
          <w:lang w:eastAsia="zh-CN"/>
        </w:rPr>
        <w:t>富安镇政府食堂食材及日用品采购服务（二次）</w:t>
      </w:r>
    </w:p>
    <w:p w14:paraId="0C6C1FF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eastAsia="宋体"/>
          <w:sz w:val="24"/>
          <w:szCs w:val="24"/>
          <w:highlight w:val="none"/>
          <w:lang w:eastAsia="zh-CN"/>
        </w:rPr>
      </w:pPr>
      <w:r>
        <w:rPr>
          <w:rFonts w:hint="eastAsia" w:ascii="宋体" w:hAnsi="宋体" w:eastAsia="宋体" w:cs="宋体"/>
          <w:color w:val="000000"/>
          <w:sz w:val="24"/>
          <w:szCs w:val="24"/>
          <w:highlight w:val="none"/>
        </w:rPr>
        <w:t>1.2标的质量：所有食材及日用品应在保质期范围内，并保持优良的外观和等级质量必须符合《食品安全法》相关规定和要求</w:t>
      </w:r>
      <w:r>
        <w:rPr>
          <w:rFonts w:hint="eastAsia" w:ascii="宋体" w:hAnsi="宋体" w:eastAsia="宋体" w:cs="宋体"/>
          <w:color w:val="000000"/>
          <w:sz w:val="24"/>
          <w:szCs w:val="24"/>
          <w:highlight w:val="none"/>
          <w:lang w:eastAsia="zh-CN"/>
        </w:rPr>
        <w:t>。</w:t>
      </w:r>
    </w:p>
    <w:p w14:paraId="5034A0B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 xml:space="preserve"> 履行期限：自合同签订之日起一年（合同一年一签，经采购人考核合格后可续签一年，续签最多不超过两次）</w:t>
      </w:r>
    </w:p>
    <w:p w14:paraId="41B94B7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1.5 履行地点：富安镇</w:t>
      </w:r>
    </w:p>
    <w:p w14:paraId="4F45218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二、合同金额</w:t>
      </w:r>
    </w:p>
    <w:p w14:paraId="41BE56D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eastAsia="宋体"/>
          <w:sz w:val="24"/>
          <w:szCs w:val="24"/>
          <w:highlight w:val="none"/>
          <w:lang w:eastAsia="zh-CN"/>
        </w:rPr>
      </w:pPr>
      <w:r>
        <w:rPr>
          <w:rFonts w:hint="eastAsia" w:ascii="宋体" w:hAnsi="宋体" w:eastAsia="宋体" w:cs="宋体"/>
          <w:color w:val="000000"/>
          <w:sz w:val="24"/>
          <w:szCs w:val="24"/>
          <w:highlight w:val="none"/>
        </w:rPr>
        <w:t>2.1合同价格：</w:t>
      </w:r>
      <w:r>
        <w:rPr>
          <w:rFonts w:hint="eastAsia" w:ascii="宋体" w:hAnsi="宋体" w:eastAsia="宋体" w:cs="宋体"/>
          <w:color w:val="000000"/>
          <w:sz w:val="24"/>
          <w:szCs w:val="24"/>
          <w:highlight w:val="none"/>
          <w:lang w:val="en-US" w:eastAsia="zh-CN"/>
        </w:rPr>
        <w:t>优惠率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。（其中，食材及日用品基准价参照收货日当天或最近一期</w:t>
      </w:r>
      <w:r>
        <w:rPr>
          <w:rFonts w:hint="eastAsia" w:ascii="宋体" w:hAnsi="宋体" w:eastAsia="宋体" w:cs="宋体"/>
          <w:color w:val="000000"/>
          <w:sz w:val="24"/>
          <w:szCs w:val="24"/>
          <w:highlight w:val="none"/>
          <w:lang w:eastAsia="zh-CN"/>
        </w:rPr>
        <w:t>东台国贸千家惠超市富安分店</w:t>
      </w:r>
      <w:r>
        <w:rPr>
          <w:rFonts w:hint="eastAsia" w:ascii="宋体" w:hAnsi="宋体" w:eastAsia="宋体" w:cs="宋体"/>
          <w:color w:val="000000"/>
          <w:sz w:val="24"/>
          <w:szCs w:val="24"/>
          <w:highlight w:val="none"/>
        </w:rPr>
        <w:t>的同种类食材平均单价执行，如</w:t>
      </w:r>
      <w:r>
        <w:rPr>
          <w:rFonts w:hint="eastAsia" w:ascii="宋体" w:hAnsi="宋体" w:eastAsia="宋体" w:cs="宋体"/>
          <w:color w:val="000000"/>
          <w:sz w:val="24"/>
          <w:szCs w:val="24"/>
          <w:highlight w:val="none"/>
          <w:lang w:eastAsia="zh-CN"/>
        </w:rPr>
        <w:t>东台国贸千家惠超市富安分店</w:t>
      </w:r>
      <w:r>
        <w:rPr>
          <w:rFonts w:hint="eastAsia" w:ascii="宋体" w:hAnsi="宋体" w:eastAsia="宋体" w:cs="宋体"/>
          <w:color w:val="000000"/>
          <w:sz w:val="24"/>
          <w:szCs w:val="24"/>
          <w:highlight w:val="none"/>
        </w:rPr>
        <w:t>未公布则参考东台市本地大型超市零售价的最低标价。如果</w:t>
      </w:r>
      <w:r>
        <w:rPr>
          <w:rFonts w:hint="eastAsia" w:ascii="宋体" w:hAnsi="宋体" w:eastAsia="宋体" w:cs="宋体"/>
          <w:color w:val="000000"/>
          <w:sz w:val="24"/>
          <w:szCs w:val="24"/>
          <w:highlight w:val="none"/>
          <w:lang w:eastAsia="zh-CN"/>
        </w:rPr>
        <w:t>东台国贸千家惠超市富安分店</w:t>
      </w:r>
      <w:r>
        <w:rPr>
          <w:rFonts w:hint="eastAsia" w:ascii="宋体" w:hAnsi="宋体" w:eastAsia="宋体" w:cs="宋体"/>
          <w:color w:val="000000"/>
          <w:sz w:val="24"/>
          <w:szCs w:val="24"/>
          <w:highlight w:val="none"/>
        </w:rPr>
        <w:t>和东台市本地大型超市都无该产品价格，参考本地菜市场零售价的最低价。</w:t>
      </w:r>
      <w:r>
        <w:rPr>
          <w:rFonts w:hint="eastAsia" w:ascii="宋体" w:hAnsi="宋体" w:eastAsia="宋体" w:cs="宋体"/>
          <w:color w:val="000000"/>
          <w:sz w:val="24"/>
          <w:szCs w:val="24"/>
          <w:highlight w:val="none"/>
          <w:lang w:eastAsia="zh-CN"/>
        </w:rPr>
        <w:t>）</w:t>
      </w:r>
    </w:p>
    <w:p w14:paraId="61D949D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三、服务</w:t>
      </w:r>
      <w:r>
        <w:rPr>
          <w:rFonts w:hint="eastAsia" w:ascii="宋体" w:hAnsi="宋体" w:eastAsia="宋体" w:cs="宋体"/>
          <w:b/>
          <w:color w:val="000000"/>
          <w:sz w:val="24"/>
          <w:szCs w:val="24"/>
          <w:highlight w:val="none"/>
        </w:rPr>
        <w:t>内容清单</w:t>
      </w:r>
    </w:p>
    <w:p w14:paraId="3B77378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富安镇政府食堂食材及日用品采购服务（二次），</w:t>
      </w:r>
      <w:r>
        <w:rPr>
          <w:rFonts w:hint="eastAsia" w:ascii="宋体" w:hAnsi="宋体" w:eastAsia="宋体" w:cs="宋体"/>
          <w:b w:val="0"/>
          <w:bCs/>
          <w:color w:val="000000"/>
          <w:sz w:val="24"/>
          <w:szCs w:val="24"/>
          <w:highlight w:val="none"/>
        </w:rPr>
        <w:t>拟确定一家供应商负责提供机关食堂每日大米、面粉、蔬菜、水果、牛奶、新鲜肉类、水产品、调味品等食材及日用品，供应商应确保食材质量达标、新鲜卫生、安全可靠，费用按实际采购量计算，价格不高于同期门店售价(含税)，特价商品按实计算。</w:t>
      </w:r>
    </w:p>
    <w:p w14:paraId="26D6511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3.1</w:t>
      </w:r>
      <w:r>
        <w:rPr>
          <w:rFonts w:hint="eastAsia" w:ascii="宋体" w:hAnsi="宋体" w:eastAsia="宋体" w:cs="宋体"/>
          <w:b w:val="0"/>
          <w:bCs/>
          <w:color w:val="000000"/>
          <w:sz w:val="24"/>
          <w:szCs w:val="24"/>
          <w:highlight w:val="none"/>
        </w:rPr>
        <w:t>配送要求：</w:t>
      </w:r>
    </w:p>
    <w:p w14:paraId="2AFC877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（1）配送品种：大米、面粉、蔬菜、水果、牛奶、新鲜肉类、水产品、调味品等食材及日用品等。</w:t>
      </w:r>
    </w:p>
    <w:p w14:paraId="1640C9B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（2）配送数量：根据</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提前开出的通知单为准。</w:t>
      </w:r>
    </w:p>
    <w:p w14:paraId="6EC5F69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（3）供应商须按</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要求（数量和质量）配送，如经甲方认定货物品质不符合要求，则乙方须无条件上门更换。</w:t>
      </w:r>
    </w:p>
    <w:p w14:paraId="7E268D9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3.2</w:t>
      </w:r>
      <w:r>
        <w:rPr>
          <w:rFonts w:hint="eastAsia" w:ascii="宋体" w:hAnsi="宋体" w:eastAsia="宋体" w:cs="宋体"/>
          <w:b w:val="0"/>
          <w:bCs/>
          <w:color w:val="000000"/>
          <w:sz w:val="24"/>
          <w:szCs w:val="24"/>
          <w:highlight w:val="none"/>
        </w:rPr>
        <w:t>质量要求：</w:t>
      </w:r>
    </w:p>
    <w:p w14:paraId="3734DA9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所有食材及日用品应在保质期范围内，并保持优良的外观和等级质量必须符合《食品安全法》相关规定和要求。</w:t>
      </w:r>
    </w:p>
    <w:p w14:paraId="67903FCF">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3.3</w:t>
      </w:r>
      <w:r>
        <w:rPr>
          <w:rFonts w:hint="eastAsia" w:ascii="宋体" w:hAnsi="宋体" w:eastAsia="宋体" w:cs="宋体"/>
          <w:b w:val="0"/>
          <w:bCs/>
          <w:color w:val="000000"/>
          <w:sz w:val="24"/>
          <w:szCs w:val="24"/>
          <w:highlight w:val="none"/>
        </w:rPr>
        <w:t>质量标准：</w:t>
      </w:r>
    </w:p>
    <w:p w14:paraId="58540A7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（1）大米配送标准：二年内新大米（国标一级），必须符合GB1354-2009标准，并拥有“QS”食品质量安全认证或“SC食品生产许可证”。</w:t>
      </w:r>
    </w:p>
    <w:p w14:paraId="727640D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（2）面粉配送标准：面粉级别为特一级，必须符合GB1355-1986标准，并拥有“QS”食品质量安全认证或“SC食品生产许可证”。</w:t>
      </w:r>
    </w:p>
    <w:p w14:paraId="61FF6DE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（3）食用油配送标准：非转基因食用油，每桶5升左右，必须符合GB2716-2005食用植物油卫生标准，并具有“QS”食品质量安全认证或“SC食品生产许可证”。</w:t>
      </w:r>
    </w:p>
    <w:p w14:paraId="61F8A92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4）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p>
    <w:p w14:paraId="10D4084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（5）家禽冻品（鸡腿、鸡翅等）质量要求：配送单位须提供产品合格证明文件，动物产品提供《动物或动物产品分销信息凭证》或《动物检疫合格证》。</w:t>
      </w:r>
    </w:p>
    <w:p w14:paraId="3ECDB2F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（6）豆制品质量要求：发酵性豆制品必须符合GB2712-2003标准，非发酵豆制品必须符合GBT 22106-2008标准、GB2711-2003非发酵性豆制品及面筋卫生标准，对豆制品的有关安全健康指标符合国家规定，并具有“QS”食品质量安全认证。</w:t>
      </w:r>
    </w:p>
    <w:p w14:paraId="0C6E527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7）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p>
    <w:p w14:paraId="388FCD3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（8）无公害蔬菜质量要求：必须符合GB18406.1-2001 农产品安全质量无公害蔬菜安全要求，对蔬菜中有害物质严格控制在标准规定范围之内。</w:t>
      </w:r>
    </w:p>
    <w:p w14:paraId="6DF0743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（9）调味品质量要求：食用盐必须符合GB5461-2000标准，酱油必须符合GB 18186-2000标准，味精必须符合GB2720-2015标准，生粉（淀粉制品）必须符合GB2713-2015标准，食糖必须符合GB13104-2014卫生标准，食醋必须符合GB/T18623-2011标准,酿造食醋必须符合GB18187-2000标准。</w:t>
      </w:r>
    </w:p>
    <w:p w14:paraId="729DED98">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（10）鲜蛋质量要求：鸡蛋等新鲜蛋类必须符合GB2749-2015标准。</w:t>
      </w:r>
    </w:p>
    <w:p w14:paraId="414388F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（11）乳制品质量要求：必须符合GB/12693-2010标准。</w:t>
      </w:r>
    </w:p>
    <w:p w14:paraId="17B8C56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（12）水果质量要求：必须符合GB/T23351-2009标准。</w:t>
      </w:r>
    </w:p>
    <w:p w14:paraId="42157BE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3.4</w:t>
      </w:r>
      <w:r>
        <w:rPr>
          <w:rFonts w:hint="eastAsia" w:ascii="宋体" w:hAnsi="宋体" w:eastAsia="宋体" w:cs="宋体"/>
          <w:b w:val="0"/>
          <w:bCs/>
          <w:color w:val="000000"/>
          <w:sz w:val="24"/>
          <w:szCs w:val="24"/>
          <w:highlight w:val="none"/>
        </w:rPr>
        <w:t>食材检测要求：</w:t>
      </w:r>
    </w:p>
    <w:p w14:paraId="6A00CF1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（1）肉类（含家禽、鱼、肉、冷鲜肉及冷冻肉等）、豆制品、调味品、食用油必须使用优质品牌产品，即由所处经营领域中有较高知名度与美誉度的大型企业提供，其产品可以追根溯源。</w:t>
      </w:r>
    </w:p>
    <w:p w14:paraId="779F016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（2）每次配送的食材均需提供相关的检测报告或检验合格证。</w:t>
      </w:r>
    </w:p>
    <w:p w14:paraId="7AC05AD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可委托权威部门定期对</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提供的食材进行抽样检测，如检测发现质量问题，由</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承担检测费用及相关责任。</w:t>
      </w:r>
    </w:p>
    <w:p w14:paraId="2DF2CE5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3.5</w:t>
      </w:r>
      <w:r>
        <w:rPr>
          <w:rFonts w:hint="eastAsia" w:ascii="宋体" w:hAnsi="宋体" w:eastAsia="宋体" w:cs="宋体"/>
          <w:b w:val="0"/>
          <w:bCs/>
          <w:color w:val="000000"/>
          <w:sz w:val="24"/>
          <w:szCs w:val="24"/>
          <w:highlight w:val="none"/>
        </w:rPr>
        <w:t>食材配送日常要求</w:t>
      </w:r>
    </w:p>
    <w:p w14:paraId="106F7E3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w:t>
      </w:r>
    </w:p>
    <w:p w14:paraId="100A935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严禁提供以下食品：①无品名、产地、厂名、生产日期、保质期及中文标识及原料说明的定型包装食品（除蔬菜、面点、早点等非定型包装食品）；②超过保质期限或不符合食品标签规定的定型包装食品；③腐败变质、油脂酸败、霉变、生虫、污秽不洁、混有异物或者其他感官性状异常，含有毒、有害物质或者被有毒、有害物质污染，可能对人体健康有害的食品；④病死、死因不明或从疫区采购的水产品、畜、禽及其制品，不合格调味品，工业用盐，非碘盐或非食品原料和滥用食品添加剂，农药残留超标的水果、蔬菜等；⑤其他不符合食品卫生标准和要求的食品。</w:t>
      </w:r>
    </w:p>
    <w:p w14:paraId="05281D9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（3）如因</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所供应食品的质量问题引起人员食物中毒等食源性疾病的发生或其他事故，由</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负全部责任，并承担由此而引起的全部经济损失及相关法律责任。情节较为严重的，采购单位有权立即终止供货协议，并按相关法律处理。</w:t>
      </w:r>
    </w:p>
    <w:p w14:paraId="568D1BE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（4）每天送货一次，应急配送在收到通知后半小时内响应，1小时内完成或提出解决方案。</w:t>
      </w:r>
    </w:p>
    <w:p w14:paraId="385E8B1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（5）配送单位必须仔细核对采购清单，确保所需的食品原材料品种、规格、品牌、数量、质量等准确无误，并在规定时间内及时送达。</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向</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提供食材的品牌、规格必须与</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要求的一致，严禁擅自更换品牌、规格。</w:t>
      </w:r>
    </w:p>
    <w:p w14:paraId="2993ED9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（6）本项目需配备项目负责人1名。</w:t>
      </w:r>
    </w:p>
    <w:p w14:paraId="3325C2B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（7）若</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有特殊情况需临时要求供货，</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须有相应的应急预案，并承诺在</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规定的合理时间范围内能送货至</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指定地点。</w:t>
      </w:r>
    </w:p>
    <w:p w14:paraId="598CDBB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（8）</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自行配备车辆，配送车辆符合国家食品运输相关规定。</w:t>
      </w:r>
    </w:p>
    <w:p w14:paraId="49895B3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3.6</w:t>
      </w:r>
      <w:r>
        <w:rPr>
          <w:rFonts w:hint="eastAsia" w:ascii="宋体" w:hAnsi="宋体" w:eastAsia="宋体" w:cs="宋体"/>
          <w:b w:val="0"/>
          <w:bCs/>
          <w:color w:val="000000"/>
          <w:sz w:val="24"/>
          <w:szCs w:val="24"/>
          <w:highlight w:val="none"/>
        </w:rPr>
        <w:t>考核要求：</w:t>
      </w:r>
    </w:p>
    <w:p w14:paraId="1B16703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甲方每月对乙方服务项目进行考核，具体详见附件《配餐服务月考核表》。</w:t>
      </w:r>
    </w:p>
    <w:p w14:paraId="698262F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（1）乙方在上级部门检查中不合格受到处罚，甲方将从乙方的服务费中扣除200元。</w:t>
      </w:r>
    </w:p>
    <w:p w14:paraId="10F948A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（2）因乙方提供不洁食物造成甲方人员食物中毒等食品安全事故的，由乙方负责赔偿并承担相应的法律后果。</w:t>
      </w:r>
    </w:p>
    <w:p w14:paraId="42A7E45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（3）乙方所配送甲方的食材，必须是通过严格删选的，食材要新鲜、安全，若在配送过程中，出现2次不合格情况，甲方将从乙方的服务费中扣除500元，以示警告。</w:t>
      </w:r>
    </w:p>
    <w:p w14:paraId="3C2C449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（4）乙方在配送过程中，如若因为特殊因素，不能及时将货物送达，乙方必须提前通知甲方，与甲方协商处理方案，出现2次以上情况的，甲方将从乙方的服务费中扣除500元，以示警告。</w:t>
      </w:r>
    </w:p>
    <w:p w14:paraId="31A0B42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（5）原材料进货单据必须齐全，单货相符，货物出入库手续完备，甲方会不定时的抽查乙方上述单据情况，若完善结果中，出现2次不合格情况的，甲方将从乙方的服务费中扣除500元，以示警告。</w:t>
      </w:r>
    </w:p>
    <w:p w14:paraId="6AB382F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（6）配送货物单据，必须齐全，包括检测报告、送货单等，若一月累计出现3次不合格情况的，甲方将从乙方的服务费中扣除500元，以示警告。</w:t>
      </w:r>
    </w:p>
    <w:p w14:paraId="5FEC2B6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（7）原材料供应商，索证需要齐全，甲方会不定时的抽查乙方索证情况，若抽查累计出现3次不合格情况的，甲方将从乙方的服务费中扣除500元，以示警告。</w:t>
      </w:r>
    </w:p>
    <w:p w14:paraId="0D2E209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2"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四</w:t>
      </w:r>
      <w:r>
        <w:rPr>
          <w:rFonts w:hint="eastAsia" w:ascii="宋体" w:hAnsi="宋体" w:eastAsia="宋体" w:cs="宋体"/>
          <w:b/>
          <w:color w:val="000000"/>
          <w:sz w:val="24"/>
          <w:szCs w:val="24"/>
          <w:highlight w:val="none"/>
        </w:rPr>
        <w:t>、服务期限</w:t>
      </w:r>
    </w:p>
    <w:p w14:paraId="604EEAC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4.1</w:t>
      </w:r>
      <w:r>
        <w:rPr>
          <w:rFonts w:hint="eastAsia" w:ascii="宋体" w:hAnsi="宋体" w:eastAsia="宋体" w:cs="宋体"/>
          <w:b w:val="0"/>
          <w:bCs/>
          <w:color w:val="000000"/>
          <w:sz w:val="24"/>
          <w:szCs w:val="24"/>
          <w:highlight w:val="none"/>
        </w:rPr>
        <w:t>服务期一年。自合同签订之日起试用三个月。服务期间采购人将按月实行百分制考核（考核分为日常考核、满意度测评等）。试用期间考核不合格或</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对</w:t>
      </w:r>
      <w:r>
        <w:rPr>
          <w:rFonts w:hint="eastAsia" w:ascii="宋体" w:hAnsi="宋体" w:eastAsia="宋体" w:cs="宋体"/>
          <w:b w:val="0"/>
          <w:bCs/>
          <w:color w:val="000000"/>
          <w:sz w:val="24"/>
          <w:szCs w:val="24"/>
          <w:highlight w:val="none"/>
          <w:lang w:val="en-US" w:eastAsia="zh-CN"/>
        </w:rPr>
        <w:t>乙方</w:t>
      </w:r>
      <w:r>
        <w:rPr>
          <w:rFonts w:hint="eastAsia" w:ascii="宋体" w:hAnsi="宋体" w:eastAsia="宋体" w:cs="宋体"/>
          <w:b w:val="0"/>
          <w:bCs/>
          <w:color w:val="000000"/>
          <w:sz w:val="24"/>
          <w:szCs w:val="24"/>
          <w:highlight w:val="none"/>
        </w:rPr>
        <w:t>提供的服务不满意，</w:t>
      </w:r>
      <w:r>
        <w:rPr>
          <w:rFonts w:hint="eastAsia" w:ascii="宋体" w:hAnsi="宋体" w:eastAsia="宋体" w:cs="宋体"/>
          <w:b w:val="0"/>
          <w:bCs/>
          <w:color w:val="000000"/>
          <w:sz w:val="24"/>
          <w:szCs w:val="24"/>
          <w:highlight w:val="none"/>
          <w:lang w:val="en-US" w:eastAsia="zh-CN"/>
        </w:rPr>
        <w:t>甲方</w:t>
      </w:r>
      <w:r>
        <w:rPr>
          <w:rFonts w:hint="eastAsia" w:ascii="宋体" w:hAnsi="宋体" w:eastAsia="宋体" w:cs="宋体"/>
          <w:b w:val="0"/>
          <w:bCs/>
          <w:color w:val="000000"/>
          <w:sz w:val="24"/>
          <w:szCs w:val="24"/>
          <w:highlight w:val="none"/>
        </w:rPr>
        <w:t>有权终止服务合同。</w:t>
      </w:r>
      <w:r>
        <w:rPr>
          <w:rFonts w:hint="eastAsia" w:ascii="宋体" w:hAnsi="宋体" w:eastAsia="宋体" w:cs="宋体"/>
          <w:b/>
          <w:color w:val="000000"/>
          <w:sz w:val="24"/>
          <w:szCs w:val="24"/>
          <w:highlight w:val="none"/>
        </w:rPr>
        <w:t>　</w:t>
      </w:r>
    </w:p>
    <w:p w14:paraId="56817AE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left="426" w:leftChars="203" w:firstLine="12" w:firstLineChars="5"/>
        <w:jc w:val="both"/>
        <w:textAlignment w:val="auto"/>
        <w:rPr>
          <w:sz w:val="24"/>
          <w:szCs w:val="24"/>
          <w:highlight w:val="none"/>
        </w:rPr>
      </w:pP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、履约保证金</w:t>
      </w:r>
    </w:p>
    <w:p w14:paraId="5292D4D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.1乙方交纳人民币</w:t>
      </w:r>
      <w:r>
        <w:rPr>
          <w:rFonts w:hint="eastAsia" w:ascii="宋体" w:hAnsi="宋体" w:eastAsia="宋体" w:cs="宋体"/>
          <w:color w:val="000000"/>
          <w:sz w:val="24"/>
          <w:szCs w:val="24"/>
          <w:highlight w:val="none"/>
          <w:u w:val="single"/>
          <w:lang w:val="en-US" w:eastAsia="zh-CN"/>
        </w:rPr>
        <w:t>20000</w:t>
      </w:r>
      <w:r>
        <w:rPr>
          <w:rFonts w:hint="eastAsia" w:ascii="宋体" w:hAnsi="宋体" w:eastAsia="宋体" w:cs="宋体"/>
          <w:color w:val="000000"/>
          <w:sz w:val="24"/>
          <w:szCs w:val="24"/>
          <w:highlight w:val="none"/>
        </w:rPr>
        <w:t>元作为本合同的履约保证金。</w:t>
      </w:r>
    </w:p>
    <w:p w14:paraId="3BB4C1CA">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 </w:t>
      </w:r>
      <w:r>
        <w:rPr>
          <w:rFonts w:hint="eastAsia" w:ascii="宋体" w:hAnsi="宋体" w:eastAsia="宋体" w:cs="宋体"/>
          <w:color w:val="000000"/>
          <w:sz w:val="24"/>
          <w:szCs w:val="24"/>
          <w:highlight w:val="none"/>
          <w:u w:val="single"/>
          <w:lang w:val="en-US" w:eastAsia="zh-CN"/>
        </w:rPr>
        <w:t xml:space="preserve">是 </w:t>
      </w:r>
      <w:r>
        <w:rPr>
          <w:rFonts w:hint="eastAsia" w:ascii="宋体" w:hAnsi="宋体" w:eastAsia="宋体" w:cs="宋体"/>
          <w:color w:val="000000"/>
          <w:sz w:val="24"/>
          <w:szCs w:val="24"/>
          <w:highlight w:val="none"/>
          <w:lang w:val="en-US" w:eastAsia="zh-CN"/>
        </w:rPr>
        <w:t>免收 ，降低履约保证金缴纳比例</w:t>
      </w:r>
      <w:r>
        <w:rPr>
          <w:rFonts w:hint="eastAsia" w:ascii="宋体" w:hAnsi="宋体" w:eastAsia="宋体" w:cs="宋体"/>
          <w:color w:val="000000"/>
          <w:sz w:val="24"/>
          <w:szCs w:val="24"/>
          <w:highlight w:val="none"/>
          <w:u w:val="single"/>
          <w:lang w:val="en-US" w:eastAsia="zh-CN"/>
        </w:rPr>
        <w:t xml:space="preserve"> 100% </w:t>
      </w:r>
      <w:r>
        <w:rPr>
          <w:rFonts w:hint="eastAsia" w:ascii="宋体" w:hAnsi="宋体" w:eastAsia="宋体" w:cs="宋体"/>
          <w:color w:val="000000"/>
          <w:sz w:val="24"/>
          <w:szCs w:val="24"/>
          <w:highlight w:val="none"/>
          <w:lang w:val="en-US" w:eastAsia="zh-CN"/>
        </w:rPr>
        <w:t>。</w:t>
      </w:r>
    </w:p>
    <w:p w14:paraId="11E1642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3EDCFA0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37BA6E9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5.2.2 如以履约保函（保险）形式缴纳履约保证金，供应商可通过政府采购电子履约保函（保险）平台（www.jsdzbh.com）在线申请履约保函（保险）。</w:t>
      </w:r>
    </w:p>
    <w:p w14:paraId="7DD7165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left="428" w:leftChars="204" w:firstLine="14" w:firstLineChars="6"/>
        <w:jc w:val="both"/>
        <w:textAlignment w:val="auto"/>
        <w:rPr>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454CF72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履约保证金的退还：</w:t>
      </w:r>
    </w:p>
    <w:p w14:paraId="221D2B3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.1方式：退还至投标人缴纳履约保证金的账户。如为保函，在到期时自行失效。</w:t>
      </w:r>
    </w:p>
    <w:p w14:paraId="6854AF5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.2时间：验收合格且采购人收到发票后30日内。</w:t>
      </w:r>
    </w:p>
    <w:p w14:paraId="4295C4A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.3条件：按合同要求全部履约完成并经采购人验收合格，且采购人收到中标人出具的发票。</w:t>
      </w:r>
    </w:p>
    <w:p w14:paraId="37A87BC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.4不予退还情形：</w:t>
      </w:r>
    </w:p>
    <w:p w14:paraId="2DFF7CF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除不可抗力情况外，投标人出现下列情形之一的，其履约保证金，招标人将视情节决定不予退还或部分不予退还。</w:t>
      </w:r>
    </w:p>
    <w:p w14:paraId="4405B30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（1）中标人无正当理由拒绝签订合同的，或者在签订合同时向采购人提出附加条件或者更改合同实质性内容要求的；</w:t>
      </w:r>
    </w:p>
    <w:p w14:paraId="4E2CD09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（2）中标人不履行与采购人订立的合同的；</w:t>
      </w:r>
    </w:p>
    <w:p w14:paraId="5D1924A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（3）中标人所供货物或服务不符合招标文件规定要求的；</w:t>
      </w:r>
    </w:p>
    <w:p w14:paraId="293A7E4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（4）中标人采取欺骗、弄虚作假方式投标的或与其它投标人串通投标的；</w:t>
      </w:r>
    </w:p>
    <w:p w14:paraId="3210A1D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（5）中标人将合同内容转包、违法分包的；</w:t>
      </w:r>
    </w:p>
    <w:p w14:paraId="4139920D">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（6）中标人故意捏造事实或伪造证明材料，进行虚假恶意投诉或反映的。</w:t>
      </w:r>
    </w:p>
    <w:p w14:paraId="794E4FF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szCs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4D7FFA4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left="426" w:leftChars="203" w:firstLine="12" w:firstLineChars="5"/>
        <w:jc w:val="both"/>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六、权利和义务</w:t>
      </w:r>
    </w:p>
    <w:p w14:paraId="663145E5">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6.1乙方所供食品，必须符合国家食品法规定的食品标准，并符合合同文件要求，如出现食品卫生质量问题而引起的损失，由乙方全部赔偿并无条件退货或换货，造成严重后果的，按国家相关法律规定处理。凡发生一次因卫生质量问题而退货或换货，乙方向甲方赔偿损失货物价的两倍。</w:t>
      </w:r>
    </w:p>
    <w:p w14:paraId="14C791F7">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6.2乙方必须持有食品经营许可证或食品经营者的备案信息采集表、工商营业执照以及其他相关证照，且经营状况良好。</w:t>
      </w:r>
    </w:p>
    <w:p w14:paraId="63B9CB35">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6.3乙方在供货时不得提供以下食品：</w:t>
      </w:r>
    </w:p>
    <w:p w14:paraId="7C71D44E">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(1)无品名、产地、厂名、生产日期、保质期与中文标识及原料说明的定型包装食品。由甲方负责质量把关。</w:t>
      </w:r>
    </w:p>
    <w:p w14:paraId="79704DAD">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(2)超过保质期限或不符合食品标签规定的定型包装食品。</w:t>
      </w:r>
    </w:p>
    <w:p w14:paraId="7926B585">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(3)腐败变质、油脂酸败、霉变、生虫、污秽不洁、混有异物或者其他感官性状异常，含毒、有害物质污染，可能对人体健康有害的食品。</w:t>
      </w:r>
    </w:p>
    <w:p w14:paraId="7052D523">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(4)滥用食品添加剂、农药残留超标的水果等。</w:t>
      </w:r>
    </w:p>
    <w:p w14:paraId="42FF8725">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6.4乙方必须根据甲方提出的食品、品牌、规格、数量和质量要求送货，并在甲方规定的时间内及时送达甲方指定地点。不按规定时间及地点送达的，将罚款并承担违约责任。</w:t>
      </w:r>
    </w:p>
    <w:p w14:paraId="7406FD2C">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6.5如乙方不按规定结算，擅自涨价，乙方应向甲方退回涨价部分金额。</w:t>
      </w:r>
    </w:p>
    <w:p w14:paraId="4B7A00B0">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6.6因乙方所供应食品的质量问题引起甲方人员食物中毒等食源性疾病的发生或其他事故由乙方负全部责任，并承担由此引起的全部经济损失及相应的法律责任。</w:t>
      </w:r>
    </w:p>
    <w:p w14:paraId="0967E6D6">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6.7甲方食堂所用食品按合同文件采购范围全部由乙方供应，甲方在协议期内一般不得另行采购。(特殊情况除外)</w:t>
      </w:r>
    </w:p>
    <w:p w14:paraId="3B2B07FE">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6.8甲方在隔月向乙方付清前一个月发生的货款，不得拖欠。</w:t>
      </w:r>
    </w:p>
    <w:p w14:paraId="355EA65E">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6.9甲方建立食品索证制度及食品验收制度，向乙方索取食品的检验合格证或者检验报告，并进行验收。做好索证登记工作，加强食品库房管理。</w:t>
      </w:r>
    </w:p>
    <w:p w14:paraId="231E8C8D">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6.10若甲方有特殊情况需临时要求供货，乙方须按照投标文件中承诺的应急预案执行，并在甲方规定的合理时间内能送货至甲方指定地点。</w:t>
      </w:r>
    </w:p>
    <w:p w14:paraId="66A9DFBE">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6.11因重大责任事故，取消配送资格的供应商，不得继续为甲方提供所有物质的配送，已签订的合同双方协商解除。为避免甲方用餐情况发生中断，则由预成交排名第二顺位的供应商继续提供食堂物质配送，以保证甲方正常用餐情况。</w:t>
      </w:r>
    </w:p>
    <w:p w14:paraId="27A79A5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6.12甲、乙双方均自觉遵守国家有关法律、法规。</w:t>
      </w:r>
    </w:p>
    <w:p w14:paraId="7E7DA037">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6.13如有未尽事宜，则由甲方、乙方另行协商决定。</w:t>
      </w:r>
    </w:p>
    <w:p w14:paraId="3881BEE0">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七、合同转包或分包</w:t>
      </w:r>
    </w:p>
    <w:p w14:paraId="1C78E87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7.1乙方不得将合同标的转包给他人履行。</w:t>
      </w:r>
    </w:p>
    <w:p w14:paraId="1DBA61EF">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7.2乙方不得将合同标的分包给他人履行。</w:t>
      </w:r>
    </w:p>
    <w:p w14:paraId="6F12C20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7.3乙方如有转包或未经甲方同意的分包行为，甲方有权解除合同。</w:t>
      </w:r>
    </w:p>
    <w:p w14:paraId="454C828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八、合同款项支付</w:t>
      </w:r>
    </w:p>
    <w:p w14:paraId="0763168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8.1合同款项的支付方式及进度安排</w:t>
      </w:r>
    </w:p>
    <w:p w14:paraId="0C99102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u w:val="none"/>
        </w:rPr>
      </w:pPr>
      <w:r>
        <w:rPr>
          <w:rFonts w:hint="eastAsia" w:ascii="宋体" w:hAnsi="宋体" w:eastAsia="宋体" w:cs="宋体"/>
          <w:color w:val="000000"/>
          <w:sz w:val="24"/>
          <w:szCs w:val="24"/>
          <w:highlight w:val="none"/>
          <w:u w:val="none"/>
        </w:rPr>
        <w:t>8.1.1 预付款</w:t>
      </w:r>
      <w:r>
        <w:rPr>
          <w:rFonts w:hint="eastAsia" w:ascii="宋体" w:hAnsi="宋体" w:eastAsia="宋体" w:cs="宋体"/>
          <w:color w:val="000000"/>
          <w:sz w:val="24"/>
          <w:szCs w:val="24"/>
          <w:highlight w:val="none"/>
          <w:u w:val="none"/>
          <w:lang w:val="en-US" w:eastAsia="zh-CN"/>
        </w:rPr>
        <w:t>：甲方收到预付款发票后10个工作日内支付一年预算金额30%的预付款，如乙方明确表示不需预付款，甲方将不执行本条款；</w:t>
      </w:r>
    </w:p>
    <w:p w14:paraId="77B946EB">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none"/>
        </w:rPr>
        <w:t>8.1.2 尾款</w:t>
      </w:r>
      <w:r>
        <w:rPr>
          <w:rFonts w:hint="eastAsia" w:ascii="宋体" w:hAnsi="宋体" w:eastAsia="宋体" w:cs="宋体"/>
          <w:color w:val="000000"/>
          <w:sz w:val="24"/>
          <w:szCs w:val="24"/>
          <w:highlight w:val="none"/>
          <w:u w:val="none"/>
          <w:lang w:val="en-US" w:eastAsia="zh-CN"/>
        </w:rPr>
        <w:t>：次月10日前结清上月费用。乙方提供上月供货清单(甲方收据)及收款税票，甲方参照收货日当天或最近一期东台国贸千家惠超市富安分店的同种类食材平均单价执行，如东台国贸千家惠超市富安分店未公布则参考东台市本地大型超市零售价的最低标价。如果东台国贸千家惠超市富安分店和东台市本地大型超市都无该产品价格，参考本地菜市场零售价的最低价，按上述价格*（1-优惠率）予以结算。所有货物均按实结算，如考核不过关，按考核办法进行惩处。</w:t>
      </w:r>
    </w:p>
    <w:p w14:paraId="4146933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九、税费</w:t>
      </w:r>
    </w:p>
    <w:p w14:paraId="66F8CD9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9.1本合同执行中相关的一切税费均由乙方负担。</w:t>
      </w:r>
    </w:p>
    <w:p w14:paraId="2519C4F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left="426" w:leftChars="203" w:firstLine="12" w:firstLineChars="5"/>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十</w:t>
      </w:r>
      <w:r>
        <w:rPr>
          <w:rFonts w:hint="eastAsia" w:ascii="宋体" w:hAnsi="宋体" w:eastAsia="宋体" w:cs="宋体"/>
          <w:b/>
          <w:color w:val="000000"/>
          <w:sz w:val="24"/>
          <w:szCs w:val="24"/>
          <w:highlight w:val="none"/>
        </w:rPr>
        <w:t>、违约责任与赔偿损失</w:t>
      </w:r>
    </w:p>
    <w:p w14:paraId="18C7C94D">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10.1</w:t>
      </w:r>
      <w:r>
        <w:rPr>
          <w:rFonts w:hint="eastAsia" w:ascii="宋体" w:hAnsi="宋体" w:eastAsia="宋体" w:cs="宋体"/>
          <w:color w:val="000000"/>
          <w:sz w:val="24"/>
          <w:szCs w:val="24"/>
          <w:highlight w:val="none"/>
        </w:rPr>
        <w:t>乙方违反以上协议或有以下情况发生，甲方有权中止乙方的供货商资格。</w:t>
      </w:r>
    </w:p>
    <w:p w14:paraId="0C0EA19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(1)商品短斤缺两、以次充好、擅自提价等失误，经指令整改后还屡有发生</w:t>
      </w:r>
      <w:r>
        <w:rPr>
          <w:rFonts w:hint="eastAsia" w:ascii="宋体" w:hAnsi="宋体" w:eastAsia="宋体" w:cs="宋体"/>
          <w:color w:val="000000"/>
          <w:sz w:val="24"/>
          <w:szCs w:val="24"/>
          <w:highlight w:val="none"/>
          <w:lang w:eastAsia="zh-CN"/>
        </w:rPr>
        <w:t>。</w:t>
      </w:r>
    </w:p>
    <w:p w14:paraId="4A1C73CD">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(2)因商品质量问题退换三次或供货迟到三次及其以上</w:t>
      </w:r>
      <w:r>
        <w:rPr>
          <w:rFonts w:hint="eastAsia" w:ascii="宋体" w:hAnsi="宋体" w:eastAsia="宋体" w:cs="宋体"/>
          <w:color w:val="000000"/>
          <w:sz w:val="24"/>
          <w:szCs w:val="24"/>
          <w:highlight w:val="none"/>
          <w:lang w:eastAsia="zh-CN"/>
        </w:rPr>
        <w:t>。</w:t>
      </w:r>
    </w:p>
    <w:p w14:paraId="7A470FA2">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(3)食物中毒等食源性疾病的发生或其他事故。</w:t>
      </w:r>
    </w:p>
    <w:p w14:paraId="74221DD6">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(4)在招投标中乙方存在借资质进行招投标行为的。</w:t>
      </w:r>
    </w:p>
    <w:p w14:paraId="0334824C">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10.2</w:t>
      </w:r>
      <w:r>
        <w:rPr>
          <w:rFonts w:hint="eastAsia" w:ascii="宋体" w:hAnsi="宋体" w:eastAsia="宋体" w:cs="宋体"/>
          <w:color w:val="000000"/>
          <w:sz w:val="24"/>
          <w:szCs w:val="24"/>
          <w:highlight w:val="none"/>
        </w:rPr>
        <w:t>甲方权利：</w:t>
      </w:r>
    </w:p>
    <w:p w14:paraId="3D031FCC">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（1）甲乙双方签订合同以后，乙方提出放弃或被取消配送资格的，乙方不得参与下一轮甲方组织的食堂材料供货及配送服务商公开招标采购</w:t>
      </w:r>
      <w:r>
        <w:rPr>
          <w:rFonts w:hint="eastAsia" w:ascii="宋体" w:hAnsi="宋体" w:eastAsia="宋体" w:cs="宋体"/>
          <w:color w:val="000000"/>
          <w:sz w:val="24"/>
          <w:szCs w:val="24"/>
          <w:highlight w:val="none"/>
          <w:lang w:eastAsia="zh-CN"/>
        </w:rPr>
        <w:t>。</w:t>
      </w:r>
    </w:p>
    <w:p w14:paraId="27492DDA">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（2）取消配送资格的供应商，不得继续为甲方提供所有物质的配送，已签订的合同无效。为避免甲方用餐情况发生中断，则由预成交排名第二顺位的供应商继续提供食堂物质配送，以保证甲方正常用餐情况。</w:t>
      </w:r>
    </w:p>
    <w:p w14:paraId="0EFAC037">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3、其它违约责任按《中华人民共和国民法典》处理。</w:t>
      </w:r>
    </w:p>
    <w:p w14:paraId="52212B84">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4、因重大特殊原因，甲乙双方提前解除合同时，乙方的的报酬由甲方根据乙方实际完成量双方协商界定后支付相应的费用。</w:t>
      </w:r>
    </w:p>
    <w:p w14:paraId="33F4988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lang w:val="en-US" w:eastAsia="zh-CN"/>
        </w:rPr>
        <w:t>十一</w:t>
      </w:r>
      <w:r>
        <w:rPr>
          <w:rFonts w:hint="eastAsia" w:ascii="宋体" w:hAnsi="宋体" w:eastAsia="宋体" w:cs="宋体"/>
          <w:b/>
          <w:color w:val="000000"/>
          <w:sz w:val="24"/>
          <w:szCs w:val="24"/>
          <w:highlight w:val="none"/>
        </w:rPr>
        <w:t>、不可抗力事件处理</w:t>
      </w:r>
    </w:p>
    <w:p w14:paraId="6AC8315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rPr>
        <w:t>.1在合同有效期内，任何一方因不可抗力事件导致不能履行合同，则合同履行期可延长，其延长期与不可抗力影响 期相同。</w:t>
      </w:r>
    </w:p>
    <w:p w14:paraId="06EEDF4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rPr>
        <w:t>.2不可抗力事件发生后，应立即通知对方，并寄送有关权威机构出具的证明。</w:t>
      </w:r>
    </w:p>
    <w:p w14:paraId="39C4AE1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lang w:val="en-US" w:eastAsia="zh-CN"/>
        </w:rPr>
        <w:t>11</w:t>
      </w:r>
      <w:r>
        <w:rPr>
          <w:rFonts w:hint="eastAsia" w:ascii="宋体" w:hAnsi="宋体" w:eastAsia="宋体" w:cs="宋体"/>
          <w:color w:val="000000"/>
          <w:sz w:val="24"/>
          <w:szCs w:val="24"/>
          <w:highlight w:val="none"/>
        </w:rPr>
        <w:t>.3不可抗力事件延续120天以上，双方应通过友好协商，确定是否继续履行合同。</w:t>
      </w:r>
    </w:p>
    <w:p w14:paraId="67AF7C8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二</w:t>
      </w:r>
      <w:r>
        <w:rPr>
          <w:rFonts w:hint="eastAsia" w:ascii="宋体" w:hAnsi="宋体" w:eastAsia="宋体" w:cs="宋体"/>
          <w:b/>
          <w:color w:val="000000"/>
          <w:sz w:val="24"/>
          <w:szCs w:val="24"/>
          <w:highlight w:val="none"/>
        </w:rPr>
        <w:t>、解决争议的方法</w:t>
      </w:r>
    </w:p>
    <w:p w14:paraId="71315F2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.1双方在签订、履行合同中所发生的一切争议，应通过友好协商解决。如协商不成，由甲方住所地人民法院管辖。</w:t>
      </w:r>
    </w:p>
    <w:p w14:paraId="0E8DC9C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2" w:firstLineChars="200"/>
        <w:jc w:val="both"/>
        <w:textAlignment w:val="auto"/>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rPr>
        <w:t>、合同生效及其</w:t>
      </w:r>
      <w:r>
        <w:rPr>
          <w:rFonts w:hint="eastAsia" w:ascii="宋体" w:hAnsi="宋体" w:eastAsia="宋体" w:cs="宋体"/>
          <w:b/>
          <w:color w:val="000000"/>
          <w:sz w:val="24"/>
          <w:szCs w:val="24"/>
          <w:highlight w:val="none"/>
          <w:lang w:eastAsia="zh-CN"/>
        </w:rPr>
        <w:t>他</w:t>
      </w:r>
    </w:p>
    <w:p w14:paraId="125BC0E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.1合同经双方法定代表人或授权委托代表人签字并加盖单位公章后生效。</w:t>
      </w:r>
    </w:p>
    <w:p w14:paraId="0B680B9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.2本合同未尽事宜，遵照</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民法典》、</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政府采购法》有关条文执行。</w:t>
      </w:r>
    </w:p>
    <w:p w14:paraId="7AC8DAF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420" w:lineRule="exact"/>
        <w:ind w:left="482" w:leftChars="199" w:hanging="64" w:hangingChars="27"/>
        <w:jc w:val="both"/>
        <w:textAlignment w:val="auto"/>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.3 本合同一式</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份，具有同等法律效力，甲方、乙方各执</w:t>
      </w:r>
      <w:r>
        <w:rPr>
          <w:rFonts w:hint="eastAsia" w:ascii="宋体" w:hAnsi="宋体" w:eastAsia="宋体" w:cs="宋体"/>
          <w:color w:val="000000"/>
          <w:sz w:val="24"/>
          <w:szCs w:val="24"/>
          <w:highlight w:val="none"/>
          <w:lang w:val="en-US" w:eastAsia="zh-CN"/>
        </w:rPr>
        <w:t>两</w:t>
      </w:r>
      <w:r>
        <w:rPr>
          <w:rFonts w:hint="eastAsia" w:ascii="宋体" w:hAnsi="宋体" w:eastAsia="宋体" w:cs="宋体"/>
          <w:color w:val="000000"/>
          <w:sz w:val="24"/>
          <w:szCs w:val="24"/>
          <w:highlight w:val="none"/>
        </w:rPr>
        <w:t>份。</w:t>
      </w:r>
    </w:p>
    <w:p w14:paraId="3C6C25E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bookmarkStart w:id="174" w:name="_Toc479757211"/>
      <w:bookmarkStart w:id="175" w:name="_Toc20823346"/>
      <w:bookmarkStart w:id="176" w:name="_Toc16938590"/>
      <w:bookmarkStart w:id="177" w:name="_Hlt16619350"/>
      <w:bookmarkStart w:id="178" w:name="_Toc120614244"/>
      <w:bookmarkStart w:id="179" w:name="_Toc462564139"/>
      <w:bookmarkStart w:id="180" w:name="_Hlt16619369"/>
    </w:p>
    <w:p w14:paraId="5DFB953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甲方（盖章）：                乙方（盖章）：</w:t>
      </w:r>
    </w:p>
    <w:p w14:paraId="22FB10D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宋体" w:hAnsi="宋体" w:eastAsia="宋体" w:cs="宋体"/>
          <w:color w:val="000000"/>
          <w:sz w:val="24"/>
          <w:szCs w:val="24"/>
          <w:highlight w:val="none"/>
        </w:rPr>
      </w:pPr>
    </w:p>
    <w:p w14:paraId="69F444D8">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负责人(盖章或签字):      负责人(盖章或签字):</w:t>
      </w:r>
    </w:p>
    <w:p w14:paraId="76761A8F">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1B59B2E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宋体" w:hAnsi="宋体" w:eastAsia="宋体" w:cs="宋体"/>
          <w:color w:val="000000"/>
          <w:sz w:val="24"/>
          <w:szCs w:val="24"/>
          <w:highlight w:val="none"/>
        </w:rPr>
      </w:pPr>
    </w:p>
    <w:p w14:paraId="7A1349F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签订日期：  年  月  日</w:t>
      </w:r>
      <w:r>
        <w:rPr>
          <w:rFonts w:hint="eastAsia" w:ascii="黑体" w:hAnsi="宋体" w:eastAsia="黑体" w:cs="黑体"/>
          <w:color w:val="000000"/>
          <w:sz w:val="44"/>
          <w:szCs w:val="44"/>
          <w:highlight w:val="none"/>
        </w:rPr>
        <w:t> </w:t>
      </w:r>
    </w:p>
    <w:p w14:paraId="1A1EEA2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tbl>
      <w:tblPr>
        <w:tblStyle w:val="8"/>
        <w:tblW w:w="84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13"/>
        <w:gridCol w:w="4288"/>
        <w:gridCol w:w="202"/>
        <w:gridCol w:w="472"/>
        <w:gridCol w:w="674"/>
        <w:gridCol w:w="109"/>
        <w:gridCol w:w="559"/>
        <w:gridCol w:w="6"/>
        <w:gridCol w:w="552"/>
        <w:gridCol w:w="122"/>
        <w:gridCol w:w="436"/>
        <w:gridCol w:w="240"/>
      </w:tblGrid>
      <w:tr w14:paraId="33FB7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473" w:type="dxa"/>
            <w:gridSpan w:val="12"/>
            <w:noWrap w:val="0"/>
            <w:vAlign w:val="center"/>
          </w:tcPr>
          <w:p w14:paraId="3CAB16C7">
            <w:pPr>
              <w:keepNext w:val="0"/>
              <w:keepLines w:val="0"/>
              <w:widowControl w:val="0"/>
              <w:suppressLineNumbers w:val="0"/>
              <w:adjustRightInd w:val="0"/>
              <w:snapToGrid w:val="0"/>
              <w:spacing w:before="0" w:beforeAutospacing="0" w:after="0" w:afterAutospacing="0" w:line="360" w:lineRule="auto"/>
              <w:ind w:left="0" w:right="0" w:firstLine="482" w:firstLineChars="200"/>
              <w:jc w:val="center"/>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月度考核表</w:t>
            </w:r>
          </w:p>
        </w:tc>
      </w:tr>
      <w:tr w14:paraId="77044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101" w:type="dxa"/>
            <w:gridSpan w:val="2"/>
            <w:tcBorders>
              <w:top w:val="nil"/>
              <w:left w:val="nil"/>
              <w:bottom w:val="single" w:color="auto" w:sz="4" w:space="0"/>
              <w:right w:val="nil"/>
            </w:tcBorders>
            <w:noWrap w:val="0"/>
            <w:vAlign w:val="center"/>
          </w:tcPr>
          <w:p w14:paraId="1E915331">
            <w:pPr>
              <w:keepNext w:val="0"/>
              <w:keepLines w:val="0"/>
              <w:widowControl w:val="0"/>
              <w:suppressLineNumbers w:val="0"/>
              <w:adjustRightInd w:val="0"/>
              <w:snapToGrid w:val="0"/>
              <w:spacing w:before="0" w:beforeAutospacing="0" w:after="0" w:afterAutospacing="0" w:line="360" w:lineRule="auto"/>
              <w:ind w:right="0"/>
              <w:jc w:val="both"/>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考核时间：    年      月</w:t>
            </w:r>
          </w:p>
        </w:tc>
        <w:tc>
          <w:tcPr>
            <w:tcW w:w="1457" w:type="dxa"/>
            <w:gridSpan w:val="4"/>
            <w:tcBorders>
              <w:top w:val="nil"/>
              <w:left w:val="nil"/>
              <w:bottom w:val="single" w:color="auto" w:sz="4" w:space="0"/>
              <w:right w:val="nil"/>
            </w:tcBorders>
            <w:noWrap w:val="0"/>
            <w:vAlign w:val="center"/>
          </w:tcPr>
          <w:p w14:paraId="557FC94F">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559" w:type="dxa"/>
            <w:tcBorders>
              <w:top w:val="nil"/>
              <w:left w:val="nil"/>
              <w:bottom w:val="single" w:color="auto" w:sz="4" w:space="0"/>
              <w:right w:val="nil"/>
            </w:tcBorders>
            <w:noWrap w:val="0"/>
            <w:vAlign w:val="center"/>
          </w:tcPr>
          <w:p w14:paraId="0D22A9B9">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558" w:type="dxa"/>
            <w:gridSpan w:val="2"/>
            <w:tcBorders>
              <w:top w:val="nil"/>
              <w:left w:val="nil"/>
              <w:bottom w:val="single" w:color="auto" w:sz="4" w:space="0"/>
              <w:right w:val="nil"/>
            </w:tcBorders>
            <w:noWrap w:val="0"/>
            <w:vAlign w:val="center"/>
          </w:tcPr>
          <w:p w14:paraId="783B13E4">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558" w:type="dxa"/>
            <w:gridSpan w:val="2"/>
            <w:tcBorders>
              <w:top w:val="nil"/>
              <w:left w:val="nil"/>
              <w:bottom w:val="single" w:color="auto" w:sz="4" w:space="0"/>
              <w:right w:val="nil"/>
            </w:tcBorders>
            <w:noWrap w:val="0"/>
            <w:vAlign w:val="center"/>
          </w:tcPr>
          <w:p w14:paraId="28F93585">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240" w:type="dxa"/>
            <w:tcBorders>
              <w:top w:val="nil"/>
              <w:left w:val="nil"/>
              <w:bottom w:val="single" w:color="auto" w:sz="4" w:space="0"/>
              <w:right w:val="nil"/>
            </w:tcBorders>
            <w:noWrap w:val="0"/>
            <w:vAlign w:val="center"/>
          </w:tcPr>
          <w:p w14:paraId="1A6225F3">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r>
      <w:tr w14:paraId="11196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 w:hRule="atLeast"/>
        </w:trPr>
        <w:tc>
          <w:tcPr>
            <w:tcW w:w="813" w:type="dxa"/>
            <w:vMerge w:val="restart"/>
            <w:tcBorders>
              <w:top w:val="single" w:color="auto" w:sz="4" w:space="0"/>
              <w:left w:val="single" w:color="auto" w:sz="4" w:space="0"/>
              <w:bottom w:val="single" w:color="auto" w:sz="4" w:space="0"/>
              <w:right w:val="single" w:color="auto" w:sz="4" w:space="0"/>
            </w:tcBorders>
            <w:noWrap w:val="0"/>
            <w:vAlign w:val="center"/>
          </w:tcPr>
          <w:p w14:paraId="37890AAF">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序号</w:t>
            </w:r>
          </w:p>
        </w:tc>
        <w:tc>
          <w:tcPr>
            <w:tcW w:w="4288" w:type="dxa"/>
            <w:vMerge w:val="restart"/>
            <w:tcBorders>
              <w:top w:val="single" w:color="auto" w:sz="4" w:space="0"/>
              <w:left w:val="nil"/>
              <w:bottom w:val="single" w:color="auto" w:sz="4" w:space="0"/>
              <w:right w:val="single" w:color="auto" w:sz="4" w:space="0"/>
            </w:tcBorders>
            <w:noWrap w:val="0"/>
            <w:vAlign w:val="center"/>
          </w:tcPr>
          <w:p w14:paraId="7B1FE683">
            <w:pPr>
              <w:keepNext w:val="0"/>
              <w:keepLines w:val="0"/>
              <w:widowControl w:val="0"/>
              <w:suppressLineNumbers w:val="0"/>
              <w:adjustRightInd w:val="0"/>
              <w:snapToGrid w:val="0"/>
              <w:spacing w:before="0" w:beforeAutospacing="0" w:after="0" w:afterAutospacing="0" w:line="360" w:lineRule="auto"/>
              <w:ind w:left="0" w:right="0" w:firstLine="482" w:firstLineChars="200"/>
              <w:jc w:val="center"/>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考核项目</w:t>
            </w:r>
          </w:p>
        </w:tc>
        <w:tc>
          <w:tcPr>
            <w:tcW w:w="3372" w:type="dxa"/>
            <w:gridSpan w:val="10"/>
            <w:tcBorders>
              <w:top w:val="single" w:color="auto" w:sz="4" w:space="0"/>
              <w:left w:val="nil"/>
              <w:bottom w:val="single" w:color="auto" w:sz="4" w:space="0"/>
              <w:right w:val="single" w:color="auto" w:sz="4" w:space="0"/>
            </w:tcBorders>
            <w:noWrap w:val="0"/>
            <w:vAlign w:val="center"/>
          </w:tcPr>
          <w:p w14:paraId="6C10E97B">
            <w:pPr>
              <w:keepNext w:val="0"/>
              <w:keepLines w:val="0"/>
              <w:widowControl w:val="0"/>
              <w:suppressLineNumbers w:val="0"/>
              <w:adjustRightInd w:val="0"/>
              <w:snapToGrid w:val="0"/>
              <w:spacing w:before="0" w:beforeAutospacing="0" w:after="0" w:afterAutospacing="0" w:line="360" w:lineRule="auto"/>
              <w:ind w:right="0"/>
              <w:jc w:val="center"/>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评价制度</w:t>
            </w:r>
          </w:p>
        </w:tc>
      </w:tr>
      <w:tr w14:paraId="27855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 w:hRule="atLeast"/>
        </w:trPr>
        <w:tc>
          <w:tcPr>
            <w:tcW w:w="813" w:type="dxa"/>
            <w:vMerge w:val="continue"/>
            <w:tcBorders>
              <w:top w:val="single" w:color="auto" w:sz="4" w:space="0"/>
              <w:left w:val="single" w:color="auto" w:sz="4" w:space="0"/>
              <w:bottom w:val="single" w:color="auto" w:sz="4" w:space="0"/>
              <w:right w:val="single" w:color="auto" w:sz="4" w:space="0"/>
            </w:tcBorders>
            <w:noWrap w:val="0"/>
            <w:vAlign w:val="center"/>
          </w:tcPr>
          <w:p w14:paraId="0055BB5D">
            <w:pPr>
              <w:keepNext w:val="0"/>
              <w:keepLines w:val="0"/>
              <w:suppressLineNumbers w:val="0"/>
              <w:spacing w:before="0" w:beforeAutospacing="0" w:after="0" w:afterAutospacing="0"/>
              <w:ind w:left="0" w:right="0"/>
              <w:rPr>
                <w:rFonts w:hint="default" w:ascii="Calibri" w:hAnsi="Calibri" w:eastAsia="宋体" w:cs="Times New Roman"/>
                <w:kern w:val="2"/>
                <w:sz w:val="21"/>
                <w:szCs w:val="22"/>
              </w:rPr>
            </w:pPr>
          </w:p>
        </w:tc>
        <w:tc>
          <w:tcPr>
            <w:tcW w:w="4288" w:type="dxa"/>
            <w:vMerge w:val="continue"/>
            <w:tcBorders>
              <w:top w:val="single" w:color="auto" w:sz="4" w:space="0"/>
              <w:left w:val="nil"/>
              <w:bottom w:val="single" w:color="auto" w:sz="4" w:space="0"/>
              <w:right w:val="single" w:color="auto" w:sz="4" w:space="0"/>
            </w:tcBorders>
            <w:noWrap w:val="0"/>
            <w:vAlign w:val="center"/>
          </w:tcPr>
          <w:p w14:paraId="4A247292">
            <w:pPr>
              <w:keepNext w:val="0"/>
              <w:keepLines w:val="0"/>
              <w:suppressLineNumbers w:val="0"/>
              <w:spacing w:before="0" w:beforeAutospacing="0" w:after="0" w:afterAutospacing="0"/>
              <w:ind w:left="0" w:right="0"/>
              <w:rPr>
                <w:rFonts w:hint="default" w:ascii="Calibri" w:hAnsi="Calibri" w:eastAsia="宋体" w:cs="Times New Roman"/>
                <w:kern w:val="2"/>
                <w:sz w:val="21"/>
                <w:szCs w:val="22"/>
              </w:rPr>
            </w:pPr>
          </w:p>
        </w:tc>
        <w:tc>
          <w:tcPr>
            <w:tcW w:w="674" w:type="dxa"/>
            <w:gridSpan w:val="2"/>
            <w:tcBorders>
              <w:top w:val="single" w:color="auto" w:sz="4" w:space="0"/>
              <w:left w:val="nil"/>
              <w:bottom w:val="single" w:color="auto" w:sz="4" w:space="0"/>
              <w:right w:val="single" w:color="auto" w:sz="4" w:space="0"/>
            </w:tcBorders>
            <w:noWrap w:val="0"/>
            <w:vAlign w:val="center"/>
          </w:tcPr>
          <w:p w14:paraId="3D7E7FD4">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优</w:t>
            </w:r>
          </w:p>
        </w:tc>
        <w:tc>
          <w:tcPr>
            <w:tcW w:w="674" w:type="dxa"/>
            <w:tcBorders>
              <w:top w:val="single" w:color="auto" w:sz="4" w:space="0"/>
              <w:left w:val="nil"/>
              <w:bottom w:val="single" w:color="auto" w:sz="4" w:space="0"/>
              <w:right w:val="single" w:color="auto" w:sz="4" w:space="0"/>
            </w:tcBorders>
            <w:noWrap w:val="0"/>
            <w:vAlign w:val="center"/>
          </w:tcPr>
          <w:p w14:paraId="0DD8BDC5">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良</w:t>
            </w:r>
          </w:p>
        </w:tc>
        <w:tc>
          <w:tcPr>
            <w:tcW w:w="674" w:type="dxa"/>
            <w:gridSpan w:val="3"/>
            <w:tcBorders>
              <w:top w:val="single" w:color="auto" w:sz="4" w:space="0"/>
              <w:left w:val="nil"/>
              <w:bottom w:val="single" w:color="auto" w:sz="4" w:space="0"/>
              <w:right w:val="single" w:color="auto" w:sz="4" w:space="0"/>
            </w:tcBorders>
            <w:noWrap w:val="0"/>
            <w:vAlign w:val="center"/>
          </w:tcPr>
          <w:p w14:paraId="227C45E9">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中</w:t>
            </w:r>
          </w:p>
        </w:tc>
        <w:tc>
          <w:tcPr>
            <w:tcW w:w="674" w:type="dxa"/>
            <w:gridSpan w:val="2"/>
            <w:tcBorders>
              <w:top w:val="single" w:color="auto" w:sz="4" w:space="0"/>
              <w:left w:val="nil"/>
              <w:bottom w:val="single" w:color="auto" w:sz="4" w:space="0"/>
              <w:right w:val="single" w:color="auto" w:sz="4" w:space="0"/>
            </w:tcBorders>
            <w:noWrap w:val="0"/>
            <w:vAlign w:val="center"/>
          </w:tcPr>
          <w:p w14:paraId="6BDF87B3">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可</w:t>
            </w:r>
          </w:p>
        </w:tc>
        <w:tc>
          <w:tcPr>
            <w:tcW w:w="676" w:type="dxa"/>
            <w:gridSpan w:val="2"/>
            <w:tcBorders>
              <w:top w:val="single" w:color="auto" w:sz="4" w:space="0"/>
              <w:left w:val="nil"/>
              <w:bottom w:val="single" w:color="auto" w:sz="4" w:space="0"/>
              <w:right w:val="single" w:color="auto" w:sz="4" w:space="0"/>
            </w:tcBorders>
            <w:noWrap w:val="0"/>
            <w:vAlign w:val="center"/>
          </w:tcPr>
          <w:p w14:paraId="5AD96C02">
            <w:pPr>
              <w:keepNext w:val="0"/>
              <w:keepLines w:val="0"/>
              <w:widowControl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差</w:t>
            </w:r>
          </w:p>
        </w:tc>
      </w:tr>
      <w:tr w14:paraId="2480B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CADDB8C">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1</w:t>
            </w:r>
          </w:p>
        </w:tc>
        <w:tc>
          <w:tcPr>
            <w:tcW w:w="4288" w:type="dxa"/>
            <w:tcBorders>
              <w:top w:val="single" w:color="auto" w:sz="4" w:space="0"/>
              <w:left w:val="nil"/>
              <w:bottom w:val="single" w:color="auto" w:sz="4" w:space="0"/>
              <w:right w:val="single" w:color="auto" w:sz="4" w:space="0"/>
            </w:tcBorders>
            <w:noWrap w:val="0"/>
            <w:vAlign w:val="center"/>
          </w:tcPr>
          <w:p w14:paraId="58C9804A">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食材新鲜度、无腐败变质食品（蔬菜、肉类、水产、冷冻、豆制品等）</w:t>
            </w:r>
          </w:p>
        </w:tc>
        <w:tc>
          <w:tcPr>
            <w:tcW w:w="674" w:type="dxa"/>
            <w:gridSpan w:val="2"/>
            <w:tcBorders>
              <w:top w:val="single" w:color="auto" w:sz="4" w:space="0"/>
              <w:left w:val="nil"/>
              <w:bottom w:val="single" w:color="auto" w:sz="4" w:space="0"/>
              <w:right w:val="single" w:color="auto" w:sz="4" w:space="0"/>
            </w:tcBorders>
            <w:noWrap w:val="0"/>
            <w:vAlign w:val="center"/>
          </w:tcPr>
          <w:p w14:paraId="7F592250">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tcBorders>
              <w:top w:val="single" w:color="auto" w:sz="4" w:space="0"/>
              <w:left w:val="nil"/>
              <w:bottom w:val="single" w:color="auto" w:sz="4" w:space="0"/>
              <w:right w:val="single" w:color="auto" w:sz="4" w:space="0"/>
            </w:tcBorders>
            <w:noWrap w:val="0"/>
            <w:vAlign w:val="center"/>
          </w:tcPr>
          <w:p w14:paraId="58CB5F4F">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3"/>
            <w:tcBorders>
              <w:top w:val="single" w:color="auto" w:sz="4" w:space="0"/>
              <w:left w:val="nil"/>
              <w:bottom w:val="single" w:color="auto" w:sz="4" w:space="0"/>
              <w:right w:val="single" w:color="auto" w:sz="4" w:space="0"/>
            </w:tcBorders>
            <w:noWrap w:val="0"/>
            <w:vAlign w:val="center"/>
          </w:tcPr>
          <w:p w14:paraId="6E8E4215">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2"/>
            <w:tcBorders>
              <w:top w:val="single" w:color="auto" w:sz="4" w:space="0"/>
              <w:left w:val="nil"/>
              <w:bottom w:val="single" w:color="auto" w:sz="4" w:space="0"/>
              <w:right w:val="single" w:color="auto" w:sz="4" w:space="0"/>
            </w:tcBorders>
            <w:noWrap w:val="0"/>
            <w:vAlign w:val="center"/>
          </w:tcPr>
          <w:p w14:paraId="29470DB7">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6" w:type="dxa"/>
            <w:gridSpan w:val="2"/>
            <w:tcBorders>
              <w:top w:val="single" w:color="auto" w:sz="4" w:space="0"/>
              <w:left w:val="nil"/>
              <w:bottom w:val="single" w:color="auto" w:sz="4" w:space="0"/>
              <w:right w:val="single" w:color="auto" w:sz="4" w:space="0"/>
            </w:tcBorders>
            <w:noWrap w:val="0"/>
            <w:vAlign w:val="center"/>
          </w:tcPr>
          <w:p w14:paraId="33A34D4A">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r>
      <w:tr w14:paraId="56501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72EF48F5">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2</w:t>
            </w:r>
          </w:p>
        </w:tc>
        <w:tc>
          <w:tcPr>
            <w:tcW w:w="4288" w:type="dxa"/>
            <w:tcBorders>
              <w:top w:val="single" w:color="auto" w:sz="4" w:space="0"/>
              <w:left w:val="nil"/>
              <w:bottom w:val="single" w:color="auto" w:sz="4" w:space="0"/>
              <w:right w:val="single" w:color="auto" w:sz="4" w:space="0"/>
            </w:tcBorders>
            <w:noWrap w:val="0"/>
            <w:vAlign w:val="center"/>
          </w:tcPr>
          <w:p w14:paraId="6680CBD8">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配送准时度(按照规定时间，将货物送达)</w:t>
            </w:r>
          </w:p>
        </w:tc>
        <w:tc>
          <w:tcPr>
            <w:tcW w:w="674" w:type="dxa"/>
            <w:gridSpan w:val="2"/>
            <w:tcBorders>
              <w:top w:val="single" w:color="auto" w:sz="4" w:space="0"/>
              <w:left w:val="nil"/>
              <w:bottom w:val="single" w:color="auto" w:sz="4" w:space="0"/>
              <w:right w:val="single" w:color="auto" w:sz="4" w:space="0"/>
            </w:tcBorders>
            <w:noWrap w:val="0"/>
            <w:vAlign w:val="center"/>
          </w:tcPr>
          <w:p w14:paraId="2D7F724A">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tcBorders>
              <w:top w:val="single" w:color="auto" w:sz="4" w:space="0"/>
              <w:left w:val="nil"/>
              <w:bottom w:val="single" w:color="auto" w:sz="4" w:space="0"/>
              <w:right w:val="single" w:color="auto" w:sz="4" w:space="0"/>
            </w:tcBorders>
            <w:noWrap w:val="0"/>
            <w:vAlign w:val="center"/>
          </w:tcPr>
          <w:p w14:paraId="5993CCA0">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3"/>
            <w:tcBorders>
              <w:top w:val="single" w:color="auto" w:sz="4" w:space="0"/>
              <w:left w:val="nil"/>
              <w:bottom w:val="single" w:color="auto" w:sz="4" w:space="0"/>
              <w:right w:val="single" w:color="auto" w:sz="4" w:space="0"/>
            </w:tcBorders>
            <w:noWrap w:val="0"/>
            <w:vAlign w:val="center"/>
          </w:tcPr>
          <w:p w14:paraId="596BE5AF">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2"/>
            <w:tcBorders>
              <w:top w:val="single" w:color="auto" w:sz="4" w:space="0"/>
              <w:left w:val="nil"/>
              <w:bottom w:val="single" w:color="auto" w:sz="4" w:space="0"/>
              <w:right w:val="single" w:color="auto" w:sz="4" w:space="0"/>
            </w:tcBorders>
            <w:noWrap w:val="0"/>
            <w:vAlign w:val="center"/>
          </w:tcPr>
          <w:p w14:paraId="1C2780F1">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6" w:type="dxa"/>
            <w:gridSpan w:val="2"/>
            <w:tcBorders>
              <w:top w:val="single" w:color="auto" w:sz="4" w:space="0"/>
              <w:left w:val="nil"/>
              <w:bottom w:val="single" w:color="auto" w:sz="4" w:space="0"/>
              <w:right w:val="single" w:color="auto" w:sz="4" w:space="0"/>
            </w:tcBorders>
            <w:noWrap w:val="0"/>
            <w:vAlign w:val="center"/>
          </w:tcPr>
          <w:p w14:paraId="03EF6638">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r>
      <w:tr w14:paraId="2692E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D195069">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3</w:t>
            </w:r>
          </w:p>
        </w:tc>
        <w:tc>
          <w:tcPr>
            <w:tcW w:w="4288" w:type="dxa"/>
            <w:tcBorders>
              <w:top w:val="single" w:color="auto" w:sz="4" w:space="0"/>
              <w:left w:val="nil"/>
              <w:bottom w:val="single" w:color="auto" w:sz="4" w:space="0"/>
              <w:right w:val="single" w:color="auto" w:sz="4" w:space="0"/>
            </w:tcBorders>
            <w:noWrap w:val="0"/>
            <w:vAlign w:val="center"/>
          </w:tcPr>
          <w:p w14:paraId="48836587">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服务态度（售后服务）</w:t>
            </w:r>
          </w:p>
        </w:tc>
        <w:tc>
          <w:tcPr>
            <w:tcW w:w="674" w:type="dxa"/>
            <w:gridSpan w:val="2"/>
            <w:tcBorders>
              <w:top w:val="single" w:color="auto" w:sz="4" w:space="0"/>
              <w:left w:val="nil"/>
              <w:bottom w:val="single" w:color="auto" w:sz="4" w:space="0"/>
              <w:right w:val="single" w:color="auto" w:sz="4" w:space="0"/>
            </w:tcBorders>
            <w:noWrap w:val="0"/>
            <w:vAlign w:val="center"/>
          </w:tcPr>
          <w:p w14:paraId="51BF769C">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tcBorders>
              <w:top w:val="single" w:color="auto" w:sz="4" w:space="0"/>
              <w:left w:val="nil"/>
              <w:bottom w:val="single" w:color="auto" w:sz="4" w:space="0"/>
              <w:right w:val="single" w:color="auto" w:sz="4" w:space="0"/>
            </w:tcBorders>
            <w:noWrap w:val="0"/>
            <w:vAlign w:val="center"/>
          </w:tcPr>
          <w:p w14:paraId="122739FC">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3"/>
            <w:tcBorders>
              <w:top w:val="single" w:color="auto" w:sz="4" w:space="0"/>
              <w:left w:val="nil"/>
              <w:bottom w:val="single" w:color="auto" w:sz="4" w:space="0"/>
              <w:right w:val="single" w:color="auto" w:sz="4" w:space="0"/>
            </w:tcBorders>
            <w:noWrap w:val="0"/>
            <w:vAlign w:val="center"/>
          </w:tcPr>
          <w:p w14:paraId="260A9018">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2"/>
            <w:tcBorders>
              <w:top w:val="single" w:color="auto" w:sz="4" w:space="0"/>
              <w:left w:val="nil"/>
              <w:bottom w:val="single" w:color="auto" w:sz="4" w:space="0"/>
              <w:right w:val="single" w:color="auto" w:sz="4" w:space="0"/>
            </w:tcBorders>
            <w:noWrap w:val="0"/>
            <w:vAlign w:val="center"/>
          </w:tcPr>
          <w:p w14:paraId="180CBF8E">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6" w:type="dxa"/>
            <w:gridSpan w:val="2"/>
            <w:tcBorders>
              <w:top w:val="single" w:color="auto" w:sz="4" w:space="0"/>
              <w:left w:val="nil"/>
              <w:bottom w:val="single" w:color="auto" w:sz="4" w:space="0"/>
              <w:right w:val="single" w:color="auto" w:sz="4" w:space="0"/>
            </w:tcBorders>
            <w:noWrap w:val="0"/>
            <w:vAlign w:val="center"/>
          </w:tcPr>
          <w:p w14:paraId="37523802">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r>
      <w:tr w14:paraId="0C125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A468E8A">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4</w:t>
            </w:r>
          </w:p>
        </w:tc>
        <w:tc>
          <w:tcPr>
            <w:tcW w:w="4288" w:type="dxa"/>
            <w:tcBorders>
              <w:top w:val="single" w:color="auto" w:sz="4" w:space="0"/>
              <w:left w:val="nil"/>
              <w:bottom w:val="single" w:color="auto" w:sz="4" w:space="0"/>
              <w:right w:val="single" w:color="auto" w:sz="4" w:space="0"/>
            </w:tcBorders>
            <w:noWrap w:val="0"/>
            <w:vAlign w:val="center"/>
          </w:tcPr>
          <w:p w14:paraId="0C09BC5C">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原料进货单据齐全，单货相符，货物出入库手续完备</w:t>
            </w:r>
          </w:p>
        </w:tc>
        <w:tc>
          <w:tcPr>
            <w:tcW w:w="674" w:type="dxa"/>
            <w:gridSpan w:val="2"/>
            <w:tcBorders>
              <w:top w:val="single" w:color="auto" w:sz="4" w:space="0"/>
              <w:left w:val="nil"/>
              <w:bottom w:val="single" w:color="auto" w:sz="4" w:space="0"/>
              <w:right w:val="single" w:color="auto" w:sz="4" w:space="0"/>
            </w:tcBorders>
            <w:noWrap w:val="0"/>
            <w:vAlign w:val="center"/>
          </w:tcPr>
          <w:p w14:paraId="1F5F4A7F">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tcBorders>
              <w:top w:val="single" w:color="auto" w:sz="4" w:space="0"/>
              <w:left w:val="nil"/>
              <w:bottom w:val="single" w:color="auto" w:sz="4" w:space="0"/>
              <w:right w:val="single" w:color="auto" w:sz="4" w:space="0"/>
            </w:tcBorders>
            <w:noWrap w:val="0"/>
            <w:vAlign w:val="center"/>
          </w:tcPr>
          <w:p w14:paraId="5084C3E2">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3"/>
            <w:tcBorders>
              <w:top w:val="single" w:color="auto" w:sz="4" w:space="0"/>
              <w:left w:val="nil"/>
              <w:bottom w:val="single" w:color="auto" w:sz="4" w:space="0"/>
              <w:right w:val="single" w:color="auto" w:sz="4" w:space="0"/>
            </w:tcBorders>
            <w:noWrap w:val="0"/>
            <w:vAlign w:val="center"/>
          </w:tcPr>
          <w:p w14:paraId="5189C9DF">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2"/>
            <w:tcBorders>
              <w:top w:val="single" w:color="auto" w:sz="4" w:space="0"/>
              <w:left w:val="nil"/>
              <w:bottom w:val="single" w:color="auto" w:sz="4" w:space="0"/>
              <w:right w:val="single" w:color="auto" w:sz="4" w:space="0"/>
            </w:tcBorders>
            <w:noWrap w:val="0"/>
            <w:vAlign w:val="center"/>
          </w:tcPr>
          <w:p w14:paraId="33204765">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6" w:type="dxa"/>
            <w:gridSpan w:val="2"/>
            <w:tcBorders>
              <w:top w:val="single" w:color="auto" w:sz="4" w:space="0"/>
              <w:left w:val="nil"/>
              <w:bottom w:val="single" w:color="auto" w:sz="4" w:space="0"/>
              <w:right w:val="single" w:color="auto" w:sz="4" w:space="0"/>
            </w:tcBorders>
            <w:noWrap w:val="0"/>
            <w:vAlign w:val="center"/>
          </w:tcPr>
          <w:p w14:paraId="4D95C0C8">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r>
      <w:tr w14:paraId="78BCA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28A5517D">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5</w:t>
            </w:r>
          </w:p>
        </w:tc>
        <w:tc>
          <w:tcPr>
            <w:tcW w:w="4288" w:type="dxa"/>
            <w:tcBorders>
              <w:top w:val="single" w:color="auto" w:sz="4" w:space="0"/>
              <w:left w:val="nil"/>
              <w:bottom w:val="single" w:color="auto" w:sz="4" w:space="0"/>
              <w:right w:val="single" w:color="auto" w:sz="4" w:space="0"/>
            </w:tcBorders>
            <w:noWrap w:val="0"/>
            <w:vAlign w:val="center"/>
          </w:tcPr>
          <w:p w14:paraId="05BBB1CC">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配送货物单据是否齐全（检测报告、送货单等）</w:t>
            </w:r>
          </w:p>
        </w:tc>
        <w:tc>
          <w:tcPr>
            <w:tcW w:w="674" w:type="dxa"/>
            <w:gridSpan w:val="2"/>
            <w:tcBorders>
              <w:top w:val="single" w:color="auto" w:sz="4" w:space="0"/>
              <w:left w:val="nil"/>
              <w:bottom w:val="single" w:color="auto" w:sz="4" w:space="0"/>
              <w:right w:val="single" w:color="auto" w:sz="4" w:space="0"/>
            </w:tcBorders>
            <w:noWrap w:val="0"/>
            <w:vAlign w:val="center"/>
          </w:tcPr>
          <w:p w14:paraId="30443789">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tcBorders>
              <w:top w:val="single" w:color="auto" w:sz="4" w:space="0"/>
              <w:left w:val="nil"/>
              <w:bottom w:val="single" w:color="auto" w:sz="4" w:space="0"/>
              <w:right w:val="single" w:color="auto" w:sz="4" w:space="0"/>
            </w:tcBorders>
            <w:noWrap w:val="0"/>
            <w:vAlign w:val="center"/>
          </w:tcPr>
          <w:p w14:paraId="3710F8AD">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3"/>
            <w:tcBorders>
              <w:top w:val="single" w:color="auto" w:sz="4" w:space="0"/>
              <w:left w:val="nil"/>
              <w:bottom w:val="single" w:color="auto" w:sz="4" w:space="0"/>
              <w:right w:val="single" w:color="auto" w:sz="4" w:space="0"/>
            </w:tcBorders>
            <w:noWrap w:val="0"/>
            <w:vAlign w:val="center"/>
          </w:tcPr>
          <w:p w14:paraId="6090DCC2">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2"/>
            <w:tcBorders>
              <w:top w:val="single" w:color="auto" w:sz="4" w:space="0"/>
              <w:left w:val="nil"/>
              <w:bottom w:val="single" w:color="auto" w:sz="4" w:space="0"/>
              <w:right w:val="single" w:color="auto" w:sz="4" w:space="0"/>
            </w:tcBorders>
            <w:noWrap w:val="0"/>
            <w:vAlign w:val="center"/>
          </w:tcPr>
          <w:p w14:paraId="208B14AB">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6" w:type="dxa"/>
            <w:gridSpan w:val="2"/>
            <w:tcBorders>
              <w:top w:val="single" w:color="auto" w:sz="4" w:space="0"/>
              <w:left w:val="nil"/>
              <w:bottom w:val="single" w:color="auto" w:sz="4" w:space="0"/>
              <w:right w:val="single" w:color="auto" w:sz="4" w:space="0"/>
            </w:tcBorders>
            <w:noWrap w:val="0"/>
            <w:vAlign w:val="center"/>
          </w:tcPr>
          <w:p w14:paraId="5912A2F7">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r>
      <w:tr w14:paraId="60655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13" w:type="dxa"/>
            <w:tcBorders>
              <w:top w:val="single" w:color="auto" w:sz="4" w:space="0"/>
              <w:left w:val="single" w:color="auto" w:sz="4" w:space="0"/>
              <w:bottom w:val="single" w:color="auto" w:sz="4" w:space="0"/>
              <w:right w:val="single" w:color="auto" w:sz="4" w:space="0"/>
            </w:tcBorders>
            <w:noWrap w:val="0"/>
            <w:vAlign w:val="center"/>
          </w:tcPr>
          <w:p w14:paraId="30EB8A69">
            <w:pPr>
              <w:keepNext w:val="0"/>
              <w:keepLines w:val="0"/>
              <w:widowControl w:val="0"/>
              <w:suppressLineNumbers w:val="0"/>
              <w:adjustRightInd w:val="0"/>
              <w:snapToGrid w:val="0"/>
              <w:spacing w:before="0" w:beforeAutospacing="0" w:after="0" w:afterAutospacing="0" w:line="360" w:lineRule="auto"/>
              <w:ind w:left="0" w:right="0" w:firstLine="240" w:firstLineChars="10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6</w:t>
            </w:r>
          </w:p>
        </w:tc>
        <w:tc>
          <w:tcPr>
            <w:tcW w:w="4288" w:type="dxa"/>
            <w:tcBorders>
              <w:top w:val="single" w:color="auto" w:sz="4" w:space="0"/>
              <w:left w:val="nil"/>
              <w:bottom w:val="single" w:color="auto" w:sz="4" w:space="0"/>
              <w:right w:val="single" w:color="auto" w:sz="4" w:space="0"/>
            </w:tcBorders>
            <w:noWrap w:val="0"/>
            <w:vAlign w:val="center"/>
          </w:tcPr>
          <w:p w14:paraId="6157ACFF">
            <w:pPr>
              <w:keepNext w:val="0"/>
              <w:keepLines w:val="0"/>
              <w:widowControl w:val="0"/>
              <w:suppressLineNumbers w:val="0"/>
              <w:adjustRightInd w:val="0"/>
              <w:snapToGrid w:val="0"/>
              <w:spacing w:before="0" w:beforeAutospacing="0" w:after="0" w:afterAutospacing="0" w:line="360" w:lineRule="auto"/>
              <w:ind w:left="0" w:right="0"/>
              <w:jc w:val="left"/>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原料厂商索证资料是否齐全</w:t>
            </w:r>
          </w:p>
        </w:tc>
        <w:tc>
          <w:tcPr>
            <w:tcW w:w="674" w:type="dxa"/>
            <w:gridSpan w:val="2"/>
            <w:tcBorders>
              <w:top w:val="single" w:color="auto" w:sz="4" w:space="0"/>
              <w:left w:val="nil"/>
              <w:bottom w:val="single" w:color="auto" w:sz="4" w:space="0"/>
              <w:right w:val="single" w:color="auto" w:sz="4" w:space="0"/>
            </w:tcBorders>
            <w:noWrap w:val="0"/>
            <w:vAlign w:val="center"/>
          </w:tcPr>
          <w:p w14:paraId="71B0AD59">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tcBorders>
              <w:top w:val="single" w:color="auto" w:sz="4" w:space="0"/>
              <w:left w:val="nil"/>
              <w:bottom w:val="single" w:color="auto" w:sz="4" w:space="0"/>
              <w:right w:val="single" w:color="auto" w:sz="4" w:space="0"/>
            </w:tcBorders>
            <w:noWrap w:val="0"/>
            <w:vAlign w:val="center"/>
          </w:tcPr>
          <w:p w14:paraId="7CCA5A81">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3"/>
            <w:tcBorders>
              <w:top w:val="single" w:color="auto" w:sz="4" w:space="0"/>
              <w:left w:val="nil"/>
              <w:bottom w:val="single" w:color="auto" w:sz="4" w:space="0"/>
              <w:right w:val="single" w:color="auto" w:sz="4" w:space="0"/>
            </w:tcBorders>
            <w:noWrap w:val="0"/>
            <w:vAlign w:val="center"/>
          </w:tcPr>
          <w:p w14:paraId="5B34A593">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4" w:type="dxa"/>
            <w:gridSpan w:val="2"/>
            <w:tcBorders>
              <w:top w:val="single" w:color="auto" w:sz="4" w:space="0"/>
              <w:left w:val="nil"/>
              <w:bottom w:val="single" w:color="auto" w:sz="4" w:space="0"/>
              <w:right w:val="single" w:color="auto" w:sz="4" w:space="0"/>
            </w:tcBorders>
            <w:noWrap w:val="0"/>
            <w:vAlign w:val="center"/>
          </w:tcPr>
          <w:p w14:paraId="1555D170">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c>
          <w:tcPr>
            <w:tcW w:w="676" w:type="dxa"/>
            <w:gridSpan w:val="2"/>
            <w:tcBorders>
              <w:top w:val="single" w:color="auto" w:sz="4" w:space="0"/>
              <w:left w:val="nil"/>
              <w:bottom w:val="single" w:color="auto" w:sz="4" w:space="0"/>
              <w:right w:val="single" w:color="auto" w:sz="4" w:space="0"/>
            </w:tcBorders>
            <w:noWrap w:val="0"/>
            <w:vAlign w:val="center"/>
          </w:tcPr>
          <w:p w14:paraId="45AF58BD">
            <w:pPr>
              <w:keepNext w:val="0"/>
              <w:keepLines w:val="0"/>
              <w:widowControl w:val="0"/>
              <w:suppressLineNumbers w:val="0"/>
              <w:adjustRightInd w:val="0"/>
              <w:snapToGrid w:val="0"/>
              <w:spacing w:before="0" w:beforeAutospacing="0" w:after="0" w:afterAutospacing="0" w:line="360" w:lineRule="auto"/>
              <w:ind w:left="0" w:right="0" w:firstLine="480" w:firstLineChars="200"/>
              <w:jc w:val="center"/>
              <w:rPr>
                <w:rFonts w:hint="eastAsia" w:ascii="宋体" w:hAnsi="宋体" w:eastAsia="宋体" w:cs="宋体"/>
                <w:kern w:val="2"/>
                <w:sz w:val="24"/>
                <w:szCs w:val="24"/>
                <w:lang w:val="en-US"/>
              </w:rPr>
            </w:pPr>
          </w:p>
        </w:tc>
      </w:tr>
      <w:tr w14:paraId="706A5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5" w:hRule="atLeast"/>
        </w:trPr>
        <w:tc>
          <w:tcPr>
            <w:tcW w:w="8473" w:type="dxa"/>
            <w:gridSpan w:val="12"/>
            <w:tcBorders>
              <w:top w:val="single" w:color="auto" w:sz="4" w:space="0"/>
              <w:left w:val="single" w:color="auto" w:sz="4" w:space="0"/>
              <w:bottom w:val="single" w:color="auto" w:sz="4" w:space="0"/>
              <w:right w:val="single" w:color="auto" w:sz="4" w:space="0"/>
            </w:tcBorders>
            <w:noWrap w:val="0"/>
            <w:vAlign w:val="center"/>
          </w:tcPr>
          <w:p w14:paraId="58191FC6">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考核结果：1、通过以上评分，该供应商的综合得分：</w:t>
            </w:r>
          </w:p>
          <w:p w14:paraId="08981530">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2、该供应商应处于的等级：A、120-100分 B、100-80分  C、80-60分D、60分以下（月考核60以下不合格）</w:t>
            </w:r>
          </w:p>
          <w:p w14:paraId="0DC2274C">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kern w:val="2"/>
                <w:sz w:val="24"/>
                <w:szCs w:val="24"/>
                <w:lang w:val="en-US"/>
              </w:rPr>
            </w:pPr>
            <w:r>
              <w:rPr>
                <w:rFonts w:hint="eastAsia" w:ascii="宋体" w:hAnsi="宋体" w:eastAsia="宋体" w:cs="宋体"/>
                <w:kern w:val="2"/>
                <w:sz w:val="24"/>
                <w:szCs w:val="24"/>
                <w:lang w:val="en-US" w:eastAsia="zh-CN" w:bidi="ar"/>
              </w:rPr>
              <w:t>特殊说明:优，20分、良，15分、中，12分、可，10分、差，8分</w:t>
            </w:r>
          </w:p>
        </w:tc>
      </w:tr>
      <w:tr w14:paraId="4EEE6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303" w:type="dxa"/>
            <w:gridSpan w:val="3"/>
            <w:noWrap w:val="0"/>
            <w:vAlign w:val="center"/>
          </w:tcPr>
          <w:p w14:paraId="60C33B6A">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考核部门签字：</w:t>
            </w:r>
          </w:p>
        </w:tc>
        <w:tc>
          <w:tcPr>
            <w:tcW w:w="1814" w:type="dxa"/>
            <w:gridSpan w:val="4"/>
            <w:noWrap w:val="0"/>
            <w:vAlign w:val="center"/>
          </w:tcPr>
          <w:p w14:paraId="30FC1DF0">
            <w:pPr>
              <w:keepNext w:val="0"/>
              <w:keepLines w:val="0"/>
              <w:widowControl w:val="0"/>
              <w:suppressLineNumbers w:val="0"/>
              <w:adjustRightInd w:val="0"/>
              <w:snapToGrid w:val="0"/>
              <w:spacing w:before="0" w:beforeAutospacing="0" w:after="0" w:afterAutospacing="0" w:line="360" w:lineRule="auto"/>
              <w:ind w:left="0" w:right="0"/>
              <w:jc w:val="both"/>
              <w:rPr>
                <w:rFonts w:hint="eastAsia" w:ascii="宋体" w:hAnsi="宋体" w:eastAsia="宋体" w:cs="宋体"/>
                <w:b/>
                <w:bCs/>
                <w:kern w:val="2"/>
                <w:sz w:val="24"/>
                <w:szCs w:val="24"/>
                <w:lang w:val="en-US"/>
              </w:rPr>
            </w:pPr>
            <w:r>
              <w:rPr>
                <w:rFonts w:hint="eastAsia" w:ascii="宋体" w:hAnsi="宋体" w:eastAsia="宋体" w:cs="宋体"/>
                <w:b/>
                <w:bCs/>
                <w:kern w:val="2"/>
                <w:sz w:val="24"/>
                <w:szCs w:val="24"/>
                <w:lang w:val="en-US" w:eastAsia="zh-CN" w:bidi="ar"/>
              </w:rPr>
              <w:t>供应商签字</w:t>
            </w:r>
          </w:p>
        </w:tc>
        <w:tc>
          <w:tcPr>
            <w:tcW w:w="558" w:type="dxa"/>
            <w:gridSpan w:val="2"/>
            <w:noWrap w:val="0"/>
            <w:vAlign w:val="center"/>
          </w:tcPr>
          <w:p w14:paraId="1BE4C330">
            <w:pPr>
              <w:keepNext w:val="0"/>
              <w:keepLines w:val="0"/>
              <w:widowControl w:val="0"/>
              <w:suppressLineNumbers w:val="0"/>
              <w:adjustRightInd w:val="0"/>
              <w:snapToGrid w:val="0"/>
              <w:spacing w:before="0" w:beforeAutospacing="0" w:after="0" w:afterAutospacing="0" w:line="360" w:lineRule="auto"/>
              <w:ind w:left="0" w:right="0" w:firstLine="482" w:firstLineChars="200"/>
              <w:jc w:val="center"/>
              <w:rPr>
                <w:rFonts w:hint="eastAsia" w:ascii="宋体" w:hAnsi="宋体" w:eastAsia="宋体" w:cs="宋体"/>
                <w:b/>
                <w:bCs/>
                <w:kern w:val="2"/>
                <w:sz w:val="24"/>
                <w:szCs w:val="24"/>
                <w:lang w:val="en-US"/>
              </w:rPr>
            </w:pPr>
          </w:p>
        </w:tc>
        <w:tc>
          <w:tcPr>
            <w:tcW w:w="558" w:type="dxa"/>
            <w:gridSpan w:val="2"/>
            <w:noWrap w:val="0"/>
            <w:vAlign w:val="center"/>
          </w:tcPr>
          <w:p w14:paraId="687C3853">
            <w:pPr>
              <w:keepNext w:val="0"/>
              <w:keepLines w:val="0"/>
              <w:widowControl w:val="0"/>
              <w:suppressLineNumbers w:val="0"/>
              <w:adjustRightInd w:val="0"/>
              <w:snapToGrid w:val="0"/>
              <w:spacing w:before="0" w:beforeAutospacing="0" w:after="0" w:afterAutospacing="0" w:line="360" w:lineRule="auto"/>
              <w:ind w:left="0" w:right="0" w:firstLine="482" w:firstLineChars="200"/>
              <w:jc w:val="center"/>
              <w:rPr>
                <w:rFonts w:hint="eastAsia" w:ascii="宋体" w:hAnsi="宋体" w:eastAsia="宋体" w:cs="宋体"/>
                <w:b/>
                <w:bCs/>
                <w:kern w:val="2"/>
                <w:sz w:val="24"/>
                <w:szCs w:val="24"/>
                <w:lang w:val="en-US"/>
              </w:rPr>
            </w:pPr>
          </w:p>
        </w:tc>
        <w:tc>
          <w:tcPr>
            <w:tcW w:w="240" w:type="dxa"/>
            <w:noWrap w:val="0"/>
            <w:vAlign w:val="center"/>
          </w:tcPr>
          <w:p w14:paraId="73F172E2">
            <w:pPr>
              <w:keepNext w:val="0"/>
              <w:keepLines w:val="0"/>
              <w:widowControl w:val="0"/>
              <w:suppressLineNumbers w:val="0"/>
              <w:adjustRightInd w:val="0"/>
              <w:snapToGrid w:val="0"/>
              <w:spacing w:before="0" w:beforeAutospacing="0" w:after="0" w:afterAutospacing="0" w:line="360" w:lineRule="auto"/>
              <w:ind w:left="0" w:right="0" w:firstLine="482" w:firstLineChars="200"/>
              <w:jc w:val="center"/>
              <w:rPr>
                <w:rFonts w:hint="eastAsia" w:ascii="宋体" w:hAnsi="宋体" w:eastAsia="宋体" w:cs="宋体"/>
                <w:b/>
                <w:bCs/>
                <w:kern w:val="2"/>
                <w:sz w:val="24"/>
                <w:szCs w:val="24"/>
                <w:lang w:val="en-US"/>
              </w:rPr>
            </w:pPr>
          </w:p>
        </w:tc>
      </w:tr>
    </w:tbl>
    <w:p w14:paraId="4BE3D1A7">
      <w:pPr>
        <w:keepNext w:val="0"/>
        <w:keepLines w:val="0"/>
        <w:widowControl w:val="0"/>
        <w:suppressLineNumbers w:val="0"/>
        <w:adjustRightInd w:val="0"/>
        <w:snapToGrid w:val="0"/>
        <w:spacing w:before="0" w:beforeAutospacing="0" w:after="0" w:afterAutospacing="0" w:line="360" w:lineRule="auto"/>
        <w:ind w:right="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处罚办法：</w:t>
      </w:r>
    </w:p>
    <w:p w14:paraId="70C6F273">
      <w:pPr>
        <w:keepNext w:val="0"/>
        <w:keepLines w:val="0"/>
        <w:widowControl/>
        <w:suppressLineNumbers w:val="0"/>
        <w:jc w:val="left"/>
      </w:pPr>
      <w:r>
        <w:rPr>
          <w:rFonts w:hint="eastAsia" w:ascii="宋体" w:hAnsi="宋体" w:eastAsia="宋体" w:cs="Times New Roman"/>
          <w:kern w:val="2"/>
          <w:sz w:val="24"/>
          <w:szCs w:val="24"/>
          <w:lang w:val="en-US" w:eastAsia="zh-CN" w:bidi="ar"/>
        </w:rPr>
        <w:t>每月得分95分以上的，足额支付费用；94分-85分的，扣除5%；84-75分的，扣除当月费用10%；74-60分的，扣除当月费用15%；当月60分以下的，除了责令其改正错误，并写出书面整改报告之外，应扣除当月费用的20%。</w:t>
      </w:r>
    </w:p>
    <w:p w14:paraId="0FF4573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黑体" w:hAnsi="宋体" w:eastAsia="黑体" w:cs="黑体"/>
          <w:color w:val="000000"/>
          <w:sz w:val="44"/>
          <w:szCs w:val="44"/>
          <w:highlight w:val="none"/>
        </w:rPr>
      </w:pPr>
    </w:p>
    <w:p w14:paraId="710EBAC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黑体" w:hAnsi="宋体" w:eastAsia="黑体" w:cs="黑体"/>
          <w:color w:val="000000"/>
          <w:sz w:val="44"/>
          <w:szCs w:val="44"/>
          <w:highlight w:val="none"/>
        </w:rPr>
      </w:pPr>
    </w:p>
    <w:p w14:paraId="74C0226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黑体" w:hAnsi="宋体" w:eastAsia="黑体" w:cs="黑体"/>
          <w:color w:val="000000"/>
          <w:sz w:val="44"/>
          <w:szCs w:val="44"/>
          <w:highlight w:val="none"/>
        </w:rPr>
      </w:pPr>
    </w:p>
    <w:p w14:paraId="3FCBC54F">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黑体" w:hAnsi="宋体" w:eastAsia="黑体" w:cs="黑体"/>
          <w:color w:val="000000"/>
          <w:sz w:val="44"/>
          <w:szCs w:val="44"/>
          <w:highlight w:val="none"/>
        </w:rPr>
      </w:pPr>
    </w:p>
    <w:p w14:paraId="7958DCB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rFonts w:hint="eastAsia" w:ascii="黑体" w:hAnsi="宋体" w:eastAsia="黑体" w:cs="黑体"/>
          <w:color w:val="000000"/>
          <w:sz w:val="44"/>
          <w:szCs w:val="44"/>
          <w:highlight w:val="none"/>
        </w:rPr>
      </w:pPr>
    </w:p>
    <w:p w14:paraId="3E04FCA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highlight w:val="none"/>
        </w:rPr>
      </w:pPr>
      <w:r>
        <w:rPr>
          <w:rFonts w:hint="eastAsia" w:ascii="黑体" w:hAnsi="宋体" w:eastAsia="黑体" w:cs="黑体"/>
          <w:color w:val="000000"/>
          <w:sz w:val="44"/>
          <w:szCs w:val="44"/>
          <w:highlight w:val="none"/>
        </w:rPr>
        <w:t>第</w:t>
      </w:r>
      <w:bookmarkEnd w:id="174"/>
      <w:r>
        <w:rPr>
          <w:rFonts w:hint="eastAsia" w:ascii="黑体" w:hAnsi="宋体" w:eastAsia="黑体" w:cs="黑体"/>
          <w:color w:val="000000"/>
          <w:sz w:val="44"/>
          <w:szCs w:val="44"/>
          <w:highlight w:val="none"/>
        </w:rPr>
        <w:t>四章 采购需求</w:t>
      </w:r>
      <w:bookmarkEnd w:id="175"/>
      <w:bookmarkEnd w:id="176"/>
      <w:bookmarkEnd w:id="177"/>
      <w:bookmarkEnd w:id="178"/>
      <w:bookmarkEnd w:id="179"/>
    </w:p>
    <w:p w14:paraId="73CCA7D3">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bookmarkStart w:id="181" w:name="_Toc26554093"/>
      <w:bookmarkStart w:id="182" w:name="_Toc49090575"/>
      <w:r>
        <w:rPr>
          <w:rFonts w:hint="eastAsia" w:ascii="宋体" w:hAnsi="宋体" w:eastAsia="宋体" w:cs="宋体"/>
          <w:color w:val="000000"/>
          <w:sz w:val="24"/>
          <w:szCs w:val="24"/>
          <w:highlight w:val="none"/>
        </w:rPr>
        <w:t>项目属性:服务类项目。</w:t>
      </w:r>
      <w:bookmarkEnd w:id="181"/>
      <w:bookmarkEnd w:id="182"/>
    </w:p>
    <w:p w14:paraId="39211FCB">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p w14:paraId="30AEEDDC">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2"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一、</w:t>
      </w:r>
      <w:r>
        <w:rPr>
          <w:rFonts w:hint="eastAsia" w:ascii="宋体" w:hAnsi="宋体" w:eastAsia="宋体" w:cs="宋体"/>
          <w:b/>
          <w:bCs/>
          <w:color w:val="000000"/>
          <w:sz w:val="24"/>
          <w:szCs w:val="24"/>
          <w:highlight w:val="none"/>
        </w:rPr>
        <w:t>采购内容</w:t>
      </w:r>
    </w:p>
    <w:p w14:paraId="059F8117">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富安镇政府食堂食材及日用品采购服务（二次）</w:t>
      </w:r>
      <w:r>
        <w:rPr>
          <w:rFonts w:hint="eastAsia" w:ascii="宋体" w:hAnsi="宋体" w:eastAsia="宋体" w:cs="宋体"/>
          <w:color w:val="000000"/>
          <w:sz w:val="24"/>
          <w:szCs w:val="24"/>
          <w:highlight w:val="none"/>
        </w:rPr>
        <w:t>，拟确定一家供应商负责提供机关食堂每日大米、面粉、蔬菜、水果、牛奶、新鲜肉类、水产品、调味品等食材及日用品，供应商应确保食材质量达标、新鲜卫生、安全可靠，费用按实际采购量计算，价格不高于同期门店售价(含税)，特价商品按实计算。</w:t>
      </w:r>
    </w:p>
    <w:p w14:paraId="72746FFB">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（一）配送要求：</w:t>
      </w:r>
    </w:p>
    <w:p w14:paraId="78D617FA">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（1）配送品种：大米、面粉、蔬菜、水果、牛奶、新鲜肉类、水产品、调味品等食材及日用品等。</w:t>
      </w:r>
    </w:p>
    <w:p w14:paraId="7486A204">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（2）配送数量：根据采购人提前开出的通知单为准。</w:t>
      </w:r>
    </w:p>
    <w:p w14:paraId="043539DB">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（3）供应商须按采购人要求（数量和质量）配送，如经采购人认定货物品质不符合要求，则供应商须无条件上门更换。</w:t>
      </w:r>
    </w:p>
    <w:p w14:paraId="4421542C">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（二）质量要求：</w:t>
      </w:r>
    </w:p>
    <w:p w14:paraId="5B962BDA">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所有食材及日用品应在保质期范围内，并保持优良的外观和等级质量必须符合《食品安全法》相关规定和要求。</w:t>
      </w:r>
    </w:p>
    <w:p w14:paraId="20464FF7">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（三）质量标准：</w:t>
      </w:r>
    </w:p>
    <w:p w14:paraId="640C199C">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（1）大米配送标准：二年内新大米（国标一级），必须符合GB1354-2009标准，并拥有“QS”食品质量安全认证或“SC食品生产许可证”。</w:t>
      </w:r>
    </w:p>
    <w:p w14:paraId="1B48F7F4">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（2）面粉配送标准：面粉级别为特一级，必须符合GB1355-1986标准，并拥有“QS”食品质量安全认证或“SC食品生产许可证”。</w:t>
      </w:r>
    </w:p>
    <w:p w14:paraId="35C8D519">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（3）食用油配送标准：非转基因食用油，每桶5升左右，必须符合GB2716-2005食用植物油卫生标准，并具有“QS”食品质量安全认证或“SC食品生产许可证”。</w:t>
      </w:r>
    </w:p>
    <w:p w14:paraId="0B6818EA">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p>
    <w:p w14:paraId="26F808CA">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（5）家禽冻品（鸡腿、鸡翅等）质量要求：配送单位须提供产品合格证明文件，动物产品提供《动物或动物产品分销信息凭证》或《动物检疫合格证》。</w:t>
      </w:r>
    </w:p>
    <w:p w14:paraId="086E5227">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（6）豆制品质量要求：发酵性豆制品必须符合GB2712-2003标准，非发酵豆制品必须符合GBT 22106-2008标准、GB2711-2003非发酵性豆制品及面筋卫生标准，对豆制品的有关安全健康指标符合国家规定，并具有“QS”食品质量安全认证。</w:t>
      </w:r>
    </w:p>
    <w:p w14:paraId="3E2084AA">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p>
    <w:p w14:paraId="2D274A84">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（8）无公害蔬菜质量要求：必须符合GB18406.1-2001 农产品安全质量无公害蔬菜安全要求，对蔬菜中有害物质严格控制在标准规定范围之内。</w:t>
      </w:r>
    </w:p>
    <w:p w14:paraId="207F36D8">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（9）调味品质量要求：食用盐必须符合GB5461-2000标准，酱油必须符合GB 18186-2000标准，味精必须符合GB2720-2015标准，生粉（淀粉制品）必须符合GB2713-2015标准，食糖必须符合GB13104-2014卫生标准，食醋必须符合GB/T18623-2011标准,酿造食醋必须符合GB18187-2000标准。</w:t>
      </w:r>
    </w:p>
    <w:p w14:paraId="3E3990A6">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（10）鲜蛋质量要求：鸡蛋等新鲜蛋类必须符合GB2749-2015标准。</w:t>
      </w:r>
    </w:p>
    <w:p w14:paraId="27EE4C53">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（11）乳制品质量要求：必须符合GB/12693-2010标准。</w:t>
      </w:r>
    </w:p>
    <w:p w14:paraId="097BD880">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（12）水果质量要求：必须符合GB/T23351-2009标准。</w:t>
      </w:r>
    </w:p>
    <w:p w14:paraId="57B71318">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（四）食材检测要求：</w:t>
      </w:r>
    </w:p>
    <w:p w14:paraId="5B00DC8F">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（1）肉类（含家禽、鱼、肉、冷鲜肉及冷冻肉等）、豆制品、调味品、食用油必须使用优质品牌产品，即由所处经营领域中有较高知名度与美誉度的大型企业提供，其产品可以追根溯源。</w:t>
      </w:r>
    </w:p>
    <w:p w14:paraId="3B4C920E">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（2）每次配送的食材均需提供相关的检测报告或检验合格证。</w:t>
      </w:r>
    </w:p>
    <w:p w14:paraId="32B61F3F">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（3）采购单位可委托权威部门定期对配送单位提供的食材进行抽样检测，如检测发现质量问题，由配送单位承担检测费用及相关责任。</w:t>
      </w:r>
    </w:p>
    <w:p w14:paraId="3953E56F">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（五）食材配送日常要求</w:t>
      </w:r>
    </w:p>
    <w:p w14:paraId="45E73269">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配送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w:t>
      </w:r>
    </w:p>
    <w:p w14:paraId="4707238F">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配送单位严禁提供以下食品：①无品名、产地、厂名、生产日期、保质期及中文标识及原料说明的定型包装食品（除蔬菜、面点、早点等非定型包装食品）；②超过保质期限或不符合食品标签规定的定型包装食品；③腐败变质、油脂酸败、霉变、生虫、污秽不洁、混有异物或者其他感官性状异常，含有毒、有害物质或者被有毒、有害物质污染，可能对人体健康有害的食品；④病死、死因不明或从疫区采购的水产品、畜、禽及其制品，不合格调味品，工业用盐，非碘盐或非食品原料和滥用食品添加剂，农药残留超标的水果、蔬菜等；⑤其他不符合食品卫生标准和要求的食品。</w:t>
      </w:r>
    </w:p>
    <w:p w14:paraId="1C39F974">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如因配送单位所供应食品的质量问题引起人员食物中毒等食源性疾病的发生或其他事故，由配送单位负全部责任，并承担由此而引起的全部经济损失及相关法律责任。情节较为严重的，采购单位有权立即终止供货协议，并按相关法律处理。</w:t>
      </w:r>
    </w:p>
    <w:p w14:paraId="1DC6F2C9">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（4）每天送货一次，应急配送在收到通知后半小时内响应，1小时内完成或提出解决方案。</w:t>
      </w:r>
    </w:p>
    <w:p w14:paraId="0D3C7F3E">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配送单位必须仔细核对采购清单，确保所需的食品原材料品种、规格、品牌、数量、质量等准确无误，并在规定时间内及时送达。配送单位向采购方提供食材的品牌、规格必须与采购方要求的一致，严禁擅自更换品牌、规格。</w:t>
      </w:r>
    </w:p>
    <w:p w14:paraId="6536FB6D">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（6）本项目需配备项目负责人1名。</w:t>
      </w:r>
    </w:p>
    <w:p w14:paraId="7A7DC39D">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（7）若采购单位有特殊情况需临时要求供货，配送单位须有相应的应急预案，并承诺在采购单位规定的合理时间范围内能送货至采购单位指定地点。</w:t>
      </w:r>
    </w:p>
    <w:p w14:paraId="38144D18">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（8）配送单位自行配备车辆，配送车辆符合国家食品运输相关规定。</w:t>
      </w:r>
    </w:p>
    <w:p w14:paraId="48F42F89">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（六）考核要求：</w:t>
      </w:r>
    </w:p>
    <w:p w14:paraId="6530E09E">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采购人每月对供应商服务项目进行考核，具体详见附件《配餐服务月考核表》。</w:t>
      </w:r>
    </w:p>
    <w:p w14:paraId="7EB8459B">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（1）供应商在上级部门检查中不合格受到处罚，采购人将从供应商的服务费中扣除200元。</w:t>
      </w:r>
    </w:p>
    <w:p w14:paraId="4C5E7884">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（2）因供应商提供不洁食物造成采购人人员食物中毒等食品安全事故的，由供应商负责赔偿并承担相应的法律后果。</w:t>
      </w:r>
    </w:p>
    <w:p w14:paraId="38BAA3B5">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（3）供应商所配送采购人的食材，必须是通过严格删选的，食材要新鲜、安全，若在配送过程中，出现2次不合格情况，采购人将从供应商的服务费中扣除500元，以示警告。</w:t>
      </w:r>
    </w:p>
    <w:p w14:paraId="7605E8A1">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（4）供应商在配送过程中，如若因为特殊因素，不能及时将货物送达，供应商必须提前通知采购人，与采购人协商处理方案，出现2次以上情况的，采购人将从供应商的服务费中扣除500元，以示警告。</w:t>
      </w:r>
    </w:p>
    <w:p w14:paraId="26444B0F">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（5）原材料进货单据必须齐全，单货相符，货物出入库手续完备，采购人会不定时的抽查供应商上述单据情况，若完善结果中，出现2次不合格情况的，采购人将从供应商的服务费中扣除500元，以示警告。</w:t>
      </w:r>
    </w:p>
    <w:p w14:paraId="6D7691DB">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（6）配送货物单据，必须齐全，包括检测报告、送货单等，若一月累计出现3次不合格情况的，采购人将从供应商的服务费中扣除500元，以示警告。</w:t>
      </w:r>
    </w:p>
    <w:p w14:paraId="1DB40E20">
      <w:pPr>
        <w:pStyle w:val="7"/>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（7）原材料供应商，索证需要齐全，采购人会不定时的抽查供应商索证情况，若抽查累计出现3次不合格情况的，采购人将从供应商的服务费中扣除500元，以示警告。</w:t>
      </w:r>
    </w:p>
    <w:p w14:paraId="1422F8BC">
      <w:pPr>
        <w:pStyle w:val="12"/>
        <w:keepNext w:val="0"/>
        <w:keepLines w:val="0"/>
        <w:pageBreakBefore w:val="0"/>
        <w:widowControl w:val="0"/>
        <w:kinsoku/>
        <w:wordWrap/>
        <w:overflowPunct/>
        <w:topLinePunct w:val="0"/>
        <w:bidi w:val="0"/>
        <w:snapToGrid/>
        <w:spacing w:line="420" w:lineRule="exact"/>
        <w:ind w:firstLine="482" w:firstLineChars="200"/>
        <w:textAlignment w:val="auto"/>
        <w:outlineLvl w:val="2"/>
        <w:rPr>
          <w:rFonts w:hint="eastAsia" w:cs="Times New Roman"/>
          <w:color w:val="auto"/>
          <w:kern w:val="0"/>
          <w:sz w:val="24"/>
          <w:szCs w:val="22"/>
          <w:highlight w:val="none"/>
          <w:lang w:val="en-US" w:eastAsia="zh-CN" w:bidi="ar-SA"/>
        </w:rPr>
      </w:pPr>
      <w:r>
        <w:rPr>
          <w:rFonts w:hint="eastAsia" w:cs="Times New Roman"/>
          <w:b/>
          <w:bCs/>
          <w:color w:val="auto"/>
          <w:kern w:val="0"/>
          <w:sz w:val="24"/>
          <w:szCs w:val="22"/>
          <w:highlight w:val="none"/>
          <w:lang w:val="en-US" w:eastAsia="zh-CN" w:bidi="ar-SA"/>
        </w:rPr>
        <w:t>二、质量要求</w:t>
      </w:r>
    </w:p>
    <w:p w14:paraId="681540B9">
      <w:pPr>
        <w:pStyle w:val="12"/>
        <w:keepNext w:val="0"/>
        <w:keepLines w:val="0"/>
        <w:pageBreakBefore w:val="0"/>
        <w:widowControl w:val="0"/>
        <w:kinsoku/>
        <w:wordWrap/>
        <w:overflowPunct/>
        <w:topLinePunct w:val="0"/>
        <w:bidi w:val="0"/>
        <w:snapToGrid/>
        <w:spacing w:line="420" w:lineRule="exact"/>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所有食材及日用品应在保质期范围内，并保持优良的外观和等级质量必须符合《食品安全法》相关规定和要求。</w:t>
      </w:r>
    </w:p>
    <w:p w14:paraId="44B0CB4C">
      <w:pPr>
        <w:pStyle w:val="12"/>
        <w:keepNext w:val="0"/>
        <w:keepLines w:val="0"/>
        <w:pageBreakBefore w:val="0"/>
        <w:widowControl w:val="0"/>
        <w:kinsoku/>
        <w:wordWrap/>
        <w:overflowPunct/>
        <w:topLinePunct w:val="0"/>
        <w:bidi w:val="0"/>
        <w:snapToGrid/>
        <w:spacing w:line="420" w:lineRule="exact"/>
        <w:ind w:firstLine="482" w:firstLineChars="200"/>
        <w:textAlignment w:val="auto"/>
        <w:outlineLvl w:val="2"/>
        <w:rPr>
          <w:rFonts w:hint="default" w:cs="Times New Roman"/>
          <w:b/>
          <w:bCs/>
          <w:color w:val="auto"/>
          <w:kern w:val="0"/>
          <w:sz w:val="24"/>
          <w:szCs w:val="22"/>
          <w:highlight w:val="none"/>
          <w:lang w:val="en-US" w:eastAsia="zh-CN" w:bidi="ar-SA"/>
        </w:rPr>
      </w:pPr>
      <w:r>
        <w:rPr>
          <w:rFonts w:hint="eastAsia" w:cs="Times New Roman"/>
          <w:b/>
          <w:bCs/>
          <w:color w:val="auto"/>
          <w:kern w:val="0"/>
          <w:sz w:val="24"/>
          <w:szCs w:val="22"/>
          <w:highlight w:val="none"/>
          <w:lang w:val="en-US" w:eastAsia="zh-CN" w:bidi="ar-SA"/>
        </w:rPr>
        <w:t>三、履行期限</w:t>
      </w:r>
    </w:p>
    <w:p w14:paraId="4479FB36">
      <w:pPr>
        <w:pStyle w:val="12"/>
        <w:keepNext w:val="0"/>
        <w:keepLines w:val="0"/>
        <w:pageBreakBefore w:val="0"/>
        <w:widowControl w:val="0"/>
        <w:kinsoku/>
        <w:wordWrap/>
        <w:overflowPunct/>
        <w:topLinePunct w:val="0"/>
        <w:bidi w:val="0"/>
        <w:snapToGrid/>
        <w:spacing w:line="420" w:lineRule="exact"/>
        <w:ind w:firstLine="480" w:firstLineChars="200"/>
        <w:textAlignment w:val="auto"/>
        <w:rPr>
          <w:rFonts w:hint="eastAsia"/>
          <w:color w:val="auto"/>
          <w:sz w:val="24"/>
          <w:highlight w:val="none"/>
          <w:lang w:val="en-US" w:eastAsia="zh-CN"/>
        </w:rPr>
      </w:pPr>
      <w:r>
        <w:rPr>
          <w:rFonts w:hint="eastAsia"/>
          <w:color w:val="auto"/>
          <w:sz w:val="24"/>
          <w:highlight w:val="none"/>
          <w:lang w:val="en-US" w:eastAsia="zh-CN"/>
        </w:rPr>
        <w:t>自合同签订之日起一年（合同一年一签，经采购人考核合格后可续签一年，续签最多不超过两次）</w:t>
      </w:r>
    </w:p>
    <w:p w14:paraId="7AA5AC02">
      <w:pPr>
        <w:pStyle w:val="12"/>
        <w:keepNext w:val="0"/>
        <w:keepLines w:val="0"/>
        <w:pageBreakBefore w:val="0"/>
        <w:widowControl w:val="0"/>
        <w:numPr>
          <w:ilvl w:val="0"/>
          <w:numId w:val="0"/>
        </w:numPr>
        <w:kinsoku/>
        <w:wordWrap/>
        <w:overflowPunct/>
        <w:topLinePunct w:val="0"/>
        <w:bidi w:val="0"/>
        <w:snapToGrid/>
        <w:spacing w:line="420" w:lineRule="exact"/>
        <w:ind w:firstLine="482" w:firstLineChars="200"/>
        <w:textAlignment w:val="auto"/>
        <w:outlineLvl w:val="2"/>
        <w:rPr>
          <w:rFonts w:hint="eastAsia"/>
          <w:color w:val="auto"/>
          <w:sz w:val="24"/>
          <w:highlight w:val="none"/>
          <w:lang w:val="en-US" w:eastAsia="zh-CN"/>
        </w:rPr>
      </w:pPr>
      <w:r>
        <w:rPr>
          <w:rFonts w:hint="eastAsia" w:cs="Times New Roman"/>
          <w:b/>
          <w:bCs/>
          <w:color w:val="auto"/>
          <w:kern w:val="0"/>
          <w:sz w:val="24"/>
          <w:szCs w:val="22"/>
          <w:highlight w:val="none"/>
          <w:lang w:val="en-US" w:eastAsia="zh-CN" w:bidi="ar-SA"/>
        </w:rPr>
        <w:t>四、报价形式：</w:t>
      </w:r>
    </w:p>
    <w:p w14:paraId="22349B9E">
      <w:pPr>
        <w:pStyle w:val="12"/>
        <w:keepNext w:val="0"/>
        <w:keepLines w:val="0"/>
        <w:pageBreakBefore w:val="0"/>
        <w:widowControl w:val="0"/>
        <w:numPr>
          <w:ilvl w:val="0"/>
          <w:numId w:val="0"/>
        </w:numPr>
        <w:kinsoku/>
        <w:wordWrap/>
        <w:overflowPunct/>
        <w:topLinePunct w:val="0"/>
        <w:bidi w:val="0"/>
        <w:snapToGrid/>
        <w:spacing w:line="420" w:lineRule="exact"/>
        <w:ind w:firstLine="480" w:firstLineChars="200"/>
        <w:textAlignment w:val="auto"/>
        <w:outlineLvl w:val="2"/>
        <w:rPr>
          <w:rFonts w:hint="eastAsia"/>
          <w:color w:val="auto"/>
          <w:sz w:val="24"/>
          <w:highlight w:val="yellow"/>
          <w:lang w:val="en-US" w:eastAsia="zh-CN"/>
        </w:rPr>
      </w:pPr>
      <w:r>
        <w:rPr>
          <w:rFonts w:hint="eastAsia"/>
          <w:color w:val="auto"/>
          <w:sz w:val="24"/>
          <w:highlight w:val="yellow"/>
          <w:lang w:val="en-US" w:eastAsia="zh-CN"/>
        </w:rPr>
        <w:t>1、供应商仅需填报统一的优惠率，无需单独报各食材及日用品的价格。</w:t>
      </w:r>
    </w:p>
    <w:p w14:paraId="13635A0E">
      <w:pPr>
        <w:pStyle w:val="12"/>
        <w:keepNext w:val="0"/>
        <w:keepLines w:val="0"/>
        <w:pageBreakBefore w:val="0"/>
        <w:widowControl w:val="0"/>
        <w:numPr>
          <w:ilvl w:val="0"/>
          <w:numId w:val="0"/>
        </w:numPr>
        <w:kinsoku/>
        <w:wordWrap/>
        <w:overflowPunct/>
        <w:topLinePunct w:val="0"/>
        <w:bidi w:val="0"/>
        <w:snapToGrid/>
        <w:spacing w:line="420" w:lineRule="exact"/>
        <w:ind w:firstLine="480" w:firstLineChars="200"/>
        <w:textAlignment w:val="auto"/>
        <w:outlineLvl w:val="2"/>
        <w:rPr>
          <w:rFonts w:hint="default"/>
          <w:color w:val="auto"/>
          <w:sz w:val="24"/>
          <w:highlight w:val="yellow"/>
          <w:lang w:val="en-US" w:eastAsia="zh-CN"/>
        </w:rPr>
      </w:pPr>
      <w:r>
        <w:rPr>
          <w:rFonts w:hint="eastAsia"/>
          <w:color w:val="auto"/>
          <w:sz w:val="24"/>
          <w:highlight w:val="yellow"/>
          <w:lang w:val="en-US" w:eastAsia="zh-CN"/>
        </w:rPr>
        <w:t>2、</w:t>
      </w:r>
      <w:r>
        <w:rPr>
          <w:rFonts w:hint="default"/>
          <w:color w:val="auto"/>
          <w:sz w:val="24"/>
          <w:highlight w:val="yellow"/>
          <w:lang w:val="en-US" w:eastAsia="zh-CN"/>
        </w:rPr>
        <w:t>评审价计算：本项目采取优惠率报价，以（1-优惠率）作为投标人的报价参与价格评审。</w:t>
      </w:r>
    </w:p>
    <w:p w14:paraId="510ACD4B">
      <w:pPr>
        <w:pStyle w:val="12"/>
        <w:keepNext w:val="0"/>
        <w:keepLines w:val="0"/>
        <w:pageBreakBefore w:val="0"/>
        <w:widowControl w:val="0"/>
        <w:numPr>
          <w:ilvl w:val="0"/>
          <w:numId w:val="0"/>
        </w:numPr>
        <w:kinsoku/>
        <w:wordWrap/>
        <w:overflowPunct/>
        <w:topLinePunct w:val="0"/>
        <w:bidi w:val="0"/>
        <w:snapToGrid/>
        <w:spacing w:line="420" w:lineRule="exact"/>
        <w:ind w:firstLine="480" w:firstLineChars="200"/>
        <w:textAlignment w:val="auto"/>
        <w:outlineLvl w:val="2"/>
        <w:rPr>
          <w:rFonts w:hint="default"/>
          <w:color w:val="auto"/>
          <w:sz w:val="24"/>
          <w:highlight w:val="none"/>
          <w:lang w:val="en-US" w:eastAsia="zh-CN"/>
        </w:rPr>
      </w:pPr>
      <w:r>
        <w:rPr>
          <w:rFonts w:hint="default"/>
          <w:color w:val="auto"/>
          <w:sz w:val="24"/>
          <w:highlight w:val="yellow"/>
          <w:lang w:val="en-US" w:eastAsia="zh-CN"/>
        </w:rPr>
        <w:t>3、</w:t>
      </w:r>
      <w:r>
        <w:rPr>
          <w:rFonts w:hint="eastAsia"/>
          <w:color w:val="auto"/>
          <w:sz w:val="24"/>
          <w:highlight w:val="yellow"/>
          <w:lang w:val="en-US" w:eastAsia="zh-CN"/>
        </w:rPr>
        <w:t>优惠率报价结算示例</w:t>
      </w:r>
      <w:r>
        <w:rPr>
          <w:rFonts w:hint="default"/>
          <w:color w:val="auto"/>
          <w:sz w:val="24"/>
          <w:highlight w:val="yellow"/>
          <w:lang w:val="en-US" w:eastAsia="zh-CN"/>
        </w:rPr>
        <w:t>：</w:t>
      </w:r>
      <w:r>
        <w:rPr>
          <w:rFonts w:hint="eastAsia"/>
          <w:color w:val="auto"/>
          <w:sz w:val="24"/>
          <w:highlight w:val="yellow"/>
          <w:lang w:val="en-US" w:eastAsia="zh-CN"/>
        </w:rPr>
        <w:t>如采购人某日采购猪肉30斤，当日猪肉基准价为18元/斤，总价为30×18=540元，若供应商所报优惠率为10%,当日猪肉结算价为540×（1-10%）=486元。</w:t>
      </w:r>
    </w:p>
    <w:p w14:paraId="267EB695">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Calibri" w:cs="Times New Roman"/>
          <w:b/>
          <w:bCs/>
          <w:color w:val="auto"/>
          <w:kern w:val="0"/>
          <w:sz w:val="24"/>
          <w:szCs w:val="22"/>
          <w:highlight w:val="none"/>
          <w:lang w:val="en-US" w:eastAsia="zh-CN" w:bidi="ar-SA"/>
        </w:rPr>
        <w:t>五</w:t>
      </w:r>
      <w:r>
        <w:rPr>
          <w:rFonts w:hint="eastAsia" w:ascii="宋体" w:hAnsi="Calibri" w:cs="Times New Roman" w:eastAsiaTheme="minorEastAsia"/>
          <w:b/>
          <w:bCs/>
          <w:color w:val="auto"/>
          <w:kern w:val="0"/>
          <w:sz w:val="24"/>
          <w:szCs w:val="22"/>
          <w:highlight w:val="none"/>
          <w:lang w:val="en-US" w:eastAsia="zh-CN" w:bidi="ar-SA"/>
        </w:rPr>
        <w:t>、采购标的对应的中小企业划分标准所属行业一览表</w:t>
      </w:r>
    </w:p>
    <w:tbl>
      <w:tblPr>
        <w:tblStyle w:val="8"/>
        <w:tblW w:w="8101" w:type="dxa"/>
        <w:jc w:val="center"/>
        <w:tblCellSpacing w:w="0" w:type="dxa"/>
        <w:tblLayout w:type="fixed"/>
        <w:tblCellMar>
          <w:top w:w="0" w:type="dxa"/>
          <w:left w:w="108" w:type="dxa"/>
          <w:bottom w:w="0" w:type="dxa"/>
          <w:right w:w="108" w:type="dxa"/>
        </w:tblCellMar>
      </w:tblPr>
      <w:tblGrid>
        <w:gridCol w:w="1473"/>
        <w:gridCol w:w="3291"/>
        <w:gridCol w:w="3337"/>
      </w:tblGrid>
      <w:tr w14:paraId="68F3202B">
        <w:tblPrEx>
          <w:tblCellMar>
            <w:top w:w="0" w:type="dxa"/>
            <w:left w:w="108" w:type="dxa"/>
            <w:bottom w:w="0" w:type="dxa"/>
            <w:right w:w="108" w:type="dxa"/>
          </w:tblCellMar>
        </w:tblPrEx>
        <w:trPr>
          <w:tblCellSpacing w:w="0" w:type="dxa"/>
          <w:jc w:val="center"/>
        </w:trPr>
        <w:tc>
          <w:tcPr>
            <w:tcW w:w="14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4E1A55">
            <w:pPr>
              <w:pStyle w:val="7"/>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序号</w:t>
            </w:r>
          </w:p>
        </w:tc>
        <w:tc>
          <w:tcPr>
            <w:tcW w:w="3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69544A">
            <w:pPr>
              <w:pStyle w:val="7"/>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采购标的</w:t>
            </w:r>
          </w:p>
        </w:tc>
        <w:tc>
          <w:tcPr>
            <w:tcW w:w="33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4489D4">
            <w:pPr>
              <w:pStyle w:val="7"/>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对应中小企业划分标准所属行业</w:t>
            </w:r>
          </w:p>
        </w:tc>
      </w:tr>
      <w:tr w14:paraId="764EE5D3">
        <w:tblPrEx>
          <w:tblCellMar>
            <w:top w:w="0" w:type="dxa"/>
            <w:left w:w="108" w:type="dxa"/>
            <w:bottom w:w="0" w:type="dxa"/>
            <w:right w:w="108" w:type="dxa"/>
          </w:tblCellMar>
        </w:tblPrEx>
        <w:trPr>
          <w:trHeight w:val="821" w:hRule="atLeast"/>
          <w:tblCellSpacing w:w="0" w:type="dxa"/>
          <w:jc w:val="center"/>
        </w:trPr>
        <w:tc>
          <w:tcPr>
            <w:tcW w:w="14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05EFC">
            <w:pPr>
              <w:pStyle w:val="7"/>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1</w:t>
            </w:r>
          </w:p>
        </w:tc>
        <w:tc>
          <w:tcPr>
            <w:tcW w:w="3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35BE7">
            <w:pPr>
              <w:pStyle w:val="7"/>
              <w:spacing w:beforeAutospacing="0" w:afterAutospacing="0" w:line="0" w:lineRule="atLeast"/>
              <w:jc w:val="center"/>
              <w:rPr>
                <w:rFonts w:hint="eastAsia" w:ascii="宋体" w:hAnsi="宋体" w:eastAsia="宋体" w:cs="宋体"/>
                <w:highlight w:val="none"/>
                <w:lang w:eastAsia="zh-CN"/>
              </w:rPr>
            </w:pPr>
            <w:r>
              <w:rPr>
                <w:rFonts w:hint="eastAsia" w:ascii="宋体" w:hAnsi="宋体" w:eastAsia="宋体" w:cs="宋体"/>
                <w:highlight w:val="none"/>
                <w:lang w:eastAsia="zh-CN"/>
              </w:rPr>
              <w:t>富安镇政府食堂食材及日用品采购服务（二次）</w:t>
            </w:r>
          </w:p>
        </w:tc>
        <w:tc>
          <w:tcPr>
            <w:tcW w:w="33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C096AF">
            <w:pPr>
              <w:pStyle w:val="7"/>
              <w:spacing w:beforeAutospacing="0" w:afterAutospacing="0" w:line="0" w:lineRule="atLeast"/>
              <w:jc w:val="center"/>
              <w:rPr>
                <w:rFonts w:hint="eastAsia" w:ascii="宋体" w:hAnsi="宋体" w:eastAsia="宋体" w:cs="宋体"/>
                <w:highlight w:val="none"/>
              </w:rPr>
            </w:pPr>
            <w:r>
              <w:rPr>
                <w:rFonts w:hint="eastAsia" w:ascii="宋体" w:hAnsi="宋体" w:eastAsia="宋体" w:cs="宋体"/>
                <w:highlight w:val="none"/>
              </w:rPr>
              <w:t>餐饮业</w:t>
            </w:r>
          </w:p>
        </w:tc>
      </w:tr>
    </w:tbl>
    <w:p w14:paraId="59B1635E">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58966A9D">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4AD45C83">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C4E8C44">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55C00206">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32B07E65">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776D6883">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3374B617">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4D0BEEE5">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89B40AD">
      <w:pPr>
        <w:pStyle w:val="7"/>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p w14:paraId="420EBFCF">
      <w:pPr>
        <w:pStyle w:val="7"/>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880A673">
      <w:pPr>
        <w:pStyle w:val="7"/>
        <w:spacing w:beforeAutospacing="0" w:afterAutospacing="0"/>
        <w:ind w:firstLine="602"/>
        <w:jc w:val="both"/>
        <w:rPr>
          <w:highlight w:val="none"/>
        </w:rPr>
      </w:pPr>
      <w:r>
        <w:rPr>
          <w:rFonts w:hint="eastAsia" w:ascii="宋体" w:hAnsi="宋体" w:eastAsia="宋体" w:cs="宋体"/>
          <w:sz w:val="24"/>
          <w:szCs w:val="24"/>
          <w:highlight w:val="none"/>
        </w:rPr>
        <w:t> </w:t>
      </w:r>
      <w:bookmarkStart w:id="183" w:name="_Toc120614281"/>
      <w:r>
        <w:rPr>
          <w:highlight w:val="none"/>
        </w:rPr>
        <w:t> </w:t>
      </w: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3C8189">
      <w:pPr>
        <w:pStyle w:val="7"/>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pStyle w:val="7"/>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pStyle w:val="7"/>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1、小微型企业价格扣除</w:t>
      </w:r>
    </w:p>
    <w:p w14:paraId="5A19E5A0">
      <w:pPr>
        <w:pStyle w:val="15"/>
        <w:ind w:firstLine="360" w:firstLineChars="150"/>
        <w:rPr>
          <w:rFonts w:hint="eastAsia" w:ascii="宋体" w:hAnsi="宋体" w:eastAsia="宋体" w:cs="宋体"/>
          <w:highlight w:val="none"/>
        </w:rPr>
      </w:pPr>
      <w:r>
        <w:rPr>
          <w:rFonts w:hint="eastAsia" w:ascii="宋体" w:hAnsi="宋体" w:eastAsia="宋体" w:cs="宋体"/>
          <w:highlight w:val="none"/>
        </w:rPr>
        <w:t>（1）本项目专门面向中小企业采购，不再对小型和微型企业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给予价格扣除。</w:t>
      </w:r>
    </w:p>
    <w:p w14:paraId="73B3C08A">
      <w:pPr>
        <w:pStyle w:val="7"/>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000000"/>
          <w:highlight w:val="none"/>
        </w:rPr>
        <w:t>》。</w:t>
      </w:r>
    </w:p>
    <w:p w14:paraId="73ACDBA4">
      <w:pPr>
        <w:pStyle w:val="7"/>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（3）企业标准请参照《关于印发中小企业划型标准规定的通知》（工信部联企业</w:t>
      </w:r>
      <w:r>
        <w:rPr>
          <w:rFonts w:hint="eastAsia" w:ascii="宋体" w:hAnsi="宋体" w:eastAsia="宋体" w:cs="宋体"/>
          <w:color w:val="000000"/>
          <w:highlight w:val="none"/>
          <w:lang w:eastAsia="zh-CN"/>
        </w:rPr>
        <w:t>〔2011〕300号</w:t>
      </w:r>
      <w:r>
        <w:rPr>
          <w:rFonts w:hint="eastAsia" w:ascii="宋体" w:hAnsi="宋体" w:eastAsia="宋体" w:cs="宋体"/>
          <w:color w:val="000000"/>
          <w:highlight w:val="none"/>
        </w:rPr>
        <w:t>）文件规定自行填写。</w:t>
      </w:r>
    </w:p>
    <w:p w14:paraId="123A9836">
      <w:pPr>
        <w:pStyle w:val="7"/>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2、残疾人福利单位价格扣除</w:t>
      </w:r>
    </w:p>
    <w:p w14:paraId="48BAD8C1">
      <w:pPr>
        <w:pStyle w:val="7"/>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6DDC4FB5">
      <w:pPr>
        <w:pStyle w:val="7"/>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（2）残疾人福利单位需按照采购文件的要求提供《残疾人福利性单位声明函》。</w:t>
      </w:r>
    </w:p>
    <w:p w14:paraId="05D26FC5">
      <w:pPr>
        <w:pStyle w:val="7"/>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04DB8360">
      <w:pPr>
        <w:pStyle w:val="7"/>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3、监狱和戒毒企业价格扣除</w:t>
      </w:r>
    </w:p>
    <w:p w14:paraId="7D3DF823">
      <w:pPr>
        <w:pStyle w:val="7"/>
        <w:spacing w:before="120" w:beforeAutospacing="0" w:after="120" w:afterAutospacing="0" w:line="0" w:lineRule="atLeast"/>
        <w:ind w:left="120" w:firstLine="360"/>
        <w:rPr>
          <w:rFonts w:hint="eastAsia"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734F155E">
      <w:pPr>
        <w:pStyle w:val="7"/>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7"/>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（3）监狱企业标准请参照《关于政府采购支持监狱企业发展有关问题的通知》（财库</w:t>
      </w:r>
      <w:r>
        <w:rPr>
          <w:rFonts w:hint="eastAsia" w:ascii="宋体" w:hAnsi="宋体" w:eastAsia="宋体" w:cs="宋体"/>
          <w:color w:val="000000"/>
          <w:highlight w:val="none"/>
          <w:lang w:eastAsia="zh-CN"/>
        </w:rPr>
        <w:t>〔2014〕68号</w:t>
      </w:r>
      <w:r>
        <w:rPr>
          <w:rFonts w:hint="eastAsia" w:ascii="宋体" w:hAnsi="宋体" w:eastAsia="宋体" w:cs="宋体"/>
          <w:color w:val="000000"/>
          <w:highlight w:val="none"/>
        </w:rPr>
        <w:t>）。</w:t>
      </w:r>
    </w:p>
    <w:p w14:paraId="70D78B33">
      <w:pPr>
        <w:pStyle w:val="7"/>
        <w:spacing w:before="120" w:beforeAutospacing="0" w:after="12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4、残疾人福利单位、监狱企业属于小型、微型企业的，不重复享受政策。</w:t>
      </w:r>
    </w:p>
    <w:p w14:paraId="75A4001E">
      <w:pPr>
        <w:pStyle w:val="7"/>
        <w:spacing w:before="120" w:beforeAutospacing="0" w:after="120" w:afterAutospacing="0" w:line="0" w:lineRule="atLeast"/>
        <w:ind w:firstLine="480"/>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二、评标方法与评标标准</w:t>
      </w:r>
    </w:p>
    <w:p w14:paraId="1C5D2B24">
      <w:pPr>
        <w:pStyle w:val="7"/>
        <w:spacing w:before="120" w:beforeAutospacing="0" w:after="120" w:afterAutospacing="0" w:line="0" w:lineRule="atLeast"/>
        <w:ind w:firstLine="480"/>
        <w:rPr>
          <w:rFonts w:hint="eastAsia" w:ascii="宋体" w:hAnsi="宋体" w:eastAsia="宋体" w:cs="宋体"/>
          <w:b/>
          <w:bCs/>
          <w:color w:val="000000"/>
          <w:kern w:val="2"/>
          <w:sz w:val="24"/>
          <w:szCs w:val="24"/>
          <w:highlight w:val="none"/>
          <w:lang w:val="en-US" w:eastAsia="zh-CN" w:bidi="ar-SA"/>
        </w:rPr>
      </w:pPr>
    </w:p>
    <w:p w14:paraId="6EDD7DF4">
      <w:pPr>
        <w:pStyle w:val="7"/>
        <w:spacing w:before="120" w:beforeAutospacing="0" w:after="120" w:afterAutospacing="0" w:line="0" w:lineRule="atLeast"/>
        <w:ind w:firstLine="480"/>
        <w:rPr>
          <w:rFonts w:hint="eastAsia" w:ascii="宋体" w:hAnsi="宋体" w:eastAsia="宋体" w:cs="宋体"/>
          <w:b/>
          <w:bCs/>
          <w:color w:val="000000"/>
          <w:kern w:val="2"/>
          <w:sz w:val="24"/>
          <w:szCs w:val="24"/>
          <w:highlight w:val="none"/>
          <w:lang w:val="en-US" w:eastAsia="zh-CN" w:bidi="ar-SA"/>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5"/>
        <w:gridCol w:w="831"/>
        <w:gridCol w:w="1186"/>
        <w:gridCol w:w="738"/>
        <w:gridCol w:w="5082"/>
      </w:tblGrid>
      <w:tr w14:paraId="5CA4A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noWrap w:val="0"/>
            <w:vAlign w:val="center"/>
          </w:tcPr>
          <w:p w14:paraId="0CC98131">
            <w:pPr>
              <w:autoSpaceDE/>
              <w:autoSpaceDN/>
              <w:spacing w:before="0" w:after="0" w:line="240" w:lineRule="auto"/>
              <w:ind w:left="0" w:leftChars="0" w:firstLine="0" w:firstLineChars="0"/>
              <w:jc w:val="center"/>
              <w:rPr>
                <w:rFonts w:hint="eastAsia" w:ascii="宋体" w:hAnsi="宋体" w:eastAsia="宋体" w:cs="宋体"/>
                <w:sz w:val="21"/>
                <w:szCs w:val="21"/>
                <w:vertAlign w:val="baseline"/>
              </w:rPr>
            </w:pPr>
            <w:r>
              <w:rPr>
                <w:rFonts w:hint="eastAsia" w:ascii="宋体" w:hAnsi="宋体" w:eastAsia="宋体" w:cs="宋体"/>
                <w:kern w:val="2"/>
                <w:sz w:val="21"/>
                <w:szCs w:val="21"/>
                <w:highlight w:val="none"/>
                <w:lang w:val="en-US" w:eastAsia="zh-CN" w:bidi="ar-SA"/>
              </w:rPr>
              <w:t>序号</w:t>
            </w:r>
          </w:p>
        </w:tc>
        <w:tc>
          <w:tcPr>
            <w:tcW w:w="831" w:type="dxa"/>
            <w:noWrap w:val="0"/>
            <w:vAlign w:val="center"/>
          </w:tcPr>
          <w:p w14:paraId="43CB4782">
            <w:pPr>
              <w:autoSpaceDE/>
              <w:autoSpaceDN/>
              <w:spacing w:before="0" w:after="0" w:line="240" w:lineRule="auto"/>
              <w:ind w:left="0" w:leftChars="0" w:firstLine="0" w:firstLineChars="0"/>
              <w:jc w:val="center"/>
              <w:rPr>
                <w:rFonts w:hint="eastAsia" w:ascii="宋体" w:hAnsi="宋体" w:eastAsia="宋体" w:cs="宋体"/>
                <w:sz w:val="21"/>
                <w:szCs w:val="21"/>
                <w:vertAlign w:val="baseline"/>
              </w:rPr>
            </w:pPr>
            <w:r>
              <w:rPr>
                <w:rFonts w:hint="eastAsia" w:ascii="宋体" w:hAnsi="宋体" w:eastAsia="宋体" w:cs="宋体"/>
                <w:kern w:val="2"/>
                <w:sz w:val="21"/>
                <w:szCs w:val="21"/>
                <w:highlight w:val="none"/>
                <w:lang w:val="en-US" w:eastAsia="zh-CN" w:bidi="ar-SA"/>
              </w:rPr>
              <w:t>分部内容</w:t>
            </w:r>
          </w:p>
        </w:tc>
        <w:tc>
          <w:tcPr>
            <w:tcW w:w="1186" w:type="dxa"/>
            <w:noWrap w:val="0"/>
            <w:vAlign w:val="center"/>
          </w:tcPr>
          <w:p w14:paraId="73324587">
            <w:pPr>
              <w:autoSpaceDE/>
              <w:autoSpaceDN/>
              <w:spacing w:before="0" w:after="0" w:line="240" w:lineRule="auto"/>
              <w:ind w:left="0" w:leftChars="0" w:firstLine="0" w:firstLineChars="0"/>
              <w:jc w:val="center"/>
              <w:rPr>
                <w:rFonts w:hint="eastAsia" w:ascii="宋体" w:hAnsi="宋体" w:eastAsia="宋体" w:cs="宋体"/>
                <w:sz w:val="21"/>
                <w:szCs w:val="21"/>
                <w:vertAlign w:val="baseline"/>
              </w:rPr>
            </w:pPr>
            <w:r>
              <w:rPr>
                <w:rFonts w:hint="eastAsia" w:ascii="宋体" w:hAnsi="宋体" w:eastAsia="宋体" w:cs="宋体"/>
                <w:kern w:val="2"/>
                <w:sz w:val="21"/>
                <w:szCs w:val="21"/>
                <w:highlight w:val="none"/>
                <w:lang w:val="en-US" w:eastAsia="zh-CN" w:bidi="ar-SA"/>
              </w:rPr>
              <w:t>分项内容</w:t>
            </w:r>
          </w:p>
        </w:tc>
        <w:tc>
          <w:tcPr>
            <w:tcW w:w="738" w:type="dxa"/>
            <w:noWrap w:val="0"/>
            <w:vAlign w:val="center"/>
          </w:tcPr>
          <w:p w14:paraId="212E3388">
            <w:pPr>
              <w:autoSpaceDE/>
              <w:autoSpaceDN/>
              <w:spacing w:before="0" w:after="0" w:line="240" w:lineRule="auto"/>
              <w:ind w:left="0" w:leftChars="0" w:firstLine="0" w:firstLineChars="0"/>
              <w:jc w:val="center"/>
              <w:rPr>
                <w:rFonts w:hint="eastAsia" w:ascii="宋体" w:hAnsi="宋体" w:eastAsia="宋体" w:cs="宋体"/>
                <w:sz w:val="21"/>
                <w:szCs w:val="21"/>
                <w:vertAlign w:val="baseline"/>
              </w:rPr>
            </w:pPr>
            <w:r>
              <w:rPr>
                <w:rFonts w:hint="eastAsia" w:ascii="宋体" w:hAnsi="宋体" w:eastAsia="宋体" w:cs="宋体"/>
                <w:kern w:val="2"/>
                <w:sz w:val="21"/>
                <w:szCs w:val="21"/>
                <w:highlight w:val="none"/>
                <w:lang w:val="en-US" w:eastAsia="zh-CN" w:bidi="ar-SA"/>
              </w:rPr>
              <w:t>分值</w:t>
            </w:r>
          </w:p>
        </w:tc>
        <w:tc>
          <w:tcPr>
            <w:tcW w:w="5082" w:type="dxa"/>
            <w:noWrap w:val="0"/>
            <w:vAlign w:val="center"/>
          </w:tcPr>
          <w:p w14:paraId="1F18D6B6">
            <w:pPr>
              <w:autoSpaceDE/>
              <w:autoSpaceDN/>
              <w:spacing w:before="0" w:after="0" w:line="240" w:lineRule="auto"/>
              <w:ind w:left="0" w:leftChars="0" w:firstLine="0" w:firstLineChars="0"/>
              <w:jc w:val="center"/>
              <w:rPr>
                <w:rFonts w:hint="eastAsia" w:ascii="宋体" w:hAnsi="宋体" w:eastAsia="宋体" w:cs="宋体"/>
                <w:sz w:val="21"/>
                <w:szCs w:val="21"/>
                <w:vertAlign w:val="baseline"/>
              </w:rPr>
            </w:pPr>
            <w:r>
              <w:rPr>
                <w:rFonts w:hint="eastAsia" w:ascii="宋体" w:hAnsi="宋体" w:eastAsia="宋体" w:cs="宋体"/>
                <w:kern w:val="2"/>
                <w:sz w:val="21"/>
                <w:szCs w:val="21"/>
                <w:highlight w:val="none"/>
                <w:lang w:val="en-US" w:eastAsia="zh-CN" w:bidi="ar-SA"/>
              </w:rPr>
              <w:t>打分要求</w:t>
            </w:r>
          </w:p>
        </w:tc>
      </w:tr>
      <w:tr w14:paraId="5ADA2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noWrap w:val="0"/>
            <w:vAlign w:val="center"/>
          </w:tcPr>
          <w:p w14:paraId="071EE6D1">
            <w:pPr>
              <w:autoSpaceDE/>
              <w:autoSpaceDN/>
              <w:spacing w:before="0" w:after="0" w:line="240" w:lineRule="auto"/>
              <w:ind w:left="0" w:leftChars="0" w:firstLine="0" w:firstLineChars="0"/>
              <w:jc w:val="center"/>
              <w:rPr>
                <w:rFonts w:hint="eastAsia" w:ascii="宋体" w:hAnsi="宋体" w:eastAsia="宋体" w:cs="宋体"/>
                <w:sz w:val="21"/>
                <w:szCs w:val="21"/>
                <w:vertAlign w:val="baseline"/>
              </w:rPr>
            </w:pPr>
            <w:r>
              <w:rPr>
                <w:rFonts w:hint="eastAsia" w:ascii="宋体" w:hAnsi="宋体" w:eastAsia="宋体" w:cs="宋体"/>
                <w:kern w:val="2"/>
                <w:sz w:val="21"/>
                <w:szCs w:val="21"/>
                <w:highlight w:val="none"/>
                <w:lang w:val="en-US" w:eastAsia="zh-CN" w:bidi="ar-SA"/>
              </w:rPr>
              <w:t>一</w:t>
            </w:r>
          </w:p>
        </w:tc>
        <w:tc>
          <w:tcPr>
            <w:tcW w:w="831" w:type="dxa"/>
            <w:noWrap w:val="0"/>
            <w:vAlign w:val="center"/>
          </w:tcPr>
          <w:p w14:paraId="4244E7E1">
            <w:pPr>
              <w:autoSpaceDE/>
              <w:autoSpaceDN/>
              <w:spacing w:before="0" w:after="0" w:line="240" w:lineRule="auto"/>
              <w:ind w:left="0" w:leftChars="0" w:firstLine="0" w:firstLineChars="0"/>
              <w:jc w:val="center"/>
              <w:rPr>
                <w:rFonts w:hint="eastAsia" w:ascii="宋体" w:hAnsi="宋体" w:eastAsia="宋体" w:cs="宋体"/>
                <w:sz w:val="21"/>
                <w:szCs w:val="21"/>
                <w:vertAlign w:val="baseline"/>
              </w:rPr>
            </w:pPr>
            <w:r>
              <w:rPr>
                <w:rFonts w:hint="eastAsia" w:ascii="宋体" w:hAnsi="宋体" w:eastAsia="宋体" w:cs="宋体"/>
                <w:b w:val="0"/>
                <w:bCs w:val="0"/>
                <w:color w:val="auto"/>
                <w:sz w:val="21"/>
                <w:szCs w:val="21"/>
                <w:highlight w:val="none"/>
              </w:rPr>
              <w:t>价格部分</w:t>
            </w:r>
          </w:p>
        </w:tc>
        <w:tc>
          <w:tcPr>
            <w:tcW w:w="1186" w:type="dxa"/>
            <w:noWrap w:val="0"/>
            <w:vAlign w:val="center"/>
          </w:tcPr>
          <w:p w14:paraId="4A1F41A9">
            <w:pPr>
              <w:autoSpaceDE/>
              <w:autoSpaceDN/>
              <w:spacing w:before="0" w:after="0" w:line="240" w:lineRule="auto"/>
              <w:ind w:left="0" w:leftChars="0" w:firstLine="0" w:firstLineChars="0"/>
              <w:jc w:val="center"/>
              <w:rPr>
                <w:rFonts w:hint="eastAsia" w:ascii="宋体" w:hAnsi="宋体" w:eastAsia="宋体" w:cs="宋体"/>
                <w:sz w:val="21"/>
                <w:szCs w:val="21"/>
                <w:vertAlign w:val="baseline"/>
              </w:rPr>
            </w:pPr>
            <w:r>
              <w:rPr>
                <w:rFonts w:hint="eastAsia" w:ascii="宋体" w:hAnsi="宋体" w:eastAsia="宋体" w:cs="宋体"/>
                <w:color w:val="auto"/>
                <w:kern w:val="2"/>
                <w:sz w:val="21"/>
                <w:szCs w:val="21"/>
                <w:highlight w:val="none"/>
                <w:lang w:val="en-US" w:eastAsia="zh-CN" w:bidi="ar-SA"/>
              </w:rPr>
              <w:t>投标报价</w:t>
            </w:r>
          </w:p>
        </w:tc>
        <w:tc>
          <w:tcPr>
            <w:tcW w:w="738" w:type="dxa"/>
            <w:noWrap w:val="0"/>
            <w:vAlign w:val="center"/>
          </w:tcPr>
          <w:p w14:paraId="190DA93A">
            <w:pPr>
              <w:autoSpaceDE/>
              <w:autoSpaceDN/>
              <w:spacing w:before="0" w:after="0" w:line="240" w:lineRule="auto"/>
              <w:ind w:left="0" w:leftChars="0" w:firstLine="0" w:firstLineChars="0"/>
              <w:jc w:val="center"/>
              <w:rPr>
                <w:rFonts w:hint="default" w:ascii="宋体" w:hAnsi="宋体" w:eastAsia="宋体" w:cs="宋体"/>
                <w:sz w:val="21"/>
                <w:szCs w:val="21"/>
                <w:vertAlign w:val="baseline"/>
                <w:lang w:val="en-US"/>
              </w:rPr>
            </w:pPr>
            <w:r>
              <w:rPr>
                <w:rFonts w:hint="eastAsia" w:ascii="宋体" w:hAnsi="宋体" w:eastAsia="宋体" w:cs="宋体"/>
                <w:kern w:val="2"/>
                <w:sz w:val="21"/>
                <w:szCs w:val="21"/>
                <w:highlight w:val="none"/>
                <w:lang w:val="en-US" w:eastAsia="zh-CN" w:bidi="ar-SA"/>
              </w:rPr>
              <w:t>10</w:t>
            </w:r>
          </w:p>
        </w:tc>
        <w:tc>
          <w:tcPr>
            <w:tcW w:w="5082" w:type="dxa"/>
            <w:noWrap w:val="0"/>
            <w:vAlign w:val="center"/>
          </w:tcPr>
          <w:p w14:paraId="58D65421">
            <w:pPr>
              <w:autoSpaceDE/>
              <w:autoSpaceDN/>
              <w:spacing w:before="0" w:after="0" w:line="240" w:lineRule="auto"/>
              <w:ind w:left="0" w:leftChars="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本项目采取优惠率报价，以（1-优惠率）作为投标人的报价参与价格评审。</w:t>
            </w:r>
          </w:p>
          <w:p w14:paraId="37D4BFAA">
            <w:pPr>
              <w:autoSpaceDE/>
              <w:autoSpaceDN/>
              <w:spacing w:before="0" w:after="0" w:line="240" w:lineRule="auto"/>
              <w:ind w:left="0" w:leftChars="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满足招标文件要求且投标价格最低的投标报价为基准价，其价格分为满分。报价得分=(评标基准价/投标报价)×10。</w:t>
            </w:r>
          </w:p>
          <w:p w14:paraId="52C42D1E">
            <w:pPr>
              <w:autoSpaceDE/>
              <w:autoSpaceDN/>
              <w:spacing w:before="0" w:after="0" w:line="240" w:lineRule="auto"/>
              <w:ind w:left="0" w:leftChars="0" w:firstLine="420" w:firstLineChars="200"/>
              <w:jc w:val="left"/>
              <w:rPr>
                <w:rFonts w:hint="default" w:ascii="宋体" w:hAnsi="宋体" w:eastAsia="宋体" w:cs="宋体"/>
                <w:sz w:val="21"/>
                <w:szCs w:val="21"/>
                <w:lang w:val="en-US"/>
              </w:rPr>
            </w:pPr>
            <w:r>
              <w:rPr>
                <w:rFonts w:hint="eastAsia" w:ascii="宋体" w:hAnsi="宋体" w:eastAsia="宋体" w:cs="宋体"/>
                <w:kern w:val="2"/>
                <w:sz w:val="21"/>
                <w:szCs w:val="21"/>
                <w:highlight w:val="none"/>
                <w:lang w:val="en-US" w:eastAsia="zh-CN" w:bidi="ar-SA"/>
              </w:rPr>
              <w:t>备注：如基准价为0.85（对应优惠率15%），某投标人投标报价为0.9（对应优惠率10%），则其得分 =(0.85/0.9)×10=9.44 分</w:t>
            </w:r>
          </w:p>
        </w:tc>
      </w:tr>
      <w:tr w14:paraId="13CE1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noWrap w:val="0"/>
            <w:vAlign w:val="center"/>
          </w:tcPr>
          <w:p w14:paraId="2C156926">
            <w:pPr>
              <w:autoSpaceDE/>
              <w:autoSpaceDN/>
              <w:spacing w:before="0" w:after="0" w:line="240" w:lineRule="auto"/>
              <w:ind w:left="0" w:leftChars="0" w:firstLine="0" w:firstLineChars="0"/>
              <w:jc w:val="center"/>
              <w:rPr>
                <w:rFonts w:hint="eastAsia" w:ascii="宋体" w:hAnsi="宋体" w:eastAsia="宋体" w:cs="宋体"/>
                <w:sz w:val="21"/>
                <w:szCs w:val="21"/>
                <w:vertAlign w:val="baseline"/>
              </w:rPr>
            </w:pPr>
            <w:r>
              <w:rPr>
                <w:rFonts w:hint="eastAsia" w:ascii="宋体" w:hAnsi="宋体" w:eastAsia="宋体" w:cs="宋体"/>
                <w:kern w:val="2"/>
                <w:sz w:val="21"/>
                <w:szCs w:val="21"/>
                <w:highlight w:val="none"/>
                <w:lang w:val="en-US" w:eastAsia="zh-CN" w:bidi="ar-SA"/>
              </w:rPr>
              <w:t>二</w:t>
            </w:r>
          </w:p>
        </w:tc>
        <w:tc>
          <w:tcPr>
            <w:tcW w:w="831" w:type="dxa"/>
            <w:noWrap w:val="0"/>
            <w:vAlign w:val="center"/>
          </w:tcPr>
          <w:p w14:paraId="1BD488FD">
            <w:pPr>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技术部分</w:t>
            </w:r>
          </w:p>
        </w:tc>
        <w:tc>
          <w:tcPr>
            <w:tcW w:w="1186" w:type="dxa"/>
            <w:noWrap w:val="0"/>
            <w:vAlign w:val="center"/>
          </w:tcPr>
          <w:p w14:paraId="259F7F8A">
            <w:pPr>
              <w:autoSpaceDE/>
              <w:autoSpaceDN/>
              <w:spacing w:before="0" w:after="0"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投标单位针对本项目服务情况比较</w:t>
            </w:r>
          </w:p>
        </w:tc>
        <w:tc>
          <w:tcPr>
            <w:tcW w:w="738" w:type="dxa"/>
            <w:noWrap w:val="0"/>
            <w:vAlign w:val="center"/>
          </w:tcPr>
          <w:p w14:paraId="2FE821BF">
            <w:pPr>
              <w:autoSpaceDE/>
              <w:autoSpaceDN/>
              <w:spacing w:before="0" w:after="0"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71</w:t>
            </w:r>
          </w:p>
        </w:tc>
        <w:tc>
          <w:tcPr>
            <w:tcW w:w="5082" w:type="dxa"/>
            <w:noWrap w:val="0"/>
            <w:vAlign w:val="center"/>
          </w:tcPr>
          <w:p w14:paraId="663749E2">
            <w:pPr>
              <w:autoSpaceDE/>
              <w:autoSpaceDN/>
              <w:spacing w:before="0" w:after="0" w:line="240" w:lineRule="auto"/>
              <w:ind w:left="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供应商对食材品质监督制度（15分）：食材卫生安全保障制度详尽完整、全面透彻、管理思路新颖（包括但不限于严格的仓库管理制度要求，食品进出管理架构、监督机制、食材可追根溯源保障措施等）制度合理、科学、可操作性明确完整的得15分；内容较完整的得12分；内容简单未漏项的得10分；内容漏项不完整的得8分。</w:t>
            </w:r>
          </w:p>
          <w:p w14:paraId="6C8273F0">
            <w:pPr>
              <w:autoSpaceDE/>
              <w:autoSpaceDN/>
              <w:spacing w:before="0" w:after="0" w:line="240" w:lineRule="auto"/>
              <w:ind w:left="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项目应急预案及实施思路（14分）：针对服务中紧急情况制定的各项应急预案比较；预案包括（突发危机事件、火灾应急、突发治安事件、防台防汛（台风天气）应急、暴雨天气应急、发生紧急情况如人员食物中毒应急预备、大型活动等）针对不同情况的采取的防范解决措施详尽、完善、科学合理、全面可行性强得14分；内容较完整的得12分；内容简单未漏项的得10分；内容漏项不完整的得8分。</w:t>
            </w:r>
          </w:p>
          <w:p w14:paraId="1F3F3312">
            <w:pPr>
              <w:autoSpaceDE/>
              <w:autoSpaceDN/>
              <w:spacing w:before="0" w:after="0" w:line="240" w:lineRule="auto"/>
              <w:ind w:left="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食材安全、卫生、无毒无公害保障措施比较（14分）：响应单位对所送食材安全、卫生保障措施详尽、完善、全面、科学可行（包括但不限于食品管理制度、场所卫生管理制度、器具清洗消毒制度、人员卫生管理等）的得14分，内容较完整的得12分；内容简单未漏项的得10分；内容漏项不完整的得8分。</w:t>
            </w:r>
          </w:p>
          <w:p w14:paraId="04C14B10">
            <w:pPr>
              <w:autoSpaceDE/>
              <w:autoSpaceDN/>
              <w:spacing w:before="0" w:after="0" w:line="240" w:lineRule="auto"/>
              <w:ind w:left="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经营场地比较（14分）：提供仓储区域、原材料检测室、筐（箱）清洗区、筐（箱）消毒区、蔬菜分拣区、冷冻、冷藏区、车辆装卸场地、办公区等区域彩色图片及详细说明。评委根据各功能区是否齐全、设施设备的规模、布局合理化及专业化程度打分。设施设备齐全、各区域布局合理得14分；设施设备、区域布局较好的得12分；设施设备、区域布局较差的得10分；设施设备不齐全，区域布局混乱的得8分。</w:t>
            </w:r>
          </w:p>
          <w:p w14:paraId="325B3BA7">
            <w:pPr>
              <w:autoSpaceDE/>
              <w:autoSpaceDN/>
              <w:spacing w:before="0" w:after="0" w:line="240" w:lineRule="auto"/>
              <w:ind w:left="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内部管理方案比较（14分）：供应商对项目各岗位人员管理制度（括但不限于人员的岗位职责、安全教育、业务培训、考核措施等）详尽完整、全面透彻、管理制度新颖符合项目需求的得14分；内容较完整的得12分；内容简单未漏项的得10分；内容漏项不完整的得8分。</w:t>
            </w:r>
          </w:p>
        </w:tc>
      </w:tr>
      <w:tr w14:paraId="3DB5B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restart"/>
            <w:noWrap w:val="0"/>
            <w:vAlign w:val="center"/>
          </w:tcPr>
          <w:p w14:paraId="7B5C0832">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三</w:t>
            </w:r>
          </w:p>
        </w:tc>
        <w:tc>
          <w:tcPr>
            <w:tcW w:w="831" w:type="dxa"/>
            <w:vMerge w:val="restart"/>
            <w:noWrap w:val="0"/>
            <w:vAlign w:val="center"/>
          </w:tcPr>
          <w:p w14:paraId="00E358FE">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商务部分</w:t>
            </w:r>
          </w:p>
        </w:tc>
        <w:tc>
          <w:tcPr>
            <w:tcW w:w="1186" w:type="dxa"/>
            <w:noWrap w:val="0"/>
            <w:vAlign w:val="center"/>
          </w:tcPr>
          <w:p w14:paraId="22FE9C71">
            <w:pPr>
              <w:autoSpaceDE/>
              <w:autoSpaceDN/>
              <w:spacing w:before="0" w:after="0"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业绩</w:t>
            </w:r>
          </w:p>
        </w:tc>
        <w:tc>
          <w:tcPr>
            <w:tcW w:w="738" w:type="dxa"/>
            <w:noWrap w:val="0"/>
            <w:vAlign w:val="center"/>
          </w:tcPr>
          <w:p w14:paraId="109E5747">
            <w:pPr>
              <w:autoSpaceDE/>
              <w:autoSpaceDN/>
              <w:spacing w:before="0" w:after="0"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w:t>
            </w:r>
          </w:p>
        </w:tc>
        <w:tc>
          <w:tcPr>
            <w:tcW w:w="5082" w:type="dxa"/>
            <w:noWrap w:val="0"/>
            <w:vAlign w:val="top"/>
          </w:tcPr>
          <w:p w14:paraId="63F81571">
            <w:pPr>
              <w:autoSpaceDE/>
              <w:autoSpaceDN/>
              <w:spacing w:before="0" w:after="0" w:line="240" w:lineRule="auto"/>
              <w:ind w:left="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投标人自2022年1月1日至今（以合同签订时间为准）具有类似食材配送业绩的，有一份合同得2分，最高得6分。</w:t>
            </w:r>
          </w:p>
          <w:p w14:paraId="74ACC03D">
            <w:pPr>
              <w:autoSpaceDE/>
              <w:autoSpaceDN/>
              <w:spacing w:before="0" w:after="0" w:line="240" w:lineRule="auto"/>
              <w:ind w:left="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投标时提供合同扫描件并加盖投标人公章，否则不得分。</w:t>
            </w:r>
          </w:p>
        </w:tc>
      </w:tr>
      <w:tr w14:paraId="0BDF1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continue"/>
            <w:noWrap w:val="0"/>
            <w:vAlign w:val="center"/>
          </w:tcPr>
          <w:p w14:paraId="1A26F3C6">
            <w:pPr>
              <w:jc w:val="center"/>
              <w:rPr>
                <w:rFonts w:hint="eastAsia" w:ascii="宋体" w:hAnsi="宋体" w:eastAsia="宋体" w:cs="宋体"/>
                <w:sz w:val="21"/>
                <w:szCs w:val="21"/>
                <w:vertAlign w:val="baseline"/>
              </w:rPr>
            </w:pPr>
          </w:p>
        </w:tc>
        <w:tc>
          <w:tcPr>
            <w:tcW w:w="831" w:type="dxa"/>
            <w:vMerge w:val="continue"/>
            <w:noWrap w:val="0"/>
            <w:vAlign w:val="center"/>
          </w:tcPr>
          <w:p w14:paraId="79E4BAB8">
            <w:pPr>
              <w:jc w:val="center"/>
              <w:rPr>
                <w:rFonts w:hint="eastAsia" w:ascii="宋体" w:hAnsi="宋体" w:eastAsia="宋体" w:cs="宋体"/>
                <w:sz w:val="21"/>
                <w:szCs w:val="21"/>
                <w:vertAlign w:val="baseline"/>
              </w:rPr>
            </w:pPr>
          </w:p>
        </w:tc>
        <w:tc>
          <w:tcPr>
            <w:tcW w:w="1186" w:type="dxa"/>
            <w:noWrap w:val="0"/>
            <w:vAlign w:val="center"/>
          </w:tcPr>
          <w:p w14:paraId="2AE23FEB">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体系认证</w:t>
            </w:r>
          </w:p>
        </w:tc>
        <w:tc>
          <w:tcPr>
            <w:tcW w:w="738" w:type="dxa"/>
            <w:noWrap w:val="0"/>
            <w:vAlign w:val="center"/>
          </w:tcPr>
          <w:p w14:paraId="21EA7FD9">
            <w:pPr>
              <w:autoSpaceDE/>
              <w:autoSpaceDN/>
              <w:spacing w:before="0" w:after="0" w:line="240" w:lineRule="auto"/>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p>
        </w:tc>
        <w:tc>
          <w:tcPr>
            <w:tcW w:w="5082" w:type="dxa"/>
            <w:noWrap w:val="0"/>
            <w:vAlign w:val="center"/>
          </w:tcPr>
          <w:p w14:paraId="05EFD289">
            <w:pPr>
              <w:autoSpaceDE/>
              <w:autoSpaceDN/>
              <w:spacing w:before="0" w:after="0" w:line="240" w:lineRule="auto"/>
              <w:ind w:left="0" w:firstLine="420" w:firstLineChars="200"/>
              <w:jc w:val="lef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投标人具有食品安全管理体系认证、环境管理体系认证、职业健康安全管理体系认证，每有1个得1分，最高得3分。投标时提供证书扫描件并加盖投标人公章，否则不得分。</w:t>
            </w:r>
          </w:p>
        </w:tc>
      </w:tr>
      <w:tr w14:paraId="6154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vMerge w:val="continue"/>
            <w:noWrap w:val="0"/>
            <w:vAlign w:val="center"/>
          </w:tcPr>
          <w:p w14:paraId="2EDB0EF6">
            <w:pPr>
              <w:jc w:val="center"/>
              <w:rPr>
                <w:rFonts w:hint="eastAsia" w:ascii="宋体" w:hAnsi="宋体" w:eastAsia="宋体" w:cs="宋体"/>
                <w:sz w:val="21"/>
                <w:szCs w:val="21"/>
                <w:vertAlign w:val="baseline"/>
              </w:rPr>
            </w:pPr>
          </w:p>
        </w:tc>
        <w:tc>
          <w:tcPr>
            <w:tcW w:w="831" w:type="dxa"/>
            <w:vMerge w:val="continue"/>
            <w:noWrap w:val="0"/>
            <w:vAlign w:val="center"/>
          </w:tcPr>
          <w:p w14:paraId="54201501">
            <w:pPr>
              <w:jc w:val="center"/>
              <w:rPr>
                <w:rFonts w:hint="eastAsia" w:ascii="宋体" w:hAnsi="宋体" w:eastAsia="宋体" w:cs="宋体"/>
                <w:sz w:val="21"/>
                <w:szCs w:val="21"/>
                <w:vertAlign w:val="baseline"/>
              </w:rPr>
            </w:pPr>
          </w:p>
        </w:tc>
        <w:tc>
          <w:tcPr>
            <w:tcW w:w="1186" w:type="dxa"/>
            <w:noWrap w:val="0"/>
            <w:vAlign w:val="center"/>
          </w:tcPr>
          <w:p w14:paraId="56813A82">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履约能力</w:t>
            </w:r>
          </w:p>
        </w:tc>
        <w:tc>
          <w:tcPr>
            <w:tcW w:w="738" w:type="dxa"/>
            <w:noWrap w:val="0"/>
            <w:vAlign w:val="center"/>
          </w:tcPr>
          <w:p w14:paraId="0234017F">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w:t>
            </w:r>
          </w:p>
        </w:tc>
        <w:tc>
          <w:tcPr>
            <w:tcW w:w="5082" w:type="dxa"/>
            <w:noWrap w:val="0"/>
            <w:vAlign w:val="top"/>
          </w:tcPr>
          <w:p w14:paraId="66E68393">
            <w:pPr>
              <w:ind w:firstLine="420" w:firstLineChars="200"/>
              <w:jc w:val="left"/>
              <w:rPr>
                <w:rFonts w:hint="eastAsia" w:ascii="宋体" w:hAnsi="宋体" w:eastAsia="宋体" w:cs="宋体"/>
                <w:sz w:val="21"/>
                <w:szCs w:val="21"/>
                <w:vertAlign w:val="baseline"/>
              </w:rPr>
            </w:pPr>
            <w:r>
              <w:rPr>
                <w:rFonts w:hint="eastAsia" w:ascii="宋体" w:hAnsi="宋体" w:eastAsia="宋体" w:cs="宋体"/>
                <w:kern w:val="2"/>
                <w:sz w:val="21"/>
                <w:szCs w:val="21"/>
                <w:highlight w:val="none"/>
                <w:lang w:val="en-US" w:eastAsia="zh-CN" w:bidi="ar-SA"/>
              </w:rPr>
              <w:t>投标人</w:t>
            </w:r>
            <w:r>
              <w:rPr>
                <w:rFonts w:hint="eastAsia" w:ascii="宋体" w:hAnsi="宋体" w:eastAsia="宋体" w:cs="宋体"/>
                <w:sz w:val="21"/>
                <w:szCs w:val="21"/>
                <w:vertAlign w:val="baseline"/>
              </w:rPr>
              <w:t>自有或租赁货车的，每具备一辆得2分，最高10分。自有的需提供车辆的权属证明、对应行驶证复印件，如车辆为租赁的，需提供租赁合同及发票、对应行驶证复印件。上述资料不全或的不得分。</w:t>
            </w:r>
          </w:p>
        </w:tc>
      </w:tr>
    </w:tbl>
    <w:p w14:paraId="0C1916BE">
      <w:pPr>
        <w:pStyle w:val="7"/>
        <w:spacing w:beforeAutospacing="0" w:afterAutospacing="0" w:line="360" w:lineRule="auto"/>
        <w:ind w:firstLine="480"/>
        <w:jc w:val="both"/>
        <w:rPr>
          <w:rFonts w:hint="eastAsia" w:ascii="宋体" w:hAnsi="宋体" w:eastAsia="宋体" w:cs="宋体"/>
          <w:color w:val="auto"/>
          <w:highlight w:val="none"/>
        </w:rPr>
      </w:pPr>
    </w:p>
    <w:p w14:paraId="15D541B7">
      <w:pPr>
        <w:pStyle w:val="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83661C7">
      <w:pPr>
        <w:pStyle w:val="7"/>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1F79B1BA">
      <w:pPr>
        <w:pStyle w:val="7"/>
        <w:spacing w:beforeAutospacing="0" w:afterAutospacing="0"/>
        <w:jc w:val="both"/>
        <w:rPr>
          <w:rFonts w:hint="eastAsia" w:ascii="宋体" w:hAnsi="宋体" w:eastAsia="宋体" w:cs="宋体"/>
          <w:highlight w:val="none"/>
        </w:rPr>
      </w:pPr>
      <w:r>
        <w:rPr>
          <w:rFonts w:hint="eastAsia" w:ascii="宋体" w:hAnsi="宋体" w:eastAsia="宋体" w:cs="宋体"/>
          <w:highlight w:val="none"/>
        </w:rPr>
        <w:t> </w:t>
      </w:r>
    </w:p>
    <w:p w14:paraId="74E73B9D">
      <w:pPr>
        <w:pStyle w:val="7"/>
        <w:spacing w:beforeAutospacing="0" w:afterAutospacing="0"/>
        <w:jc w:val="both"/>
        <w:rPr>
          <w:highlight w:val="none"/>
        </w:rPr>
      </w:pPr>
      <w:r>
        <w:rPr>
          <w:highlight w:val="none"/>
        </w:rPr>
        <w:t> </w:t>
      </w:r>
    </w:p>
    <w:p w14:paraId="0BEEBA55">
      <w:pPr>
        <w:pStyle w:val="7"/>
        <w:spacing w:beforeAutospacing="0" w:afterAutospacing="0"/>
        <w:jc w:val="both"/>
        <w:rPr>
          <w:highlight w:val="none"/>
        </w:rPr>
      </w:pPr>
      <w:r>
        <w:rPr>
          <w:highlight w:val="none"/>
        </w:rPr>
        <w:t> </w:t>
      </w:r>
    </w:p>
    <w:p w14:paraId="594F2953">
      <w:pPr>
        <w:pStyle w:val="7"/>
        <w:spacing w:beforeAutospacing="0" w:afterAutospacing="0"/>
        <w:jc w:val="both"/>
        <w:rPr>
          <w:highlight w:val="none"/>
        </w:rPr>
      </w:pPr>
      <w:r>
        <w:rPr>
          <w:highlight w:val="none"/>
        </w:rPr>
        <w:t> </w:t>
      </w:r>
    </w:p>
    <w:p w14:paraId="436EEBE6">
      <w:pPr>
        <w:pStyle w:val="7"/>
        <w:spacing w:beforeAutospacing="0" w:afterAutospacing="0"/>
        <w:jc w:val="both"/>
        <w:rPr>
          <w:highlight w:val="none"/>
        </w:rPr>
      </w:pPr>
      <w:r>
        <w:rPr>
          <w:highlight w:val="none"/>
        </w:rPr>
        <w:t> </w:t>
      </w:r>
    </w:p>
    <w:p w14:paraId="7EB855CE">
      <w:pPr>
        <w:pStyle w:val="7"/>
        <w:spacing w:beforeAutospacing="0" w:afterAutospacing="0"/>
        <w:jc w:val="both"/>
        <w:rPr>
          <w:highlight w:val="none"/>
        </w:rPr>
      </w:pPr>
      <w:r>
        <w:rPr>
          <w:highlight w:val="none"/>
        </w:rPr>
        <w:t> </w:t>
      </w:r>
    </w:p>
    <w:p w14:paraId="477992A1">
      <w:pPr>
        <w:pStyle w:val="7"/>
        <w:spacing w:beforeAutospacing="0" w:afterAutospacing="0"/>
        <w:jc w:val="both"/>
        <w:rPr>
          <w:highlight w:val="none"/>
        </w:rPr>
      </w:pPr>
      <w:r>
        <w:rPr>
          <w:highlight w:val="none"/>
        </w:rPr>
        <w:t> </w:t>
      </w:r>
    </w:p>
    <w:p w14:paraId="1274C143">
      <w:pPr>
        <w:pStyle w:val="7"/>
        <w:spacing w:beforeAutospacing="0" w:afterAutospacing="0"/>
        <w:jc w:val="both"/>
        <w:rPr>
          <w:highlight w:val="none"/>
        </w:rPr>
      </w:pPr>
      <w:r>
        <w:rPr>
          <w:highlight w:val="none"/>
        </w:rPr>
        <w:t> </w:t>
      </w:r>
    </w:p>
    <w:p w14:paraId="2309399E">
      <w:pPr>
        <w:pStyle w:val="7"/>
        <w:spacing w:beforeAutospacing="0" w:afterAutospacing="0"/>
        <w:jc w:val="both"/>
        <w:rPr>
          <w:highlight w:val="none"/>
        </w:rPr>
      </w:pPr>
    </w:p>
    <w:p w14:paraId="569177ED">
      <w:pPr>
        <w:pStyle w:val="7"/>
        <w:spacing w:beforeAutospacing="0" w:afterAutospacing="0"/>
        <w:jc w:val="both"/>
        <w:rPr>
          <w:highlight w:val="none"/>
        </w:rPr>
      </w:pPr>
      <w:r>
        <w:rPr>
          <w:highlight w:val="none"/>
        </w:rPr>
        <w:t> </w:t>
      </w:r>
    </w:p>
    <w:p w14:paraId="7F276C28">
      <w:pPr>
        <w:pStyle w:val="7"/>
        <w:spacing w:beforeAutospacing="0" w:afterAutospacing="0"/>
        <w:jc w:val="both"/>
        <w:rPr>
          <w:highlight w:val="none"/>
        </w:rPr>
      </w:pPr>
      <w:r>
        <w:rPr>
          <w:highlight w:val="none"/>
        </w:rPr>
        <w:t> </w:t>
      </w:r>
    </w:p>
    <w:p w14:paraId="64E4DEF8">
      <w:pPr>
        <w:pStyle w:val="7"/>
        <w:spacing w:beforeAutospacing="0" w:afterAutospacing="0"/>
        <w:jc w:val="both"/>
        <w:rPr>
          <w:highlight w:val="none"/>
        </w:rPr>
      </w:pPr>
      <w:r>
        <w:rPr>
          <w:highlight w:val="none"/>
        </w:rPr>
        <w:t> </w:t>
      </w:r>
    </w:p>
    <w:p w14:paraId="5CE34B33">
      <w:pPr>
        <w:pStyle w:val="7"/>
        <w:spacing w:beforeAutospacing="0" w:afterAutospacing="0"/>
        <w:jc w:val="both"/>
        <w:rPr>
          <w:highlight w:val="none"/>
        </w:rPr>
      </w:pPr>
      <w:r>
        <w:rPr>
          <w:highlight w:val="none"/>
        </w:rPr>
        <w:t> </w:t>
      </w:r>
    </w:p>
    <w:p w14:paraId="510655E1">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394BDBC7">
      <w:pPr>
        <w:pStyle w:val="7"/>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4B7EB3B5">
      <w:pPr>
        <w:pStyle w:val="7"/>
        <w:spacing w:beforeAutospacing="0" w:afterAutospacing="0"/>
        <w:jc w:val="center"/>
        <w:rPr>
          <w:rFonts w:hint="eastAsia" w:ascii="宋体" w:hAnsi="宋体" w:eastAsia="宋体" w:cs="宋体"/>
          <w:b/>
          <w:color w:val="000000"/>
          <w:sz w:val="72"/>
          <w:szCs w:val="72"/>
          <w:highlight w:val="none"/>
        </w:rPr>
      </w:pPr>
      <w:bookmarkStart w:id="184" w:name="_Hlt26671244"/>
      <w:bookmarkEnd w:id="184"/>
      <w:bookmarkStart w:id="185" w:name="_Toc26554094"/>
      <w:bookmarkEnd w:id="185"/>
      <w:bookmarkStart w:id="186" w:name="_Hlt26955039"/>
      <w:bookmarkEnd w:id="186"/>
      <w:bookmarkStart w:id="187" w:name="_Toc120614282"/>
      <w:bookmarkStart w:id="188" w:name="_Toc49090576"/>
    </w:p>
    <w:p w14:paraId="4D37084C">
      <w:pPr>
        <w:pStyle w:val="7"/>
        <w:spacing w:beforeAutospacing="0" w:afterAutospacing="0"/>
        <w:jc w:val="center"/>
        <w:rPr>
          <w:rFonts w:hint="eastAsia" w:ascii="宋体" w:hAnsi="宋体" w:eastAsia="宋体" w:cs="宋体"/>
          <w:b/>
          <w:color w:val="000000"/>
          <w:sz w:val="72"/>
          <w:szCs w:val="72"/>
          <w:highlight w:val="none"/>
        </w:rPr>
      </w:pPr>
    </w:p>
    <w:p w14:paraId="14D7A9D0">
      <w:pPr>
        <w:pStyle w:val="7"/>
        <w:spacing w:beforeAutospacing="0" w:afterAutospacing="0"/>
        <w:jc w:val="center"/>
        <w:rPr>
          <w:highlight w:val="none"/>
        </w:rPr>
      </w:pPr>
      <w:r>
        <w:rPr>
          <w:rFonts w:hint="eastAsia" w:ascii="宋体" w:hAnsi="宋体" w:eastAsia="宋体" w:cs="宋体"/>
          <w:b/>
          <w:color w:val="000000"/>
          <w:sz w:val="72"/>
          <w:szCs w:val="72"/>
          <w:highlight w:val="none"/>
        </w:rPr>
        <w:t>投  标  文  件</w:t>
      </w:r>
    </w:p>
    <w:p w14:paraId="22DEB80C">
      <w:pPr>
        <w:pStyle w:val="7"/>
        <w:spacing w:beforeAutospacing="0" w:afterAutospacing="0"/>
        <w:jc w:val="center"/>
        <w:rPr>
          <w:highlight w:val="none"/>
        </w:rPr>
      </w:pPr>
      <w:r>
        <w:rPr>
          <w:highlight w:val="none"/>
        </w:rPr>
        <w:t> </w:t>
      </w:r>
    </w:p>
    <w:p w14:paraId="71BD0C14">
      <w:pPr>
        <w:pStyle w:val="7"/>
        <w:spacing w:beforeAutospacing="0" w:afterAutospacing="0"/>
        <w:jc w:val="center"/>
        <w:rPr>
          <w:highlight w:val="none"/>
        </w:rPr>
      </w:pPr>
      <w:r>
        <w:rPr>
          <w:highlight w:val="none"/>
        </w:rPr>
        <w:t> </w:t>
      </w:r>
    </w:p>
    <w:p w14:paraId="3D9F0FAE">
      <w:pPr>
        <w:pStyle w:val="7"/>
        <w:spacing w:beforeAutospacing="0" w:afterAutospacing="0"/>
        <w:jc w:val="center"/>
        <w:rPr>
          <w:highlight w:val="none"/>
        </w:rPr>
      </w:pPr>
    </w:p>
    <w:p w14:paraId="14CECC71">
      <w:pPr>
        <w:pStyle w:val="7"/>
        <w:spacing w:beforeAutospacing="0" w:afterAutospacing="0"/>
        <w:jc w:val="center"/>
        <w:rPr>
          <w:highlight w:val="none"/>
        </w:rPr>
      </w:pPr>
      <w:r>
        <w:rPr>
          <w:highlight w:val="none"/>
        </w:rPr>
        <w:t> </w:t>
      </w:r>
    </w:p>
    <w:p w14:paraId="6CF50948">
      <w:pPr>
        <w:pStyle w:val="7"/>
        <w:spacing w:beforeAutospacing="0" w:afterAutospacing="0"/>
        <w:jc w:val="center"/>
        <w:rPr>
          <w:highlight w:val="none"/>
        </w:rPr>
      </w:pPr>
      <w:r>
        <w:rPr>
          <w:highlight w:val="none"/>
        </w:rPr>
        <w:t> </w:t>
      </w:r>
    </w:p>
    <w:p w14:paraId="059E7B16">
      <w:pPr>
        <w:pStyle w:val="7"/>
        <w:spacing w:beforeAutospacing="0" w:afterAutospacing="0"/>
        <w:jc w:val="center"/>
        <w:rPr>
          <w:highlight w:val="none"/>
        </w:rPr>
      </w:pPr>
      <w:r>
        <w:rPr>
          <w:highlight w:val="none"/>
        </w:rPr>
        <w:t> </w:t>
      </w:r>
    </w:p>
    <w:p w14:paraId="47A79981">
      <w:pPr>
        <w:pStyle w:val="7"/>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p>
    <w:p w14:paraId="45010DBF">
      <w:pPr>
        <w:pStyle w:val="7"/>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7"/>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7"/>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7"/>
        <w:spacing w:beforeAutospacing="0" w:afterAutospacing="0" w:line="0" w:lineRule="atLeast"/>
        <w:jc w:val="center"/>
        <w:rPr>
          <w:highlight w:val="none"/>
        </w:rPr>
      </w:pPr>
      <w:r>
        <w:rPr>
          <w:highlight w:val="none"/>
        </w:rPr>
        <w:t> </w:t>
      </w:r>
    </w:p>
    <w:p w14:paraId="0004A50C">
      <w:pPr>
        <w:pStyle w:val="7"/>
        <w:spacing w:beforeAutospacing="0" w:afterAutospacing="0" w:line="0" w:lineRule="atLeast"/>
        <w:jc w:val="both"/>
        <w:rPr>
          <w:highlight w:val="none"/>
        </w:rPr>
      </w:pPr>
      <w:r>
        <w:rPr>
          <w:highlight w:val="none"/>
        </w:rPr>
        <w:t> </w:t>
      </w:r>
    </w:p>
    <w:p w14:paraId="79EF6E88">
      <w:pPr>
        <w:pStyle w:val="7"/>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7"/>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7"/>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7"/>
        <w:spacing w:beforeAutospacing="0" w:afterAutospacing="0" w:line="0" w:lineRule="atLeast"/>
        <w:jc w:val="center"/>
        <w:rPr>
          <w:rFonts w:ascii="宋体" w:hAnsi="宋体" w:eastAsia="宋体" w:cs="宋体"/>
          <w:b/>
          <w:color w:val="000000"/>
          <w:sz w:val="36"/>
          <w:szCs w:val="36"/>
          <w:highlight w:val="none"/>
          <w:u w:val="single"/>
        </w:rPr>
      </w:pPr>
    </w:p>
    <w:p w14:paraId="4F4FD738">
      <w:pPr>
        <w:pStyle w:val="7"/>
        <w:spacing w:beforeAutospacing="0" w:afterAutospacing="0" w:line="0" w:lineRule="atLeast"/>
        <w:jc w:val="center"/>
        <w:rPr>
          <w:rFonts w:ascii="宋体" w:hAnsi="宋体" w:eastAsia="宋体" w:cs="宋体"/>
          <w:b/>
          <w:color w:val="000000"/>
          <w:sz w:val="36"/>
          <w:szCs w:val="36"/>
          <w:highlight w:val="none"/>
          <w:u w:val="single"/>
        </w:rPr>
      </w:pPr>
    </w:p>
    <w:p w14:paraId="24537143">
      <w:pPr>
        <w:pStyle w:val="7"/>
        <w:spacing w:beforeAutospacing="0" w:afterAutospacing="0" w:line="0" w:lineRule="atLeast"/>
        <w:jc w:val="center"/>
        <w:rPr>
          <w:rFonts w:ascii="宋体" w:hAnsi="宋体" w:eastAsia="宋体" w:cs="宋体"/>
          <w:b/>
          <w:color w:val="000000"/>
          <w:sz w:val="36"/>
          <w:szCs w:val="36"/>
          <w:highlight w:val="none"/>
          <w:u w:val="single"/>
        </w:rPr>
      </w:pPr>
    </w:p>
    <w:p w14:paraId="6D5EFAD9">
      <w:pPr>
        <w:pStyle w:val="7"/>
        <w:spacing w:beforeAutospacing="0" w:afterAutospacing="0" w:line="0" w:lineRule="atLeast"/>
        <w:jc w:val="center"/>
        <w:rPr>
          <w:rFonts w:ascii="宋体" w:hAnsi="宋体" w:eastAsia="宋体" w:cs="宋体"/>
          <w:b/>
          <w:color w:val="000000"/>
          <w:sz w:val="36"/>
          <w:szCs w:val="36"/>
          <w:highlight w:val="none"/>
          <w:u w:val="single"/>
        </w:rPr>
      </w:pPr>
    </w:p>
    <w:p w14:paraId="508E2E8E">
      <w:pPr>
        <w:pStyle w:val="7"/>
        <w:spacing w:beforeAutospacing="0" w:afterAutospacing="0" w:line="0" w:lineRule="atLeast"/>
        <w:jc w:val="center"/>
        <w:rPr>
          <w:rFonts w:ascii="宋体" w:hAnsi="宋体" w:eastAsia="宋体" w:cs="宋体"/>
          <w:b/>
          <w:color w:val="000000"/>
          <w:sz w:val="36"/>
          <w:szCs w:val="36"/>
          <w:highlight w:val="none"/>
          <w:u w:val="single"/>
        </w:rPr>
      </w:pPr>
    </w:p>
    <w:p w14:paraId="6EAA78E2">
      <w:pPr>
        <w:pStyle w:val="7"/>
        <w:spacing w:beforeAutospacing="0" w:afterAutospacing="0" w:line="0" w:lineRule="atLeast"/>
        <w:jc w:val="center"/>
        <w:rPr>
          <w:rFonts w:ascii="宋体" w:hAnsi="宋体" w:eastAsia="宋体" w:cs="宋体"/>
          <w:b/>
          <w:color w:val="000000"/>
          <w:sz w:val="36"/>
          <w:szCs w:val="36"/>
          <w:highlight w:val="none"/>
          <w:u w:val="single"/>
        </w:rPr>
      </w:pPr>
    </w:p>
    <w:p w14:paraId="25F9088A">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r>
    </w:p>
    <w:p w14:paraId="06EE6D93">
      <w:pPr>
        <w:pStyle w:val="7"/>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7"/>
        <w:spacing w:beforeAutospacing="0" w:afterAutospacing="0" w:line="0" w:lineRule="atLeast"/>
        <w:jc w:val="center"/>
        <w:rPr>
          <w:highlight w:val="none"/>
        </w:rPr>
      </w:pPr>
      <w:r>
        <w:rPr>
          <w:highlight w:val="none"/>
        </w:rPr>
        <w:t> </w:t>
      </w:r>
    </w:p>
    <w:p w14:paraId="5713C76E">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0C60B884">
      <w:pPr>
        <w:keepNext w:val="0"/>
        <w:keepLines w:val="0"/>
        <w:pageBreakBefore w:val="0"/>
        <w:widowControl w:val="0"/>
        <w:tabs>
          <w:tab w:val="left" w:pos="1331"/>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二、上一年度或上上年度的财务状况报告（至少提供资产负债表、利润表、现金流量表，投标人成立不满一年无需提供）</w:t>
      </w:r>
    </w:p>
    <w:p w14:paraId="42ACAE88">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、具备履行合同所必需的设备和专业技术能力的书面声明</w:t>
      </w:r>
    </w:p>
    <w:p w14:paraId="3F988CBE">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12B7061A">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六、投标人如委托被授权人参与，则被授权人须为本单位正式职工并提供投标人近期为被授权人缴纳的社会养老保险证明</w:t>
      </w:r>
    </w:p>
    <w:p w14:paraId="6F623E75">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七、投标人为经营型企业须提供行业主管部门颁发的《食品流通许可证》或《食品经营许可证》，若为生产型企业还须提供《食品生产许可证》，许可证均在有效期内。</w:t>
      </w:r>
    </w:p>
    <w:p w14:paraId="3E3E3867">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八</w:t>
      </w:r>
      <w:r>
        <w:rPr>
          <w:rFonts w:hint="eastAsia" w:ascii="宋体" w:hAnsi="宋体" w:eastAsia="宋体" w:cs="宋体"/>
          <w:i w:val="0"/>
          <w:iCs/>
          <w:color w:val="000000"/>
          <w:highlight w:val="none"/>
          <w:u w:val="none"/>
        </w:rPr>
        <w:t>、法人授权书</w:t>
      </w:r>
    </w:p>
    <w:p w14:paraId="3BDE6B94">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九</w:t>
      </w:r>
      <w:r>
        <w:rPr>
          <w:rFonts w:hint="eastAsia" w:ascii="宋体" w:hAnsi="宋体" w:eastAsia="宋体" w:cs="宋体"/>
          <w:i w:val="0"/>
          <w:iCs/>
          <w:color w:val="000000"/>
          <w:highlight w:val="none"/>
          <w:u w:val="none"/>
        </w:rPr>
        <w:t>、投标函</w:t>
      </w:r>
    </w:p>
    <w:p w14:paraId="5FEA8D1E">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十</w:t>
      </w:r>
      <w:r>
        <w:rPr>
          <w:rFonts w:hint="eastAsia" w:ascii="宋体" w:hAnsi="宋体" w:eastAsia="宋体" w:cs="宋体"/>
          <w:i w:val="0"/>
          <w:iCs/>
          <w:color w:val="000000"/>
          <w:highlight w:val="none"/>
          <w:u w:val="none"/>
        </w:rPr>
        <w:t>、</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4D58AB9A">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一</w:t>
      </w:r>
      <w:r>
        <w:rPr>
          <w:rFonts w:hint="eastAsia" w:ascii="宋体" w:hAnsi="宋体" w:eastAsia="宋体" w:cs="宋体"/>
          <w:i w:val="0"/>
          <w:iCs/>
          <w:color w:val="000000"/>
          <w:highlight w:val="none"/>
          <w:u w:val="none"/>
        </w:rPr>
        <w:t>、残疾人福利性单位声明函</w:t>
      </w:r>
      <w:r>
        <w:rPr>
          <w:rFonts w:hint="eastAsia" w:ascii="宋体" w:hAnsi="宋体" w:eastAsia="宋体" w:cs="宋体"/>
          <w:i w:val="0"/>
          <w:iCs/>
          <w:color w:val="000000"/>
          <w:highlight w:val="none"/>
          <w:u w:val="none"/>
          <w:lang w:eastAsia="zh-CN"/>
        </w:rPr>
        <w:t>（</w:t>
      </w:r>
      <w:r>
        <w:rPr>
          <w:rFonts w:hint="eastAsia" w:ascii="宋体" w:hAnsi="宋体" w:eastAsia="宋体" w:cs="宋体"/>
          <w:i w:val="0"/>
          <w:iCs/>
          <w:color w:val="000000"/>
          <w:highlight w:val="none"/>
          <w:u w:val="none"/>
          <w:lang w:val="en-US" w:eastAsia="zh-CN"/>
        </w:rPr>
        <w:t>如有</w:t>
      </w:r>
      <w:r>
        <w:rPr>
          <w:rFonts w:hint="eastAsia" w:ascii="宋体" w:hAnsi="宋体" w:eastAsia="宋体" w:cs="宋体"/>
          <w:i w:val="0"/>
          <w:iCs/>
          <w:color w:val="000000"/>
          <w:highlight w:val="none"/>
          <w:u w:val="none"/>
          <w:lang w:eastAsia="zh-CN"/>
        </w:rPr>
        <w:t>）</w:t>
      </w:r>
    </w:p>
    <w:p w14:paraId="138E25DE">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、盐城市政府采购事前信用承诺书</w:t>
      </w:r>
    </w:p>
    <w:p w14:paraId="0596D65F">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十三、</w:t>
      </w:r>
      <w:r>
        <w:rPr>
          <w:rFonts w:hint="eastAsia" w:ascii="宋体" w:hAnsi="宋体" w:eastAsia="宋体" w:cs="宋体"/>
          <w:i w:val="0"/>
          <w:iCs/>
          <w:color w:val="000000"/>
          <w:highlight w:val="none"/>
          <w:u w:val="none"/>
        </w:rPr>
        <w:t>与评审有关的其他资料</w:t>
      </w:r>
    </w:p>
    <w:p w14:paraId="2B4328CE">
      <w:pPr>
        <w:pStyle w:val="7"/>
        <w:spacing w:beforeAutospacing="0" w:afterAutospacing="0" w:line="0" w:lineRule="atLeast"/>
        <w:ind w:firstLine="480"/>
        <w:jc w:val="both"/>
        <w:rPr>
          <w:rFonts w:ascii="宋体" w:hAnsi="宋体" w:eastAsia="宋体" w:cs="宋体"/>
          <w:color w:val="000000"/>
          <w:highlight w:val="none"/>
        </w:rPr>
      </w:pPr>
    </w:p>
    <w:p w14:paraId="77C0513D">
      <w:pPr>
        <w:pStyle w:val="7"/>
        <w:spacing w:beforeAutospacing="0" w:afterAutospacing="0" w:line="0" w:lineRule="atLeast"/>
        <w:ind w:firstLine="480"/>
        <w:jc w:val="both"/>
        <w:rPr>
          <w:rFonts w:ascii="宋体" w:hAnsi="宋体" w:eastAsia="宋体" w:cs="宋体"/>
          <w:color w:val="000000"/>
          <w:highlight w:val="none"/>
        </w:rPr>
      </w:pPr>
    </w:p>
    <w:p w14:paraId="28A2EEB9">
      <w:pPr>
        <w:pStyle w:val="7"/>
        <w:spacing w:beforeAutospacing="0" w:afterAutospacing="0" w:line="0" w:lineRule="atLeast"/>
        <w:ind w:firstLine="480"/>
        <w:jc w:val="both"/>
        <w:rPr>
          <w:highlight w:val="none"/>
        </w:rPr>
      </w:pPr>
      <w:r>
        <w:rPr>
          <w:highlight w:val="none"/>
        </w:rPr>
        <w:t> </w:t>
      </w:r>
    </w:p>
    <w:p w14:paraId="400734C6">
      <w:pPr>
        <w:pStyle w:val="7"/>
        <w:spacing w:beforeAutospacing="0" w:afterAutospacing="0" w:line="0" w:lineRule="atLeast"/>
        <w:ind w:firstLine="480"/>
        <w:jc w:val="both"/>
        <w:rPr>
          <w:highlight w:val="none"/>
        </w:rPr>
      </w:pPr>
      <w:r>
        <w:rPr>
          <w:highlight w:val="none"/>
        </w:rPr>
        <w:t> </w:t>
      </w:r>
    </w:p>
    <w:p w14:paraId="41206A44">
      <w:pPr>
        <w:pStyle w:val="7"/>
        <w:spacing w:beforeAutospacing="0" w:afterAutospacing="0" w:line="0" w:lineRule="atLeast"/>
        <w:ind w:firstLine="480"/>
        <w:jc w:val="both"/>
        <w:rPr>
          <w:highlight w:val="none"/>
        </w:rPr>
      </w:pPr>
      <w:r>
        <w:rPr>
          <w:highlight w:val="none"/>
        </w:rPr>
        <w:t> </w:t>
      </w:r>
    </w:p>
    <w:p w14:paraId="7E08E7EC">
      <w:pPr>
        <w:pStyle w:val="7"/>
        <w:spacing w:beforeAutospacing="0" w:afterAutospacing="0" w:line="0" w:lineRule="atLeast"/>
        <w:ind w:firstLine="480"/>
        <w:jc w:val="both"/>
        <w:rPr>
          <w:highlight w:val="none"/>
        </w:rPr>
      </w:pPr>
      <w:r>
        <w:rPr>
          <w:highlight w:val="none"/>
        </w:rPr>
        <w:t> </w:t>
      </w:r>
    </w:p>
    <w:p w14:paraId="22FD2207">
      <w:pPr>
        <w:pStyle w:val="7"/>
        <w:spacing w:beforeAutospacing="0" w:afterAutospacing="0" w:line="0" w:lineRule="atLeast"/>
        <w:ind w:firstLine="480"/>
        <w:jc w:val="both"/>
        <w:rPr>
          <w:highlight w:val="none"/>
        </w:rPr>
      </w:pPr>
    </w:p>
    <w:p w14:paraId="5C7EF343">
      <w:pPr>
        <w:pStyle w:val="7"/>
        <w:spacing w:beforeAutospacing="0" w:afterAutospacing="0" w:line="0" w:lineRule="atLeast"/>
        <w:ind w:firstLine="480"/>
        <w:jc w:val="both"/>
        <w:rPr>
          <w:highlight w:val="none"/>
        </w:rPr>
      </w:pPr>
    </w:p>
    <w:p w14:paraId="36B01A60">
      <w:pPr>
        <w:pStyle w:val="7"/>
        <w:spacing w:beforeAutospacing="0" w:afterAutospacing="0" w:line="0" w:lineRule="atLeast"/>
        <w:ind w:firstLine="480"/>
        <w:jc w:val="both"/>
        <w:rPr>
          <w:highlight w:val="none"/>
        </w:rPr>
      </w:pPr>
    </w:p>
    <w:p w14:paraId="02254F24">
      <w:pPr>
        <w:pStyle w:val="7"/>
        <w:spacing w:beforeAutospacing="0" w:afterAutospacing="0" w:line="0" w:lineRule="atLeast"/>
        <w:ind w:firstLine="480"/>
        <w:jc w:val="both"/>
        <w:rPr>
          <w:highlight w:val="none"/>
        </w:rPr>
      </w:pPr>
    </w:p>
    <w:p w14:paraId="4AB0D669">
      <w:pPr>
        <w:pStyle w:val="7"/>
        <w:spacing w:beforeAutospacing="0" w:afterAutospacing="0" w:line="0" w:lineRule="atLeast"/>
        <w:ind w:firstLine="480"/>
        <w:jc w:val="both"/>
        <w:rPr>
          <w:highlight w:val="none"/>
        </w:rPr>
      </w:pPr>
    </w:p>
    <w:p w14:paraId="083788F3">
      <w:pPr>
        <w:pStyle w:val="7"/>
        <w:spacing w:beforeAutospacing="0" w:afterAutospacing="0" w:line="0" w:lineRule="atLeast"/>
        <w:ind w:firstLine="480"/>
        <w:jc w:val="both"/>
        <w:rPr>
          <w:highlight w:val="none"/>
        </w:rPr>
      </w:pPr>
    </w:p>
    <w:p w14:paraId="1EC8B59E">
      <w:pPr>
        <w:pStyle w:val="7"/>
        <w:spacing w:beforeAutospacing="0" w:afterAutospacing="0" w:line="0" w:lineRule="atLeast"/>
        <w:ind w:firstLine="480"/>
        <w:jc w:val="both"/>
        <w:rPr>
          <w:highlight w:val="none"/>
        </w:rPr>
      </w:pPr>
    </w:p>
    <w:p w14:paraId="02056A74">
      <w:pPr>
        <w:pStyle w:val="7"/>
        <w:spacing w:beforeAutospacing="0" w:afterAutospacing="0" w:line="0" w:lineRule="atLeast"/>
        <w:ind w:firstLine="480"/>
        <w:jc w:val="both"/>
        <w:rPr>
          <w:highlight w:val="none"/>
        </w:rPr>
      </w:pPr>
    </w:p>
    <w:p w14:paraId="220C742C">
      <w:pPr>
        <w:pStyle w:val="7"/>
        <w:spacing w:beforeAutospacing="0" w:afterAutospacing="0" w:line="0" w:lineRule="atLeast"/>
        <w:ind w:firstLine="480"/>
        <w:jc w:val="both"/>
        <w:rPr>
          <w:highlight w:val="none"/>
        </w:rPr>
      </w:pPr>
    </w:p>
    <w:p w14:paraId="19D49FFD">
      <w:pPr>
        <w:pStyle w:val="7"/>
        <w:spacing w:beforeAutospacing="0" w:afterAutospacing="0" w:line="0" w:lineRule="atLeast"/>
        <w:ind w:firstLine="480"/>
        <w:jc w:val="both"/>
        <w:rPr>
          <w:highlight w:val="none"/>
        </w:rPr>
      </w:pPr>
    </w:p>
    <w:p w14:paraId="5593769B">
      <w:pPr>
        <w:pStyle w:val="7"/>
        <w:spacing w:beforeAutospacing="0" w:afterAutospacing="0" w:line="0" w:lineRule="atLeast"/>
        <w:ind w:firstLine="480"/>
        <w:jc w:val="both"/>
        <w:rPr>
          <w:highlight w:val="none"/>
        </w:rPr>
      </w:pPr>
    </w:p>
    <w:p w14:paraId="16560884">
      <w:pPr>
        <w:pStyle w:val="7"/>
        <w:spacing w:beforeAutospacing="0" w:afterAutospacing="0" w:line="0" w:lineRule="atLeast"/>
        <w:jc w:val="both"/>
        <w:rPr>
          <w:rFonts w:hint="eastAsia" w:ascii="黑体" w:hAnsi="Calibri" w:eastAsia="黑体" w:cs="Times New Roman"/>
          <w:b/>
          <w:bCs/>
          <w:kern w:val="2"/>
          <w:sz w:val="32"/>
          <w:szCs w:val="32"/>
          <w:lang w:val="en-US" w:eastAsia="zh-CN" w:bidi="ar-SA"/>
        </w:rPr>
      </w:pPr>
      <w:bookmarkStart w:id="189" w:name="_Hlt26955070"/>
      <w:bookmarkStart w:id="190" w:name="_Hlt26671380"/>
      <w:bookmarkStart w:id="191" w:name="_格式3__银行出具的资信证明"/>
      <w:r>
        <w:rPr>
          <w:rFonts w:hint="eastAsia" w:ascii="黑体" w:hAnsi="Calibri" w:eastAsia="黑体" w:cs="Times New Roman"/>
          <w:b/>
          <w:bCs/>
          <w:kern w:val="2"/>
          <w:sz w:val="32"/>
          <w:szCs w:val="32"/>
          <w:lang w:val="en-US" w:eastAsia="zh-CN" w:bidi="ar-SA"/>
        </w:rPr>
        <w:t>一、法人或者其他组织的营业执照等证明文件，自然人的身份证明</w:t>
      </w:r>
    </w:p>
    <w:p w14:paraId="1AFDDE46">
      <w:pPr>
        <w:pStyle w:val="7"/>
        <w:spacing w:beforeAutospacing="0" w:afterAutospacing="0" w:line="0" w:lineRule="atLeast"/>
        <w:ind w:firstLine="480"/>
        <w:jc w:val="both"/>
        <w:rPr>
          <w:highlight w:val="none"/>
        </w:rPr>
      </w:pPr>
      <w:r>
        <w:rPr>
          <w:highlight w:val="none"/>
        </w:rPr>
        <w:t> </w:t>
      </w:r>
    </w:p>
    <w:p w14:paraId="17283012">
      <w:pPr>
        <w:pStyle w:val="7"/>
        <w:spacing w:beforeAutospacing="0" w:afterAutospacing="0"/>
        <w:jc w:val="both"/>
        <w:rPr>
          <w:rFonts w:hint="eastAsia" w:ascii="黑体" w:hAnsi="Calibri" w:eastAsia="黑体" w:cs="Times New Roman"/>
          <w:b/>
          <w:bCs/>
          <w:kern w:val="2"/>
          <w:sz w:val="32"/>
          <w:szCs w:val="32"/>
          <w:lang w:val="en-US" w:eastAsia="zh-CN" w:bidi="ar-SA"/>
        </w:rPr>
      </w:pPr>
    </w:p>
    <w:p w14:paraId="60BACE65">
      <w:pPr>
        <w:pStyle w:val="7"/>
        <w:spacing w:beforeAutospacing="0" w:afterAutospacing="0"/>
        <w:jc w:val="both"/>
        <w:rPr>
          <w:rFonts w:hint="eastAsia" w:ascii="黑体" w:hAnsi="Calibri" w:eastAsia="黑体" w:cs="Times New Roman"/>
          <w:b/>
          <w:bCs/>
          <w:kern w:val="2"/>
          <w:sz w:val="32"/>
          <w:szCs w:val="32"/>
          <w:lang w:val="en-US" w:eastAsia="zh-CN" w:bidi="ar-SA"/>
        </w:rPr>
      </w:pPr>
    </w:p>
    <w:p w14:paraId="4E1A98CC">
      <w:pPr>
        <w:pStyle w:val="7"/>
        <w:spacing w:beforeAutospacing="0" w:afterAutospacing="0"/>
        <w:jc w:val="both"/>
        <w:rPr>
          <w:rFonts w:hint="eastAsia" w:eastAsia="黑体"/>
          <w:highlight w:val="none"/>
          <w:lang w:val="en-US" w:eastAsia="zh-CN"/>
        </w:rPr>
      </w:pPr>
      <w:r>
        <w:rPr>
          <w:rFonts w:hint="eastAsia" w:ascii="黑体" w:hAnsi="Calibri" w:eastAsia="黑体" w:cs="Times New Roman"/>
          <w:b/>
          <w:bCs/>
          <w:kern w:val="2"/>
          <w:sz w:val="32"/>
          <w:szCs w:val="32"/>
          <w:lang w:val="en-US" w:eastAsia="zh-CN" w:bidi="ar-SA"/>
        </w:rPr>
        <w:t>二、</w:t>
      </w:r>
      <w:r>
        <w:rPr>
          <w:rFonts w:hint="eastAsia" w:ascii="黑体" w:eastAsia="黑体" w:cs="Times New Roman"/>
          <w:b/>
          <w:bCs/>
          <w:kern w:val="2"/>
          <w:sz w:val="32"/>
          <w:szCs w:val="32"/>
          <w:lang w:val="en-US" w:eastAsia="zh-CN" w:bidi="ar-SA"/>
        </w:rPr>
        <w:t>上一年度或上上年度的财务状况报告</w:t>
      </w:r>
    </w:p>
    <w:p w14:paraId="156D44E8">
      <w:pPr>
        <w:tabs>
          <w:tab w:val="left" w:pos="1331"/>
        </w:tabs>
        <w:bidi w:val="0"/>
        <w:ind w:firstLine="480" w:firstLineChars="200"/>
        <w:jc w:val="left"/>
        <w:rPr>
          <w:i w:val="0"/>
          <w:iCs/>
          <w:highlight w:val="none"/>
          <w:u w:val="none"/>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w:t>
      </w:r>
      <w:r>
        <w:rPr>
          <w:rFonts w:hint="eastAsia" w:ascii="宋体" w:hAnsi="宋体" w:eastAsia="宋体" w:cs="宋体"/>
          <w:i w:val="0"/>
          <w:iCs/>
          <w:color w:val="000000"/>
          <w:highlight w:val="none"/>
          <w:u w:val="none"/>
        </w:rPr>
        <w:t>投标人成立不满一年无需提供）</w:t>
      </w:r>
    </w:p>
    <w:p w14:paraId="7AFE24D6">
      <w:pPr>
        <w:pStyle w:val="7"/>
        <w:spacing w:beforeAutospacing="0" w:afterAutospacing="0"/>
        <w:jc w:val="both"/>
        <w:rPr>
          <w:highlight w:val="none"/>
        </w:rPr>
      </w:pPr>
      <w:r>
        <w:rPr>
          <w:highlight w:val="none"/>
        </w:rPr>
        <w:t> </w:t>
      </w:r>
    </w:p>
    <w:p w14:paraId="3C4021A9">
      <w:pPr>
        <w:jc w:val="center"/>
        <w:rPr>
          <w:rFonts w:hint="eastAsia" w:ascii="黑体" w:hAnsi="Times New Roman" w:eastAsia="黑体" w:cs="Times New Roman"/>
          <w:b/>
          <w:bCs/>
          <w:sz w:val="32"/>
          <w:szCs w:val="32"/>
          <w:lang w:val="en-US" w:eastAsia="zh-CN"/>
        </w:rPr>
      </w:pPr>
    </w:p>
    <w:p w14:paraId="15052948">
      <w:pPr>
        <w:jc w:val="center"/>
        <w:rPr>
          <w:rFonts w:hint="eastAsia" w:ascii="黑体" w:hAnsi="Times New Roman" w:eastAsia="黑体" w:cs="Times New Roman"/>
          <w:b/>
          <w:bCs/>
          <w:sz w:val="32"/>
          <w:szCs w:val="32"/>
          <w:lang w:val="en-US" w:eastAsia="zh-CN"/>
        </w:rPr>
      </w:pPr>
    </w:p>
    <w:p w14:paraId="0E20FC62">
      <w:pPr>
        <w:jc w:val="center"/>
        <w:rPr>
          <w:rFonts w:hint="eastAsia" w:ascii="黑体" w:eastAsia="黑体"/>
          <w:b/>
          <w:bCs/>
          <w:sz w:val="32"/>
          <w:szCs w:val="32"/>
          <w:highlight w:val="none"/>
        </w:rPr>
      </w:pPr>
      <w:r>
        <w:rPr>
          <w:rFonts w:hint="eastAsia" w:ascii="黑体" w:hAnsi="Times New Roman" w:eastAsia="黑体" w:cs="Times New Roman"/>
          <w:b/>
          <w:bCs/>
          <w:sz w:val="32"/>
          <w:szCs w:val="32"/>
          <w:lang w:val="en-US" w:eastAsia="zh-CN"/>
        </w:rPr>
        <w:t>三、</w:t>
      </w:r>
      <w:r>
        <w:rPr>
          <w:rFonts w:hint="eastAsia" w:ascii="黑体" w:hAnsi="Times New Roman" w:eastAsia="黑体" w:cs="Times New Roman"/>
          <w:b/>
          <w:bCs/>
          <w:sz w:val="32"/>
          <w:szCs w:val="32"/>
        </w:rPr>
        <w:t>具有履</w:t>
      </w:r>
      <w:r>
        <w:rPr>
          <w:rFonts w:hint="eastAsia" w:ascii="黑体" w:eastAsia="黑体"/>
          <w:b/>
          <w:bCs/>
          <w:sz w:val="32"/>
          <w:szCs w:val="32"/>
        </w:rPr>
        <w:t>行合同所必需的设备和专业技术能力的书面声明</w:t>
      </w:r>
    </w:p>
    <w:p w14:paraId="2CFDA454">
      <w:pPr>
        <w:rPr>
          <w:rFonts w:ascii="仿宋_GB2312" w:eastAsia="仿宋_GB2312"/>
        </w:rPr>
      </w:pPr>
    </w:p>
    <w:p w14:paraId="106C5B1C">
      <w:pPr>
        <w:spacing w:line="600" w:lineRule="exact"/>
        <w:ind w:firstLine="480"/>
        <w:rPr>
          <w:rFonts w:ascii="宋体" w:hAnsi="宋体" w:eastAsia="宋体" w:cs="宋体"/>
          <w:sz w:val="24"/>
          <w:szCs w:val="24"/>
        </w:rPr>
      </w:pPr>
      <w:r>
        <w:rPr>
          <w:rFonts w:hint="eastAsia" w:ascii="宋体" w:hAnsi="宋体" w:eastAsia="宋体" w:cs="宋体"/>
          <w:sz w:val="24"/>
          <w:szCs w:val="24"/>
        </w:rPr>
        <w:t>我单位郑重声明：我单位具备履行本项采购合同所必需的设备和专业技术能力，为履行本项采购合同我公司具备如下主要设备和主要专业技术能力：</w:t>
      </w:r>
    </w:p>
    <w:p w14:paraId="08BDADDA">
      <w:pPr>
        <w:spacing w:line="600" w:lineRule="exact"/>
        <w:ind w:firstLine="480"/>
        <w:rPr>
          <w:rFonts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FAB0145">
      <w:pPr>
        <w:spacing w:line="600" w:lineRule="exact"/>
        <w:ind w:firstLine="480"/>
        <w:rPr>
          <w:rFonts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E537179">
      <w:pPr>
        <w:spacing w:line="600" w:lineRule="exact"/>
        <w:ind w:firstLine="461"/>
        <w:rPr>
          <w:rFonts w:ascii="宋体" w:hAnsi="宋体" w:eastAsia="宋体" w:cs="宋体"/>
          <w:sz w:val="24"/>
          <w:szCs w:val="24"/>
        </w:rPr>
      </w:pPr>
    </w:p>
    <w:p w14:paraId="18F3A896">
      <w:pPr>
        <w:spacing w:line="600" w:lineRule="exact"/>
        <w:ind w:firstLine="461"/>
        <w:rPr>
          <w:rFonts w:ascii="宋体" w:hAnsi="宋体" w:eastAsia="宋体" w:cs="宋体"/>
          <w:sz w:val="24"/>
          <w:szCs w:val="24"/>
        </w:rPr>
      </w:pPr>
      <w:r>
        <w:rPr>
          <w:rFonts w:hint="eastAsia" w:ascii="宋体" w:hAnsi="宋体" w:eastAsia="宋体" w:cs="宋体"/>
          <w:sz w:val="24"/>
          <w:szCs w:val="24"/>
        </w:rPr>
        <w:t xml:space="preserve">          </w:t>
      </w:r>
    </w:p>
    <w:p w14:paraId="049EF532">
      <w:pPr>
        <w:spacing w:line="600" w:lineRule="exact"/>
        <w:ind w:firstLine="2880"/>
        <w:rPr>
          <w:rFonts w:ascii="宋体" w:hAnsi="宋体" w:eastAsia="宋体" w:cs="宋体"/>
          <w:sz w:val="24"/>
          <w:szCs w:val="24"/>
        </w:rPr>
      </w:pPr>
      <w:r>
        <w:rPr>
          <w:rFonts w:hint="eastAsia" w:ascii="宋体" w:hAnsi="宋体" w:eastAsia="宋体" w:cs="宋体"/>
          <w:sz w:val="24"/>
          <w:szCs w:val="24"/>
        </w:rPr>
        <w:t>企业名称（加盖CA电子公章）：</w:t>
      </w:r>
    </w:p>
    <w:p w14:paraId="7B0AF221">
      <w:pPr>
        <w:spacing w:line="600" w:lineRule="exact"/>
        <w:ind w:firstLine="1680"/>
        <w:rPr>
          <w:rFonts w:ascii="宋体" w:hAnsi="宋体" w:eastAsia="宋体" w:cs="宋体"/>
          <w:sz w:val="24"/>
          <w:szCs w:val="24"/>
        </w:rPr>
      </w:pPr>
      <w:r>
        <w:rPr>
          <w:rFonts w:hint="eastAsia" w:ascii="宋体" w:hAnsi="宋体" w:eastAsia="宋体" w:cs="宋体"/>
          <w:sz w:val="24"/>
          <w:szCs w:val="24"/>
        </w:rPr>
        <w:t xml:space="preserve"> </w:t>
      </w:r>
    </w:p>
    <w:p w14:paraId="451C60F0">
      <w:pPr>
        <w:pStyle w:val="7"/>
        <w:spacing w:beforeAutospacing="0" w:afterAutospacing="0"/>
        <w:ind w:firstLine="5520" w:firstLineChars="2300"/>
        <w:jc w:val="both"/>
        <w:rPr>
          <w:rFonts w:hint="eastAsia" w:ascii="宋体" w:hAnsi="宋体" w:eastAsia="宋体" w:cs="宋体"/>
          <w:color w:val="000000"/>
          <w:highlight w:val="none"/>
        </w:rPr>
      </w:pP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9F58462">
      <w:pPr>
        <w:pStyle w:val="7"/>
        <w:spacing w:beforeAutospacing="0" w:afterAutospacing="0"/>
        <w:jc w:val="both"/>
        <w:rPr>
          <w:rFonts w:hint="eastAsia" w:ascii="黑体" w:hAnsi="宋体" w:eastAsia="黑体" w:cs="黑体"/>
          <w:i/>
          <w:color w:val="000000"/>
          <w:sz w:val="32"/>
          <w:szCs w:val="32"/>
          <w:highlight w:val="none"/>
          <w:u w:val="single"/>
          <w:lang w:val="en-US" w:eastAsia="zh-CN"/>
        </w:rPr>
      </w:pPr>
    </w:p>
    <w:p w14:paraId="0F811335">
      <w:pPr>
        <w:pStyle w:val="7"/>
        <w:spacing w:beforeAutospacing="0" w:afterAutospacing="0"/>
        <w:jc w:val="both"/>
        <w:rPr>
          <w:rFonts w:hint="eastAsia" w:ascii="黑体" w:hAnsi="宋体" w:eastAsia="黑体" w:cs="黑体"/>
          <w:i/>
          <w:color w:val="000000"/>
          <w:sz w:val="32"/>
          <w:szCs w:val="32"/>
          <w:highlight w:val="none"/>
          <w:u w:val="single"/>
          <w:lang w:val="en-US" w:eastAsia="zh-CN"/>
        </w:rPr>
      </w:pPr>
    </w:p>
    <w:p w14:paraId="562B27E9">
      <w:pPr>
        <w:pStyle w:val="7"/>
        <w:spacing w:beforeAutospacing="0" w:afterAutospacing="0"/>
        <w:jc w:val="both"/>
        <w:rPr>
          <w:rFonts w:hint="eastAsia" w:ascii="黑体" w:hAnsi="宋体" w:eastAsia="黑体" w:cs="黑体"/>
          <w:i/>
          <w:color w:val="000000"/>
          <w:sz w:val="32"/>
          <w:szCs w:val="32"/>
          <w:highlight w:val="none"/>
          <w:u w:val="single"/>
          <w:lang w:val="en-US" w:eastAsia="zh-CN"/>
        </w:rPr>
      </w:pPr>
    </w:p>
    <w:p w14:paraId="12EF7C56">
      <w:pPr>
        <w:pStyle w:val="7"/>
        <w:spacing w:beforeAutospacing="0" w:afterAutospacing="0"/>
        <w:jc w:val="both"/>
        <w:rPr>
          <w:rFonts w:hint="eastAsia" w:ascii="黑体" w:hAnsi="Calibri" w:eastAsia="黑体" w:cs="Times New Roman"/>
          <w:b/>
          <w:bCs/>
          <w:kern w:val="2"/>
          <w:sz w:val="32"/>
          <w:szCs w:val="32"/>
          <w:lang w:val="en-US" w:eastAsia="zh-CN" w:bidi="ar-SA"/>
        </w:rPr>
      </w:pPr>
    </w:p>
    <w:p w14:paraId="5AA49959">
      <w:pPr>
        <w:pStyle w:val="7"/>
        <w:spacing w:beforeAutospacing="0" w:afterAutospacing="0"/>
        <w:jc w:val="both"/>
        <w:rPr>
          <w:rFonts w:hint="eastAsia" w:ascii="黑体" w:hAnsi="Calibri" w:eastAsia="黑体" w:cs="Times New Roman"/>
          <w:b/>
          <w:bCs/>
          <w:kern w:val="2"/>
          <w:sz w:val="32"/>
          <w:szCs w:val="32"/>
          <w:lang w:val="en-US" w:eastAsia="zh-CN" w:bidi="ar-SA"/>
        </w:rPr>
      </w:pPr>
    </w:p>
    <w:p w14:paraId="198DD328">
      <w:pPr>
        <w:pStyle w:val="7"/>
        <w:spacing w:beforeAutospacing="0" w:afterAutospacing="0"/>
        <w:jc w:val="both"/>
        <w:rPr>
          <w:rFonts w:hint="eastAsia" w:ascii="黑体" w:hAnsi="Calibri" w:eastAsia="黑体" w:cs="Times New Roman"/>
          <w:b/>
          <w:bCs/>
          <w:kern w:val="2"/>
          <w:sz w:val="32"/>
          <w:szCs w:val="32"/>
          <w:lang w:val="en-US" w:eastAsia="zh-CN" w:bidi="ar-SA"/>
        </w:rPr>
      </w:pPr>
      <w:r>
        <w:rPr>
          <w:rFonts w:hint="eastAsia" w:ascii="黑体" w:hAnsi="Calibri" w:eastAsia="黑体" w:cs="Times New Roman"/>
          <w:b/>
          <w:bCs/>
          <w:kern w:val="2"/>
          <w:sz w:val="32"/>
          <w:szCs w:val="32"/>
          <w:lang w:val="en-US" w:eastAsia="zh-CN" w:bidi="ar-SA"/>
        </w:rPr>
        <w:t>四、依法缴纳税收和社会保障资金的相关材料</w:t>
      </w:r>
    </w:p>
    <w:p w14:paraId="2AB0C20E">
      <w:pPr>
        <w:pStyle w:val="7"/>
        <w:spacing w:beforeAutospacing="0" w:afterAutospacing="0"/>
        <w:ind w:firstLine="480"/>
        <w:jc w:val="both"/>
        <w:rPr>
          <w:highlight w:val="none"/>
        </w:rPr>
      </w:pPr>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p>
    <w:p w14:paraId="31C8E3EF">
      <w:pPr>
        <w:pStyle w:val="7"/>
        <w:spacing w:beforeAutospacing="0" w:afterAutospacing="0"/>
        <w:jc w:val="both"/>
        <w:rPr>
          <w:highlight w:val="none"/>
        </w:rPr>
      </w:pPr>
      <w:r>
        <w:rPr>
          <w:highlight w:val="none"/>
        </w:rPr>
        <w:t> </w:t>
      </w:r>
    </w:p>
    <w:p w14:paraId="21079B25">
      <w:pPr>
        <w:spacing w:line="600" w:lineRule="exact"/>
        <w:jc w:val="center"/>
        <w:rPr>
          <w:rFonts w:hint="eastAsia" w:ascii="黑体" w:eastAsia="黑体" w:cs="Times New Roman"/>
          <w:b/>
          <w:bCs/>
          <w:sz w:val="32"/>
          <w:szCs w:val="32"/>
          <w:lang w:val="en-US" w:eastAsia="zh-CN"/>
        </w:rPr>
      </w:pPr>
    </w:p>
    <w:p w14:paraId="65868CC4">
      <w:pPr>
        <w:spacing w:line="600" w:lineRule="exact"/>
        <w:jc w:val="center"/>
        <w:rPr>
          <w:rFonts w:ascii="黑体" w:eastAsia="黑体"/>
          <w:b/>
          <w:bCs/>
          <w:sz w:val="32"/>
          <w:szCs w:val="32"/>
        </w:rPr>
      </w:pPr>
      <w:r>
        <w:rPr>
          <w:rFonts w:hint="eastAsia" w:ascii="黑体" w:eastAsia="黑体" w:cs="Times New Roman"/>
          <w:b/>
          <w:bCs/>
          <w:sz w:val="32"/>
          <w:szCs w:val="32"/>
          <w:lang w:val="en-US" w:eastAsia="zh-CN"/>
        </w:rPr>
        <w:t>五、</w:t>
      </w:r>
      <w:r>
        <w:rPr>
          <w:rFonts w:hint="eastAsia" w:ascii="黑体" w:hAnsi="Calibri" w:eastAsia="黑体" w:cs="Times New Roman"/>
          <w:b/>
          <w:bCs/>
          <w:sz w:val="32"/>
          <w:szCs w:val="32"/>
        </w:rPr>
        <w:t>参加政</w:t>
      </w:r>
      <w:r>
        <w:rPr>
          <w:rFonts w:hint="eastAsia" w:ascii="黑体" w:eastAsia="黑体"/>
          <w:b/>
          <w:bCs/>
          <w:sz w:val="32"/>
          <w:szCs w:val="32"/>
        </w:rPr>
        <w:t>府采购活动前3年内在经营活动中没有重大违法记录的书面声明</w:t>
      </w:r>
    </w:p>
    <w:p w14:paraId="53AFD514">
      <w:pPr>
        <w:spacing w:line="600" w:lineRule="exact"/>
        <w:rPr>
          <w:rFonts w:ascii="仿宋_GB2312" w:eastAsia="仿宋_GB2312"/>
        </w:rPr>
      </w:pPr>
    </w:p>
    <w:p w14:paraId="64AE75CA">
      <w:pPr>
        <w:spacing w:line="600" w:lineRule="exact"/>
        <w:ind w:firstLine="480"/>
        <w:rPr>
          <w:rFonts w:ascii="宋体" w:hAnsi="宋体" w:eastAsia="宋体" w:cs="宋体"/>
          <w:sz w:val="24"/>
          <w:szCs w:val="24"/>
        </w:rPr>
      </w:pPr>
      <w:r>
        <w:rPr>
          <w:rFonts w:hint="eastAsia" w:ascii="宋体" w:hAnsi="宋体" w:eastAsia="宋体" w:cs="宋体"/>
          <w:sz w:val="24"/>
          <w:szCs w:val="24"/>
        </w:rPr>
        <w:t>我单位郑重声明：参加本次政府采购活动前3年内，我单位在经营活动中没有因违法经营受到刑事处罚或者责令停产停业、吊销许可证或者执照、较大数额罚款等行政处罚。</w:t>
      </w:r>
    </w:p>
    <w:p w14:paraId="545AE9AF">
      <w:pPr>
        <w:spacing w:line="600" w:lineRule="exact"/>
        <w:ind w:firstLine="461"/>
        <w:rPr>
          <w:rFonts w:ascii="宋体" w:hAnsi="宋体" w:eastAsia="宋体" w:cs="宋体"/>
          <w:sz w:val="24"/>
          <w:szCs w:val="24"/>
        </w:rPr>
      </w:pPr>
    </w:p>
    <w:p w14:paraId="51FE94DE">
      <w:pPr>
        <w:spacing w:line="600" w:lineRule="exact"/>
        <w:ind w:firstLine="461"/>
        <w:rPr>
          <w:rFonts w:ascii="宋体" w:hAnsi="宋体" w:eastAsia="宋体" w:cs="宋体"/>
          <w:sz w:val="24"/>
          <w:szCs w:val="24"/>
        </w:rPr>
      </w:pPr>
      <w:r>
        <w:rPr>
          <w:rFonts w:hint="eastAsia" w:ascii="宋体" w:hAnsi="宋体" w:eastAsia="宋体" w:cs="宋体"/>
          <w:sz w:val="24"/>
          <w:szCs w:val="24"/>
        </w:rPr>
        <w:t xml:space="preserve">         </w:t>
      </w:r>
    </w:p>
    <w:p w14:paraId="5FC1CCA6">
      <w:pPr>
        <w:spacing w:line="600" w:lineRule="exact"/>
        <w:ind w:firstLine="3120"/>
        <w:rPr>
          <w:rFonts w:ascii="宋体" w:hAnsi="宋体" w:eastAsia="宋体" w:cs="宋体"/>
          <w:sz w:val="24"/>
          <w:szCs w:val="24"/>
        </w:rPr>
      </w:pPr>
      <w:r>
        <w:rPr>
          <w:rFonts w:hint="eastAsia" w:ascii="宋体" w:hAnsi="宋体" w:eastAsia="宋体" w:cs="宋体"/>
          <w:sz w:val="24"/>
          <w:szCs w:val="24"/>
        </w:rPr>
        <w:t>企业名称（加盖CA电子公章）：</w:t>
      </w:r>
    </w:p>
    <w:p w14:paraId="14EDC169">
      <w:pPr>
        <w:spacing w:line="600" w:lineRule="exact"/>
        <w:ind w:firstLine="1680"/>
        <w:rPr>
          <w:rFonts w:ascii="宋体" w:hAnsi="宋体" w:eastAsia="宋体" w:cs="宋体"/>
          <w:sz w:val="24"/>
          <w:szCs w:val="24"/>
        </w:rPr>
      </w:pPr>
    </w:p>
    <w:p w14:paraId="4AF3CCC6">
      <w:pPr>
        <w:pStyle w:val="7"/>
        <w:spacing w:beforeAutospacing="0" w:afterAutospacing="0" w:line="0" w:lineRule="atLeast"/>
        <w:jc w:val="both"/>
        <w:rPr>
          <w:highlight w:val="non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28BD012">
      <w:pPr>
        <w:pStyle w:val="7"/>
        <w:spacing w:beforeAutospacing="0" w:afterAutospacing="0"/>
        <w:jc w:val="both"/>
        <w:rPr>
          <w:highlight w:val="none"/>
        </w:rPr>
      </w:pPr>
      <w:r>
        <w:rPr>
          <w:highlight w:val="none"/>
        </w:rPr>
        <w:t> </w:t>
      </w:r>
    </w:p>
    <w:p w14:paraId="2CF61D68">
      <w:pPr>
        <w:pStyle w:val="7"/>
        <w:spacing w:beforeAutospacing="0" w:afterAutospacing="0"/>
        <w:jc w:val="both"/>
        <w:rPr>
          <w:rFonts w:hint="eastAsia" w:ascii="黑体" w:hAnsi="宋体" w:eastAsia="黑体" w:cs="黑体"/>
          <w:i/>
          <w:color w:val="000000"/>
          <w:sz w:val="32"/>
          <w:szCs w:val="32"/>
          <w:highlight w:val="none"/>
          <w:u w:val="single"/>
        </w:rPr>
      </w:pPr>
    </w:p>
    <w:p w14:paraId="367501BB">
      <w:pPr>
        <w:pStyle w:val="7"/>
        <w:spacing w:beforeAutospacing="0" w:afterAutospacing="0"/>
        <w:jc w:val="both"/>
        <w:rPr>
          <w:rFonts w:hint="eastAsia" w:ascii="黑体" w:hAnsi="宋体" w:eastAsia="黑体" w:cs="黑体"/>
          <w:i/>
          <w:color w:val="000000"/>
          <w:sz w:val="32"/>
          <w:szCs w:val="32"/>
          <w:highlight w:val="none"/>
          <w:u w:val="single"/>
        </w:rPr>
      </w:pPr>
    </w:p>
    <w:p w14:paraId="1D36EDD3">
      <w:pPr>
        <w:pStyle w:val="7"/>
        <w:spacing w:beforeAutospacing="0" w:afterAutospacing="0"/>
        <w:jc w:val="center"/>
        <w:rPr>
          <w:rFonts w:ascii="黑体" w:hAnsi="宋体" w:eastAsia="黑体" w:cs="黑体"/>
          <w:i/>
          <w:color w:val="000000"/>
          <w:sz w:val="32"/>
          <w:szCs w:val="32"/>
          <w:highlight w:val="none"/>
          <w:u w:val="single"/>
        </w:rPr>
      </w:pPr>
      <w:r>
        <w:rPr>
          <w:rFonts w:hint="eastAsia" w:ascii="黑体" w:eastAsia="黑体" w:cs="Times New Roman"/>
          <w:b/>
          <w:bCs/>
          <w:sz w:val="32"/>
          <w:szCs w:val="32"/>
          <w:lang w:val="en-US" w:eastAsia="zh-CN" w:bidi="ar-SA"/>
        </w:rPr>
        <w:t>六、</w:t>
      </w:r>
      <w:r>
        <w:rPr>
          <w:rFonts w:hint="eastAsia" w:ascii="黑体" w:hAnsi="Calibri" w:eastAsia="黑体" w:cs="Times New Roman"/>
          <w:b/>
          <w:bCs/>
          <w:sz w:val="32"/>
          <w:szCs w:val="32"/>
          <w:lang w:val="en-US" w:eastAsia="zh-CN" w:bidi="ar-SA"/>
        </w:rPr>
        <w:t>投标人如委托被授权人参与，则被授权人须为本单位正式职工并提供投标人近期为被授权人缴纳的社会养老保险证明</w:t>
      </w:r>
    </w:p>
    <w:p w14:paraId="2ADE43FD">
      <w:pPr>
        <w:pStyle w:val="7"/>
        <w:spacing w:beforeAutospacing="0" w:afterAutospacing="0"/>
        <w:jc w:val="center"/>
        <w:rPr>
          <w:rFonts w:ascii="黑体" w:hAnsi="宋体" w:eastAsia="黑体" w:cs="黑体"/>
          <w:i/>
          <w:color w:val="000000"/>
          <w:sz w:val="32"/>
          <w:szCs w:val="32"/>
          <w:highlight w:val="none"/>
          <w:u w:val="single"/>
        </w:rPr>
      </w:pPr>
    </w:p>
    <w:p w14:paraId="08F1BD50">
      <w:pPr>
        <w:pStyle w:val="7"/>
        <w:spacing w:beforeAutospacing="0" w:afterAutospacing="0"/>
        <w:jc w:val="center"/>
        <w:rPr>
          <w:rFonts w:ascii="黑体" w:hAnsi="宋体" w:eastAsia="黑体" w:cs="黑体"/>
          <w:i/>
          <w:color w:val="000000"/>
          <w:sz w:val="32"/>
          <w:szCs w:val="32"/>
          <w:highlight w:val="none"/>
          <w:u w:val="single"/>
        </w:rPr>
      </w:pPr>
    </w:p>
    <w:p w14:paraId="15E1BA3A">
      <w:pPr>
        <w:pStyle w:val="7"/>
        <w:spacing w:beforeAutospacing="0" w:afterAutospacing="0"/>
        <w:jc w:val="center"/>
        <w:rPr>
          <w:rFonts w:hint="eastAsia" w:ascii="黑体" w:eastAsia="黑体"/>
          <w:b/>
          <w:bCs/>
          <w:sz w:val="32"/>
          <w:szCs w:val="32"/>
          <w:highlight w:val="none"/>
        </w:rPr>
      </w:pPr>
      <w:r>
        <w:rPr>
          <w:rFonts w:hint="eastAsia" w:ascii="黑体" w:eastAsia="黑体" w:cs="Times New Roman"/>
          <w:b/>
          <w:bCs/>
          <w:sz w:val="32"/>
          <w:szCs w:val="32"/>
          <w:highlight w:val="none"/>
          <w:lang w:val="en-US" w:eastAsia="zh-CN"/>
        </w:rPr>
        <w:t>七、</w:t>
      </w:r>
      <w:r>
        <w:rPr>
          <w:rFonts w:hint="eastAsia" w:ascii="黑体" w:hAnsi="Calibri" w:eastAsia="黑体" w:cs="Times New Roman"/>
          <w:b/>
          <w:bCs/>
          <w:sz w:val="32"/>
          <w:szCs w:val="32"/>
          <w:highlight w:val="none"/>
          <w:lang w:val="en-US" w:eastAsia="zh-CN"/>
        </w:rPr>
        <w:t>法人授权</w:t>
      </w:r>
      <w:r>
        <w:rPr>
          <w:rFonts w:hint="eastAsia" w:ascii="黑体" w:eastAsia="黑体"/>
          <w:b/>
          <w:bCs/>
          <w:sz w:val="32"/>
          <w:szCs w:val="32"/>
          <w:highlight w:val="none"/>
        </w:rPr>
        <w:t>书</w:t>
      </w:r>
    </w:p>
    <w:p w14:paraId="746DB6A7">
      <w:pPr>
        <w:keepNext w:val="0"/>
        <w:keepLines w:val="0"/>
        <w:pageBreakBefore w:val="0"/>
        <w:widowControl w:val="0"/>
        <w:spacing w:line="600" w:lineRule="exact"/>
        <w:ind w:firstLine="480"/>
        <w:rPr>
          <w:rFonts w:hint="eastAsia" w:ascii="宋体" w:hAnsi="宋体" w:eastAsia="宋体" w:cs="宋体"/>
          <w:sz w:val="24"/>
          <w:szCs w:val="24"/>
          <w:highlight w:val="none"/>
        </w:rPr>
      </w:pPr>
      <w:r>
        <w:rPr>
          <w:rFonts w:hint="eastAsia" w:ascii="宋体" w:hAnsi="宋体" w:eastAsia="宋体" w:cs="宋体"/>
          <w:color w:val="000000"/>
          <w:sz w:val="24"/>
          <w:szCs w:val="24"/>
        </w:rPr>
        <w:t>本授权书声明：____________（供应商名称）授权________________（被授权人的姓名）为我方就</w:t>
      </w:r>
      <w:r>
        <w:rPr>
          <w:rFonts w:hint="eastAsia" w:ascii="宋体" w:hAnsi="宋体" w:cs="宋体"/>
          <w:color w:val="000000"/>
          <w:sz w:val="24"/>
          <w:szCs w:val="24"/>
          <w:lang w:eastAsia="zh-CN"/>
        </w:rPr>
        <w:t>JSZC-320981-JBGS-G2026-0011</w:t>
      </w:r>
      <w:r>
        <w:rPr>
          <w:rFonts w:hint="eastAsia" w:ascii="宋体" w:hAnsi="宋体" w:eastAsia="宋体" w:cs="宋体"/>
          <w:color w:val="000000"/>
          <w:sz w:val="24"/>
          <w:szCs w:val="24"/>
        </w:rPr>
        <w:t>号项目采购活动的合法代理人，以本单位名义全权处理一切与该项目采购有关的事务。</w:t>
      </w:r>
    </w:p>
    <w:p w14:paraId="4227422A">
      <w:pPr>
        <w:spacing w:line="400" w:lineRule="exact"/>
        <w:ind w:firstLine="480"/>
        <w:rPr>
          <w:rFonts w:hint="eastAsia" w:ascii="宋体" w:hAnsi="宋体" w:eastAsia="宋体" w:cs="宋体"/>
          <w:sz w:val="24"/>
          <w:highlight w:val="none"/>
        </w:rPr>
      </w:pPr>
    </w:p>
    <w:p w14:paraId="18139B79">
      <w:pPr>
        <w:pStyle w:val="7"/>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本授权书于______年____月____日起生效，特此声明。</w:t>
      </w:r>
    </w:p>
    <w:p w14:paraId="4B9F8877">
      <w:pPr>
        <w:pStyle w:val="7"/>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被授权人身份证号码：</w:t>
      </w:r>
      <w:r>
        <w:rPr>
          <w:rFonts w:ascii="Times New Roman" w:hAnsi="Times New Roman"/>
          <w:color w:val="000000"/>
          <w:u w:val="single"/>
        </w:rPr>
        <w:t xml:space="preserve">                              </w:t>
      </w:r>
    </w:p>
    <w:p w14:paraId="63C22B18">
      <w:pPr>
        <w:pStyle w:val="7"/>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被授权人联系电话：（手机）</w:t>
      </w:r>
      <w:r>
        <w:rPr>
          <w:rFonts w:ascii="Times New Roman" w:hAnsi="Times New Roman"/>
          <w:color w:val="000000"/>
          <w:u w:val="single"/>
        </w:rPr>
        <w:t xml:space="preserve">                          </w:t>
      </w:r>
    </w:p>
    <w:p w14:paraId="40797006">
      <w:pPr>
        <w:pStyle w:val="7"/>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授权单位名称：</w:t>
      </w:r>
      <w:r>
        <w:rPr>
          <w:rFonts w:ascii="Times New Roman" w:hAnsi="Times New Roman"/>
          <w:color w:val="000000"/>
          <w:u w:val="single"/>
        </w:rPr>
        <w:t>（加盖CA电子公章）</w:t>
      </w:r>
    </w:p>
    <w:p w14:paraId="3262C90A">
      <w:pPr>
        <w:pStyle w:val="7"/>
        <w:keepNext w:val="0"/>
        <w:keepLines w:val="0"/>
        <w:pageBreakBefore w:val="0"/>
        <w:widowControl w:val="0"/>
        <w:tabs>
          <w:tab w:val="left" w:pos="360"/>
        </w:tabs>
        <w:spacing w:beforeAutospacing="0" w:afterAutospacing="0" w:line="600" w:lineRule="exact"/>
        <w:ind w:firstLine="1024"/>
        <w:rPr>
          <w:rFonts w:hint="eastAsia"/>
        </w:rPr>
      </w:pPr>
      <w:r>
        <w:rPr>
          <w:rFonts w:ascii="Times New Roman" w:hAnsi="Times New Roman"/>
          <w:color w:val="000000"/>
        </w:rPr>
        <w:t>单位地址：</w:t>
      </w:r>
      <w:r>
        <w:rPr>
          <w:rFonts w:ascii="Times New Roman" w:hAnsi="Times New Roman"/>
          <w:color w:val="000000"/>
          <w:u w:val="single"/>
        </w:rPr>
        <w:t xml:space="preserve">                                         </w:t>
      </w:r>
    </w:p>
    <w:p w14:paraId="5E697030">
      <w:pPr>
        <w:keepNext w:val="0"/>
        <w:keepLines w:val="0"/>
        <w:pageBreakBefore w:val="0"/>
        <w:widowControl w:val="0"/>
        <w:spacing w:line="600" w:lineRule="exact"/>
        <w:ind w:firstLine="1050"/>
        <w:rPr>
          <w:rFonts w:hint="eastAsia" w:ascii="宋体" w:hAnsi="宋体" w:eastAsia="宋体" w:cs="宋体"/>
          <w:sz w:val="24"/>
          <w:highlight w:val="none"/>
        </w:rPr>
      </w:pPr>
      <w:r>
        <w:rPr>
          <w:rFonts w:ascii="Times New Roman" w:hAnsi="Times New Roman"/>
          <w:color w:val="000000"/>
        </w:rPr>
        <w:t>日期：</w:t>
      </w:r>
      <w:r>
        <w:rPr>
          <w:rFonts w:ascii="Times New Roman" w:hAnsi="Times New Roman"/>
          <w:color w:val="000000"/>
          <w:u w:val="single"/>
        </w:rPr>
        <w:t xml:space="preserve">                                         </w:t>
      </w:r>
    </w:p>
    <w:p w14:paraId="0668AF2F">
      <w:pPr>
        <w:spacing w:line="400" w:lineRule="exact"/>
        <w:ind w:firstLine="2126"/>
        <w:rPr>
          <w:rFonts w:hint="eastAsia" w:ascii="宋体" w:hAnsi="宋体" w:eastAsia="宋体" w:cs="宋体"/>
          <w:sz w:val="24"/>
          <w:highlight w:val="none"/>
        </w:rPr>
      </w:pPr>
    </w:p>
    <w:p w14:paraId="4BB7918D">
      <w:pPr>
        <w:pStyle w:val="7"/>
        <w:spacing w:beforeAutospacing="0" w:afterAutospacing="0" w:line="0" w:lineRule="atLeast"/>
        <w:jc w:val="both"/>
        <w:rPr>
          <w:rFonts w:hint="eastAsia" w:ascii="宋体" w:hAnsi="宋体" w:eastAsia="宋体" w:cs="宋体"/>
          <w:color w:val="000000"/>
          <w:highlight w:val="none"/>
          <w:lang w:val="en-US" w:eastAsia="zh-CN"/>
        </w:rPr>
      </w:pPr>
      <w:r>
        <w:rPr>
          <w:rFonts w:hint="eastAsia" w:ascii="宋体" w:hAnsi="宋体" w:eastAsia="宋体" w:cs="宋体"/>
          <w:b/>
          <w:bCs/>
          <w:sz w:val="24"/>
          <w:highlight w:val="none"/>
        </w:rPr>
        <w:t>（附：</w:t>
      </w:r>
      <w:r>
        <w:rPr>
          <w:rFonts w:hint="eastAsia" w:ascii="宋体" w:hAnsi="宋体" w:eastAsia="宋体" w:cs="宋体"/>
          <w:b/>
          <w:bCs/>
          <w:sz w:val="24"/>
          <w:highlight w:val="none"/>
          <w:lang w:eastAsia="zh-CN"/>
        </w:rPr>
        <w:t>被授权人</w:t>
      </w:r>
      <w:r>
        <w:rPr>
          <w:rFonts w:hint="eastAsia" w:ascii="宋体" w:hAnsi="宋体" w:eastAsia="宋体" w:cs="宋体"/>
          <w:b/>
          <w:bCs/>
          <w:sz w:val="24"/>
          <w:highlight w:val="none"/>
        </w:rPr>
        <w:t>身份证正反面）</w:t>
      </w:r>
    </w:p>
    <w:p w14:paraId="4937D57C">
      <w:pPr>
        <w:pStyle w:val="7"/>
        <w:spacing w:beforeAutospacing="0" w:afterAutospacing="0" w:line="0" w:lineRule="atLeast"/>
        <w:jc w:val="both"/>
        <w:rPr>
          <w:highlight w:val="none"/>
        </w:rPr>
      </w:pPr>
      <w:r>
        <w:rPr>
          <w:highlight w:val="none"/>
        </w:rPr>
        <w:t> </w:t>
      </w:r>
    </w:p>
    <w:p w14:paraId="0F02C396">
      <w:pPr>
        <w:pStyle w:val="7"/>
        <w:keepNext/>
        <w:keepLines/>
        <w:spacing w:before="260" w:beforeAutospacing="0" w:after="260" w:afterAutospacing="0" w:line="415" w:lineRule="auto"/>
        <w:ind w:firstLine="3390"/>
        <w:jc w:val="both"/>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r>
      <w:r>
        <w:rPr>
          <w:rFonts w:hint="eastAsia" w:ascii="宋体" w:hAnsi="宋体" w:eastAsia="宋体" w:cs="宋体"/>
          <w:b/>
          <w:color w:val="000000"/>
          <w:highlight w:val="none"/>
        </w:rPr>
        <w:t> </w:t>
      </w:r>
      <w:r>
        <w:rPr>
          <w:rFonts w:hint="eastAsia" w:ascii="黑体" w:hAnsi="宋体" w:eastAsia="黑体" w:cs="黑体"/>
          <w:b/>
          <w:color w:val="000000"/>
          <w:sz w:val="32"/>
          <w:szCs w:val="32"/>
          <w:highlight w:val="none"/>
        </w:rPr>
        <w:t>八、投标函</w:t>
      </w:r>
    </w:p>
    <w:p w14:paraId="26D1CCB0">
      <w:pPr>
        <w:pStyle w:val="7"/>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致：</w:t>
      </w:r>
      <w:r>
        <w:rPr>
          <w:rFonts w:hint="eastAsia" w:ascii="宋体" w:hAnsi="宋体" w:eastAsia="宋体" w:cs="宋体"/>
          <w:color w:val="000000"/>
          <w:highlight w:val="none"/>
          <w:lang w:val="en-US" w:eastAsia="zh-CN"/>
        </w:rPr>
        <w:t>东台市富安镇人民政府</w:t>
      </w:r>
    </w:p>
    <w:p w14:paraId="2DE50441">
      <w:pPr>
        <w:pStyle w:val="7"/>
        <w:spacing w:beforeAutospacing="0" w:afterAutospacing="0" w:line="0" w:lineRule="atLeast"/>
        <w:ind w:firstLine="480"/>
        <w:rPr>
          <w:highlight w:val="none"/>
        </w:rPr>
      </w:pPr>
      <w:r>
        <w:rPr>
          <w:rFonts w:hint="eastAsia" w:ascii="宋体" w:hAnsi="宋体" w:eastAsia="宋体" w:cs="宋体"/>
          <w:color w:val="000000"/>
          <w:highlight w:val="none"/>
        </w:rPr>
        <w:t>根据贵方的</w:t>
      </w:r>
      <w:r>
        <w:rPr>
          <w:rFonts w:hint="eastAsia" w:ascii="宋体" w:hAnsi="宋体" w:eastAsia="宋体" w:cs="宋体"/>
          <w:color w:val="000000"/>
          <w:highlight w:val="none"/>
          <w:lang w:eastAsia="zh-CN"/>
        </w:rPr>
        <w:t>JSZC-320981-JBGS-G2026-0011</w:t>
      </w:r>
      <w:r>
        <w:rPr>
          <w:rFonts w:hint="eastAsia" w:ascii="宋体" w:hAnsi="宋体" w:eastAsia="宋体" w:cs="宋体"/>
          <w:color w:val="000000"/>
          <w:highlight w:val="none"/>
        </w:rPr>
        <w:t>号招标文件，正式授权下述签字人______(姓名)代表我方______________（投标人的名称），全权处理本次项目投标的有关事宜。</w:t>
      </w:r>
    </w:p>
    <w:p w14:paraId="64F87FD4">
      <w:pPr>
        <w:pStyle w:val="7"/>
        <w:spacing w:beforeAutospacing="0" w:afterAutospacing="0" w:line="0" w:lineRule="atLeast"/>
        <w:ind w:firstLine="480"/>
        <w:rPr>
          <w:highlight w:val="none"/>
        </w:rPr>
      </w:pPr>
      <w:r>
        <w:rPr>
          <w:rFonts w:hint="eastAsia" w:ascii="宋体" w:hAnsi="宋体" w:eastAsia="宋体" w:cs="宋体"/>
          <w:color w:val="000000"/>
          <w:highlight w:val="none"/>
        </w:rPr>
        <w:t>据此函，__________签字人兹宣布同意如下：</w:t>
      </w:r>
    </w:p>
    <w:p w14:paraId="313F2607">
      <w:pPr>
        <w:pStyle w:val="7"/>
        <w:spacing w:beforeAutospacing="0" w:afterAutospacing="0" w:line="0" w:lineRule="atLeast"/>
        <w:ind w:firstLine="480"/>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7"/>
        <w:spacing w:beforeAutospacing="0" w:afterAutospacing="0" w:line="0" w:lineRule="atLeast"/>
        <w:ind w:firstLine="480"/>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7"/>
        <w:spacing w:beforeAutospacing="0" w:afterAutospacing="0" w:line="0" w:lineRule="atLeast"/>
        <w:ind w:firstLine="480"/>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7"/>
        <w:spacing w:beforeAutospacing="0" w:afterAutospacing="0" w:line="0" w:lineRule="atLeast"/>
        <w:ind w:firstLine="480"/>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7"/>
        <w:spacing w:beforeAutospacing="0" w:afterAutospacing="0" w:line="0" w:lineRule="atLeast"/>
        <w:ind w:firstLine="480"/>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7"/>
        <w:spacing w:beforeAutospacing="0" w:afterAutospacing="0" w:line="0" w:lineRule="atLeast"/>
        <w:ind w:firstLine="480"/>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3641869">
      <w:pPr>
        <w:pStyle w:val="7"/>
        <w:spacing w:beforeAutospacing="0" w:afterAutospacing="0" w:line="0" w:lineRule="atLeast"/>
        <w:ind w:firstLine="480"/>
        <w:rPr>
          <w:highlight w:val="none"/>
        </w:rPr>
      </w:pPr>
      <w:r>
        <w:rPr>
          <w:rFonts w:hint="eastAsia" w:ascii="宋体" w:hAnsi="宋体" w:eastAsia="宋体" w:cs="宋体"/>
          <w:color w:val="000000"/>
          <w:highlight w:val="none"/>
        </w:rPr>
        <w:t>7.与本投标有关的正式通讯地址为：</w:t>
      </w:r>
    </w:p>
    <w:p w14:paraId="63F512FF">
      <w:pPr>
        <w:pStyle w:val="7"/>
        <w:spacing w:beforeAutospacing="0" w:afterAutospacing="0" w:line="0" w:lineRule="atLeast"/>
        <w:ind w:left="420" w:firstLine="480"/>
        <w:rPr>
          <w:highlight w:val="none"/>
        </w:rPr>
      </w:pPr>
      <w:r>
        <w:rPr>
          <w:rFonts w:hint="eastAsia" w:ascii="宋体" w:hAnsi="宋体" w:eastAsia="宋体" w:cs="宋体"/>
          <w:color w:val="000000"/>
          <w:highlight w:val="none"/>
        </w:rPr>
        <w:t>地          址：</w:t>
      </w:r>
    </w:p>
    <w:p w14:paraId="40615D05">
      <w:pPr>
        <w:pStyle w:val="7"/>
        <w:spacing w:beforeAutospacing="0" w:afterAutospacing="0" w:line="0" w:lineRule="atLeast"/>
        <w:ind w:left="420" w:firstLine="480"/>
        <w:rPr>
          <w:highlight w:val="none"/>
        </w:rPr>
      </w:pPr>
      <w:r>
        <w:rPr>
          <w:rFonts w:hint="eastAsia" w:ascii="宋体" w:hAnsi="宋体" w:eastAsia="宋体" w:cs="宋体"/>
          <w:color w:val="000000"/>
          <w:highlight w:val="none"/>
        </w:rPr>
        <w:t>邮          编：</w:t>
      </w:r>
    </w:p>
    <w:p w14:paraId="6828345E">
      <w:pPr>
        <w:pStyle w:val="7"/>
        <w:spacing w:beforeAutospacing="0" w:afterAutospacing="0" w:line="0" w:lineRule="atLeast"/>
        <w:ind w:left="420" w:firstLine="480"/>
        <w:rPr>
          <w:highlight w:val="none"/>
        </w:rPr>
      </w:pPr>
      <w:r>
        <w:rPr>
          <w:rFonts w:hint="eastAsia" w:ascii="宋体" w:hAnsi="宋体" w:eastAsia="宋体" w:cs="宋体"/>
          <w:color w:val="000000"/>
          <w:highlight w:val="none"/>
        </w:rPr>
        <w:t>电          话：</w:t>
      </w:r>
    </w:p>
    <w:p w14:paraId="3AB5B37A">
      <w:pPr>
        <w:pStyle w:val="7"/>
        <w:spacing w:beforeAutospacing="0" w:afterAutospacing="0" w:line="0" w:lineRule="atLeast"/>
        <w:ind w:left="420" w:firstLine="480"/>
        <w:rPr>
          <w:highlight w:val="none"/>
        </w:rPr>
      </w:pPr>
      <w:r>
        <w:rPr>
          <w:rFonts w:hint="eastAsia" w:ascii="宋体" w:hAnsi="宋体" w:eastAsia="宋体" w:cs="宋体"/>
          <w:color w:val="000000"/>
          <w:highlight w:val="none"/>
        </w:rPr>
        <w:t>传          真：</w:t>
      </w:r>
    </w:p>
    <w:p w14:paraId="3DA45C60">
      <w:pPr>
        <w:pStyle w:val="7"/>
        <w:spacing w:beforeAutospacing="0" w:afterAutospacing="0" w:line="0" w:lineRule="atLeast"/>
        <w:ind w:left="420" w:firstLine="480"/>
        <w:rPr>
          <w:highlight w:val="none"/>
        </w:rPr>
      </w:pPr>
      <w:r>
        <w:rPr>
          <w:rFonts w:hint="eastAsia" w:ascii="宋体" w:hAnsi="宋体" w:eastAsia="宋体" w:cs="宋体"/>
          <w:color w:val="000000"/>
          <w:highlight w:val="none"/>
        </w:rPr>
        <w:t>投标人开户行：</w:t>
      </w:r>
    </w:p>
    <w:p w14:paraId="19B2C12A">
      <w:pPr>
        <w:pStyle w:val="7"/>
        <w:spacing w:beforeAutospacing="0" w:afterAutospacing="0" w:line="0" w:lineRule="atLeast"/>
        <w:ind w:left="420" w:firstLine="480"/>
        <w:rPr>
          <w:highlight w:val="none"/>
        </w:rPr>
      </w:pPr>
      <w:r>
        <w:rPr>
          <w:rFonts w:hint="eastAsia" w:ascii="宋体" w:hAnsi="宋体" w:eastAsia="宋体" w:cs="宋体"/>
          <w:color w:val="000000"/>
          <w:highlight w:val="none"/>
        </w:rPr>
        <w:t xml:space="preserve">账          号： </w:t>
      </w:r>
    </w:p>
    <w:p w14:paraId="4B904C99">
      <w:pPr>
        <w:pStyle w:val="7"/>
        <w:spacing w:beforeAutospacing="0" w:afterAutospacing="0" w:line="0" w:lineRule="atLeast"/>
        <w:ind w:left="420" w:firstLine="480"/>
        <w:rPr>
          <w:highlight w:val="none"/>
        </w:rPr>
      </w:pPr>
      <w:r>
        <w:rPr>
          <w:rFonts w:hint="eastAsia" w:ascii="宋体" w:hAnsi="宋体" w:eastAsia="宋体" w:cs="宋体"/>
          <w:color w:val="000000"/>
          <w:highlight w:val="none"/>
        </w:rPr>
        <w:t>日           期：________年____月____日</w:t>
      </w:r>
    </w:p>
    <w:p w14:paraId="517D30F4">
      <w:pPr>
        <w:pStyle w:val="7"/>
        <w:spacing w:beforeAutospacing="0" w:afterAutospacing="0" w:line="0" w:lineRule="atLeast"/>
        <w:ind w:firstLine="240"/>
        <w:jc w:val="center"/>
        <w:rPr>
          <w:highlight w:val="none"/>
        </w:rPr>
      </w:pPr>
      <w:r>
        <w:rPr>
          <w:highlight w:val="none"/>
        </w:rPr>
        <w:t> </w:t>
      </w:r>
    </w:p>
    <w:p w14:paraId="7D02EC5F">
      <w:pPr>
        <w:pStyle w:val="7"/>
        <w:spacing w:beforeAutospacing="0" w:afterAutospacing="0" w:line="0" w:lineRule="atLeast"/>
        <w:ind w:firstLine="240"/>
        <w:jc w:val="center"/>
        <w:rPr>
          <w:highlight w:val="none"/>
        </w:rPr>
      </w:pPr>
      <w:r>
        <w:rPr>
          <w:highlight w:val="none"/>
        </w:rPr>
        <w:t> </w:t>
      </w:r>
    </w:p>
    <w:p w14:paraId="526D8B48">
      <w:pPr>
        <w:pStyle w:val="7"/>
        <w:spacing w:beforeAutospacing="0" w:afterAutospacing="0" w:line="0" w:lineRule="atLeast"/>
        <w:ind w:firstLine="240"/>
        <w:jc w:val="center"/>
        <w:rPr>
          <w:highlight w:val="none"/>
        </w:rPr>
      </w:pPr>
      <w:r>
        <w:rPr>
          <w:highlight w:val="none"/>
        </w:rPr>
        <w:t> </w:t>
      </w:r>
    </w:p>
    <w:p w14:paraId="7D664580">
      <w:pPr>
        <w:pStyle w:val="7"/>
        <w:spacing w:beforeAutospacing="0" w:afterAutospacing="0" w:line="0" w:lineRule="atLeast"/>
        <w:ind w:firstLine="240"/>
        <w:jc w:val="center"/>
        <w:rPr>
          <w:highlight w:val="none"/>
        </w:rPr>
      </w:pPr>
      <w:r>
        <w:rPr>
          <w:highlight w:val="none"/>
        </w:rPr>
        <w:t> </w:t>
      </w:r>
    </w:p>
    <w:p w14:paraId="4CB43A27">
      <w:pPr>
        <w:pStyle w:val="7"/>
        <w:spacing w:beforeAutospacing="0" w:afterAutospacing="0" w:line="0" w:lineRule="atLeast"/>
        <w:ind w:firstLine="240"/>
        <w:jc w:val="center"/>
        <w:rPr>
          <w:highlight w:val="none"/>
        </w:rPr>
      </w:pPr>
      <w:r>
        <w:rPr>
          <w:highlight w:val="none"/>
        </w:rPr>
        <w:t> </w:t>
      </w:r>
    </w:p>
    <w:p w14:paraId="009E3C67">
      <w:pPr>
        <w:pStyle w:val="7"/>
        <w:spacing w:beforeAutospacing="0" w:afterAutospacing="0" w:line="0" w:lineRule="atLeast"/>
        <w:ind w:firstLine="240"/>
        <w:jc w:val="center"/>
        <w:rPr>
          <w:highlight w:val="none"/>
        </w:rPr>
      </w:pPr>
    </w:p>
    <w:p w14:paraId="076B6F71">
      <w:pPr>
        <w:pStyle w:val="7"/>
        <w:spacing w:beforeAutospacing="0" w:afterAutospacing="0" w:line="0" w:lineRule="atLeast"/>
        <w:ind w:firstLine="240"/>
        <w:jc w:val="center"/>
        <w:rPr>
          <w:highlight w:val="none"/>
        </w:rPr>
      </w:pPr>
    </w:p>
    <w:p w14:paraId="3827CC3B">
      <w:pPr>
        <w:pStyle w:val="7"/>
        <w:spacing w:beforeAutospacing="0" w:afterAutospacing="0" w:line="0" w:lineRule="atLeast"/>
        <w:ind w:firstLine="240"/>
        <w:jc w:val="center"/>
        <w:rPr>
          <w:highlight w:val="none"/>
        </w:rPr>
      </w:pPr>
    </w:p>
    <w:p w14:paraId="2B728E37">
      <w:pPr>
        <w:pStyle w:val="7"/>
        <w:spacing w:beforeAutospacing="0" w:afterAutospacing="0" w:line="0" w:lineRule="atLeast"/>
        <w:ind w:firstLine="240"/>
        <w:jc w:val="center"/>
        <w:rPr>
          <w:highlight w:val="none"/>
        </w:rPr>
      </w:pPr>
    </w:p>
    <w:p w14:paraId="4A16AAF8">
      <w:pPr>
        <w:pStyle w:val="7"/>
        <w:spacing w:beforeAutospacing="0" w:afterAutospacing="0" w:line="0" w:lineRule="atLeast"/>
        <w:ind w:firstLine="240"/>
        <w:jc w:val="center"/>
        <w:rPr>
          <w:highlight w:val="none"/>
        </w:rPr>
      </w:pPr>
    </w:p>
    <w:p w14:paraId="69A5DCA0">
      <w:pPr>
        <w:pStyle w:val="7"/>
        <w:spacing w:beforeAutospacing="0" w:afterAutospacing="0" w:line="0" w:lineRule="atLeast"/>
        <w:ind w:firstLine="240"/>
        <w:jc w:val="center"/>
        <w:rPr>
          <w:highlight w:val="none"/>
        </w:rPr>
      </w:pPr>
    </w:p>
    <w:p w14:paraId="0F79A881">
      <w:pPr>
        <w:pStyle w:val="7"/>
        <w:spacing w:beforeAutospacing="0" w:afterAutospacing="0" w:line="0" w:lineRule="atLeast"/>
        <w:ind w:firstLine="240"/>
        <w:jc w:val="center"/>
        <w:rPr>
          <w:highlight w:val="none"/>
        </w:rPr>
      </w:pPr>
    </w:p>
    <w:p w14:paraId="15EC5A70">
      <w:pPr>
        <w:pStyle w:val="7"/>
        <w:spacing w:beforeAutospacing="0" w:afterAutospacing="0" w:line="0" w:lineRule="atLeast"/>
        <w:ind w:firstLine="240"/>
        <w:jc w:val="center"/>
        <w:rPr>
          <w:highlight w:val="none"/>
        </w:rPr>
      </w:pPr>
    </w:p>
    <w:p w14:paraId="048221C4">
      <w:pPr>
        <w:pStyle w:val="7"/>
        <w:spacing w:beforeAutospacing="0" w:afterAutospacing="0" w:line="0" w:lineRule="atLeast"/>
        <w:ind w:firstLine="240"/>
        <w:jc w:val="center"/>
        <w:rPr>
          <w:highlight w:val="none"/>
        </w:rPr>
      </w:pPr>
    </w:p>
    <w:p w14:paraId="3802D699">
      <w:pPr>
        <w:pStyle w:val="7"/>
        <w:spacing w:beforeAutospacing="0" w:afterAutospacing="0" w:line="0" w:lineRule="atLeast"/>
        <w:ind w:firstLine="240"/>
        <w:jc w:val="center"/>
        <w:rPr>
          <w:highlight w:val="none"/>
        </w:rPr>
      </w:pPr>
    </w:p>
    <w:p w14:paraId="2B93E367">
      <w:pPr>
        <w:pStyle w:val="7"/>
        <w:spacing w:beforeAutospacing="0" w:afterAutospacing="0" w:line="0" w:lineRule="atLeast"/>
        <w:ind w:firstLine="240"/>
        <w:jc w:val="center"/>
        <w:rPr>
          <w:highlight w:val="none"/>
        </w:rPr>
      </w:pPr>
    </w:p>
    <w:p w14:paraId="757DE681">
      <w:pPr>
        <w:pStyle w:val="7"/>
        <w:spacing w:beforeAutospacing="0" w:afterAutospacing="0" w:line="0" w:lineRule="atLeast"/>
        <w:jc w:val="center"/>
        <w:rPr>
          <w:highlight w:val="none"/>
        </w:rPr>
      </w:pPr>
      <w:r>
        <w:rPr>
          <w:highlight w:val="none"/>
        </w:rPr>
        <w:t> </w:t>
      </w:r>
    </w:p>
    <w:p w14:paraId="09A50AA7">
      <w:pPr>
        <w:pStyle w:val="7"/>
        <w:spacing w:beforeAutospacing="0" w:afterAutospacing="0" w:line="0" w:lineRule="atLeast"/>
        <w:jc w:val="center"/>
        <w:rPr>
          <w:rFonts w:hint="eastAsia" w:ascii="黑体" w:hAnsi="宋体" w:eastAsia="黑体" w:cs="黑体"/>
          <w:b/>
          <w:color w:val="auto"/>
          <w:sz w:val="32"/>
          <w:szCs w:val="32"/>
          <w:highlight w:val="none"/>
        </w:rPr>
      </w:pPr>
    </w:p>
    <w:p w14:paraId="76E9D5C9">
      <w:pPr>
        <w:pStyle w:val="7"/>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本公司郑重声明，根据《政府采购促进中小企业发展管理办法》（财库﹝2020﹞46 号）的规定，本公司参加东台市富安镇人民政府组织的采购编号为</w:t>
      </w:r>
      <w:r>
        <w:rPr>
          <w:rFonts w:hint="eastAsia"/>
          <w:color w:val="auto"/>
          <w:sz w:val="24"/>
          <w:highlight w:val="none"/>
          <w:lang w:eastAsia="zh-CN"/>
        </w:rPr>
        <w:t>JSZC-320981-JBGS-G2026-0011</w:t>
      </w:r>
      <w:r>
        <w:rPr>
          <w:rFonts w:hint="eastAsia"/>
          <w:color w:val="auto"/>
          <w:sz w:val="24"/>
          <w:highlight w:val="none"/>
          <w:lang w:val="en-US" w:eastAsia="zh-CN"/>
        </w:rPr>
        <w:t>的</w:t>
      </w:r>
      <w:r>
        <w:rPr>
          <w:rFonts w:hint="eastAsia"/>
          <w:i w:val="0"/>
          <w:iCs w:val="0"/>
          <w:color w:val="auto"/>
          <w:sz w:val="24"/>
          <w:highlight w:val="none"/>
          <w:u w:val="single"/>
          <w:lang w:eastAsia="zh-CN"/>
        </w:rPr>
        <w:t>富安镇政府食堂食材及日用品采购服务（二次）</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1"/>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1"/>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7"/>
        <w:spacing w:beforeAutospacing="0" w:afterAutospacing="0" w:line="0" w:lineRule="atLeast"/>
        <w:ind w:right="720"/>
        <w:jc w:val="both"/>
        <w:rPr>
          <w:color w:val="auto"/>
          <w:highlight w:val="none"/>
        </w:rPr>
      </w:pPr>
      <w:r>
        <w:rPr>
          <w:color w:val="auto"/>
          <w:highlight w:val="none"/>
        </w:rPr>
        <w:t> </w:t>
      </w:r>
    </w:p>
    <w:p w14:paraId="6CD49601">
      <w:pPr>
        <w:pStyle w:val="7"/>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7"/>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7"/>
        <w:spacing w:beforeAutospacing="0" w:afterAutospacing="0" w:line="0" w:lineRule="atLeast"/>
        <w:ind w:firstLine="240"/>
        <w:jc w:val="both"/>
        <w:rPr>
          <w:color w:val="auto"/>
          <w:highlight w:val="none"/>
        </w:rPr>
      </w:pPr>
      <w:r>
        <w:rPr>
          <w:color w:val="auto"/>
          <w:highlight w:val="none"/>
        </w:rPr>
        <w:t> </w:t>
      </w:r>
    </w:p>
    <w:p w14:paraId="5FD8B9FE">
      <w:pPr>
        <w:pStyle w:val="7"/>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7"/>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7"/>
        <w:spacing w:beforeAutospacing="0" w:afterAutospacing="0" w:line="0" w:lineRule="atLeast"/>
        <w:jc w:val="center"/>
        <w:rPr>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十、残疾人福利性单位声明函（如有）</w:t>
      </w:r>
    </w:p>
    <w:p w14:paraId="48921B49">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highlight w:val="none"/>
        </w:rPr>
      </w:pPr>
    </w:p>
    <w:p w14:paraId="40AD2CD4">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w:t>
      </w:r>
      <w:r>
        <w:rPr>
          <w:rFonts w:hint="eastAsia" w:ascii="宋体" w:hAnsi="宋体" w:eastAsia="宋体" w:cs="宋体"/>
          <w:color w:val="000000"/>
          <w:highlight w:val="none"/>
          <w:u w:val="single"/>
        </w:rPr>
        <w:t>东台市富安镇人民政府</w:t>
      </w:r>
      <w:r>
        <w:rPr>
          <w:rFonts w:hint="eastAsia" w:ascii="宋体" w:hAnsi="宋体" w:eastAsia="宋体" w:cs="宋体"/>
          <w:color w:val="000000"/>
          <w:highlight w:val="none"/>
          <w:u w:val="none"/>
        </w:rPr>
        <w:t>单位</w:t>
      </w:r>
      <w:r>
        <w:rPr>
          <w:rFonts w:hint="eastAsia" w:ascii="宋体" w:hAnsi="宋体" w:eastAsia="宋体" w:cs="宋体"/>
          <w:color w:val="000000"/>
          <w:highlight w:val="none"/>
        </w:rPr>
        <w:t>的采购文件编号为</w:t>
      </w:r>
      <w:r>
        <w:rPr>
          <w:rFonts w:hint="eastAsia" w:ascii="宋体" w:hAnsi="宋体" w:eastAsia="宋体" w:cs="宋体"/>
          <w:color w:val="000000"/>
          <w:highlight w:val="none"/>
          <w:u w:val="single"/>
          <w:lang w:eastAsia="zh-CN"/>
        </w:rPr>
        <w:t>JSZC-320981-JBGS-G2026-0011</w:t>
      </w:r>
      <w:r>
        <w:rPr>
          <w:rFonts w:hint="eastAsia" w:ascii="宋体" w:hAnsi="宋体" w:eastAsia="宋体" w:cs="宋体"/>
          <w:color w:val="000000"/>
          <w:highlight w:val="none"/>
        </w:rPr>
        <w:t>的</w:t>
      </w:r>
      <w:r>
        <w:rPr>
          <w:rFonts w:hint="eastAsia" w:ascii="宋体" w:hAnsi="宋体" w:eastAsia="宋体" w:cs="宋体"/>
          <w:color w:val="000000"/>
          <w:highlight w:val="none"/>
          <w:u w:val="single"/>
          <w:lang w:eastAsia="zh-CN"/>
        </w:rPr>
        <w:t>富安镇政府食堂食材及日用品采购服务（二次）</w:t>
      </w:r>
      <w:r>
        <w:rPr>
          <w:rFonts w:hint="eastAsia" w:ascii="宋体" w:hAnsi="宋体" w:eastAsia="宋体" w:cs="宋体"/>
          <w:color w:val="000000"/>
          <w:highlight w:val="none"/>
        </w:rPr>
        <w:t>项目采购活动由本单位提供服务。</w:t>
      </w:r>
    </w:p>
    <w:p w14:paraId="7214428A">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7"/>
        <w:spacing w:beforeAutospacing="0" w:afterAutospacing="0" w:line="0" w:lineRule="atLeast"/>
        <w:ind w:firstLine="480"/>
        <w:jc w:val="both"/>
        <w:rPr>
          <w:highlight w:val="none"/>
        </w:rPr>
      </w:pPr>
      <w:r>
        <w:rPr>
          <w:highlight w:val="none"/>
        </w:rPr>
        <w:t> </w:t>
      </w:r>
    </w:p>
    <w:p w14:paraId="2FAF371E">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56ED4E7">
      <w:pPr>
        <w:pStyle w:val="7"/>
        <w:spacing w:beforeAutospacing="0" w:afterAutospacing="0" w:line="0" w:lineRule="atLeast"/>
        <w:ind w:firstLine="624"/>
        <w:jc w:val="both"/>
        <w:rPr>
          <w:highlight w:val="none"/>
        </w:rPr>
      </w:pPr>
      <w:r>
        <w:rPr>
          <w:highlight w:val="none"/>
        </w:rPr>
        <w:t> </w:t>
      </w:r>
    </w:p>
    <w:p w14:paraId="296E776F">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w:t>
      </w:r>
    </w:p>
    <w:p w14:paraId="3D6AF712">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highlight w:val="none"/>
        </w:rPr>
      </w:pPr>
    </w:p>
    <w:p w14:paraId="0A80BD48">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3120" w:firstLineChars="130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供应商全称（加盖CA电子公章）：</w:t>
      </w:r>
    </w:p>
    <w:p w14:paraId="26FB6E74">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日  期：</w:t>
      </w:r>
    </w:p>
    <w:p w14:paraId="2B15E9CD">
      <w:pPr>
        <w:pStyle w:val="7"/>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 </w:t>
      </w:r>
    </w:p>
    <w:p w14:paraId="5B4F30B6">
      <w:pPr>
        <w:pStyle w:val="7"/>
        <w:spacing w:beforeAutospacing="0" w:afterAutospacing="0" w:line="0" w:lineRule="atLeast"/>
        <w:jc w:val="center"/>
        <w:rPr>
          <w:highlight w:val="none"/>
        </w:rPr>
      </w:pPr>
      <w:r>
        <w:rPr>
          <w:highlight w:val="none"/>
        </w:rPr>
        <w:t> </w:t>
      </w:r>
    </w:p>
    <w:p w14:paraId="0BFA54F0">
      <w:pPr>
        <w:pStyle w:val="7"/>
        <w:spacing w:beforeAutospacing="0" w:afterAutospacing="0" w:line="0" w:lineRule="atLeast"/>
        <w:jc w:val="center"/>
        <w:rPr>
          <w:highlight w:val="none"/>
        </w:rPr>
      </w:pPr>
      <w:r>
        <w:rPr>
          <w:highlight w:val="none"/>
        </w:rPr>
        <w:t> </w:t>
      </w:r>
    </w:p>
    <w:p w14:paraId="23548FC4">
      <w:pPr>
        <w:pStyle w:val="7"/>
        <w:spacing w:beforeAutospacing="0" w:afterAutospacing="0" w:line="0" w:lineRule="atLeast"/>
        <w:jc w:val="center"/>
        <w:rPr>
          <w:highlight w:val="none"/>
        </w:rPr>
      </w:pPr>
      <w:r>
        <w:rPr>
          <w:highlight w:val="none"/>
        </w:rPr>
        <w:t> </w:t>
      </w:r>
    </w:p>
    <w:p w14:paraId="7CC18ADA">
      <w:pPr>
        <w:pStyle w:val="7"/>
        <w:spacing w:beforeAutospacing="0" w:afterAutospacing="0" w:line="0" w:lineRule="atLeast"/>
        <w:jc w:val="center"/>
        <w:rPr>
          <w:highlight w:val="none"/>
        </w:rPr>
      </w:pPr>
      <w:r>
        <w:rPr>
          <w:highlight w:val="none"/>
        </w:rPr>
        <w:t> </w:t>
      </w:r>
    </w:p>
    <w:p w14:paraId="3620AEDE">
      <w:pPr>
        <w:pStyle w:val="7"/>
        <w:spacing w:beforeAutospacing="0" w:afterAutospacing="0" w:line="0" w:lineRule="atLeast"/>
        <w:jc w:val="center"/>
        <w:rPr>
          <w:highlight w:val="none"/>
        </w:rPr>
      </w:pPr>
      <w:r>
        <w:rPr>
          <w:highlight w:val="none"/>
        </w:rPr>
        <w:t> </w:t>
      </w:r>
    </w:p>
    <w:p w14:paraId="45D5FEAA">
      <w:pPr>
        <w:pStyle w:val="7"/>
        <w:spacing w:beforeAutospacing="0" w:afterAutospacing="0" w:line="0" w:lineRule="atLeast"/>
        <w:jc w:val="center"/>
        <w:rPr>
          <w:highlight w:val="none"/>
        </w:rPr>
      </w:pPr>
      <w:r>
        <w:rPr>
          <w:highlight w:val="none"/>
        </w:rPr>
        <w:t> </w:t>
      </w:r>
    </w:p>
    <w:p w14:paraId="02551D98">
      <w:pPr>
        <w:pStyle w:val="7"/>
        <w:spacing w:beforeAutospacing="0" w:afterAutospacing="0" w:line="0" w:lineRule="atLeast"/>
        <w:jc w:val="center"/>
        <w:rPr>
          <w:highlight w:val="none"/>
        </w:rPr>
      </w:pPr>
      <w:r>
        <w:rPr>
          <w:highlight w:val="none"/>
        </w:rPr>
        <w:t> </w:t>
      </w:r>
    </w:p>
    <w:p w14:paraId="2E201E66">
      <w:pPr>
        <w:pStyle w:val="7"/>
        <w:spacing w:beforeAutospacing="0" w:afterAutospacing="0" w:line="0" w:lineRule="atLeast"/>
        <w:jc w:val="center"/>
        <w:rPr>
          <w:highlight w:val="none"/>
        </w:rPr>
      </w:pPr>
    </w:p>
    <w:p w14:paraId="26480510">
      <w:pPr>
        <w:pStyle w:val="7"/>
        <w:spacing w:beforeAutospacing="0" w:afterAutospacing="0" w:line="0" w:lineRule="atLeast"/>
        <w:jc w:val="center"/>
        <w:rPr>
          <w:highlight w:val="none"/>
        </w:rPr>
      </w:pPr>
    </w:p>
    <w:p w14:paraId="040A5ABB">
      <w:pPr>
        <w:pStyle w:val="7"/>
        <w:spacing w:beforeAutospacing="0" w:afterAutospacing="0" w:line="0" w:lineRule="atLeast"/>
        <w:jc w:val="center"/>
        <w:rPr>
          <w:highlight w:val="none"/>
        </w:rPr>
      </w:pPr>
    </w:p>
    <w:p w14:paraId="0E4F8989">
      <w:pPr>
        <w:pStyle w:val="7"/>
        <w:spacing w:beforeAutospacing="0" w:afterAutospacing="0" w:line="0" w:lineRule="atLeast"/>
        <w:jc w:val="center"/>
        <w:rPr>
          <w:highlight w:val="none"/>
        </w:rPr>
      </w:pPr>
    </w:p>
    <w:p w14:paraId="33B3D7CE">
      <w:pPr>
        <w:pStyle w:val="7"/>
        <w:spacing w:beforeAutospacing="0" w:afterAutospacing="0" w:line="0" w:lineRule="atLeast"/>
        <w:jc w:val="center"/>
        <w:rPr>
          <w:highlight w:val="none"/>
        </w:rPr>
      </w:pPr>
    </w:p>
    <w:p w14:paraId="47822C90">
      <w:pPr>
        <w:pStyle w:val="7"/>
        <w:spacing w:beforeAutospacing="0" w:afterAutospacing="0" w:line="0" w:lineRule="atLeast"/>
        <w:jc w:val="center"/>
        <w:rPr>
          <w:highlight w:val="none"/>
        </w:rPr>
      </w:pPr>
    </w:p>
    <w:p w14:paraId="09A39851">
      <w:pPr>
        <w:pStyle w:val="7"/>
        <w:spacing w:beforeAutospacing="0" w:afterAutospacing="0" w:line="0" w:lineRule="atLeast"/>
        <w:jc w:val="center"/>
        <w:rPr>
          <w:highlight w:val="none"/>
        </w:rPr>
      </w:pPr>
    </w:p>
    <w:p w14:paraId="7FD1136E">
      <w:pPr>
        <w:pStyle w:val="7"/>
        <w:spacing w:beforeAutospacing="0" w:afterAutospacing="0" w:line="0" w:lineRule="atLeast"/>
        <w:jc w:val="center"/>
        <w:rPr>
          <w:highlight w:val="none"/>
        </w:rPr>
      </w:pPr>
    </w:p>
    <w:p w14:paraId="5BEB7273">
      <w:pPr>
        <w:pStyle w:val="7"/>
        <w:spacing w:beforeAutospacing="0" w:afterAutospacing="0" w:line="0" w:lineRule="atLeast"/>
        <w:jc w:val="center"/>
        <w:rPr>
          <w:highlight w:val="none"/>
        </w:rPr>
      </w:pPr>
    </w:p>
    <w:p w14:paraId="033ACD42">
      <w:pPr>
        <w:pStyle w:val="7"/>
        <w:spacing w:beforeAutospacing="0" w:afterAutospacing="0" w:line="0" w:lineRule="atLeast"/>
        <w:jc w:val="center"/>
        <w:rPr>
          <w:highlight w:val="none"/>
        </w:rPr>
      </w:pPr>
    </w:p>
    <w:p w14:paraId="0E7A7A07">
      <w:pPr>
        <w:pStyle w:val="7"/>
        <w:spacing w:beforeAutospacing="0" w:afterAutospacing="0" w:line="0" w:lineRule="atLeast"/>
        <w:jc w:val="center"/>
        <w:rPr>
          <w:highlight w:val="none"/>
        </w:rPr>
      </w:pPr>
    </w:p>
    <w:p w14:paraId="290ED4BC">
      <w:pPr>
        <w:pStyle w:val="7"/>
        <w:spacing w:beforeAutospacing="0" w:afterAutospacing="0" w:line="0" w:lineRule="atLeast"/>
        <w:jc w:val="center"/>
        <w:rPr>
          <w:highlight w:val="none"/>
        </w:rPr>
      </w:pPr>
    </w:p>
    <w:p w14:paraId="2DE28D43">
      <w:pPr>
        <w:pStyle w:val="7"/>
        <w:spacing w:beforeAutospacing="0" w:afterAutospacing="0" w:line="0" w:lineRule="atLeast"/>
        <w:jc w:val="center"/>
        <w:rPr>
          <w:highlight w:val="none"/>
        </w:rPr>
      </w:pPr>
    </w:p>
    <w:p w14:paraId="4C188FB5">
      <w:pPr>
        <w:pStyle w:val="7"/>
        <w:spacing w:beforeAutospacing="0" w:afterAutospacing="0" w:line="0" w:lineRule="atLeast"/>
        <w:jc w:val="center"/>
        <w:rPr>
          <w:highlight w:val="none"/>
        </w:rPr>
      </w:pPr>
    </w:p>
    <w:p w14:paraId="44A213E5">
      <w:pPr>
        <w:pStyle w:val="7"/>
        <w:spacing w:beforeAutospacing="0" w:afterAutospacing="0" w:line="0" w:lineRule="atLeast"/>
        <w:jc w:val="center"/>
        <w:rPr>
          <w:highlight w:val="none"/>
        </w:rPr>
      </w:pPr>
    </w:p>
    <w:p w14:paraId="4CFD966F">
      <w:pPr>
        <w:pStyle w:val="7"/>
        <w:spacing w:beforeAutospacing="0" w:afterAutospacing="0"/>
        <w:jc w:val="center"/>
        <w:rPr>
          <w:rFonts w:ascii="宋体" w:hAnsi="宋体" w:eastAsia="宋体" w:cs="宋体"/>
          <w:b/>
          <w:bCs/>
          <w:sz w:val="24"/>
          <w:highlight w:val="none"/>
        </w:rPr>
      </w:pPr>
      <w:bookmarkStart w:id="192" w:name="_Hlt26609389"/>
      <w:bookmarkStart w:id="193" w:name="_格式2__法定代表人授权书"/>
      <w:bookmarkStart w:id="194" w:name="_Hlt26955066"/>
      <w:bookmarkStart w:id="195" w:name="_Hlt26955054"/>
      <w:bookmarkStart w:id="196" w:name="_Toc462564146"/>
      <w:bookmarkStart w:id="197" w:name="_Hlt26671374"/>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一</w:t>
      </w:r>
      <w:r>
        <w:rPr>
          <w:rFonts w:hint="eastAsia" w:ascii="黑体" w:hAnsi="宋体" w:eastAsia="黑体" w:cs="黑体"/>
          <w:b/>
          <w:color w:val="000000"/>
          <w:sz w:val="32"/>
          <w:szCs w:val="32"/>
          <w:highlight w:val="none"/>
        </w:rPr>
        <w:t>、盐城市政府采购事前信用承诺书</w:t>
      </w:r>
    </w:p>
    <w:p w14:paraId="12DBF935">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2E70331B">
      <w:pPr>
        <w:widowControl/>
        <w:spacing w:line="499" w:lineRule="atLeast"/>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p>
    <w:p w14:paraId="413A0F2D">
      <w:pPr>
        <w:widowControl/>
        <w:spacing w:line="499" w:lineRule="atLeast"/>
        <w:ind w:firstLine="5520" w:firstLineChars="2300"/>
        <w:jc w:val="left"/>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法定代表人签名：</w:t>
      </w:r>
    </w:p>
    <w:p w14:paraId="3C5185D7">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031CFD2D">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p>
    <w:bookmarkEnd w:id="31"/>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180"/>
    <w:bookmarkEnd w:id="183"/>
    <w:bookmarkEnd w:id="187"/>
    <w:bookmarkEnd w:id="188"/>
    <w:bookmarkEnd w:id="189"/>
    <w:bookmarkEnd w:id="190"/>
    <w:bookmarkEnd w:id="191"/>
    <w:bookmarkEnd w:id="192"/>
    <w:bookmarkEnd w:id="193"/>
    <w:bookmarkEnd w:id="194"/>
    <w:bookmarkEnd w:id="195"/>
    <w:bookmarkEnd w:id="196"/>
    <w:bookmarkEnd w:id="197"/>
    <w:p w14:paraId="7FBC2650">
      <w:pPr>
        <w:pStyle w:val="7"/>
        <w:spacing w:beforeAutospacing="0" w:afterAutospacing="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十二、</w:t>
      </w:r>
      <w:r>
        <w:rPr>
          <w:rFonts w:hint="eastAsia" w:ascii="宋体" w:hAnsi="宋体" w:eastAsia="宋体" w:cs="宋体"/>
          <w:b/>
          <w:color w:val="000000"/>
          <w:sz w:val="32"/>
          <w:szCs w:val="32"/>
          <w:highlight w:val="none"/>
        </w:rPr>
        <w:t>与评审有关的其他资料</w:t>
      </w:r>
    </w:p>
    <w:p w14:paraId="787EE0B3">
      <w:pPr>
        <w:pStyle w:val="7"/>
        <w:spacing w:beforeAutospacing="0" w:afterAutospacing="0"/>
        <w:jc w:val="center"/>
        <w:rPr>
          <w:rFonts w:hint="eastAsia" w:ascii="宋体" w:hAnsi="宋体" w:eastAsia="宋体" w:cs="宋体"/>
          <w:b/>
          <w:color w:val="000000"/>
          <w:sz w:val="32"/>
          <w:szCs w:val="32"/>
          <w:highlight w:val="none"/>
        </w:rPr>
      </w:pPr>
    </w:p>
    <w:p w14:paraId="388CD8CC">
      <w:pPr>
        <w:pStyle w:val="7"/>
        <w:spacing w:beforeAutospacing="0" w:afterAutospacing="0"/>
        <w:jc w:val="center"/>
        <w:rPr>
          <w:rFonts w:hint="eastAsia" w:ascii="宋体" w:hAnsi="宋体" w:eastAsia="宋体" w:cs="宋体"/>
          <w:b/>
          <w:color w:val="000000"/>
          <w:sz w:val="32"/>
          <w:szCs w:val="32"/>
          <w:highlight w:val="none"/>
        </w:rPr>
      </w:pPr>
    </w:p>
    <w:p w14:paraId="200960A9">
      <w:pPr>
        <w:pStyle w:val="7"/>
        <w:spacing w:beforeAutospacing="0" w:afterAutospacing="0"/>
        <w:jc w:val="center"/>
        <w:rPr>
          <w:rFonts w:hint="eastAsia" w:ascii="宋体" w:hAnsi="宋体" w:eastAsia="宋体" w:cs="宋体"/>
          <w:b/>
          <w:color w:val="000000"/>
          <w:sz w:val="32"/>
          <w:szCs w:val="32"/>
          <w:highlight w:val="none"/>
        </w:rPr>
      </w:pPr>
    </w:p>
    <w:p w14:paraId="0BC15020">
      <w:pPr>
        <w:pStyle w:val="7"/>
        <w:spacing w:beforeAutospacing="0" w:afterAutospacing="0"/>
        <w:jc w:val="center"/>
        <w:rPr>
          <w:rFonts w:hint="eastAsia" w:ascii="宋体" w:hAnsi="宋体" w:eastAsia="宋体" w:cs="宋体"/>
          <w:b/>
          <w:color w:val="000000"/>
          <w:sz w:val="32"/>
          <w:szCs w:val="32"/>
          <w:highlight w:val="none"/>
        </w:rPr>
      </w:pPr>
    </w:p>
    <w:p w14:paraId="45412804">
      <w:pPr>
        <w:pStyle w:val="7"/>
        <w:spacing w:beforeAutospacing="0" w:afterAutospacing="0"/>
        <w:jc w:val="center"/>
        <w:rPr>
          <w:rFonts w:hint="eastAsia" w:ascii="宋体" w:hAnsi="宋体" w:eastAsia="宋体" w:cs="宋体"/>
          <w:b/>
          <w:color w:val="000000"/>
          <w:sz w:val="32"/>
          <w:szCs w:val="32"/>
          <w:highlight w:val="none"/>
        </w:rPr>
      </w:pPr>
    </w:p>
    <w:p w14:paraId="04DEC16B">
      <w:pPr>
        <w:pStyle w:val="7"/>
        <w:spacing w:beforeAutospacing="0" w:afterAutospacing="0"/>
        <w:jc w:val="center"/>
        <w:rPr>
          <w:rFonts w:hint="eastAsia" w:ascii="宋体" w:hAnsi="宋体" w:eastAsia="宋体" w:cs="宋体"/>
          <w:b/>
          <w:color w:val="000000"/>
          <w:sz w:val="32"/>
          <w:szCs w:val="32"/>
          <w:highlight w:val="none"/>
        </w:rPr>
      </w:pPr>
    </w:p>
    <w:p w14:paraId="73AEEB4C">
      <w:pPr>
        <w:pStyle w:val="7"/>
        <w:spacing w:beforeAutospacing="0" w:afterAutospacing="0"/>
        <w:jc w:val="center"/>
        <w:rPr>
          <w:rFonts w:hint="eastAsia" w:ascii="宋体" w:hAnsi="宋体" w:eastAsia="宋体" w:cs="宋体"/>
          <w:b/>
          <w:color w:val="000000"/>
          <w:sz w:val="32"/>
          <w:szCs w:val="32"/>
          <w:highlight w:val="none"/>
        </w:rPr>
      </w:pPr>
    </w:p>
    <w:p w14:paraId="72508340">
      <w:pPr>
        <w:pStyle w:val="7"/>
        <w:spacing w:beforeAutospacing="0" w:afterAutospacing="0"/>
        <w:jc w:val="center"/>
        <w:rPr>
          <w:rFonts w:hint="eastAsia" w:ascii="宋体" w:hAnsi="宋体" w:eastAsia="宋体" w:cs="宋体"/>
          <w:b/>
          <w:color w:val="000000"/>
          <w:sz w:val="32"/>
          <w:szCs w:val="32"/>
          <w:highlight w:val="none"/>
        </w:rPr>
      </w:pPr>
    </w:p>
    <w:p w14:paraId="6A75E174">
      <w:pPr>
        <w:pStyle w:val="7"/>
        <w:spacing w:beforeAutospacing="0" w:afterAutospacing="0"/>
        <w:jc w:val="center"/>
        <w:rPr>
          <w:rFonts w:hint="eastAsia" w:ascii="宋体" w:hAnsi="宋体" w:eastAsia="宋体" w:cs="宋体"/>
          <w:b/>
          <w:color w:val="000000"/>
          <w:sz w:val="32"/>
          <w:szCs w:val="32"/>
          <w:highlight w:val="none"/>
        </w:rPr>
      </w:pPr>
    </w:p>
    <w:p w14:paraId="75E55345">
      <w:pPr>
        <w:pStyle w:val="7"/>
        <w:spacing w:beforeAutospacing="0" w:afterAutospacing="0"/>
        <w:jc w:val="center"/>
        <w:rPr>
          <w:rFonts w:hint="eastAsia" w:ascii="宋体" w:hAnsi="宋体" w:eastAsia="宋体" w:cs="宋体"/>
          <w:b/>
          <w:color w:val="000000"/>
          <w:sz w:val="32"/>
          <w:szCs w:val="32"/>
          <w:highlight w:val="none"/>
        </w:rPr>
      </w:pPr>
    </w:p>
    <w:p w14:paraId="7D3F2E54">
      <w:pPr>
        <w:pStyle w:val="7"/>
        <w:spacing w:beforeAutospacing="0" w:afterAutospacing="0"/>
        <w:jc w:val="center"/>
        <w:rPr>
          <w:rFonts w:hint="eastAsia" w:ascii="宋体" w:hAnsi="宋体" w:eastAsia="宋体" w:cs="宋体"/>
          <w:b/>
          <w:color w:val="000000"/>
          <w:sz w:val="32"/>
          <w:szCs w:val="32"/>
          <w:highlight w:val="none"/>
        </w:rPr>
      </w:pPr>
    </w:p>
    <w:p w14:paraId="7300577F">
      <w:pPr>
        <w:pStyle w:val="7"/>
        <w:spacing w:beforeAutospacing="0" w:afterAutospacing="0"/>
        <w:jc w:val="center"/>
        <w:rPr>
          <w:rFonts w:hint="eastAsia" w:ascii="宋体" w:hAnsi="宋体" w:eastAsia="宋体" w:cs="宋体"/>
          <w:b/>
          <w:color w:val="000000"/>
          <w:sz w:val="32"/>
          <w:szCs w:val="32"/>
          <w:highlight w:val="none"/>
        </w:rPr>
      </w:pPr>
    </w:p>
    <w:p w14:paraId="6E33167E">
      <w:pPr>
        <w:pStyle w:val="7"/>
        <w:spacing w:beforeAutospacing="0" w:afterAutospacing="0"/>
        <w:jc w:val="center"/>
        <w:rPr>
          <w:rFonts w:hint="eastAsia" w:ascii="宋体" w:hAnsi="宋体" w:eastAsia="宋体" w:cs="宋体"/>
          <w:b/>
          <w:color w:val="000000"/>
          <w:sz w:val="32"/>
          <w:szCs w:val="32"/>
          <w:highlight w:val="none"/>
        </w:rPr>
      </w:pPr>
    </w:p>
    <w:p w14:paraId="7E2BEACD">
      <w:pPr>
        <w:pStyle w:val="7"/>
        <w:spacing w:beforeAutospacing="0" w:afterAutospacing="0"/>
        <w:jc w:val="center"/>
        <w:rPr>
          <w:rFonts w:hint="eastAsia" w:ascii="宋体" w:hAnsi="宋体" w:eastAsia="宋体" w:cs="宋体"/>
          <w:b/>
          <w:color w:val="000000"/>
          <w:sz w:val="32"/>
          <w:szCs w:val="32"/>
          <w:highlight w:val="none"/>
        </w:rPr>
      </w:pPr>
    </w:p>
    <w:p w14:paraId="74391B18">
      <w:pPr>
        <w:pStyle w:val="7"/>
        <w:spacing w:beforeAutospacing="0" w:afterAutospacing="0"/>
        <w:jc w:val="center"/>
        <w:rPr>
          <w:rFonts w:hint="eastAsia" w:ascii="宋体" w:hAnsi="宋体" w:eastAsia="宋体" w:cs="宋体"/>
          <w:b/>
          <w:color w:val="000000"/>
          <w:sz w:val="32"/>
          <w:szCs w:val="32"/>
          <w:highlight w:val="none"/>
        </w:rPr>
      </w:pPr>
    </w:p>
    <w:p w14:paraId="38AB0C73">
      <w:pPr>
        <w:pStyle w:val="7"/>
        <w:spacing w:beforeAutospacing="0" w:afterAutospacing="0"/>
        <w:jc w:val="center"/>
        <w:rPr>
          <w:rFonts w:hint="eastAsia" w:ascii="宋体" w:hAnsi="宋体" w:eastAsia="宋体" w:cs="宋体"/>
          <w:b/>
          <w:color w:val="000000"/>
          <w:sz w:val="32"/>
          <w:szCs w:val="32"/>
          <w:highlight w:val="none"/>
        </w:rPr>
      </w:pPr>
    </w:p>
    <w:p w14:paraId="2BE95583">
      <w:pPr>
        <w:pStyle w:val="7"/>
        <w:spacing w:beforeAutospacing="0" w:afterAutospacing="0"/>
        <w:jc w:val="center"/>
        <w:rPr>
          <w:rFonts w:hint="eastAsia" w:ascii="宋体" w:hAnsi="宋体" w:eastAsia="宋体" w:cs="宋体"/>
          <w:b/>
          <w:color w:val="000000"/>
          <w:sz w:val="32"/>
          <w:szCs w:val="32"/>
          <w:highlight w:val="none"/>
        </w:rPr>
      </w:pPr>
    </w:p>
    <w:p w14:paraId="210220F5">
      <w:pPr>
        <w:pStyle w:val="7"/>
        <w:spacing w:beforeAutospacing="0" w:afterAutospacing="0"/>
        <w:jc w:val="center"/>
        <w:rPr>
          <w:rFonts w:hint="eastAsia" w:ascii="宋体" w:hAnsi="宋体" w:eastAsia="宋体" w:cs="宋体"/>
          <w:b/>
          <w:color w:val="000000"/>
          <w:sz w:val="32"/>
          <w:szCs w:val="32"/>
          <w:highlight w:val="none"/>
        </w:rPr>
      </w:pPr>
    </w:p>
    <w:p w14:paraId="6E65860A">
      <w:pPr>
        <w:pStyle w:val="7"/>
        <w:spacing w:beforeAutospacing="0" w:afterAutospacing="0"/>
        <w:jc w:val="center"/>
        <w:rPr>
          <w:rFonts w:hint="eastAsia" w:ascii="宋体" w:hAnsi="宋体" w:eastAsia="宋体" w:cs="宋体"/>
          <w:b/>
          <w:color w:val="000000"/>
          <w:sz w:val="32"/>
          <w:szCs w:val="32"/>
          <w:highlight w:val="none"/>
        </w:rPr>
      </w:pPr>
    </w:p>
    <w:p w14:paraId="61A551E0">
      <w:pPr>
        <w:pStyle w:val="7"/>
        <w:spacing w:beforeAutospacing="0" w:afterAutospacing="0"/>
        <w:jc w:val="center"/>
        <w:rPr>
          <w:rFonts w:hint="eastAsia" w:ascii="宋体" w:hAnsi="宋体" w:eastAsia="宋体" w:cs="宋体"/>
          <w:b/>
          <w:color w:val="000000"/>
          <w:sz w:val="32"/>
          <w:szCs w:val="32"/>
          <w:highlight w:val="none"/>
        </w:rPr>
      </w:pPr>
    </w:p>
    <w:p w14:paraId="4ADF4EA8">
      <w:pPr>
        <w:pStyle w:val="7"/>
        <w:spacing w:beforeAutospacing="0" w:afterAutospacing="0"/>
        <w:jc w:val="center"/>
        <w:rPr>
          <w:rFonts w:hint="eastAsia" w:ascii="宋体" w:hAnsi="宋体" w:eastAsia="宋体" w:cs="宋体"/>
          <w:b/>
          <w:color w:val="000000"/>
          <w:sz w:val="32"/>
          <w:szCs w:val="32"/>
          <w:highlight w:val="none"/>
        </w:rPr>
      </w:pPr>
    </w:p>
    <w:p w14:paraId="4D3B41D8">
      <w:pPr>
        <w:pStyle w:val="7"/>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7"/>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7"/>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7"/>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7"/>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7"/>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7"/>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7"/>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7"/>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6524A20-C13C-4A14-9BAF-2BDD6F325B57}"/>
  </w:font>
  <w:font w:name="黑体">
    <w:panose1 w:val="02010609060101010101"/>
    <w:charset w:val="86"/>
    <w:family w:val="auto"/>
    <w:pitch w:val="default"/>
    <w:sig w:usb0="800002BF" w:usb1="38CF7CFA" w:usb2="00000016" w:usb3="00000000" w:csb0="00040001" w:csb1="00000000"/>
    <w:embedRegular r:id="rId2" w:fontKey="{C15E5AC0-861A-470E-9EEC-B45C3B3511E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D45D127E-51A7-441F-80BE-00697460F891}"/>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魏碑_GBK">
    <w:panose1 w:val="02000000000000000000"/>
    <w:charset w:val="86"/>
    <w:family w:val="script"/>
    <w:pitch w:val="default"/>
    <w:sig w:usb0="A00002BF" w:usb1="38CF7CFA" w:usb2="00000016" w:usb3="00000000" w:csb0="00040001" w:csb1="00000000"/>
    <w:embedRegular r:id="rId4" w:fontKey="{E15445D6-212E-4A79-92AE-03877658E5A7}"/>
  </w:font>
  <w:font w:name="仿宋_GB2312">
    <w:altName w:val="仿宋"/>
    <w:panose1 w:val="02010609030101010101"/>
    <w:charset w:val="86"/>
    <w:family w:val="modern"/>
    <w:pitch w:val="default"/>
    <w:sig w:usb0="00000000" w:usb1="00000000" w:usb2="00000000" w:usb3="00000000" w:csb0="00040000" w:csb1="00000000"/>
    <w:embedRegular r:id="rId5" w:fontKey="{FD0A5131-2C08-4FCE-BF72-1B26E0AC393F}"/>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36113">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348926">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348926">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C3D17"/>
    <w:rsid w:val="01C209CB"/>
    <w:rsid w:val="02357688"/>
    <w:rsid w:val="02851591"/>
    <w:rsid w:val="02BD5381"/>
    <w:rsid w:val="02D505AD"/>
    <w:rsid w:val="03365B5E"/>
    <w:rsid w:val="034E4AD1"/>
    <w:rsid w:val="037E0789"/>
    <w:rsid w:val="03913FFC"/>
    <w:rsid w:val="043D6C25"/>
    <w:rsid w:val="04CF1FA6"/>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F651C7"/>
    <w:rsid w:val="080A468F"/>
    <w:rsid w:val="0854758E"/>
    <w:rsid w:val="08992D34"/>
    <w:rsid w:val="08C86899"/>
    <w:rsid w:val="09132265"/>
    <w:rsid w:val="09674A89"/>
    <w:rsid w:val="09D92A42"/>
    <w:rsid w:val="09FE79EC"/>
    <w:rsid w:val="0AB319EF"/>
    <w:rsid w:val="0ABC363A"/>
    <w:rsid w:val="0AD8294B"/>
    <w:rsid w:val="0AEC25BF"/>
    <w:rsid w:val="0B4B3B00"/>
    <w:rsid w:val="0B8A23C1"/>
    <w:rsid w:val="0BA111B6"/>
    <w:rsid w:val="0BAE3813"/>
    <w:rsid w:val="0BEB51B8"/>
    <w:rsid w:val="0BFF003E"/>
    <w:rsid w:val="0C9413AC"/>
    <w:rsid w:val="0CFF0F1B"/>
    <w:rsid w:val="0D4D2FC1"/>
    <w:rsid w:val="0E0362D5"/>
    <w:rsid w:val="0E966A8C"/>
    <w:rsid w:val="0E9C279A"/>
    <w:rsid w:val="0EB36461"/>
    <w:rsid w:val="0EE61CD2"/>
    <w:rsid w:val="0F0A004B"/>
    <w:rsid w:val="0F655282"/>
    <w:rsid w:val="0F6D24BC"/>
    <w:rsid w:val="0F7D537E"/>
    <w:rsid w:val="0FAC5DBF"/>
    <w:rsid w:val="0FBC4A1F"/>
    <w:rsid w:val="0FE97C61"/>
    <w:rsid w:val="10007707"/>
    <w:rsid w:val="10B2533E"/>
    <w:rsid w:val="11072A94"/>
    <w:rsid w:val="11AB711C"/>
    <w:rsid w:val="11EB7CC0"/>
    <w:rsid w:val="12A21019"/>
    <w:rsid w:val="12D9220E"/>
    <w:rsid w:val="12F015A0"/>
    <w:rsid w:val="132711CC"/>
    <w:rsid w:val="13D157F4"/>
    <w:rsid w:val="143E4A1F"/>
    <w:rsid w:val="14477BA7"/>
    <w:rsid w:val="157923E7"/>
    <w:rsid w:val="159D5775"/>
    <w:rsid w:val="162C6AF9"/>
    <w:rsid w:val="163E3563"/>
    <w:rsid w:val="169263C8"/>
    <w:rsid w:val="16A61788"/>
    <w:rsid w:val="16AF4856"/>
    <w:rsid w:val="16FC471D"/>
    <w:rsid w:val="170045BA"/>
    <w:rsid w:val="174D6D27"/>
    <w:rsid w:val="174D7871"/>
    <w:rsid w:val="17666D47"/>
    <w:rsid w:val="176F0FD8"/>
    <w:rsid w:val="17732C32"/>
    <w:rsid w:val="178521C3"/>
    <w:rsid w:val="17884203"/>
    <w:rsid w:val="18BC4109"/>
    <w:rsid w:val="18D23988"/>
    <w:rsid w:val="193260E4"/>
    <w:rsid w:val="19375395"/>
    <w:rsid w:val="19835197"/>
    <w:rsid w:val="19A11C2E"/>
    <w:rsid w:val="1A1C3150"/>
    <w:rsid w:val="1A4F2C83"/>
    <w:rsid w:val="1A9E3B2D"/>
    <w:rsid w:val="1AA839EE"/>
    <w:rsid w:val="1AD2708F"/>
    <w:rsid w:val="1AD75285"/>
    <w:rsid w:val="1AE6196C"/>
    <w:rsid w:val="1B193AF0"/>
    <w:rsid w:val="1B5508A0"/>
    <w:rsid w:val="1B5F5046"/>
    <w:rsid w:val="1B9509DF"/>
    <w:rsid w:val="1BA002D8"/>
    <w:rsid w:val="1C493F61"/>
    <w:rsid w:val="1CAC4347"/>
    <w:rsid w:val="1D1C1092"/>
    <w:rsid w:val="1D605A5A"/>
    <w:rsid w:val="1D812873"/>
    <w:rsid w:val="1DDF4451"/>
    <w:rsid w:val="1DE2466D"/>
    <w:rsid w:val="1DFD1285"/>
    <w:rsid w:val="1E4E1D03"/>
    <w:rsid w:val="1EC70509"/>
    <w:rsid w:val="1EE6018D"/>
    <w:rsid w:val="1F4A0271"/>
    <w:rsid w:val="1FA5245A"/>
    <w:rsid w:val="1FC7762D"/>
    <w:rsid w:val="2000702C"/>
    <w:rsid w:val="205C376D"/>
    <w:rsid w:val="20607ACB"/>
    <w:rsid w:val="20677E3C"/>
    <w:rsid w:val="20733730"/>
    <w:rsid w:val="209429D0"/>
    <w:rsid w:val="20A83FAF"/>
    <w:rsid w:val="20CE42A1"/>
    <w:rsid w:val="211451C0"/>
    <w:rsid w:val="215025DE"/>
    <w:rsid w:val="21827A71"/>
    <w:rsid w:val="21CC717D"/>
    <w:rsid w:val="22424AA4"/>
    <w:rsid w:val="228C104B"/>
    <w:rsid w:val="22934188"/>
    <w:rsid w:val="22F62B8A"/>
    <w:rsid w:val="23151041"/>
    <w:rsid w:val="23254D08"/>
    <w:rsid w:val="23534E2B"/>
    <w:rsid w:val="242C02D7"/>
    <w:rsid w:val="243F4D72"/>
    <w:rsid w:val="24533DC2"/>
    <w:rsid w:val="24BE643D"/>
    <w:rsid w:val="2532334D"/>
    <w:rsid w:val="259B3353"/>
    <w:rsid w:val="264149DE"/>
    <w:rsid w:val="26750FF7"/>
    <w:rsid w:val="27194423"/>
    <w:rsid w:val="27206206"/>
    <w:rsid w:val="27290FC5"/>
    <w:rsid w:val="280F2F92"/>
    <w:rsid w:val="28AF737D"/>
    <w:rsid w:val="28BC3D0D"/>
    <w:rsid w:val="28FE41FC"/>
    <w:rsid w:val="29345C52"/>
    <w:rsid w:val="2996274E"/>
    <w:rsid w:val="29BD7D3C"/>
    <w:rsid w:val="2A4648B7"/>
    <w:rsid w:val="2A9A62D0"/>
    <w:rsid w:val="2B005440"/>
    <w:rsid w:val="2BCA6741"/>
    <w:rsid w:val="2C03574A"/>
    <w:rsid w:val="2C0A4EA8"/>
    <w:rsid w:val="2C1125C1"/>
    <w:rsid w:val="2C7B3B05"/>
    <w:rsid w:val="2CC277F5"/>
    <w:rsid w:val="2CEA709A"/>
    <w:rsid w:val="2D39592C"/>
    <w:rsid w:val="2E0C4DEE"/>
    <w:rsid w:val="2E5E7AF7"/>
    <w:rsid w:val="2E9F2106"/>
    <w:rsid w:val="2EE73822"/>
    <w:rsid w:val="2FA80D19"/>
    <w:rsid w:val="2FAD4FD9"/>
    <w:rsid w:val="2FB346FB"/>
    <w:rsid w:val="2FFA5778"/>
    <w:rsid w:val="300932A8"/>
    <w:rsid w:val="30495C84"/>
    <w:rsid w:val="30650005"/>
    <w:rsid w:val="310333AD"/>
    <w:rsid w:val="3126266B"/>
    <w:rsid w:val="31522189"/>
    <w:rsid w:val="318E0F10"/>
    <w:rsid w:val="31DB0550"/>
    <w:rsid w:val="32531113"/>
    <w:rsid w:val="329E6CD8"/>
    <w:rsid w:val="32AE0B6A"/>
    <w:rsid w:val="32E77BD8"/>
    <w:rsid w:val="33440753"/>
    <w:rsid w:val="334B4AB3"/>
    <w:rsid w:val="33773E42"/>
    <w:rsid w:val="34367069"/>
    <w:rsid w:val="34E14EA2"/>
    <w:rsid w:val="34E346A0"/>
    <w:rsid w:val="354365B4"/>
    <w:rsid w:val="359B1151"/>
    <w:rsid w:val="35A41DB0"/>
    <w:rsid w:val="35AD49A2"/>
    <w:rsid w:val="35BC534C"/>
    <w:rsid w:val="36172BC3"/>
    <w:rsid w:val="36721EAF"/>
    <w:rsid w:val="36CC7C95"/>
    <w:rsid w:val="36E076F0"/>
    <w:rsid w:val="36EB650A"/>
    <w:rsid w:val="375B1FDF"/>
    <w:rsid w:val="376143DD"/>
    <w:rsid w:val="378133A9"/>
    <w:rsid w:val="383A233E"/>
    <w:rsid w:val="39101F1B"/>
    <w:rsid w:val="392D7EB3"/>
    <w:rsid w:val="39643D30"/>
    <w:rsid w:val="39720FC7"/>
    <w:rsid w:val="39987E7E"/>
    <w:rsid w:val="39A84137"/>
    <w:rsid w:val="39CD52E9"/>
    <w:rsid w:val="3A1C0AAF"/>
    <w:rsid w:val="3A575643"/>
    <w:rsid w:val="3A64388F"/>
    <w:rsid w:val="3AB02FA5"/>
    <w:rsid w:val="3B0B043D"/>
    <w:rsid w:val="3B702E61"/>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3FCE4E1A"/>
    <w:rsid w:val="40260F22"/>
    <w:rsid w:val="402B33C8"/>
    <w:rsid w:val="40350295"/>
    <w:rsid w:val="406E1D8D"/>
    <w:rsid w:val="42053C57"/>
    <w:rsid w:val="42214BD9"/>
    <w:rsid w:val="42324DFA"/>
    <w:rsid w:val="42AF59D8"/>
    <w:rsid w:val="431353F3"/>
    <w:rsid w:val="43455446"/>
    <w:rsid w:val="4450382F"/>
    <w:rsid w:val="44DA072F"/>
    <w:rsid w:val="454D0F8E"/>
    <w:rsid w:val="45890E3A"/>
    <w:rsid w:val="45FC0A54"/>
    <w:rsid w:val="461D469A"/>
    <w:rsid w:val="466976E6"/>
    <w:rsid w:val="46D32596"/>
    <w:rsid w:val="46EA0CE7"/>
    <w:rsid w:val="470D4256"/>
    <w:rsid w:val="47124BC1"/>
    <w:rsid w:val="472208AE"/>
    <w:rsid w:val="47704C41"/>
    <w:rsid w:val="47755C7D"/>
    <w:rsid w:val="477F6C5D"/>
    <w:rsid w:val="47B925F3"/>
    <w:rsid w:val="48771F96"/>
    <w:rsid w:val="48910AEC"/>
    <w:rsid w:val="48913E27"/>
    <w:rsid w:val="489D725F"/>
    <w:rsid w:val="48B3170D"/>
    <w:rsid w:val="493C7DE9"/>
    <w:rsid w:val="49D62B33"/>
    <w:rsid w:val="4A1E13B4"/>
    <w:rsid w:val="4A2C49B0"/>
    <w:rsid w:val="4A7D1B0F"/>
    <w:rsid w:val="4AAC50D1"/>
    <w:rsid w:val="4AF64A04"/>
    <w:rsid w:val="4AFA44F5"/>
    <w:rsid w:val="4B0C37B9"/>
    <w:rsid w:val="4B944949"/>
    <w:rsid w:val="4BC33B49"/>
    <w:rsid w:val="4BD12EAB"/>
    <w:rsid w:val="4C0C6ECB"/>
    <w:rsid w:val="4C5A2B74"/>
    <w:rsid w:val="4D2D20D9"/>
    <w:rsid w:val="4D317F76"/>
    <w:rsid w:val="4D3C69F8"/>
    <w:rsid w:val="4D784E5B"/>
    <w:rsid w:val="4DA074F7"/>
    <w:rsid w:val="4DA33F07"/>
    <w:rsid w:val="4DDE52C0"/>
    <w:rsid w:val="4EDD03B5"/>
    <w:rsid w:val="4F245FE4"/>
    <w:rsid w:val="4F337FD5"/>
    <w:rsid w:val="4F526BF1"/>
    <w:rsid w:val="4FC2427A"/>
    <w:rsid w:val="50A0169A"/>
    <w:rsid w:val="50A1397F"/>
    <w:rsid w:val="51C75DFE"/>
    <w:rsid w:val="52741FCB"/>
    <w:rsid w:val="52CA1464"/>
    <w:rsid w:val="52D06B10"/>
    <w:rsid w:val="52D52291"/>
    <w:rsid w:val="53112879"/>
    <w:rsid w:val="533D58C6"/>
    <w:rsid w:val="53536515"/>
    <w:rsid w:val="536B21BA"/>
    <w:rsid w:val="53A862CC"/>
    <w:rsid w:val="542645AC"/>
    <w:rsid w:val="542A0FDA"/>
    <w:rsid w:val="545729B8"/>
    <w:rsid w:val="546C11F4"/>
    <w:rsid w:val="546E1AAF"/>
    <w:rsid w:val="54857525"/>
    <w:rsid w:val="54ED53D0"/>
    <w:rsid w:val="55091CCC"/>
    <w:rsid w:val="55C67DF5"/>
    <w:rsid w:val="55FA184D"/>
    <w:rsid w:val="56307253"/>
    <w:rsid w:val="56453199"/>
    <w:rsid w:val="582F6DAB"/>
    <w:rsid w:val="58366D88"/>
    <w:rsid w:val="588910E4"/>
    <w:rsid w:val="58977827"/>
    <w:rsid w:val="58AD45AF"/>
    <w:rsid w:val="58D4718C"/>
    <w:rsid w:val="59274DA4"/>
    <w:rsid w:val="597131E7"/>
    <w:rsid w:val="599211F9"/>
    <w:rsid w:val="59A82CA5"/>
    <w:rsid w:val="5ABD109B"/>
    <w:rsid w:val="5AD514E8"/>
    <w:rsid w:val="5AD536B4"/>
    <w:rsid w:val="5AEA4CCC"/>
    <w:rsid w:val="5B031B11"/>
    <w:rsid w:val="5B2C4517"/>
    <w:rsid w:val="5B96574B"/>
    <w:rsid w:val="5C2A4141"/>
    <w:rsid w:val="5C5A652B"/>
    <w:rsid w:val="5CE305DA"/>
    <w:rsid w:val="5D3E5EBD"/>
    <w:rsid w:val="5DDD75C3"/>
    <w:rsid w:val="5DE138D8"/>
    <w:rsid w:val="5E1921ED"/>
    <w:rsid w:val="5EF07A1A"/>
    <w:rsid w:val="5F7D5E8E"/>
    <w:rsid w:val="5F7F522A"/>
    <w:rsid w:val="5FD72BFF"/>
    <w:rsid w:val="5FFC4413"/>
    <w:rsid w:val="601337BB"/>
    <w:rsid w:val="60762DC3"/>
    <w:rsid w:val="60D51B2B"/>
    <w:rsid w:val="617F2D1C"/>
    <w:rsid w:val="61891CD7"/>
    <w:rsid w:val="61C52826"/>
    <w:rsid w:val="62312A9A"/>
    <w:rsid w:val="6283706E"/>
    <w:rsid w:val="62A87E16"/>
    <w:rsid w:val="62C43294"/>
    <w:rsid w:val="62CA561A"/>
    <w:rsid w:val="6313315F"/>
    <w:rsid w:val="637172BE"/>
    <w:rsid w:val="63CD6C1F"/>
    <w:rsid w:val="64813139"/>
    <w:rsid w:val="64A56430"/>
    <w:rsid w:val="65BB2793"/>
    <w:rsid w:val="65DD5A8E"/>
    <w:rsid w:val="65FB46E7"/>
    <w:rsid w:val="667027CF"/>
    <w:rsid w:val="6688694C"/>
    <w:rsid w:val="66B22301"/>
    <w:rsid w:val="66D41C46"/>
    <w:rsid w:val="670D4A21"/>
    <w:rsid w:val="67B6759E"/>
    <w:rsid w:val="68076E78"/>
    <w:rsid w:val="68245589"/>
    <w:rsid w:val="68777DD2"/>
    <w:rsid w:val="68CF442F"/>
    <w:rsid w:val="69605A13"/>
    <w:rsid w:val="69983CE0"/>
    <w:rsid w:val="69CA10DE"/>
    <w:rsid w:val="6A1C1694"/>
    <w:rsid w:val="6A303461"/>
    <w:rsid w:val="6A751DB0"/>
    <w:rsid w:val="6A794776"/>
    <w:rsid w:val="6AB95533"/>
    <w:rsid w:val="6B037E0E"/>
    <w:rsid w:val="6BD97CB1"/>
    <w:rsid w:val="6BDD2B0A"/>
    <w:rsid w:val="6BDE41BB"/>
    <w:rsid w:val="6BF40AC7"/>
    <w:rsid w:val="6C5462A8"/>
    <w:rsid w:val="6C7041BF"/>
    <w:rsid w:val="6C917FD7"/>
    <w:rsid w:val="6D0E4A60"/>
    <w:rsid w:val="6D920AF1"/>
    <w:rsid w:val="6DB4457F"/>
    <w:rsid w:val="6DEE183F"/>
    <w:rsid w:val="6E401402"/>
    <w:rsid w:val="6EEE4BC6"/>
    <w:rsid w:val="6F3574FF"/>
    <w:rsid w:val="6F6F7A6D"/>
    <w:rsid w:val="6F711F0A"/>
    <w:rsid w:val="6FBB0862"/>
    <w:rsid w:val="70106954"/>
    <w:rsid w:val="71BB7860"/>
    <w:rsid w:val="71C1726B"/>
    <w:rsid w:val="72440385"/>
    <w:rsid w:val="727D7636"/>
    <w:rsid w:val="72CC236B"/>
    <w:rsid w:val="735317DC"/>
    <w:rsid w:val="73761484"/>
    <w:rsid w:val="73EA0CFB"/>
    <w:rsid w:val="743F3C99"/>
    <w:rsid w:val="74835482"/>
    <w:rsid w:val="74877DC7"/>
    <w:rsid w:val="74DB35C2"/>
    <w:rsid w:val="75890D8F"/>
    <w:rsid w:val="75B043EA"/>
    <w:rsid w:val="76845C3D"/>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9F97623"/>
    <w:rsid w:val="7A4B7878"/>
    <w:rsid w:val="7A6D100D"/>
    <w:rsid w:val="7B4231CA"/>
    <w:rsid w:val="7B825670"/>
    <w:rsid w:val="7B946370"/>
    <w:rsid w:val="7C3F1529"/>
    <w:rsid w:val="7C5F16F8"/>
    <w:rsid w:val="7C6929D9"/>
    <w:rsid w:val="7C9D3E10"/>
    <w:rsid w:val="7CA82FB1"/>
    <w:rsid w:val="7CAF2E48"/>
    <w:rsid w:val="7CB122FF"/>
    <w:rsid w:val="7DA05FAF"/>
    <w:rsid w:val="7DBA67DE"/>
    <w:rsid w:val="7DF53ACA"/>
    <w:rsid w:val="7DF7159A"/>
    <w:rsid w:val="7E7C50A3"/>
    <w:rsid w:val="7F0E4C61"/>
    <w:rsid w:val="7F585A6E"/>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Body Text"/>
    <w:basedOn w:val="1"/>
    <w:semiHidden/>
    <w:qFormat/>
    <w:uiPriority w:val="0"/>
    <w:rPr>
      <w:rFonts w:ascii="仿宋" w:hAnsi="仿宋" w:eastAsia="仿宋" w:cs="仿宋"/>
      <w:sz w:val="31"/>
      <w:szCs w:val="31"/>
      <w:lang w:val="en-US" w:eastAsia="en-US" w:bidi="ar-SA"/>
    </w:rPr>
  </w:style>
  <w:style w:type="paragraph" w:styleId="5">
    <w:name w:val="footer"/>
    <w:basedOn w:val="1"/>
    <w:link w:val="14"/>
    <w:autoRedefine/>
    <w:qFormat/>
    <w:uiPriority w:val="0"/>
    <w:pPr>
      <w:tabs>
        <w:tab w:val="center" w:pos="4153"/>
        <w:tab w:val="right" w:pos="8306"/>
      </w:tabs>
      <w:snapToGrid w:val="0"/>
      <w:jc w:val="left"/>
    </w:pPr>
    <w:rPr>
      <w:sz w:val="18"/>
      <w:szCs w:val="18"/>
    </w:rPr>
  </w:style>
  <w:style w:type="paragraph" w:styleId="6">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0"/>
    <w:pPr>
      <w:spacing w:beforeAutospacing="1" w:afterAutospacing="1"/>
      <w:jc w:val="left"/>
    </w:pPr>
    <w:rPr>
      <w:rFonts w:cs="Times New Roman"/>
      <w:kern w:val="0"/>
      <w:sz w:val="24"/>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Emphasis"/>
    <w:qFormat/>
    <w:uiPriority w:val="0"/>
    <w:rPr>
      <w:i/>
    </w:rPr>
  </w:style>
  <w:style w:type="paragraph" w:customStyle="1" w:styleId="12">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3">
    <w:name w:val="页眉 Char"/>
    <w:basedOn w:val="10"/>
    <w:link w:val="6"/>
    <w:autoRedefine/>
    <w:qFormat/>
    <w:uiPriority w:val="0"/>
    <w:rPr>
      <w:rFonts w:asciiTheme="minorHAnsi" w:hAnsiTheme="minorHAnsi" w:eastAsiaTheme="minorEastAsia" w:cstheme="minorBidi"/>
      <w:kern w:val="2"/>
      <w:sz w:val="18"/>
      <w:szCs w:val="18"/>
    </w:rPr>
  </w:style>
  <w:style w:type="character" w:customStyle="1" w:styleId="14">
    <w:name w:val="页脚 Char"/>
    <w:basedOn w:val="10"/>
    <w:link w:val="5"/>
    <w:autoRedefine/>
    <w:qFormat/>
    <w:uiPriority w:val="0"/>
    <w:rPr>
      <w:rFonts w:asciiTheme="minorHAnsi" w:hAnsiTheme="minorHAnsi" w:eastAsiaTheme="minorEastAsia" w:cstheme="minorBidi"/>
      <w:kern w:val="2"/>
      <w:sz w:val="18"/>
      <w:szCs w:val="18"/>
    </w:rPr>
  </w:style>
  <w:style w:type="paragraph" w:customStyle="1" w:styleId="15">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6">
    <w:name w:val="正文首行缩进 21"/>
    <w:basedOn w:val="17"/>
    <w:qFormat/>
    <w:uiPriority w:val="0"/>
    <w:pPr>
      <w:ind w:firstLine="420"/>
    </w:pPr>
  </w:style>
  <w:style w:type="paragraph" w:customStyle="1" w:styleId="17">
    <w:name w:val="正文文本缩进1"/>
    <w:basedOn w:val="1"/>
    <w:qFormat/>
    <w:uiPriority w:val="0"/>
    <w:pPr>
      <w:spacing w:after="120"/>
      <w:ind w:left="420"/>
    </w:pPr>
  </w:style>
  <w:style w:type="paragraph" w:customStyle="1" w:styleId="18">
    <w:name w:val="普通(网站)1"/>
    <w:basedOn w:val="1"/>
    <w:qFormat/>
    <w:uiPriority w:val="0"/>
    <w:pPr>
      <w:spacing w:beforeAutospacing="1" w:afterAutospacing="1"/>
      <w:jc w:val="left"/>
    </w:pPr>
    <w:rPr>
      <w:rFonts w:cs="Times New Roman"/>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47</Pages>
  <Words>3589</Words>
  <Characters>3891</Characters>
  <Lines>167</Lines>
  <Paragraphs>47</Paragraphs>
  <TotalTime>11</TotalTime>
  <ScaleCrop>false</ScaleCrop>
  <LinksUpToDate>false</LinksUpToDate>
  <CharactersWithSpaces>4067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企业用户_296400523</cp:lastModifiedBy>
  <dcterms:modified xsi:type="dcterms:W3CDTF">2026-04-27T08:35:50Z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EB577AEBE621480B8921AD7EAD65F17D_13</vt:lpwstr>
  </property>
  <property fmtid="{D5CDD505-2E9C-101B-9397-08002B2CF9AE}" pid="4" name="KSOTemplateDocerSaveRecord">
    <vt:lpwstr>eyJoZGlkIjoiM2FmNzA3NWFjZTVhMTk1M2U4MmI4MTJiZjYzNTc5YjgiLCJ1c2VySWQiOiIxNTYwNDkwMDE5In0=</vt:lpwstr>
  </property>
</Properties>
</file>