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2"/>
        <w:ind w:firstLine="0"/>
        <w:jc w:val="center"/>
        <w:rPr>
          <w:rFonts w:hint="eastAsia" w:ascii="Arial" w:hAnsi="Arial" w:eastAsia="黑体" w:cs="Times New Roman"/>
          <w:b/>
          <w:bCs/>
          <w:color w:val="000000"/>
          <w:sz w:val="84"/>
        </w:rPr>
        <w:outlineLvl w:val="0"/>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outlineLvl w:val="0"/>
      </w:pPr>
      <w:r>
        <w:rPr>
          <w:rFonts w:hint="eastAsia" w:ascii="Arial" w:hAnsi="Arial" w:eastAsia="宋体" w:cs="Times New Roman"/>
          <w:b/>
          <w:bCs/>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“栖心为企”数字企服平台 </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outlineLvl w:val="0"/>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 JSZC-320100-JZCG-C2026-0105</w:t>
      </w:r>
      <w:r/>
    </w:p>
    <w:p>
      <w:pPr>
        <w:pStyle w:val="867"/>
        <w:jc w:val="center"/>
        <w:rPr>
          <w:rFonts w:hint="eastAsia" w:ascii="Times New Roman" w:hAnsi="Times New Roman" w:eastAsia="宋体" w:cs="Times New Roman"/>
          <w:b/>
          <w:color w:val="000000"/>
          <w:sz w:val="30"/>
          <w:szCs w:val="30"/>
          <w:lang w:eastAsia="zh-CN"/>
        </w:rPr>
        <w:outlineLvl w:val="0"/>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949"/>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62"/>
        <w:ind w:firstLine="0"/>
        <w:jc w:val="center"/>
        <w:rPr>
          <w:rFonts w:hint="eastAsia" w:ascii="Arial" w:hAnsi="Arial" w:eastAsia="宋体" w:cs="Times New Roman"/>
          <w:b/>
          <w:bCs/>
          <w:sz w:val="32"/>
          <w:lang w:eastAsia="zh-CN"/>
        </w:rPr>
        <w:outlineLvl w:val="1"/>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jc w:val="center"/>
        <w:spacing w:line="480" w:lineRule="auto"/>
        <w:rPr>
          <w:rFonts w:hint="eastAsia" w:ascii="黑体" w:hAnsi="Arial" w:eastAsia="黑体"/>
          <w:b/>
          <w:sz w:val="44"/>
          <w:szCs w:val="21"/>
        </w:rPr>
        <w:outlineLvl w:val="0"/>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5</w:t>
      </w:r>
      <w:r>
        <w:rPr>
          <w:rFonts w:hint="eastAsia" w:ascii="Times New Roman" w:hAnsi="Times New Roman" w:eastAsia="宋体" w:cs="Times New Roman"/>
          <w:b/>
          <w:bCs w:val="0"/>
          <w:color w:val="000000"/>
          <w:sz w:val="32"/>
          <w:szCs w:val="32"/>
          <w:u w:val="none"/>
          <w:lang w:val="en-US" w:eastAsia="zh-CN"/>
        </w:rPr>
        <w:t xml:space="preserve">月</w:t>
      </w: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479757206"/>
      <w:r/>
      <w:bookmarkStart w:id="1" w:name="_Toc523127445"/>
      <w:r/>
      <w:bookmarkStart w:id="2" w:name="_Toc120614210"/>
      <w:r/>
      <w:bookmarkStart w:id="3" w:name="_Toc20823272"/>
      <w:r/>
      <w:bookmarkStart w:id="4" w:name="_Toc513029200"/>
      <w:r/>
      <w:bookmarkStart w:id="5" w:name="_Toc16938516"/>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34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38</w:t>
      </w:r>
      <w:r>
        <w:rPr>
          <w:rFonts w:hint="eastAsia" w:ascii="黑体" w:hAnsi="宋体" w:eastAsia="黑体" w:cs="Times New Roman"/>
          <w:color w:val="000000"/>
          <w:sz w:val="36"/>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南京经济技术开发区企业综合服务中心</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“栖心为企”数字企服平台</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w:t>
      </w:r>
      <w:r>
        <w:rPr>
          <w:rFonts w:hint="eastAsia" w:ascii="宋体" w:hAnsi="宋体" w:eastAsia="宋体" w:cs="Times New Roman"/>
          <w:sz w:val="24"/>
          <w:szCs w:val="24"/>
          <w:lang w:val="en-US" w:eastAsia="zh-CN"/>
        </w:rPr>
        <w:t xml:space="preserve">争性磋商采购，欢迎符合条件的供应商参加磋商。</w:t>
      </w:r>
      <w:r>
        <w:rPr>
          <w:rFonts w:hint="eastAsia" w:ascii="宋体" w:hAnsi="宋体" w:eastAsia="宋体" w:cs="Times New Roman"/>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rPr>
      </w:pPr>
      <w:r>
        <w:rPr>
          <w:rFonts w:hint="eastAsia" w:ascii="宋体" w:hAnsi="宋体"/>
          <w:sz w:val="24"/>
          <w:szCs w:val="24"/>
        </w:rPr>
        <w:t xml:space="preserve">1.项目编号：</w:t>
      </w:r>
      <w:r>
        <w:rPr>
          <w:rFonts w:hint="eastAsia" w:ascii="宋体" w:hAnsi="宋体" w:cs="Times New Roman"/>
          <w:color w:val="0000ff"/>
          <w:sz w:val="24"/>
          <w:szCs w:val="24"/>
          <w:lang w:eastAsia="zh-CN"/>
        </w:rPr>
        <w:t xml:space="preserve"> </w:t>
      </w:r>
      <w:r>
        <w:rPr>
          <w:rFonts w:hint="eastAsia" w:ascii="宋体" w:hAnsi="宋体" w:cs="Times New Roman"/>
          <w:color w:val="000000"/>
          <w:sz w:val="24"/>
          <w:szCs w:val="24"/>
          <w:lang w:eastAsia="zh-CN"/>
        </w:rPr>
        <w:t xml:space="preserve">JSZC-320100-JZCG-C2026-0105</w:t>
      </w:r>
      <w:r>
        <w:rPr>
          <w:rFonts w:ascii="宋体" w:hAnsi="宋体"/>
          <w:color w:val="000000"/>
          <w:sz w:val="24"/>
          <w:szCs w:val="24"/>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2</w:t>
      </w:r>
      <w:r>
        <w:rPr>
          <w:rFonts w:hint="eastAsia" w:ascii="宋体" w:hAnsi="宋体"/>
          <w:color w:val="000000"/>
          <w:sz w:val="24"/>
          <w:szCs w:val="24"/>
        </w:rPr>
        <w:t xml:space="preserve">.项目名称：</w:t>
      </w:r>
      <w:r>
        <w:rPr>
          <w:rFonts w:hint="eastAsia" w:ascii="宋体" w:hAnsi="宋体"/>
          <w:color w:val="000000"/>
          <w:sz w:val="24"/>
          <w:szCs w:val="24"/>
          <w:lang w:val="en-US" w:eastAsia="zh-CN"/>
        </w:rPr>
        <w:t xml:space="preserve">“栖心为企”数字企服平台</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eastAsia="宋体" w:cs="宋体"/>
          <w:color w:val="000000"/>
          <w:sz w:val="24"/>
          <w:szCs w:val="24"/>
          <w:highlight w:val="none"/>
          <w:lang w:val="en-US" w:eastAsia="zh-CN"/>
        </w:rPr>
        <w:t xml:space="preserve">201.79</w:t>
      </w:r>
      <w:r>
        <w:rPr>
          <w:rFonts w:hint="eastAsia" w:ascii="宋体" w:hAnsi="宋体" w:eastAsia="宋体" w:cs="宋体"/>
          <w:color w:val="000000"/>
          <w:sz w:val="24"/>
          <w:szCs w:val="24"/>
          <w:highlight w:val="none"/>
          <w:lang w:val="en-US" w:eastAsia="zh-CN"/>
        </w:rPr>
        <w:t xml:space="preserve">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宋体"/>
          <w:color w:val="000000"/>
          <w:sz w:val="24"/>
          <w:szCs w:val="24"/>
          <w:highlight w:val="none"/>
          <w:lang w:val="en-US" w:eastAsia="zh-CN"/>
        </w:rPr>
        <w:t xml:space="preserve">201.79万元</w:t>
      </w:r>
      <w:r>
        <w:rPr>
          <w:rFonts w:hint="eastAsia" w:ascii="宋体" w:hAnsi="宋体" w:eastAsia="宋体" w:cs="宋体"/>
          <w:color w:val="000000"/>
          <w:sz w:val="24"/>
          <w:szCs w:val="24"/>
          <w:highlight w:val="yellow"/>
        </w:rPr>
      </w:r>
      <w:r/>
    </w:p>
    <w:p>
      <w:pPr>
        <w:pStyle w:val="867"/>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highlight w:val="none"/>
          <w:lang w:val="en-US" w:eastAsia="zh-CN"/>
        </w:rPr>
        <w:t xml:space="preserve">为进一步加强栖霞区在产业经济领域的“一网统管”能力建设，发挥区委区政府对区内企业发展的帮扶支持，落实数字政府的政务服务</w:t>
      </w:r>
      <w:r>
        <w:rPr>
          <w:rFonts w:hint="eastAsia" w:ascii="宋体" w:hAnsi="宋体" w:cs="宋体"/>
          <w:color w:val="000000"/>
          <w:sz w:val="24"/>
          <w:szCs w:val="24"/>
          <w:highlight w:val="none"/>
          <w:lang w:val="en-US" w:eastAsia="zh-CN"/>
        </w:rPr>
        <w:t xml:space="preserve">职</w:t>
      </w:r>
      <w:r>
        <w:rPr>
          <w:rFonts w:hint="eastAsia" w:ascii="宋体" w:hAnsi="宋体" w:eastAsia="宋体" w:cs="宋体"/>
          <w:color w:val="000000"/>
          <w:sz w:val="24"/>
          <w:szCs w:val="24"/>
          <w:highlight w:val="none"/>
          <w:lang w:val="en-US" w:eastAsia="zh-CN"/>
        </w:rPr>
        <w:t xml:space="preserve">能。</w:t>
      </w:r>
      <w:r>
        <w:rPr>
          <w:rFonts w:hint="eastAsia" w:ascii="宋体" w:hAnsi="宋体" w:cs="宋体"/>
          <w:color w:val="000000"/>
          <w:sz w:val="24"/>
          <w:szCs w:val="24"/>
          <w:highlight w:val="none"/>
          <w:lang w:val="en-US" w:eastAsia="zh-CN"/>
        </w:rPr>
        <w:t xml:space="preserve">通过</w:t>
      </w:r>
      <w:r>
        <w:rPr>
          <w:rFonts w:hint="eastAsia" w:ascii="宋体" w:hAnsi="宋体" w:eastAsia="宋体" w:cs="宋体"/>
          <w:color w:val="000000"/>
          <w:sz w:val="24"/>
          <w:szCs w:val="24"/>
          <w:highlight w:val="none"/>
          <w:lang w:val="en-US" w:eastAsia="zh-CN"/>
        </w:rPr>
        <w:t xml:space="preserve">“栖心为企”数字企服平台建设，构建集企业诉求协同响应、载体信息便捷匹配、招商引资统一管理于一体的企业综合服务体系</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cs="Times New Roman"/>
          <w:color w:val="000000"/>
          <w:sz w:val="24"/>
          <w:szCs w:val="24"/>
          <w:highlight w:val="none"/>
          <w:lang w:val="en-US" w:eastAsia="zh-CN"/>
        </w:rPr>
        <w:t xml:space="preserve">665</w:t>
      </w:r>
      <w:r>
        <w:rPr>
          <w:rFonts w:hint="eastAsia" w:ascii="宋体" w:hAnsi="宋体" w:eastAsia="宋体" w:cs="Times New Roman"/>
          <w:color w:val="000000"/>
          <w:sz w:val="24"/>
          <w:szCs w:val="24"/>
          <w:highlight w:val="none"/>
          <w:lang w:val="zh-CN"/>
        </w:rPr>
        <w:t xml:space="preserve">天</w:t>
      </w:r>
      <w:r>
        <w:rPr>
          <w:rFonts w:hint="eastAsia" w:ascii="宋体" w:hAnsi="宋体" w:eastAsia="宋体"/>
          <w:color w:val="000000"/>
          <w:sz w:val="24"/>
          <w:szCs w:val="24"/>
          <w:lang w:val="en-US" w:eastAsia="zh-CN"/>
        </w:rPr>
        <w:t xml:space="preserve">（系统开发及验收时间为合同签订后300天内，</w:t>
      </w:r>
      <w:r>
        <w:rPr>
          <w:rFonts w:hint="eastAsia" w:ascii="宋体" w:hAnsi="宋体" w:eastAsia="宋体" w:cs="Times New Roman"/>
          <w:color w:val="000000"/>
          <w:sz w:val="24"/>
          <w:szCs w:val="24"/>
          <w:highlight w:val="none"/>
          <w:lang w:val="zh-CN"/>
        </w:rPr>
        <w:t xml:space="preserve">运维期为验收合格后365天</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outlineLvl w:val="2"/>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eastAsia="宋体" w:cs="Times New Roman"/>
          <w:color w:val="000000"/>
          <w:sz w:val="24"/>
          <w:szCs w:val="24"/>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w:t>
      </w:r>
      <w:r>
        <w:rPr>
          <w:rFonts w:hint="eastAsia" w:ascii="宋体" w:hAnsi="宋体" w:cs="宋体"/>
          <w:b w:val="0"/>
          <w:bCs w:val="0"/>
          <w:color w:val="000000" w:themeColor="text1"/>
          <w:sz w:val="24"/>
          <w:szCs w:val="24"/>
          <w:highlight w:val="none"/>
          <w:u w:val="none"/>
          <w:lang w:val="en-US" w:eastAsia="zh-CN"/>
        </w:rPr>
        <w:t xml:space="preserve">6</w:t>
      </w:r>
      <w:r>
        <w:rPr>
          <w:rFonts w:hint="eastAsia" w:ascii="宋体" w:hAnsi="宋体"/>
          <w:b w:val="0"/>
          <w:bCs w:val="0"/>
          <w:color w:val="000000" w:themeColor="text1"/>
          <w:sz w:val="24"/>
          <w:szCs w:val="24"/>
          <w:u w:val="none"/>
        </w:rPr>
        <w:t xml:space="preserve">年</w:t>
      </w:r>
      <w:r>
        <w:rPr>
          <w:rFonts w:hint="eastAsia" w:ascii="宋体" w:hAnsi="宋体" w:cs="宋体"/>
          <w:b w:val="0"/>
          <w:bCs w:val="0"/>
          <w:color w:val="000000" w:themeColor="text1"/>
          <w:sz w:val="24"/>
          <w:szCs w:val="24"/>
          <w:highlight w:val="none"/>
          <w:u w:val="none"/>
          <w:lang w:val="en-US" w:eastAsia="zh-CN"/>
        </w:rPr>
        <w:t xml:space="preserve">5</w:t>
      </w:r>
      <w:r>
        <w:rPr>
          <w:rFonts w:hint="eastAsia" w:ascii="宋体" w:hAnsi="宋体"/>
          <w:b w:val="0"/>
          <w:bCs w:val="0"/>
          <w:color w:val="000000" w:themeColor="text1"/>
          <w:sz w:val="24"/>
          <w:szCs w:val="24"/>
          <w:u w:val="none"/>
        </w:rPr>
        <w:t xml:space="preserve">月19</w:t>
      </w:r>
      <w:r>
        <w:rPr>
          <w:rFonts w:hint="eastAsia" w:ascii="宋体" w:hAnsi="宋体"/>
          <w:b w:val="0"/>
          <w:bCs w:val="0"/>
          <w:color w:val="000000" w:themeColor="text1"/>
          <w:sz w:val="24"/>
          <w:szCs w:val="24"/>
          <w:u w:val="none"/>
        </w:rPr>
        <w:t xml:space="preserve">日9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宋体"/>
          <w:color w:val="000000"/>
          <w:sz w:val="24"/>
          <w:szCs w:val="24"/>
          <w:lang w:val="en-US" w:eastAsia="zh-CN"/>
        </w:rPr>
        <w:t xml:space="preserve">邱先生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cs="宋体"/>
          <w:color w:val="000000"/>
          <w:sz w:val="24"/>
          <w:szCs w:val="24"/>
        </w:rPr>
        <w:t xml:space="preserve">南京市栖霞区文苑路118号政务服务中心</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cs="宋体"/>
          <w:color w:val="000000"/>
          <w:sz w:val="24"/>
          <w:szCs w:val="24"/>
          <w:highlight w:val="none"/>
          <w:lang w:val="en-US" w:eastAsia="zh-CN"/>
        </w:rPr>
        <w:t xml:space="preserve">18105158982</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color w:val="000000"/>
          <w:sz w:val="24"/>
          <w:szCs w:val="24"/>
          <w:u w:val="none"/>
          <w:lang w:val="en-US" w:eastAsia="zh-CN"/>
        </w:rPr>
        <w:t xml:space="preserve">南京经济技术开发区企业综合服务中心</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址：南京市栖霞区文苑路118号政务服务中心</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联系人：邱先生</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联系电话：18105158982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bookmarkStart w:id="8" w:name="_Toc513029203"/>
      <w:r/>
      <w:bookmarkStart w:id="9" w:name="_Toc20823275"/>
      <w:r/>
      <w:bookmarkStart w:id="10" w:name="_Toc16938519"/>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outlineLvl w:val="2"/>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outlineLvl w:val="2"/>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outlineLvl w:val="2"/>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ascii="宋体" w:hAnsi="宋体" w:cs="Courier New"/>
          <w:b w:val="0"/>
          <w:bCs w:val="0"/>
          <w:color w:val="000000"/>
          <w:sz w:val="24"/>
          <w:szCs w:val="24"/>
          <w:highlight w:val="none"/>
          <w:u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合同签订且服务团队人员到位后，甲方支付合同总价款的30%作为预付款；项目完成初验后，支付合同总额的50%；项目完成终验后，支付合同金额的15%；</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8.1.2本项目运维期满后，支付合同金额的5%。</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Times New Roman"/>
          <w:color w:val="000000"/>
          <w:sz w:val="24"/>
          <w:szCs w:val="24"/>
          <w:lang w:val="en-US" w:eastAsia="zh-CN"/>
        </w:rPr>
        <w:t xml:space="preserve">遵循国家、行业及地方现行的规范和标准。</w:t>
      </w:r>
      <w:r>
        <w:rPr>
          <w:rFonts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rPr>
        <w:t xml:space="preserve">11.</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0.5‰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w:t>
      </w:r>
      <w:r>
        <w:rPr>
          <w:rFonts w:hint="eastAsia" w:ascii="宋体" w:hAnsi="宋体" w:eastAsia="宋体" w:cs="Courier New"/>
          <w:color w:val="000000"/>
          <w:sz w:val="24"/>
          <w:szCs w:val="24"/>
        </w:rPr>
        <w:t xml:space="preserve">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120614244"/>
      <w:r/>
      <w:bookmarkStart w:id="14" w:name="_Toc16938590"/>
      <w:r/>
      <w:bookmarkStart w:id="15" w:name="_Hlt16619350"/>
      <w:r/>
      <w:bookmarkStart w:id="16" w:name="_Toc20823346"/>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前，栖霞区正全力推进“三区融合”深度发展，通过破除体制机制障碍，推动大学城创新资源、经开区产业资源、行政区服务资源高效联动，已初步形成“1+2&gt;3”的协同发展效应。但在产业经济高质量发展的核心诉求下，企业服务领域的短板逐渐凸显，跨部门协作流程繁琐、企业诉求响应滞后、服务精准度不足、载体地块信息获取不畅等痛点，不仅制约了“三区融合”协同效能的充分释放，更成为影响产业生态优化的关键瓶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十四五以来，我国数字政府建设持续深化“互联网+政务服务”改革，以“一网通办”“协同共治”“数据赋能”为核心导向，先后出台《国务院关于进一步优化政务服务提升行政效能推动“高效办成一件事”的指导意见》《“数据要素×”三年行动计划(2024-2026年)》《政务移动互联网应用程序规范化管理办法》等政策，明确要求推动政务服务从“能办”向“好办、快办”转变，强化跨部门、跨层级数据共享与业务协同。涉企服务方面，聚焦企业需求构建精准化、智能化服务体系，充分释放数据要素对产业发展的赋能作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进一步加强栖霞区在产业经济领域的“一网统管”能力建设，发挥区委区政府对区内企业发展的帮扶支持，落实数字政府的政务服务智能。栖霞区立项“栖心为企”数字企服平台建设，构建集企业诉求协同响应、载体信息便捷匹配</w:t>
      </w:r>
      <w:r>
        <w:rPr>
          <w:rFonts w:hint="eastAsia" w:ascii="宋体" w:hAnsi="宋体" w:eastAsia="宋体" w:cs="Times New Roman"/>
          <w:color w:val="000000"/>
          <w:sz w:val="24"/>
          <w:szCs w:val="24"/>
          <w:lang w:val="en-US" w:eastAsia="zh-CN"/>
        </w:rPr>
        <w:t xml:space="preserve">、招商引资统一管理于一体的企业综合服务体系，既是栖霞区贯彻落实国家“互联网+政务服务”、数据要素赋能、优化营商环境等政策要求的具体实践，也是响应江苏省一体化政务服务平台提升、营商环境优化等工作部署的必然举措，更是落实南京市营商环境7.0版、“宁企通”平台规范化管理、三区协同发展等政策的关键行动。此举不仅能够有效破解当前企业服务领域的突出痛点、提升服务效能，更能进一步优化栖霞区营商环境、激活产业发展活力、推动“三区融合”发展迈向纵深，助力栖霞区打造产城融合的产业服务标杆，为区域产业经济高质量发展提供有力支撑。</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（1）政策依据</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1.《政务移动互联网应用程序规范化管理办法》（国办函〔2026〕12号）；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2.《关于加快场景培育和开放推动新场景大规模应用的实施意见》（国办发〔2025〕37号）；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white"/>
        </w:rPr>
      </w:pPr>
      <w:r>
        <w:rPr>
          <w:rFonts w:hint="eastAsia" w:ascii="宋体" w:hAnsi="宋体" w:eastAsia="宋体" w:cs="Times New Roman"/>
          <w:bCs w:val="0"/>
          <w:color w:val="000000"/>
          <w:sz w:val="24"/>
          <w:szCs w:val="24"/>
          <w:highlight w:val="white"/>
          <w:lang w:val="en-US" w:eastAsia="zh-CN"/>
        </w:rPr>
        <w:t xml:space="preserve">3.《2025年“一起益企”中小企业服务行动》（工信厅联企业函〔2025〕50号）；</w:t>
      </w:r>
      <w:r>
        <w:rPr>
          <w:highlight w:val="white"/>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4.《国务院关于进一步优化政务服务提升行政效能推动“高效办成一件事”的指导意见》（国发〔2024〕3号）；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5.《国务院办公厅关于依托全国一体化政务服务平台建立政务服务效能提升常态化工作机制的意见》（国办发〔2023〕29号）；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6.《“数据要素×”三年行动计划（2024-2026年）》（国数政策〔2023〕11号）；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7.《江苏省公共数据授权运营管理暂行办法》（苏政办规〔2024〕5号）；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8.《江苏省优化营商环境行动方案（2025版）》（苏政办发〔2025〕20号）；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9.《江苏省人民政府关于进一步优化政务服务提升行政效能推动“高效办成一件事”的实施意见》（苏政发〔2024〕65号）；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10.《关于促进经济持续回升向好的若干政策措施》（江苏省委办公厅2023年9月1日）；</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11.《南京市政务信息化项目建设和资金管理办法》（宁政发〔2025〕24号）；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12.《关于进一步优化政务服务提升行政效能推动“高效办成一件事”的实施计划》（宁政办发〔2025〕1号）；</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13.南京印发《关于持续优化营商环境的实施意见》（中共南京市委办公厅2023年3月9日印发）。</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（2）技术依据</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1.《数字政府架构框架第2部分：架构设计》（GB/T45963.2-2025）；</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2.《政务信息资源目录体系第1部分:总体框架》（GB/T21063.1-2007）；</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3.《全国一体化政务大数据体系第2部分：数据共享交换要求》（GB/T45800.2-2025）；</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4.《信息安全技术信息系统安全等级保护基本要求》（GB/T22239-2019)；</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5.《信息安全技术网络安全等级保护安全设计技术要求》（GB/T25070-2019）；</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6.《信息安全技术网络安全等级保护定级指南》（GB/T22240-2020）；</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7.《信息安全技术网络基础安全技术要求》（GB/T20270-2006）；</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8.《信息安全技术信息系统通用安全技术要求》（GB/T20271-2006）；</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9.《信息安全技术操作系统安全操作要求》（GB/T20272-2019）；</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10.《信息安全技术数据库管理系统安全技术要求》（GB/T20273-2019）。</w:t>
      </w:r>
      <w:r>
        <w:rPr>
          <w:rFonts w:hint="eastAsia" w:ascii="宋体" w:hAnsi="宋体" w:eastAsia="宋体" w:cs="Times New Roman"/>
          <w:bCs w:val="0"/>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8"/>
        <w:tblW w:w="518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3"/>
        <w:gridCol w:w="1886"/>
        <w:gridCol w:w="453"/>
        <w:gridCol w:w="510"/>
        <w:gridCol w:w="1060"/>
        <w:gridCol w:w="1073"/>
        <w:gridCol w:w="1333"/>
        <w:gridCol w:w="1103"/>
        <w:gridCol w:w="1137"/>
        <w:gridCol w:w="1015"/>
      </w:tblGrid>
      <w:tr>
        <w:trPr>
          <w:trHeight w:val="470"/>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2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25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cs="宋体"/>
                <w:bCs/>
                <w:color w:val="000000"/>
                <w:sz w:val="24"/>
                <w:szCs w:val="24"/>
                <w:highlight w:val="none"/>
                <w:lang w:val="en-US" w:eastAsia="zh-CN"/>
              </w:rPr>
              <w:t xml:space="preserve">“栖心为企”概览</w:t>
            </w:r>
            <w:r>
              <w:rPr>
                <w:rFonts w:hint="eastAsia" w:ascii="宋体" w:hAnsi="宋体" w:eastAsia="宋体" w:cs="Times New Roman"/>
                <w:bCs/>
                <w:color w:val="000000"/>
                <w:sz w:val="24"/>
                <w:szCs w:val="24"/>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lang w:eastAsia="zh-CN"/>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cs="宋体"/>
                <w:bCs/>
                <w:color w:val="000000"/>
                <w:sz w:val="24"/>
                <w:szCs w:val="24"/>
                <w:highlight w:val="none"/>
                <w:lang w:val="en-US" w:eastAsia="zh-CN"/>
              </w:rPr>
              <w:t xml:space="preserve">企业诉求快递</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lang w:val="en-US" w:eastAsia="zh-CN" w:bidi="ar-SA"/>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lang w:eastAsia="zh-CN"/>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投资栖霞</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lang w:val="en-US" w:eastAsia="zh-CN" w:bidi="ar-SA"/>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lang w:eastAsia="zh-CN"/>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招商引资</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lang w:val="en-US" w:eastAsia="zh-CN" w:bidi="ar-SA"/>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lang w:eastAsia="zh-CN"/>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ascii="宋体" w:hAnsi="宋体" w:eastAsia="宋体" w:cs="Times New Roman"/>
                <w:bCs/>
                <w:color w:val="000000"/>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否</w:t>
            </w:r>
            <w:r>
              <w:rPr>
                <w:rFonts w:ascii="宋体" w:hAnsi="宋体" w:eastAsia="宋体" w:cs="Times New Roman"/>
                <w:bCs/>
                <w:color w:val="000000"/>
                <w:sz w:val="24"/>
                <w:szCs w:val="24"/>
                <w:lang w:val="en-US"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政务服务工作台</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lang w:val="en-US" w:eastAsia="zh-CN" w:bidi="ar-SA"/>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Times New Roman"/>
                <w:bCs/>
                <w:color w:val="000000"/>
                <w:sz w:val="24"/>
                <w:szCs w:val="24"/>
                <w:lang w:val="en-US"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Times New Roman"/>
                <w:bCs/>
                <w:color w:val="000000"/>
                <w:sz w:val="24"/>
                <w:szCs w:val="24"/>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企业工作台</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lang w:val="en-US" w:eastAsia="zh-CN" w:bidi="ar-SA"/>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ff"/>
                <w:sz w:val="24"/>
                <w:szCs w:val="24"/>
                <w:lang w:val="en-US" w:eastAsia="zh-CN"/>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lang w:val="en-US" w:eastAsia="zh-CN"/>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Times New Roman"/>
                <w:bCs/>
                <w:color w:val="000000"/>
                <w:sz w:val="24"/>
                <w:szCs w:val="24"/>
                <w:lang w:val="en-US" w:eastAsia="zh-CN"/>
              </w:rPr>
            </w:r>
            <w:r/>
          </w:p>
        </w:tc>
      </w:tr>
      <w:tr>
        <w:trPr>
          <w:trHeight w:val="597"/>
        </w:trPr>
        <w:tc>
          <w:tcPr>
            <w:tcW w:w="27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ff"/>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bCs/>
                <w:color w:val="0000ff"/>
                <w:sz w:val="24"/>
                <w:szCs w:val="24"/>
                <w:lang w:eastAsia="zh-CN"/>
              </w:rPr>
            </w:r>
            <w:r/>
          </w:p>
        </w:tc>
        <w:tc>
          <w:tcPr>
            <w:tcW w:w="932"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宋体"/>
                <w:bCs/>
                <w:color w:val="000000"/>
                <w:sz w:val="24"/>
                <w:szCs w:val="24"/>
                <w:highlight w:val="none"/>
                <w:lang w:val="en-US" w:eastAsia="zh-CN"/>
              </w:rPr>
              <w:t xml:space="preserve">外部对接</w:t>
            </w:r>
            <w:r>
              <w:rPr>
                <w:rFonts w:hint="eastAsia" w:ascii="宋体" w:hAnsi="宋体" w:eastAsia="宋体" w:cs="Times New Roman"/>
                <w:color w:val="0000ff"/>
                <w:sz w:val="24"/>
                <w:szCs w:val="24"/>
                <w:lang w:val="en-US" w:eastAsia="zh-CN"/>
              </w:rPr>
            </w:r>
            <w:r/>
          </w:p>
        </w:tc>
        <w:tc>
          <w:tcPr>
            <w:tcW w:w="453"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rPr>
            </w:r>
            <w:r/>
          </w:p>
        </w:tc>
        <w:tc>
          <w:tcPr>
            <w:tcW w:w="510"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52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6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Times New Roman"/>
                <w:bCs/>
                <w:color w:val="000000"/>
                <w:sz w:val="24"/>
                <w:szCs w:val="24"/>
              </w:rPr>
            </w:r>
            <w:r/>
          </w:p>
        </w:tc>
        <w:tc>
          <w:tcPr>
            <w:tcW w:w="1137"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rPr>
            </w:r>
            <w:r/>
          </w:p>
        </w:tc>
        <w:tc>
          <w:tcPr>
            <w:tcW w:w="1015" w:type="dxa"/>
            <w:vAlign w:val="center"/>
            <w:textDirection w:val="lrTb"/>
            <w:noWrap w:val="false"/>
          </w:tcPr>
          <w:p>
            <w:pPr>
              <w:pStyle w:val="867"/>
              <w:ind w:firstLine="0"/>
              <w:jc w:val="center"/>
              <w:keepLines w:val="0"/>
              <w:keepNext w:val="0"/>
              <w:pageBreakBefore w:val="0"/>
              <w:spacing w:line="240" w:lineRule="auto"/>
              <w:widowControl w:val="off"/>
              <w:rPr>
                <w:rFonts w:hint="eastAsia" w:ascii="宋体" w:hAnsi="宋体" w:eastAsia="宋体" w:cs="Times New Roman"/>
                <w:bCs/>
                <w:color w:val="000000"/>
                <w:sz w:val="24"/>
                <w:szCs w:val="24"/>
              </w:rPr>
              <w:outlineLvl w:val="9"/>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Times New Roman"/>
                <w:bCs/>
                <w:color w:val="000000"/>
                <w:sz w:val="24"/>
                <w:szCs w:val="24"/>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7"/>
        <w:ind w:firstLine="482"/>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1、“栖心为企”概览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作为“栖心为企”数字企服平台的统一对外服务入口，包含PC端门户和移动端门户。主要功能包含栖霞热点、区内企业展示、应用集成融合等模块，并适配移动端和PC端。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1.1栖霞热点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（1）政务侧信息管理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政务人员以后台发布的形式，进行栖霞热点的信息填报、信息编辑、信息审核、信息发布/下架和信息置顶功能，并能够在发布时进行图片、文件等附件上传，所有操作记录具备留痕能力。同时，支持对信息分类标签进行增删改与排序。</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（2）企业侧信息管理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面相企业侧用户，提供各类热点栖霞热点信息的查阅，包括栖霞热点展示与详情查看、热点信息查询、关注信息收藏等功能。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1.2区内企业展示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（1）企业侧信息发布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栖霞区内企业可在线填报企业展示的信息，并支持对展示内容的更新、附件管理，展示内容经政务侧审核通过后，在“栖心为企”概览进行发布，发布内容可根据企业实际需求，进行下架和重新上架。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（2）政务侧审核</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政务用户可通过政务侧功能，对栖霞区内企业拟发布的内容进行审核，包括待审核任务列表、信息审核、优质企业标注、强制下架、审核记录、批量管理、企业分类打标等功能。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（3）公共展示与检索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建立企业展示公共访问页面，支持访问“栖心为企”概览的各类用户进行企业展示信息的浏览检索，包括企业卡片展示、企业详情展示、企业检索、企业对比功能。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1.3应用集成融合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（1）功能入口集成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内部业务入口集成功能，按业务类型分类展示平台核心业务入口，每个入口配专属图标、简要说明，覆盖企业诉求快递、投资栖霞、招商引资3个业务模块入口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（2）外部系统挂载入口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挂载“宁企通”、“我的南京”政务版、栖霞区政务服务网等外部系统入口。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（3）入口排序</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政务人员可对入口进行排序，优先展示高频使用入口。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（4）入口检索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提供基于模块关键词、简要说明的入口检索服务。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1.4移动端和PC端适配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建立适配PC端、移动端的“栖心为企”概览，满足不同入口用户访问。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2、企业诉求快递</w:t>
      </w:r>
      <w:r>
        <w:rPr>
          <w:rFonts w:hint="eastAsia" w:ascii="宋体" w:hAnsi="宋体" w:eastAsia="宋体" w:cs="Times New Roman"/>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为“栖心为企”数字企服的核心功能，建立企业诉求反馈统一入口、跨部门分拨流转体系与督办评价机制，整合全区街道、管办、部门服务能力，提高企业问题解决效能。主要业务功能包括政企互动、企业诉求查看、诉求流转办理、诉求督办、办理结果评价、模块管理等，并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2.1政企互动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为企业用户提供PC端（“栖心为企”概览/企业工作台）、移动端双端诉求在线填报入口，完成诉求信息、企业信息、诉求标签的标准化采集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（1）多端入口统一</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PC端在“栖心为企”概览、企业工作台发布企业诉求入口，移动端在“宁企通”栖霞专区发布企业诉求入口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（2）诉求信息填报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支持企业用户进行基本信息、诉求内容、附件、诉求类型、所属街道、联系人、联系方式的诉求信息的在线填报、选取。支持政务端手动录入诉求信息。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（3）草稿保存与预览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建立草稿箱功能，支持对企业未提交的诉求内容进行查看、编辑、提交以及提交前的预览。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（4）提交反馈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以系统消息、短信的形式，对联系人发送提交成功消息。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2.2企业诉求查看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（1）多角色追踪</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提供企业用户、街道/管办用户、企业服务中心、业务部门中心等不同用户角色的企业诉求流转查看内容展示页面，并支持已办理中、已办结的分类查看诉求工单及其详情。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（2）进度可视化展示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对诉求的当前处置节点、处理人、接收时间、预计办结时间，以进度条形式展示全流程节点进行展示，并对临期、超期诉求进行突出显示。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（3）诉求详情与流转记录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授权用户可对诉求流转的详细内容、流转记录进行详情查看。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（4）实时消息提醒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诉求节点变化时，系统可自动发送相关提示消息，政务侧推送至栖霞区政务OA，企业侧通过短信发送提示。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2.3诉求流转办理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（1）企服中心确认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支持企服中心用户收到企业领导审核后的诉求，对诉求内容进行核实，并可根据诉求内容进行退回至诉求发起人、直接办结、流转至街道管办处理三种选择，并可在流转过程填写相关要求。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（2）街道管办受理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支持街道管办对企业中心流转的企业诉求进行受理，受理后可选择直接办结、流转至企服中心，并填写相关意见。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（3）企服中心协调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支持企业中心收到街道管办流转回企服中心的企业诉求，可选择回退回街道管办、职能部门处理解决、召开协调会，并填写相关意见。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（4）职能部门处理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支持职能部门收到企业诉求后可进行诉求处理，并将处理结果流转至街道管办，并填写处理结果。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（5）召开协调会</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支持由主办部门和协办部门共同办理，办理结果将由主办部门流转至街道板块。</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（6）街道管办反馈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支持街道管办收到职能部门处理结果或协调会结果后，向诉求企业进行办理结果反馈完成企业诉求的处置。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2.4诉求督办</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（1）自动督办</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对超期诉求，自动纳入督办列表，并通过政务OA消息提醒，向处置人、属地街道/板块进行提醒。同时系统对自动督办记录进行记录。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（2）人工督办</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面相企服中心用户提供根据诉求内容人工判定后的主动督办操作，包括督办要求设置、督办发起、督办进度跟踪、督办结果确认等功能。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（3）督办台账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建立全区企业诉求督办台账，记录诉求信息、督办类型、督办对象、督办时间、督办结果等信息，并支持台账导出。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（4）超期诉求处置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面向政务人员，提供对诉求超期办理进行原因填报的服务。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2.5办理结果评价</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（1）评价提醒与入口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企业收到诉求反馈后，系统提示进行诉求结果满意度评价，并定期进行提醒，超期未评价的，则根据系统默认设置进行评价。</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（2）多维度评价体系</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建立评价等级+评价维度+意见填写的评价指标体系，供企业进行综合评价。</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（3）诉求关闭</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满意度评价后，诉求自动关闭，并能够生成诉求办结报告，支持报告下载。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（4）评价结果管理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支持查看待评价、已评价的企业诉求工单，同时企业用户支持对其已经评价的工单，进行追评。</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2.6模块管理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为保障企业诉求快递模块的稳定运行、灵活配置，设置系统管理板块，仅对系统管理员开放，包括</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（1）基础配置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支持对诉求类型/标签增删改、评价维度配置、办结时限预设。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（2）日志管理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支持对系统操作日志、登录日志、数据修改日志的查看、筛选、导出，日志永久留存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（3）工作流配置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支持工作流程的基本配置，通过拖拽的方式编辑流程节点，需包括录入、受理、分拨、处置、办结等主要节点。支持查看配置后的流程基本信息并进行节点的编辑、删除。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2.7多端适配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建立适配PC端、移动端的企业诉求快递模块，满足不同入口用户访问。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3、投资栖霞</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展示栖霞区现有载体、产业地块信息，为区内外企业投资建厂、办公场地租赁等投资行为提供精准、便捷的信息检索查询通道。主要业务功能包括重点推荐、产业地块全景图、载体全景图、地块/载体信息查询服务、地块/载体信息更新维护、地块/载体统计分析、模块管理等，并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3.1重点推荐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（1）资源精准遴选与发布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支持政务侧用户，根据栖霞区产业规划、资源品质、投资导向等条件，进行重点推荐资源的标记，并支持对推荐地块进行标签和重点推荐日期设置。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（2）个性化展示布局</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采用卡片+图文的形式，展示重点推荐资源，展示内容包含资源名称、区域、优势、面积、参考价格、联系方式以及实景图/规划图，并提供根据多维度的推荐分类展示。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（3）推荐资源快速触达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重点推荐资源支持一键查看详情与收藏，投资者可在收藏页面快速调取目标资源。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（4）新增资源提醒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发布新增重点推荐资源时，在“栖心为企”概览设置红点提醒并在平台首页轻量展示。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3.2产业地块全景图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（1）GIS地图展示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基于栖霞区GIS地图实现缩放、平移、鹰眼定位，支持底图切换，产业地块按类型差异化打点标注。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（2）地块信息展示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支持查看核心信息浮窗与完整详情页，展示地块图文、规划指标及配套信息。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（3）地图筛选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支持按地块类型、所属辖区、招商方向等多条件组合筛选，精准定位目标地块。</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（4）地块配套查看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支持地图查看地块周边交通、产业、生活、基础设施配套图层，为投资选址提供参考。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3.3载体全景图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（1）载体全景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基于地图查看载体的分布情况，支持查看辖区范围内载体的空置面积、空置率、企业标签等统计数据。支持通过地图下钻查看载体的基本信息，包括名称、地址、建筑年代、产权方等信息，以及入驻企业的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（2）GIS地图打点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基于GIS地图对楼宇载体精准打点，按载体类型差异化标识，支持地图基础操作与信息快速查看。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（3）载体信息展示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通过浮窗与详情页分别展示载体核心信息及全维度参数、配套、租金、政策等内容。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（4）地图操作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支持载体多条件图层筛选，可按指定点位检索周边范围内的楼宇载体。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（5）空置信息标注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在载体图标添加空置标识，实时同步空置面积数据，方便投资者识别可租赁载体。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3.4地块、楼宇载体管理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（1）列表展示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分设地块与载体独立台账列表，支持自定义列项、分页排序及重点推荐子台账切换。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（2）信息检索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提供高级组合检索与关键词模糊检索，检索结果实时刷新展示。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（3）资源详情展示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点击资源可查看统一模板详情，支持图片放大、附件下载与多渠道一键分享。</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（4）台账数据导出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支持按检索结果一键导出标准化Excel台账，满足政务与投资者不同导出需求。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3.5地块、载体台账更新维护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（1）资源信息维护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支持街道/管办在线新增、编辑、删除资源信息，完成必填项校验并留存操作记录。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（2）分级审核机制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建立街道提报、区投促局审核的分级流程，支持审核通过、退回修改并标注意见。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（3）消息提醒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系统定期发送资源更新提醒，自动推送审核、修改提醒，超期未审核触发二次提醒。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（4）更新记录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永久留存资源全量更新维护记录，支持按资源、操作人、时间筛选查看。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（5）批量维护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支持资源信息批量导入导出、批量更新与批量标记，提升大规模资源维护效率。</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3.6地块、载体统计分析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（1）核心数据展示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搭建三级权限分级展示的实时仪表盘，呈现资源核心指标，异常指标自动标红提醒。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（2）资源总量分析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以图表展示资源类型、区域分布及价格/租金区间结构，直观呈现资源总量与投资成本梯度。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（3）空间分析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生成资源密度热力图与区域对比地图，实现地图与数据联动展示。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（4）变化趋势分析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以图表展示资源时间维度变化与更新维护及时率趋势，跟踪动态数据。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（5）资源利用分析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统计地块利用、载体运营效能指标，为招商策略优化提供数据支撑。</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（6）数据钻取与溯源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所有可视化图表支持多级钻取，实现分析数据到资源详情的全链路溯源。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3.7模块管理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（1）基础数据配置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支持配置资源录入表单、标准化标签及地图展示图标、颜色、图层等参数。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（2）操作日志管理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留存模块全量操作日志，支持筛选、查看、导出，实现操作可追溯。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3.8移动端和PC端适配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建立适配PC端、移动端的投资栖霞模块，满足不同入口用户访问。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4、招商引资</w:t>
      </w:r>
      <w:r>
        <w:rPr>
          <w:rFonts w:hint="eastAsia" w:ascii="宋体" w:hAnsi="宋体" w:eastAsia="宋体" w:cs="Times New Roman"/>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向栖霞区招商引资工作人员，提供移动端、PC端的招商引资业务办理系统，通过信息填报、更新、共享、查询、进度跟踪等系统功能，实现对“引-招-调-评-签”过程的标准化管理，并为区领导、相关负责人提供全区招商引资全景，实时掌握全区招商引资动态。主要业务功能包括招商项目综合管理、项目管理、项目清单、招商基础信息管理、领导驾驶舱等功能，并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4.1招商项目综合管理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（1）保密协议确认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敏感数据保密使用协议提示，显示协议内容，阅读完成后点击确认，完成确认后进行平台操作。</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（2）招商简报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围绕项目阶段、审批阶段及项目落地，展示不同阶段涉及的项目数，便于日常掌握项目动向。根据日、月、年进行分类展示。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（3）各板块招商情况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围绕各板块工作情况，统计各板块，在谈、签约、注册、开工项目等数据信息。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（4）项目情况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根据用户账号范围权限，展示对应范围下涉及的项目数量。点击对应项目数，可快速跳转至对应项目列表进行查看。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（5）项目节点统计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针对每个项目节点当前项目数，进行统计展示。以横向流程节点图例进行快速预览，掌握各节点项目数。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（6）近年度项目情况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展示近一年项目情况，包括新增项目、签约项目、落地项目的趋势。</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（7）待办任务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根据人员角色，展示各对应账号下当前待办的任务数量，点击可查看任务详情，如审批等任务。可通过待办任务栏中处理按钮，对任务进行快速处理。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（8）我的项目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列表展示当前涉及的项目信息，包括项目名称、项目状态等。点击更多可查看完整项目清单以及对应的项目详情。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（9）预警提醒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对当前出现预警的项目数量进行提醒展示，点击可查看预警项目信息及详情。便于掌握当前预警发生情况。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4.2项目管理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（1）登记信息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项目登记过程，可在线登记正式申报的项目信息。支持暂存记录、再编辑、保存每次编辑记录等操作，项目信息采集提交后，将自动进入审批流程。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（2）项目推进</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根据栖霞区招商引资工作流程，项目推进过程包含项目签约、项目注册、项目备案、项目开工、项目竣工等环节，需要通过人工录入、附件上传方式，对项目推进情况进行更新。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（3）项目中止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当如遇项目变动，申请人及审核人可在所属节点中 ，对项目进行中止操作，中止后的项目进入储备项目库。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（4）项目审核</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项目招引等每个步骤的审核，支持根据工作流程匹配的审核节点及角色。审核中支持对项目进行批注、补充材料、中止、审核通过、审核不通过等操作。根据操作形成关键节点是否通过初步审核。审核通过的项目纳入招商项目信息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（5）预警管理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预警管理包括超时预警、逾期说明登记、逾期情况审核功能。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4.3项目清单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（1）清单列表</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提供项目清单与详情查看，同时支持项目信息的在线维护编辑与清单信息在线导出；若项目审核出现超期未处理等情况，会在项目列表中展示预警提示。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（2）项目详情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支持查询项目招引各审批环节的流程进度、项目信息、跟进记录；项目文件库则归集了项目各节点资料，支持相关文件文档的预览与下载。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4.4招商基础信息管理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（1）管理区域内板块信息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包括板块名称、负责人、备注等，所管理的板块，可在后续项目管理中进行对应关联。支持新增、编辑、删除的操作，可通过关键字进行搜索对应板块。</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（2）管理招商部门信息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包括部门名称、所属板块、负责人、联系人等信息，支持新增、编辑、删除的操作，支持快速搜索。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（3）管理招商人员信息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包括姓名、所属小组、所属部门，联系方式等，所管理的招商人员可对应后期招商人员权限的开通。支持新增、编辑、删除的操作，支持通过关键词进行快速搜索。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（4）管理各区域招商热线信息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包括区域名称、热线电话、热线负责人等信息，对应信息可在移动端中进行查看。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（5）管理产业类型信息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包括人工智能、信息产业等各类类型，所管理的产业类型，可在项目管理中，进行对应关联。支持新增、编辑、删除的操作，支持快速搜索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（6）标签类型管理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支持建立招商引资工作标签，建立后的标签可应用至对应项目或商机中进行人工打标。</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4.5招商资源库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（1）入库项目管理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查看当前所有已入库的项目信息清单，可根据所属板块、推进进度、产业类别等条件进行快速筛选查找。可在线导出当前查找的项目清单信息。点击项目名称可查看项目详情。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（2）项目文件资料</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根据文件类型，展示所有项目过程中涉及的所有文件资料，支持筛选。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4.6领导驾驶舱</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（1）招商概况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全面展示全区招商项目概况，并以图表形式呈现洽谈阶段项目情况，同时以月/年为单位通过图表展示招商数量并形成招商趋势分析，还会对土地、厂房、园区等载体的项目数及占比进行统计分析，支持以项目投资金额呈现重点大额项目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（2）项目进展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按招引节点展示各节点对应的项目数量，可查看项目列表及项目详情、各节点预警项目统计信息与详情以及超期项目信息。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4.7移动端和PC端适配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建立适配PC端、移动端的招商引资模块，满足不同入口用户访问。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5、政务服务工作台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作为“栖心为企”数字企服平台的政务侧办公页面，提供移动端、PC端两端办事工作台，以实现各功能板块事项的统一办理、督办追踪、业务分析，并支持对全区企业信息进行台账化浏览。主要业务功能包括办事中心、督办中心、业务分析、企业台账、政务用户体系管理、消息中心等功能，并能够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5.1办事中心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（1）业务统一受理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接收多渠道提报业务，自动分类生成唯一办理单号，完成信息初审。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（2）业务办理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按业务类型设置办理入口，对接平台核心服务模块，提供标准化办理表单并支持在线处置与材料上传。</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（3）任务派单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支持主管人工指定承办单位，对企业诉求，可在默认办理时限的基础上，进行时限修改。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（4）在线审核与分级审批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配置多级审批流程，支持在线审核材料、填写审批意见，自动留存所有审批记录。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（5）业务进度查看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查看权限内的工单数据，企服中心领导可查看全辖区所有工单数据，街道管办领导可查看辖区内的工单数据，内容包括诉求标题、诉求分类、企业、属地、姓名、手机号、电子邮箱、诉求内容、相关附件以及流程节点等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（6）业务办结归档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业务办结后提交材料并审核归档，已归档业务仅支持查看检索，实现档案规范化管理。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5.2督办中心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（1）业务办理监控</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打造分级督办看板，实时统计核心办理指标，按角色提供专属视图并支持数据钻取。</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（2）异常业务预警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按办理时限设置分级预警，对临期、超期业务标红提醒并多渠道推送预警信息。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（3）督办管理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实现督办“发起-反馈-办结-”闭环，建立督办台账并按状态分类管理。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（4）督办数据统计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实时统计督办核心数据并以图表展示，为政务业务效率分析提供基础数据。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5.3业务分析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（1）本年度督办情况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搭建实时刷新的业务仪表盘，按角色展示专属KPI，以数字卡片及简易图表呈现。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（2）本年度诉求情况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支持查看企业诉求办理统计分析数据，需包括本年度督办情况、本年度诉求情况、本年度办结率、本年度满意率、诉求类型分布、近期已办结趋势、企业诉求top10、诉求办理情况。</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（3）数据导出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支持在统计维度的基础上，选取特定指标数据进行导出。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（4）数据钻取查看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所有统计指标支持下钻查看，直达对应业务明细记录。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（5）分析报告生成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支持按照模板生成企业诉求周报、月报、季报，并支持在线预览以word格式导出。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5.4企业台账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（1）企业信息归集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自动同步政务大数据平台基础信息与平台业务关联信息，实现企业信息一站式归集。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（2）企业台账管理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按行政区域分级、企业属性分类管理台账，配置对应数据查看权限。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（3）企业信息检索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提供精准+模糊检索及多维度组合筛选，支持结果排序与快速定位企业。</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（4）企业台账维护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自动同步更新企业信息并标红提醒，支持手动修改并留存记录，标记管理异常企业。</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（5）企业信息标签化管理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预设基础标签并支持自定义标签，支持对企业进行打标管理，对打标后的企业，可按标签快速筛选目标企业。</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（6）重点企业单独管理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支持标记重点企业并设置子台账，实行重点信息优先更新维护。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（7）企业信息导出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支持按条件批量导出Excel台账，可自定义字段满足政务工作信息需求。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（8）企业消息发送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支持以短信或系统消息的方式向指定的单个或多个企业发送信息提醒。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5.5政务用户体系管理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（1）组织架构配置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搭建多级政务组织架构，支持节点增删改维护，变更内容实时同步全平台。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（2）账号管理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支持账号全流程操作与批量管理，自动提醒并可冻结闲置账号。</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（3）角色权限配置：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支持运维人员预设并支持自定义角色，精细化配置功能与数据权限，支持权限继承。</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（4）用户-角色-组织关联管理：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实现三者灵活联动与批量分配，确保权限与岗位职责、数据范围匹配。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（5）操作日志与权限审计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对操作日志进行留存，支持异常监控、追溯与权限审计并生成报告。</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5.7消息中心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消息中心可对政务端的短信发送情况以及系统消息提醒进行管理，其中手机短信数量全年不超过10万条。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5.6移动端和PC端适配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建立适配PC端、移动端的政务服务工作台，满足不同入口用户访问。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6、企业工作台</w:t>
      </w:r>
      <w:r>
        <w:rPr>
          <w:rFonts w:hint="eastAsia" w:ascii="宋体" w:hAnsi="宋体" w:eastAsia="宋体" w:cs="Times New Roman"/>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面向“栖心为企”数字企服的企业侧办事页面，集成各功能板块业务发起办理、企业信息维护更新、企业子账号管理以及历史记录汇聚分析等服务。主要业务功能包括企业信息维护、产品与资源发布、历史业务记录、统计分析、子账户管理、企业用户体系管理，并能够适配移动端和PC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6.1企业信息维护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（1）企业基础信息自主维护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支持企业在对企业基本信息中的简介等核心业务信息进行自行维护，其他通过数据共享获取的企业名称、统一社会信用代码、法人代表等信息仅支持查看。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（2）企业资质证照集中管理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搭建电子证照库，支持证照单份/批量上传、预览、下载、替换、结构化填写、分类管理、检索及到期自动提醒。</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（3）企业经营/联系方式动态维护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支持多维度联系方式维护，可按业务类型设置专属对接人，联系方式与消息中心自动同步。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（4）企业采集信息维护</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搭建企业信息宽表，支持企业按政务表单及任务在线填报、提交、上传附件与信息修改。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（5）企业信息修改记录追溯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完整留存信息修改全流程记录，支持多条件检索，实现企业信息变更全程可溯。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6.2产品与资源发布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（1）资源类型分类</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支持以产品信息、供需资源、招商合作资源、闲置资源四大标准化类型对发布资源进行分类，并提供对应的发布信息填报表单进行填写。</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（2）宣发内容智能发布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提供标准化发布模板，支持佐证材料上传、草稿自动保存与分次编辑提交。并支持发布模板管理、组稿等发布内容智能编辑功能。</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（3）资源动态维护与更新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企业可对公示资源修改信息、补充材料、更新资源状态。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（4）资源下架/归档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支持资源下架归档，搭建发布台账，实现资源批量下架、修改、导出与分类管理。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（5）发布内容智能巡查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支持对企业待发布内容的安全合规性进行智能巡查，包括对错别字、敏感词、外链暗链、涉意识形态等内容进行校验。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6.3历史业务记录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（1）业务记录归集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与平台全业务联动，自动归集企业全量业务办理记录，无需手动录入。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（2）业务记录分类</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按业务类型与办理状态细分记录，搭建层级化总台账，支持快速筛选。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（3）业务记录检索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提供精准+模糊检索及组合筛选功能，支持结果排序，快速定位目标记录。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（4）业务记录查看</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可查看业务全流程轨迹，在线查阅、下载办理材料，实现流程透明可溯。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（5）业务记录归档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支持按条件批量导出标准化Excel业务记录，满足企业管理与政务核查需求。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（6）异常业务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对驳回、撤销、超期等异常业务标星集中展示，提醒企业及时处理。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6.4统计分析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（1）业务指标展示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搭建企业专属仪表盘，以图表实时展示核心指标，支持时间范围切换。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（2）业务数据统计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按时间、诉求类型、办理状态多维度分析，呈现业务办理效率与进度分布。</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（3）统计数据钻取与溯源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统计指标与图表支持下钻查看，直达对应业务明细记录。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6.5子账户管理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（1）子账户管理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支持子账户新增、编辑、删除与批量新增，生成唯一ID，删除后保留操作记录。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（2）多级用户权限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预设岗位权限模板，支持模板套用与手动调整，实现权限个性化分配。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（3）子账户状态管理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支持子账户启用、冻结、注销三种状态管理，适配人员岗位变动场景。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（4）子账户操作记录</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留存子账户全量操作记录，搭建台账，支持多条件检索与异常操作监控。</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（5）子账户批量管理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搭建子账户总台账，支持批量状态管理、权限分配及台账导出。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6.6企业用户体系管理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（1）企业架构配置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支持企业自主搭建多层级组织架构，可增删改节点并配置负责人。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（2）用户-角色-组织架构联动关联</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实现三者灵活联动，支持按组织架构批量绑定角色与分配权限。</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（3）操作日志审计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搭建全用户操作日志库，日志永久留存不可篡改，支持多条件审计检索。</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6.7移动端和PC端适配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建立适配PC端、移动端的企业工作台，满足不同入口用户访问。</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7、外部对接</w:t>
      </w:r>
      <w:r>
        <w:rPr>
          <w:rFonts w:hint="eastAsia" w:ascii="宋体" w:hAnsi="宋体" w:eastAsia="宋体" w:cs="Times New Roman"/>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实现各类政务系统访问入口的统一，保证消息及时提醒，通过应用集成融合技术，实现“栖心为企”数字企服与“宁企通”惠企综合服务平台、“我的南京”政务版、栖霞区政务OA系统、栖霞热力图、重大办项目管理系统、栖霞区“一网统管”平台进行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7.1“宁企通”惠企综合服务平台对接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与“宁企通”惠企综合服务平台进行PC端、移动端对接，对接发布“栖心为企”数字企服入口，并实现企业用户可通过“宁企通”账户访问“栖心为企”数字企服平台。</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7.2“我的南京”政务版对接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与“我的南京”政务版进行移动端对接，政务侧用户可通过“我的南京”政务办跳转访问“栖心为企”数字企服，无需再次进行身份验证。</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7.3栖霞区政务OA系统对接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与栖霞区政务OA系统对接，对接范围包括PC端和移动端，政务侧用户可通过政务OA直接跳转至“栖心为企”数字企服，无需再次进行身份验证，“栖心为企”数字企服也可向栖霞区政务OA系统推送各类系统消息。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7.4栖霞热力图对接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与栖霞热力图小程序进行对接，将栖霞热力图小程序现有载体、产业地块数据对接至投资栖霞模块。</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7.5重大办项目管理系统对接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与栖霞区重大办项目管理系统对接，包括统一访问入口、重大项目信息采集。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7.6栖霞区“一网统管”平台对接</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与栖霞区“一网统管”平台对接，复用流程引擎。</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ff"/>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2"/>
        <w:keepLines w:val="0"/>
        <w:keepNext w:val="0"/>
        <w:pageBreakBefore w:val="0"/>
        <w:spacing w:line="264" w:lineRule="auto"/>
        <w:widowControl w:val="off"/>
        <w:rPr>
          <w:rFonts w:ascii="宋体" w:hAnsi="宋体" w:eastAsia="宋体" w:cs="宋体"/>
          <w:b/>
          <w:bCs/>
          <w:color w:val="000000"/>
          <w:sz w:val="24"/>
          <w:szCs w:val="24"/>
          <w:lang w:val="en-US" w:eastAsia="zh-CN"/>
        </w:rPr>
      </w:pPr>
      <w:r>
        <w:rPr>
          <w:rFonts w:ascii="宋体" w:hAnsi="宋体" w:eastAsia="宋体" w:cs="宋体"/>
          <w:b/>
          <w:bCs/>
          <w:color w:val="000000"/>
          <w:sz w:val="24"/>
          <w:szCs w:val="24"/>
          <w:lang w:val="en-US" w:eastAsia="zh-CN"/>
        </w:rPr>
        <w:t xml:space="preserve">（1）总体要求</w:t>
      </w:r>
      <w:r>
        <w:rPr>
          <w:rFonts w:ascii="宋体" w:hAnsi="宋体" w:eastAsia="宋体" w:cs="宋体"/>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成交供应商应按时完成软件开发、调试、测试、集成、施工、部署。包括但不限于：</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1）应用软件开发以及软件安装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①软件开发环境要求：本项目要求项目实施方整个项目团队的开发、调试、维护等工作在采购人指定或同意的地点进行。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②软件系统安装要求：项目实施方必须在实施时向采购人提供标书中要求的应用系统安装、联调、培训、维护服务等的全部内容。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对成交供应商的要求：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i.要求成交供应商必须具有良好信誉和相关实力的技术队伍。</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ii.项目实施方应本着认真负责态度，组织技术队伍，做好项目的整体方案，并书面提出长期保修、维护、服务以及今后技术支持的措施计划和承诺。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iii.成交供应商应允许采购人安排相关技术人员参与应用系统的安装、测试、诊断及解决遇到的问题等各项工作，并提交完整详细的书面文档。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2）试运行期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①应用软件实施工作根据采购人统一安排分批进行。在完成项目培训、初始化工作后，进入试运行期。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②试运行期间项目实施方需提供专人进行运行指导及维护服务。</w:t>
      </w:r>
      <w:r>
        <w:rPr>
          <w:rFonts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2</w:t>
      </w:r>
      <w:r>
        <w:rPr>
          <w:rFonts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服务要求</w:t>
      </w:r>
      <w:r>
        <w:rPr>
          <w:rFonts w:hint="eastAsia" w:ascii="宋体" w:hAnsi="宋体" w:eastAsia="宋体" w:cs="宋体"/>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1）成交供应商必须拥有一套切实可行的质量保证体系，确保软件的开发及服务质量。</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2）为保证系统的正常运行，成交供应商配有较强的专业技术队伍，能提供快捷的运维服务响应。</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3）服务内容包括现场服务、定期巡检、故障服务。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4）成交供应商应建立运行维护团队，故障响应要求：①提供7×24小时响应。②故障在1小时内响应，如电话、网络等不能解决问题，4小时到现场，24小时解决问题，紧急状况2小时到现场，4小时解决问题。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5）如遇紧急、重大服务事项，需在保证提供多人、快速服务响应的情况下配合管理方协调产品的研发单位进行现场应急事件处理。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6）成交供应商应有完善的文档管理制度，保证运行维护过程中产生的文档。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7）在提供运维服务的过程中，获悉的一切资讯需严格遵守保密协议，严禁自行使用或向他人传播，泄漏或擅自使用或允许他人使用上述信息，由此造成的损失应承担相应的法律责任。</w:t>
      </w:r>
      <w:r>
        <w:rPr>
          <w:rFonts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（3）验收要求</w:t>
      </w:r>
      <w:r>
        <w:rPr>
          <w:rFonts w:hint="eastAsia" w:ascii="宋体" w:hAnsi="宋体" w:eastAsia="宋体" w:cs="宋体"/>
          <w:b/>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初验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Times New Roman"/>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7"/>
        <w:ind w:firstLine="482"/>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（4）运维服务要求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①本项目软件服务运维期1年(自项目终验通过之日起，进入运维期）。上述所有服务费用包含在总报价中。</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②如采购人未能正确使用和操作本系统，包括未能正确执行适当的备份等操作，导致系统功能不正常的，成交供应商应向采购人提供技术上的支持协助，以使采购人的损失减至最低。</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（5）人员要求</w:t>
      </w:r>
      <w:r>
        <w:rPr>
          <w:rFonts w:hint="eastAsia" w:ascii="宋体" w:hAnsi="宋体" w:eastAsia="宋体" w:cs="宋体"/>
          <w:b/>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①项目经理：1人，主要负责制定并执行项目整体计划，包括项目进度计划、质量管理计划、风险管理计划、沟通计划等，并根据项目实施情况采用实施策略进行项目资源管理，确保项目按时按质完成交付。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②技术负责人：1人，一是负责开发范围的讨论与确定；二是负责开发工作详细计划的制定与控制。</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③运维负责人：1人，负责项目整体运维工作，</w:t>
      </w:r>
      <w:r>
        <w:rPr>
          <w:rFonts w:hint="eastAsia" w:ascii="宋体" w:hAnsi="宋体" w:eastAsia="宋体" w:cs="Times New Roman"/>
          <w:color w:val="000000"/>
          <w:sz w:val="24"/>
          <w:szCs w:val="24"/>
          <w:highlight w:val="none"/>
          <w:lang w:val="en-US" w:eastAsia="zh-CN"/>
        </w:rPr>
        <w:t xml:space="preserve">具有相关工作经验。</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④实施人员不少于6人，包括但不限于研发工程师、测试工程师、实施工程师等，具有相关工作经验。</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bCs w:val="0"/>
          <w:color w:val="000000"/>
          <w:sz w:val="24"/>
          <w:szCs w:val="24"/>
          <w:highlight w:val="none"/>
          <w:lang w:val="en-US" w:eastAsia="zh-CN"/>
        </w:rPr>
      </w:r>
      <w:r/>
    </w:p>
    <w:p>
      <w:pPr>
        <w:pStyle w:val="867"/>
        <w:ind w:firstLine="482"/>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（6）知识产权及保密要求</w:t>
      </w:r>
      <w:r>
        <w:rPr>
          <w:rFonts w:hint="eastAsia" w:ascii="宋体" w:hAnsi="宋体" w:eastAsia="宋体" w:cs="宋体"/>
          <w:b/>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1、保密要求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承诺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供应商提供的任何其它资料。</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供应商应保证其雇员：只有在为了本项目的目的而必须知道保密信息的情况下，才允许获取从采购人或采购人代表获得的任何保密信息；必须了解本项目合同规定的保密要求并与</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供应商签订保密协议。</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（3）未经采购人书面许可，</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供应商透露或使用了保密信息，应当在不损害采购人其它利益的情况下，尽一切努力协助采购人收回保密信息，防止使用、传播、出售或以其它任何方式处置该保密信息。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（4）本项目合同终止后3个工作日内，</w:t>
      </w:r>
      <w:r>
        <w:rPr>
          <w:rFonts w:hint="eastAsia" w:ascii="宋体" w:hAnsi="宋体" w:eastAsia="宋体" w:cs="Times New Roman"/>
          <w:color w:val="000000"/>
          <w:sz w:val="24"/>
          <w:szCs w:val="24"/>
          <w:lang w:val="en-US" w:eastAsia="zh-CN"/>
        </w:rPr>
        <w:t xml:space="preserve">成交</w:t>
      </w:r>
      <w:r>
        <w:rPr>
          <w:rFonts w:hint="eastAsia" w:ascii="宋体" w:hAnsi="宋体" w:eastAsia="宋体" w:cs="Times New Roman"/>
          <w:color w:val="000000"/>
          <w:sz w:val="24"/>
          <w:szCs w:val="24"/>
          <w:lang w:val="en-US" w:eastAsia="zh-CN"/>
        </w:rPr>
        <w:t xml:space="preserve">供应商应向采购人交还其获得的保密信息，不得以任何方式进行复制留存。</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2、数据安全要求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应提供有效的安全保密措施，确保系统和数据资源的安全；不同的操作员具有不同的数据访问权限和功能操作权限，系统管理员应能对各操作员的权限进行配置和管理。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3、知识产权要求</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同时，供应商为实施项目而提供的所有资料及工作成果的所有知识产权权利归采购人所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以及提供项目的最终版本部署包。</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②业务需求分析阶段：需求调研方案、需求分析说明书。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③系统设计、开发阶段：需求规格说明书、概要设计说明书、详细设计说明书、数据库设计说明书、系统接口说明书。</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⑤项目验收阶段：测试报告、项目验收方案、系统运行报告、项目验收报告。</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⑥运行维护阶段：系统维护方案、系统维护手册、系统运行维护记录。</w:t>
      </w:r>
      <w:r>
        <w:rPr>
          <w:rFonts w:hint="eastAsia" w:ascii="宋体" w:hAnsi="宋体" w:eastAsia="宋体" w:cs="Times New Roman"/>
          <w:color w:val="000000"/>
          <w:sz w:val="24"/>
          <w:szCs w:val="24"/>
          <w:lang w:val="en-US" w:eastAsia="zh-CN"/>
        </w:rPr>
      </w:r>
      <w:r/>
    </w:p>
    <w:p>
      <w:pPr>
        <w:pStyle w:val="867"/>
        <w:ind w:firstLine="482"/>
        <w:keepLines w:val="0"/>
        <w:keepNext w:val="0"/>
        <w:pageBreakBefore w:val="0"/>
        <w:spacing w:line="264"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（8）网络安全等级保护测评要求</w:t>
      </w:r>
      <w:r>
        <w:rPr>
          <w:rFonts w:hint="eastAsia" w:ascii="宋体" w:hAnsi="宋体" w:eastAsia="宋体" w:cs="Times New Roman"/>
          <w:b/>
          <w:bCs/>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供应商配合采购人，做好系统通过等保测评相关准备工作。</w:t>
      </w:r>
      <w:r>
        <w:rPr>
          <w:rFonts w:hint="eastAsia" w:ascii="宋体" w:hAnsi="宋体" w:eastAsia="宋体" w:cs="Times New Roman"/>
          <w:color w:val="000000"/>
          <w:sz w:val="24"/>
          <w:szCs w:val="24"/>
          <w:lang w:val="en-US" w:eastAsia="zh-CN"/>
        </w:rPr>
      </w:r>
      <w:r/>
    </w:p>
    <w:p>
      <w:pPr>
        <w:pStyle w:val="867"/>
        <w:ind w:firstLine="482"/>
        <w:spacing w:line="264" w:lineRule="auto"/>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（9）网络安全和数据安全要求，外包网络安全管理要求</w:t>
      </w:r>
      <w:r>
        <w:rPr>
          <w:rFonts w:hint="eastAsia" w:ascii="宋体" w:hAnsi="宋体" w:eastAsia="宋体" w:cs="Times New Roman"/>
          <w:b/>
          <w:bCs/>
          <w:color w:val="000000"/>
          <w:sz w:val="24"/>
          <w:szCs w:val="24"/>
          <w:lang w:val="en-US" w:eastAsia="zh-CN"/>
        </w:rPr>
      </w:r>
      <w:r/>
    </w:p>
    <w:p>
      <w:pPr>
        <w:pStyle w:val="867"/>
        <w:ind w:firstLine="480"/>
        <w:spacing w:line="264"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r>
      <w:r/>
    </w:p>
    <w:p>
      <w:pPr>
        <w:ind w:firstLine="482"/>
        <w:jc w:val="left"/>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（10）系统对接要求</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供应商在提供定制软件开发服务时，需满足以下对接要求：</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与宁企通平台接口对接；对接工作联系人：卢女士，联系电话：025-68505634</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与“我的南京”政务办平台接口对接；对接工作联系人：闵先生，联系电话：025-68786890</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与栖霞区OA系统接口对接；对接工作联系人：薛先生，联系电话：025-85567795</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与栖霞投促热力图系统接口对接；对接工作联系人：袁先生，联系电话：15150653892</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与栖霞区重大办项目管理系统接口对接；对接工作联系人：金先生，联系电话：025-83455218</w:t>
      </w:r>
      <w:r>
        <w:rPr>
          <w:rFonts w:hint="eastAsia" w:ascii="宋体" w:hAnsi="宋体" w:eastAsia="宋体" w:cs="Times New Roman"/>
          <w:color w:val="000000"/>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与栖霞区“一网统管”平台接口对接；对接工作联系人：顾先生，联系电话：025-85566260</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300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Times New Roman"/>
          <w:color w:val="0000ff"/>
          <w:sz w:val="24"/>
          <w:szCs w:val="24"/>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eastAsia="宋体"/>
          <w:lang w:val="en-US" w:eastAsia="zh-CN"/>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1291"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2" o:title=""/>
              </v:shape>
            </w:pict>
          </mc:Fallback>
        </mc:AlternateContent>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eastAsia="宋体"/>
          <w:lang w:val="en-US"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2.1</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7"/>
              <w:ind w:right="108"/>
              <w:jc w:val="left"/>
              <w:spacing w:before="68" w:line="264"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需求理解</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7"/>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根据本项目采购需求编制需求理解材料，内容包含：</w:t>
            </w:r>
            <w:r>
              <w:rPr>
                <w:rFonts w:hint="eastAsia" w:ascii="宋体" w:hAnsi="宋体" w:eastAsia="宋体" w:cs="宋体"/>
                <w:color w:val="000000"/>
                <w:sz w:val="21"/>
                <w:szCs w:val="21"/>
                <w:highlight w:val="none"/>
                <w:lang w:val="en-US" w:eastAsia="zh-CN"/>
              </w:rPr>
              <w:t xml:space="preserve">1.现状分析；2.业务需求理解；3.功能需求理解。</w:t>
            </w:r>
            <w:r>
              <w:rPr>
                <w:rFonts w:hint="eastAsia" w:ascii="宋体" w:hAnsi="宋体" w:eastAsia="宋体" w:cs="宋体"/>
                <w:color w:val="000000"/>
                <w:sz w:val="21"/>
                <w:szCs w:val="21"/>
                <w:lang w:val="en-US" w:eastAsia="zh-CN"/>
              </w:rPr>
              <w:t xml:space="preserve">以上每项内容逐条阐述。</w:t>
            </w:r>
            <w:r>
              <w:rPr>
                <w:rFonts w:hint="eastAsia" w:ascii="宋体" w:hAnsi="宋体" w:eastAsia="宋体" w:cs="宋体"/>
                <w:color w:val="000000"/>
                <w:sz w:val="21"/>
                <w:szCs w:val="21"/>
                <w:lang w:val="en-US" w:eastAsia="zh-CN"/>
              </w:rPr>
            </w:r>
            <w:r/>
          </w:p>
          <w:p>
            <w:pPr>
              <w:pStyle w:val="867"/>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材料内容对需求理解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ascii="宋体" w:hAnsi="宋体" w:eastAsia="宋体" w:cs="宋体"/>
                <w:color w:val="000000"/>
                <w:sz w:val="21"/>
                <w:szCs w:val="21"/>
                <w:lang w:val="en-US" w:eastAsia="zh-CN"/>
              </w:rPr>
            </w:r>
            <w:r/>
          </w:p>
          <w:p>
            <w:pPr>
              <w:pStyle w:val="867"/>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上述每项内容符合得2分；部分符合得1分；不符合或不提供不得分。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7"/>
              <w:jc w:val="center"/>
              <w:spacing w:before="68" w:line="264" w:lineRule="auto"/>
              <w:rPr>
                <w:rFonts w:hint="eastAsia" w:ascii="Arial" w:hAnsi="Arial" w:eastAsia="宋体" w:cs="Arial"/>
                <w:color w:val="000000"/>
                <w:lang w:val="en-US" w:eastAsia="zh-CN"/>
              </w:rPr>
            </w:pPr>
            <w:r>
              <w:rPr>
                <w:rFonts w:hint="eastAsia" w:ascii="Arial" w:hAnsi="Arial" w:cs="Arial"/>
                <w:color w:val="000000"/>
                <w:lang w:val="en-US" w:eastAsia="zh-CN"/>
              </w:rPr>
              <w:t xml:space="preserve">6</w:t>
            </w:r>
            <w:r>
              <w:rPr>
                <w:rFonts w:hint="eastAsia" w:ascii="Arial" w:hAnsi="Arial" w:eastAsia="宋体" w:cs="Arial"/>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4"/>
                <w:sz w:val="21"/>
                <w:szCs w:val="21"/>
                <w:lang w:val="en-US" w:eastAsia="zh-CN"/>
              </w:rPr>
            </w:pPr>
            <w:r>
              <w:rPr>
                <w:rFonts w:hint="eastAsia" w:ascii="宋体" w:hAnsi="宋体" w:eastAsia="宋体" w:cs="宋体"/>
                <w:color w:val="000000"/>
                <w:spacing w:val="-4"/>
                <w:sz w:val="21"/>
                <w:szCs w:val="21"/>
                <w:lang w:val="en-US" w:eastAsia="zh-CN"/>
              </w:rPr>
              <w:t xml:space="preserve">主观分</w:t>
            </w:r>
            <w:r>
              <w:rPr>
                <w:rFonts w:ascii="宋体" w:hAnsi="宋体" w:eastAsia="宋体" w:cs="宋体"/>
                <w:color w:val="000000"/>
                <w:spacing w:val="-4"/>
                <w:sz w:val="21"/>
                <w:szCs w:val="21"/>
                <w:lang w:val="en-US" w:eastAsia="zh-CN"/>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2.2</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总体技术方案1</w:t>
            </w:r>
            <w:r>
              <w:rPr>
                <w:rFonts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根据本项目采购需求“技术要求”中“栖心为企”概览、企业诉求快递、投资栖霞三个功能模块编制方案，内容包含</w:t>
            </w:r>
            <w:r>
              <w:rPr>
                <w:rFonts w:hint="eastAsia"/>
                <w:color w:val="000000"/>
                <w:sz w:val="21"/>
                <w:szCs w:val="21"/>
                <w:highlight w:val="none"/>
                <w:lang w:val="en-US" w:bidi="ar-SA"/>
              </w:rPr>
              <w:t xml:space="preserve">：</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总体架构和性能设计；</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技术路线和业务逻辑流程设计；</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用户界面和应用功能设计；</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系统部署和安全防护设计。</w:t>
            </w:r>
            <w:r>
              <w:rPr>
                <w:rFonts w:hint="eastAsia"/>
                <w:color w:val="000000"/>
                <w:sz w:val="21"/>
                <w:szCs w:val="21"/>
                <w:highlight w:val="none"/>
                <w:lang w:val="en-US" w:bidi="ar-SA"/>
              </w:rPr>
              <w:t xml:space="preserve">以上每项内容逐项评</w:t>
            </w:r>
            <w:r>
              <w:rPr>
                <w:rFonts w:hint="eastAsia"/>
                <w:color w:val="000000"/>
                <w:sz w:val="21"/>
                <w:szCs w:val="21"/>
                <w:lang w:val="en-US" w:bidi="ar-SA"/>
              </w:rPr>
              <w:t xml:space="preserve">分：</w:t>
            </w:r>
            <w:r>
              <w:rPr>
                <w:color w:val="000000"/>
                <w:sz w:val="21"/>
                <w:szCs w:val="21"/>
                <w:lang w:val="en-US" w:bidi="ar-SA"/>
              </w:rPr>
            </w:r>
            <w:r/>
          </w:p>
          <w:p>
            <w:pPr>
              <w:pStyle w:val="867"/>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w:t>
            </w:r>
            <w:r>
              <w:rPr>
                <w:rFonts w:hint="eastAsia" w:ascii="宋体" w:hAnsi="宋体" w:eastAsia="宋体" w:cs="宋体"/>
                <w:color w:val="000000"/>
                <w:sz w:val="21"/>
                <w:szCs w:val="21"/>
                <w:lang w:val="en-US" w:eastAsia="zh-CN"/>
              </w:rPr>
              <w:t xml:space="preserve">具有</w:t>
            </w:r>
            <w:r>
              <w:rPr>
                <w:rFonts w:ascii="宋体" w:hAnsi="宋体" w:eastAsia="宋体" w:cs="宋体"/>
                <w:color w:val="000000"/>
                <w:sz w:val="21"/>
                <w:szCs w:val="21"/>
                <w:lang w:val="en-US" w:eastAsia="zh-CN"/>
              </w:rPr>
              <w:t xml:space="preserve">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Arial" w:hAnsi="Arial" w:cs="Arial"/>
                <w:color w:val="000000"/>
                <w:lang w:val="en-US" w:eastAsia="zh-CN"/>
              </w:rPr>
              <w:t xml:space="preserve">8</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7"/>
              <w:ind w:right="108"/>
              <w:jc w:val="left"/>
              <w:spacing w:before="68" w:line="264"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总体技术方案2</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7"/>
              <w:rPr>
                <w:color w:val="000000"/>
                <w:sz w:val="21"/>
                <w:szCs w:val="21"/>
                <w:highlight w:val="none"/>
                <w:lang w:val="en-US" w:bidi="ar-SA"/>
              </w:rPr>
            </w:pPr>
            <w:r>
              <w:rPr>
                <w:rFonts w:hint="eastAsia"/>
                <w:color w:val="000000"/>
                <w:sz w:val="21"/>
                <w:szCs w:val="21"/>
                <w:highlight w:val="none"/>
                <w:lang w:val="en-US" w:bidi="ar-SA"/>
              </w:rPr>
              <w:t xml:space="preserve">根据本项目采购需求“</w:t>
            </w:r>
            <w:r>
              <w:rPr>
                <w:rFonts w:hint="eastAsia"/>
                <w:color w:val="000000"/>
                <w:sz w:val="21"/>
                <w:szCs w:val="21"/>
                <w:highlight w:val="none"/>
                <w:lang w:val="en-US" w:eastAsia="zh-CN" w:bidi="ar-SA"/>
              </w:rPr>
              <w:t xml:space="preserve">技术</w:t>
            </w:r>
            <w:r>
              <w:rPr>
                <w:rFonts w:hint="eastAsia"/>
                <w:color w:val="000000"/>
                <w:sz w:val="21"/>
                <w:szCs w:val="21"/>
                <w:highlight w:val="none"/>
                <w:lang w:val="en-US" w:bidi="ar-SA"/>
              </w:rPr>
              <w:t xml:space="preserve">要求”</w:t>
            </w:r>
            <w:r>
              <w:rPr>
                <w:rFonts w:hint="eastAsia"/>
                <w:color w:val="000000"/>
                <w:sz w:val="21"/>
                <w:szCs w:val="21"/>
                <w:highlight w:val="none"/>
                <w:lang w:val="en-US" w:eastAsia="zh-CN" w:bidi="ar-SA"/>
              </w:rPr>
              <w:t xml:space="preserve">中招商引资、政务服务工作台、企业工作台三个功能模块</w:t>
            </w:r>
            <w:r>
              <w:rPr>
                <w:rFonts w:hint="eastAsia"/>
                <w:color w:val="000000"/>
                <w:sz w:val="21"/>
                <w:szCs w:val="21"/>
                <w:highlight w:val="none"/>
                <w:lang w:val="en-US" w:bidi="ar-SA"/>
              </w:rPr>
              <w:t xml:space="preserve">编制方案，内容包含：</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总体架构和性能设计；</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技术路线和业务逻辑流程设计；</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用户界面和应用功能设计；</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系统部署和安全防护设计。</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867"/>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rPr>
              <w:t xml:space="preserve">设计思路科学、</w:t>
            </w:r>
            <w:r>
              <w:rPr>
                <w:rFonts w:hint="eastAsia" w:ascii="宋体" w:hAnsi="宋体" w:eastAsia="宋体" w:cs="宋体"/>
                <w:color w:val="000000"/>
                <w:sz w:val="21"/>
                <w:szCs w:val="21"/>
                <w:highlight w:val="none"/>
                <w:lang w:val="en-US" w:eastAsia="zh-CN"/>
              </w:rPr>
              <w:t xml:space="preserve">具有</w:t>
            </w:r>
            <w:r>
              <w:rPr>
                <w:rFonts w:ascii="宋体" w:hAnsi="宋体" w:eastAsia="宋体" w:cs="宋体"/>
                <w:color w:val="000000"/>
                <w:sz w:val="21"/>
                <w:szCs w:val="21"/>
                <w:highlight w:val="none"/>
                <w:lang w:val="en-US" w:eastAsia="zh-CN"/>
              </w:rPr>
              <w:t xml:space="preserve">前瞻性、技术可行</w:t>
            </w:r>
            <w:r>
              <w:rPr>
                <w:rFonts w:hint="eastAsia" w:ascii="Times New Roman" w:hAnsi="Times New Roman" w:eastAsia="宋体" w:cs="Times New Roman"/>
                <w:color w:val="000000"/>
                <w:highlight w:val="none"/>
                <w:lang w:val="en-US"/>
              </w:rPr>
              <w:t xml:space="preserve">，且</w:t>
            </w:r>
            <w:r>
              <w:rPr>
                <w:rFonts w:ascii="Times New Roman" w:hAnsi="Times New Roman" w:eastAsia="宋体" w:cs="Times New Roman"/>
                <w:color w:val="000000"/>
                <w:highlight w:val="none"/>
                <w:lang w:val="en-US"/>
              </w:rPr>
              <w:t xml:space="preserve">专门针对本项目，</w:t>
            </w:r>
            <w:r>
              <w:rPr>
                <w:rFonts w:hint="eastAsia" w:ascii="Times New Roman" w:hAnsi="Times New Roman" w:eastAsia="宋体" w:cs="Times New Roman"/>
                <w:color w:val="000000"/>
                <w:highlight w:val="none"/>
                <w:lang w:val="en-US" w:eastAsia="zh-CN"/>
              </w:rPr>
              <w:t xml:space="preserve">契合</w:t>
            </w:r>
            <w:r>
              <w:rPr>
                <w:rFonts w:ascii="Times New Roman" w:hAnsi="Times New Roman" w:eastAsia="宋体" w:cs="Times New Roman"/>
                <w:color w:val="000000"/>
                <w:highlight w:val="none"/>
                <w:lang w:val="en-US"/>
              </w:rPr>
              <w:t xml:space="preserve">采购需求视为符合；方案内容属于通用类，非专</w:t>
            </w:r>
            <w:r>
              <w:rPr>
                <w:color w:val="000000"/>
                <w:highlight w:val="none"/>
                <w:lang w:val="en-US"/>
              </w:rPr>
              <w:t xml:space="preserve">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67"/>
              <w:rPr>
                <w:rFonts w:hint="eastAsia" w:eastAsia="宋体"/>
                <w:color w:val="000000"/>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color w:val="000000"/>
                <w:highlight w:val="none"/>
                <w:lang w:val="en-US" w:eastAsia="zh-CN"/>
              </w:rPr>
              <w:t xml:space="preserve">。</w:t>
            </w:r>
            <w:r>
              <w:rPr>
                <w:rFonts w:hint="eastAsia" w:eastAsia="宋体"/>
                <w:color w:val="000000"/>
                <w:lang w:val="en-US" w:eastAsia="zh-CN"/>
              </w:rPr>
            </w:r>
            <w:r/>
          </w:p>
        </w:tc>
        <w:tc>
          <w:tcPr>
            <w:tcW w:w="647" w:type="dxa"/>
            <w:vAlign w:val="center"/>
            <w:textDirection w:val="lrTb"/>
            <w:noWrap w:val="false"/>
          </w:tcPr>
          <w:p>
            <w:pPr>
              <w:pStyle w:val="867"/>
              <w:jc w:val="center"/>
              <w:spacing w:before="68" w:line="264" w:lineRule="auto"/>
              <w:rPr>
                <w:rFonts w:hint="eastAsia" w:ascii="Arial" w:hAnsi="Arial" w:cs="Arial"/>
                <w:color w:val="000000"/>
                <w:lang w:val="en-US" w:eastAsia="zh-CN"/>
              </w:rPr>
            </w:pPr>
            <w:r>
              <w:rPr>
                <w:rFonts w:hint="eastAsia" w:ascii="Arial" w:hAnsi="Arial" w:cs="Arial"/>
                <w:color w:val="000000"/>
                <w:lang w:val="en-US" w:eastAsia="zh-CN"/>
              </w:rPr>
              <w:t xml:space="preserve">8</w:t>
            </w:r>
            <w:r>
              <w:rPr>
                <w:rFonts w:hint="eastAsia" w:ascii="Arial" w:hAnsi="Arial" w:cs="Arial"/>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4"/>
                <w:sz w:val="21"/>
                <w:szCs w:val="21"/>
                <w:lang w:eastAsia="zh-CN"/>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eastAsia="zh-CN"/>
              </w:rPr>
            </w:r>
            <w:r/>
          </w:p>
        </w:tc>
      </w:tr>
      <w:tr>
        <w:trPr>
          <w:trHeight w:val="315"/>
        </w:trPr>
        <w:tc>
          <w:tcPr>
            <w:tcW w:w="519" w:type="dxa"/>
            <w:vAlign w:val="center"/>
            <w:textDirection w:val="lrTb"/>
            <w:noWrap w:val="false"/>
          </w:tcPr>
          <w:p>
            <w:pPr>
              <w:pStyle w:val="867"/>
              <w:jc w:val="center"/>
              <w:spacing w:before="68" w:line="264" w:lineRule="auto"/>
              <w:rPr>
                <w:rFonts w:hint="eastAsia" w:ascii="宋体" w:hAnsi="宋体" w:eastAsia="宋体" w:cs="宋体"/>
                <w:color w:val="000000"/>
                <w:spacing w:val="-2"/>
                <w:sz w:val="21"/>
                <w:szCs w:val="21"/>
                <w:lang w:val="en-US" w:eastAsia="zh-CN" w:bidi="ar-SA"/>
              </w:rPr>
            </w:pPr>
            <w:r>
              <w:rPr>
                <w:rFonts w:ascii="宋体" w:hAnsi="宋体" w:cs="宋体"/>
                <w:color w:val="000000"/>
                <w:spacing w:val="-2"/>
              </w:rPr>
              <w:t xml:space="preserve">2.</w:t>
            </w:r>
            <w:r>
              <w:rPr>
                <w:rFonts w:hint="eastAsia" w:ascii="宋体" w:hAnsi="宋体" w:cs="宋体"/>
                <w:color w:val="000000"/>
                <w:spacing w:val="-2"/>
                <w:lang w:val="en-US" w:eastAsia="zh-CN"/>
              </w:rPr>
              <w:t xml:space="preserve">4</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根据本项目采购需求中“实施要求”编制方案，内容包含：1.项目进度计划；2.项目管理方案；3.项目保障措施。以上每项内容逐项评分：</w:t>
            </w:r>
            <w:r>
              <w:rPr>
                <w:color w:val="000000"/>
                <w:sz w:val="21"/>
                <w:szCs w:val="21"/>
                <w:lang w:val="en-US" w:bidi="ar-SA"/>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color w:val="000000"/>
                <w:sz w:val="21"/>
                <w:szCs w:val="21"/>
                <w:highlight w:val="yellow"/>
                <w:lang w:val="en-US" w:eastAsia="zh-CN" w:bidi="ar-SA"/>
              </w:rPr>
            </w:pPr>
            <w:r>
              <w:rPr>
                <w:rFonts w:hint="eastAsia" w:ascii="Arial" w:hAnsi="Arial" w:cs="Arial"/>
                <w:color w:val="000000"/>
                <w:lang w:val="en-US" w:eastAsia="zh-CN"/>
              </w:rPr>
              <w:t xml:space="preserve">6</w:t>
            </w:r>
            <w:r>
              <w:rPr>
                <w:rFonts w:hint="eastAsia"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67"/>
              <w:jc w:val="center"/>
              <w:spacing w:before="68" w:line="264" w:lineRule="auto"/>
              <w:rPr>
                <w:rFonts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2</w:t>
            </w:r>
            <w:r>
              <w:rPr>
                <w:rFonts w:ascii="宋体" w:hAnsi="宋体" w:cs="宋体"/>
                <w:color w:val="000000"/>
                <w:spacing w:val="-2"/>
              </w:rPr>
              <w:t xml:space="preserve">.</w:t>
            </w:r>
            <w:r>
              <w:rPr>
                <w:rFonts w:hint="eastAsia" w:ascii="宋体" w:hAnsi="宋体" w:cs="宋体"/>
                <w:color w:val="000000"/>
                <w:spacing w:val="-2"/>
                <w:lang w:val="en-US" w:eastAsia="zh-CN"/>
              </w:rPr>
              <w:t xml:space="preserve">5</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系统对接方案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sz w:val="21"/>
                <w:szCs w:val="21"/>
                <w:lang w:val="en-US" w:eastAsia="zh-CN"/>
              </w:rPr>
            </w:pPr>
            <w:r>
              <w:rPr>
                <w:rFonts w:hint="eastAsia"/>
                <w:color w:val="000000"/>
                <w:sz w:val="21"/>
                <w:szCs w:val="21"/>
                <w:lang w:val="en-US" w:bidi="ar-SA"/>
              </w:rPr>
              <w:t xml:space="preserve">根据本项目采购需求中“</w:t>
            </w:r>
            <w:r>
              <w:rPr>
                <w:rFonts w:hint="eastAsia" w:ascii="Times New Roman" w:hAnsi="Times New Roman" w:eastAsia="宋体" w:cs="Times New Roman"/>
                <w:color w:val="000000"/>
                <w:sz w:val="21"/>
                <w:szCs w:val="21"/>
                <w:lang w:val="en-US" w:eastAsia="zh-CN"/>
              </w:rPr>
              <w:t xml:space="preserve">系统对接</w:t>
            </w:r>
            <w:r>
              <w:rPr>
                <w:rFonts w:hint="eastAsia"/>
                <w:color w:val="000000"/>
                <w:sz w:val="21"/>
                <w:szCs w:val="21"/>
                <w:lang w:val="en-US" w:bidi="ar-SA"/>
              </w:rPr>
              <w:t xml:space="preserve">要求”编制方案，内容</w:t>
            </w:r>
            <w:r>
              <w:rPr>
                <w:rFonts w:hint="eastAsia"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highlight w:val="none"/>
                <w:lang w:val="en-US" w:eastAsia="zh-CN"/>
              </w:rPr>
              <w:t xml:space="preserve">1.对接实施计划；2.对接重点难点；3.对接保障措施。</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7"/>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详尽合理、针对性强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7"/>
              <w:jc w:val="left"/>
              <w:keepLines w:val="0"/>
              <w:keepNext w:val="0"/>
              <w:pageBreakBefore w:val="0"/>
              <w:spacing w:line="264" w:lineRule="auto"/>
              <w:widowControl/>
              <w:rPr>
                <w:rFonts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z w:val="21"/>
                <w:szCs w:val="21"/>
                <w:lang w:val="zh-CN" w:eastAsia="zh-CN" w:bidi="ar-SA"/>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2.6</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评委根据供应商提供的演示视频（总演示时间不超</w:t>
            </w:r>
            <w:r>
              <w:rPr>
                <w:rFonts w:hint="eastAsia" w:ascii="宋体" w:hAnsi="宋体" w:eastAsia="宋体" w:cs="宋体"/>
                <w:color w:val="000000"/>
                <w:sz w:val="21"/>
                <w:szCs w:val="21"/>
                <w:lang w:val="en-US" w:eastAsia="zh-CN"/>
              </w:rPr>
              <w:t xml:space="preserve">过20分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企业诉求快递功能演示：支持企业通过移动端进入诉求快递模块，支持企业上报诉求、查看诉求办理进度、开展诉求办理结果评价；在诉求办理进度中，支持查看办理中、已办结的工单以及工单详情；在诉求办理结果评价中，支持查看待评价、已评价的工单，同时支持追评；支持事项的全流程审批，演示企业用户提交诉求—企服中心确认—街道管办受理—企服中心协调—职能部门处理解决/召开协调会—街道管办反馈全流程审批，功能包括企业领导审核、企服中心确认、街道管办受理、企服中心协调、职能部门处理、召开协调会、街道管办反馈等功能。</w:t>
            </w:r>
            <w:r>
              <w:rPr>
                <w:rFonts w:hint="eastAsia"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（2）工作流配置功能演示：支持工作流程的基本配置，通过拖拽的方式编辑流程节点，需包括录入、受理、分拨、处置、办结等主要节点。支持查看配置后的流程基本信息并进行节点的编辑、删除。</w:t>
            </w:r>
            <w:r>
              <w:rPr>
                <w:rFonts w:hint="eastAsia"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载体全景图功能演示：支持基于地图查看载体的分布情况，支持查看辖区范围内载体的空置面积、空置率、企业标签等统计数据。支持通过地图下钻查看载体的基本信息，包括名称、地址、建筑年代、产权方等信息，以及入住企业的信息。</w:t>
            </w:r>
            <w:r>
              <w:rPr>
                <w:rFonts w:hint="eastAsia"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载体台账功能演示：支持载体信息的录入、修改、文件导入、查询，载体信息包括所属街道、地址、产权性质、所属权归属、物业管理方、建筑面积、空置面积、楼宇层数、停车位、楼宇等级、建成年月、入住企业数、租金、物管费等信息。</w:t>
            </w:r>
            <w:r>
              <w:rPr>
                <w:rFonts w:hint="eastAsia"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（5）招商项目管理功能演示：支持招商项目新增、编辑，包括名称、投资方、投资类型、项目类别、注册资金、责任人、项目所属行业等信息；同时支持查看年度的项目数、已签约项目数等统计分析情况。</w:t>
            </w:r>
            <w:r>
              <w:rPr>
                <w:rFonts w:hint="eastAsia" w:ascii="宋体" w:hAnsi="宋体" w:eastAsia="宋体" w:cs="宋体"/>
                <w:color w:val="000000"/>
                <w:sz w:val="21"/>
                <w:szCs w:val="21"/>
                <w:lang w:val="en-US" w:eastAsia="zh-CN"/>
              </w:rPr>
            </w:r>
            <w:r/>
          </w:p>
          <w:p>
            <w:pPr>
              <w:pStyle w:val="867"/>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产品与资源发布功能演示：智能发布支持标准化发布模板选择，支持佐证材料上传、草稿自动保存、分次编辑提交、智能排版等内容；内容巡查支持问题自动汇聚，一次性高亮显示定位一篇文章巡查到的全部问题；支持巡查文章中的图片、附件，支持巡查短视频、音频；支持获取每一条问题的严重等级、修订建议；巡查问题类型覆盖涉国家领导人、涉政、涉意识形态等；支持按平台、责任单位统计检测发文数量、问题数量，并导出结果。。 </w:t>
            </w:r>
            <w:r>
              <w:rPr>
                <w:rFonts w:hint="eastAsia"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上演示条款，采用类似真实系统演示全部功能每条得3分，采用系统原型（DEMO）演示全部内容每条得2分，采用PPT等方式演示全部内容每条得1分，不满足不得分；</w:t>
            </w:r>
            <w:r>
              <w:rPr>
                <w:rFonts w:ascii="宋体" w:hAnsi="宋体" w:eastAsia="宋体" w:cs="宋体"/>
                <w:color w:val="000000"/>
                <w:sz w:val="21"/>
                <w:szCs w:val="21"/>
                <w:lang w:val="en-US" w:eastAsia="zh-CN"/>
              </w:rPr>
            </w:r>
            <w:r/>
          </w:p>
          <w:p>
            <w:pPr>
              <w:pStyle w:val="867"/>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采用类似真实系统演示最多得1</w:t>
            </w: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t xml:space="preserve">分；采用系统原型（DEMO）最多得1</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分；采用PPT等方式演示最多得</w:t>
            </w: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7"/>
              <w:rPr>
                <w:rFonts w:hint="eastAsia"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en-US" w:eastAsia="zh-CN"/>
              </w:rPr>
              <w:t xml:space="preserve">（未提供视频文件或因供应商自身原因视频文件无法打开或视频画面不清晰无法辨认的不得分。）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color w:val="000000"/>
                <w:sz w:val="21"/>
                <w:szCs w:val="21"/>
                <w:lang w:val="en-US" w:bidi="ar-SA"/>
              </w:rPr>
              <w:t xml:space="preserve">根据本项目采购需求中“</w:t>
            </w:r>
            <w:r>
              <w:rPr>
                <w:rFonts w:hint="eastAsia" w:ascii="Times New Roman" w:hAnsi="Times New Roman" w:eastAsia="宋体" w:cs="Times New Roman"/>
                <w:color w:val="000000"/>
                <w:spacing w:val="0"/>
                <w:lang w:val="en-US" w:eastAsia="zh-CN"/>
              </w:rPr>
              <w:t xml:space="preserve">运维服务</w:t>
            </w:r>
            <w:r>
              <w:rPr>
                <w:rFonts w:hint="eastAsia"/>
                <w:color w:val="000000"/>
                <w:sz w:val="21"/>
                <w:szCs w:val="21"/>
                <w:lang w:val="en-US" w:bidi="ar-SA"/>
              </w:rPr>
              <w:t xml:space="preserve">要求”编制方案，内容</w:t>
            </w:r>
            <w:r>
              <w:rPr>
                <w:rFonts w:ascii="宋体" w:hAnsi="宋体" w:eastAsia="宋体" w:cs="宋体"/>
                <w:color w:val="000000"/>
                <w:lang w:val="en-US" w:eastAsia="zh-CN"/>
              </w:rPr>
              <w:t xml:space="preserve">包括</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服务措施</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t xml:space="preserve">应急举措</w:t>
            </w: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t xml:space="preserve">服务流程及服务保障体系</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w:t>
            </w:r>
            <w:r>
              <w:rPr>
                <w:rFonts w:hint="eastAsia" w:ascii="Times New Roman" w:hAnsi="Times New Roman" w:eastAsia="宋体" w:cs="Times New Roman"/>
                <w:color w:val="000000"/>
                <w:lang w:val="en-US" w:eastAsia="zh-CN"/>
              </w:rPr>
              <w:t xml:space="preserve">具有</w:t>
            </w:r>
            <w:r>
              <w:rPr>
                <w:rFonts w:ascii="Times New Roman" w:hAnsi="Times New Roman" w:eastAsia="宋体" w:cs="Times New Roman"/>
                <w:color w:val="000000"/>
                <w:lang w:val="en-US" w:eastAsia="zh-CN"/>
              </w:rPr>
              <w:t xml:space="preserve">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49"/>
              <w:ind w:left="0"/>
              <w:spacing w:line="264" w:lineRule="auto"/>
              <w:rPr>
                <w:rFonts w:ascii="Calibri" w:hAnsi="Calibri" w:eastAsia="Calibri" w:cs="宋体"/>
                <w:color w:val="000000"/>
                <w:sz w:val="20"/>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7"/>
              <w:jc w:val="center"/>
              <w:spacing w:before="68" w:line="264" w:lineRule="auto"/>
              <w:rPr>
                <w:rFonts w:hint="eastAsia" w:ascii="宋体" w:hAnsi="宋体" w:eastAsia="宋体" w:cs="宋体"/>
                <w:color w:val="000000"/>
                <w:sz w:val="21"/>
                <w:szCs w:val="21"/>
                <w:lang w:val="en-US" w:eastAsia="zh-CN" w:bidi="ar-SA"/>
              </w:rPr>
            </w:pPr>
            <w:r>
              <w:rPr>
                <w:rFonts w:hint="eastAsia" w:ascii="Arial" w:hAnsi="Arial" w:cs="Arial"/>
                <w:color w:val="000000"/>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lang w:val="en-US" w:eastAsia="zh-CN"/>
              </w:rPr>
              <w:t xml:space="preserve">供应商具有本地化服务能力的得</w:t>
            </w: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分。（提供承诺书或有效证明材料）</w:t>
            </w:r>
            <w:r>
              <w:rPr>
                <w:rFonts w:hint="eastAsia" w:ascii="宋体" w:hAnsi="宋体" w:eastAsia="宋体" w:cs="宋体"/>
                <w:color w:val="000000"/>
                <w:spacing w:val="-2"/>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客观分</w:t>
            </w:r>
            <w:r>
              <w:rPr>
                <w:rFonts w:ascii="宋体" w:hAnsi="宋体" w:eastAsia="宋体" w:cs="宋体"/>
                <w:color w:val="000000"/>
                <w:spacing w:val="-6"/>
                <w:lang w:val="en-US" w:eastAsia="zh-CN"/>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日（含）以来区县级及以上信息化软件开发项目业绩，每提供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，最高得</w:t>
            </w:r>
            <w:r>
              <w:rPr>
                <w:rFonts w:hint="eastAsia" w:ascii="宋体" w:hAnsi="宋体" w:eastAsia="宋体" w:cs="宋体"/>
                <w:lang w:val="en-US" w:eastAsia="zh-CN"/>
              </w:rPr>
              <w:t xml:space="preserve">3分</w:t>
            </w:r>
            <w:r>
              <w:rPr>
                <w:rFonts w:ascii="宋体" w:hAnsi="宋体" w:eastAsia="宋体" w:cs="宋体"/>
                <w:lang w:val="en-US" w:eastAsia="zh-CN"/>
              </w:rPr>
              <w:t xml:space="preserve">。（</w:t>
            </w:r>
            <w:r>
              <w:rPr>
                <w:rFonts w:hint="eastAsia" w:ascii="宋体" w:hAnsi="宋体" w:eastAsia="宋体" w:cs="宋体"/>
                <w:sz w:val="21"/>
                <w:szCs w:val="21"/>
                <w:lang w:val="en-US" w:eastAsia="zh-CN" w:bidi="ar-SA"/>
              </w:rPr>
              <w:t xml:space="preserve">时间以合同签订时间为准，</w:t>
            </w:r>
            <w:r>
              <w:rPr>
                <w:rFonts w:ascii="宋体" w:hAnsi="宋体" w:eastAsia="宋体" w:cs="宋体"/>
                <w:lang w:val="en-US" w:eastAsia="zh-CN"/>
              </w:rPr>
              <w:t xml:space="preserve">提供有效合同，合同</w:t>
            </w:r>
            <w:r>
              <w:rPr>
                <w:rFonts w:hint="eastAsia" w:ascii="宋体" w:hAnsi="宋体" w:eastAsia="宋体" w:cs="宋体"/>
                <w:lang w:val="en-US" w:eastAsia="zh-CN"/>
              </w:rPr>
              <w:t xml:space="preserve">页</w:t>
            </w:r>
            <w:r>
              <w:rPr>
                <w:rFonts w:ascii="宋体" w:hAnsi="宋体" w:eastAsia="宋体" w:cs="宋体"/>
                <w:lang w:val="en-US" w:eastAsia="zh-CN"/>
              </w:rPr>
              <w:t xml:space="preserve">须清晰可见相应内容</w:t>
            </w:r>
            <w:r>
              <w:rPr>
                <w:rFonts w:ascii="宋体" w:hAnsi="宋体" w:eastAsia="宋体" w:cs="宋体"/>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3</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lang w:val="en-US" w:eastAsia="zh-CN"/>
              </w:rPr>
              <w:t xml:space="preserve">供应商</w:t>
            </w:r>
            <w:r>
              <w:rPr>
                <w:rFonts w:hint="eastAsia" w:ascii="宋体" w:hAnsi="宋体" w:eastAsia="宋体" w:cs="宋体"/>
                <w:sz w:val="21"/>
                <w:szCs w:val="21"/>
                <w:lang w:val="en-US" w:eastAsia="zh-CN"/>
              </w:rPr>
              <w:t xml:space="preserve">拟投入本项目的项目经理：</w:t>
            </w:r>
            <w:r>
              <w:rPr>
                <w:rFonts w:hint="eastAsia" w:ascii="宋体" w:hAnsi="宋体" w:eastAsia="宋体" w:cs="宋体"/>
                <w:sz w:val="21"/>
                <w:szCs w:val="21"/>
                <w:lang w:val="en-US" w:eastAsia="zh-CN"/>
              </w:rPr>
            </w:r>
            <w:r/>
          </w:p>
          <w:p>
            <w:pPr>
              <w:pStyle w:val="867"/>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具有电子信息化类或数字经济类等与本项目相关专业正高级工程师职称证书，得3分；具有电子信息化类或数字经济类等与本项目相关专业高级工程师职称证书，得1分。</w:t>
            </w:r>
            <w:r>
              <w:rPr>
                <w:rFonts w:hint="eastAsia" w:ascii="宋体" w:hAnsi="宋体" w:eastAsia="宋体" w:cs="宋体"/>
                <w:sz w:val="21"/>
                <w:szCs w:val="21"/>
                <w:lang w:val="en-US" w:eastAsia="zh-CN"/>
              </w:rPr>
            </w:r>
            <w:r/>
          </w:p>
          <w:p>
            <w:pPr>
              <w:pStyle w:val="867"/>
              <w:jc w:val="both"/>
              <w:keepLines w:val="0"/>
              <w:keepNext w:val="0"/>
              <w:pageBreakBefore w:val="0"/>
              <w:spacing w:line="264" w:lineRule="auto"/>
              <w:widowControl w:val="off"/>
              <w:rPr>
                <w:rFonts w:ascii="Times New Roman" w:hAnsi="Times New Roman" w:eastAsia="宋体" w:cs="Times New Roman"/>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为其缴纳的2026年1月以来任意一个月的社保证明材料，缺一不可）</w:t>
            </w:r>
            <w:r>
              <w:rPr>
                <w:rFonts w:ascii="Times New Roman" w:hAnsi="Times New Roman" w:eastAsia="宋体" w:cs="Times New Roman"/>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拟投入本项目的技术负责人：</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具有</w:t>
            </w:r>
            <w:r>
              <w:rPr>
                <w:rFonts w:hint="eastAsia" w:ascii="宋体" w:hAnsi="宋体" w:eastAsia="宋体" w:cs="宋体"/>
                <w:lang w:val="en-US" w:eastAsia="zh-CN"/>
              </w:rPr>
              <w:t xml:space="preserve">电子信息化类或数字经济类等与本项目相关专业</w:t>
            </w:r>
            <w:r>
              <w:rPr>
                <w:rFonts w:hint="eastAsia" w:ascii="宋体" w:hAnsi="宋体" w:eastAsia="宋体" w:cs="宋体"/>
                <w:color w:val="000000"/>
                <w:sz w:val="21"/>
                <w:szCs w:val="21"/>
                <w:lang w:val="en-US" w:eastAsia="zh-CN"/>
              </w:rPr>
              <w:t xml:space="preserve">高级工程师职称证书，得</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具有大数据分析师（高级）证书，得2分；</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③具有软件设计师（中级）证书，得1分；</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为其缴纳的2026年1月以来任意一个月的社保证明材料</w:t>
            </w:r>
            <w:r>
              <w:rPr>
                <w:rFonts w:hint="eastAsia" w:ascii="宋体" w:hAnsi="宋体" w:eastAsia="宋体" w:cs="宋体"/>
                <w:color w:val="000000"/>
                <w:sz w:val="21"/>
                <w:szCs w:val="21"/>
                <w:lang w:val="en-US" w:eastAsia="zh-CN"/>
              </w:rPr>
              <w:t xml:space="preserve">，缺一不可）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lang w:val="en-US" w:eastAsia="zh-CN"/>
              </w:rPr>
              <w:t xml:space="preserve">供应商</w:t>
            </w:r>
            <w:r>
              <w:rPr>
                <w:rFonts w:hint="eastAsia" w:ascii="宋体" w:hAnsi="宋体" w:eastAsia="宋体" w:cs="宋体"/>
                <w:sz w:val="21"/>
                <w:szCs w:val="21"/>
                <w:lang w:val="en-US" w:eastAsia="zh-CN"/>
              </w:rPr>
              <w:t xml:space="preserve">拟投入本项目的</w:t>
            </w:r>
            <w:r>
              <w:rPr>
                <w:rFonts w:hint="eastAsia" w:ascii="宋体" w:hAnsi="宋体" w:eastAsia="宋体" w:cs="宋体"/>
                <w:sz w:val="21"/>
                <w:szCs w:val="21"/>
                <w:lang w:val="en-US" w:eastAsia="zh-CN"/>
              </w:rPr>
              <w:t xml:space="preserve">运维负责人：</w:t>
            </w:r>
            <w:r>
              <w:rPr>
                <w:rFonts w:hint="eastAsia" w:ascii="宋体" w:hAnsi="宋体" w:eastAsia="宋体" w:cs="宋体"/>
                <w:sz w:val="21"/>
                <w:szCs w:val="21"/>
                <w:lang w:val="en-US" w:eastAsia="zh-CN"/>
              </w:rPr>
            </w:r>
            <w:r/>
          </w:p>
          <w:p>
            <w:pPr>
              <w:pStyle w:val="867"/>
              <w:jc w:val="both"/>
              <w:keepLines w:val="0"/>
              <w:keepNext w:val="0"/>
              <w:pageBreakBefore w:val="0"/>
              <w:spacing w:line="264" w:lineRule="auto"/>
              <w:widowControl w:val="off"/>
              <w:rPr>
                <w:rFonts w:hint="eastAsia" w:ascii="宋体" w:hAnsi="宋体" w:cs="宋体"/>
                <w:color w:val="000000"/>
                <w:highlight w:val="none"/>
                <w:lang w:val="en-US" w:eastAsia="zh-CN"/>
              </w:rPr>
            </w:pPr>
            <w:r>
              <w:rPr>
                <w:rFonts w:ascii="宋体" w:hAnsi="宋体" w:eastAsia="宋体" w:cs="宋体"/>
                <w:color w:val="000000"/>
                <w:sz w:val="21"/>
                <w:szCs w:val="21"/>
                <w:lang w:val="en-US" w:eastAsia="zh-CN"/>
              </w:rPr>
              <w:t xml:space="preserve">①</w:t>
            </w:r>
            <w:r>
              <w:rPr>
                <w:rFonts w:hint="eastAsia" w:ascii="宋体" w:hAnsi="宋体" w:cs="宋体"/>
                <w:color w:val="000000"/>
                <w:highlight w:val="none"/>
                <w:lang w:val="en-US" w:eastAsia="zh-CN"/>
              </w:rPr>
              <w:t xml:space="preserve">具备</w:t>
            </w:r>
            <w:r>
              <w:rPr>
                <w:rFonts w:hint="eastAsia" w:ascii="宋体" w:hAnsi="宋体" w:eastAsia="宋体" w:cs="宋体"/>
                <w:lang w:val="en-US" w:eastAsia="zh-CN"/>
              </w:rPr>
              <w:t xml:space="preserve">电子信息化类或数字经济类等与本项目相关专业</w:t>
            </w:r>
            <w:r>
              <w:rPr>
                <w:rFonts w:hint="eastAsia" w:ascii="宋体" w:hAnsi="宋体" w:cs="宋体"/>
                <w:color w:val="000000"/>
                <w:highlight w:val="none"/>
                <w:lang w:val="en-US" w:eastAsia="zh-CN"/>
              </w:rPr>
              <w:t xml:space="preserve">高级工程师职称证书，得2分；</w:t>
            </w:r>
            <w:r>
              <w:rPr>
                <w:rFonts w:hint="eastAsia" w:ascii="宋体" w:hAnsi="宋体" w:cs="宋体"/>
                <w:color w:val="000000"/>
                <w:highlight w:val="none"/>
                <w:lang w:val="en-US" w:eastAsia="zh-CN"/>
              </w:rPr>
            </w:r>
            <w:r/>
          </w:p>
          <w:p>
            <w:pPr>
              <w:pStyle w:val="867"/>
              <w:jc w:val="both"/>
              <w:keepLines w:val="0"/>
              <w:keepNext w:val="0"/>
              <w:pageBreakBefore w:val="0"/>
              <w:spacing w:line="264" w:lineRule="auto"/>
              <w:widowControl w:val="off"/>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②具有系统架构设计师（高级）证书，得2分；</w:t>
            </w:r>
            <w:r>
              <w:rPr>
                <w:rFonts w:hint="eastAsia" w:ascii="宋体" w:hAnsi="宋体" w:cs="宋体"/>
                <w:color w:val="000000"/>
                <w:highlight w:val="none"/>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③具有</w:t>
            </w:r>
            <w:r>
              <w:rPr>
                <w:rFonts w:hint="eastAsia" w:ascii="宋体" w:hAnsi="宋体" w:cs="宋体"/>
                <w:color w:val="000000"/>
                <w:highlight w:val="none"/>
                <w:lang w:eastAsia="zh-CN"/>
              </w:rPr>
              <w:t xml:space="preserve">ITSS信息技术服务标准应用经</w:t>
            </w:r>
            <w:r>
              <w:rPr>
                <w:rFonts w:hint="eastAsia" w:ascii="宋体" w:hAnsi="宋体" w:cs="宋体"/>
                <w:spacing w:val="1"/>
                <w:highlight w:val="none"/>
              </w:rPr>
              <w:t xml:space="preserve">理</w:t>
            </w:r>
            <w:r>
              <w:rPr>
                <w:rFonts w:hint="eastAsia" w:ascii="宋体" w:hAnsi="宋体" w:eastAsia="宋体" w:cs="宋体"/>
                <w:color w:val="000000"/>
                <w:highlight w:val="none"/>
                <w:lang w:val="en-US" w:eastAsia="zh-CN"/>
              </w:rPr>
              <w:t xml:space="preserve">证书，得1分。</w:t>
            </w:r>
            <w:r>
              <w:rPr>
                <w:rFonts w:hint="eastAsia" w:ascii="宋体" w:hAnsi="宋体" w:eastAsia="宋体" w:cs="宋体"/>
                <w:color w:val="000000"/>
                <w:highlight w:val="none"/>
                <w:lang w:val="en-US" w:eastAsia="zh-CN"/>
              </w:rPr>
            </w:r>
            <w:r/>
          </w:p>
          <w:p>
            <w:pPr>
              <w:pStyle w:val="867"/>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lang w:val="en-US" w:eastAsia="zh-CN"/>
              </w:rPr>
              <w:t xml:space="preserve">供应商</w:t>
            </w:r>
            <w:r>
              <w:rPr>
                <w:rFonts w:hint="eastAsia" w:ascii="宋体" w:hAnsi="宋体" w:eastAsia="宋体" w:cs="宋体"/>
                <w:color w:val="000000"/>
                <w:sz w:val="21"/>
                <w:szCs w:val="21"/>
                <w:lang w:val="en-US" w:eastAsia="zh-CN"/>
              </w:rPr>
              <w:t xml:space="preserve">为其缴纳的2026年1月以来任意一个月的社保证明材料，缺一不可）</w:t>
            </w:r>
            <w:r>
              <w:rPr>
                <w:rFonts w:hint="eastAsia" w:ascii="宋体" w:hAnsi="宋体" w:eastAsia="宋体" w:cs="宋体"/>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ff"/>
                <w:sz w:val="21"/>
                <w:szCs w:val="21"/>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5.4</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w:t>
            </w:r>
            <w:r>
              <w:rPr>
                <w:rFonts w:hint="eastAsia" w:ascii="宋体" w:hAnsi="宋体" w:eastAsia="宋体" w:cs="宋体"/>
                <w:color w:val="000000"/>
                <w:highlight w:val="none"/>
                <w:lang w:val="en-US" w:eastAsia="zh-CN"/>
              </w:rPr>
              <w:t xml:space="preserve">不含项目经理</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技术负责人</w:t>
            </w:r>
            <w:r>
              <w:rPr>
                <w:rFonts w:hint="eastAsia" w:ascii="宋体" w:hAnsi="宋体" w:cs="宋体"/>
                <w:color w:val="000000"/>
                <w:highlight w:val="none"/>
                <w:lang w:val="en-US" w:eastAsia="zh-CN"/>
              </w:rPr>
              <w:t xml:space="preserve">和运维负责人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67"/>
              <w:jc w:val="left"/>
              <w:keepLines w:val="0"/>
              <w:keepNext w:val="0"/>
              <w:pageBreakBefore w:val="0"/>
              <w:spacing w:line="264" w:lineRule="auto"/>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团队成员具有信息系统项目管理师证书、系统架构设计师证书、软件评测师证书、注册信息安全工程师（CISP-CISE）、网络与信息安全管理员证书、IT服务项目经理证书，每提供1</w:t>
            </w:r>
            <w:r>
              <w:rPr>
                <w:rFonts w:hint="eastAsia" w:ascii="宋体" w:hAnsi="宋体" w:eastAsia="宋体" w:cs="宋体"/>
                <w:color w:val="000000"/>
                <w:highlight w:val="none"/>
                <w:lang w:val="en-US" w:eastAsia="zh-CN"/>
              </w:rPr>
              <w:t xml:space="preserve">类</w:t>
            </w:r>
            <w:r>
              <w:rPr>
                <w:rFonts w:hint="eastAsia" w:ascii="宋体" w:hAnsi="宋体" w:eastAsia="宋体" w:cs="宋体"/>
                <w:color w:val="000000"/>
                <w:highlight w:val="none"/>
                <w:lang w:val="en-US" w:eastAsia="zh-CN"/>
              </w:rPr>
              <w:t xml:space="preserve">证书得1分，最高得6分。</w:t>
            </w:r>
            <w:r>
              <w:rPr>
                <w:rFonts w:hint="eastAsia" w:ascii="宋体" w:hAnsi="宋体" w:eastAsia="宋体" w:cs="宋体"/>
                <w:color w:val="000000"/>
                <w:highlight w:val="none"/>
                <w:lang w:val="en-US" w:eastAsia="zh-CN"/>
              </w:rPr>
            </w:r>
            <w:r/>
          </w:p>
          <w:p>
            <w:pPr>
              <w:pStyle w:val="867"/>
              <w:rPr>
                <w:rFonts w:hint="eastAsia" w:ascii="宋体" w:hAnsi="宋体" w:eastAsia="宋体" w:cs="宋体"/>
                <w:color w:val="000000"/>
                <w:sz w:val="21"/>
                <w:szCs w:val="21"/>
                <w:lang w:val="en-US" w:eastAsia="zh-CN" w:bidi="ar-SA"/>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szCs w:val="22"/>
                <w:highlight w:val="none"/>
                <w:lang w:val="en-US" w:eastAsia="zh-CN"/>
              </w:rPr>
              <w:t xml:space="preserve">多人一证、一人多证不重复计分</w:t>
            </w:r>
            <w:r>
              <w:rPr>
                <w:rFonts w:hint="eastAsia" w:ascii="宋体" w:hAnsi="宋体" w:eastAsia="宋体" w:cs="宋体"/>
                <w:color w:val="000000"/>
                <w:highlight w:val="none"/>
                <w:lang w:val="en-US" w:eastAsia="zh-CN"/>
              </w:rPr>
              <w:t xml:space="preserve">，提供团队成员证书</w:t>
            </w:r>
            <w:r>
              <w:rPr>
                <w:rFonts w:hint="eastAsia" w:ascii="宋体" w:hAnsi="宋体" w:cs="宋体"/>
                <w:color w:val="000000"/>
                <w:highlight w:val="none"/>
                <w:lang w:val="en-US" w:eastAsia="zh-CN"/>
              </w:rPr>
              <w:t xml:space="preserve">及</w:t>
            </w:r>
            <w:r>
              <w:rPr>
                <w:rFonts w:hint="eastAsia" w:ascii="宋体" w:hAnsi="宋体" w:eastAsia="宋体" w:cs="宋体"/>
                <w:color w:val="000000"/>
                <w:szCs w:val="22"/>
                <w:highlight w:val="none"/>
                <w:lang w:val="en-US" w:eastAsia="zh-CN"/>
              </w:rPr>
              <w:t xml:space="preserve">供应商为其缴纳的2026年</w:t>
            </w:r>
            <w:r>
              <w:rPr>
                <w:rFonts w:hint="eastAsia" w:ascii="宋体" w:hAnsi="宋体" w:cs="宋体"/>
                <w:color w:val="000000"/>
                <w:szCs w:val="22"/>
                <w:highlight w:val="none"/>
                <w:lang w:val="en-US" w:eastAsia="zh-CN"/>
              </w:rPr>
              <w:t xml:space="preserve">1</w:t>
            </w:r>
            <w:r>
              <w:rPr>
                <w:rFonts w:hint="eastAsia" w:ascii="宋体" w:hAnsi="宋体" w:eastAsia="宋体" w:cs="宋体"/>
                <w:color w:val="000000"/>
                <w:szCs w:val="22"/>
                <w:highlight w:val="none"/>
                <w:lang w:val="en-US" w:eastAsia="zh-CN"/>
              </w:rPr>
              <w:t xml:space="preserve">月以来任意一个月的社保证明材料，缺一不可，</w:t>
            </w:r>
            <w:r>
              <w:rPr>
                <w:rFonts w:hint="eastAsia" w:ascii="宋体" w:hAnsi="宋体" w:eastAsia="宋体" w:cs="宋体"/>
                <w:color w:val="000000"/>
                <w:highlight w:val="none"/>
                <w:lang w:val="en-US" w:eastAsia="zh-CN"/>
              </w:rPr>
              <w:t xml:space="preserve">未提供的不得分）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5.5</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5</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“政企互动”“楼宇载体管理”“内容智能巡查”“应用集成融合”</w:t>
            </w:r>
            <w:r>
              <w:rPr>
                <w:rFonts w:hint="eastAsia" w:ascii="宋体" w:hAnsi="宋体" w:eastAsia="宋体" w:cs="宋体"/>
                <w:color w:val="000000"/>
                <w:sz w:val="21"/>
                <w:szCs w:val="21"/>
                <w:lang w:val="en-US" w:eastAsia="zh-CN"/>
              </w:rPr>
              <w:t xml:space="preserve">等，每提供1个证书得</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分，最多得8分。 </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949"/>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3" w:name="_Hlt26955039"/>
      <w:r/>
      <w:bookmarkEnd w:id="23"/>
      <w:r/>
      <w:bookmarkStart w:id="24" w:name="_Toc120614282"/>
      <w:r/>
      <w:bookmarkStart w:id="25" w:name="_Toc26554094"/>
      <w:r/>
      <w:bookmarkStart w:id="26" w:name="_Toc49090576"/>
      <w:r/>
      <w:bookmarkStart w:id="27" w:name="_Hlt26671244"/>
      <w:r/>
      <w:bookmarkEnd w:id="27"/>
      <w:r>
        <w:rPr>
          <w:rFonts w:hint="eastAsia" w:ascii="宋体" w:hAnsi="宋体"/>
          <w:b/>
          <w:sz w:val="72"/>
          <w:szCs w:val="21"/>
        </w:rPr>
      </w:r>
      <w:r/>
    </w:p>
    <w:p>
      <w:pPr>
        <w:pStyle w:val="867"/>
        <w:jc w:val="center"/>
        <w:rPr>
          <w:rFonts w:hint="eastAsia" w:ascii="宋体" w:hAnsi="宋体"/>
          <w:b/>
          <w:sz w:val="72"/>
          <w:szCs w:val="21"/>
        </w:rPr>
        <w:outlineLvl w:val="0"/>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outlineLvl w:val="0"/>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outlineLvl w:val="0"/>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outlineLvl w:val="0"/>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outlineLvl w:val="0"/>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outlineLvl w:val="0"/>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outlineLvl w:val="0"/>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outlineLvl w:val="0"/>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outlineLvl w:val="0"/>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b w:val="0"/>
          <w:bCs w:val="0"/>
          <w:i w:val="0"/>
          <w:sz w:val="28"/>
          <w:szCs w:val="28"/>
          <w:u w:val="none"/>
          <w:lang w:val="en-US" w:eastAsia="zh-CN"/>
        </w:rPr>
        <w:outlineLvl w:val="0"/>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spacing w:line="600" w:lineRule="exact"/>
        <w:rPr>
          <w:rFonts w:hint="eastAsia" w:ascii="宋体" w:hAnsi="宋体" w:eastAsia="宋体" w:cs="宋体"/>
          <w:sz w:val="28"/>
          <w:szCs w:val="28"/>
          <w:lang w:val="en-US" w:eastAsia="zh-CN"/>
        </w:rPr>
        <w:outlineLvl w:val="0"/>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outlineLvl w:val="0"/>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949"/>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outlineLvl w:val="0"/>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60"/>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0"/>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0"/>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0"/>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60"/>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0"/>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0"/>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671380"/>
      <w:r/>
      <w:bookmarkEnd w:id="29"/>
      <w:r/>
      <w:bookmarkStart w:id="30" w:name="_Hlt26955070"/>
      <w:r/>
      <w:bookmarkEnd w:id="30"/>
      <w:r/>
      <w:bookmarkStart w:id="31" w:name="_格式3__银行出具的资信证明"/>
      <w:r/>
      <w:bookmarkEnd w:id="31"/>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0"/>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40"/>
        <w:ind w:firstLine="0"/>
        <w:rPr>
          <w:rFonts w:hint="eastAsia"/>
        </w:rPr>
      </w:pPr>
      <w:r>
        <w:rPr>
          <w:rFonts w:hint="eastAsia"/>
        </w:rPr>
      </w:r>
      <w:r/>
    </w:p>
    <w:p>
      <w:pPr>
        <w:pStyle w:val="949"/>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outlineLvl w:val="0"/>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outlineLvl w:val="0"/>
      </w:pPr>
      <w:r/>
      <w:bookmarkStart w:id="32" w:name="_Hlt26955054"/>
      <w:r/>
      <w:bookmarkEnd w:id="32"/>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3" w:name="_Hlt26671343"/>
            <w:r/>
            <w:bookmarkEnd w:id="33"/>
            <w:r/>
            <w:bookmarkStart w:id="34" w:name="_Hlt26609391"/>
            <w:r/>
            <w:bookmarkEnd w:id="34"/>
            <w:r/>
            <w:bookmarkStart w:id="35" w:name="_Hlt26955064"/>
            <w:r/>
            <w:bookmarkEnd w:id="35"/>
            <w:r/>
            <w:bookmarkStart w:id="36" w:name="_Hlt26782999"/>
            <w:r/>
            <w:bookmarkEnd w:id="36"/>
            <w:r/>
            <w:bookmarkStart w:id="37" w:name="_Hlt26580838"/>
            <w:r/>
            <w:bookmarkEnd w:id="37"/>
            <w:r/>
            <w:bookmarkStart w:id="38" w:name="_Hlt24879081"/>
            <w:r/>
            <w:bookmarkEnd w:id="38"/>
            <w:r/>
            <w:bookmarkStart w:id="39" w:name="_Hlt26955056"/>
            <w:r/>
            <w:bookmarkEnd w:id="39"/>
            <w:r/>
            <w:bookmarkStart w:id="40" w:name="_Hlt26671372"/>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40"/>
      </w:pPr>
      <w:r/>
      <w:r/>
    </w:p>
    <w:p>
      <w:pPr>
        <w:pStyle w:val="867"/>
      </w:pPr>
      <w:r/>
      <w:r/>
    </w:p>
    <w:p>
      <w:pPr>
        <w:pStyle w:val="940"/>
      </w:pPr>
      <w:r/>
      <w:r/>
    </w:p>
    <w:p>
      <w:pPr>
        <w:pStyle w:val="867"/>
      </w:pPr>
      <w:r/>
      <w:r/>
    </w:p>
    <w:p>
      <w:pPr>
        <w:pStyle w:val="949"/>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7"/>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outlineLvl w:val="0"/>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949"/>
        <w:rPr>
          <w:rFonts w:hint="eastAsia"/>
        </w:rPr>
      </w:pPr>
      <w:r>
        <w:rPr>
          <w:rFonts w:hint="eastAsia"/>
        </w:rPr>
      </w:r>
      <w:r/>
    </w:p>
    <w:p>
      <w:pPr>
        <w:pStyle w:val="867"/>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numPr>
          <w:ilvl w:val="0"/>
          <w:numId w:val="0"/>
        </w:numPr>
        <w:jc w:val="left"/>
        <w:spacing w:line="360" w:lineRule="auto"/>
        <w:rPr>
          <w:rFonts w:hint="eastAsia" w:ascii="宋体" w:hAnsi="宋体" w:eastAsia="宋体" w:cs="Times New Roman"/>
          <w:sz w:val="24"/>
          <w:lang w:val="en-US" w:eastAsia="zh-CN"/>
        </w:rPr>
        <w:outlineLvl w:val="0"/>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1"/>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1"/>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6"/>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4"/>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9"/>
        <w:rPr>
          <w:rFonts w:hint="eastAsia" w:ascii="宋体" w:hAnsi="宋体"/>
          <w:sz w:val="24"/>
        </w:rPr>
      </w:pPr>
      <w:r>
        <w:rPr>
          <w:rFonts w:hint="eastAsia" w:ascii="宋体" w:hAnsi="宋体"/>
          <w:sz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2"/>
    <w:qFormat/>
    <w:pPr>
      <w:jc w:val="center"/>
      <w:keepNext/>
      <w:outlineLvl w:val="0"/>
    </w:pPr>
    <w:rPr>
      <w:rFonts w:ascii="楷体_GB2312" w:hAnsi="Times New Roman" w:eastAsia="楷体_GB2312" w:cs="Times New Roman"/>
      <w:sz w:val="28"/>
      <w:szCs w:val="28"/>
    </w:rPr>
  </w:style>
  <w:style w:type="paragraph" w:styleId="869">
    <w:name w:val="标题 2"/>
    <w:basedOn w:val="867"/>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4"/>
    <w:link w:val="887"/>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4"/>
    <w:link w:val="888"/>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11"/>
    <w:basedOn w:val="880"/>
    <w:next w:val="867"/>
    <w:link w:val="867"/>
    <w:qFormat/>
    <w:pPr>
      <w:ind w:left="0" w:firstLine="420"/>
      <w:spacing w:after="0" w:line="360" w:lineRule="auto"/>
    </w:pPr>
    <w:rPr>
      <w:rFonts w:ascii="宋体" w:hAnsi="宋体" w:eastAsia="宋体" w:cs="Times New Roman"/>
      <w:szCs w:val="20"/>
    </w:rPr>
  </w:style>
  <w:style w:type="paragraph" w:styleId="880">
    <w:name w:val="正文文本缩进11"/>
    <w:basedOn w:val="867"/>
    <w:next w:val="881"/>
    <w:link w:val="867"/>
    <w:unhideWhenUsed/>
    <w:qFormat/>
    <w:pPr>
      <w:ind w:left="420"/>
      <w:spacing w:after="120"/>
    </w:pPr>
  </w:style>
  <w:style w:type="paragraph" w:styleId="881">
    <w:name w:val="寄信人地址1"/>
    <w:basedOn w:val="867"/>
    <w:next w:val="881"/>
    <w:link w:val="867"/>
    <w:qFormat/>
    <w:rPr>
      <w:rFonts w:ascii="Arial" w:hAnsi="Arial" w:eastAsia="宋体" w:cs="宋体"/>
    </w:rPr>
  </w:style>
  <w:style w:type="character" w:styleId="882">
    <w:name w:val="标题 1 Char"/>
    <w:next w:val="882"/>
    <w:link w:val="868"/>
    <w:rPr>
      <w:rFonts w:ascii="楷体_GB2312" w:hAnsi="Times New Roman" w:eastAsia="楷体_GB2312" w:cs="Times New Roman"/>
      <w:sz w:val="28"/>
      <w:szCs w:val="28"/>
    </w:rPr>
  </w:style>
  <w:style w:type="character" w:styleId="883">
    <w:name w:val="标题 2 Char"/>
    <w:next w:val="883"/>
    <w:link w:val="869"/>
    <w:qFormat/>
    <w:rPr>
      <w:rFonts w:ascii="Arial" w:hAnsi="Arial" w:eastAsia="幼圆" w:cs="Arial"/>
      <w:b/>
      <w:bCs/>
      <w:sz w:val="44"/>
      <w:szCs w:val="44"/>
    </w:rPr>
  </w:style>
  <w:style w:type="paragraph" w:styleId="884">
    <w:name w:val="正文缩进"/>
    <w:basedOn w:val="867"/>
    <w:next w:val="884"/>
    <w:link w:val="885"/>
    <w:qFormat/>
    <w:pPr>
      <w:ind w:firstLine="420"/>
    </w:pPr>
    <w:rPr>
      <w:szCs w:val="21"/>
    </w:rPr>
  </w:style>
  <w:style w:type="character" w:styleId="885">
    <w:name w:val="正文缩进 Char"/>
    <w:next w:val="885"/>
    <w:link w:val="884"/>
    <w:qFormat/>
    <w:rPr>
      <w:szCs w:val="21"/>
    </w:rPr>
  </w:style>
  <w:style w:type="character" w:styleId="886">
    <w:name w:val="标题 3 Char"/>
    <w:next w:val="886"/>
    <w:link w:val="870"/>
    <w:qFormat/>
    <w:rPr>
      <w:rFonts w:ascii="Times New Roman" w:hAnsi="Times New Roman" w:eastAsia="宋体" w:cs="Times New Roman"/>
      <w:b/>
      <w:bCs/>
      <w:sz w:val="32"/>
      <w:szCs w:val="32"/>
    </w:rPr>
  </w:style>
  <w:style w:type="character" w:styleId="887">
    <w:name w:val="标题 4 Char"/>
    <w:next w:val="887"/>
    <w:link w:val="871"/>
    <w:qFormat/>
    <w:rPr>
      <w:rFonts w:ascii="Arial" w:hAnsi="Arial" w:eastAsia="黑体" w:cs="Arial"/>
      <w:b/>
      <w:bCs/>
      <w:sz w:val="28"/>
      <w:szCs w:val="28"/>
    </w:rPr>
  </w:style>
  <w:style w:type="character" w:styleId="888">
    <w:name w:val="标题 5 Char"/>
    <w:next w:val="888"/>
    <w:link w:val="872"/>
    <w:qFormat/>
    <w:rPr>
      <w:rFonts w:ascii="宋体" w:hAnsi="Times New Roman" w:eastAsia="宋体" w:cs="Times New Roman"/>
      <w:color w:val="000000"/>
      <w:sz w:val="28"/>
      <w:szCs w:val="28"/>
    </w:rPr>
  </w:style>
  <w:style w:type="character" w:styleId="889">
    <w:name w:val="标题 6 Char"/>
    <w:next w:val="889"/>
    <w:link w:val="873"/>
    <w:qFormat/>
    <w:rPr>
      <w:rFonts w:ascii="Arial" w:hAnsi="Arial" w:eastAsia="黑体" w:cs="Times New Roman"/>
      <w:b/>
      <w:bCs/>
      <w:sz w:val="24"/>
      <w:szCs w:val="24"/>
    </w:rPr>
  </w:style>
  <w:style w:type="character" w:styleId="890">
    <w:name w:val="标题 7 Char"/>
    <w:next w:val="890"/>
    <w:link w:val="874"/>
    <w:qFormat/>
    <w:rPr>
      <w:rFonts w:ascii="Times New Roman" w:hAnsi="Times New Roman" w:eastAsia="宋体" w:cs="Times New Roman"/>
      <w:b/>
      <w:bCs/>
      <w:sz w:val="24"/>
      <w:szCs w:val="24"/>
    </w:rPr>
  </w:style>
  <w:style w:type="character" w:styleId="891">
    <w:name w:val="标题 8 Char"/>
    <w:next w:val="891"/>
    <w:link w:val="875"/>
    <w:qFormat/>
    <w:rPr>
      <w:rFonts w:ascii="Arial" w:hAnsi="Arial" w:eastAsia="黑体" w:cs="Times New Roman"/>
      <w:sz w:val="24"/>
      <w:szCs w:val="24"/>
    </w:rPr>
  </w:style>
  <w:style w:type="character" w:styleId="892">
    <w:name w:val="标题 9 Char"/>
    <w:next w:val="892"/>
    <w:link w:val="876"/>
    <w:qFormat/>
    <w:rPr>
      <w:rFonts w:ascii="Arial" w:hAnsi="Arial" w:eastAsia="黑体" w:cs="Times New Roman"/>
      <w:szCs w:val="21"/>
    </w:rPr>
  </w:style>
  <w:style w:type="paragraph" w:styleId="893">
    <w:name w:val="列表 3"/>
    <w:basedOn w:val="867"/>
    <w:next w:val="893"/>
    <w:link w:val="867"/>
    <w:pPr>
      <w:ind w:left="100" w:hanging="200"/>
    </w:pPr>
    <w:rPr>
      <w:rFonts w:ascii="Times New Roman" w:hAnsi="Times New Roman" w:eastAsia="宋体" w:cs="Times New Roman"/>
      <w:szCs w:val="21"/>
    </w:rPr>
  </w:style>
  <w:style w:type="paragraph" w:styleId="894">
    <w:name w:val="目录 7"/>
    <w:basedOn w:val="867"/>
    <w:next w:val="867"/>
    <w:link w:val="867"/>
    <w:semiHidden/>
    <w:pPr>
      <w:ind w:left="1260"/>
      <w:jc w:val="left"/>
    </w:pPr>
    <w:rPr>
      <w:rFonts w:ascii="Times New Roman" w:hAnsi="Times New Roman" w:eastAsia="宋体" w:cs="Times New Roman"/>
      <w:szCs w:val="21"/>
    </w:rPr>
  </w:style>
  <w:style w:type="paragraph" w:styleId="895">
    <w:name w:val="文档结构图"/>
    <w:basedOn w:val="867"/>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qFormat/>
    <w:rPr>
      <w:rFonts w:ascii="Times New Roman" w:hAnsi="Times New Roman" w:eastAsia="宋体" w:cs="Times New Roman"/>
      <w:szCs w:val="21"/>
      <w:shd w:val="clear" w:color="auto" w:fill="000080"/>
    </w:rPr>
  </w:style>
  <w:style w:type="paragraph" w:styleId="897">
    <w:name w:val="批注文字"/>
    <w:basedOn w:val="867"/>
    <w:next w:val="897"/>
    <w:link w:val="89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basedOn w:val="877"/>
    <w:next w:val="898"/>
    <w:link w:val="897"/>
    <w:uiPriority w:val="99"/>
    <w:semiHidden/>
    <w:qFormat/>
  </w:style>
  <w:style w:type="paragraph" w:styleId="899">
    <w:name w:val="正文文本 3"/>
    <w:basedOn w:val="867"/>
    <w:next w:val="899"/>
    <w:link w:val="900"/>
    <w:rPr>
      <w:rFonts w:ascii="仿宋_GB2312" w:hAnsi="Arial" w:eastAsia="仿宋_GB2312" w:cs="Times New Roman"/>
      <w:sz w:val="32"/>
      <w:szCs w:val="32"/>
    </w:rPr>
  </w:style>
  <w:style w:type="character" w:styleId="900">
    <w:name w:val="正文文本 3 Char"/>
    <w:next w:val="900"/>
    <w:link w:val="899"/>
    <w:qFormat/>
    <w:rPr>
      <w:rFonts w:ascii="仿宋_GB2312" w:hAnsi="Arial" w:eastAsia="仿宋_GB2312" w:cs="Times New Roman"/>
      <w:sz w:val="32"/>
      <w:szCs w:val="32"/>
    </w:rPr>
  </w:style>
  <w:style w:type="paragraph" w:styleId="901">
    <w:name w:val="正文文本"/>
    <w:basedOn w:val="867"/>
    <w:next w:val="901"/>
    <w:link w:val="902"/>
    <w:qFormat/>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7"/>
    <w:next w:val="905"/>
    <w:link w:val="904"/>
    <w:unhideWhenUsed/>
    <w:qFormat/>
    <w:pPr>
      <w:ind w:left="420"/>
      <w:spacing w:after="120"/>
    </w:pPr>
  </w:style>
  <w:style w:type="character" w:styleId="904">
    <w:name w:val="正文文本缩进 Char"/>
    <w:basedOn w:val="877"/>
    <w:next w:val="904"/>
    <w:link w:val="903"/>
    <w:uiPriority w:val="99"/>
    <w:semiHidden/>
    <w:qFormat/>
  </w:style>
  <w:style w:type="paragraph" w:styleId="905">
    <w:name w:val="寄信人地址"/>
    <w:basedOn w:val="867"/>
    <w:next w:val="905"/>
    <w:link w:val="867"/>
    <w:qFormat/>
    <w:rPr>
      <w:rFonts w:ascii="Arial" w:hAnsi="Arial" w:eastAsia="宋体" w:cs="宋体"/>
    </w:rPr>
  </w:style>
  <w:style w:type="paragraph" w:styleId="906">
    <w:name w:val="列表 2"/>
    <w:basedOn w:val="867"/>
    <w:next w:val="906"/>
    <w:link w:val="867"/>
    <w:qFormat/>
    <w:pPr>
      <w:ind w:left="100" w:hanging="200"/>
    </w:pPr>
    <w:rPr>
      <w:rFonts w:ascii="Times New Roman" w:hAnsi="Times New Roman" w:eastAsia="宋体" w:cs="Times New Roman"/>
      <w:szCs w:val="21"/>
    </w:rPr>
  </w:style>
  <w:style w:type="paragraph" w:styleId="907">
    <w:name w:val="索引 4"/>
    <w:basedOn w:val="867"/>
    <w:next w:val="867"/>
    <w:link w:val="867"/>
    <w:semiHidden/>
    <w:qFormat/>
    <w:pPr>
      <w:ind w:left="1260"/>
    </w:pPr>
    <w:rPr>
      <w:rFonts w:ascii="Calibri" w:hAnsi="Calibri" w:eastAsia="Calibri" w:cs="宋体"/>
      <w:sz w:val="20"/>
      <w:lang w:val="zh-CN"/>
    </w:rPr>
  </w:style>
  <w:style w:type="paragraph" w:styleId="908">
    <w:name w:val="目录 5"/>
    <w:basedOn w:val="867"/>
    <w:next w:val="867"/>
    <w:link w:val="867"/>
    <w:semiHidden/>
    <w:qFormat/>
    <w:pPr>
      <w:ind w:left="840"/>
      <w:jc w:val="left"/>
    </w:pPr>
    <w:rPr>
      <w:rFonts w:ascii="Times New Roman" w:hAnsi="Times New Roman" w:eastAsia="宋体" w:cs="Times New Roman"/>
      <w:szCs w:val="21"/>
    </w:rPr>
  </w:style>
  <w:style w:type="paragraph" w:styleId="909">
    <w:name w:val="目录 3"/>
    <w:basedOn w:val="867"/>
    <w:next w:val="867"/>
    <w:link w:val="867"/>
    <w:semiHidden/>
    <w:qFormat/>
    <w:pPr>
      <w:ind w:left="420"/>
      <w:jc w:val="left"/>
    </w:pPr>
    <w:rPr>
      <w:rFonts w:ascii="Times New Roman" w:hAnsi="Times New Roman" w:eastAsia="宋体" w:cs="Times New Roman"/>
      <w:i/>
      <w:iCs/>
      <w:szCs w:val="24"/>
    </w:rPr>
  </w:style>
  <w:style w:type="paragraph" w:styleId="910">
    <w:name w:val="纯文本"/>
    <w:basedOn w:val="867"/>
    <w:next w:val="910"/>
    <w:link w:val="911"/>
    <w:qFormat/>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7"/>
    <w:next w:val="867"/>
    <w:link w:val="867"/>
    <w:semiHidden/>
    <w:qFormat/>
    <w:pPr>
      <w:ind w:left="1470"/>
      <w:jc w:val="left"/>
    </w:pPr>
    <w:rPr>
      <w:rFonts w:ascii="Times New Roman" w:hAnsi="Times New Roman" w:eastAsia="宋体" w:cs="Times New Roman"/>
      <w:szCs w:val="21"/>
    </w:rPr>
  </w:style>
  <w:style w:type="paragraph" w:styleId="913">
    <w:name w:val="日期"/>
    <w:basedOn w:val="867"/>
    <w:next w:val="867"/>
    <w:link w:val="914"/>
    <w:qFormat/>
    <w:rPr>
      <w:rFonts w:ascii="Times New Roman" w:hAnsi="Times New Roman" w:eastAsia="宋体" w:cs="Times New Roman"/>
      <w:sz w:val="24"/>
      <w:szCs w:val="24"/>
    </w:rPr>
  </w:style>
  <w:style w:type="character" w:styleId="914">
    <w:name w:val="日期 Char"/>
    <w:next w:val="914"/>
    <w:link w:val="913"/>
    <w:qFormat/>
    <w:rPr>
      <w:rFonts w:ascii="Times New Roman" w:hAnsi="Times New Roman" w:eastAsia="宋体" w:cs="Times New Roman"/>
      <w:sz w:val="24"/>
      <w:szCs w:val="24"/>
    </w:rPr>
  </w:style>
  <w:style w:type="paragraph" w:styleId="915">
    <w:name w:val="正文文本缩进 2"/>
    <w:basedOn w:val="867"/>
    <w:next w:val="915"/>
    <w:link w:val="916"/>
    <w:qFormat/>
    <w:pPr>
      <w:ind w:left="630" w:firstLine="645"/>
    </w:pPr>
    <w:rPr>
      <w:rFonts w:ascii="Arial" w:hAnsi="Arial" w:eastAsia="仿宋_GB2312" w:cs="Arial"/>
      <w:sz w:val="32"/>
      <w:szCs w:val="32"/>
    </w:rPr>
  </w:style>
  <w:style w:type="character" w:styleId="916">
    <w:name w:val="正文文本缩进 2 Char"/>
    <w:next w:val="916"/>
    <w:link w:val="915"/>
    <w:qFormat/>
    <w:rPr>
      <w:rFonts w:ascii="Arial" w:hAnsi="Arial" w:eastAsia="仿宋_GB2312" w:cs="Arial"/>
      <w:sz w:val="32"/>
      <w:szCs w:val="32"/>
    </w:rPr>
  </w:style>
  <w:style w:type="paragraph" w:styleId="917">
    <w:name w:val="批注框文本"/>
    <w:basedOn w:val="867"/>
    <w:next w:val="917"/>
    <w:link w:val="918"/>
    <w:semiHidden/>
    <w:rPr>
      <w:rFonts w:ascii="Times New Roman" w:hAnsi="Times New Roman" w:eastAsia="宋体" w:cs="Times New Roman"/>
      <w:sz w:val="18"/>
      <w:szCs w:val="18"/>
    </w:rPr>
  </w:style>
  <w:style w:type="character" w:styleId="918">
    <w:name w:val="批注框文本 Char"/>
    <w:next w:val="918"/>
    <w:link w:val="917"/>
    <w:semiHidden/>
    <w:qFormat/>
    <w:rPr>
      <w:rFonts w:ascii="Times New Roman" w:hAnsi="Times New Roman" w:eastAsia="宋体" w:cs="Times New Roman"/>
      <w:sz w:val="18"/>
      <w:szCs w:val="18"/>
    </w:rPr>
  </w:style>
  <w:style w:type="paragraph" w:styleId="919">
    <w:name w:val="页脚"/>
    <w:basedOn w:val="867"/>
    <w:next w:val="919"/>
    <w:link w:val="920"/>
    <w:qFormat/>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qFormat/>
    <w:rPr>
      <w:rFonts w:ascii="Times New Roman" w:hAnsi="Times New Roman" w:eastAsia="宋体" w:cs="Times New Roman"/>
      <w:sz w:val="18"/>
      <w:szCs w:val="18"/>
    </w:rPr>
  </w:style>
  <w:style w:type="paragraph" w:styleId="921">
    <w:name w:val="页眉"/>
    <w:basedOn w:val="867"/>
    <w:next w:val="921"/>
    <w:link w:val="92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7"/>
    <w:next w:val="867"/>
    <w:link w:val="867"/>
    <w:semiHidden/>
    <w:pPr>
      <w:ind w:left="630"/>
      <w:jc w:val="left"/>
    </w:pPr>
    <w:rPr>
      <w:rFonts w:ascii="Times New Roman" w:hAnsi="Times New Roman" w:eastAsia="宋体" w:cs="Times New Roman"/>
      <w:szCs w:val="21"/>
    </w:rPr>
  </w:style>
  <w:style w:type="paragraph" w:styleId="925">
    <w:name w:val="列表"/>
    <w:basedOn w:val="867"/>
    <w:next w:val="925"/>
    <w:link w:val="867"/>
    <w:qFormat/>
    <w:pPr>
      <w:ind w:left="200" w:hanging="200"/>
    </w:pPr>
    <w:rPr>
      <w:rFonts w:ascii="Times New Roman" w:hAnsi="Times New Roman" w:eastAsia="宋体" w:cs="Times New Roman"/>
      <w:szCs w:val="21"/>
    </w:rPr>
  </w:style>
  <w:style w:type="paragraph" w:styleId="926">
    <w:name w:val="目录 6"/>
    <w:basedOn w:val="867"/>
    <w:next w:val="867"/>
    <w:link w:val="867"/>
    <w:semiHidden/>
    <w:qFormat/>
    <w:pPr>
      <w:ind w:left="1050"/>
      <w:jc w:val="left"/>
    </w:pPr>
    <w:rPr>
      <w:rFonts w:ascii="Times New Roman" w:hAnsi="Times New Roman" w:eastAsia="宋体" w:cs="Times New Roman"/>
      <w:szCs w:val="21"/>
    </w:rPr>
  </w:style>
  <w:style w:type="paragraph" w:styleId="927">
    <w:name w:val="正文文本缩进 3"/>
    <w:basedOn w:val="867"/>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7"/>
    <w:next w:val="867"/>
    <w:link w:val="867"/>
    <w:semiHidden/>
    <w:qFormat/>
    <w:pPr>
      <w:ind w:left="840" w:hanging="420"/>
    </w:pPr>
    <w:rPr>
      <w:rFonts w:ascii="Times New Roman" w:hAnsi="Times New Roman" w:eastAsia="宋体" w:cs="Times New Roman"/>
      <w:szCs w:val="21"/>
    </w:rPr>
  </w:style>
  <w:style w:type="paragraph" w:styleId="930">
    <w:name w:val="目录 2"/>
    <w:basedOn w:val="867"/>
    <w:next w:val="867"/>
    <w:link w:val="867"/>
    <w:semiHidden/>
    <w:pPr>
      <w:ind w:left="210"/>
      <w:jc w:val="left"/>
    </w:pPr>
    <w:rPr>
      <w:rFonts w:ascii="Times New Roman" w:hAnsi="Times New Roman" w:eastAsia="宋体" w:cs="Times New Roman"/>
      <w:smallCaps/>
      <w:szCs w:val="24"/>
    </w:rPr>
  </w:style>
  <w:style w:type="paragraph" w:styleId="931">
    <w:name w:val="目录 9"/>
    <w:basedOn w:val="867"/>
    <w:next w:val="867"/>
    <w:link w:val="867"/>
    <w:semiHidden/>
    <w:pPr>
      <w:ind w:left="1680"/>
      <w:jc w:val="left"/>
    </w:pPr>
    <w:rPr>
      <w:rFonts w:ascii="Times New Roman" w:hAnsi="Times New Roman" w:eastAsia="宋体" w:cs="Times New Roman"/>
      <w:szCs w:val="21"/>
    </w:rPr>
  </w:style>
  <w:style w:type="paragraph" w:styleId="932">
    <w:name w:val="正文文本 2"/>
    <w:basedOn w:val="867"/>
    <w:next w:val="932"/>
    <w:link w:val="933"/>
    <w:qFormat/>
    <w:pPr>
      <w:jc w:val="center"/>
      <w:widowControl/>
    </w:pPr>
    <w:rPr>
      <w:rFonts w:ascii="楷体_GB2312" w:hAnsi="Times New Roman" w:eastAsia="楷体_GB2312" w:cs="Times New Roman"/>
      <w:sz w:val="28"/>
      <w:szCs w:val="28"/>
    </w:rPr>
  </w:style>
  <w:style w:type="character" w:styleId="933">
    <w:name w:val="正文文本 2 Char"/>
    <w:next w:val="933"/>
    <w:link w:val="932"/>
    <w:qFormat/>
    <w:rPr>
      <w:rFonts w:ascii="楷体_GB2312" w:hAnsi="Times New Roman" w:eastAsia="楷体_GB2312" w:cs="Times New Roman"/>
      <w:sz w:val="28"/>
      <w:szCs w:val="28"/>
    </w:rPr>
  </w:style>
  <w:style w:type="paragraph" w:styleId="934">
    <w:name w:val="普通(网站)"/>
    <w:basedOn w:val="867"/>
    <w:next w:val="934"/>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5">
    <w:name w:val="索引 1"/>
    <w:basedOn w:val="867"/>
    <w:next w:val="867"/>
    <w:link w:val="867"/>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qFormat/>
    <w:rPr>
      <w:rFonts w:ascii="Times New Roman" w:hAnsi="Times New Roman" w:eastAsia="宋体" w:cs="Times New Roman"/>
      <w:b/>
      <w:bCs/>
      <w:szCs w:val="21"/>
    </w:rPr>
  </w:style>
  <w:style w:type="character" w:styleId="937">
    <w:name w:val="批注主题 Char"/>
    <w:next w:val="937"/>
    <w:link w:val="936"/>
    <w:semiHidden/>
    <w:qFormat/>
    <w:rPr>
      <w:rFonts w:ascii="Times New Roman" w:hAnsi="Times New Roman" w:eastAsia="宋体" w:cs="Times New Roman"/>
      <w:b/>
      <w:bCs/>
      <w:szCs w:val="21"/>
    </w:rPr>
  </w:style>
  <w:style w:type="paragraph" w:styleId="938">
    <w:name w:val="正文首行缩进"/>
    <w:basedOn w:val="867"/>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qFormat/>
    <w:rPr>
      <w:rFonts w:ascii="仿宋_GB2312" w:hAnsi="Times New Roman" w:eastAsia="仿宋_GB2312" w:cs="Times New Roman"/>
      <w:sz w:val="30"/>
      <w:szCs w:val="30"/>
    </w:rPr>
  </w:style>
  <w:style w:type="paragraph" w:styleId="940">
    <w:name w:val="正文首行缩进 2"/>
    <w:basedOn w:val="903"/>
    <w:next w:val="867"/>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78"/>
    <w:next w:val="942"/>
    <w:link w:val="867"/>
    <w:qFormat/>
    <w:pPr>
      <w:jc w:val="both"/>
      <w:widowControl w:val="off"/>
    </w:pPr>
    <w:rPr>
      <w:rFonts w:ascii="Times New Roman" w:hAnsi="Times New Roman" w:eastAsia="宋体" w:cs="Times New Roman"/>
      <w:sz w:val="20"/>
      <w:szCs w:val="20"/>
    </w:rPr>
    <w:tblPr/>
  </w:style>
  <w:style w:type="character" w:styleId="943">
    <w:name w:val="要点"/>
    <w:next w:val="943"/>
    <w:link w:val="867"/>
    <w:qFormat/>
    <w:rPr>
      <w:b/>
      <w:bCs/>
    </w:rPr>
  </w:style>
  <w:style w:type="character" w:styleId="944">
    <w:name w:val="页码"/>
    <w:next w:val="944"/>
    <w:link w:val="867"/>
    <w:qFormat/>
  </w:style>
  <w:style w:type="character" w:styleId="945">
    <w:name w:val="已访问的超链接"/>
    <w:next w:val="945"/>
    <w:link w:val="867"/>
    <w:rPr>
      <w:color w:val="800080"/>
      <w:u w:val="single"/>
    </w:rPr>
  </w:style>
  <w:style w:type="character" w:styleId="946">
    <w:name w:val="强调"/>
    <w:next w:val="946"/>
    <w:link w:val="867"/>
    <w:qFormat/>
    <w:rPr>
      <w:i/>
    </w:rPr>
  </w:style>
  <w:style w:type="character" w:styleId="947">
    <w:name w:val="超链接"/>
    <w:next w:val="947"/>
    <w:link w:val="867"/>
    <w:rPr>
      <w:color w:val="0000ff"/>
      <w:u w:val="single"/>
    </w:rPr>
  </w:style>
  <w:style w:type="character" w:styleId="948">
    <w:name w:val="批注引用"/>
    <w:next w:val="948"/>
    <w:link w:val="867"/>
    <w:semiHidden/>
    <w:qFormat/>
    <w:rPr>
      <w:sz w:val="21"/>
      <w:szCs w:val="21"/>
    </w:rPr>
  </w:style>
  <w:style w:type="paragraph" w:styleId="949">
    <w:name w:val="索引 41"/>
    <w:basedOn w:val="867"/>
    <w:next w:val="867"/>
    <w:link w:val="867"/>
    <w:semiHidden/>
    <w:qFormat/>
    <w:pPr>
      <w:ind w:left="1260"/>
    </w:pPr>
    <w:rPr>
      <w:rFonts w:ascii="Calibri" w:hAnsi="Calibri" w:eastAsia="Calibri" w:cs="宋体"/>
      <w:sz w:val="20"/>
      <w:lang w:val="zh-CN"/>
    </w:rPr>
  </w:style>
  <w:style w:type="paragraph" w:styleId="950">
    <w:name w:val="正文文本缩进1"/>
    <w:basedOn w:val="867"/>
    <w:next w:val="951"/>
    <w:link w:val="867"/>
    <w:unhideWhenUsed/>
    <w:qFormat/>
    <w:pPr>
      <w:ind w:left="420"/>
      <w:spacing w:after="120"/>
    </w:pPr>
  </w:style>
  <w:style w:type="paragraph" w:styleId="951">
    <w:name w:val="正文文本首行缩进 2"/>
    <w:basedOn w:val="950"/>
    <w:next w:val="951"/>
    <w:link w:val="867"/>
    <w:qFormat/>
    <w:pPr>
      <w:ind w:left="0" w:firstLine="420"/>
      <w:spacing w:after="0" w:line="360" w:lineRule="auto"/>
    </w:pPr>
    <w:rPr>
      <w:rFonts w:ascii="宋体" w:hAnsi="宋体"/>
      <w:sz w:val="20"/>
      <w:szCs w:val="20"/>
      <w:lang w:val="en-US" w:eastAsia="en-US"/>
    </w:rPr>
  </w:style>
  <w:style w:type="character" w:styleId="952">
    <w:name w:val="font5 Char"/>
    <w:next w:val="952"/>
    <w:link w:val="867"/>
    <w:rPr>
      <w:rFonts w:ascii="宋体" w:hAnsi="宋体" w:eastAsia="宋体"/>
      <w:sz w:val="28"/>
      <w:szCs w:val="28"/>
      <w:lang w:val="en-US" w:eastAsia="zh-CN" w:bidi="ar-SA"/>
    </w:rPr>
  </w:style>
  <w:style w:type="character" w:styleId="953">
    <w:name w:val="二级目录 Char"/>
    <w:next w:val="953"/>
    <w:link w:val="954"/>
    <w:qFormat/>
    <w:rPr>
      <w:b/>
      <w:sz w:val="30"/>
      <w:szCs w:val="28"/>
    </w:rPr>
  </w:style>
  <w:style w:type="paragraph" w:styleId="954">
    <w:name w:val="二级目录"/>
    <w:next w:val="867"/>
    <w:link w:val="953"/>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5">
    <w:name w:val="列出段落 Char"/>
    <w:next w:val="955"/>
    <w:link w:val="956"/>
    <w:qFormat/>
    <w:rPr>
      <w:rFonts w:ascii="Calibri" w:hAnsi="Calibri"/>
      <w:sz w:val="24"/>
      <w:szCs w:val="24"/>
      <w:lang w:eastAsia="en-US" w:bidi="en-US"/>
    </w:rPr>
  </w:style>
  <w:style w:type="paragraph" w:styleId="956">
    <w:name w:val="列出段落1"/>
    <w:basedOn w:val="867"/>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7"/>
    <w:next w:val="901"/>
    <w:link w:val="867"/>
    <w:qFormat/>
    <w:pPr>
      <w:spacing w:after="120"/>
    </w:pPr>
    <w:rPr>
      <w:rFonts w:ascii="宋体" w:hAnsi="Arial" w:eastAsia="宋体" w:cs="Times New Roman"/>
      <w:bCs/>
      <w:iCs/>
      <w:szCs w:val="24"/>
    </w:rPr>
  </w:style>
  <w:style w:type="paragraph" w:styleId="958">
    <w:name w:val="xl27"/>
    <w:basedOn w:val="867"/>
    <w:next w:val="958"/>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7"/>
    <w:next w:val="959"/>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7"/>
    <w:next w:val="960"/>
    <w:link w:val="867"/>
    <w:pPr>
      <w:ind w:firstLine="200"/>
      <w:tabs>
        <w:tab w:val="left" w:pos="360" w:leader="none"/>
      </w:tabs>
    </w:pPr>
    <w:rPr>
      <w:rFonts w:ascii="Times New Roman" w:hAnsi="Times New Roman" w:eastAsia="宋体" w:cs="Times New Roman"/>
      <w:sz w:val="28"/>
      <w:szCs w:val="30"/>
    </w:rPr>
  </w:style>
  <w:style w:type="paragraph" w:styleId="961">
    <w:name w:val=" Char"/>
    <w:basedOn w:val="895"/>
    <w:next w:val="961"/>
    <w:link w:val="867"/>
    <w:rPr>
      <w:rFonts w:ascii="Tahoma" w:hAnsi="Tahoma"/>
      <w:sz w:val="24"/>
      <w:szCs w:val="24"/>
    </w:rPr>
  </w:style>
  <w:style w:type="paragraph" w:styleId="962">
    <w:name w:val="普通正文"/>
    <w:basedOn w:val="867"/>
    <w:next w:val="962"/>
    <w:link w:val="867"/>
    <w:qFormat/>
    <w:pPr>
      <w:ind w:firstLine="480"/>
      <w:jc w:val="left"/>
      <w:spacing w:before="120" w:after="120" w:line="360" w:lineRule="auto"/>
    </w:pPr>
    <w:rPr>
      <w:rFonts w:ascii="Arial" w:hAnsi="Arial" w:eastAsia="宋体" w:cs="Times New Roman"/>
      <w:sz w:val="24"/>
      <w:szCs w:val="24"/>
    </w:rPr>
  </w:style>
  <w:style w:type="paragraph" w:styleId="963">
    <w:name w:val="table_lines"/>
    <w:basedOn w:val="867"/>
    <w:next w:val="963"/>
    <w:link w:val="867"/>
    <w:qFormat/>
    <w:pPr>
      <w:jc w:val="left"/>
      <w:widowControl/>
    </w:pPr>
    <w:rPr>
      <w:rFonts w:ascii="Times New Roman" w:hAnsi="Times New Roman" w:eastAsia="宋体" w:cs="Times New Roman"/>
      <w:sz w:val="20"/>
      <w:szCs w:val="20"/>
      <w:lang w:val="de-DE" w:eastAsia="de-DE"/>
    </w:rPr>
  </w:style>
  <w:style w:type="paragraph" w:styleId="964">
    <w:name w:val="附录1"/>
    <w:next w:val="964"/>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name w:val="font7"/>
    <w:basedOn w:val="867"/>
    <w:next w:val="965"/>
    <w:link w:val="867"/>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5"/>
    <w:next w:val="966"/>
    <w:link w:val="867"/>
    <w:pPr>
      <w:spacing w:line="360" w:lineRule="auto"/>
    </w:pPr>
    <w:rPr>
      <w:rFonts w:ascii="Tahoma" w:hAnsi="Tahoma"/>
      <w:sz w:val="24"/>
      <w:szCs w:val="24"/>
    </w:rPr>
  </w:style>
  <w:style w:type="paragraph" w:styleId="967">
    <w:name w:val="List Paragraph"/>
    <w:basedOn w:val="867"/>
    <w:next w:val="967"/>
    <w:link w:val="867"/>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7"/>
    <w:next w:val="927"/>
    <w:link w:val="867"/>
    <w:qFormat/>
    <w:pPr>
      <w:ind w:firstLine="420"/>
      <w:spacing w:line="360" w:lineRule="auto"/>
    </w:pPr>
    <w:rPr>
      <w:rFonts w:ascii="Times New Roman" w:hAnsi="Times New Roman" w:eastAsia="宋体" w:cs="Times New Roman"/>
      <w:color w:val="ff0000"/>
      <w:sz w:val="24"/>
      <w:szCs w:val="24"/>
    </w:rPr>
  </w:style>
  <w:style w:type="paragraph" w:styleId="969">
    <w:name w:val="普通 (Web)"/>
    <w:basedOn w:val="867"/>
    <w:next w:val="969"/>
    <w:link w:val="867"/>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7"/>
    <w:next w:val="970"/>
    <w:link w:val="867"/>
    <w:qFormat/>
    <w:pPr>
      <w:spacing w:line="360" w:lineRule="auto"/>
    </w:pPr>
    <w:rPr>
      <w:rFonts w:ascii="Times New Roman" w:hAnsi="Times New Roman" w:eastAsia="宋体" w:cs="Times New Roman"/>
      <w:sz w:val="24"/>
      <w:szCs w:val="20"/>
    </w:rPr>
  </w:style>
  <w:style w:type="paragraph" w:styleId="971">
    <w:name w:val="样式1"/>
    <w:basedOn w:val="867"/>
    <w:next w:val="971"/>
    <w:link w:val="867"/>
    <w:pPr>
      <w:numPr>
        <w:ilvl w:val="0"/>
        <w:numId w:val="3"/>
      </w:numPr>
      <w:tabs>
        <w:tab w:val="left" w:pos="709" w:leader="none"/>
      </w:tabs>
    </w:pPr>
    <w:rPr>
      <w:rFonts w:ascii="宋体" w:hAnsi="宋体" w:eastAsia="宋体" w:cs="Times New Roman"/>
      <w:szCs w:val="21"/>
    </w:rPr>
  </w:style>
  <w:style w:type="paragraph" w:styleId="972">
    <w:name w:val="font6"/>
    <w:basedOn w:val="867"/>
    <w:next w:val="972"/>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7"/>
    <w:next w:val="973"/>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6">
    <w:name w:val="xl24"/>
    <w:basedOn w:val="867"/>
    <w:next w:val="97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7"/>
    <w:next w:val="977"/>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28"/>
    <w:basedOn w:val="867"/>
    <w:next w:val="979"/>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7"/>
    <w:next w:val="980"/>
    <w:link w:val="867"/>
    <w:qFormat/>
    <w:pPr>
      <w:jc w:val="left"/>
      <w:spacing w:after="160" w:line="240" w:lineRule="exact"/>
      <w:widowControl/>
    </w:pPr>
    <w:rPr>
      <w:rFonts w:ascii="Verdana" w:hAnsi="Verdana" w:eastAsia="宋体" w:cs="Times New Roman"/>
      <w:sz w:val="20"/>
      <w:szCs w:val="20"/>
      <w:lang w:eastAsia="en-US"/>
    </w:rPr>
  </w:style>
  <w:style w:type="paragraph" w:styleId="981">
    <w:name w:val="xl30"/>
    <w:basedOn w:val="867"/>
    <w:next w:val="981"/>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5"/>
    <w:next w:val="982"/>
    <w:link w:val="867"/>
    <w:pPr>
      <w:spacing w:line="360" w:lineRule="auto"/>
    </w:pPr>
    <w:rPr>
      <w:rFonts w:ascii="Tahoma" w:hAnsi="Tahoma"/>
      <w:sz w:val="24"/>
      <w:szCs w:val="24"/>
    </w:rPr>
  </w:style>
  <w:style w:type="paragraph" w:styleId="983">
    <w:name w:val="table_1stline"/>
    <w:basedOn w:val="867"/>
    <w:next w:val="983"/>
    <w:link w:val="867"/>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7"/>
    <w:next w:val="984"/>
    <w:link w:val="867"/>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_Style 112"/>
    <w:next w:val="986"/>
    <w:link w:val="867"/>
    <w:uiPriority w:val="99"/>
    <w:semiHidden/>
    <w:rPr>
      <w:rFonts w:ascii="Times New Roman" w:hAnsi="Times New Roman" w:eastAsia="宋体" w:cs="Times New Roman"/>
      <w:sz w:val="21"/>
      <w:szCs w:val="21"/>
      <w:lang w:val="en-US" w:eastAsia="zh-CN" w:bidi="ar-SA"/>
    </w:rPr>
  </w:style>
  <w:style w:type="paragraph" w:styleId="987">
    <w:name w:val="No Spacing"/>
    <w:next w:val="987"/>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8">
    <w:name w:val="Table Normal"/>
    <w:next w:val="988"/>
    <w:link w:val="867"/>
    <w:qFormat/>
    <w:tblPr/>
  </w:style>
  <w:style w:type="paragraph" w:styleId="989">
    <w:name w:val="正文文本 211"/>
    <w:basedOn w:val="867"/>
    <w:next w:val="989"/>
    <w:link w:val="867"/>
    <w:uiPriority w:val="99"/>
    <w:qFormat/>
    <w:pPr>
      <w:jc w:val="center"/>
    </w:pPr>
    <w:rPr>
      <w:b/>
      <w:bCs/>
      <w:sz w:val="20"/>
      <w:szCs w:val="20"/>
    </w:rPr>
  </w:style>
  <w:style w:type="paragraph" w:styleId="990">
    <w:name w:val="正文文本1"/>
    <w:basedOn w:val="867"/>
    <w:next w:val="867"/>
    <w:link w:val="867"/>
    <w:semiHidden/>
    <w:qFormat/>
    <w:rPr>
      <w:rFonts w:ascii="Arial" w:hAnsi="Arial" w:eastAsia="Arial" w:cs="Arial"/>
      <w:sz w:val="21"/>
      <w:szCs w:val="21"/>
      <w:lang w:val="en-US" w:eastAsia="en-US" w:bidi="ar-SA"/>
    </w:rPr>
  </w:style>
  <w:style w:type="paragraph" w:styleId="991">
    <w:name w:val="正文文本12"/>
    <w:basedOn w:val="867"/>
    <w:next w:val="991"/>
    <w:link w:val="867"/>
    <w:uiPriority w:val="1"/>
    <w:qFormat/>
    <w:pPr>
      <w:ind w:left="120"/>
    </w:pPr>
    <w:rPr>
      <w:rFonts w:ascii="宋体" w:hAnsi="宋体" w:eastAsia="宋体" w:cs="宋体"/>
      <w:sz w:val="21"/>
      <w:szCs w:val="21"/>
      <w:lang w:val="zh-CN" w:eastAsia="zh-CN" w:bidi="zh-CN"/>
    </w:rPr>
  </w:style>
  <w:style w:type="paragraph" w:styleId="992">
    <w:name w:val="纯文本1"/>
    <w:basedOn w:val="867"/>
    <w:next w:val="992"/>
    <w:link w:val="867"/>
    <w:qFormat/>
    <w:rPr>
      <w:rFonts w:ascii="宋体" w:hAnsi="Courier New" w:cs="Courier New"/>
    </w:rPr>
  </w:style>
  <w:style w:type="table" w:styleId="993">
    <w:name w:val="网格型1"/>
    <w:basedOn w:val="994"/>
    <w:next w:val="993"/>
    <w:link w:val="867"/>
    <w:qFormat/>
    <w:pPr>
      <w:jc w:val="both"/>
      <w:widowControl w:val="off"/>
    </w:pPr>
    <w:tblPr/>
  </w:style>
  <w:style w:type="table" w:styleId="994">
    <w:name w:val="普通表格1"/>
    <w:next w:val="994"/>
    <w:link w:val="867"/>
    <w:uiPriority w:val="99"/>
    <w:unhideWhenUsed/>
    <w:qFormat/>
    <w:tblPr/>
  </w:style>
  <w:style w:type="character" w:styleId="995">
    <w:name w:val="15"/>
    <w:basedOn w:val="877"/>
    <w:next w:val="995"/>
    <w:link w:val="867"/>
    <w:rPr>
      <w:rFonts w:ascii="Times New Roman" w:hAnsi="Times New Roman" w:cs="Times New Roman"/>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7</cp:revision>
  <dcterms:created xsi:type="dcterms:W3CDTF">2023-03-27T07:28:00Z</dcterms:created>
  <dcterms:modified xsi:type="dcterms:W3CDTF">2026-05-07T08:33:27Z</dcterms:modified>
</cp:coreProperties>
</file>