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48"/>
          <w:szCs w:val="48"/>
        </w:rPr>
      </w:pPr>
      <w:r>
        <w:rPr>
          <w:rFonts w:ascii="Arial" w:hAnsi="Arial" w:eastAsia="黑体"/>
          <w:b/>
          <w:bCs/>
          <w:sz w:val="48"/>
          <w:szCs w:val="48"/>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招　标　文　件</w:t>
      </w:r>
      <w:r/>
    </w:p>
    <w:p>
      <w:pPr>
        <w:ind w:left="1260" w:firstLine="420"/>
        <w:jc w:val="left"/>
        <w:spacing w:before="120" w:after="120" w:line="360" w:lineRule="auto"/>
        <w:rPr>
          <w:rFonts w:ascii="Arial" w:hAnsi="Arial"/>
          <w:b/>
          <w:bCs/>
          <w:sz w:val="32"/>
          <w:szCs w:val="24"/>
        </w:rPr>
      </w:pPr>
      <w:r>
        <w:rPr>
          <w:rFonts w:hint="eastAsia" w:ascii="Arial" w:hAnsi="Arial"/>
          <w:b/>
          <w:bCs/>
          <w:sz w:val="32"/>
          <w:szCs w:val="24"/>
        </w:rPr>
        <w:t xml:space="preserve">项目名称：</w:t>
      </w:r>
      <w:r>
        <w:rPr>
          <w:rFonts w:ascii="Arial" w:hAnsi="Arial"/>
          <w:b/>
          <w:bCs/>
          <w:sz w:val="32"/>
          <w:szCs w:val="24"/>
        </w:rPr>
        <w:t xml:space="preserve">南京医科大学电梯采购项目</w:t>
      </w:r>
      <w:r/>
    </w:p>
    <w:p>
      <w:pPr>
        <w:ind w:left="1260" w:firstLine="420"/>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JSZC-320000-SCZX-G2026-0149</w:t>
      </w:r>
      <w:r/>
    </w:p>
    <w:p>
      <w:pPr>
        <w:ind w:left="2800" w:hanging="2800"/>
        <w:rPr>
          <w:b/>
          <w:sz w:val="28"/>
          <w:szCs w:val="28"/>
        </w:rPr>
      </w:pPr>
      <w:r>
        <w:rPr>
          <w:rFonts w:hint="eastAsia"/>
          <w:sz w:val="28"/>
          <w:szCs w:val="28"/>
        </w:rPr>
        <w:t xml:space="preserve">       </w:t>
      </w:r>
      <w:r>
        <w:rPr>
          <w:rFonts w:hint="eastAsia"/>
          <w:b/>
          <w:sz w:val="28"/>
          <w:szCs w:val="28"/>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江苏省政府采购中心</w:t>
      </w:r>
      <w:r/>
    </w:p>
    <w:p>
      <w:pPr>
        <w:jc w:val="center"/>
        <w:spacing w:before="120" w:after="120" w:line="360" w:lineRule="auto"/>
        <w:rPr>
          <w:rFonts w:ascii="Arial" w:hAnsi="Arial"/>
          <w:b/>
          <w:bCs/>
          <w:sz w:val="32"/>
          <w:szCs w:val="24"/>
        </w:rPr>
      </w:pPr>
      <w:r>
        <w:rPr>
          <w:rFonts w:hint="eastAsia" w:ascii="Arial" w:hAnsi="Arial"/>
          <w:b/>
          <w:bCs/>
          <w:sz w:val="32"/>
          <w:szCs w:val="24"/>
        </w:rPr>
        <w:t xml:space="preserve">2026</w:t>
      </w:r>
      <w:r>
        <w:rPr>
          <w:rFonts w:hint="eastAsia" w:ascii="Arial" w:hAnsi="Arial"/>
          <w:b/>
          <w:bCs/>
          <w:sz w:val="32"/>
          <w:szCs w:val="24"/>
        </w:rPr>
        <w:t xml:space="preserve">年</w:t>
      </w:r>
      <w:r>
        <w:rPr>
          <w:rFonts w:hint="eastAsia" w:ascii="Arial" w:hAnsi="Arial"/>
          <w:b/>
          <w:bCs/>
          <w:sz w:val="32"/>
          <w:szCs w:val="24"/>
        </w:rPr>
        <w:t xml:space="preserve">4</w:t>
      </w:r>
      <w:r>
        <w:rPr>
          <w:rFonts w:hint="eastAsia" w:ascii="Arial" w:hAnsi="Arial"/>
          <w:b/>
          <w:bCs/>
          <w:sz w:val="32"/>
          <w:szCs w:val="24"/>
        </w:rPr>
        <w:t xml:space="preserve">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szCs w:val="21"/>
        </w:rPr>
        <w:br w:type="page" w:clear="all"/>
      </w:r>
      <w:bookmarkStart w:id="0" w:name="_Toc227167480"/>
      <w:r/>
      <w:bookmarkStart w:id="1" w:name="_Toc120614210"/>
      <w:r/>
      <w:bookmarkStart w:id="2" w:name="_Toc513029200"/>
      <w:r/>
      <w:bookmarkStart w:id="3" w:name="_Toc523127445"/>
      <w:r/>
      <w:bookmarkStart w:id="4" w:name="_Toc479757206"/>
      <w:r/>
      <w:bookmarkStart w:id="5" w:name="_Toc16938516"/>
      <w:r/>
      <w:bookmarkStart w:id="6" w:name="_Toc20823272"/>
      <w:r>
        <w:rPr>
          <w:rFonts w:hint="eastAsia" w:ascii="黑体" w:hAnsi="Arial" w:eastAsia="黑体"/>
          <w:b/>
          <w:sz w:val="44"/>
          <w:szCs w:val="21"/>
        </w:rPr>
        <w:t xml:space="preserve">总  目  录</w:t>
      </w:r>
      <w:bookmarkEnd w:id="0"/>
      <w:r/>
      <w:r/>
    </w:p>
    <w:p>
      <w:pPr>
        <w:spacing w:line="480" w:lineRule="auto"/>
        <w:rPr>
          <w:rFonts w:ascii="仿宋_GB2312" w:hAnsi="Arial" w:eastAsia="仿宋_GB2312"/>
          <w:b/>
          <w:sz w:val="28"/>
        </w:rPr>
      </w:pPr>
      <w:r>
        <w:rPr>
          <w:rFonts w:ascii="仿宋_GB2312" w:hAnsi="Arial" w:eastAsia="仿宋_GB2312"/>
          <w:b/>
          <w:sz w:val="28"/>
        </w:rPr>
      </w:r>
      <w:r/>
    </w:p>
    <w:p>
      <w:pPr>
        <w:pStyle w:val="785"/>
        <w:rPr>
          <w:rFonts w:hint="eastAsia" w:ascii="等线" w:hAnsi="等线" w:eastAsia="等线"/>
          <w:caps w:val="0"/>
          <w:sz w:val="22"/>
        </w:rPr>
      </w:pPr>
      <w:r>
        <w:rPr>
          <w:rFonts w:ascii="等线" w:hAnsi="等线" w:eastAsia="等线"/>
        </w:rPr>
        <w:fldChar w:fldCharType="begin"/>
      </w:r>
      <w:r>
        <w:rPr>
          <w:rFonts w:ascii="等线" w:hAnsi="等线" w:eastAsia="等线"/>
        </w:rPr>
        <w:instrText xml:space="preserve"> TOC \o "1-3" \h \z \u </w:instrText>
      </w:r>
      <w:r>
        <w:rPr>
          <w:rFonts w:ascii="等线" w:hAnsi="等线" w:eastAsia="等线"/>
        </w:rPr>
        <w:fldChar w:fldCharType="separate"/>
      </w:r>
      <w:hyperlink w:tooltip="#_Toc227167480" w:anchor="_Toc227167480" w:history="1">
        <w:r>
          <w:rPr>
            <w:rStyle w:val="913"/>
            <w:rFonts w:hint="eastAsia" w:ascii="黑体" w:hAnsi="Arial" w:eastAsia="黑体"/>
            <w:b/>
            <w:color w:val="000000"/>
          </w:rPr>
          <w:t xml:space="preserve">总  目  录</w:t>
        </w:r>
        <w:r>
          <w:rPr>
            <w:rFonts w:hint="eastAsia"/>
          </w:rPr>
          <w:tab/>
        </w:r>
        <w:r>
          <w:rPr>
            <w:rFonts w:hint="eastAsia"/>
          </w:rPr>
          <w:fldChar w:fldCharType="begin"/>
        </w:r>
        <w:r>
          <w:rPr>
            <w:rFonts w:hint="eastAsia"/>
          </w:rPr>
          <w:instrText xml:space="preserve"> </w:instrText>
        </w:r>
        <w:r>
          <w:instrText xml:space="preserve">PAGEREF _Toc227167480 \h</w:instrText>
        </w:r>
        <w:r>
          <w:rPr>
            <w:rFonts w:hint="eastAsia"/>
          </w:rPr>
          <w:instrText xml:space="preserve"> </w:instrText>
        </w:r>
        <w:r>
          <w:rPr>
            <w:rFonts w:hint="eastAsia"/>
          </w:rPr>
        </w:r>
        <w:r>
          <w:rPr>
            <w:rFonts w:hint="eastAsia"/>
          </w:rPr>
          <w:fldChar w:fldCharType="separate"/>
        </w:r>
        <w:r>
          <w:rPr>
            <w:rFonts w:hint="eastAsia"/>
          </w:rPr>
          <w:t xml:space="preserve">2</w:t>
        </w:r>
        <w:r>
          <w:rPr>
            <w:rFonts w:hint="eastAsia"/>
          </w:rPr>
          <w:fldChar w:fldCharType="end"/>
        </w:r>
      </w:hyperlink>
      <w:r/>
      <w:r/>
    </w:p>
    <w:p>
      <w:pPr>
        <w:pStyle w:val="785"/>
        <w:rPr>
          <w:rFonts w:hint="eastAsia" w:ascii="等线" w:hAnsi="等线" w:eastAsia="等线"/>
          <w:caps w:val="0"/>
          <w:sz w:val="22"/>
        </w:rPr>
      </w:pPr>
      <w:r/>
      <w:hyperlink w:tooltip="#_Toc227167481" w:anchor="_Toc227167481" w:history="1">
        <w:r>
          <w:rPr>
            <w:rStyle w:val="913"/>
            <w:rFonts w:hint="eastAsia" w:ascii="黑体" w:eastAsia="黑体"/>
            <w:bCs/>
            <w:color w:val="000000"/>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_Toc227167481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780"/>
        <w:tabs>
          <w:tab w:val="right" w:pos="8302" w:leader="dot"/>
        </w:tabs>
        <w:rPr>
          <w:rFonts w:hint="eastAsia" w:ascii="等线" w:hAnsi="等线" w:eastAsia="等线"/>
          <w:i w:val="0"/>
          <w:iCs w:val="0"/>
          <w:sz w:val="22"/>
        </w:rPr>
      </w:pPr>
      <w:r/>
      <w:hyperlink w:tooltip="#_Toc227167482" w:anchor="_Toc227167482" w:history="1">
        <w:r>
          <w:rPr>
            <w:rStyle w:val="913"/>
            <w:rFonts w:hint="eastAsia"/>
            <w:b/>
            <w:bCs/>
            <w:color w:val="000000"/>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_Toc227167482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80"/>
        <w:tabs>
          <w:tab w:val="right" w:pos="8302" w:leader="dot"/>
        </w:tabs>
        <w:rPr>
          <w:rFonts w:hint="eastAsia" w:ascii="等线" w:hAnsi="等线" w:eastAsia="等线"/>
          <w:i w:val="0"/>
          <w:iCs w:val="0"/>
          <w:sz w:val="22"/>
        </w:rPr>
      </w:pPr>
      <w:r/>
      <w:hyperlink w:tooltip="#_Toc227167483" w:anchor="_Toc227167483" w:history="1">
        <w:r>
          <w:rPr>
            <w:rStyle w:val="913"/>
            <w:rFonts w:hint="eastAsia"/>
            <w:b/>
            <w:bCs/>
            <w:color w:val="000000"/>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_Toc227167483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80"/>
        <w:tabs>
          <w:tab w:val="right" w:pos="8302" w:leader="dot"/>
        </w:tabs>
        <w:rPr>
          <w:rFonts w:hint="eastAsia" w:ascii="等线" w:hAnsi="等线" w:eastAsia="等线"/>
          <w:i w:val="0"/>
          <w:iCs w:val="0"/>
          <w:sz w:val="22"/>
        </w:rPr>
      </w:pPr>
      <w:r/>
      <w:hyperlink w:tooltip="#_Toc227167484" w:anchor="_Toc227167484" w:history="1">
        <w:r>
          <w:rPr>
            <w:rStyle w:val="913"/>
            <w:rFonts w:hint="eastAsia"/>
            <w:b/>
            <w:bCs/>
            <w:color w:val="000000"/>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_Toc227167484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80"/>
        <w:tabs>
          <w:tab w:val="right" w:pos="8302" w:leader="dot"/>
        </w:tabs>
        <w:rPr>
          <w:rFonts w:hint="eastAsia" w:ascii="等线" w:hAnsi="等线" w:eastAsia="等线"/>
          <w:i w:val="0"/>
          <w:iCs w:val="0"/>
          <w:sz w:val="22"/>
        </w:rPr>
      </w:pPr>
      <w:r/>
      <w:hyperlink w:tooltip="#_Toc227167485" w:anchor="_Toc227167485" w:history="1">
        <w:r>
          <w:rPr>
            <w:rStyle w:val="913"/>
            <w:rFonts w:hint="eastAsia"/>
            <w:b/>
            <w:bCs/>
            <w:color w:val="000000"/>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_Toc227167485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80"/>
        <w:tabs>
          <w:tab w:val="right" w:pos="8302" w:leader="dot"/>
        </w:tabs>
        <w:rPr>
          <w:rFonts w:hint="eastAsia" w:ascii="等线" w:hAnsi="等线" w:eastAsia="等线"/>
          <w:i w:val="0"/>
          <w:iCs w:val="0"/>
          <w:sz w:val="22"/>
        </w:rPr>
      </w:pPr>
      <w:r/>
      <w:hyperlink w:tooltip="#_Toc227167486" w:anchor="_Toc227167486" w:history="1">
        <w:r>
          <w:rPr>
            <w:rStyle w:val="913"/>
            <w:rFonts w:hint="eastAsia"/>
            <w:b/>
            <w:bCs/>
            <w:color w:val="000000"/>
          </w:rPr>
          <w:t xml:space="preserve">五、公告期限</w:t>
        </w:r>
        <w:r>
          <w:rPr>
            <w:rFonts w:hint="eastAsia"/>
          </w:rPr>
          <w:tab/>
        </w:r>
        <w:r>
          <w:rPr>
            <w:rFonts w:hint="eastAsia"/>
          </w:rPr>
          <w:fldChar w:fldCharType="begin"/>
        </w:r>
        <w:r>
          <w:rPr>
            <w:rFonts w:hint="eastAsia"/>
          </w:rPr>
          <w:instrText xml:space="preserve"> </w:instrText>
        </w:r>
        <w:r>
          <w:instrText xml:space="preserve">PAGEREF _Toc227167486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80"/>
        <w:tabs>
          <w:tab w:val="right" w:pos="8302" w:leader="dot"/>
        </w:tabs>
        <w:rPr>
          <w:rFonts w:hint="eastAsia" w:ascii="等线" w:hAnsi="等线" w:eastAsia="等线"/>
          <w:i w:val="0"/>
          <w:iCs w:val="0"/>
          <w:sz w:val="22"/>
        </w:rPr>
      </w:pPr>
      <w:r/>
      <w:hyperlink w:tooltip="#_Toc227167487" w:anchor="_Toc227167487" w:history="1">
        <w:r>
          <w:rPr>
            <w:rStyle w:val="913"/>
            <w:rFonts w:hint="eastAsia"/>
            <w:b/>
            <w:bCs/>
            <w:color w:val="000000"/>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_Toc227167487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80"/>
        <w:tabs>
          <w:tab w:val="right" w:pos="8302" w:leader="dot"/>
        </w:tabs>
        <w:rPr>
          <w:rFonts w:hint="eastAsia" w:ascii="等线" w:hAnsi="等线" w:eastAsia="等线"/>
          <w:i w:val="0"/>
          <w:iCs w:val="0"/>
          <w:sz w:val="22"/>
        </w:rPr>
      </w:pPr>
      <w:r/>
      <w:hyperlink w:tooltip="#_Toc227167488" w:anchor="_Toc227167488" w:history="1">
        <w:r>
          <w:rPr>
            <w:rStyle w:val="913"/>
            <w:rFonts w:hint="eastAsia"/>
            <w:b/>
            <w:bCs/>
            <w:color w:val="000000"/>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_Toc227167488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80"/>
        <w:tabs>
          <w:tab w:val="right" w:pos="8302" w:leader="dot"/>
        </w:tabs>
        <w:rPr>
          <w:rFonts w:hint="eastAsia" w:ascii="等线" w:hAnsi="等线" w:eastAsia="等线"/>
          <w:i w:val="0"/>
          <w:iCs w:val="0"/>
          <w:sz w:val="22"/>
        </w:rPr>
      </w:pPr>
      <w:r/>
      <w:hyperlink w:tooltip="#_Toc227167489" w:anchor="_Toc227167489" w:history="1">
        <w:r>
          <w:rPr>
            <w:rStyle w:val="913"/>
            <w:rFonts w:hint="eastAsia"/>
            <w:b/>
            <w:bCs/>
            <w:color w:val="000000"/>
          </w:rPr>
          <w:t xml:space="preserve">八、其他</w:t>
        </w:r>
        <w:r>
          <w:rPr>
            <w:rFonts w:hint="eastAsia"/>
          </w:rPr>
          <w:tab/>
        </w:r>
        <w:r>
          <w:rPr>
            <w:rFonts w:hint="eastAsia"/>
          </w:rPr>
          <w:fldChar w:fldCharType="begin"/>
        </w:r>
        <w:r>
          <w:rPr>
            <w:rFonts w:hint="eastAsia"/>
          </w:rPr>
          <w:instrText xml:space="preserve"> </w:instrText>
        </w:r>
        <w:r>
          <w:instrText xml:space="preserve">PAGEREF _Toc227167489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85"/>
        <w:rPr>
          <w:rFonts w:hint="eastAsia" w:ascii="等线" w:hAnsi="等线" w:eastAsia="等线"/>
          <w:caps w:val="0"/>
          <w:sz w:val="22"/>
        </w:rPr>
      </w:pPr>
      <w:r/>
      <w:hyperlink w:tooltip="#_Toc227167490" w:anchor="_Toc227167490" w:history="1">
        <w:r>
          <w:rPr>
            <w:rStyle w:val="913"/>
            <w:rFonts w:hint="eastAsia" w:ascii="黑体" w:eastAsia="黑体"/>
            <w:bCs/>
            <w:color w:val="000000"/>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_Toc227167490 \h</w:instrText>
        </w:r>
        <w:r>
          <w:rPr>
            <w:rFonts w:hint="eastAsia"/>
          </w:rPr>
          <w:instrText xml:space="preserve"> </w:instrText>
        </w:r>
        <w:r>
          <w:rPr>
            <w:rFonts w:hint="eastAsia"/>
          </w:rPr>
        </w:r>
        <w:r>
          <w:rPr>
            <w:rFonts w:hint="eastAsia"/>
          </w:rPr>
          <w:fldChar w:fldCharType="separate"/>
        </w:r>
        <w:r>
          <w:rPr>
            <w:rFonts w:hint="eastAsia"/>
          </w:rPr>
          <w:t xml:space="preserve">7</w:t>
        </w:r>
        <w:r>
          <w:rPr>
            <w:rFonts w:hint="eastAsia"/>
          </w:rPr>
          <w:fldChar w:fldCharType="end"/>
        </w:r>
      </w:hyperlink>
      <w:r/>
      <w:r/>
    </w:p>
    <w:p>
      <w:pPr>
        <w:pStyle w:val="780"/>
        <w:tabs>
          <w:tab w:val="right" w:pos="8302" w:leader="dot"/>
        </w:tabs>
        <w:rPr>
          <w:rFonts w:hint="eastAsia" w:ascii="等线" w:hAnsi="等线" w:eastAsia="等线"/>
          <w:i w:val="0"/>
          <w:iCs w:val="0"/>
          <w:sz w:val="22"/>
        </w:rPr>
      </w:pPr>
      <w:r/>
      <w:hyperlink w:tooltip="#_Toc227167491" w:anchor="_Toc227167491" w:history="1">
        <w:r>
          <w:rPr>
            <w:rStyle w:val="913"/>
            <w:rFonts w:hint="eastAsia"/>
            <w:b/>
            <w:bCs/>
            <w:color w:val="000000"/>
          </w:rPr>
          <w:t xml:space="preserve">一、总则</w:t>
        </w:r>
        <w:r>
          <w:rPr>
            <w:rFonts w:hint="eastAsia"/>
          </w:rPr>
          <w:tab/>
        </w:r>
        <w:r>
          <w:rPr>
            <w:rFonts w:hint="eastAsia"/>
          </w:rPr>
          <w:fldChar w:fldCharType="begin"/>
        </w:r>
        <w:r>
          <w:rPr>
            <w:rFonts w:hint="eastAsia"/>
          </w:rPr>
          <w:instrText xml:space="preserve"> </w:instrText>
        </w:r>
        <w:r>
          <w:instrText xml:space="preserve">PAGEREF _Toc227167491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80"/>
        <w:tabs>
          <w:tab w:val="right" w:pos="8302" w:leader="dot"/>
        </w:tabs>
        <w:rPr>
          <w:rFonts w:hint="eastAsia" w:ascii="等线" w:hAnsi="等线" w:eastAsia="等线"/>
          <w:i w:val="0"/>
          <w:iCs w:val="0"/>
          <w:sz w:val="22"/>
        </w:rPr>
      </w:pPr>
      <w:r/>
      <w:hyperlink w:tooltip="#_Toc227167492" w:anchor="_Toc227167492" w:history="1">
        <w:r>
          <w:rPr>
            <w:rStyle w:val="913"/>
            <w:rFonts w:hint="eastAsia"/>
            <w:b/>
            <w:bCs/>
            <w:color w:val="000000"/>
          </w:rPr>
          <w:t xml:space="preserve">二、招标文件</w:t>
        </w:r>
        <w:r>
          <w:rPr>
            <w:rFonts w:hint="eastAsia"/>
          </w:rPr>
          <w:tab/>
        </w:r>
        <w:r>
          <w:rPr>
            <w:rFonts w:hint="eastAsia"/>
          </w:rPr>
          <w:fldChar w:fldCharType="begin"/>
        </w:r>
        <w:r>
          <w:rPr>
            <w:rFonts w:hint="eastAsia"/>
          </w:rPr>
          <w:instrText xml:space="preserve"> </w:instrText>
        </w:r>
        <w:r>
          <w:instrText xml:space="preserve">PAGEREF _Toc227167492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80"/>
        <w:tabs>
          <w:tab w:val="right" w:pos="8302" w:leader="dot"/>
        </w:tabs>
        <w:rPr>
          <w:rFonts w:hint="eastAsia" w:ascii="等线" w:hAnsi="等线" w:eastAsia="等线"/>
          <w:i w:val="0"/>
          <w:iCs w:val="0"/>
          <w:sz w:val="22"/>
        </w:rPr>
      </w:pPr>
      <w:r/>
      <w:hyperlink w:tooltip="#_Toc227167493" w:anchor="_Toc227167493" w:history="1">
        <w:r>
          <w:rPr>
            <w:rStyle w:val="913"/>
            <w:rFonts w:hint="eastAsia"/>
            <w:b/>
            <w:bCs/>
            <w:color w:val="000000"/>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_Toc227167493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780"/>
        <w:tabs>
          <w:tab w:val="right" w:pos="8302" w:leader="dot"/>
        </w:tabs>
        <w:rPr>
          <w:rFonts w:hint="eastAsia" w:ascii="等线" w:hAnsi="等线" w:eastAsia="等线"/>
          <w:i w:val="0"/>
          <w:iCs w:val="0"/>
          <w:sz w:val="22"/>
        </w:rPr>
      </w:pPr>
      <w:r/>
      <w:hyperlink w:tooltip="#_Toc227167494" w:anchor="_Toc227167494" w:history="1">
        <w:r>
          <w:rPr>
            <w:rStyle w:val="913"/>
            <w:rFonts w:hint="eastAsia"/>
            <w:b/>
            <w:bCs/>
            <w:color w:val="000000"/>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_Toc227167494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80"/>
        <w:tabs>
          <w:tab w:val="right" w:pos="8302" w:leader="dot"/>
        </w:tabs>
        <w:rPr>
          <w:rFonts w:hint="eastAsia" w:ascii="等线" w:hAnsi="等线" w:eastAsia="等线"/>
          <w:i w:val="0"/>
          <w:iCs w:val="0"/>
          <w:sz w:val="22"/>
        </w:rPr>
      </w:pPr>
      <w:r/>
      <w:hyperlink w:tooltip="#_Toc227167495" w:anchor="_Toc227167495" w:history="1">
        <w:r>
          <w:rPr>
            <w:rStyle w:val="913"/>
            <w:rFonts w:hint="eastAsia"/>
            <w:b/>
            <w:bCs/>
            <w:color w:val="000000"/>
          </w:rPr>
          <w:t xml:space="preserve">五、开标与评标</w:t>
        </w:r>
        <w:r>
          <w:rPr>
            <w:rFonts w:hint="eastAsia"/>
          </w:rPr>
          <w:tab/>
        </w:r>
        <w:r>
          <w:rPr>
            <w:rFonts w:hint="eastAsia"/>
          </w:rPr>
          <w:fldChar w:fldCharType="begin"/>
        </w:r>
        <w:r>
          <w:rPr>
            <w:rFonts w:hint="eastAsia"/>
          </w:rPr>
          <w:instrText xml:space="preserve"> </w:instrText>
        </w:r>
        <w:r>
          <w:instrText xml:space="preserve">PAGEREF _Toc227167495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780"/>
        <w:tabs>
          <w:tab w:val="right" w:pos="8302" w:leader="dot"/>
        </w:tabs>
        <w:rPr>
          <w:rFonts w:hint="eastAsia" w:ascii="等线" w:hAnsi="等线" w:eastAsia="等线"/>
          <w:i w:val="0"/>
          <w:iCs w:val="0"/>
          <w:sz w:val="22"/>
        </w:rPr>
      </w:pPr>
      <w:r/>
      <w:hyperlink w:tooltip="#_Toc227167496" w:anchor="_Toc227167496" w:history="1">
        <w:r>
          <w:rPr>
            <w:rStyle w:val="913"/>
            <w:rFonts w:hint="eastAsia"/>
            <w:b/>
            <w:bCs/>
            <w:color w:val="000000"/>
          </w:rPr>
          <w:t xml:space="preserve">六、定标</w:t>
        </w:r>
        <w:r>
          <w:rPr>
            <w:rFonts w:hint="eastAsia"/>
          </w:rPr>
          <w:tab/>
        </w:r>
        <w:r>
          <w:rPr>
            <w:rFonts w:hint="eastAsia"/>
          </w:rPr>
          <w:fldChar w:fldCharType="begin"/>
        </w:r>
        <w:r>
          <w:rPr>
            <w:rFonts w:hint="eastAsia"/>
          </w:rPr>
          <w:instrText xml:space="preserve"> </w:instrText>
        </w:r>
        <w:r>
          <w:instrText xml:space="preserve">PAGEREF _Toc227167496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780"/>
        <w:tabs>
          <w:tab w:val="right" w:pos="8302" w:leader="dot"/>
        </w:tabs>
        <w:rPr>
          <w:rFonts w:hint="eastAsia" w:ascii="等线" w:hAnsi="等线" w:eastAsia="等线"/>
          <w:i w:val="0"/>
          <w:iCs w:val="0"/>
          <w:sz w:val="22"/>
        </w:rPr>
      </w:pPr>
      <w:r/>
      <w:hyperlink w:tooltip="#_Toc227167497" w:anchor="_Toc227167497" w:history="1">
        <w:r>
          <w:rPr>
            <w:rStyle w:val="913"/>
            <w:rFonts w:hint="eastAsia"/>
            <w:b/>
            <w:bCs/>
            <w:color w:val="000000"/>
          </w:rPr>
          <w:t xml:space="preserve">七、授予合同</w:t>
        </w:r>
        <w:r>
          <w:rPr>
            <w:rFonts w:hint="eastAsia"/>
          </w:rPr>
          <w:tab/>
        </w:r>
        <w:r>
          <w:rPr>
            <w:rFonts w:hint="eastAsia"/>
          </w:rPr>
          <w:fldChar w:fldCharType="begin"/>
        </w:r>
        <w:r>
          <w:rPr>
            <w:rFonts w:hint="eastAsia"/>
          </w:rPr>
          <w:instrText xml:space="preserve"> </w:instrText>
        </w:r>
        <w:r>
          <w:instrText xml:space="preserve">PAGEREF _Toc227167497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785"/>
        <w:rPr>
          <w:rFonts w:hint="eastAsia" w:ascii="等线" w:hAnsi="等线" w:eastAsia="等线"/>
          <w:caps w:val="0"/>
          <w:sz w:val="22"/>
        </w:rPr>
      </w:pPr>
      <w:r/>
      <w:hyperlink w:tooltip="#_Toc227167498" w:anchor="_Toc227167498" w:history="1">
        <w:r>
          <w:rPr>
            <w:rStyle w:val="913"/>
            <w:rFonts w:hint="eastAsia" w:ascii="黑体" w:eastAsia="黑体"/>
            <w:bCs/>
            <w:color w:val="000000"/>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_Toc227167498 \h</w:instrText>
        </w:r>
        <w:r>
          <w:rPr>
            <w:rFonts w:hint="eastAsia"/>
          </w:rPr>
          <w:instrText xml:space="preserve"> </w:instrText>
        </w:r>
        <w:r>
          <w:rPr>
            <w:rFonts w:hint="eastAsia"/>
          </w:rPr>
        </w:r>
        <w:r>
          <w:rPr>
            <w:rFonts w:hint="eastAsia"/>
          </w:rPr>
          <w:fldChar w:fldCharType="separate"/>
        </w:r>
        <w:r>
          <w:rPr>
            <w:rFonts w:hint="eastAsia"/>
          </w:rPr>
          <w:t xml:space="preserve">18</w:t>
        </w:r>
        <w:r>
          <w:rPr>
            <w:rFonts w:hint="eastAsia"/>
          </w:rPr>
          <w:fldChar w:fldCharType="end"/>
        </w:r>
      </w:hyperlink>
      <w:r/>
      <w:r/>
    </w:p>
    <w:p>
      <w:pPr>
        <w:pStyle w:val="791"/>
        <w:tabs>
          <w:tab w:val="right" w:pos="8302" w:leader="dot"/>
        </w:tabs>
        <w:rPr>
          <w:rFonts w:hint="eastAsia" w:ascii="等线" w:hAnsi="等线" w:eastAsia="等线"/>
          <w:smallCaps w:val="0"/>
          <w:sz w:val="22"/>
        </w:rPr>
      </w:pPr>
      <w:r/>
      <w:hyperlink w:tooltip="#_Toc227167499" w:anchor="_Toc227167499" w:history="1">
        <w:r>
          <w:rPr>
            <w:rStyle w:val="913"/>
            <w:rFonts w:hint="eastAsia" w:ascii="黑体" w:hAnsi="黑体" w:eastAsia="黑体"/>
            <w:color w:val="000000"/>
          </w:rPr>
          <w:t xml:space="preserve">第一节 </w:t>
        </w:r>
        <w:r>
          <w:rPr>
            <w:rStyle w:val="913"/>
            <w:rFonts w:hint="eastAsia" w:ascii="黑体" w:hAnsi="华文中宋" w:eastAsia="黑体"/>
            <w:color w:val="000000"/>
          </w:rPr>
          <w:t xml:space="preserve">政府采购合同协议书</w:t>
        </w:r>
        <w:r>
          <w:rPr>
            <w:rFonts w:hint="eastAsia"/>
          </w:rPr>
          <w:tab/>
        </w:r>
        <w:r>
          <w:rPr>
            <w:rFonts w:hint="eastAsia"/>
          </w:rPr>
          <w:fldChar w:fldCharType="begin"/>
        </w:r>
        <w:r>
          <w:rPr>
            <w:rFonts w:hint="eastAsia"/>
          </w:rPr>
          <w:instrText xml:space="preserve"> </w:instrText>
        </w:r>
        <w:r>
          <w:instrText xml:space="preserve">PAGEREF _Toc227167499 \h</w:instrText>
        </w:r>
        <w:r>
          <w:rPr>
            <w:rFonts w:hint="eastAsia"/>
          </w:rPr>
          <w:instrText xml:space="preserve"> </w:instrText>
        </w:r>
        <w:r>
          <w:rPr>
            <w:rFonts w:hint="eastAsia"/>
          </w:rPr>
        </w:r>
        <w:r>
          <w:rPr>
            <w:rFonts w:hint="eastAsia"/>
          </w:rPr>
          <w:fldChar w:fldCharType="separate"/>
        </w:r>
        <w:r>
          <w:t xml:space="preserve">20</w:t>
        </w:r>
        <w:r>
          <w:rPr>
            <w:rFonts w:hint="eastAsia"/>
          </w:rPr>
          <w:fldChar w:fldCharType="end"/>
        </w:r>
      </w:hyperlink>
      <w:r/>
      <w:r/>
    </w:p>
    <w:p>
      <w:pPr>
        <w:pStyle w:val="791"/>
        <w:tabs>
          <w:tab w:val="right" w:pos="8302" w:leader="dot"/>
        </w:tabs>
        <w:rPr>
          <w:rFonts w:hint="eastAsia" w:ascii="等线" w:hAnsi="等线" w:eastAsia="等线"/>
          <w:smallCaps w:val="0"/>
          <w:sz w:val="22"/>
        </w:rPr>
      </w:pPr>
      <w:r/>
      <w:hyperlink w:tooltip="#_Toc227167500" w:anchor="_Toc227167500" w:history="1">
        <w:r>
          <w:rPr>
            <w:rStyle w:val="913"/>
            <w:rFonts w:hint="eastAsia" w:ascii="黑体" w:hAnsi="黑体" w:eastAsia="黑体"/>
            <w:color w:val="000000"/>
          </w:rPr>
          <w:t xml:space="preserve">第二节 政府采购合同通用条款</w:t>
        </w:r>
        <w:r>
          <w:rPr>
            <w:rFonts w:hint="eastAsia"/>
          </w:rPr>
          <w:tab/>
        </w:r>
        <w:r>
          <w:rPr>
            <w:rFonts w:hint="eastAsia"/>
          </w:rPr>
          <w:fldChar w:fldCharType="begin"/>
        </w:r>
        <w:r>
          <w:rPr>
            <w:rFonts w:hint="eastAsia"/>
          </w:rPr>
          <w:instrText xml:space="preserve"> </w:instrText>
        </w:r>
        <w:r>
          <w:instrText xml:space="preserve">PAGEREF _Toc227167500 \h</w:instrText>
        </w:r>
        <w:r>
          <w:rPr>
            <w:rFonts w:hint="eastAsia"/>
          </w:rPr>
          <w:instrText xml:space="preserve"> </w:instrText>
        </w:r>
        <w:r>
          <w:rPr>
            <w:rFonts w:hint="eastAsia"/>
          </w:rPr>
        </w:r>
        <w:r>
          <w:rPr>
            <w:rFonts w:hint="eastAsia"/>
          </w:rPr>
          <w:fldChar w:fldCharType="separate"/>
        </w:r>
        <w:r>
          <w:t xml:space="preserve">25</w:t>
        </w:r>
        <w:r>
          <w:rPr>
            <w:rFonts w:hint="eastAsia"/>
          </w:rPr>
          <w:fldChar w:fldCharType="end"/>
        </w:r>
      </w:hyperlink>
      <w:r/>
      <w:r/>
    </w:p>
    <w:p>
      <w:pPr>
        <w:pStyle w:val="791"/>
        <w:tabs>
          <w:tab w:val="right" w:pos="8302" w:leader="dot"/>
        </w:tabs>
        <w:rPr>
          <w:rFonts w:hint="eastAsia" w:ascii="等线" w:hAnsi="等线" w:eastAsia="等线"/>
          <w:smallCaps w:val="0"/>
          <w:sz w:val="22"/>
        </w:rPr>
      </w:pPr>
      <w:r/>
      <w:hyperlink w:tooltip="#_Toc227167501" w:anchor="_Toc227167501" w:history="1">
        <w:r>
          <w:rPr>
            <w:rStyle w:val="913"/>
            <w:rFonts w:hint="eastAsia" w:ascii="黑体" w:hAnsi="华文中宋" w:eastAsia="黑体"/>
            <w:color w:val="000000"/>
          </w:rPr>
          <w:t xml:space="preserve">第三节 政府采购合同专用条款</w:t>
        </w:r>
        <w:r>
          <w:rPr>
            <w:rFonts w:hint="eastAsia"/>
          </w:rPr>
          <w:tab/>
        </w:r>
        <w:r>
          <w:rPr>
            <w:rFonts w:hint="eastAsia"/>
          </w:rPr>
          <w:fldChar w:fldCharType="begin"/>
        </w:r>
        <w:r>
          <w:rPr>
            <w:rFonts w:hint="eastAsia"/>
          </w:rPr>
          <w:instrText xml:space="preserve"> </w:instrText>
        </w:r>
        <w:r>
          <w:instrText xml:space="preserve">PAGEREF _Toc227167501 \h</w:instrText>
        </w:r>
        <w:r>
          <w:rPr>
            <w:rFonts w:hint="eastAsia"/>
          </w:rPr>
          <w:instrText xml:space="preserve"> </w:instrText>
        </w:r>
        <w:r>
          <w:rPr>
            <w:rFonts w:hint="eastAsia"/>
          </w:rPr>
        </w:r>
        <w:r>
          <w:rPr>
            <w:rFonts w:hint="eastAsia"/>
          </w:rPr>
          <w:fldChar w:fldCharType="separate"/>
        </w:r>
        <w:r>
          <w:t xml:space="preserve">32</w:t>
        </w:r>
        <w:r>
          <w:rPr>
            <w:rFonts w:hint="eastAsia"/>
          </w:rPr>
          <w:fldChar w:fldCharType="end"/>
        </w:r>
      </w:hyperlink>
      <w:r/>
      <w:r/>
    </w:p>
    <w:p>
      <w:pPr>
        <w:pStyle w:val="785"/>
        <w:rPr>
          <w:rFonts w:hint="eastAsia" w:ascii="等线" w:hAnsi="等线" w:eastAsia="等线"/>
          <w:caps w:val="0"/>
          <w:sz w:val="22"/>
        </w:rPr>
      </w:pPr>
      <w:r/>
      <w:hyperlink w:tooltip="#_Toc227167502" w:anchor="_Toc227167502" w:history="1">
        <w:r>
          <w:rPr>
            <w:rStyle w:val="913"/>
            <w:rFonts w:hint="eastAsia" w:ascii="黑体" w:eastAsia="黑体"/>
            <w:b/>
            <w:bCs/>
            <w:color w:val="000000"/>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_Toc227167502 \h</w:instrText>
        </w:r>
        <w:r>
          <w:rPr>
            <w:rFonts w:hint="eastAsia"/>
          </w:rPr>
          <w:instrText xml:space="preserve"> </w:instrText>
        </w:r>
        <w:r>
          <w:rPr>
            <w:rFonts w:hint="eastAsia"/>
          </w:rPr>
        </w:r>
        <w:r>
          <w:rPr>
            <w:rFonts w:hint="eastAsia"/>
          </w:rPr>
          <w:fldChar w:fldCharType="separate"/>
        </w:r>
        <w:r>
          <w:rPr>
            <w:rFonts w:hint="eastAsia"/>
          </w:rPr>
          <w:t xml:space="preserve">34</w:t>
        </w:r>
        <w:r>
          <w:rPr>
            <w:rFonts w:hint="eastAsia"/>
          </w:rPr>
          <w:fldChar w:fldCharType="end"/>
        </w:r>
      </w:hyperlink>
      <w:r/>
      <w:r/>
    </w:p>
    <w:p>
      <w:pPr>
        <w:pStyle w:val="791"/>
        <w:tabs>
          <w:tab w:val="left" w:pos="1050" w:leader="none"/>
          <w:tab w:val="right" w:pos="8302" w:leader="dot"/>
        </w:tabs>
        <w:rPr>
          <w:rFonts w:hint="eastAsia" w:ascii="等线" w:hAnsi="等线" w:eastAsia="等线"/>
          <w:smallCaps w:val="0"/>
          <w:sz w:val="22"/>
        </w:rPr>
      </w:pPr>
      <w:r/>
      <w:hyperlink w:tooltip="#_Toc227167503" w:anchor="_Toc227167503" w:history="1">
        <w:r>
          <w:rPr>
            <w:rStyle w:val="913"/>
            <w:rFonts w:hint="eastAsia" w:ascii="宋体" w:hAnsi="宋体"/>
            <w:b/>
            <w:bCs/>
            <w:color w:val="000000"/>
          </w:rPr>
          <w:t xml:space="preserve">一、</w:t>
        </w:r>
        <w:r>
          <w:rPr>
            <w:rFonts w:hint="eastAsia" w:ascii="等线" w:hAnsi="等线" w:eastAsia="等线"/>
            <w:smallCaps w:val="0"/>
            <w:sz w:val="22"/>
          </w:rPr>
          <w:tab/>
        </w:r>
        <w:r>
          <w:rPr>
            <w:rStyle w:val="913"/>
            <w:rFonts w:hint="eastAsia" w:ascii="宋体" w:hAnsi="宋体"/>
            <w:b/>
            <w:bCs/>
            <w:color w:val="000000"/>
          </w:rPr>
          <w:t xml:space="preserve">采购标的清单</w:t>
        </w:r>
        <w:bookmarkStart w:id="7" w:name="_Hlt227167524"/>
        <w:r>
          <w:rPr>
            <w:rFonts w:hint="eastAsia"/>
          </w:rPr>
          <w:tab/>
        </w:r>
        <w:bookmarkEnd w:id="7"/>
        <w:r>
          <w:rPr>
            <w:rFonts w:hint="eastAsia"/>
          </w:rPr>
          <w:fldChar w:fldCharType="begin"/>
        </w:r>
        <w:r>
          <w:rPr>
            <w:rFonts w:hint="eastAsia"/>
          </w:rPr>
          <w:instrText xml:space="preserve"> </w:instrText>
        </w:r>
        <w:r>
          <w:instrText xml:space="preserve">PAGEREF _Toc227167503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791"/>
        <w:tabs>
          <w:tab w:val="right" w:pos="8302" w:leader="dot"/>
        </w:tabs>
        <w:rPr>
          <w:rFonts w:hint="eastAsia" w:ascii="等线" w:hAnsi="等线" w:eastAsia="等线"/>
          <w:smallCaps w:val="0"/>
          <w:sz w:val="22"/>
        </w:rPr>
      </w:pPr>
      <w:r/>
      <w:hyperlink w:tooltip="#_Toc227167504" w:anchor="_Toc227167504" w:history="1">
        <w:r>
          <w:rPr>
            <w:rStyle w:val="913"/>
            <w:rFonts w:hint="eastAsia" w:ascii="宋体" w:hAnsi="宋体"/>
            <w:b/>
            <w:bCs/>
            <w:color w:val="000000"/>
          </w:rPr>
          <w:t xml:space="preserve">二、政府采购中实施本国产品标准及相关政策</w:t>
        </w:r>
        <w:r>
          <w:rPr>
            <w:rFonts w:hint="eastAsia"/>
          </w:rPr>
          <w:tab/>
        </w:r>
        <w:r>
          <w:rPr>
            <w:rFonts w:hint="eastAsia"/>
          </w:rPr>
          <w:fldChar w:fldCharType="begin"/>
        </w:r>
        <w:r>
          <w:rPr>
            <w:rFonts w:hint="eastAsia"/>
          </w:rPr>
          <w:instrText xml:space="preserve"> </w:instrText>
        </w:r>
        <w:r>
          <w:instrText xml:space="preserve">PAGEREF _Toc227167504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791"/>
        <w:tabs>
          <w:tab w:val="right" w:pos="8302" w:leader="dot"/>
        </w:tabs>
        <w:rPr>
          <w:rFonts w:hint="eastAsia" w:ascii="等线" w:hAnsi="等线" w:eastAsia="等线"/>
          <w:smallCaps w:val="0"/>
          <w:sz w:val="22"/>
        </w:rPr>
      </w:pPr>
      <w:r/>
      <w:hyperlink w:tooltip="#_Toc227167505" w:anchor="_Toc227167505" w:history="1">
        <w:r>
          <w:rPr>
            <w:rStyle w:val="913"/>
            <w:rFonts w:hint="eastAsia" w:ascii="宋体" w:hAnsi="宋体"/>
            <w:b/>
            <w:color w:val="000000"/>
          </w:rPr>
          <w:t xml:space="preserve">三、</w:t>
        </w:r>
        <w:r>
          <w:rPr>
            <w:rStyle w:val="913"/>
            <w:rFonts w:hint="eastAsia" w:ascii="宋体" w:hAnsi="宋体"/>
            <w:b/>
            <w:bCs/>
            <w:color w:val="000000"/>
          </w:rPr>
          <w:t xml:space="preserve">技术部分要求</w:t>
        </w:r>
        <w:bookmarkStart w:id="8" w:name="_Hlt227850418"/>
        <w:bookmarkStart w:id="9" w:name="_Hlt227850419"/>
        <w:r>
          <w:rPr>
            <w:rFonts w:hint="eastAsia"/>
          </w:rPr>
          <w:tab/>
        </w:r>
        <w:bookmarkEnd w:id="8"/>
        <w:bookmarkEnd w:id="9"/>
        <w:r>
          <w:rPr>
            <w:rFonts w:hint="eastAsia"/>
          </w:rPr>
          <w:fldChar w:fldCharType="begin"/>
        </w:r>
        <w:r>
          <w:rPr>
            <w:rFonts w:hint="eastAsia"/>
          </w:rPr>
          <w:instrText xml:space="preserve"> </w:instrText>
        </w:r>
        <w:r>
          <w:instrText xml:space="preserve">PAGEREF _Toc227167505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785"/>
        <w:rPr>
          <w:rFonts w:hint="eastAsia" w:ascii="等线" w:hAnsi="等线" w:eastAsia="等线"/>
          <w:caps w:val="0"/>
          <w:sz w:val="22"/>
        </w:rPr>
      </w:pPr>
      <w:r/>
      <w:hyperlink w:tooltip="#_Toc227167522" w:anchor="_Toc227167522" w:history="1">
        <w:r>
          <w:rPr>
            <w:rStyle w:val="913"/>
            <w:rFonts w:hint="eastAsia" w:ascii="黑体" w:eastAsia="黑体"/>
            <w:bCs/>
            <w:color w:val="000000"/>
          </w:rPr>
          <w:t xml:space="preserve">第五章  </w:t>
        </w:r>
        <w:r>
          <w:rPr>
            <w:rStyle w:val="913"/>
            <w:rFonts w:hint="eastAsia" w:ascii="黑体" w:eastAsia="黑体"/>
            <w:b/>
            <w:bCs/>
            <w:color w:val="000000"/>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_Toc227167522 \h</w:instrText>
        </w:r>
        <w:r>
          <w:rPr>
            <w:rFonts w:hint="eastAsia"/>
          </w:rPr>
          <w:instrText xml:space="preserve"> </w:instrText>
        </w:r>
        <w:r>
          <w:rPr>
            <w:rFonts w:hint="eastAsia"/>
          </w:rPr>
        </w:r>
        <w:r>
          <w:rPr>
            <w:rFonts w:hint="eastAsia"/>
          </w:rPr>
          <w:fldChar w:fldCharType="separate"/>
        </w:r>
        <w:r>
          <w:rPr>
            <w:rFonts w:hint="eastAsia"/>
          </w:rPr>
          <w:t xml:space="preserve">74</w:t>
        </w:r>
        <w:r>
          <w:rPr>
            <w:rFonts w:hint="eastAsia"/>
          </w:rPr>
          <w:fldChar w:fldCharType="end"/>
        </w:r>
      </w:hyperlink>
      <w:r/>
      <w:r/>
    </w:p>
    <w:p>
      <w:pPr>
        <w:pStyle w:val="785"/>
        <w:rPr>
          <w:rFonts w:hint="eastAsia" w:ascii="等线" w:hAnsi="等线" w:eastAsia="等线"/>
          <w:caps w:val="0"/>
          <w:sz w:val="22"/>
        </w:rPr>
      </w:pPr>
      <w:r/>
      <w:hyperlink w:tooltip="#_Toc227167523" w:anchor="_Toc227167523" w:history="1">
        <w:r>
          <w:rPr>
            <w:rStyle w:val="913"/>
            <w:rFonts w:hint="eastAsia" w:ascii="黑体" w:eastAsia="黑体"/>
            <w:bCs/>
            <w:color w:val="000000"/>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_Toc227167523 \h</w:instrText>
        </w:r>
        <w:r>
          <w:rPr>
            <w:rFonts w:hint="eastAsia"/>
          </w:rPr>
          <w:instrText xml:space="preserve"> </w:instrText>
        </w:r>
        <w:r>
          <w:rPr>
            <w:rFonts w:hint="eastAsia"/>
          </w:rPr>
        </w:r>
        <w:r>
          <w:rPr>
            <w:rFonts w:hint="eastAsia"/>
          </w:rPr>
          <w:fldChar w:fldCharType="separate"/>
        </w:r>
        <w:r>
          <w:rPr>
            <w:rFonts w:hint="eastAsia"/>
          </w:rPr>
          <w:t xml:space="preserve">79</w:t>
        </w:r>
        <w:r>
          <w:rPr>
            <w:rFonts w:hint="eastAsia"/>
          </w:rPr>
          <w:fldChar w:fldCharType="end"/>
        </w:r>
      </w:hyperlink>
      <w:r/>
      <w:r/>
    </w:p>
    <w:p>
      <w:pPr>
        <w:rPr>
          <w:szCs w:val="21"/>
        </w:rPr>
      </w:pPr>
      <w:r>
        <w:rPr>
          <w:rFonts w:ascii="等线" w:hAnsi="等线" w:eastAsia="等线"/>
          <w:bCs/>
          <w:lang w:val="zh-CN"/>
        </w:rPr>
        <w:fldChar w:fldCharType="end"/>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ind w:firstLine="2640"/>
        <w:jc w:val="left"/>
        <w:keepNext/>
        <w:rPr>
          <w:rFonts w:ascii="黑体" w:eastAsia="黑体"/>
          <w:bCs/>
          <w:sz w:val="44"/>
          <w:szCs w:val="28"/>
        </w:rPr>
        <w:outlineLvl w:val="0"/>
      </w:pPr>
      <w:r/>
      <w:bookmarkStart w:id="10" w:name="_Toc227167481"/>
      <w:r>
        <w:rPr>
          <w:rFonts w:hint="eastAsia" w:ascii="黑体" w:eastAsia="黑体"/>
          <w:bCs/>
          <w:sz w:val="44"/>
          <w:szCs w:val="28"/>
        </w:rPr>
        <w:t xml:space="preserve">第一章  </w:t>
      </w:r>
      <w:bookmarkEnd w:id="1"/>
      <w:r>
        <w:rPr>
          <w:rFonts w:hint="eastAsia" w:ascii="黑体" w:eastAsia="黑体"/>
          <w:bCs/>
          <w:sz w:val="44"/>
          <w:szCs w:val="28"/>
        </w:rPr>
        <w:t xml:space="preserve">投标邀请</w:t>
      </w:r>
      <w:bookmarkEnd w:id="10"/>
      <w:r/>
      <w:r/>
    </w:p>
    <w:p>
      <w:pPr>
        <w:ind w:firstLine="480"/>
        <w:spacing w:line="400" w:lineRule="exact"/>
        <w:rPr>
          <w:rFonts w:hint="eastAsia" w:ascii="宋体" w:hAnsi="宋体"/>
          <w:sz w:val="24"/>
          <w:szCs w:val="24"/>
        </w:rPr>
      </w:pPr>
      <w:r>
        <w:rPr>
          <w:rFonts w:hint="eastAsia" w:ascii="宋体" w:hAnsi="宋体"/>
          <w:sz w:val="24"/>
          <w:szCs w:val="24"/>
        </w:rPr>
        <w:t xml:space="preserve">受</w:t>
      </w:r>
      <w:r>
        <w:rPr>
          <w:rFonts w:ascii="宋体" w:hAnsi="宋体"/>
          <w:sz w:val="24"/>
          <w:szCs w:val="24"/>
        </w:rPr>
        <w:t xml:space="preserve">南京医科大学</w:t>
      </w:r>
      <w:r>
        <w:rPr>
          <w:rFonts w:hint="eastAsia" w:ascii="宋体" w:hAnsi="宋体"/>
          <w:sz w:val="24"/>
          <w:szCs w:val="24"/>
        </w:rPr>
        <w:t xml:space="preserve">的委托，江苏省政府采购中心就</w:t>
      </w:r>
      <w:r>
        <w:rPr>
          <w:rFonts w:ascii="宋体" w:hAnsi="宋体"/>
          <w:sz w:val="24"/>
          <w:szCs w:val="24"/>
          <w:u w:val="single"/>
        </w:rPr>
        <w:t xml:space="preserve">南京医科大学电梯采购项目</w:t>
      </w:r>
      <w:r>
        <w:rPr>
          <w:rFonts w:hint="eastAsia" w:ascii="宋体" w:hAnsi="宋体"/>
          <w:sz w:val="24"/>
          <w:szCs w:val="24"/>
        </w:rPr>
        <w:t xml:space="preserve">(</w:t>
      </w:r>
      <w:r>
        <w:rPr>
          <w:rFonts w:ascii="宋体" w:hAnsi="宋体"/>
          <w:sz w:val="24"/>
          <w:szCs w:val="24"/>
        </w:rPr>
        <w:t xml:space="preserve">JSZC-320000-SCZX-G2026-0149</w:t>
      </w:r>
      <w:r>
        <w:rPr>
          <w:rFonts w:hint="eastAsia" w:ascii="宋体" w:hAnsi="宋体"/>
          <w:sz w:val="24"/>
          <w:szCs w:val="24"/>
        </w:rPr>
        <w:t xml:space="preserve">)项目进行公开招标采购，欢迎符合条件的供应商投标。</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ascii="宋体" w:hAnsi="宋体"/>
          <w:sz w:val="24"/>
          <w:szCs w:val="24"/>
          <w:u w:val="single"/>
        </w:rPr>
        <w:t xml:space="preserve">南京医科大学电梯采购项目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2026年5月</w:t>
      </w:r>
      <w:r>
        <w:rPr>
          <w:rFonts w:hint="eastAsia" w:ascii="宋体" w:hAnsi="宋体"/>
          <w:color w:val="ff0000"/>
          <w:sz w:val="24"/>
          <w:szCs w:val="24"/>
          <w:u w:val="single"/>
        </w:rPr>
        <w:t xml:space="preserve">26</w:t>
      </w:r>
      <w:r>
        <w:rPr>
          <w:rFonts w:hint="eastAsia" w:ascii="宋体" w:hAnsi="宋体"/>
          <w:sz w:val="24"/>
          <w:szCs w:val="24"/>
          <w:u w:val="single"/>
        </w:rPr>
        <w:t xml:space="preserve">日9</w:t>
      </w:r>
      <w:r>
        <w:rPr>
          <w:rFonts w:hint="eastAsia" w:ascii="宋体" w:hAnsi="宋体"/>
          <w:bCs/>
          <w:sz w:val="24"/>
          <w:szCs w:val="24"/>
          <w:u w:val="single"/>
        </w:rPr>
        <w:t xml:space="preserve">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498"/>
        <w:keepLines/>
        <w:keepNext/>
        <w:spacing w:before="156" w:after="156" w:line="400" w:lineRule="exact"/>
        <w:rPr>
          <w:b/>
          <w:bCs/>
          <w:sz w:val="32"/>
          <w:szCs w:val="32"/>
        </w:rPr>
        <w:outlineLvl w:val="2"/>
      </w:pPr>
      <w:r/>
      <w:bookmarkStart w:id="11" w:name="_Toc28359002"/>
      <w:r/>
      <w:bookmarkStart w:id="12" w:name="_Toc227167482"/>
      <w:r/>
      <w:bookmarkStart w:id="13" w:name="_Toc38985263"/>
      <w:r/>
      <w:bookmarkStart w:id="14" w:name="_Toc35393790"/>
      <w:r/>
      <w:bookmarkStart w:id="15" w:name="_Toc35393621"/>
      <w:r/>
      <w:bookmarkStart w:id="16" w:name="_Toc28359079"/>
      <w:r/>
      <w:bookmarkStart w:id="17" w:name="_Hlk24379207"/>
      <w:r>
        <w:rPr>
          <w:rFonts w:hint="eastAsia"/>
          <w:b/>
          <w:bCs/>
          <w:sz w:val="32"/>
          <w:szCs w:val="32"/>
        </w:rPr>
        <w:t xml:space="preserve">一、项目基本情况</w:t>
      </w:r>
      <w:bookmarkEnd w:id="11"/>
      <w:r/>
      <w:bookmarkEnd w:id="12"/>
      <w:r/>
      <w:bookmarkEnd w:id="13"/>
      <w:r/>
      <w:bookmarkEnd w:id="14"/>
      <w:r/>
      <w:bookmarkEnd w:id="15"/>
      <w:r/>
      <w:bookmarkEnd w:id="16"/>
      <w:r/>
      <w:r/>
    </w:p>
    <w:p>
      <w:pPr>
        <w:ind w:firstLine="480"/>
        <w:spacing w:line="400" w:lineRule="exact"/>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JSZC-320000-SCZX-G2026-0149</w:t>
      </w:r>
      <w:r/>
    </w:p>
    <w:p>
      <w:pPr>
        <w:ind w:firstLine="480"/>
        <w:spacing w:line="400" w:lineRule="exact"/>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南京医科大学电梯采购项目</w:t>
      </w:r>
      <w:bookmarkEnd w:id="17"/>
      <w:r/>
      <w:r/>
    </w:p>
    <w:p>
      <w:pPr>
        <w:ind w:firstLine="480"/>
        <w:spacing w:line="400" w:lineRule="exact"/>
        <w:rPr>
          <w:rFonts w:hint="eastAsia" w:ascii="宋体" w:hAnsi="宋体"/>
          <w:sz w:val="24"/>
          <w:szCs w:val="24"/>
        </w:rPr>
      </w:pPr>
      <w:r>
        <w:rPr>
          <w:rFonts w:hint="eastAsia" w:ascii="宋体" w:hAnsi="宋体"/>
          <w:sz w:val="24"/>
          <w:szCs w:val="24"/>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tblGrid>
      <w:tr>
        <w:trPr/>
        <w:tc>
          <w:tcPr>
            <w:tcW w:w="1148"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360</w:t>
            </w:r>
            <w:r>
              <w:rPr>
                <w:rFonts w:ascii="宋体" w:hAnsi="宋体"/>
                <w:sz w:val="24"/>
                <w:szCs w:val="24"/>
              </w:rPr>
              <w:t xml:space="preserve">万元</w:t>
            </w:r>
            <w:r/>
          </w:p>
        </w:tc>
      </w:tr>
    </w:tbl>
    <w:p>
      <w:pPr>
        <w:ind w:firstLine="480"/>
        <w:spacing w:line="400" w:lineRule="exact"/>
        <w:rPr>
          <w:rFonts w:hint="eastAsia"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：320万元</w:t>
      </w:r>
      <w:r/>
    </w:p>
    <w:p>
      <w:pPr>
        <w:ind w:firstLine="480"/>
        <w:spacing w:line="400" w:lineRule="exact"/>
        <w:rPr>
          <w:rFonts w:hint="eastAsia" w:ascii="宋体" w:hAnsi="宋体"/>
          <w:sz w:val="24"/>
          <w:szCs w:val="24"/>
          <w:u w:val="single"/>
        </w:rPr>
      </w:pPr>
      <w:r>
        <w:rPr>
          <w:rFonts w:hint="eastAsia" w:ascii="宋体" w:hAnsi="宋体"/>
          <w:sz w:val="24"/>
          <w:szCs w:val="24"/>
        </w:rPr>
        <w:t xml:space="preserve">5.采购需求(简介)：本项目拟对南京医科大学江宁校区、五台校区两个校区部分电梯进行更换，其中江宁校区7台（药学院2台、逸夫楼1台、博学楼1台、学生食堂1台、图书馆2台）、五台校区7台（研究生公寓4台、留学生公寓2台、学生食堂1台）。现需报废更换两个校区14台电梯。</w:t>
      </w:r>
      <w:r>
        <w:rPr>
          <w:rFonts w:hint="eastAsia" w:ascii="宋体" w:hAnsi="宋体" w:cs="宋体"/>
          <w:sz w:val="24"/>
          <w:szCs w:val="24"/>
        </w:rPr>
        <w:t xml:space="preserve">（详细内容见本招标文件第四章）</w:t>
      </w:r>
      <w:r/>
    </w:p>
    <w:p>
      <w:pPr>
        <w:ind w:firstLine="480"/>
        <w:spacing w:line="400" w:lineRule="exact"/>
        <w:rPr>
          <w:rFonts w:hint="eastAsia" w:ascii="宋体" w:hAnsi="宋体" w:cs="宋体"/>
          <w:sz w:val="24"/>
          <w:szCs w:val="24"/>
        </w:rPr>
      </w:pPr>
      <w:r>
        <w:rPr>
          <w:rFonts w:hint="eastAsia" w:ascii="宋体" w:hAnsi="宋体"/>
          <w:sz w:val="24"/>
          <w:szCs w:val="24"/>
        </w:rPr>
        <w:t xml:space="preserve">6.合同履行期限：合同签订后分两批次交货，第一批次75天内完工，第二批次90天内完成，总工期不超过90天；质保期不少于</w:t>
      </w:r>
      <w:r>
        <w:rPr>
          <w:rFonts w:hint="eastAsia" w:ascii="宋体" w:hAnsi="宋体"/>
          <w:sz w:val="24"/>
          <w:szCs w:val="24"/>
          <w:u w:val="single"/>
        </w:rPr>
        <w:t xml:space="preserve">2</w:t>
      </w:r>
      <w:r>
        <w:rPr>
          <w:rFonts w:hint="eastAsia" w:ascii="宋体" w:hAnsi="宋体"/>
          <w:sz w:val="24"/>
          <w:szCs w:val="24"/>
        </w:rPr>
        <w:t xml:space="preserve">年、维保期不少于</w:t>
      </w:r>
      <w:r>
        <w:rPr>
          <w:rFonts w:hint="eastAsia" w:ascii="宋体" w:hAnsi="宋体"/>
          <w:sz w:val="24"/>
          <w:szCs w:val="24"/>
          <w:u w:val="single"/>
        </w:rPr>
        <w:t xml:space="preserve">2</w:t>
      </w:r>
      <w:r>
        <w:rPr>
          <w:rFonts w:hint="eastAsia" w:ascii="宋体" w:hAnsi="宋体"/>
          <w:sz w:val="24"/>
          <w:szCs w:val="24"/>
        </w:rPr>
        <w:t xml:space="preserve">年。</w:t>
      </w:r>
      <w:r/>
    </w:p>
    <w:p>
      <w:pPr>
        <w:ind w:firstLine="498"/>
        <w:keepLines/>
        <w:keepNext/>
        <w:spacing w:before="156" w:after="156" w:line="360" w:lineRule="auto"/>
        <w:rPr>
          <w:b/>
          <w:bCs/>
          <w:sz w:val="32"/>
          <w:szCs w:val="32"/>
        </w:rPr>
        <w:outlineLvl w:val="2"/>
      </w:pPr>
      <w:r/>
      <w:bookmarkStart w:id="18" w:name="_Toc35393622"/>
      <w:r/>
      <w:bookmarkStart w:id="19" w:name="_Toc28359003"/>
      <w:r/>
      <w:bookmarkStart w:id="20" w:name="_Toc227167483"/>
      <w:r/>
      <w:bookmarkStart w:id="21" w:name="_Toc38985264"/>
      <w:r/>
      <w:bookmarkStart w:id="22" w:name="_Toc35393791"/>
      <w:r/>
      <w:bookmarkStart w:id="23" w:name="_Toc28359080"/>
      <w:r>
        <w:rPr>
          <w:rFonts w:hint="eastAsia"/>
          <w:b/>
          <w:bCs/>
          <w:sz w:val="32"/>
          <w:szCs w:val="32"/>
        </w:rPr>
        <w:t xml:space="preserve">二、申请人的资格要求</w:t>
      </w:r>
      <w:bookmarkEnd w:id="18"/>
      <w:r/>
      <w:bookmarkEnd w:id="19"/>
      <w:r/>
      <w:bookmarkEnd w:id="20"/>
      <w:r/>
      <w:bookmarkEnd w:id="21"/>
      <w:r/>
      <w:bookmarkEnd w:id="22"/>
      <w:r/>
      <w:bookmarkEnd w:id="23"/>
      <w:r/>
      <w:r/>
    </w:p>
    <w:p>
      <w:pPr>
        <w:ind w:firstLine="560"/>
        <w:spacing w:line="400" w:lineRule="exact"/>
        <w:rPr>
          <w:rFonts w:hint="eastAsia" w:ascii="宋体" w:hAnsi="宋体"/>
          <w:sz w:val="28"/>
          <w:szCs w:val="28"/>
        </w:rPr>
      </w:pPr>
      <w:r/>
      <w:bookmarkStart w:id="24" w:name="_Toc28359004"/>
      <w:r/>
      <w:bookmarkStart w:id="25" w:name="_Toc35393792"/>
      <w:r/>
      <w:bookmarkStart w:id="26" w:name="_Toc28359081"/>
      <w:r/>
      <w:bookmarkStart w:id="27" w:name="_Toc38985265"/>
      <w:r/>
      <w:bookmarkStart w:id="28" w:name="_Toc35393623"/>
      <w:r>
        <w:rPr>
          <w:rFonts w:hint="eastAsia" w:ascii="宋体" w:hAnsi="宋体"/>
          <w:sz w:val="28"/>
          <w:szCs w:val="28"/>
        </w:rPr>
        <w:t xml:space="preserve">（一</w:t>
      </w:r>
      <w:r>
        <w:rPr>
          <w:rFonts w:ascii="宋体" w:hAnsi="宋体"/>
          <w:sz w:val="28"/>
          <w:szCs w:val="28"/>
        </w:rPr>
        <w:t xml:space="preserve">）</w:t>
      </w:r>
      <w:r>
        <w:rPr>
          <w:rFonts w:hint="eastAsia" w:ascii="宋体" w:hAnsi="宋体"/>
          <w:sz w:val="28"/>
          <w:szCs w:val="28"/>
        </w:rPr>
        <w:t xml:space="preserve">通用</w:t>
      </w:r>
      <w:r>
        <w:rPr>
          <w:rFonts w:ascii="宋体" w:hAnsi="宋体"/>
          <w:sz w:val="28"/>
          <w:szCs w:val="28"/>
        </w:rPr>
        <w:t xml:space="preserve">资格要求</w:t>
      </w:r>
      <w:r/>
    </w:p>
    <w:p>
      <w:pPr>
        <w:ind w:firstLine="480"/>
        <w:spacing w:line="40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hint="eastAsia" w:ascii="宋体" w:hAnsi="宋体"/>
          <w:sz w:val="24"/>
          <w:szCs w:val="24"/>
        </w:rPr>
      </w:pPr>
      <w:r>
        <w:rPr>
          <w:rFonts w:hint="eastAsia" w:ascii="宋体" w:hAnsi="宋体"/>
          <w:sz w:val="24"/>
          <w:szCs w:val="24"/>
        </w:rPr>
        <w:t xml:space="preserve">1.2 2024或者2025年度的财务状况报告（成立不满一年无需提供）；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296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296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否</w:t>
            </w:r>
            <w:r/>
          </w:p>
        </w:tc>
        <w:tc>
          <w:tcPr>
            <w:tcW w:w="296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w:t>
            </w:r>
            <w:r/>
          </w:p>
        </w:tc>
      </w:tr>
    </w:tbl>
    <w:p>
      <w:pPr>
        <w:ind w:firstLine="560"/>
        <w:spacing w:line="400" w:lineRule="exact"/>
        <w:rPr>
          <w:rFonts w:hint="eastAsia" w:ascii="宋体" w:hAnsi="宋体"/>
          <w:sz w:val="28"/>
          <w:szCs w:val="28"/>
        </w:rPr>
      </w:pPr>
      <w:r>
        <w:rPr>
          <w:rFonts w:hint="eastAsia" w:ascii="宋体" w:hAnsi="宋体"/>
          <w:sz w:val="28"/>
          <w:szCs w:val="28"/>
        </w:rPr>
        <w:t xml:space="preserve">（二）本项目的特定资格要求：</w:t>
      </w:r>
      <w:r/>
    </w:p>
    <w:p>
      <w:pPr>
        <w:ind w:firstLine="480"/>
        <w:spacing w:line="400" w:lineRule="exact"/>
        <w:rPr>
          <w:rFonts w:hint="eastAsia" w:ascii="宋体" w:hAnsi="宋体"/>
          <w:sz w:val="24"/>
          <w:szCs w:val="24"/>
        </w:rPr>
      </w:pPr>
      <w:r>
        <w:rPr>
          <w:rFonts w:hint="eastAsia" w:ascii="宋体" w:hAnsi="宋体"/>
          <w:sz w:val="24"/>
          <w:szCs w:val="24"/>
        </w:rPr>
        <w:t xml:space="preserve">1.若投标人是制造商，须满足以下条件之一，并上</w:t>
      </w:r>
      <w:r>
        <w:rPr>
          <w:rFonts w:hint="eastAsia" w:ascii="宋体" w:hAnsi="宋体"/>
          <w:sz w:val="24"/>
          <w:szCs w:val="24"/>
        </w:rPr>
        <w:t xml:space="preserve">传有效</w:t>
      </w:r>
      <w:r>
        <w:rPr>
          <w:rFonts w:hint="eastAsia" w:ascii="宋体" w:hAnsi="宋体"/>
          <w:sz w:val="24"/>
          <w:szCs w:val="24"/>
        </w:rPr>
        <w:t xml:space="preserve">证书</w:t>
      </w:r>
      <w:r>
        <w:rPr>
          <w:rFonts w:hint="eastAsia" w:ascii="宋体" w:hAnsi="宋体"/>
          <w:sz w:val="24"/>
          <w:szCs w:val="24"/>
        </w:rPr>
        <w:t xml:space="preserve">扫描件至投标</w:t>
      </w:r>
      <w:r>
        <w:rPr>
          <w:rFonts w:hint="eastAsia" w:ascii="宋体" w:hAnsi="宋体"/>
          <w:sz w:val="24"/>
          <w:szCs w:val="24"/>
        </w:rPr>
        <w:t xml:space="preserve">系统：</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cs="宋体"/>
          <w:sz w:val="24"/>
          <w:szCs w:val="24"/>
        </w:rPr>
        <w:t xml:space="preserve">持有有效期内的《中华人民共和国特种设备生产许可证》（电梯），许可项目包含</w:t>
      </w:r>
      <w:r>
        <w:rPr>
          <w:rStyle w:val="908"/>
          <w:rFonts w:ascii="宋体" w:hAnsi="宋体" w:cs="宋体"/>
          <w:b w:val="0"/>
          <w:bCs w:val="0"/>
          <w:sz w:val="24"/>
          <w:szCs w:val="24"/>
        </w:rPr>
        <w:t xml:space="preserve">电梯制造</w:t>
      </w:r>
      <w:r>
        <w:rPr>
          <w:rFonts w:ascii="宋体" w:hAnsi="宋体" w:cs="宋体"/>
          <w:sz w:val="24"/>
          <w:szCs w:val="24"/>
        </w:rPr>
        <w:t xml:space="preserve">，且等级为</w:t>
      </w:r>
      <w:r>
        <w:rPr>
          <w:rStyle w:val="908"/>
          <w:rFonts w:ascii="宋体" w:hAnsi="宋体" w:cs="宋体"/>
          <w:b w:val="0"/>
          <w:bCs w:val="0"/>
          <w:sz w:val="24"/>
          <w:szCs w:val="24"/>
        </w:rPr>
        <w:t xml:space="preserve">B级及以上</w:t>
      </w:r>
      <w:r>
        <w:rPr>
          <w:rFonts w:ascii="宋体" w:hAnsi="宋体" w:cs="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cs="宋体"/>
          <w:sz w:val="24"/>
          <w:szCs w:val="24"/>
        </w:rPr>
        <w:t xml:space="preserve">持有有效期内的《中华人民共和国特种设备生产许可证》（电梯），许可项目包含</w:t>
      </w:r>
      <w:r>
        <w:rPr>
          <w:rStyle w:val="908"/>
          <w:rFonts w:ascii="宋体" w:hAnsi="宋体" w:cs="宋体"/>
          <w:b w:val="0"/>
          <w:bCs w:val="0"/>
          <w:sz w:val="24"/>
          <w:szCs w:val="24"/>
        </w:rPr>
        <w:t xml:space="preserve">电梯制造（含安装、修理、改造）</w:t>
      </w:r>
      <w:r>
        <w:rPr>
          <w:rFonts w:ascii="宋体" w:hAnsi="宋体" w:cs="宋体"/>
          <w:sz w:val="24"/>
          <w:szCs w:val="24"/>
        </w:rPr>
        <w:t xml:space="preserve">，且等级为</w:t>
      </w:r>
      <w:r>
        <w:rPr>
          <w:rStyle w:val="908"/>
          <w:rFonts w:ascii="宋体" w:hAnsi="宋体" w:cs="宋体"/>
          <w:b w:val="0"/>
          <w:bCs w:val="0"/>
          <w:sz w:val="24"/>
          <w:szCs w:val="24"/>
        </w:rPr>
        <w:t xml:space="preserve">B级及以上</w:t>
      </w:r>
      <w:r>
        <w:rPr>
          <w:rFonts w:ascii="宋体" w:hAnsi="宋体" w:cs="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2.若投标人是代理商，须同时满足以下条件，并上</w:t>
      </w:r>
      <w:r>
        <w:rPr>
          <w:rFonts w:hint="eastAsia" w:ascii="宋体" w:hAnsi="宋体"/>
          <w:sz w:val="24"/>
          <w:szCs w:val="24"/>
        </w:rPr>
        <w:t xml:space="preserve">传有效</w:t>
      </w:r>
      <w:r>
        <w:rPr>
          <w:rFonts w:hint="eastAsia" w:ascii="宋体" w:hAnsi="宋体"/>
          <w:sz w:val="24"/>
          <w:szCs w:val="24"/>
        </w:rPr>
        <w:t xml:space="preserve">证书</w:t>
      </w:r>
      <w:r>
        <w:rPr>
          <w:rFonts w:hint="eastAsia" w:ascii="宋体" w:hAnsi="宋体"/>
          <w:sz w:val="24"/>
          <w:szCs w:val="24"/>
        </w:rPr>
        <w:t xml:space="preserve">扫描件至投标</w:t>
      </w:r>
      <w:r>
        <w:rPr>
          <w:rFonts w:hint="eastAsia" w:ascii="宋体" w:hAnsi="宋体"/>
          <w:sz w:val="24"/>
          <w:szCs w:val="24"/>
        </w:rPr>
        <w:t xml:space="preserve">系统：</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cs="宋体"/>
          <w:sz w:val="24"/>
          <w:szCs w:val="24"/>
        </w:rPr>
        <w:t xml:space="preserve">提供所代理电梯制造商的有效资质，满足下列之一：</w:t>
      </w:r>
      <w:r>
        <w:rPr>
          <w:rFonts w:hint="eastAsia" w:ascii="宋体" w:hAnsi="宋体" w:cs="宋体"/>
          <w:sz w:val="24"/>
          <w:szCs w:val="24"/>
        </w:rPr>
        <w:t xml:space="preserve">1、</w:t>
      </w:r>
      <w:r>
        <w:rPr>
          <w:rFonts w:ascii="宋体" w:hAnsi="宋体" w:cs="宋体"/>
          <w:sz w:val="24"/>
          <w:szCs w:val="24"/>
        </w:rPr>
        <w:t xml:space="preserve">有效期内的《中华人民共和国特种设备生产许可证》（电梯），许可项目包含</w:t>
      </w:r>
      <w:r>
        <w:rPr>
          <w:rStyle w:val="908"/>
          <w:rFonts w:ascii="宋体" w:hAnsi="宋体" w:cs="宋体"/>
          <w:b w:val="0"/>
          <w:bCs w:val="0"/>
          <w:sz w:val="24"/>
          <w:szCs w:val="24"/>
        </w:rPr>
        <w:t xml:space="preserve">电梯制造</w:t>
      </w:r>
      <w:r>
        <w:rPr>
          <w:rFonts w:ascii="宋体" w:hAnsi="宋体" w:cs="宋体"/>
          <w:sz w:val="24"/>
          <w:szCs w:val="24"/>
        </w:rPr>
        <w:t xml:space="preserve">，且等级为</w:t>
      </w:r>
      <w:r>
        <w:rPr>
          <w:rStyle w:val="908"/>
          <w:rFonts w:ascii="宋体" w:hAnsi="宋体" w:cs="宋体"/>
          <w:b w:val="0"/>
          <w:bCs w:val="0"/>
          <w:sz w:val="24"/>
          <w:szCs w:val="24"/>
        </w:rPr>
        <w:t xml:space="preserve">B级及以上</w:t>
      </w: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有效期内的《中华人民共和国特种设备生产许可证》（电梯），许可项目包含</w:t>
      </w:r>
      <w:r>
        <w:rPr>
          <w:rStyle w:val="908"/>
          <w:rFonts w:ascii="宋体" w:hAnsi="宋体" w:cs="宋体"/>
          <w:b w:val="0"/>
          <w:bCs w:val="0"/>
          <w:sz w:val="24"/>
          <w:szCs w:val="24"/>
        </w:rPr>
        <w:t xml:space="preserve">电梯制造（含安装、修理、改造）</w:t>
      </w:r>
      <w:r>
        <w:rPr>
          <w:rFonts w:ascii="宋体" w:hAnsi="宋体" w:cs="宋体"/>
          <w:sz w:val="24"/>
          <w:szCs w:val="24"/>
        </w:rPr>
        <w:t xml:space="preserve">，且等级为</w:t>
      </w:r>
      <w:r>
        <w:rPr>
          <w:rStyle w:val="908"/>
          <w:rFonts w:ascii="宋体" w:hAnsi="宋体" w:cs="宋体"/>
          <w:b w:val="0"/>
          <w:bCs w:val="0"/>
          <w:sz w:val="24"/>
          <w:szCs w:val="24"/>
        </w:rPr>
        <w:t xml:space="preserve">B级及以上</w:t>
      </w:r>
      <w:r>
        <w:rPr>
          <w:rFonts w:ascii="宋体" w:hAnsi="宋体" w:cs="宋体"/>
          <w:sz w:val="24"/>
          <w:szCs w:val="24"/>
        </w:rPr>
        <w:t xml:space="preserve">；</w:t>
      </w:r>
      <w:r/>
    </w:p>
    <w:p>
      <w:pPr>
        <w:ind w:firstLine="480"/>
        <w:spacing w:line="400" w:lineRule="exact"/>
      </w:pPr>
      <w:r>
        <w:rPr>
          <w:rFonts w:hint="eastAsia" w:ascii="宋体" w:hAnsi="宋体"/>
          <w:sz w:val="24"/>
          <w:szCs w:val="24"/>
        </w:rPr>
        <w:t xml:space="preserve">（2）</w:t>
      </w:r>
      <w:r>
        <w:rPr>
          <w:rFonts w:ascii="宋体" w:hAnsi="宋体" w:cs="宋体"/>
          <w:sz w:val="24"/>
          <w:szCs w:val="24"/>
        </w:rPr>
        <w:t xml:space="preserve">投标人自身具有有效期内的《中华人民共和国特种设备生产许可证》（电梯），许可项目包含</w:t>
      </w:r>
      <w:r>
        <w:rPr>
          <w:rStyle w:val="908"/>
          <w:rFonts w:ascii="宋体" w:hAnsi="宋体" w:cs="宋体"/>
          <w:b w:val="0"/>
          <w:bCs w:val="0"/>
          <w:sz w:val="24"/>
          <w:szCs w:val="24"/>
        </w:rPr>
        <w:t xml:space="preserve">电梯安装（含修理）</w:t>
      </w:r>
      <w:r>
        <w:rPr>
          <w:rFonts w:ascii="宋体" w:hAnsi="宋体" w:cs="宋体"/>
          <w:sz w:val="24"/>
          <w:szCs w:val="24"/>
        </w:rPr>
        <w:t xml:space="preserve">，且等级为</w:t>
      </w:r>
      <w:r>
        <w:rPr>
          <w:rStyle w:val="908"/>
          <w:rFonts w:ascii="宋体" w:hAnsi="宋体" w:cs="宋体"/>
          <w:b w:val="0"/>
          <w:bCs w:val="0"/>
          <w:sz w:val="24"/>
          <w:szCs w:val="24"/>
        </w:rPr>
        <w:t xml:space="preserve">B级及以上</w:t>
      </w:r>
      <w:r>
        <w:rPr>
          <w:rFonts w:ascii="宋体" w:hAnsi="宋体" w:cs="宋体"/>
          <w:sz w:val="24"/>
          <w:szCs w:val="24"/>
        </w:rPr>
        <w:t xml:space="preserve">。</w:t>
      </w:r>
      <w:r/>
    </w:p>
    <w:p>
      <w:pPr>
        <w:ind w:firstLine="498"/>
        <w:keepLines/>
        <w:keepNext/>
        <w:spacing w:before="156" w:after="156" w:line="360" w:lineRule="auto"/>
        <w:rPr>
          <w:b/>
          <w:bCs/>
          <w:sz w:val="32"/>
          <w:szCs w:val="32"/>
        </w:rPr>
        <w:outlineLvl w:val="2"/>
      </w:pPr>
      <w:r/>
      <w:bookmarkStart w:id="29" w:name="_Toc227167484"/>
      <w:r>
        <w:rPr>
          <w:rFonts w:hint="eastAsia"/>
          <w:b/>
          <w:bCs/>
          <w:sz w:val="32"/>
          <w:szCs w:val="32"/>
        </w:rPr>
        <w:t xml:space="preserve">三、获取招标文件</w:t>
      </w:r>
      <w:bookmarkEnd w:id="29"/>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2.方式：在“江苏政府采购网”自行免费下载招标文件。</w:t>
      </w:r>
      <w:r/>
    </w:p>
    <w:p>
      <w:pPr>
        <w:ind w:firstLine="498"/>
        <w:keepLines/>
        <w:keepNext/>
        <w:spacing w:before="156" w:after="156" w:line="400" w:lineRule="exact"/>
        <w:rPr>
          <w:b/>
          <w:bCs/>
          <w:sz w:val="32"/>
          <w:szCs w:val="32"/>
        </w:rPr>
        <w:outlineLvl w:val="2"/>
      </w:pPr>
      <w:r/>
      <w:bookmarkStart w:id="30" w:name="_Toc28359082"/>
      <w:r/>
      <w:bookmarkStart w:id="31" w:name="_Toc28359005"/>
      <w:r/>
      <w:bookmarkStart w:id="32" w:name="_Toc38985266"/>
      <w:r/>
      <w:bookmarkStart w:id="33" w:name="_Toc35393624"/>
      <w:r/>
      <w:bookmarkStart w:id="34" w:name="_Toc35393793"/>
      <w:r/>
      <w:bookmarkStart w:id="35" w:name="_Toc227167485"/>
      <w:r/>
      <w:bookmarkEnd w:id="24"/>
      <w:r/>
      <w:bookmarkEnd w:id="25"/>
      <w:r/>
      <w:bookmarkEnd w:id="26"/>
      <w:r/>
      <w:bookmarkEnd w:id="27"/>
      <w:r/>
      <w:bookmarkEnd w:id="28"/>
      <w:r>
        <w:rPr>
          <w:rFonts w:hint="eastAsia"/>
          <w:b/>
          <w:bCs/>
          <w:sz w:val="32"/>
          <w:szCs w:val="32"/>
        </w:rPr>
        <w:t xml:space="preserve">四、提交投标文件</w:t>
      </w:r>
      <w:bookmarkEnd w:id="30"/>
      <w:r/>
      <w:bookmarkEnd w:id="31"/>
      <w:r>
        <w:rPr>
          <w:rFonts w:hint="eastAsia"/>
          <w:b/>
          <w:bCs/>
          <w:sz w:val="32"/>
          <w:szCs w:val="32"/>
        </w:rPr>
        <w:t xml:space="preserve">截止时间、开标时间和地点</w:t>
      </w:r>
      <w:bookmarkEnd w:id="32"/>
      <w:r/>
      <w:bookmarkEnd w:id="33"/>
      <w:r/>
      <w:bookmarkEnd w:id="34"/>
      <w:r/>
      <w:bookmarkEnd w:id="35"/>
      <w:r/>
      <w:r/>
    </w:p>
    <w:p>
      <w:pPr>
        <w:ind w:firstLine="480"/>
        <w:spacing w:line="400" w:lineRule="exact"/>
        <w:rPr>
          <w:rFonts w:hint="eastAsia" w:ascii="宋体" w:hAnsi="宋体"/>
          <w:bCs/>
          <w:sz w:val="24"/>
          <w:szCs w:val="24"/>
          <w:u w:val="single"/>
        </w:rPr>
      </w:pPr>
      <w:r>
        <w:rPr>
          <w:rFonts w:hint="eastAsia" w:ascii="宋体" w:hAnsi="宋体"/>
          <w:bCs/>
          <w:sz w:val="24"/>
          <w:szCs w:val="24"/>
        </w:rPr>
        <w:t xml:space="preserve">1.</w:t>
      </w:r>
      <w:r>
        <w:rPr>
          <w:rFonts w:hint="eastAsia" w:ascii="宋体" w:hAnsi="宋体"/>
          <w:sz w:val="24"/>
          <w:szCs w:val="24"/>
          <w:u w:val="single"/>
        </w:rPr>
        <w:t xml:space="preserve"> 2026年5月</w:t>
      </w:r>
      <w:r>
        <w:rPr>
          <w:rFonts w:hint="eastAsia" w:ascii="宋体" w:hAnsi="宋体"/>
          <w:color w:val="ff0000"/>
          <w:sz w:val="24"/>
          <w:szCs w:val="24"/>
          <w:u w:val="single"/>
        </w:rPr>
        <w:t xml:space="preserve">26</w:t>
      </w:r>
      <w:r>
        <w:rPr>
          <w:rFonts w:hint="eastAsia" w:ascii="宋体" w:hAnsi="宋体"/>
          <w:sz w:val="24"/>
          <w:szCs w:val="24"/>
          <w:u w:val="single"/>
        </w:rPr>
        <w:t xml:space="preserve">日9</w:t>
      </w:r>
      <w:r>
        <w:rPr>
          <w:rFonts w:hint="eastAsia" w:ascii="宋体" w:hAnsi="宋体"/>
          <w:bCs/>
          <w:sz w:val="24"/>
          <w:szCs w:val="24"/>
          <w:u w:val="single"/>
        </w:rPr>
        <w:t xml:space="preserve">点30分</w:t>
      </w:r>
      <w:r>
        <w:rPr>
          <w:rFonts w:hint="eastAsia" w:ascii="宋体" w:hAnsi="宋体"/>
          <w:bCs/>
          <w:sz w:val="24"/>
          <w:szCs w:val="24"/>
        </w:rPr>
        <w:t xml:space="preserve">（北京时间）。</w:t>
      </w:r>
      <w:r/>
    </w:p>
    <w:p>
      <w:pPr>
        <w:ind w:firstLine="480"/>
        <w:spacing w:line="400" w:lineRule="exact"/>
        <w:rPr>
          <w:rFonts w:hint="eastAsia" w:ascii="宋体" w:hAnsi="宋体"/>
          <w:sz w:val="24"/>
          <w:szCs w:val="24"/>
        </w:rPr>
      </w:pPr>
      <w:r>
        <w:rPr>
          <w:rFonts w:hint="eastAsia" w:ascii="宋体" w:hAnsi="宋体"/>
          <w:sz w:val="24"/>
          <w:szCs w:val="24"/>
        </w:rPr>
        <w:t xml:space="preserve">2.地点：“苏</w:t>
      </w:r>
      <w:r>
        <w:rPr>
          <w:rFonts w:hint="eastAsia" w:ascii="宋体" w:hAnsi="宋体"/>
          <w:sz w:val="24"/>
          <w:szCs w:val="24"/>
        </w:rPr>
        <w:t xml:space="preserve">采云</w:t>
      </w:r>
      <w:r>
        <w:rPr>
          <w:rFonts w:hint="eastAsia" w:ascii="宋体" w:hAnsi="宋体"/>
          <w:sz w:val="24"/>
          <w:szCs w:val="24"/>
        </w:rPr>
        <w:t xml:space="preserve">”政府采购交易系统。</w:t>
      </w:r>
      <w:r/>
    </w:p>
    <w:p>
      <w:pPr>
        <w:ind w:firstLine="498"/>
        <w:keepLines/>
        <w:keepNext/>
        <w:spacing w:before="156" w:after="156" w:line="360" w:lineRule="auto"/>
        <w:rPr>
          <w:b/>
          <w:bCs/>
          <w:sz w:val="32"/>
          <w:szCs w:val="32"/>
        </w:rPr>
        <w:outlineLvl w:val="2"/>
      </w:pPr>
      <w:r/>
      <w:bookmarkStart w:id="36" w:name="_Toc227167486"/>
      <w:r/>
      <w:bookmarkStart w:id="37" w:name="_Toc35393794"/>
      <w:r/>
      <w:bookmarkStart w:id="38" w:name="_Toc28359007"/>
      <w:r/>
      <w:bookmarkStart w:id="39" w:name="_Toc38985267"/>
      <w:r/>
      <w:bookmarkStart w:id="40" w:name="_Toc28359084"/>
      <w:r/>
      <w:bookmarkStart w:id="41" w:name="_Toc35393625"/>
      <w:r>
        <w:rPr>
          <w:rFonts w:hint="eastAsia"/>
          <w:b/>
          <w:bCs/>
          <w:sz w:val="32"/>
          <w:szCs w:val="32"/>
        </w:rPr>
        <w:t xml:space="preserve">五、公告期限</w:t>
      </w:r>
      <w:bookmarkEnd w:id="36"/>
      <w:r/>
      <w:bookmarkEnd w:id="37"/>
      <w:r/>
      <w:bookmarkEnd w:id="38"/>
      <w:r/>
      <w:bookmarkEnd w:id="39"/>
      <w:r/>
      <w:bookmarkEnd w:id="40"/>
      <w:r/>
      <w:bookmarkEnd w:id="41"/>
      <w:r/>
      <w:r/>
    </w:p>
    <w:p>
      <w:pPr>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ind w:firstLine="498"/>
        <w:keepLines/>
        <w:keepNext/>
        <w:spacing w:before="156" w:after="156" w:line="400" w:lineRule="exact"/>
        <w:rPr>
          <w:b/>
          <w:bCs/>
          <w:sz w:val="32"/>
          <w:szCs w:val="32"/>
        </w:rPr>
        <w:outlineLvl w:val="2"/>
      </w:pPr>
      <w:r/>
      <w:bookmarkStart w:id="42" w:name="_Toc38985268"/>
      <w:r/>
      <w:bookmarkStart w:id="43" w:name="_Toc35393795"/>
      <w:r/>
      <w:bookmarkStart w:id="44" w:name="_Toc35393626"/>
      <w:r/>
      <w:bookmarkStart w:id="45" w:name="_Toc227167487"/>
      <w:r>
        <w:rPr>
          <w:rFonts w:hint="eastAsia"/>
          <w:b/>
          <w:bCs/>
          <w:sz w:val="32"/>
          <w:szCs w:val="32"/>
        </w:rPr>
        <w:t xml:space="preserve">六、其他补充事宜</w:t>
      </w:r>
      <w:bookmarkEnd w:id="42"/>
      <w:r/>
      <w:bookmarkEnd w:id="43"/>
      <w:r/>
      <w:bookmarkEnd w:id="44"/>
      <w:r>
        <w:rPr>
          <w:rFonts w:hint="eastAsia"/>
          <w:b/>
          <w:bCs/>
          <w:sz w:val="32"/>
          <w:szCs w:val="32"/>
        </w:rPr>
        <w:t xml:space="preserve">：</w:t>
      </w:r>
      <w:bookmarkEnd w:id="45"/>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勘察现场：本项目由采购人统一组织现场集中勘察工作，各投标人提前自行联系采购人办理入校手续。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勘查时间：2026年5月11日 09:00至10:00</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现场地点：南京市龙眠大道101号 南京医科大学</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联系人：陈老师；联系方式：025-86869249</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现场勘察时投标人代表请持本人身份证、携带企业法人营业执照复印件（加盖企业公章）、法人授权委托书（格式自拟），准时到达现场并签到。</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投标人务必对项目现场和周围环境进行仔细认真地踏勘，对现场资料和数据所</w:t>
      </w:r>
      <w:r>
        <w:rPr>
          <w:rFonts w:hint="eastAsia" w:ascii="宋体" w:hAnsi="宋体" w:cs="宋体"/>
          <w:sz w:val="24"/>
          <w:szCs w:val="24"/>
        </w:rPr>
        <w:t xml:space="preserve">作出</w:t>
      </w:r>
      <w:r>
        <w:rPr>
          <w:rFonts w:hint="eastAsia" w:ascii="宋体" w:hAnsi="宋体" w:cs="宋体"/>
          <w:sz w:val="24"/>
          <w:szCs w:val="24"/>
        </w:rPr>
        <w:t xml:space="preserve">的推论、解释和结论及由此造成的后果由投标人负责。未勘察现场或勘察工作不详细的供应商中标后，不得以不完全了解现场情况为理由而向采购人提出任何索赔或其他要求。</w:t>
      </w:r>
      <w:r/>
    </w:p>
    <w:p>
      <w:pPr>
        <w:ind w:firstLine="498"/>
        <w:keepLines/>
        <w:keepNext/>
        <w:spacing w:before="156" w:after="156" w:line="400" w:lineRule="exact"/>
        <w:rPr>
          <w:b/>
          <w:bCs/>
          <w:sz w:val="32"/>
          <w:szCs w:val="32"/>
        </w:rPr>
        <w:outlineLvl w:val="2"/>
      </w:pPr>
      <w:r/>
      <w:bookmarkStart w:id="46" w:name="_Toc35393627"/>
      <w:r/>
      <w:bookmarkStart w:id="47" w:name="_Toc38985269"/>
      <w:r/>
      <w:bookmarkStart w:id="48" w:name="_Toc227167488"/>
      <w:r/>
      <w:bookmarkStart w:id="49" w:name="_Toc28359085"/>
      <w:r/>
      <w:bookmarkStart w:id="50" w:name="_Toc28359008"/>
      <w:r/>
      <w:bookmarkStart w:id="51" w:name="_Toc35393796"/>
      <w:r>
        <w:rPr>
          <w:rFonts w:hint="eastAsia"/>
          <w:b/>
          <w:bCs/>
          <w:sz w:val="32"/>
          <w:szCs w:val="32"/>
        </w:rPr>
        <w:t xml:space="preserve">七、本次招标联系方式</w:t>
      </w:r>
      <w:bookmarkEnd w:id="46"/>
      <w:r/>
      <w:bookmarkEnd w:id="47"/>
      <w:r/>
      <w:bookmarkEnd w:id="48"/>
      <w:r/>
      <w:bookmarkEnd w:id="49"/>
      <w:r/>
      <w:bookmarkEnd w:id="50"/>
      <w:r/>
      <w:bookmarkEnd w:id="51"/>
      <w:r/>
      <w:r/>
    </w:p>
    <w:p>
      <w:pPr>
        <w:jc w:val="left"/>
        <w:spacing w:line="400" w:lineRule="exact"/>
        <w:widowControl/>
        <w:rPr>
          <w:rFonts w:hint="eastAsia"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firstLine="480"/>
        <w:jc w:val="left"/>
        <w:spacing w:line="400" w:lineRule="exact"/>
        <w:rPr>
          <w:rFonts w:hint="eastAsia" w:ascii="宋体" w:hAnsi="宋体"/>
          <w:sz w:val="24"/>
          <w:szCs w:val="24"/>
        </w:rPr>
      </w:pPr>
      <w:r>
        <w:rPr>
          <w:rFonts w:hint="eastAsia" w:ascii="宋体" w:hAnsi="宋体"/>
          <w:sz w:val="24"/>
          <w:szCs w:val="24"/>
        </w:rPr>
        <w:t xml:space="preserve">名 称：</w:t>
      </w:r>
      <w:r>
        <w:rPr>
          <w:rFonts w:ascii="宋体" w:hAnsi="宋体"/>
          <w:sz w:val="24"/>
          <w:szCs w:val="24"/>
          <w:u w:val="single"/>
        </w:rPr>
        <w:t xml:space="preserve">南京医科大学</w:t>
      </w:r>
      <w:r/>
    </w:p>
    <w:p>
      <w:pPr>
        <w:ind w:firstLine="480"/>
        <w:jc w:val="left"/>
        <w:spacing w:line="400" w:lineRule="exact"/>
        <w:rPr>
          <w:rFonts w:hint="eastAsia" w:ascii="宋体" w:hAnsi="宋体"/>
          <w:sz w:val="24"/>
          <w:szCs w:val="24"/>
        </w:rPr>
      </w:pPr>
      <w:r/>
      <w:bookmarkStart w:id="52" w:name="_Toc28359009"/>
      <w:r/>
      <w:bookmarkStart w:id="53" w:name="_Toc28359086"/>
      <w:r>
        <w:rPr>
          <w:rFonts w:hint="eastAsia" w:ascii="宋体" w:hAnsi="宋体"/>
          <w:sz w:val="24"/>
          <w:szCs w:val="24"/>
        </w:rPr>
        <w:t xml:space="preserve">地 址：</w:t>
      </w:r>
      <w:r>
        <w:rPr>
          <w:rFonts w:hint="eastAsia" w:ascii="宋体" w:hAnsi="宋体"/>
          <w:sz w:val="24"/>
          <w:szCs w:val="24"/>
          <w:u w:val="single"/>
        </w:rPr>
        <w:t xml:space="preserve">江苏省南京市江宁区龙眠大道101号</w:t>
      </w:r>
      <w:r/>
    </w:p>
    <w:p>
      <w:pPr>
        <w:ind w:firstLine="480"/>
        <w:jc w:val="left"/>
        <w:spacing w:line="40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陈老师 </w:t>
      </w:r>
      <w:r/>
    </w:p>
    <w:p>
      <w:pPr>
        <w:ind w:firstLine="480"/>
        <w:jc w:val="left"/>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025-86869249 </w:t>
      </w:r>
      <w:r/>
    </w:p>
    <w:p>
      <w:pPr>
        <w:ind w:firstLine="480"/>
        <w:jc w:val="left"/>
        <w:spacing w:line="400" w:lineRule="exact"/>
        <w:rPr>
          <w:rFonts w:hint="eastAsia" w:ascii="宋体" w:hAnsi="宋体"/>
          <w:sz w:val="24"/>
          <w:szCs w:val="24"/>
        </w:rPr>
      </w:pPr>
      <w:r>
        <w:rPr>
          <w:rFonts w:hint="eastAsia" w:ascii="宋体" w:hAnsi="宋体" w:cs="宋体"/>
          <w:sz w:val="24"/>
          <w:szCs w:val="24"/>
        </w:rPr>
        <w:t xml:space="preserve">2.江苏省政府采购中心信息</w:t>
      </w:r>
      <w:bookmarkEnd w:id="52"/>
      <w:r/>
      <w:bookmarkEnd w:id="53"/>
      <w:r/>
      <w:r/>
    </w:p>
    <w:p>
      <w:pPr>
        <w:ind w:firstLine="420"/>
        <w:spacing w:line="460" w:lineRule="exact"/>
        <w:rPr>
          <w:rFonts w:hint="eastAsia" w:ascii="宋体" w:hAnsi="宋体"/>
          <w:sz w:val="24"/>
          <w:szCs w:val="24"/>
        </w:rPr>
      </w:pPr>
      <w:r>
        <w:rPr>
          <w:rFonts w:hint="eastAsia" w:ascii="宋体" w:hAnsi="宋体"/>
          <w:sz w:val="24"/>
          <w:szCs w:val="24"/>
        </w:rPr>
        <w:t xml:space="preserve">地　址：南京市汉中门大街145号省政务中心3楼南区</w:t>
      </w:r>
      <w:r/>
    </w:p>
    <w:p>
      <w:pPr>
        <w:ind w:firstLine="420"/>
        <w:spacing w:line="460" w:lineRule="exact"/>
        <w:rPr>
          <w:rFonts w:hint="eastAsia" w:ascii="宋体" w:hAnsi="宋体"/>
          <w:sz w:val="24"/>
          <w:szCs w:val="24"/>
        </w:rPr>
      </w:pPr>
      <w:r>
        <w:rPr>
          <w:rFonts w:hint="eastAsia" w:ascii="宋体" w:hAnsi="宋体"/>
          <w:sz w:val="24"/>
          <w:szCs w:val="24"/>
        </w:rPr>
        <w:t xml:space="preserve">联系人：付钢、唐文   </w:t>
      </w:r>
      <w:r/>
    </w:p>
    <w:p>
      <w:pPr>
        <w:ind w:firstLine="420"/>
        <w:spacing w:line="460" w:lineRule="exact"/>
        <w:rPr>
          <w:rFonts w:hint="eastAsia" w:ascii="宋体" w:hAnsi="宋体"/>
          <w:sz w:val="24"/>
          <w:szCs w:val="24"/>
        </w:rPr>
      </w:pPr>
      <w:r>
        <w:rPr>
          <w:rFonts w:hint="eastAsia" w:ascii="宋体" w:hAnsi="宋体"/>
          <w:sz w:val="24"/>
          <w:szCs w:val="24"/>
        </w:rPr>
        <w:t xml:space="preserve">联系方式：025-</w:t>
      </w:r>
      <w:bookmarkStart w:id="54" w:name="OLE_LINK6"/>
      <w:r>
        <w:rPr>
          <w:rFonts w:hint="eastAsia" w:ascii="宋体" w:hAnsi="宋体"/>
          <w:sz w:val="24"/>
          <w:szCs w:val="24"/>
        </w:rPr>
        <w:t xml:space="preserve">83668520</w:t>
      </w:r>
      <w:bookmarkEnd w:id="54"/>
      <w:r>
        <w:rPr>
          <w:rFonts w:hint="eastAsia" w:ascii="宋体" w:hAnsi="宋体"/>
          <w:sz w:val="24"/>
          <w:szCs w:val="24"/>
        </w:rPr>
        <w:t xml:space="preserve">、83668519</w:t>
      </w:r>
      <w:r/>
    </w:p>
    <w:p>
      <w:pPr>
        <w:ind w:firstLine="498"/>
        <w:keepLines/>
        <w:keepNext/>
        <w:spacing w:before="156" w:after="156" w:line="360" w:lineRule="auto"/>
        <w:rPr>
          <w:b/>
          <w:bCs/>
          <w:sz w:val="32"/>
          <w:szCs w:val="32"/>
        </w:rPr>
        <w:outlineLvl w:val="2"/>
      </w:pPr>
      <w:r/>
      <w:bookmarkStart w:id="55" w:name="_Toc227167489"/>
      <w:r>
        <w:rPr>
          <w:rFonts w:hint="eastAsia"/>
          <w:b/>
          <w:bCs/>
          <w:sz w:val="32"/>
          <w:szCs w:val="32"/>
        </w:rPr>
        <w:t xml:space="preserve">八、其他</w:t>
      </w:r>
      <w:bookmarkEnd w:id="55"/>
      <w:r/>
      <w:r/>
    </w:p>
    <w:p>
      <w:pPr>
        <w:ind w:firstLine="480"/>
        <w:spacing w:line="400" w:lineRule="exact"/>
        <w:tabs>
          <w:tab w:val="left" w:pos="900" w:leader="none"/>
        </w:tabs>
        <w:rPr>
          <w:rFonts w:hint="eastAsia"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w:t>
      </w:r>
      <w:r>
        <w:rPr>
          <w:rFonts w:hint="eastAsia" w:ascii="宋体" w:hAnsi="宋体"/>
          <w:sz w:val="24"/>
          <w:szCs w:val="24"/>
        </w:rPr>
        <w:t xml:space="preserve">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参与政府采购项目，需要更换CA数字证书和电子签章。具体办理指南和操作手册见链接：</w:t>
      </w:r>
      <w:r>
        <w:rPr>
          <w:bCs/>
          <w:szCs w:val="21"/>
        </w:rPr>
        <w:t xml:space="preserve">http://www.ccgp-jiangsu.gov.cn/jiangsu/zlxz/ee/ee3a4bc5a3454aa2b0d9312230633ce9.html</w:t>
      </w:r>
      <w:r>
        <w:rPr>
          <w:bCs/>
          <w:szCs w:val="21"/>
        </w:rPr>
        <w:t xml:space="preserve">。</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w:t>
      </w:r>
      <w:r>
        <w:rPr>
          <w:rFonts w:hint="eastAsia" w:ascii="宋体" w:hAnsi="宋体"/>
          <w:bCs/>
          <w:sz w:val="24"/>
          <w:szCs w:val="24"/>
        </w:rPr>
        <w:t xml:space="preserve">采云</w:t>
      </w:r>
      <w:r>
        <w:rPr>
          <w:rFonts w:hint="eastAsia" w:ascii="宋体" w:hAnsi="宋体"/>
          <w:bCs/>
          <w:sz w:val="24"/>
          <w:szCs w:val="24"/>
        </w:rPr>
        <w:t xml:space="preserve">系统供应商操作手册》（以下简称《操作手册》））、进行注册并按《操作手册》要求制作、上传电子投标文件。投标人也可前往“江苏政务服务网”</w:t>
      </w:r>
      <w:r>
        <w:rPr>
          <w:bCs/>
          <w:szCs w:val="21"/>
        </w:rPr>
        <w:t xml:space="preserve">（</w:t>
      </w:r>
      <w:r>
        <w:rPr>
          <w:bCs/>
          <w:szCs w:val="21"/>
        </w:rPr>
        <w:t xml:space="preserve">www.jszwfw.gov.cn</w:t>
      </w:r>
      <w:r>
        <w:rPr>
          <w:bCs/>
          <w:szCs w:val="21"/>
        </w:rPr>
        <w:t xml:space="preserve">）</w:t>
      </w:r>
      <w:r>
        <w:rPr>
          <w:rFonts w:hint="eastAsia" w:ascii="宋体" w:hAnsi="宋体"/>
          <w:bCs/>
          <w:sz w:val="24"/>
          <w:szCs w:val="24"/>
        </w:rPr>
        <w:t xml:space="preserve">，“</w:t>
      </w:r>
      <w:r>
        <w:rPr>
          <w:rFonts w:hint="eastAsia" w:ascii="宋体" w:hAnsi="宋体"/>
          <w:bCs/>
          <w:sz w:val="24"/>
          <w:szCs w:val="24"/>
        </w:rPr>
        <w:t xml:space="preserve">一</w:t>
      </w:r>
      <w:r>
        <w:rPr>
          <w:rFonts w:hint="eastAsia" w:ascii="宋体" w:hAnsi="宋体"/>
          <w:bCs/>
          <w:sz w:val="24"/>
          <w:szCs w:val="24"/>
        </w:rPr>
        <w:t xml:space="preserve">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t>
      </w:r>
      <w:r>
        <w:rPr>
          <w:bCs/>
          <w:szCs w:val="21"/>
        </w:rPr>
        <w:t xml:space="preserve">www.ccgp-jiangsu.gov.cn</w:t>
      </w:r>
      <w:r>
        <w:rPr>
          <w:bCs/>
          <w:szCs w:val="21"/>
        </w:rPr>
        <w:t xml:space="preserve">）</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t>
      </w:r>
      <w:r>
        <w:rPr>
          <w:bCs/>
          <w:szCs w:val="21"/>
        </w:rPr>
        <w:t xml:space="preserve">www.jszwfw.gov.cn</w:t>
      </w:r>
      <w:r>
        <w:rPr>
          <w:bCs/>
          <w:szCs w:val="21"/>
        </w:rPr>
        <w:t xml:space="preserve">）</w:t>
      </w:r>
      <w:r>
        <w:rPr>
          <w:rFonts w:hint="eastAsia" w:ascii="宋体" w:hAnsi="宋体"/>
          <w:bCs/>
          <w:sz w:val="24"/>
          <w:szCs w:val="24"/>
        </w:rPr>
        <w:t xml:space="preserve">，“</w:t>
      </w:r>
      <w:r>
        <w:rPr>
          <w:rFonts w:hint="eastAsia" w:ascii="宋体" w:hAnsi="宋体"/>
          <w:bCs/>
          <w:sz w:val="24"/>
          <w:szCs w:val="24"/>
        </w:rPr>
        <w:t xml:space="preserve">一</w:t>
      </w:r>
      <w:r>
        <w:rPr>
          <w:rFonts w:hint="eastAsia" w:ascii="宋体" w:hAnsi="宋体"/>
          <w:bCs/>
          <w:sz w:val="24"/>
          <w:szCs w:val="24"/>
        </w:rPr>
        <w:t xml:space="preserve">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rPr>
          <w:rFonts w:hint="eastAsia" w:ascii="宋体" w:hAnsi="宋体"/>
          <w:sz w:val="24"/>
          <w:szCs w:val="24"/>
        </w:rPr>
      </w:pPr>
      <w:r>
        <w:rPr>
          <w:rFonts w:ascii="宋体" w:hAnsi="宋体"/>
          <w:sz w:val="24"/>
          <w:szCs w:val="24"/>
        </w:rPr>
        <w:br w:type="page" w:clear="all"/>
      </w:r>
      <w:r/>
    </w:p>
    <w:p>
      <w:pPr>
        <w:ind w:firstLine="2640"/>
        <w:jc w:val="left"/>
        <w:keepNext/>
        <w:rPr>
          <w:rFonts w:ascii="黑体" w:eastAsia="黑体"/>
          <w:bCs/>
          <w:sz w:val="44"/>
          <w:szCs w:val="28"/>
        </w:rPr>
        <w:outlineLvl w:val="0"/>
      </w:pPr>
      <w:r/>
      <w:bookmarkStart w:id="56" w:name="_Toc120614211"/>
      <w:r/>
      <w:bookmarkStart w:id="57" w:name="_Toc227167490"/>
      <w:r>
        <w:rPr>
          <w:rFonts w:hint="eastAsia" w:ascii="黑体" w:eastAsia="黑体"/>
          <w:bCs/>
          <w:sz w:val="44"/>
          <w:szCs w:val="28"/>
        </w:rPr>
        <w:t xml:space="preserve">第二章  </w:t>
      </w:r>
      <w:bookmarkStart w:id="58" w:name="_Toc513029202"/>
      <w:r/>
      <w:bookmarkStart w:id="59" w:name="_Toc120614213"/>
      <w:r/>
      <w:bookmarkStart w:id="60" w:name="_Toc20823274"/>
      <w:r/>
      <w:bookmarkStart w:id="61" w:name="_Toc16938518"/>
      <w:r/>
      <w:bookmarkEnd w:id="2"/>
      <w:r/>
      <w:bookmarkEnd w:id="3"/>
      <w:r/>
      <w:bookmarkEnd w:id="4"/>
      <w:r/>
      <w:bookmarkEnd w:id="5"/>
      <w:r/>
      <w:bookmarkEnd w:id="6"/>
      <w:r/>
      <w:bookmarkEnd w:id="56"/>
      <w:r>
        <w:rPr>
          <w:rFonts w:hint="eastAsia" w:ascii="黑体" w:eastAsia="黑体"/>
          <w:bCs/>
          <w:sz w:val="44"/>
          <w:szCs w:val="28"/>
        </w:rPr>
        <w:t xml:space="preserve">投标人须知</w:t>
      </w:r>
      <w:bookmarkEnd w:id="57"/>
      <w:r/>
      <w:bookmarkEnd w:id="58"/>
      <w:r/>
      <w:bookmarkEnd w:id="59"/>
      <w:r/>
      <w:bookmarkEnd w:id="60"/>
      <w:r/>
      <w:bookmarkEnd w:id="61"/>
      <w:r/>
      <w:r/>
    </w:p>
    <w:p>
      <w:pPr>
        <w:ind w:firstLine="498"/>
        <w:keepLines/>
        <w:keepNext/>
        <w:spacing w:before="156" w:after="156" w:line="400" w:lineRule="exact"/>
        <w:rPr>
          <w:b/>
          <w:bCs/>
          <w:sz w:val="32"/>
          <w:szCs w:val="32"/>
        </w:rPr>
        <w:outlineLvl w:val="2"/>
      </w:pPr>
      <w:r/>
      <w:bookmarkStart w:id="62" w:name="_Toc16938519"/>
      <w:r/>
      <w:bookmarkStart w:id="63" w:name="_Toc513029203"/>
      <w:r/>
      <w:bookmarkStart w:id="64" w:name="_Toc227167491"/>
      <w:r/>
      <w:bookmarkStart w:id="65" w:name="_Toc120614214"/>
      <w:r/>
      <w:bookmarkStart w:id="66" w:name="_Toc20823275"/>
      <w:r>
        <w:rPr>
          <w:rFonts w:hint="eastAsia"/>
          <w:b/>
          <w:bCs/>
          <w:sz w:val="32"/>
          <w:szCs w:val="32"/>
        </w:rPr>
        <w:t xml:space="preserve">一、总则</w:t>
      </w:r>
      <w:bookmarkEnd w:id="62"/>
      <w:r/>
      <w:bookmarkEnd w:id="63"/>
      <w:r/>
      <w:bookmarkEnd w:id="64"/>
      <w:r/>
      <w:bookmarkEnd w:id="65"/>
      <w:r/>
      <w:bookmarkEnd w:id="66"/>
      <w:r/>
      <w:r/>
    </w:p>
    <w:p>
      <w:pPr>
        <w:ind w:firstLine="420"/>
        <w:keepLines/>
        <w:keepNext/>
        <w:spacing w:line="400" w:lineRule="exact"/>
        <w:rPr>
          <w:rFonts w:ascii="Arial" w:hAnsi="Arial" w:eastAsia="黑体" w:cs="Arial"/>
          <w:sz w:val="28"/>
          <w:szCs w:val="28"/>
        </w:rPr>
        <w:outlineLvl w:val="3"/>
      </w:pPr>
      <w:r/>
      <w:bookmarkStart w:id="67" w:name="_Hlt16619475"/>
      <w:r/>
      <w:bookmarkStart w:id="68" w:name="_Toc458694821"/>
      <w:r/>
      <w:bookmarkStart w:id="69" w:name="_Toc20823276"/>
      <w:r/>
      <w:bookmarkStart w:id="70" w:name="_Toc513029204"/>
      <w:r/>
      <w:bookmarkStart w:id="71" w:name="_Toc16938520"/>
      <w:r/>
      <w:bookmarkEnd w:id="67"/>
      <w:r>
        <w:rPr>
          <w:rFonts w:hint="eastAsia" w:ascii="Arial" w:hAnsi="Arial" w:eastAsia="黑体" w:cs="Arial"/>
          <w:sz w:val="28"/>
          <w:szCs w:val="28"/>
        </w:rPr>
        <w:t xml:space="preserve">1</w:t>
      </w:r>
      <w:bookmarkEnd w:id="68"/>
      <w:r>
        <w:rPr>
          <w:rFonts w:hint="eastAsia" w:ascii="Arial" w:hAnsi="Arial" w:eastAsia="黑体" w:cs="Arial"/>
          <w:sz w:val="28"/>
          <w:szCs w:val="28"/>
        </w:rPr>
        <w:t xml:space="preserve">、招标方式</w:t>
      </w:r>
      <w:bookmarkEnd w:id="69"/>
      <w:r/>
      <w:bookmarkEnd w:id="70"/>
      <w:r/>
      <w:bookmarkEnd w:id="71"/>
      <w:r/>
      <w:r/>
    </w:p>
    <w:p>
      <w:pPr>
        <w:ind w:firstLine="480"/>
        <w:spacing w:line="4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400" w:lineRule="exact"/>
        <w:rPr>
          <w:rFonts w:ascii="Arial" w:hAnsi="Arial" w:eastAsia="黑体" w:cs="Arial"/>
          <w:sz w:val="28"/>
          <w:szCs w:val="28"/>
        </w:rPr>
        <w:outlineLvl w:val="3"/>
      </w:pPr>
      <w:r/>
      <w:bookmarkStart w:id="72" w:name="_Toc16938521"/>
      <w:r/>
      <w:bookmarkStart w:id="73" w:name="_Toc513029205"/>
      <w:r/>
      <w:bookmarkStart w:id="74" w:name="_Toc20823277"/>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72"/>
      <w:r/>
      <w:bookmarkEnd w:id="73"/>
      <w:r/>
      <w:bookmarkEnd w:id="74"/>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ind w:firstLine="420"/>
        <w:keepLines/>
        <w:keepNext/>
        <w:spacing w:line="400" w:lineRule="exact"/>
        <w:rPr>
          <w:rFonts w:ascii="方正魏碑_GBK" w:hAnsi="方正魏碑_GBK" w:eastAsia="方正魏碑_GBK" w:cs="方正魏碑_GBK"/>
          <w:sz w:val="28"/>
          <w:szCs w:val="28"/>
        </w:rPr>
        <w:outlineLvl w:val="3"/>
      </w:pPr>
      <w:r/>
      <w:bookmarkStart w:id="75" w:name="_Toc513029206"/>
      <w:r/>
      <w:bookmarkStart w:id="76" w:name="_Toc20823278"/>
      <w:r/>
      <w:bookmarkStart w:id="77" w:name="_Toc16938522"/>
      <w:r>
        <w:rPr>
          <w:rFonts w:hint="eastAsia" w:ascii="方正魏碑_GBK" w:hAnsi="方正魏碑_GBK" w:eastAsia="方正魏碑_GBK" w:cs="方正魏碑_GBK"/>
          <w:sz w:val="28"/>
          <w:szCs w:val="28"/>
        </w:rPr>
        <w:t xml:space="preserve">3、适用法律</w:t>
      </w:r>
      <w:bookmarkEnd w:id="75"/>
      <w:r/>
      <w:bookmarkEnd w:id="76"/>
      <w:r/>
      <w:bookmarkEnd w:id="77"/>
      <w:r>
        <w:rPr>
          <w:rFonts w:hint="eastAsia" w:ascii="方正魏碑_GBK" w:hAnsi="方正魏碑_GBK" w:eastAsia="方正魏碑_GBK" w:cs="方正魏碑_GBK"/>
          <w:sz w:val="28"/>
          <w:szCs w:val="28"/>
        </w:rPr>
        <w:t xml:space="preserve">和标准</w:t>
      </w:r>
      <w:r/>
    </w:p>
    <w:p>
      <w:pPr>
        <w:ind w:firstLine="420"/>
        <w:spacing w:line="4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sz w:val="28"/>
          <w:szCs w:val="28"/>
        </w:rPr>
        <w:outlineLvl w:val="3"/>
      </w:pPr>
      <w:r/>
      <w:bookmarkStart w:id="78" w:name="_Toc513029207"/>
      <w:r/>
      <w:bookmarkStart w:id="79" w:name="_Toc462564067"/>
      <w:r/>
      <w:bookmarkStart w:id="80" w:name="_Toc16938523"/>
      <w:r/>
      <w:bookmarkStart w:id="81" w:name="_Toc20823279"/>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78"/>
      <w:r/>
      <w:bookmarkEnd w:id="79"/>
      <w:r/>
      <w:bookmarkEnd w:id="80"/>
      <w:r/>
      <w:bookmarkEnd w:id="81"/>
      <w:r/>
      <w:r/>
    </w:p>
    <w:p>
      <w:pPr>
        <w:ind w:firstLine="480"/>
        <w:spacing w:line="4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szCs w:val="21"/>
        </w:rPr>
      </w:pPr>
      <w:r>
        <w:rPr>
          <w:rFonts w:hint="eastAsia" w:ascii="宋体" w:hAnsi="宋体"/>
          <w:sz w:val="24"/>
          <w:szCs w:val="21"/>
        </w:rPr>
        <w:t xml:space="preserve">4.2本次招标采购中心和采购人不收取标书工本费与中标服务费。</w:t>
      </w:r>
      <w:r/>
    </w:p>
    <w:p>
      <w:pPr>
        <w:ind w:firstLine="452"/>
        <w:keepLines/>
        <w:keepNext/>
        <w:spacing w:line="4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321"/>
        <w:keepLines/>
        <w:keepNext/>
        <w:spacing w:before="156" w:after="156" w:line="400" w:lineRule="exact"/>
        <w:rPr>
          <w:b/>
          <w:bCs/>
          <w:sz w:val="32"/>
          <w:szCs w:val="32"/>
        </w:rPr>
        <w:outlineLvl w:val="2"/>
      </w:pPr>
      <w:r/>
      <w:bookmarkStart w:id="82" w:name="_Toc513029209"/>
      <w:r/>
      <w:bookmarkStart w:id="83" w:name="_Toc227167492"/>
      <w:r/>
      <w:bookmarkStart w:id="84" w:name="_Toc120614215"/>
      <w:r/>
      <w:bookmarkStart w:id="85" w:name="_Toc16938525"/>
      <w:r/>
      <w:bookmarkStart w:id="86" w:name="_Toc20823281"/>
      <w:r>
        <w:rPr>
          <w:rFonts w:hint="eastAsia"/>
          <w:b/>
          <w:bCs/>
          <w:sz w:val="32"/>
          <w:szCs w:val="32"/>
        </w:rPr>
        <w:t xml:space="preserve">二、招标文件</w:t>
      </w:r>
      <w:bookmarkEnd w:id="82"/>
      <w:r/>
      <w:bookmarkEnd w:id="83"/>
      <w:r/>
      <w:bookmarkEnd w:id="84"/>
      <w:r/>
      <w:bookmarkEnd w:id="85"/>
      <w:r/>
      <w:bookmarkEnd w:id="86"/>
      <w:r/>
      <w:r/>
    </w:p>
    <w:p>
      <w:pPr>
        <w:ind w:firstLine="420"/>
        <w:keepLines/>
        <w:keepNext/>
        <w:spacing w:line="400" w:lineRule="exact"/>
        <w:rPr>
          <w:rFonts w:ascii="Arial" w:hAnsi="Arial" w:eastAsia="黑体" w:cs="Arial"/>
          <w:sz w:val="28"/>
          <w:szCs w:val="28"/>
        </w:rPr>
        <w:outlineLvl w:val="3"/>
      </w:pPr>
      <w:r/>
      <w:bookmarkStart w:id="87" w:name="_Toc513029210"/>
      <w:r/>
      <w:bookmarkStart w:id="88" w:name="_Toc16938526"/>
      <w:r/>
      <w:bookmarkStart w:id="89" w:name="_Toc20823282"/>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87"/>
      <w:r/>
      <w:bookmarkEnd w:id="88"/>
      <w:r/>
      <w:bookmarkEnd w:id="89"/>
      <w:r/>
      <w:r/>
    </w:p>
    <w:p>
      <w:pPr>
        <w:ind w:firstLine="480"/>
        <w:spacing w:line="4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立即与采购中心联系解决。</w:t>
      </w:r>
      <w:r/>
    </w:p>
    <w:p>
      <w:pPr>
        <w:ind w:firstLine="480"/>
        <w:spacing w:line="4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w:t>
      </w:r>
      <w:r>
        <w:rPr>
          <w:rFonts w:hint="eastAsia" w:ascii="宋体" w:hAnsi="宋体"/>
          <w:sz w:val="24"/>
          <w:szCs w:val="21"/>
        </w:rPr>
        <w:t xml:space="preserve">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400" w:lineRule="exact"/>
        <w:rPr>
          <w:rFonts w:ascii="Arial" w:hAnsi="Arial" w:eastAsia="黑体" w:cs="Arial"/>
          <w:sz w:val="28"/>
          <w:szCs w:val="28"/>
        </w:rPr>
        <w:outlineLvl w:val="3"/>
      </w:pPr>
      <w:r/>
      <w:bookmarkStart w:id="90" w:name="_Toc20823284"/>
      <w:r/>
      <w:bookmarkStart w:id="91" w:name="_Toc16938528"/>
      <w:r/>
      <w:bookmarkStart w:id="92" w:name="_Toc513029212"/>
      <w:r/>
      <w:bookmarkStart w:id="93" w:name="_Toc462564071"/>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90"/>
      <w:r/>
      <w:bookmarkEnd w:id="91"/>
      <w:r/>
      <w:bookmarkEnd w:id="92"/>
      <w:r/>
      <w:bookmarkEnd w:id="93"/>
      <w:r/>
      <w:r/>
    </w:p>
    <w:p>
      <w:pPr>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，采购中心可以对招标文件进行修改。</w:t>
      </w:r>
      <w:r/>
    </w:p>
    <w:p>
      <w:pPr>
        <w:ind w:firstLine="480"/>
        <w:spacing w:line="400" w:lineRule="exact"/>
        <w:rPr>
          <w:rFonts w:ascii="宋体" w:hAnsi="Arial"/>
          <w:sz w:val="28"/>
          <w:szCs w:val="21"/>
        </w:rPr>
      </w:pPr>
      <w:r>
        <w:rPr>
          <w:rFonts w:ascii="宋体" w:hAnsi="宋体"/>
          <w:bCs/>
          <w:sz w:val="24"/>
          <w:szCs w:val="21"/>
        </w:rPr>
        <w:t xml:space="preserve">7</w:t>
      </w:r>
      <w:r>
        <w:rPr>
          <w:rFonts w:hint="eastAsia" w:ascii="宋体" w:hAnsi="宋体"/>
          <w:bCs/>
          <w:sz w:val="24"/>
          <w:szCs w:val="21"/>
        </w:rPr>
        <w:t xml:space="preserve">.2 </w:t>
      </w:r>
      <w:r>
        <w:rPr>
          <w:rFonts w:hint="eastAsia" w:ascii="宋体" w:hAnsi="宋体"/>
          <w:sz w:val="24"/>
          <w:szCs w:val="21"/>
        </w:rPr>
        <w:t xml:space="preserve">采购中心</w:t>
      </w:r>
      <w:r>
        <w:rPr>
          <w:rFonts w:hint="eastAsia" w:ascii="宋体" w:hAnsi="宋体"/>
          <w:sz w:val="24"/>
          <w:szCs w:val="24"/>
        </w:rPr>
        <w:t xml:space="preserve">有权按照法定的要求</w:t>
      </w:r>
      <w:r>
        <w:rPr>
          <w:rFonts w:hint="eastAsia" w:ascii="宋体" w:hAnsi="宋体"/>
          <w:sz w:val="24"/>
          <w:szCs w:val="21"/>
        </w:rPr>
        <w:t xml:space="preserve">推迟投标截止日期和开标日期。</w:t>
      </w:r>
      <w:r/>
    </w:p>
    <w:p>
      <w:pPr>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.3 </w:t>
      </w:r>
      <w:r>
        <w:rPr>
          <w:rFonts w:hint="eastAsia" w:ascii="宋体" w:hAnsi="宋体"/>
          <w:sz w:val="24"/>
          <w:szCs w:val="21"/>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before="156" w:after="156" w:line="400" w:lineRule="exact"/>
        <w:rPr>
          <w:b/>
          <w:bCs/>
          <w:sz w:val="32"/>
          <w:szCs w:val="32"/>
        </w:rPr>
        <w:outlineLvl w:val="2"/>
      </w:pPr>
      <w:r/>
      <w:bookmarkStart w:id="94" w:name="_Toc120614216"/>
      <w:r/>
      <w:bookmarkStart w:id="95" w:name="_Toc513029213"/>
      <w:r/>
      <w:bookmarkStart w:id="96" w:name="_Toc227167493"/>
      <w:r/>
      <w:bookmarkStart w:id="97" w:name="_Toc20823285"/>
      <w:r/>
      <w:bookmarkStart w:id="98" w:name="_Toc462564072"/>
      <w:r/>
      <w:bookmarkStart w:id="99" w:name="_Toc16938529"/>
      <w:r>
        <w:rPr>
          <w:rFonts w:hint="eastAsia"/>
          <w:b/>
          <w:bCs/>
          <w:sz w:val="32"/>
          <w:szCs w:val="32"/>
        </w:rPr>
        <w:t xml:space="preserve">三、投标文件的编制</w:t>
      </w:r>
      <w:bookmarkEnd w:id="94"/>
      <w:r/>
      <w:bookmarkEnd w:id="95"/>
      <w:r/>
      <w:bookmarkEnd w:id="96"/>
      <w:r/>
      <w:bookmarkEnd w:id="97"/>
      <w:r/>
      <w:bookmarkEnd w:id="98"/>
      <w:r/>
      <w:bookmarkEnd w:id="99"/>
      <w:r/>
      <w:r/>
    </w:p>
    <w:p>
      <w:pPr>
        <w:ind w:firstLine="560"/>
        <w:keepLines/>
        <w:keepNext/>
        <w:spacing w:line="400" w:lineRule="exact"/>
        <w:rPr>
          <w:rFonts w:ascii="Arial" w:hAnsi="Arial" w:eastAsia="黑体" w:cs="Arial"/>
          <w:b/>
          <w:sz w:val="28"/>
          <w:szCs w:val="28"/>
        </w:rPr>
        <w:outlineLvl w:val="3"/>
      </w:pPr>
      <w:r/>
      <w:bookmarkStart w:id="100" w:name="_Toc462564073"/>
      <w:r/>
      <w:bookmarkStart w:id="101" w:name="_Toc16938530"/>
      <w:r/>
      <w:bookmarkStart w:id="102" w:name="_Toc20823286"/>
      <w:r/>
      <w:bookmarkStart w:id="103" w:name="_Toc513029214"/>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100"/>
      <w:r/>
      <w:bookmarkEnd w:id="101"/>
      <w:r/>
      <w:bookmarkEnd w:id="102"/>
      <w:r/>
      <w:bookmarkEnd w:id="103"/>
      <w:r/>
      <w:r/>
    </w:p>
    <w:p>
      <w:pPr>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 投标人提交的投标文件以及投标人与采购中心就有关投标的所有来往通知、函件和文件均应使用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sz w:val="28"/>
          <w:szCs w:val="28"/>
        </w:rPr>
        <w:outlineLvl w:val="3"/>
      </w:pPr>
      <w:r/>
      <w:bookmarkStart w:id="104" w:name="_Toc16938531"/>
      <w:r/>
      <w:bookmarkStart w:id="105" w:name="_Toc20823287"/>
      <w:r/>
      <w:bookmarkStart w:id="106" w:name="_Toc462564074"/>
      <w:r/>
      <w:bookmarkStart w:id="107" w:name="_Toc513029215"/>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104"/>
      <w:r/>
      <w:bookmarkEnd w:id="105"/>
      <w:r/>
      <w:bookmarkEnd w:id="106"/>
      <w:r/>
      <w:bookmarkEnd w:id="107"/>
      <w:r/>
      <w:r/>
    </w:p>
    <w:p>
      <w:pPr>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sz w:val="28"/>
          <w:szCs w:val="28"/>
        </w:rPr>
        <w:outlineLvl w:val="3"/>
      </w:pPr>
      <w:r/>
      <w:bookmarkStart w:id="108" w:name="_Hlt26954838"/>
      <w:r/>
      <w:bookmarkStart w:id="109" w:name="_Hlt26668975"/>
      <w:r/>
      <w:bookmarkStart w:id="110" w:name="_Hlt26670360"/>
      <w:r/>
      <w:bookmarkStart w:id="111" w:name="_Toc49090509"/>
      <w:r/>
      <w:bookmarkStart w:id="112" w:name="_Toc14577357"/>
      <w:r/>
      <w:bookmarkStart w:id="113" w:name="_Toc513029219"/>
      <w:r/>
      <w:bookmarkStart w:id="114" w:name="_Toc513029216"/>
      <w:r/>
      <w:bookmarkStart w:id="115" w:name="_Toc49090507"/>
      <w:r/>
      <w:bookmarkStart w:id="116" w:name="_Toc14577354"/>
      <w:r/>
      <w:bookmarkStart w:id="117" w:name="_Toc14577355"/>
      <w:r/>
      <w:bookmarkStart w:id="118" w:name="_Toc49090508"/>
      <w:r/>
      <w:bookmarkEnd w:id="108"/>
      <w:r/>
      <w:bookmarkEnd w:id="109"/>
      <w:r/>
      <w:bookmarkEnd w:id="110"/>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bookmarkEnd w:id="111"/>
      <w:r/>
      <w:bookmarkEnd w:id="112"/>
      <w:r/>
      <w:bookmarkEnd w:id="113"/>
      <w:r/>
      <w:bookmarkEnd w:id="114"/>
      <w:r/>
      <w:bookmarkEnd w:id="115"/>
      <w:r/>
      <w:bookmarkEnd w:id="116"/>
      <w:r/>
      <w:r/>
    </w:p>
    <w:p>
      <w:pPr>
        <w:spacing w:line="40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bookmarkEnd w:id="117"/>
      <w:r/>
      <w:bookmarkEnd w:id="118"/>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19" w:name="_Hlt26954840"/>
      <w:r/>
      <w:bookmarkEnd w:id="119"/>
      <w:r>
        <w:rPr>
          <w:rFonts w:hint="eastAsia" w:ascii="宋体" w:hAnsi="宋体"/>
          <w:sz w:val="24"/>
          <w:szCs w:val="21"/>
        </w:rPr>
        <w:t xml:space="preserve">标人按照招标文件规定格式填报投标分项报价表</w:t>
      </w:r>
      <w:bookmarkStart w:id="120" w:name="_Hlt26670399"/>
      <w:r/>
      <w:bookmarkEnd w:id="120"/>
      <w:r>
        <w:rPr>
          <w:rFonts w:hint="eastAsia" w:ascii="宋体" w:hAnsi="宋体"/>
          <w:sz w:val="24"/>
          <w:szCs w:val="21"/>
        </w:rPr>
        <w:t xml:space="preserve">。</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21" w:name="_Hlt26670486"/>
      <w:r/>
      <w:bookmarkStart w:id="122" w:name="_Hlt26954848"/>
      <w:r/>
      <w:bookmarkStart w:id="123" w:name="_Hlt26954846"/>
      <w:r/>
      <w:bookmarkStart w:id="124" w:name="_Hlt26670482"/>
      <w:r/>
      <w:bookmarkStart w:id="125" w:name="_Hlt26954731"/>
      <w:r/>
      <w:bookmarkEnd w:id="121"/>
      <w:r/>
      <w:bookmarkEnd w:id="122"/>
      <w:r/>
      <w:bookmarkEnd w:id="123"/>
      <w:r/>
      <w:bookmarkEnd w:id="124"/>
      <w:r/>
      <w:bookmarkEnd w:id="125"/>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ind w:firstLine="480"/>
        <w:spacing w:line="40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szCs w:val="21"/>
          <w:lang w:val="zh-CN"/>
        </w:rPr>
        <w:t xml:space="preserve">所投标的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spacing w:line="400" w:lineRule="exact"/>
        <w:rPr>
          <w:rFonts w:ascii="Arial" w:hAnsi="Arial" w:eastAsia="黑体" w:cs="Arial"/>
          <w:sz w:val="28"/>
          <w:szCs w:val="28"/>
        </w:rPr>
        <w:outlineLvl w:val="3"/>
      </w:pPr>
      <w:r/>
      <w:bookmarkStart w:id="126" w:name="_Toc49090510"/>
      <w:r/>
      <w:bookmarkStart w:id="127" w:name="_Toc14577359"/>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p>
    <w:p>
      <w:pPr>
        <w:ind w:firstLine="480"/>
        <w:spacing w:line="4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 投标人应按照招标文件中提供的格式完整、正确填写投标函、开标一览表。</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4</w:t>
      </w:r>
      <w:r>
        <w:rPr>
          <w:rFonts w:hint="eastAsia" w:ascii="宋体" w:hAnsi="宋体"/>
          <w:sz w:val="24"/>
          <w:szCs w:val="21"/>
        </w:rPr>
        <w:t xml:space="preserve">.2 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ascii="Arial" w:hAnsi="Arial" w:eastAsia="黑体" w:cs="Arial"/>
          <w:sz w:val="28"/>
          <w:szCs w:val="28"/>
        </w:rPr>
        <w:outlineLvl w:val="3"/>
      </w:pPr>
      <w:r/>
      <w:bookmarkStart w:id="128" w:name="_Toc14577360"/>
      <w:r/>
      <w:bookmarkStart w:id="129" w:name="_Toc49090511"/>
      <w:r/>
      <w:bookmarkEnd w:id="126"/>
      <w:r/>
      <w:bookmarkEnd w:id="127"/>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bookmarkEnd w:id="128"/>
      <w:r/>
      <w:bookmarkEnd w:id="129"/>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.1投标有效期为采购中心规定的开标之日后</w:t>
      </w:r>
      <w:r>
        <w:rPr>
          <w:rFonts w:hint="eastAsia" w:ascii="仿宋_GB2312" w:hAnsi="仿宋_GB2312"/>
          <w:b/>
          <w:sz w:val="24"/>
          <w:szCs w:val="21"/>
          <w:u w:val="single"/>
        </w:rPr>
        <w:t xml:space="preserve">六十（</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1"/>
        </w:rPr>
        <w:t xml:space="preserve">。</w:t>
      </w:r>
      <w:r/>
    </w:p>
    <w:p>
      <w:pPr>
        <w:keepLines/>
        <w:keepNext/>
        <w:spacing w:before="156" w:after="156" w:line="400" w:lineRule="exact"/>
        <w:rPr>
          <w:b/>
          <w:bCs/>
          <w:sz w:val="32"/>
          <w:szCs w:val="32"/>
        </w:rPr>
        <w:outlineLvl w:val="2"/>
      </w:pPr>
      <w:r/>
      <w:bookmarkStart w:id="130" w:name="_Hlt26954852"/>
      <w:r/>
      <w:bookmarkStart w:id="131" w:name="_Hlt26954739"/>
      <w:r/>
      <w:bookmarkStart w:id="132" w:name="_Toc513029224"/>
      <w:r/>
      <w:bookmarkStart w:id="133" w:name="_Toc16938540"/>
      <w:r/>
      <w:bookmarkStart w:id="134" w:name="_Toc227167494"/>
      <w:r/>
      <w:bookmarkStart w:id="135" w:name="_Toc120614217"/>
      <w:r/>
      <w:bookmarkStart w:id="136" w:name="_Toc20823296"/>
      <w:r/>
      <w:bookmarkEnd w:id="130"/>
      <w:r/>
      <w:bookmarkEnd w:id="131"/>
      <w:r>
        <w:rPr>
          <w:rFonts w:hint="eastAsia"/>
          <w:b/>
          <w:bCs/>
          <w:sz w:val="32"/>
          <w:szCs w:val="32"/>
        </w:rPr>
        <w:t xml:space="preserve">四、投标文件的递交</w:t>
      </w:r>
      <w:bookmarkEnd w:id="132"/>
      <w:r/>
      <w:bookmarkEnd w:id="133"/>
      <w:r/>
      <w:bookmarkEnd w:id="134"/>
      <w:r/>
      <w:bookmarkEnd w:id="135"/>
      <w:r/>
      <w:bookmarkEnd w:id="136"/>
      <w:r/>
      <w:r/>
    </w:p>
    <w:p>
      <w:pPr>
        <w:ind w:firstLine="420"/>
        <w:keepLines/>
        <w:keepNext/>
        <w:spacing w:line="400" w:lineRule="exact"/>
        <w:rPr>
          <w:rFonts w:ascii="黑体" w:hAnsi="Arial" w:eastAsia="黑体" w:cs="Arial"/>
          <w:sz w:val="28"/>
          <w:szCs w:val="28"/>
        </w:rPr>
        <w:outlineLvl w:val="3"/>
      </w:pPr>
      <w:r/>
      <w:bookmarkStart w:id="137" w:name="_Toc513029225"/>
      <w:r/>
      <w:bookmarkStart w:id="138" w:name="_Toc462564084"/>
      <w:r/>
      <w:bookmarkStart w:id="139" w:name="_Toc20823297"/>
      <w:r/>
      <w:bookmarkStart w:id="140" w:name="_Toc16938541"/>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37"/>
      <w:r/>
      <w:bookmarkEnd w:id="138"/>
      <w:r/>
      <w:bookmarkEnd w:id="139"/>
      <w:r/>
      <w:bookmarkEnd w:id="140"/>
      <w:r>
        <w:rPr>
          <w:rFonts w:hint="eastAsia" w:ascii="黑体" w:hAnsi="Arial" w:eastAsia="黑体" w:cs="Arial"/>
          <w:sz w:val="28"/>
          <w:szCs w:val="28"/>
        </w:rPr>
        <w:t xml:space="preserve">的递交</w:t>
      </w:r>
      <w:r/>
    </w:p>
    <w:p>
      <w:pPr>
        <w:ind w:left="525"/>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w:t>
      </w:r>
      <w:r/>
    </w:p>
    <w:p>
      <w:pPr>
        <w:spacing w:line="400" w:lineRule="exact"/>
        <w:rPr>
          <w:rFonts w:hint="eastAsia" w:ascii="宋体" w:hAnsi="宋体"/>
          <w:bCs/>
          <w:sz w:val="24"/>
          <w:szCs w:val="21"/>
        </w:rPr>
      </w:pPr>
      <w:r>
        <w:rPr>
          <w:rFonts w:hint="eastAsia" w:ascii="宋体" w:hAnsi="宋体"/>
          <w:bCs/>
          <w:sz w:val="24"/>
          <w:szCs w:val="21"/>
        </w:rPr>
        <w:t xml:space="preserve">子投标文件。</w:t>
      </w:r>
      <w:bookmarkStart w:id="141" w:name="_Toc20823298"/>
      <w:r/>
      <w:bookmarkStart w:id="142" w:name="_Toc513029226"/>
      <w:r/>
      <w:bookmarkStart w:id="143" w:name="_Toc16938542"/>
      <w:r/>
      <w:r/>
    </w:p>
    <w:p>
      <w:pPr>
        <w:ind w:firstLine="420"/>
        <w:keepLines/>
        <w:keepNext/>
        <w:spacing w:before="280" w:after="290" w:line="400" w:lineRule="exact"/>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、投标截止日期</w:t>
      </w:r>
      <w:bookmarkEnd w:id="141"/>
      <w:r/>
      <w:bookmarkEnd w:id="142"/>
      <w:r/>
      <w:bookmarkEnd w:id="143"/>
      <w:r/>
      <w:r/>
    </w:p>
    <w:p>
      <w:pPr>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 投标人上传电子投标文件的时间不得迟于招标公告中规定的投标截止时间。</w:t>
      </w:r>
      <w:r/>
    </w:p>
    <w:p>
      <w:pPr>
        <w:ind w:firstLine="480"/>
        <w:spacing w:line="400" w:lineRule="exact"/>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w:t>
      </w:r>
      <w:r>
        <w:rPr>
          <w:rFonts w:ascii="宋体" w:hAnsi="宋体"/>
          <w:bCs/>
          <w:sz w:val="24"/>
          <w:szCs w:val="21"/>
        </w:rPr>
        <w:t xml:space="preserve">6</w:t>
      </w:r>
      <w:r>
        <w:rPr>
          <w:rFonts w:hint="eastAsia" w:ascii="宋体" w:hAnsi="宋体"/>
          <w:bCs/>
          <w:sz w:val="24"/>
          <w:szCs w:val="21"/>
        </w:rPr>
        <w:t xml:space="preserve">.1.2条规定做无效投标处理。</w:t>
      </w:r>
      <w:r/>
    </w:p>
    <w:p>
      <w:pPr>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sz w:val="28"/>
          <w:szCs w:val="28"/>
        </w:rPr>
        <w:outlineLvl w:val="3"/>
      </w:pPr>
      <w:r/>
      <w:bookmarkStart w:id="144" w:name="_Toc20823299"/>
      <w:r/>
      <w:bookmarkStart w:id="145" w:name="_Toc513029227"/>
      <w:r/>
      <w:bookmarkStart w:id="146" w:name="_Toc16938543"/>
      <w:r>
        <w:rPr>
          <w:rFonts w:ascii="Arial" w:hAnsi="Arial" w:eastAsia="黑体" w:cs="Arial"/>
          <w:sz w:val="28"/>
          <w:szCs w:val="28"/>
        </w:rPr>
        <w:t xml:space="preserve">19</w:t>
      </w:r>
      <w:r>
        <w:rPr>
          <w:rFonts w:hint="eastAsia" w:ascii="Arial" w:hAnsi="Arial" w:eastAsia="黑体" w:cs="Arial"/>
          <w:sz w:val="28"/>
          <w:szCs w:val="28"/>
        </w:rPr>
        <w:t xml:space="preserve">、投标文件</w:t>
      </w:r>
      <w:bookmarkEnd w:id="144"/>
      <w:r/>
      <w:bookmarkEnd w:id="145"/>
      <w:r/>
      <w:bookmarkEnd w:id="146"/>
      <w:r>
        <w:rPr>
          <w:rFonts w:hint="eastAsia" w:ascii="Arial" w:hAnsi="Arial" w:eastAsia="黑体" w:cs="Arial"/>
          <w:sz w:val="28"/>
          <w:szCs w:val="28"/>
        </w:rPr>
        <w:t xml:space="preserve">的拒收</w:t>
      </w:r>
      <w:r/>
    </w:p>
    <w:p>
      <w:pPr>
        <w:ind w:firstLine="480"/>
        <w:spacing w:line="4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采购中心拒绝接收在其规定的投标截止时间后上传的任何投标文件。</w:t>
      </w:r>
      <w:r/>
    </w:p>
    <w:p>
      <w:pPr>
        <w:ind w:firstLine="420"/>
        <w:keepLines/>
        <w:keepNext/>
        <w:spacing w:line="400" w:lineRule="exact"/>
        <w:rPr>
          <w:rFonts w:ascii="Arial" w:hAnsi="Arial" w:eastAsia="黑体" w:cs="Arial"/>
          <w:sz w:val="28"/>
          <w:szCs w:val="28"/>
        </w:rPr>
        <w:outlineLvl w:val="3"/>
      </w:pPr>
      <w:r/>
      <w:bookmarkStart w:id="147" w:name="_Toc513029228"/>
      <w:r/>
      <w:bookmarkStart w:id="148" w:name="_Toc20823300"/>
      <w:r/>
      <w:bookmarkStart w:id="149" w:name="_Toc16938544"/>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bookmarkEnd w:id="147"/>
      <w:r/>
      <w:bookmarkEnd w:id="148"/>
      <w:r/>
      <w:bookmarkEnd w:id="149"/>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投标文件的撤回</w:t>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.1.1 电子投标文件的撤回</w:t>
      </w:r>
      <w:r/>
    </w:p>
    <w:p>
      <w:pPr>
        <w:ind w:firstLine="480"/>
        <w:spacing w:line="4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before="156" w:after="156" w:line="400" w:lineRule="exact"/>
        <w:rPr>
          <w:b/>
          <w:bCs/>
          <w:sz w:val="32"/>
          <w:szCs w:val="32"/>
        </w:rPr>
        <w:outlineLvl w:val="2"/>
      </w:pPr>
      <w:r/>
      <w:bookmarkStart w:id="150" w:name="_Toc120614218"/>
      <w:r/>
      <w:bookmarkStart w:id="151" w:name="_Toc513029229"/>
      <w:r/>
      <w:bookmarkStart w:id="152" w:name="_Toc16938545"/>
      <w:r/>
      <w:bookmarkStart w:id="153" w:name="_Toc227167495"/>
      <w:r/>
      <w:bookmarkStart w:id="154" w:name="_Toc20823301"/>
      <w:r>
        <w:rPr>
          <w:rFonts w:hint="eastAsia"/>
          <w:b/>
          <w:bCs/>
          <w:sz w:val="32"/>
          <w:szCs w:val="32"/>
        </w:rPr>
        <w:t xml:space="preserve">五、开标与评标</w:t>
      </w:r>
      <w:bookmarkEnd w:id="150"/>
      <w:r/>
      <w:bookmarkEnd w:id="151"/>
      <w:r/>
      <w:bookmarkEnd w:id="152"/>
      <w:r/>
      <w:bookmarkEnd w:id="153"/>
      <w:r/>
      <w:bookmarkEnd w:id="154"/>
      <w:r/>
      <w:r/>
    </w:p>
    <w:p>
      <w:pPr>
        <w:ind w:firstLine="420"/>
        <w:keepLines/>
        <w:keepNext/>
        <w:spacing w:line="400" w:lineRule="exact"/>
        <w:rPr>
          <w:rFonts w:ascii="Arial" w:hAnsi="Arial" w:eastAsia="黑体" w:cs="Arial"/>
          <w:sz w:val="28"/>
          <w:szCs w:val="28"/>
        </w:rPr>
        <w:outlineLvl w:val="3"/>
      </w:pPr>
      <w:r/>
      <w:bookmarkStart w:id="155" w:name="_Toc513029230"/>
      <w:r/>
      <w:bookmarkStart w:id="156" w:name="_Toc16938546"/>
      <w:r/>
      <w:bookmarkStart w:id="157" w:name="_Toc20823302"/>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bookmarkEnd w:id="155"/>
      <w:r/>
      <w:bookmarkEnd w:id="156"/>
      <w:r/>
      <w:bookmarkEnd w:id="157"/>
      <w:r/>
      <w:r/>
    </w:p>
    <w:p>
      <w:pPr>
        <w:ind w:firstLine="480"/>
        <w:spacing w:line="400" w:lineRule="exact"/>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58" w:name="_Toc16938547"/>
      <w:r/>
      <w:bookmarkStart w:id="159" w:name="_Toc513029231"/>
      <w:r/>
      <w:bookmarkStart w:id="160"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ind w:firstLine="420"/>
        <w:keepLines/>
        <w:keepNext/>
        <w:spacing w:line="4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bookmarkEnd w:id="158"/>
      <w:r/>
      <w:bookmarkEnd w:id="159"/>
      <w:r/>
      <w:bookmarkEnd w:id="160"/>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ind w:firstLine="420"/>
        <w:keepLines/>
        <w:keepNext/>
        <w:spacing w:line="400" w:lineRule="exact"/>
        <w:rPr>
          <w:rFonts w:ascii="Arial" w:hAnsi="Arial" w:eastAsia="黑体" w:cs="Arial"/>
          <w:sz w:val="28"/>
          <w:szCs w:val="28"/>
        </w:rPr>
        <w:outlineLvl w:val="3"/>
      </w:pPr>
      <w:r/>
      <w:bookmarkStart w:id="161" w:name="_Toc513029232"/>
      <w:r/>
      <w:bookmarkStart w:id="162" w:name="_Toc20823304"/>
      <w:r/>
      <w:bookmarkStart w:id="163" w:name="_Toc16938548"/>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bookmarkEnd w:id="161"/>
      <w:r/>
      <w:bookmarkEnd w:id="162"/>
      <w:r/>
      <w:bookmarkEnd w:id="163"/>
      <w:r/>
      <w:r/>
    </w:p>
    <w:p>
      <w:pPr>
        <w:ind w:firstLine="480"/>
        <w:spacing w:line="400" w:lineRule="exact"/>
        <w:rPr>
          <w:rFonts w:hint="eastAsia" w:ascii="宋体" w:hAnsi="宋体"/>
          <w:sz w:val="24"/>
          <w:szCs w:val="24"/>
        </w:rPr>
      </w:pPr>
      <w:r/>
      <w:bookmarkStart w:id="164" w:name="_Toc16938549"/>
      <w:r/>
      <w:bookmarkStart w:id="165" w:name="_Toc20823305"/>
      <w:r/>
      <w:bookmarkStart w:id="166" w:name="_Toc513029233"/>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bookmarkEnd w:id="164"/>
      <w:r/>
      <w:bookmarkEnd w:id="165"/>
      <w:r/>
      <w:bookmarkEnd w:id="166"/>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t>
      </w:r>
      <w:r>
        <w:rPr>
          <w:bCs/>
          <w:szCs w:val="21"/>
        </w:rPr>
        <w:t xml:space="preserve">（</w:t>
      </w:r>
      <w:r>
        <w:rPr>
          <w:bCs/>
          <w:szCs w:val="21"/>
        </w:rPr>
        <w:t xml:space="preserve">www.creditchina.gov.cn</w:t>
      </w:r>
      <w:r>
        <w:rPr>
          <w:bCs/>
          <w:szCs w:val="21"/>
        </w:rPr>
        <w:t xml:space="preserve">）</w:t>
      </w:r>
      <w:r>
        <w:rPr>
          <w:rFonts w:hint="eastAsia" w:ascii="宋体" w:hAnsi="宋体"/>
          <w:bCs/>
          <w:sz w:val="24"/>
          <w:szCs w:val="21"/>
        </w:rPr>
        <w:t xml:space="preserve">查询投标人的信用记录，以确定投标人是否具备投标资格,查询结果留存并归档。</w:t>
      </w:r>
      <w:r/>
    </w:p>
    <w:p>
      <w:pPr>
        <w:ind w:firstLine="480"/>
        <w:spacing w:line="4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.1.3 未通过资格审查或符合性审查的投标人，采购中心将在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szCs w:val="24"/>
        </w:rPr>
        <w:t xml:space="preserve">作出</w:t>
      </w:r>
      <w:r>
        <w:rPr>
          <w:rFonts w:hint="eastAsia" w:ascii="宋体" w:hAnsi="宋体"/>
          <w:sz w:val="24"/>
          <w:szCs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4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4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4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hint="eastAsia" w:ascii="宋体" w:hAnsi="宋体"/>
          <w:sz w:val="24"/>
          <w:szCs w:val="21"/>
        </w:rPr>
      </w:pPr>
      <w:r/>
      <w:bookmarkStart w:id="167" w:name="_Toc513029234"/>
      <w:r/>
      <w:bookmarkStart w:id="168" w:name="_Toc20823306"/>
      <w:r/>
      <w:bookmarkStart w:id="169" w:name="_Toc16938550"/>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4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4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25.8 异常低价投标审查</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25.8.1 评标过程中出现下列情形之一的，评标委员会应当启动异常低价投标审查程序：</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（1）投标报价低于全部通过符合性审查供应商投标报价平均值</w:t>
      </w:r>
      <w:r>
        <w:rPr>
          <w:rFonts w:hint="eastAsia" w:ascii="方正魏碑_GBK" w:hAnsi="方正魏碑_GBK" w:eastAsia="方正魏碑_GBK" w:cs="方正魏碑_GBK"/>
          <w:sz w:val="24"/>
          <w:szCs w:val="21"/>
          <w:u w:val="single"/>
        </w:rPr>
        <w:t xml:space="preserve">65%</w:t>
      </w:r>
      <w:r>
        <w:rPr>
          <w:rFonts w:hint="eastAsia" w:ascii="方正魏碑_GBK" w:hAnsi="方正魏碑_GBK" w:eastAsia="方正魏碑_GBK" w:cs="方正魏碑_GBK"/>
          <w:sz w:val="24"/>
          <w:szCs w:val="21"/>
        </w:rPr>
        <w:t xml:space="preserve">的，即投标报价&lt;全部通过符合性审查供应商投标报价平均值×</w:t>
      </w:r>
      <w:r>
        <w:rPr>
          <w:rFonts w:hint="eastAsia" w:ascii="方正魏碑_GBK" w:hAnsi="方正魏碑_GBK" w:eastAsia="方正魏碑_GBK" w:cs="方正魏碑_GBK"/>
          <w:sz w:val="24"/>
          <w:szCs w:val="21"/>
          <w:u w:val="single"/>
        </w:rPr>
        <w:t xml:space="preserve">65%</w:t>
      </w:r>
      <w:r>
        <w:rPr>
          <w:rFonts w:hint="eastAsia" w:ascii="方正魏碑_GBK" w:hAnsi="方正魏碑_GBK" w:eastAsia="方正魏碑_GBK" w:cs="方正魏碑_GBK"/>
          <w:sz w:val="24"/>
          <w:szCs w:val="21"/>
        </w:rPr>
        <w:t xml:space="preserve">；</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（2）投标报价低于通过符合性审查的次低报价供应商投标报价</w:t>
      </w:r>
      <w:r>
        <w:rPr>
          <w:rFonts w:hint="eastAsia" w:ascii="方正魏碑_GBK" w:hAnsi="方正魏碑_GBK" w:eastAsia="方正魏碑_GBK" w:cs="方正魏碑_GBK"/>
          <w:sz w:val="24"/>
          <w:szCs w:val="21"/>
          <w:u w:val="single"/>
        </w:rPr>
        <w:t xml:space="preserve">65%</w:t>
      </w:r>
      <w:r>
        <w:rPr>
          <w:rFonts w:hint="eastAsia" w:ascii="方正魏碑_GBK" w:hAnsi="方正魏碑_GBK" w:eastAsia="方正魏碑_GBK" w:cs="方正魏碑_GBK"/>
          <w:sz w:val="24"/>
          <w:szCs w:val="21"/>
        </w:rPr>
        <w:t xml:space="preserve">的，即投标报价&lt;通过符合性审查的次低报价供应商投标报价×</w:t>
      </w:r>
      <w:r>
        <w:rPr>
          <w:rFonts w:hint="eastAsia" w:ascii="方正魏碑_GBK" w:hAnsi="方正魏碑_GBK" w:eastAsia="方正魏碑_GBK" w:cs="方正魏碑_GBK"/>
          <w:sz w:val="24"/>
          <w:szCs w:val="21"/>
          <w:u w:val="single"/>
        </w:rPr>
        <w:t xml:space="preserve">65%</w:t>
      </w:r>
      <w:r>
        <w:rPr>
          <w:rFonts w:hint="eastAsia" w:ascii="方正魏碑_GBK" w:hAnsi="方正魏碑_GBK" w:eastAsia="方正魏碑_GBK" w:cs="方正魏碑_GBK"/>
          <w:sz w:val="24"/>
          <w:szCs w:val="21"/>
        </w:rPr>
        <w:t xml:space="preserve">；</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（3）投标报价低于采购项目最高限价</w:t>
      </w:r>
      <w:r>
        <w:rPr>
          <w:rFonts w:hint="eastAsia" w:ascii="方正魏碑_GBK" w:hAnsi="方正魏碑_GBK" w:eastAsia="方正魏碑_GBK" w:cs="方正魏碑_GBK"/>
          <w:sz w:val="24"/>
          <w:szCs w:val="21"/>
          <w:u w:val="single"/>
        </w:rPr>
        <w:t xml:space="preserve">65%</w:t>
      </w:r>
      <w:r>
        <w:rPr>
          <w:rFonts w:hint="eastAsia" w:ascii="方正魏碑_GBK" w:hAnsi="方正魏碑_GBK" w:eastAsia="方正魏碑_GBK" w:cs="方正魏碑_GBK"/>
          <w:sz w:val="24"/>
          <w:szCs w:val="21"/>
        </w:rPr>
        <w:t xml:space="preserve">的，即投标报价&lt;采购项目最高限价×</w:t>
      </w:r>
      <w:r>
        <w:rPr>
          <w:rFonts w:hint="eastAsia" w:ascii="方正魏碑_GBK" w:hAnsi="方正魏碑_GBK" w:eastAsia="方正魏碑_GBK" w:cs="方正魏碑_GBK"/>
          <w:sz w:val="24"/>
          <w:szCs w:val="21"/>
          <w:u w:val="single"/>
        </w:rPr>
        <w:t xml:space="preserve">65%</w:t>
      </w:r>
      <w:r>
        <w:rPr>
          <w:rFonts w:hint="eastAsia" w:ascii="方正魏碑_GBK" w:hAnsi="方正魏碑_GBK" w:eastAsia="方正魏碑_GBK" w:cs="方正魏碑_GBK"/>
          <w:sz w:val="24"/>
          <w:szCs w:val="21"/>
        </w:rPr>
        <w:t xml:space="preserve">；</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（4）评标委员会基于专业判断，认为供应商报价过低，有可能影响产品质量或者不能诚信履约的其他情形。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25.8.2 评标委员会启动异常低价投标审查后，属于前述第（1）项至第（4）项情形的，应当要求相关供应商在评审现场合理的时间内对投标价格</w:t>
      </w:r>
      <w:r>
        <w:rPr>
          <w:rFonts w:hint="eastAsia" w:ascii="方正魏碑_GBK" w:hAnsi="方正魏碑_GBK" w:eastAsia="方正魏碑_GBK" w:cs="方正魏碑_GBK"/>
          <w:sz w:val="24"/>
          <w:szCs w:val="21"/>
        </w:rPr>
        <w:t xml:space="preserve">作出</w:t>
      </w:r>
      <w:r>
        <w:rPr>
          <w:rFonts w:hint="eastAsia" w:ascii="方正魏碑_GBK" w:hAnsi="方正魏碑_GBK" w:eastAsia="方正魏碑_GBK" w:cs="方正魏碑_GBK"/>
          <w:sz w:val="24"/>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67"/>
      <w:r/>
      <w:bookmarkEnd w:id="168"/>
      <w:r/>
      <w:bookmarkEnd w:id="169"/>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left="479"/>
        <w:spacing w:line="400" w:lineRule="exact"/>
        <w:rPr>
          <w:rFonts w:hint="eastAsia" w:ascii="宋体" w:hAnsi="宋体"/>
          <w:bCs/>
          <w:sz w:val="24"/>
          <w:szCs w:val="21"/>
        </w:rPr>
      </w:pPr>
      <w:r/>
      <w:bookmarkStart w:id="170" w:name="_Toc16938551"/>
      <w:r/>
      <w:bookmarkStart w:id="171" w:name="_Toc20823307"/>
      <w:r/>
      <w:bookmarkStart w:id="172"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 投标人同一</w:t>
      </w:r>
      <w:r>
        <w:rPr>
          <w:rFonts w:ascii="宋体" w:hAnsi="宋体"/>
          <w:bCs/>
          <w:sz w:val="24"/>
          <w:szCs w:val="21"/>
        </w:rPr>
        <w:t xml:space="preserve">采购包</w:t>
      </w:r>
      <w:r>
        <w:rPr>
          <w:rFonts w:hint="eastAsia" w:ascii="宋体" w:hAnsi="宋体"/>
          <w:bCs/>
          <w:sz w:val="24"/>
          <w:szCs w:val="21"/>
        </w:rPr>
        <w:t xml:space="preserve">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4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40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为实质性要求）</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20"/>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p>
    <w:p>
      <w:pPr>
        <w:ind w:firstLine="420"/>
        <w:spacing w:line="400" w:lineRule="exact"/>
        <w:rPr>
          <w:rFonts w:hint="eastAsia" w:ascii="宋体" w:hAnsi="宋体"/>
          <w:sz w:val="24"/>
          <w:szCs w:val="21"/>
        </w:rPr>
      </w:pPr>
      <w:r>
        <w:rPr>
          <w:rFonts w:hint="eastAsia" w:ascii="宋体" w:hAnsi="宋体"/>
          <w:sz w:val="24"/>
          <w:szCs w:val="21"/>
        </w:rPr>
        <w:t xml:space="preserve">26.1.11 如本项目采购产品被财政部、</w:t>
      </w:r>
      <w:r>
        <w:rPr>
          <w:rFonts w:hint="eastAsia" w:ascii="宋体" w:hAnsi="宋体"/>
          <w:sz w:val="24"/>
          <w:szCs w:val="21"/>
        </w:rPr>
        <w:t xml:space="preserve">国家发改委</w:t>
      </w:r>
      <w:r>
        <w:rPr>
          <w:rFonts w:hint="eastAsia" w:ascii="宋体" w:hAnsi="宋体"/>
          <w:sz w:val="24"/>
          <w:szCs w:val="21"/>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400" w:lineRule="exact"/>
        <w:rPr>
          <w:rFonts w:hint="eastAsia" w:ascii="宋体" w:hAnsi="宋体"/>
          <w:bCs/>
          <w:sz w:val="24"/>
          <w:szCs w:val="21"/>
        </w:rPr>
      </w:pPr>
      <w:r>
        <w:rPr>
          <w:rFonts w:hint="eastAsia" w:ascii="宋体" w:hAnsi="宋体"/>
          <w:bCs/>
          <w:sz w:val="24"/>
          <w:szCs w:val="21"/>
        </w:rPr>
        <w:t xml:space="preserve">26.1.13 投标人所投标产品不符合招标文件中所列国家强制性标准的。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.1.14其他法律、法规及本招标文件规定的属无效投标的情形。</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w:t>
      </w:r>
      <w:r>
        <w:rPr>
          <w:rFonts w:hint="eastAsia" w:ascii="宋体" w:hAnsi="宋体"/>
          <w:bCs/>
          <w:sz w:val="24"/>
          <w:szCs w:val="21"/>
        </w:rPr>
        <w:t xml:space="preserve">废标条款</w:t>
      </w:r>
      <w:r>
        <w:rPr>
          <w:rFonts w:hint="eastAsia" w:ascii="宋体" w:hAnsi="宋体"/>
          <w:bCs/>
          <w:sz w:val="24"/>
          <w:szCs w:val="21"/>
        </w:rPr>
        <w:t xml:space="preserve"> </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.2.1符合专业条件的供应商或者对招标文件作实质响应的供应商不足三</w:t>
      </w:r>
      <w:r/>
    </w:p>
    <w:p>
      <w:pPr>
        <w:spacing w:line="400" w:lineRule="exact"/>
        <w:rPr>
          <w:rFonts w:hint="eastAsia" w:ascii="宋体" w:hAnsi="宋体"/>
          <w:bCs/>
          <w:sz w:val="24"/>
          <w:szCs w:val="21"/>
        </w:rPr>
      </w:pPr>
      <w:r>
        <w:rPr>
          <w:rFonts w:hint="eastAsia" w:ascii="宋体" w:hAnsi="宋体"/>
          <w:bCs/>
          <w:sz w:val="24"/>
          <w:szCs w:val="21"/>
        </w:rPr>
        <w:t xml:space="preserve">家的。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.2.2出现影响采购公正的违法、违规行为的。</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.2.3因重大变故，采购任务取消的。</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.2.4评标委员会认定招标文件存在歧义、重大缺陷导致评审工作无法进</w:t>
      </w:r>
      <w:r/>
    </w:p>
    <w:p>
      <w:pPr>
        <w:spacing w:line="400" w:lineRule="exact"/>
        <w:rPr>
          <w:rFonts w:hint="eastAsia" w:ascii="宋体" w:hAnsi="宋体"/>
          <w:bCs/>
          <w:sz w:val="24"/>
          <w:szCs w:val="21"/>
        </w:rPr>
      </w:pPr>
      <w:r>
        <w:rPr>
          <w:rFonts w:hint="eastAsia" w:ascii="宋体" w:hAnsi="宋体"/>
          <w:bCs/>
          <w:sz w:val="24"/>
          <w:szCs w:val="21"/>
        </w:rPr>
        <w:t xml:space="preserve">行。</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.2.5 因</w:t>
      </w:r>
      <w:r>
        <w:rPr>
          <w:rFonts w:hint="eastAsia" w:ascii="宋体" w:hAnsi="宋体"/>
          <w:sz w:val="24"/>
          <w:szCs w:val="24"/>
        </w:rPr>
        <w:t xml:space="preserve">苏</w:t>
      </w:r>
      <w:r>
        <w:rPr>
          <w:rFonts w:hint="eastAsia" w:ascii="宋体" w:hAnsi="宋体"/>
          <w:sz w:val="24"/>
          <w:szCs w:val="24"/>
        </w:rPr>
        <w:t xml:space="preserve">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投标截止时间结束后参加投标的供应商不足三家的处理：</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56" w:after="156" w:line="400" w:lineRule="exact"/>
        <w:rPr>
          <w:b/>
          <w:bCs/>
          <w:sz w:val="32"/>
          <w:szCs w:val="32"/>
        </w:rPr>
        <w:outlineLvl w:val="2"/>
      </w:pPr>
      <w:r/>
      <w:bookmarkStart w:id="173" w:name="_Toc227167496"/>
      <w:r/>
      <w:bookmarkStart w:id="174" w:name="_Toc120614219"/>
      <w:r>
        <w:rPr>
          <w:rFonts w:hint="eastAsia"/>
          <w:b/>
          <w:bCs/>
          <w:sz w:val="32"/>
          <w:szCs w:val="32"/>
        </w:rPr>
        <w:t xml:space="preserve">六、</w:t>
      </w:r>
      <w:bookmarkEnd w:id="170"/>
      <w:r/>
      <w:bookmarkEnd w:id="171"/>
      <w:r/>
      <w:bookmarkEnd w:id="172"/>
      <w:r>
        <w:rPr>
          <w:rFonts w:hint="eastAsia"/>
          <w:b/>
          <w:bCs/>
          <w:sz w:val="32"/>
          <w:szCs w:val="32"/>
        </w:rPr>
        <w:t xml:space="preserve">定标</w:t>
      </w:r>
      <w:bookmarkEnd w:id="173"/>
      <w:r/>
      <w:bookmarkEnd w:id="174"/>
      <w:r/>
      <w:r/>
    </w:p>
    <w:p>
      <w:pPr>
        <w:ind w:firstLine="600"/>
        <w:keepLines/>
        <w:keepNext/>
        <w:spacing w:line="400" w:lineRule="exact"/>
        <w:rPr>
          <w:rFonts w:hint="eastAsia" w:ascii="黑体" w:hAnsi="宋体" w:eastAsia="黑体"/>
          <w:bCs/>
          <w:sz w:val="30"/>
          <w:szCs w:val="30"/>
        </w:rPr>
        <w:outlineLvl w:val="3"/>
      </w:pPr>
      <w:r/>
      <w:bookmarkStart w:id="175" w:name="_Toc513029238"/>
      <w:r/>
      <w:bookmarkStart w:id="176" w:name="_Toc20823310"/>
      <w:r/>
      <w:bookmarkStart w:id="177" w:name="_Toc16938554"/>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75"/>
      <w:r>
        <w:rPr>
          <w:rFonts w:hint="eastAsia" w:ascii="黑体" w:hAnsi="宋体" w:eastAsia="黑体"/>
          <w:bCs/>
          <w:sz w:val="30"/>
          <w:szCs w:val="30"/>
        </w:rPr>
        <w:t xml:space="preserve">确定</w:t>
      </w:r>
      <w:bookmarkEnd w:id="176"/>
      <w:r/>
      <w:bookmarkEnd w:id="177"/>
      <w:r>
        <w:rPr>
          <w:rFonts w:hint="eastAsia" w:ascii="黑体" w:hAnsi="宋体" w:eastAsia="黑体"/>
          <w:bCs/>
          <w:sz w:val="30"/>
          <w:szCs w:val="30"/>
        </w:rPr>
        <w:t xml:space="preserve">中标单位</w:t>
      </w:r>
      <w:r/>
    </w:p>
    <w:p>
      <w:pPr>
        <w:ind w:firstLine="480"/>
        <w:spacing w:line="400" w:lineRule="exact"/>
        <w:rPr>
          <w:rFonts w:hint="eastAsia" w:ascii="宋体" w:hAnsi="宋体"/>
          <w:bCs/>
          <w:sz w:val="24"/>
          <w:szCs w:val="21"/>
        </w:rPr>
      </w:pPr>
      <w:r>
        <w:rPr>
          <w:rFonts w:hint="eastAsia" w:ascii="宋体" w:hAnsi="宋体"/>
          <w:bCs/>
          <w:sz w:val="24"/>
          <w:szCs w:val="21"/>
        </w:rPr>
        <w:t xml:space="preserve">27.1中标候选人的选取原则和数量见招标文件第五章规定。 </w:t>
      </w:r>
      <w:r/>
    </w:p>
    <w:p>
      <w:pPr>
        <w:ind w:firstLine="480"/>
        <w:spacing w:line="400" w:lineRule="exact"/>
        <w:rPr>
          <w:rFonts w:hint="eastAsia" w:ascii="宋体" w:hAnsi="宋体"/>
          <w:bCs/>
          <w:sz w:val="24"/>
          <w:szCs w:val="21"/>
        </w:rPr>
      </w:pPr>
      <w:r>
        <w:rPr>
          <w:rFonts w:hint="eastAsia" w:ascii="宋体" w:hAnsi="宋体"/>
          <w:bCs/>
          <w:sz w:val="24"/>
          <w:szCs w:val="21"/>
        </w:rPr>
        <w:t xml:space="preserve">27.2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27.4 若有充分证据证明，中标供应</w:t>
      </w:r>
      <w:r>
        <w:rPr>
          <w:rFonts w:hint="eastAsia" w:ascii="宋体" w:hAnsi="宋体"/>
          <w:sz w:val="24"/>
          <w:szCs w:val="24"/>
        </w:rPr>
        <w:t xml:space="preserve">商出现</w:t>
      </w:r>
      <w:r>
        <w:rPr>
          <w:rFonts w:hint="eastAsia" w:ascii="宋体" w:hAnsi="宋体"/>
          <w:sz w:val="24"/>
          <w:szCs w:val="24"/>
        </w:rPr>
        <w:t xml:space="preserve">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00" w:lineRule="exact"/>
        <w:rPr>
          <w:rFonts w:hint="eastAsia" w:ascii="宋体" w:hAnsi="宋体"/>
          <w:sz w:val="24"/>
          <w:szCs w:val="24"/>
        </w:rPr>
      </w:pPr>
      <w:r/>
      <w:bookmarkStart w:id="178"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78"/>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w:t>
      </w:r>
      <w:r>
        <w:rPr>
          <w:rFonts w:hint="eastAsia" w:ascii="宋体" w:hAnsi="宋体"/>
          <w:sz w:val="24"/>
          <w:szCs w:val="24"/>
        </w:rPr>
        <w:t xml:space="preserve">填写。供应商如组成联合体参加投标，则《质疑函范本》中要求签字、盖章、加盖公章之处，联合体各方均须按要求签字、盖章、加盖公章。</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宋体" w:hAnsi="宋体"/>
          <w:sz w:val="24"/>
          <w:szCs w:val="24"/>
        </w:rPr>
        <w:t xml:space="preserve">28.</w:t>
      </w:r>
      <w:r>
        <w:rPr>
          <w:rFonts w:hint="eastAsia" w:ascii="宋体" w:hAnsi="宋体"/>
          <w:sz w:val="24"/>
          <w:szCs w:val="24"/>
        </w:rPr>
        <w:t xml:space="preserve">4 </w:t>
      </w:r>
      <w:r>
        <w:rPr>
          <w:rFonts w:ascii="Arial" w:hAnsi="Arial" w:eastAsia="Arial" w:cs="Arial"/>
          <w:color w:val="ff0000"/>
          <w:sz w:val="32"/>
        </w:rPr>
        <w:t xml:space="preserve">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w:t>
      </w:r>
      <w:r>
        <w:rPr>
          <w:rFonts w:hint="eastAsia" w:ascii="宋体" w:hAnsi="宋体"/>
          <w:sz w:val="24"/>
          <w:szCs w:val="24"/>
        </w:rPr>
        <w:t xml:space="preserve">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p>
    <w:p>
      <w:pPr>
        <w:ind w:firstLine="60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l中标结果确定后，采购中心将向中标供应商发出中标通知书。请中标供应商在中标结果公告届满之日起30日内,使用CA数字证书登录苏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sz w:val="32"/>
          <w:szCs w:val="32"/>
        </w:rPr>
        <w:outlineLvl w:val="2"/>
      </w:pPr>
      <w:r/>
      <w:bookmarkStart w:id="179" w:name="_Toc227167497"/>
      <w:r/>
      <w:bookmarkStart w:id="180" w:name="_Toc120614220"/>
      <w:r/>
      <w:bookmarkStart w:id="181" w:name="_Toc513029236"/>
      <w:r/>
      <w:bookmarkStart w:id="182" w:name="_Toc16938552"/>
      <w:r/>
      <w:bookmarkStart w:id="183" w:name="_Toc20823308"/>
      <w:r>
        <w:rPr>
          <w:rFonts w:hint="eastAsia"/>
          <w:b/>
          <w:bCs/>
          <w:sz w:val="32"/>
          <w:szCs w:val="32"/>
        </w:rPr>
        <w:t xml:space="preserve">七、授予合同</w:t>
      </w:r>
      <w:bookmarkEnd w:id="179"/>
      <w:r/>
      <w:bookmarkEnd w:id="180"/>
      <w:r/>
      <w:r/>
    </w:p>
    <w:p>
      <w:pPr>
        <w:ind w:firstLine="600"/>
        <w:keepLines/>
        <w:keepNext/>
        <w:spacing w:line="400" w:lineRule="exact"/>
        <w:rPr>
          <w:rFonts w:hint="eastAsia" w:ascii="黑体" w:hAnsi="宋体" w:eastAsia="黑体"/>
          <w:bCs/>
          <w:sz w:val="30"/>
          <w:szCs w:val="30"/>
        </w:rPr>
        <w:outlineLvl w:val="3"/>
      </w:pPr>
      <w:r/>
      <w:bookmarkStart w:id="184" w:name="_Toc16938553"/>
      <w:r/>
      <w:bookmarkStart w:id="185" w:name="_Toc20823309"/>
      <w:r/>
      <w:bookmarkStart w:id="186" w:name="_Toc513029237"/>
      <w:r/>
      <w:bookmarkEnd w:id="181"/>
      <w:r/>
      <w:bookmarkEnd w:id="182"/>
      <w:r/>
      <w:bookmarkEnd w:id="183"/>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w:t>
      </w:r>
      <w:r>
        <w:rPr>
          <w:rFonts w:hint="eastAsia" w:ascii="宋体" w:hAnsi="宋体"/>
          <w:sz w:val="24"/>
          <w:szCs w:val="24"/>
        </w:rPr>
        <w:t xml:space="preserve">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、货物（包含与货物相关的服务）的追加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600"/>
        <w:keepLines/>
        <w:keepNext/>
        <w:spacing w:line="400" w:lineRule="exact"/>
        <w:rPr>
          <w:rFonts w:hint="eastAsia" w:ascii="黑体" w:hAnsi="宋体" w:eastAsia="黑体"/>
          <w:bCs/>
          <w:sz w:val="30"/>
          <w:szCs w:val="30"/>
        </w:rPr>
        <w:outlineLvl w:val="3"/>
      </w:pPr>
      <w:r/>
      <w:bookmarkStart w:id="187" w:name="_Toc16938558"/>
      <w:r/>
      <w:bookmarkStart w:id="188" w:name="_Toc20823314"/>
      <w:r/>
      <w:bookmarkStart w:id="189" w:name="_Toc479757207"/>
      <w:r/>
      <w:bookmarkStart w:id="190" w:name="_Toc120614221"/>
      <w:r/>
      <w:bookmarkStart w:id="191" w:name="_Toc513029242"/>
      <w:r/>
      <w:bookmarkEnd w:id="184"/>
      <w:r/>
      <w:bookmarkEnd w:id="185"/>
      <w:r/>
      <w:bookmarkEnd w:id="186"/>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p>
    <w:p>
      <w:pPr>
        <w:ind w:firstLine="555"/>
        <w:spacing w:line="40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ind w:firstLine="555"/>
        <w:spacing w:line="400" w:lineRule="exact"/>
        <w:rPr>
          <w:rFonts w:hint="eastAsia" w:ascii="宋体" w:hAnsi="宋体"/>
          <w:bCs/>
          <w:sz w:val="24"/>
          <w:szCs w:val="24"/>
        </w:rPr>
      </w:pPr>
      <w:r>
        <w:rPr>
          <w:rFonts w:hint="eastAsia" w:ascii="宋体" w:hAnsi="宋体"/>
          <w:bCs/>
          <w:sz w:val="24"/>
          <w:szCs w:val="24"/>
        </w:rPr>
      </w:r>
      <w:r/>
    </w:p>
    <w:p>
      <w:pPr>
        <w:ind w:firstLine="555"/>
        <w:spacing w:line="400" w:lineRule="exact"/>
        <w:rPr>
          <w:rFonts w:hint="eastAsia" w:ascii="宋体" w:hAnsi="宋体"/>
          <w:bCs/>
          <w:sz w:val="24"/>
          <w:szCs w:val="24"/>
        </w:rPr>
      </w:pPr>
      <w:r>
        <w:rPr>
          <w:rFonts w:hint="eastAsia" w:ascii="宋体" w:hAnsi="宋体"/>
          <w:bCs/>
          <w:sz w:val="24"/>
          <w:szCs w:val="24"/>
        </w:rPr>
      </w:r>
      <w:r/>
    </w:p>
    <w:p>
      <w:pPr>
        <w:ind w:firstLine="1260"/>
        <w:jc w:val="center"/>
        <w:keepNext/>
        <w:rPr>
          <w:rFonts w:ascii="黑体" w:eastAsia="黑体"/>
          <w:bCs/>
          <w:sz w:val="44"/>
          <w:szCs w:val="28"/>
        </w:rPr>
        <w:outlineLvl w:val="0"/>
      </w:pPr>
      <w:r>
        <w:rPr>
          <w:szCs w:val="21"/>
        </w:rPr>
        <w:br w:type="page" w:clear="all"/>
      </w:r>
      <w:bookmarkStart w:id="192" w:name="_Toc227167498"/>
      <w:r>
        <w:rPr>
          <w:rFonts w:hint="eastAsia" w:ascii="黑体" w:eastAsia="黑体"/>
          <w:bCs/>
          <w:sz w:val="44"/>
          <w:szCs w:val="28"/>
        </w:rPr>
        <w:t xml:space="preserve">第三章  合同</w:t>
      </w:r>
      <w:bookmarkEnd w:id="187"/>
      <w:r/>
      <w:bookmarkEnd w:id="188"/>
      <w:r/>
      <w:bookmarkEnd w:id="189"/>
      <w:r/>
      <w:bookmarkEnd w:id="190"/>
      <w:r/>
      <w:bookmarkEnd w:id="191"/>
      <w:r>
        <w:rPr>
          <w:rFonts w:hint="eastAsia" w:ascii="黑体" w:eastAsia="黑体"/>
          <w:bCs/>
          <w:sz w:val="44"/>
          <w:szCs w:val="28"/>
        </w:rPr>
        <w:t xml:space="preserve">文本</w:t>
      </w:r>
      <w:bookmarkEnd w:id="192"/>
      <w:r/>
      <w:r/>
    </w:p>
    <w:p>
      <w:pPr>
        <w:spacing w:line="400" w:lineRule="exact"/>
        <w:rPr>
          <w:rFonts w:hint="eastAsia" w:ascii="宋体" w:hAnsi="宋体"/>
          <w:bCs/>
          <w:sz w:val="24"/>
          <w:szCs w:val="24"/>
        </w:rPr>
      </w:pPr>
      <w:r/>
      <w:bookmarkStart w:id="193" w:name="_Toc513029243"/>
      <w:r/>
      <w:bookmarkStart w:id="194" w:name="_Toc16938559"/>
      <w:r/>
      <w:bookmarkStart w:id="195" w:name="_Toc20823315"/>
      <w:r/>
      <w:bookmarkStart w:id="196" w:name="_Toc3995"/>
      <w:r/>
      <w:bookmarkStart w:id="197" w:name="_Hlt16619350"/>
      <w:r/>
      <w:bookmarkStart w:id="198" w:name="_Toc16938590"/>
      <w:r/>
      <w:bookmarkStart w:id="199" w:name="_Toc120614244"/>
      <w:r/>
      <w:bookmarkStart w:id="200" w:name="_Toc20823346"/>
      <w:r/>
      <w:bookmarkStart w:id="201" w:name="_Toc462564139"/>
      <w:r/>
      <w:bookmarkStart w:id="202" w:name="_Toc479757211"/>
      <w:r/>
      <w:r/>
    </w:p>
    <w:p>
      <w:pPr>
        <w:spacing w:line="500" w:lineRule="exact"/>
        <w:rPr>
          <w:rFonts w:hint="eastAsia" w:ascii="宋体" w:hAnsi="宋体"/>
          <w:bCs/>
          <w:sz w:val="24"/>
          <w:szCs w:val="24"/>
        </w:rPr>
      </w:pPr>
      <w:r>
        <w:rPr>
          <w:rFonts w:hint="eastAsia" w:ascii="宋体" w:hAnsi="宋体"/>
          <w:bCs/>
          <w:sz w:val="24"/>
          <w:szCs w:val="24"/>
        </w:rPr>
      </w:r>
      <w:bookmarkEnd w:id="193"/>
      <w:r/>
      <w:bookmarkEnd w:id="194"/>
      <w:r/>
      <w:bookmarkEnd w:id="195"/>
      <w:r/>
      <w:bookmarkEnd w:id="196"/>
      <w:r/>
      <w:r/>
    </w:p>
    <w:p>
      <w:pPr>
        <w:pStyle w:val="868"/>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868"/>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868"/>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868"/>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范</w:t>
      </w:r>
      <w:r>
        <w:rPr>
          <w:rFonts w:hint="eastAsia" w:ascii="宋体" w:hAnsi="宋体" w:eastAsia="宋体" w:cs="宋体"/>
          <w:b/>
          <w:bCs/>
          <w:spacing w:val="-20"/>
          <w:sz w:val="32"/>
          <w:szCs w:val="32"/>
        </w:rPr>
        <w:t xml:space="preserve">    本</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ascii="宋体" w:hAnsi="宋体"/>
          <w:sz w:val="32"/>
          <w:szCs w:val="32"/>
        </w:rPr>
      </w:pPr>
      <w:r>
        <w:rPr>
          <w:rFonts w:hint="eastAsia" w:ascii="宋体" w:hAnsi="宋体"/>
          <w:sz w:val="32"/>
          <w:szCs w:val="32"/>
        </w:rPr>
        <w:br w:type="page" w:clear="all"/>
      </w: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hint="eastAsia"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hint="eastAsia"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hint="eastAsia"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954"/>
        <w:spacing w:line="400" w:lineRule="exact"/>
        <w:rPr>
          <w:rFonts w:hint="eastAsia" w:ascii="黑体" w:hAnsi="华文中宋" w:eastAsia="黑体"/>
          <w:b w:val="0"/>
          <w:bCs w:val="0"/>
          <w:sz w:val="28"/>
          <w:szCs w:val="28"/>
        </w:rPr>
      </w:pPr>
      <w:r/>
      <w:bookmarkStart w:id="203" w:name="_Toc227167499"/>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203"/>
      <w:r>
        <w:rPr>
          <w:rFonts w:hint="eastAsia" w:ascii="黑体" w:hAnsi="华文中宋" w:eastAsia="黑体"/>
          <w:b w:val="0"/>
          <w:bCs w:val="0"/>
          <w:sz w:val="28"/>
          <w:szCs w:val="28"/>
        </w:rPr>
        <w:t xml:space="preserve"> </w:t>
      </w:r>
      <w:r/>
    </w:p>
    <w:p>
      <w:pPr>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956"/>
        <w:ind w:left="0" w:firstLine="420"/>
        <w:spacing w:after="0"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spacing w:line="400" w:lineRule="exact"/>
        <w:rPr>
          <w:rFonts w:hint="eastAsia" w:ascii="宋体" w:hAnsi="宋体"/>
          <w:b/>
          <w:szCs w:val="21"/>
        </w:rPr>
      </w:pPr>
      <w:r>
        <w:rPr>
          <w:rFonts w:hint="eastAsia" w:ascii="宋体" w:hAnsi="宋体"/>
          <w:b/>
          <w:szCs w:val="21"/>
        </w:rPr>
        <w:t xml:space="preserve">项目信息</w:t>
      </w:r>
      <w:r/>
    </w:p>
    <w:p>
      <w:pPr>
        <w:pStyle w:val="956"/>
        <w:numPr>
          <w:ilvl w:val="0"/>
          <w:numId w:val="6"/>
        </w:numPr>
        <w:spacing w:after="0" w:line="400" w:lineRule="exact"/>
        <w:rPr>
          <w:rFonts w:hint="eastAsia"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956"/>
        <w:ind w:left="0"/>
        <w:spacing w:after="0" w:line="400" w:lineRule="exact"/>
        <w:tabs>
          <w:tab w:val="left" w:pos="999" w:leader="none"/>
        </w:tabs>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956"/>
        <w:ind w:left="0" w:firstLine="420"/>
        <w:spacing w:after="0" w:line="400" w:lineRule="exact"/>
        <w:rPr>
          <w:rFonts w:hint="eastAsia"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hint="eastAsia" w:ascii="宋体" w:hAnsi="宋体"/>
          <w:szCs w:val="21"/>
          <w:u w:val="single"/>
        </w:rPr>
      </w:pPr>
      <w:r>
        <w:rPr>
          <w:rFonts w:hint="eastAsia" w:ascii="宋体" w:hAnsi="宋体"/>
          <w:szCs w:val="21"/>
        </w:rPr>
        <w:t xml:space="preserve">采购标的</w:t>
      </w:r>
      <w:r>
        <w:rPr>
          <w:rFonts w:hint="eastAsia" w:ascii="宋体" w:hAnsi="宋体"/>
          <w:szCs w:val="21"/>
        </w:rPr>
        <w:t xml:space="preserve">的</w:t>
      </w:r>
      <w:r>
        <w:rPr>
          <w:rFonts w:hint="eastAsia" w:ascii="宋体" w:hAnsi="宋体"/>
          <w:szCs w:val="21"/>
        </w:rPr>
        <w:t xml:space="preserve">技术要求、商务要求具体见附件。</w:t>
      </w:r>
      <w:r/>
    </w:p>
    <w:p>
      <w:pPr>
        <w:ind w:firstLine="945"/>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53"/>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53"/>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53"/>
        <w:ind w:firstLine="42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53"/>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53"/>
        <w:ind w:firstLine="42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w:t>
      </w:r>
      <w:r>
        <w:rPr>
          <w:rFonts w:hint="eastAsia" w:ascii="宋体" w:hAnsi="宋体" w:eastAsia="宋体" w:cs="宋体"/>
          <w:sz w:val="21"/>
        </w:rPr>
        <w:t xml:space="preserve">《政府采购品目分类目录》底级品目</w:t>
      </w:r>
      <w:r>
        <w:rPr>
          <w:rFonts w:hint="eastAsia" w:ascii="宋体" w:hAnsi="宋体" w:eastAsia="宋体" w:cs="宋体"/>
          <w:sz w:val="21"/>
        </w:rPr>
        <w:t xml:space="preserve">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53"/>
        <w:ind w:firstLine="42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53"/>
        <w:ind w:firstLine="420"/>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53"/>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53"/>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53"/>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53"/>
        <w:rPr>
          <w:rFonts w:hint="eastAsia" w:ascii="宋体" w:hAnsi="宋体" w:eastAsia="宋体" w:cs="Times New Roman"/>
          <w:sz w:val="21"/>
        </w:rPr>
      </w:pPr>
      <w:r>
        <w:rPr>
          <w:rFonts w:hint="eastAsia" w:ascii="宋体" w:hAnsi="宋体"/>
        </w:rPr>
        <w:t xml:space="preserve"> </w:t>
      </w: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w:t>
      </w:r>
      <w:r>
        <w:rPr>
          <w:rFonts w:hint="eastAsia"/>
        </w:rPr>
        <w:t xml:space="preserve">若本项目</w:t>
      </w:r>
      <w:r>
        <w:rPr>
          <w:rFonts w:hint="eastAsia"/>
        </w:rPr>
        <w:t xml:space="preserve">不</w:t>
      </w:r>
      <w:r>
        <w:rPr>
          <w:rFonts w:hint="eastAsia"/>
        </w:rPr>
        <w:t xml:space="preserve">专门面向中小企业采购，是否给予小</w:t>
      </w:r>
      <w:r>
        <w:rPr>
          <w:rFonts w:hint="eastAsia"/>
        </w:rPr>
        <w:t xml:space="preserve">微企业</w:t>
      </w:r>
      <w:r>
        <w:rPr>
          <w:rFonts w:hint="eastAsia"/>
        </w:rPr>
        <w:t xml:space="preserve">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53"/>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w:t>
      </w:r>
      <w:r>
        <w:rPr>
          <w:rFonts w:hint="eastAsia" w:ascii="宋体" w:hAnsi="宋体" w:cs="宋体"/>
          <w:szCs w:val="21"/>
        </w:rPr>
        <w:t xml:space="preserve">《政府采购品目分类目录》底级品目</w:t>
      </w: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53"/>
        <w:ind w:firstLine="420"/>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53"/>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w:t>
      </w:r>
      <w:r>
        <w:rPr>
          <w:rFonts w:hint="eastAsia" w:ascii="宋体" w:hAnsi="宋体" w:eastAsia="宋体" w:cs="Times New Roman"/>
          <w:sz w:val="21"/>
        </w:rPr>
        <w:t xml:space="preserve">的底级品目</w:t>
      </w:r>
      <w:r>
        <w:rPr>
          <w:rFonts w:hint="eastAsia" w:ascii="宋体" w:hAnsi="宋体" w:eastAsia="宋体" w:cs="Times New Roman"/>
          <w:sz w:val="21"/>
        </w:rPr>
        <w:t xml:space="preserve">名称：</w:t>
      </w:r>
      <w:r>
        <w:rPr>
          <w:rFonts w:hint="eastAsia" w:ascii="宋体" w:hAnsi="宋体" w:eastAsia="宋体"/>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53"/>
        <w:ind w:firstLine="420"/>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5"/>
        </w:numPr>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spacing w:line="400" w:lineRule="exact"/>
        <w:rPr>
          <w:rFonts w:hint="eastAsia" w:ascii="宋体" w:hAnsi="宋体"/>
          <w:szCs w:val="21"/>
        </w:rPr>
      </w:pPr>
      <w:r>
        <w:rPr>
          <w:rFonts w:hint="eastAsia" w:ascii="宋体" w:hAnsi="宋体"/>
          <w:szCs w:val="21"/>
        </w:rPr>
        <w:t xml:space="preserve">    （2）合同定价方式（采用组合定价方式的，</w:t>
      </w:r>
      <w:r>
        <w:rPr>
          <w:rFonts w:hint="eastAsia" w:ascii="宋体" w:hAnsi="宋体"/>
          <w:szCs w:val="21"/>
        </w:rPr>
        <w:t xml:space="preserve">可以勾选多项</w:t>
      </w:r>
      <w:r>
        <w:rPr>
          <w:rFonts w:hint="eastAsia" w:ascii="宋体" w:hAnsi="宋体"/>
          <w:szCs w:val="21"/>
        </w:rPr>
        <w:t xml:space="preserve">）：</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21"/>
        <w:ind w:left="0" w:firstLine="420"/>
        <w:spacing w:line="400" w:lineRule="exact"/>
        <w:rPr>
          <w:sz w:val="21"/>
          <w:szCs w:val="21"/>
          <w:lang w:eastAsia="zh-CN"/>
        </w:rPr>
      </w:pPr>
      <w:r>
        <w:rPr>
          <w:rFonts w:hint="eastAsia" w:ascii="宋体" w:hAnsi="宋体"/>
          <w:sz w:val="21"/>
          <w:szCs w:val="21"/>
          <w:lang w:eastAsia="zh-CN"/>
        </w:rPr>
        <w:t xml:space="preserve">（3）付款方式（按项目</w:t>
      </w:r>
      <w:r>
        <w:rPr>
          <w:rFonts w:hint="eastAsia" w:ascii="宋体" w:hAnsi="宋体"/>
          <w:sz w:val="21"/>
          <w:szCs w:val="21"/>
          <w:lang w:eastAsia="zh-CN"/>
        </w:rPr>
        <w:t xml:space="preserve">实际勾选填写</w:t>
      </w:r>
      <w:r>
        <w:rPr>
          <w:rFonts w:hint="eastAsia" w:ascii="宋体" w:hAnsi="宋体"/>
          <w:sz w:val="21"/>
          <w:szCs w:val="21"/>
          <w:lang w:eastAsia="zh-CN"/>
        </w:rPr>
        <w:t xml:space="preserve">）：</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þ</w:t>
      </w:r>
      <w:r>
        <w:rPr>
          <w:rFonts w:hint="eastAsia" w:ascii="宋体" w:hAnsi="宋体"/>
          <w:szCs w:val="21"/>
        </w:rPr>
        <w:t xml:space="preserve">分期付款：</w:t>
      </w:r>
      <w:r>
        <w:rPr>
          <w:rFonts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ascii="宋体" w:hAnsi="宋体"/>
          <w:szCs w:val="21"/>
          <w:u w:val="single"/>
        </w:rPr>
        <w:t xml:space="preserve"> （应明确预付款的支付比例和支付条件）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5"/>
        </w:numPr>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þ</w:t>
      </w:r>
      <w:r>
        <w:rPr>
          <w:rFonts w:hint="eastAsia" w:ascii="宋体" w:hAnsi="宋体" w:cs="宋体"/>
          <w:szCs w:val="21"/>
        </w:rPr>
        <w:t xml:space="preserve">否</w:t>
      </w:r>
      <w:r/>
    </w:p>
    <w:p>
      <w:pPr>
        <w:pStyle w:val="953"/>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953"/>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p>
    <w:p>
      <w:pPr>
        <w:numPr>
          <w:ilvl w:val="0"/>
          <w:numId w:val="5"/>
        </w:numPr>
        <w:spacing w:line="400" w:lineRule="exact"/>
        <w:rPr>
          <w:rFonts w:hint="eastAsia" w:ascii="宋体" w:hAnsi="宋体"/>
          <w:b/>
          <w:szCs w:val="21"/>
        </w:rPr>
      </w:pPr>
      <w:r>
        <w:rPr>
          <w:rFonts w:hint="eastAsia" w:ascii="宋体" w:hAnsi="宋体"/>
          <w:b/>
          <w:szCs w:val="21"/>
        </w:rPr>
        <w:t xml:space="preserve">合同验收</w:t>
      </w:r>
      <w:r/>
    </w:p>
    <w:p>
      <w:pPr>
        <w:numPr>
          <w:ilvl w:val="0"/>
          <w:numId w:val="7"/>
        </w:numPr>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hint="eastAsia"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953"/>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5"/>
        </w:numPr>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pStyle w:val="953"/>
        <w:ind w:firstLine="420"/>
        <w:rPr>
          <w:rFonts w:hint="eastAsia" w:ascii="宋体" w:hAnsi="宋体" w:eastAsia="宋体" w:cs="宋体"/>
          <w:sz w:val="21"/>
        </w:rPr>
      </w:pPr>
      <w:r>
        <w:rPr>
          <w:rFonts w:hint="eastAsia" w:ascii="宋体" w:hAnsi="宋体" w:eastAsia="宋体" w:cs="宋体"/>
          <w:sz w:val="21"/>
        </w:rPr>
        <w:t xml:space="preserve">（8）国家法律、行政法规和规章制度规定或合同约定的作为合同组成部分的其他文件</w:t>
      </w:r>
      <w:r/>
    </w:p>
    <w:p>
      <w:pPr>
        <w:numPr>
          <w:ilvl w:val="0"/>
          <w:numId w:val="5"/>
        </w:numPr>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5"/>
        </w:numPr>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ind w:firstLine="420"/>
        <w:spacing w:line="400" w:lineRule="exact"/>
        <w:rPr>
          <w:rFonts w:hint="eastAsia" w:ascii="宋体" w:hAnsi="宋体"/>
          <w:szCs w:val="21"/>
        </w:rPr>
      </w:pPr>
      <w:r>
        <w:rPr>
          <w:rFonts w:ascii="宋体" w:hAnsi="宋体"/>
          <w:szCs w:val="21"/>
        </w:rPr>
        <w:t xml:space="preserve">  </w:t>
      </w:r>
      <w:r/>
    </w:p>
    <w:p>
      <w:pPr>
        <w:pStyle w:val="921"/>
        <w:rPr>
          <w:lang w:eastAsia="zh-CN"/>
        </w:rPr>
      </w:pPr>
      <w:r>
        <w:rPr>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110"/>
        <w:gridCol w:w="3078"/>
        <w:gridCol w:w="1160"/>
        <w:gridCol w:w="2827"/>
      </w:tblGrid>
      <w:tr>
        <w:trPr>
          <w:trHeight w:val="490"/>
        </w:trPr>
        <w:tc>
          <w:tcPr>
            <w:gridSpan w:val="2"/>
            <w:tcW w:w="4303"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cantSplit/>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cantSplit/>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956"/>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954"/>
        <w:spacing w:before="156"/>
        <w:rPr>
          <w:rFonts w:hint="eastAsia" w:ascii="黑体" w:hAnsi="黑体" w:eastAsia="黑体"/>
          <w:sz w:val="28"/>
          <w:szCs w:val="28"/>
        </w:rPr>
      </w:pPr>
      <w:r>
        <w:rPr>
          <w:rFonts w:ascii="宋体" w:hAnsi="宋体"/>
          <w:sz w:val="21"/>
          <w:szCs w:val="21"/>
          <w:u w:val="single"/>
        </w:rPr>
        <w:br w:type="page" w:clear="all"/>
      </w:r>
      <w:bookmarkStart w:id="204" w:name="_Toc227167500"/>
      <w:r>
        <w:rPr>
          <w:rFonts w:hint="eastAsia" w:ascii="黑体" w:hAnsi="黑体" w:eastAsia="黑体"/>
          <w:b w:val="0"/>
          <w:bCs w:val="0"/>
          <w:sz w:val="28"/>
          <w:szCs w:val="28"/>
        </w:rPr>
        <w:t xml:space="preserve">第二节 政府采购合同通用条款</w:t>
      </w:r>
      <w:bookmarkEnd w:id="204"/>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szCs w:val="21"/>
        </w:rPr>
        <w:t xml:space="preserve">商履行</w:t>
      </w:r>
      <w:r>
        <w:rPr>
          <w:rFonts w:hint="eastAsia" w:ascii="宋体" w:hAnsi="宋体"/>
          <w:szCs w:val="21"/>
        </w:rPr>
        <w:t xml:space="preserve">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8"/>
        </w:numPr>
        <w:jc w:val="left"/>
        <w:spacing w:line="400" w:lineRule="exact"/>
        <w:rPr>
          <w:rFonts w:hint="eastAsia" w:ascii="宋体" w:hAnsi="宋体"/>
          <w:b/>
          <w:bCs/>
          <w:sz w:val="24"/>
        </w:rPr>
      </w:pPr>
      <w:r>
        <w:rPr>
          <w:rFonts w:hint="eastAsia" w:ascii="宋体" w:hAnsi="宋体"/>
          <w:b/>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w:t>
      </w:r>
      <w:r>
        <w:rPr>
          <w:rFonts w:hint="eastAsia" w:ascii="宋体" w:hAnsi="宋体"/>
          <w:szCs w:val="21"/>
        </w:rPr>
        <w:t xml:space="preserve">用均应包含在合同价款中，甲方不再另行支付</w:t>
      </w:r>
      <w:r>
        <w:rPr>
          <w:rFonts w:ascii="宋体" w:hAnsi="宋体"/>
          <w:szCs w:val="21"/>
          <w:lang w:val="en"/>
        </w:rPr>
        <w:t xml:space="preserve">其他</w:t>
      </w:r>
      <w:r>
        <w:rPr>
          <w:rFonts w:hint="eastAsia" w:ascii="宋体" w:hAnsi="宋体"/>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jc w:val="left"/>
        <w:spacing w:line="400" w:lineRule="exact"/>
        <w:rPr>
          <w:rFonts w:hint="eastAsia"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 </w:t>
      </w:r>
      <w:r>
        <w:rPr>
          <w:rFonts w:ascii="宋体" w:hAnsi="宋体"/>
          <w:szCs w:val="21"/>
        </w:rPr>
        <w:t xml:space="preserve">甲方</w:t>
      </w:r>
      <w:r>
        <w:rPr>
          <w:rFonts w:hint="eastAsia" w:ascii="宋体" w:hAnsi="宋体"/>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szCs w:val="21"/>
        </w:rPr>
        <w:t xml:space="preserve">视为验收通过。</w:t>
      </w:r>
      <w:r/>
    </w:p>
    <w:p>
      <w:pPr>
        <w:ind w:firstLine="420"/>
        <w:jc w:val="left"/>
        <w:spacing w:line="400" w:lineRule="exact"/>
        <w:rPr>
          <w:rFonts w:hint="eastAsia"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jc w:val="left"/>
        <w:spacing w:line="400" w:lineRule="exact"/>
        <w:rPr>
          <w:rFonts w:hint="eastAsia" w:ascii="宋体" w:hAnsi="宋体"/>
          <w:szCs w:val="21"/>
        </w:rPr>
      </w:pPr>
      <w:r>
        <w:rPr>
          <w:rFonts w:hint="eastAsia" w:ascii="宋体" w:hAnsi="宋体"/>
          <w:szCs w:val="21"/>
        </w:rPr>
        <w:t xml:space="preserve">4.6</w:t>
      </w:r>
      <w:r>
        <w:rPr>
          <w:rFonts w:ascii="宋体" w:hAnsi="宋体"/>
          <w:szCs w:val="21"/>
        </w:rPr>
        <w:t xml:space="preserve"> </w:t>
      </w:r>
      <w:r>
        <w:rPr>
          <w:rFonts w:hint="eastAsia" w:ascii="宋体" w:hAnsi="宋体"/>
          <w:szCs w:val="21"/>
        </w:rPr>
        <w:t xml:space="preserve">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jc w:val="left"/>
        <w:spacing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ind w:firstLine="420"/>
        <w:jc w:val="left"/>
        <w:spacing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乙方有权根据合同约定向甲方收取合同价款。</w:t>
      </w:r>
      <w:r/>
    </w:p>
    <w:p>
      <w:pPr>
        <w:ind w:firstLine="420"/>
        <w:jc w:val="left"/>
        <w:spacing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4</w:t>
      </w:r>
      <w:r>
        <w:rPr>
          <w:rFonts w:hint="eastAsia" w:ascii="宋体" w:hAnsi="宋体"/>
          <w:szCs w:val="21"/>
        </w:rPr>
        <w:t xml:space="preserve">国家法律法规规定及</w:t>
      </w:r>
      <w:r>
        <w:rPr>
          <w:rFonts w:hint="eastAsia" w:ascii="宋体" w:hAnsi="宋体"/>
          <w:b/>
          <w:szCs w:val="21"/>
        </w:rPr>
        <w:t xml:space="preserve">【政府采购合同专用条款】</w:t>
      </w:r>
      <w:r>
        <w:rPr>
          <w:rFonts w:hint="eastAsia" w:ascii="宋体" w:hAnsi="宋体"/>
          <w:szCs w:val="21"/>
        </w:rPr>
        <w:t xml:space="preserve">约定应由乙方承担的其他义务和责任。</w:t>
      </w:r>
      <w:r/>
    </w:p>
    <w:p>
      <w:pPr>
        <w:numPr>
          <w:ilvl w:val="0"/>
          <w:numId w:val="9"/>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953"/>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pStyle w:val="957"/>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57"/>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w:t>
      </w:r>
      <w:r>
        <w:rPr>
          <w:rFonts w:hint="eastAsia" w:ascii="宋体" w:hAnsi="宋体"/>
          <w:szCs w:val="21"/>
        </w:rPr>
        <w:t xml:space="preserve">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hint="eastAsia"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13. 履约保证金</w:t>
      </w:r>
      <w:r/>
    </w:p>
    <w:p>
      <w:pPr>
        <w:ind w:firstLine="420"/>
        <w:spacing w:line="400" w:lineRule="exact"/>
      </w:pPr>
      <w:r>
        <w:rPr>
          <w:rFonts w:hint="eastAsia" w:ascii="宋体" w:hAnsi="宋体"/>
          <w:szCs w:val="21"/>
        </w:rPr>
        <w:t xml:space="preserve">13.1 </w:t>
      </w:r>
      <w:r>
        <w:rPr>
          <w:rFonts w:hint="eastAsia" w:ascii="宋体" w:hAnsi="宋体" w:cs="宋体"/>
          <w:szCs w:val="15"/>
        </w:rPr>
        <w:t xml:space="preserve">本项不收取履约保证金。</w:t>
      </w:r>
      <w:r>
        <w:rPr>
          <w:rFonts w:hint="eastAsia" w:ascii="宋体" w:hAnsi="宋体"/>
          <w:szCs w:val="21"/>
        </w:rPr>
        <w:t xml:space="preserve">        </w:t>
      </w:r>
      <w:r>
        <w:rPr>
          <w:rFonts w:hint="eastAsia" w:ascii="宋体" w:hAnsi="宋体" w:cs="宋体"/>
          <w:szCs w:val="15"/>
        </w:rPr>
        <w:t xml:space="preserve"> </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53"/>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w:t>
      </w:r>
      <w:r>
        <w:rPr>
          <w:rFonts w:hint="eastAsia" w:ascii="宋体" w:hAnsi="宋体"/>
          <w:szCs w:val="21"/>
        </w:rPr>
        <w:t xml:space="preserve">合同并要求乙方承担由此给甲方造成的损失。</w:t>
      </w:r>
      <w:r/>
    </w:p>
    <w:p>
      <w:pPr>
        <w:pStyle w:val="953"/>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53"/>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53"/>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953"/>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53"/>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53"/>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w:t>
      </w:r>
      <w:r>
        <w:rPr>
          <w:rFonts w:hint="eastAsia" w:ascii="宋体" w:hAnsi="宋体"/>
          <w:szCs w:val="21"/>
        </w:rPr>
        <w:t xml:space="preserve">包专门</w:t>
      </w:r>
      <w:r>
        <w:rPr>
          <w:rFonts w:hint="eastAsia" w:ascii="宋体" w:hAnsi="宋体"/>
          <w:szCs w:val="21"/>
        </w:rPr>
        <w:t xml:space="preserve">预留、要求以联合体形</w:t>
      </w:r>
      <w:r>
        <w:rPr>
          <w:rFonts w:hint="eastAsia" w:ascii="宋体" w:hAnsi="宋体"/>
          <w:szCs w:val="21"/>
        </w:rPr>
        <w:t xml:space="preserve">式参加</w:t>
      </w:r>
      <w:r>
        <w:rPr>
          <w:rFonts w:hint="eastAsia" w:ascii="宋体" w:hAnsi="宋体"/>
          <w:szCs w:val="21"/>
        </w:rPr>
        <w:t xml:space="preserve">或者合同分包等措施签订的采购合同，应当明确标注本合同为中小企业预留合同。其中，要求以联合体形</w:t>
      </w:r>
      <w:r>
        <w:rPr>
          <w:rFonts w:hint="eastAsia" w:ascii="宋体" w:hAnsi="宋体"/>
          <w:szCs w:val="21"/>
        </w:rPr>
        <w:t xml:space="preserve">式参加</w:t>
      </w:r>
      <w:r>
        <w:rPr>
          <w:rFonts w:hint="eastAsia" w:ascii="宋体" w:hAnsi="宋体"/>
          <w:szCs w:val="21"/>
        </w:rPr>
        <w:t xml:space="preserve">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953"/>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53"/>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953"/>
        <w:ind w:firstLine="420"/>
        <w:jc w:val="both"/>
        <w:rPr>
          <w:rFonts w:hint="eastAsia"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953"/>
        <w:ind w:firstLine="42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954"/>
        <w:rPr>
          <w:rFonts w:hint="eastAsia" w:ascii="黑体" w:hAnsi="华文中宋" w:eastAsia="黑体"/>
          <w:b w:val="0"/>
          <w:bCs w:val="0"/>
          <w:sz w:val="28"/>
          <w:szCs w:val="28"/>
        </w:rPr>
      </w:pPr>
      <w:r/>
      <w:bookmarkStart w:id="205" w:name="_Toc227167501"/>
      <w:r>
        <w:rPr>
          <w:rFonts w:hint="eastAsia" w:ascii="黑体" w:hAnsi="华文中宋" w:eastAsia="黑体"/>
          <w:b w:val="0"/>
          <w:bCs w:val="0"/>
          <w:sz w:val="28"/>
          <w:szCs w:val="28"/>
        </w:rPr>
        <w:t xml:space="preserve">第三节 政府采购合同专用条款</w:t>
      </w:r>
      <w:bookmarkEnd w:id="205"/>
      <w:r/>
      <w:r/>
    </w:p>
    <w:tbl>
      <w:tblPr>
        <w:tblW w:w="851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不接受联合体。</w:t>
            </w:r>
            <w:r/>
          </w:p>
        </w:tc>
      </w:tr>
      <w:tr>
        <w:trPr>
          <w:trHeight w:val="60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w:t>
            </w:r>
            <w:r>
              <w:rPr>
                <w:rFonts w:hint="eastAsia" w:ascii="宋体" w:hAnsi="宋体"/>
                <w:szCs w:val="21"/>
              </w:rPr>
              <w:t xml:space="preserve">作出</w:t>
            </w:r>
            <w:r>
              <w:rPr>
                <w:rFonts w:hint="eastAsia" w:ascii="宋体" w:hAnsi="宋体"/>
                <w:szCs w:val="21"/>
              </w:rPr>
              <w:t xml:space="preserve">说明的期限</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30天内。</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无。</w:t>
            </w:r>
            <w:r/>
          </w:p>
        </w:tc>
      </w:tr>
      <w:tr>
        <w:trPr>
          <w:cantSplit/>
          <w:trHeight w:val="667"/>
        </w:trPr>
        <w:tc>
          <w:tcPr>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Pr>
                <w:rFonts w:hint="eastAsia"/>
              </w:rPr>
              <w:t xml:space="preserve">无。</w:t>
            </w:r>
            <w:r/>
          </w:p>
        </w:tc>
      </w:tr>
      <w:tr>
        <w:trPr>
          <w:cantSplit/>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r>
              <w:rPr>
                <w:rFonts w:hint="eastAsia" w:ascii="宋体" w:hAnsi="宋体" w:cs="宋体"/>
                <w:bCs/>
                <w:szCs w:val="21"/>
              </w:rPr>
              <w:t xml:space="preserve">甲方指定地点，由乙方负责办理运输和装卸等，费用由乙方负责，甲方组织验收，检验不合格或不符合质量要求，供应商除无条件退货、返工外，还应承担甲方由此造成的一切损失。</w:t>
            </w:r>
            <w:r/>
          </w:p>
        </w:tc>
      </w:tr>
      <w:tr>
        <w:trPr>
          <w:trHeight w:val="772"/>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Pr>
                <w:rFonts w:hint="eastAsia"/>
              </w:rPr>
              <w:t xml:space="preserve">无。</w:t>
            </w:r>
            <w:r/>
          </w:p>
        </w:tc>
      </w:tr>
      <w:tr>
        <w:trPr>
          <w:trHeight w:val="66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r>
              <w:rPr>
                <w:rFonts w:hint="eastAsia"/>
              </w:rPr>
              <w:t xml:space="preserve">无。</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u w:val="single"/>
              </w:rPr>
              <w:t xml:space="preserve">24</w:t>
            </w:r>
            <w:r>
              <w:rPr>
                <w:rFonts w:hint="eastAsia" w:ascii="宋体" w:hAnsi="宋体"/>
                <w:szCs w:val="21"/>
              </w:rPr>
              <w:t xml:space="preserve">个月。</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30分钟。</w:t>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953"/>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无。</w:t>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无。</w:t>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无。</w:t>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u w:val="single"/>
              </w:rPr>
              <w:t xml:space="preserve">    </w:t>
            </w:r>
            <w:r>
              <w:rPr>
                <w:rFonts w:hint="eastAsia" w:ascii="宋体" w:hAnsi="宋体"/>
                <w:szCs w:val="21"/>
              </w:rPr>
              <w:t xml:space="preserve">个</w:t>
            </w:r>
            <w:r>
              <w:rPr>
                <w:rFonts w:hint="eastAsia" w:ascii="宋体" w:hAnsi="宋体"/>
                <w:szCs w:val="21"/>
              </w:rPr>
              <w:t xml:space="preserve">月。</w:t>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24个月的</w:t>
            </w:r>
            <w:r>
              <w:rPr>
                <w:rFonts w:hint="eastAsia" w:ascii="宋体" w:hAnsi="宋体"/>
                <w:szCs w:val="21"/>
              </w:rPr>
              <w:t xml:space="preserve">免费维保服务</w:t>
            </w:r>
            <w:r>
              <w:rPr>
                <w:rFonts w:hint="eastAsia" w:ascii="宋体" w:hAnsi="宋体"/>
                <w:szCs w:val="21"/>
              </w:rPr>
              <w:t xml:space="preserve">。</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rPr>
              <w:t xml:space="preserve">设备价的0.3%/台/天。</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rPr>
              <w:t xml:space="preserve">无。</w:t>
            </w:r>
            <w:r/>
          </w:p>
        </w:tc>
      </w:tr>
      <w:tr>
        <w:trPr>
          <w:trHeight w:val="87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rPr>
              <w:t xml:space="preserve">无。</w:t>
            </w:r>
            <w:r/>
          </w:p>
        </w:tc>
      </w:tr>
      <w:tr>
        <w:trPr>
          <w:trHeight w:val="9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2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南京市江宁区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南京市江宁区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南京市江宁区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无。</w:t>
            </w:r>
            <w:r/>
          </w:p>
        </w:tc>
      </w:tr>
    </w:tbl>
    <w:p>
      <w:pPr>
        <w:pStyle w:val="955"/>
        <w:jc w:val="center"/>
        <w:rPr>
          <w:rFonts w:ascii="黑体" w:hAnsi="Courier New" w:eastAsia="黑体" w:cs="Courier New"/>
          <w:bCs/>
          <w:sz w:val="44"/>
          <w:szCs w:val="21"/>
        </w:rPr>
      </w:pPr>
      <w:r>
        <w:rPr>
          <w:rFonts w:ascii="黑体" w:hAnsi="Courier New" w:eastAsia="黑体" w:cs="Courier New"/>
          <w:bCs/>
          <w:sz w:val="44"/>
          <w:szCs w:val="21"/>
        </w:rPr>
      </w:r>
      <w:r/>
    </w:p>
    <w:p>
      <w:pPr>
        <w:pStyle w:val="868"/>
        <w:jc w:val="center"/>
        <w:rPr>
          <w:rFonts w:ascii="宋体" w:hAnsi="宋体" w:cs="宋体"/>
          <w:b/>
          <w:bCs/>
          <w:spacing w:val="-20"/>
          <w:sz w:val="48"/>
          <w:szCs w:val="48"/>
        </w:rPr>
      </w:pPr>
      <w:r>
        <w:rPr>
          <w:rFonts w:ascii="宋体" w:hAnsi="宋体" w:cs="宋体"/>
          <w:b/>
          <w:bCs/>
          <w:spacing w:val="-20"/>
          <w:sz w:val="48"/>
          <w:szCs w:val="48"/>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keepNext/>
        <w:rPr>
          <w:rFonts w:ascii="黑体" w:eastAsia="黑体"/>
          <w:b/>
          <w:bCs/>
          <w:sz w:val="44"/>
          <w:szCs w:val="28"/>
        </w:rPr>
        <w:outlineLvl w:val="0"/>
      </w:pPr>
      <w:r/>
      <w:bookmarkStart w:id="206" w:name="_Toc227167502"/>
      <w:r>
        <w:rPr>
          <w:rFonts w:hint="eastAsia" w:ascii="黑体" w:eastAsia="黑体"/>
          <w:b/>
          <w:bCs/>
          <w:sz w:val="44"/>
          <w:szCs w:val="28"/>
        </w:rPr>
        <w:t xml:space="preserve">第</w:t>
      </w:r>
      <w:bookmarkEnd w:id="197"/>
      <w:r>
        <w:rPr>
          <w:rFonts w:hint="eastAsia" w:ascii="黑体" w:eastAsia="黑体"/>
          <w:b/>
          <w:bCs/>
          <w:sz w:val="44"/>
          <w:szCs w:val="28"/>
        </w:rPr>
        <w:t xml:space="preserve">四章 采购需求</w:t>
      </w:r>
      <w:bookmarkEnd w:id="198"/>
      <w:r/>
      <w:bookmarkEnd w:id="199"/>
      <w:r/>
      <w:bookmarkEnd w:id="200"/>
      <w:r/>
      <w:bookmarkEnd w:id="206"/>
      <w:r/>
      <w:r/>
    </w:p>
    <w:p>
      <w:pPr>
        <w:spacing w:line="0" w:lineRule="atLeast"/>
        <w:rPr>
          <w:rFonts w:hint="eastAsia" w:ascii="宋体" w:hAnsi="宋体"/>
          <w:sz w:val="24"/>
          <w:szCs w:val="24"/>
        </w:rPr>
      </w:pPr>
      <w:r/>
      <w:bookmarkStart w:id="207" w:name="_Toc49090575"/>
      <w:r/>
      <w:bookmarkStart w:id="208" w:name="_Toc26554093"/>
      <w:r/>
      <w:r/>
    </w:p>
    <w:p>
      <w:pPr>
        <w:ind w:firstLine="482"/>
        <w:rPr>
          <w:rFonts w:hint="eastAsia" w:ascii="宋体" w:hAnsi="宋体" w:cs="宋体"/>
          <w:b/>
          <w:sz w:val="24"/>
          <w:szCs w:val="24"/>
        </w:rPr>
      </w:pPr>
      <w:r/>
      <w:bookmarkStart w:id="209" w:name="_Toc120614281"/>
      <w:r>
        <w:rPr>
          <w:rFonts w:hint="eastAsia" w:ascii="宋体" w:hAnsi="宋体" w:cs="宋体"/>
          <w:b/>
          <w:sz w:val="24"/>
          <w:szCs w:val="24"/>
        </w:rPr>
        <w:t xml:space="preserve">项目属性：货物类。</w:t>
      </w:r>
      <w:r/>
    </w:p>
    <w:p>
      <w:pPr>
        <w:numPr>
          <w:ilvl w:val="0"/>
          <w:numId w:val="12"/>
        </w:numPr>
        <w:spacing w:line="360" w:lineRule="auto"/>
        <w:rPr>
          <w:rFonts w:hint="eastAsia" w:ascii="宋体" w:hAnsi="宋体"/>
          <w:b/>
          <w:bCs/>
          <w:sz w:val="24"/>
          <w:szCs w:val="24"/>
        </w:rPr>
        <w:outlineLvl w:val="1"/>
      </w:pPr>
      <w:r/>
      <w:bookmarkStart w:id="210" w:name="_Toc227167503"/>
      <w:r/>
      <w:bookmarkStart w:id="211" w:name="_Toc220489000"/>
      <w:r>
        <w:rPr>
          <w:rFonts w:hint="eastAsia" w:ascii="宋体" w:hAnsi="宋体"/>
          <w:b/>
          <w:bCs/>
          <w:sz w:val="24"/>
          <w:szCs w:val="24"/>
        </w:rPr>
        <w:t xml:space="preserve">采购标的清单</w:t>
      </w:r>
      <w:bookmarkEnd w:id="210"/>
      <w:r/>
      <w:bookmarkEnd w:id="211"/>
      <w:r/>
      <w:r/>
    </w:p>
    <w:p>
      <w:pPr>
        <w:numPr>
          <w:ilvl w:val="1"/>
          <w:numId w:val="12"/>
        </w:numPr>
        <w:spacing w:line="0" w:lineRule="atLeast"/>
        <w:rPr>
          <w:rFonts w:hint="eastAsia" w:ascii="宋体" w:hAnsi="宋体"/>
          <w:sz w:val="24"/>
          <w:szCs w:val="24"/>
        </w:rPr>
      </w:pPr>
      <w:r>
        <w:rPr>
          <w:rFonts w:hint="eastAsia" w:ascii="宋体" w:hAnsi="宋体"/>
          <w:sz w:val="24"/>
          <w:szCs w:val="24"/>
        </w:rPr>
        <w:t xml:space="preserve">核心产品</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6"/>
        <w:gridCol w:w="3052"/>
      </w:tblGrid>
      <w:t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rPr>
                <w:rFonts w:hint="eastAsia"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Borders>
              <w:top w:val="single" w:color="000000" w:sz="4" w:space="0"/>
              <w:left w:val="single" w:color="000000" w:sz="4" w:space="0"/>
              <w:bottom w:val="single" w:color="000000" w:sz="4" w:space="0"/>
              <w:right w:val="single" w:color="000000" w:sz="4" w:space="0"/>
            </w:tcBorders>
            <w:tcW w:w="3052" w:type="dxa"/>
            <w:textDirection w:val="lrTb"/>
            <w:noWrap w:val="false"/>
          </w:tcPr>
          <w:p>
            <w:pPr>
              <w:jc w:val="center"/>
              <w:rPr>
                <w:rFonts w:hint="eastAsia" w:ascii="宋体" w:hAnsi="宋体"/>
                <w:szCs w:val="21"/>
              </w:rPr>
            </w:pPr>
            <w:r>
              <w:rPr>
                <w:rFonts w:hint="eastAsia" w:ascii="宋体" w:hAnsi="宋体"/>
                <w:szCs w:val="21"/>
              </w:rPr>
              <w:t xml:space="preserve">核心产品</w:t>
            </w:r>
            <w:r/>
          </w:p>
        </w:tc>
      </w:tr>
      <w:t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3052" w:type="dxa"/>
            <w:textDirection w:val="lrTb"/>
            <w:noWrap w:val="false"/>
          </w:tcPr>
          <w:p>
            <w:pPr>
              <w:jc w:val="center"/>
              <w:rPr>
                <w:rFonts w:hint="eastAsia" w:ascii="宋体" w:hAnsi="宋体"/>
                <w:szCs w:val="21"/>
              </w:rPr>
            </w:pPr>
            <w:r>
              <w:rPr>
                <w:rFonts w:hint="eastAsia" w:ascii="宋体" w:hAnsi="宋体" w:cs="宋体"/>
                <w:sz w:val="24"/>
                <w:szCs w:val="24"/>
              </w:rPr>
              <w:t xml:space="preserve">DT8、DT9、DT10、DT11有机房客梯</w:t>
            </w:r>
            <w:r/>
          </w:p>
        </w:tc>
      </w:tr>
    </w:tbl>
    <w:p>
      <w:pPr>
        <w:ind w:left="510"/>
        <w:spacing w:line="0" w:lineRule="atLeast"/>
        <w:rPr>
          <w:rFonts w:hint="eastAsia" w:ascii="宋体" w:hAnsi="宋体"/>
          <w:sz w:val="24"/>
          <w:szCs w:val="24"/>
        </w:rPr>
      </w:pPr>
      <w:r>
        <w:rPr>
          <w:rFonts w:hint="eastAsia" w:ascii="宋体" w:hAnsi="宋体"/>
          <w:sz w:val="24"/>
          <w:szCs w:val="24"/>
        </w:rPr>
        <w:t xml:space="preserve">2、进口产品投标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6"/>
        <w:gridCol w:w="3052"/>
      </w:tblGrid>
      <w:t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rPr>
                <w:rFonts w:hint="eastAsia"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Borders>
              <w:top w:val="single" w:color="000000" w:sz="4" w:space="0"/>
              <w:left w:val="single" w:color="000000" w:sz="4" w:space="0"/>
              <w:bottom w:val="single" w:color="000000" w:sz="4" w:space="0"/>
              <w:right w:val="single" w:color="000000" w:sz="4" w:space="0"/>
            </w:tcBorders>
            <w:tcW w:w="3052" w:type="dxa"/>
            <w:textDirection w:val="lrTb"/>
            <w:noWrap w:val="false"/>
          </w:tcPr>
          <w:p>
            <w:pPr>
              <w:jc w:val="center"/>
              <w:rPr>
                <w:rFonts w:hint="eastAsia" w:ascii="宋体" w:hAnsi="宋体"/>
                <w:szCs w:val="21"/>
              </w:rPr>
            </w:pPr>
            <w:r>
              <w:rPr>
                <w:rFonts w:hint="eastAsia" w:ascii="宋体" w:hAnsi="宋体"/>
                <w:szCs w:val="21"/>
              </w:rPr>
              <w:t xml:space="preserve">是否接受进口产品投标</w:t>
            </w:r>
            <w:r/>
          </w:p>
          <w:p>
            <w:pPr>
              <w:jc w:val="center"/>
              <w:rPr>
                <w:rFonts w:hint="eastAsia" w:ascii="宋体" w:hAnsi="宋体"/>
                <w:szCs w:val="21"/>
              </w:rPr>
            </w:pPr>
            <w:r>
              <w:rPr>
                <w:rFonts w:hint="eastAsia" w:ascii="宋体" w:hAnsi="宋体"/>
                <w:szCs w:val="21"/>
              </w:rPr>
              <w:t xml:space="preserve">（是/否）</w:t>
            </w:r>
            <w:r/>
          </w:p>
        </w:tc>
      </w:tr>
      <w:t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3052" w:type="dxa"/>
            <w:textDirection w:val="lrTb"/>
            <w:noWrap w:val="false"/>
          </w:tcPr>
          <w:p>
            <w:pPr>
              <w:jc w:val="center"/>
              <w:rPr>
                <w:rFonts w:hint="eastAsia" w:ascii="宋体" w:hAnsi="宋体"/>
                <w:szCs w:val="21"/>
              </w:rPr>
            </w:pPr>
            <w:r>
              <w:rPr>
                <w:rFonts w:hint="eastAsia" w:ascii="宋体" w:hAnsi="宋体"/>
                <w:szCs w:val="21"/>
              </w:rPr>
              <w:t xml:space="preserve">否</w:t>
            </w:r>
            <w:r/>
          </w:p>
        </w:tc>
      </w:tr>
    </w:tbl>
    <w:p>
      <w:pPr>
        <w:numPr>
          <w:ilvl w:val="0"/>
          <w:numId w:val="13"/>
        </w:numPr>
        <w:spacing w:line="0" w:lineRule="atLeast"/>
        <w:rPr>
          <w:rFonts w:hint="eastAsia" w:ascii="宋体" w:hAnsi="宋体"/>
          <w:bCs/>
          <w:sz w:val="24"/>
          <w:szCs w:val="24"/>
        </w:rPr>
      </w:pPr>
      <w:r>
        <w:rPr>
          <w:rFonts w:hint="eastAsia" w:ascii="宋体" w:hAnsi="宋体"/>
          <w:bCs/>
          <w:sz w:val="24"/>
          <w:szCs w:val="24"/>
        </w:rPr>
        <w:t xml:space="preserve">采购标的清单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545"/>
        <w:gridCol w:w="3291"/>
        <w:gridCol w:w="2852"/>
      </w:tblGrid>
      <w:tr>
        <w:trPr>
          <w:cantSplit/>
          <w:jc w:val="center"/>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w:t>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采购标的</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对应中小企业划分标准所属行业</w:t>
            </w:r>
            <w:r/>
          </w:p>
        </w:tc>
      </w:tr>
      <w:tr>
        <w:trPr>
          <w:cantSplit/>
          <w:jc w:val="center"/>
          <w:trHeight w:val="291"/>
        </w:trPr>
        <w:tc>
          <w:tcPr>
            <w:tcBorders>
              <w:top w:val="single" w:color="000000" w:sz="4" w:space="0"/>
              <w:left w:val="single" w:color="000000" w:sz="4" w:space="0"/>
              <w:bottom w:val="single" w:color="000000" w:sz="4" w:space="0"/>
              <w:right w:val="single" w:color="000000" w:sz="4" w:space="0"/>
            </w:tcBorders>
            <w:tcW w:w="545" w:type="dxa"/>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spacing w:line="276" w:lineRule="auto"/>
              <w:rPr>
                <w:rFonts w:hint="eastAsia" w:ascii="宋体" w:hAnsi="宋体"/>
                <w:sz w:val="24"/>
                <w:szCs w:val="24"/>
              </w:rPr>
            </w:pPr>
            <w:r>
              <w:rPr>
                <w:rFonts w:hint="eastAsia" w:ascii="宋体" w:hAnsi="宋体" w:cs="宋体"/>
                <w:sz w:val="24"/>
                <w:szCs w:val="24"/>
              </w:rPr>
              <w:t xml:space="preserve">DT1、DT2有机房客梯</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35"/>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spacing w:line="276" w:lineRule="auto"/>
              <w:rPr>
                <w:rFonts w:hint="eastAsia" w:ascii="宋体" w:hAnsi="宋体"/>
                <w:sz w:val="24"/>
                <w:szCs w:val="24"/>
              </w:rPr>
            </w:pPr>
            <w:r>
              <w:rPr>
                <w:rFonts w:hint="eastAsia" w:ascii="宋体" w:hAnsi="宋体" w:cs="宋体"/>
                <w:sz w:val="24"/>
                <w:szCs w:val="24"/>
              </w:rPr>
              <w:t xml:space="preserve">DT3无机房客梯</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22"/>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spacing w:line="276" w:lineRule="auto"/>
              <w:rPr>
                <w:rFonts w:hint="eastAsia" w:ascii="宋体" w:hAnsi="宋体"/>
                <w:sz w:val="24"/>
                <w:szCs w:val="24"/>
              </w:rPr>
            </w:pPr>
            <w:r>
              <w:rPr>
                <w:rFonts w:hint="eastAsia" w:ascii="宋体" w:hAnsi="宋体" w:cs="宋体"/>
                <w:sz w:val="24"/>
                <w:szCs w:val="24"/>
              </w:rPr>
              <w:t xml:space="preserve">DT4无机房客梯</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22"/>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spacing w:line="276" w:lineRule="auto"/>
              <w:rPr>
                <w:rFonts w:hint="eastAsia" w:ascii="宋体" w:hAnsi="宋体"/>
                <w:sz w:val="24"/>
                <w:szCs w:val="24"/>
              </w:rPr>
            </w:pPr>
            <w:r>
              <w:rPr>
                <w:rFonts w:hint="eastAsia" w:ascii="宋体" w:hAnsi="宋体" w:cs="宋体"/>
                <w:sz w:val="24"/>
                <w:szCs w:val="24"/>
              </w:rPr>
              <w:t xml:space="preserve">DT5有机房客梯</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22"/>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spacing w:line="276" w:lineRule="auto"/>
              <w:rPr>
                <w:rFonts w:hint="eastAsia" w:ascii="宋体" w:hAnsi="宋体"/>
                <w:sz w:val="24"/>
                <w:szCs w:val="24"/>
              </w:rPr>
            </w:pPr>
            <w:r>
              <w:rPr>
                <w:rFonts w:hint="eastAsia" w:ascii="宋体" w:hAnsi="宋体" w:cs="宋体"/>
                <w:sz w:val="24"/>
                <w:szCs w:val="24"/>
              </w:rPr>
              <w:t xml:space="preserve">DT6、DT7无机房客梯</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22"/>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DT8有机房客梯</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22"/>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DT9、DT10、DT11有机房客梯</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22"/>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DT12有机房客梯</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22"/>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DT13有机房客梯</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22"/>
        </w:trPr>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spacing w:line="276" w:lineRule="auto"/>
              <w:rPr>
                <w:rFonts w:hint="eastAsia" w:ascii="宋体" w:hAnsi="宋体"/>
                <w:sz w:val="24"/>
                <w:szCs w:val="24"/>
              </w:rPr>
            </w:pPr>
            <w:r>
              <w:rPr>
                <w:rFonts w:hint="eastAsia" w:ascii="宋体" w:hAnsi="宋体" w:cs="宋体"/>
                <w:sz w:val="24"/>
                <w:szCs w:val="24"/>
              </w:rPr>
              <w:t xml:space="preserve">DT14无机房客梯</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bl>
    <w:p>
      <w:r/>
      <w:r/>
    </w:p>
    <w:p>
      <w:pPr>
        <w:spacing w:line="360" w:lineRule="auto"/>
        <w:rPr>
          <w:rFonts w:hint="eastAsia" w:ascii="宋体" w:hAnsi="宋体"/>
          <w:b/>
          <w:bCs/>
          <w:sz w:val="24"/>
          <w:szCs w:val="24"/>
        </w:rPr>
        <w:outlineLvl w:val="1"/>
      </w:pPr>
      <w:r/>
      <w:bookmarkStart w:id="212" w:name="_Toc220489001"/>
      <w:r/>
      <w:bookmarkStart w:id="213" w:name="_Toc227167504"/>
      <w:r>
        <w:rPr>
          <w:rFonts w:hint="eastAsia" w:ascii="宋体" w:hAnsi="宋体"/>
          <w:b/>
          <w:bCs/>
          <w:sz w:val="24"/>
          <w:szCs w:val="24"/>
        </w:rPr>
        <w:t xml:space="preserve">二、政府采购中实施本国产品标准及相关政策</w:t>
      </w:r>
      <w:bookmarkEnd w:id="212"/>
      <w:r/>
      <w:bookmarkEnd w:id="213"/>
      <w:r/>
      <w:r/>
    </w:p>
    <w:p>
      <w:pPr>
        <w:ind w:firstLine="480"/>
        <w:spacing w:line="0" w:lineRule="atLeast"/>
        <w:rPr>
          <w:rFonts w:hint="eastAsia" w:ascii="宋体" w:hAnsi="宋体"/>
          <w:bCs/>
          <w:sz w:val="24"/>
          <w:szCs w:val="24"/>
        </w:rPr>
      </w:pPr>
      <w:r>
        <w:rPr>
          <w:rFonts w:hint="eastAsia" w:ascii="宋体" w:hAnsi="宋体"/>
          <w:bCs/>
          <w:sz w:val="24"/>
          <w:szCs w:val="24"/>
        </w:rPr>
        <w:t xml:space="preserve">1.本项目对采购本国产品给予政策支持，具体内容见招标文件“第五章 评标方法与评标标准”。</w:t>
      </w:r>
      <w:r/>
    </w:p>
    <w:p>
      <w:pPr>
        <w:ind w:firstLine="480"/>
        <w:spacing w:line="0" w:lineRule="atLeast"/>
        <w:rPr>
          <w:rFonts w:hint="eastAsia" w:ascii="宋体" w:hAnsi="宋体"/>
          <w:bCs/>
          <w:sz w:val="24"/>
          <w:szCs w:val="24"/>
        </w:rPr>
      </w:pPr>
      <w:r>
        <w:rPr>
          <w:rFonts w:hint="eastAsia" w:ascii="宋体" w:hAnsi="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0" w:lineRule="atLeast"/>
        <w:rPr>
          <w:rFonts w:hint="eastAsia" w:ascii="宋体" w:hAnsi="宋体"/>
          <w:bCs/>
          <w:sz w:val="24"/>
          <w:szCs w:val="24"/>
        </w:rPr>
      </w:pPr>
      <w:r>
        <w:rPr>
          <w:rFonts w:hint="eastAsia" w:ascii="宋体" w:hAnsi="宋体"/>
          <w:bCs/>
          <w:sz w:val="24"/>
          <w:szCs w:val="24"/>
        </w:rPr>
        <w:t xml:space="preserve">3.本国产品应当在中国境内生产，即在中华人民共和国关境内实现从原材料、组件到产品的属性改变。从具体情形看，在国内保税区、综合保税区等海</w:t>
      </w:r>
      <w:r>
        <w:rPr>
          <w:rFonts w:hint="eastAsia" w:ascii="宋体" w:hAnsi="宋体"/>
          <w:bCs/>
          <w:sz w:val="24"/>
          <w:szCs w:val="24"/>
        </w:rPr>
        <w:t xml:space="preserve">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hint="eastAsia" w:ascii="宋体" w:hAnsi="宋体"/>
          <w:b/>
          <w:bCs/>
          <w:sz w:val="24"/>
          <w:szCs w:val="24"/>
        </w:rPr>
        <w:outlineLvl w:val="1"/>
      </w:pPr>
      <w:r/>
      <w:bookmarkStart w:id="214" w:name="_Toc227167505"/>
      <w:r/>
      <w:bookmarkStart w:id="215" w:name="_Toc220489002"/>
      <w:r>
        <w:rPr>
          <w:rFonts w:hint="eastAsia" w:ascii="宋体" w:hAnsi="宋体"/>
          <w:b/>
          <w:sz w:val="24"/>
          <w:szCs w:val="24"/>
        </w:rPr>
        <w:t xml:space="preserve">三</w:t>
      </w:r>
      <w:r>
        <w:rPr>
          <w:rFonts w:ascii="宋体" w:hAnsi="宋体"/>
          <w:b/>
          <w:sz w:val="24"/>
          <w:szCs w:val="24"/>
        </w:rPr>
        <w:t xml:space="preserve">、</w:t>
      </w:r>
      <w:r>
        <w:rPr>
          <w:rFonts w:hint="eastAsia" w:ascii="宋体" w:hAnsi="宋体"/>
          <w:b/>
          <w:bCs/>
          <w:sz w:val="24"/>
          <w:szCs w:val="24"/>
        </w:rPr>
        <w:t xml:space="preserve">技术部分要求</w:t>
      </w:r>
      <w:bookmarkEnd w:id="214"/>
      <w:r/>
      <w:bookmarkEnd w:id="215"/>
      <w:r/>
      <w:r/>
    </w:p>
    <w:p>
      <w:pPr>
        <w:keepNext/>
        <w:rPr>
          <w:rFonts w:hint="eastAsia" w:ascii="宋体" w:hAnsi="宋体" w:cs="宋体"/>
          <w:b/>
          <w:bCs/>
          <w:sz w:val="24"/>
          <w:szCs w:val="24"/>
        </w:rPr>
        <w:outlineLvl w:val="0"/>
      </w:pPr>
      <w:r/>
      <w:bookmarkStart w:id="216" w:name="_Toc227167506"/>
      <w:r>
        <w:rPr>
          <w:rFonts w:hint="eastAsia" w:ascii="宋体" w:hAnsi="宋体"/>
          <w:b/>
          <w:bCs/>
          <w:sz w:val="24"/>
          <w:szCs w:val="24"/>
        </w:rPr>
        <w:t xml:space="preserve">一）、</w:t>
      </w:r>
      <w:r>
        <w:rPr>
          <w:rFonts w:hint="eastAsia" w:ascii="宋体" w:hAnsi="宋体" w:cs="宋体"/>
          <w:b/>
          <w:bCs/>
          <w:sz w:val="24"/>
          <w:szCs w:val="24"/>
        </w:rPr>
        <w:t xml:space="preserve">项目概述</w:t>
      </w:r>
      <w:bookmarkEnd w:id="216"/>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拟对南京医科大学江宁校区、五台校区两个校区部分电梯进行更换，其中江宁校区7台（药学院2台、逸夫楼1台、博学楼1台、学生食堂1台、图书馆2台）、五台校区7台（研究生公寓4台、留学生公寓2台、学生食堂1台）。现需报废更换两个校区14台电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勘察现场：本项目由采购人统一组织现场集中勘察工作，各投标人提前自行联系采购人办理入校手续。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勘查时间：2026年5月11日 09:00至10:00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现场地点：南京市龙眠大道101号 南京医科大学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联系人：陈老师；联系方式：025-86869249</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现场勘察时投标人代表请持本人身份证、携带企业法人营业执照复印件（加盖企业公章）、法人授权委托书（格式自拟），准时到达现场并签到。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投标人务必对项目现场和周围环境进行仔细认真地踏勘，对现场资料和数据所</w:t>
      </w:r>
      <w:r>
        <w:rPr>
          <w:rFonts w:hint="eastAsia" w:ascii="宋体" w:hAnsi="宋体" w:cs="宋体"/>
          <w:sz w:val="24"/>
          <w:szCs w:val="24"/>
        </w:rPr>
        <w:t xml:space="preserve">作出</w:t>
      </w:r>
      <w:r>
        <w:rPr>
          <w:rFonts w:hint="eastAsia" w:ascii="宋体" w:hAnsi="宋体" w:cs="宋体"/>
          <w:sz w:val="24"/>
          <w:szCs w:val="24"/>
        </w:rPr>
        <w:t xml:space="preserve">的推论、解释和结论及由此造成的后果由投标人负责。未勘察现场或勘察工作不详细的供应商中标后，不得以不完全了解现场情况为理由而向采购人提出任何索赔或其他要求。</w:t>
      </w:r>
      <w:r/>
    </w:p>
    <w:p>
      <w:pPr>
        <w:keepNext/>
        <w:rPr>
          <w:rFonts w:hint="eastAsia" w:ascii="宋体" w:hAnsi="宋体" w:cs="宋体"/>
          <w:b/>
          <w:bCs/>
          <w:sz w:val="24"/>
          <w:szCs w:val="24"/>
        </w:rPr>
        <w:outlineLvl w:val="0"/>
      </w:pPr>
      <w:r/>
      <w:bookmarkStart w:id="217" w:name="_Toc227167507"/>
      <w:r>
        <w:rPr>
          <w:rFonts w:hint="eastAsia" w:ascii="宋体" w:hAnsi="宋体"/>
          <w:b/>
          <w:bCs/>
          <w:sz w:val="24"/>
          <w:szCs w:val="24"/>
        </w:rPr>
        <w:t xml:space="preserve">二）、</w:t>
      </w:r>
      <w:r>
        <w:rPr>
          <w:rFonts w:hint="eastAsia" w:ascii="宋体" w:hAnsi="宋体" w:cs="宋体"/>
          <w:b/>
          <w:bCs/>
          <w:sz w:val="24"/>
          <w:szCs w:val="24"/>
        </w:rPr>
        <w:t xml:space="preserve">货物清单</w:t>
      </w:r>
      <w:bookmarkEnd w:id="217"/>
      <w:r/>
      <w:r/>
    </w:p>
    <w:tbl>
      <w:tblPr>
        <w:tblW w:w="8380" w:type="dxa"/>
        <w:tblInd w:w="-14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left w:w="50" w:type="dxa"/>
          <w:right w:w="0" w:type="dxa"/>
        </w:tblCellMar>
        <w:tblLook w:val="04A0" w:firstRow="1" w:lastRow="0" w:firstColumn="1" w:lastColumn="0" w:noHBand="0" w:noVBand="1"/>
      </w:tblPr>
      <w:tblGrid>
        <w:gridCol w:w="791"/>
        <w:gridCol w:w="1709"/>
        <w:gridCol w:w="1800"/>
        <w:gridCol w:w="735"/>
        <w:gridCol w:w="1935"/>
        <w:gridCol w:w="1410"/>
      </w:tblGrid>
      <w:tr>
        <w:trPr>
          <w:trHeight w:val="667"/>
        </w:trPr>
        <w:tc>
          <w:tcPr>
            <w:shd w:val="clear" w:color="auto" w:fill="f2f2f2"/>
            <w:tcBorders>
              <w:top w:val="single" w:color="000000" w:sz="12" w:space="0"/>
              <w:left w:val="single" w:color="000000" w:sz="12" w:space="0"/>
              <w:bottom w:val="single" w:color="000000" w:sz="12" w:space="0"/>
              <w:right w:val="single" w:color="000000" w:sz="12" w:space="0"/>
            </w:tcBorders>
            <w:tcW w:w="791" w:type="dxa"/>
            <w:vAlign w:val="center"/>
            <w:textDirection w:val="lrTb"/>
            <w:noWrap w:val="false"/>
          </w:tcPr>
          <w:p>
            <w:pPr>
              <w:jc w:val="center"/>
              <w:spacing w:line="276" w:lineRule="auto"/>
              <w:rPr>
                <w:rFonts w:hint="eastAsia" w:ascii="宋体" w:hAnsi="宋体" w:cs="宋体"/>
                <w:b/>
                <w:sz w:val="24"/>
                <w:szCs w:val="24"/>
              </w:rPr>
            </w:pPr>
            <w:r>
              <w:rPr>
                <w:rFonts w:hint="eastAsia" w:ascii="宋体" w:hAnsi="宋体" w:cs="宋体"/>
                <w:b/>
                <w:sz w:val="24"/>
                <w:szCs w:val="24"/>
              </w:rPr>
              <w:t xml:space="preserve">序号</w:t>
            </w:r>
            <w:r/>
          </w:p>
        </w:tc>
        <w:tc>
          <w:tcPr>
            <w:shd w:val="clear" w:color="auto" w:fill="f2f2f2"/>
            <w:tcBorders>
              <w:top w:val="single" w:color="000000" w:sz="12" w:space="0"/>
              <w:left w:val="single" w:color="000000" w:sz="12" w:space="0"/>
              <w:bottom w:val="single" w:color="000000" w:sz="12" w:space="0"/>
              <w:right w:val="single" w:color="000000" w:sz="12" w:space="0"/>
            </w:tcBorders>
            <w:tcW w:w="1709" w:type="dxa"/>
            <w:vAlign w:val="center"/>
            <w:textDirection w:val="lrTb"/>
            <w:noWrap w:val="false"/>
          </w:tcPr>
          <w:p>
            <w:pPr>
              <w:jc w:val="center"/>
              <w:spacing w:line="276" w:lineRule="auto"/>
              <w:rPr>
                <w:rFonts w:hint="eastAsia" w:ascii="宋体" w:hAnsi="宋体" w:cs="宋体"/>
                <w:b/>
                <w:sz w:val="24"/>
                <w:szCs w:val="24"/>
              </w:rPr>
            </w:pPr>
            <w:r>
              <w:rPr>
                <w:rFonts w:hint="eastAsia" w:ascii="宋体" w:hAnsi="宋体" w:cs="宋体"/>
                <w:b/>
                <w:sz w:val="24"/>
                <w:szCs w:val="24"/>
              </w:rPr>
              <w:t xml:space="preserve">设备编号</w:t>
            </w:r>
            <w:r/>
          </w:p>
        </w:tc>
        <w:tc>
          <w:tcPr>
            <w:shd w:val="clear" w:color="auto" w:fill="f2f2f2"/>
            <w:tcBorders>
              <w:top w:val="single" w:color="000000" w:sz="12" w:space="0"/>
              <w:left w:val="single" w:color="000000" w:sz="12" w:space="0"/>
              <w:bottom w:val="single" w:color="000000" w:sz="12" w:space="0"/>
              <w:right w:val="single" w:color="000000" w:sz="12" w:space="0"/>
            </w:tcBorders>
            <w:tcW w:w="1800" w:type="dxa"/>
            <w:vAlign w:val="center"/>
            <w:textDirection w:val="lrTb"/>
            <w:noWrap w:val="false"/>
          </w:tcPr>
          <w:p>
            <w:pPr>
              <w:jc w:val="center"/>
              <w:spacing w:line="276" w:lineRule="auto"/>
              <w:rPr>
                <w:rFonts w:hint="eastAsia" w:ascii="宋体" w:hAnsi="宋体" w:cs="宋体"/>
                <w:b/>
                <w:sz w:val="24"/>
                <w:szCs w:val="24"/>
              </w:rPr>
            </w:pPr>
            <w:r>
              <w:rPr>
                <w:rFonts w:hint="eastAsia" w:ascii="宋体" w:hAnsi="宋体" w:cs="宋体"/>
                <w:b/>
                <w:sz w:val="24"/>
                <w:szCs w:val="24"/>
              </w:rPr>
              <w:t xml:space="preserve">所属建筑</w:t>
            </w:r>
            <w:r/>
          </w:p>
        </w:tc>
        <w:tc>
          <w:tcPr>
            <w:shd w:val="clear" w:color="auto" w:fill="f2f2f2"/>
            <w:tcBorders>
              <w:top w:val="single" w:color="000000" w:sz="12" w:space="0"/>
              <w:left w:val="single" w:color="000000" w:sz="12" w:space="0"/>
              <w:bottom w:val="single" w:color="000000" w:sz="12" w:space="0"/>
              <w:right w:val="single" w:color="000000" w:sz="12" w:space="0"/>
            </w:tcBorders>
            <w:tcW w:w="735" w:type="dxa"/>
            <w:vAlign w:val="center"/>
            <w:textDirection w:val="lrTb"/>
            <w:noWrap w:val="false"/>
          </w:tcPr>
          <w:p>
            <w:pPr>
              <w:jc w:val="center"/>
              <w:spacing w:line="276" w:lineRule="auto"/>
              <w:rPr>
                <w:rFonts w:hint="eastAsia" w:ascii="宋体" w:hAnsi="宋体" w:cs="宋体"/>
                <w:b/>
                <w:sz w:val="24"/>
                <w:szCs w:val="24"/>
              </w:rPr>
            </w:pPr>
            <w:r>
              <w:rPr>
                <w:rFonts w:hint="eastAsia" w:ascii="宋体" w:hAnsi="宋体" w:cs="宋体"/>
                <w:b/>
                <w:sz w:val="24"/>
                <w:szCs w:val="24"/>
              </w:rPr>
              <w:t xml:space="preserve">数量</w:t>
            </w:r>
            <w:r/>
          </w:p>
        </w:tc>
        <w:tc>
          <w:tcPr>
            <w:shd w:val="clear" w:color="auto" w:fill="f2f2f2"/>
            <w:tcBorders>
              <w:top w:val="single" w:color="000000" w:sz="12" w:space="0"/>
              <w:left w:val="single" w:color="000000" w:sz="12" w:space="0"/>
              <w:bottom w:val="single" w:color="000000" w:sz="12" w:space="0"/>
              <w:right w:val="single" w:color="000000" w:sz="12" w:space="0"/>
            </w:tcBorders>
            <w:tcW w:w="1935" w:type="dxa"/>
            <w:vAlign w:val="center"/>
            <w:textDirection w:val="lrTb"/>
            <w:noWrap w:val="false"/>
          </w:tcPr>
          <w:p>
            <w:pPr>
              <w:jc w:val="center"/>
              <w:spacing w:line="276" w:lineRule="auto"/>
              <w:rPr>
                <w:rFonts w:hint="eastAsia" w:ascii="宋体" w:hAnsi="宋体" w:cs="宋体"/>
                <w:b/>
                <w:sz w:val="24"/>
                <w:szCs w:val="24"/>
              </w:rPr>
            </w:pPr>
            <w:r>
              <w:rPr>
                <w:rFonts w:hint="eastAsia" w:ascii="宋体" w:hAnsi="宋体" w:cs="宋体"/>
                <w:b/>
                <w:sz w:val="24"/>
                <w:szCs w:val="24"/>
              </w:rPr>
              <w:t xml:space="preserve">规格</w:t>
            </w:r>
            <w:r/>
          </w:p>
        </w:tc>
        <w:tc>
          <w:tcPr>
            <w:shd w:val="clear" w:color="auto" w:fill="f2f2f2"/>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jc w:val="center"/>
              <w:spacing w:line="276" w:lineRule="auto"/>
              <w:rPr>
                <w:rFonts w:hint="eastAsia" w:ascii="宋体" w:hAnsi="宋体" w:cs="宋体"/>
                <w:b/>
                <w:sz w:val="24"/>
                <w:szCs w:val="24"/>
              </w:rPr>
            </w:pPr>
            <w:r>
              <w:rPr>
                <w:rFonts w:hint="eastAsia" w:ascii="宋体" w:hAnsi="宋体" w:cs="宋体"/>
                <w:b/>
                <w:sz w:val="24"/>
                <w:szCs w:val="24"/>
              </w:rPr>
              <w:t xml:space="preserve">备注</w:t>
            </w:r>
            <w:r/>
          </w:p>
        </w:tc>
      </w:tr>
      <w:tr>
        <w:trPr>
          <w:trHeight w:val="1840" w:hRule="exact"/>
        </w:trPr>
        <w:tc>
          <w:tcPr>
            <w:tcBorders>
              <w:top w:val="single" w:color="000000" w:sz="12" w:space="0"/>
              <w:left w:val="single" w:color="000000" w:sz="12" w:space="0"/>
              <w:bottom w:val="single" w:color="000000" w:sz="12" w:space="0"/>
              <w:right w:val="single" w:color="000000" w:sz="12" w:space="0"/>
            </w:tcBorders>
            <w:tcW w:w="79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12" w:space="0"/>
              <w:left w:val="single" w:color="000000" w:sz="12" w:space="0"/>
              <w:bottom w:val="single" w:color="000000" w:sz="12" w:space="0"/>
              <w:right w:val="single" w:color="000000" w:sz="12" w:space="0"/>
            </w:tcBorders>
            <w:tcW w:w="1709"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DT1、DT2有机房客梯</w:t>
            </w:r>
            <w:r/>
          </w:p>
        </w:tc>
        <w:tc>
          <w:tcPr>
            <w:tcBorders>
              <w:top w:val="single" w:color="000000" w:sz="12" w:space="0"/>
              <w:left w:val="single" w:color="000000" w:sz="12" w:space="0"/>
              <w:bottom w:val="single" w:color="000000" w:sz="12" w:space="0"/>
              <w:right w:val="single" w:color="000000" w:sz="12" w:space="0"/>
            </w:tcBorders>
            <w:tcW w:w="180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江宁校区药学院</w:t>
            </w:r>
            <w:r/>
          </w:p>
        </w:tc>
        <w:tc>
          <w:tcPr>
            <w:tcBorders>
              <w:top w:val="single" w:color="000000" w:sz="12" w:space="0"/>
              <w:left w:val="single" w:color="000000" w:sz="12" w:space="0"/>
              <w:bottom w:val="single" w:color="000000" w:sz="12" w:space="0"/>
              <w:right w:val="single" w:color="000000" w:sz="12" w:space="0"/>
            </w:tcBorders>
            <w:tcW w:w="7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2台</w:t>
            </w:r>
            <w:r/>
          </w:p>
        </w:tc>
        <w:tc>
          <w:tcPr>
            <w:tcBorders>
              <w:top w:val="single" w:color="000000" w:sz="12" w:space="0"/>
              <w:left w:val="single" w:color="000000" w:sz="12" w:space="0"/>
              <w:bottom w:val="single" w:color="000000" w:sz="12" w:space="0"/>
              <w:right w:val="single" w:color="000000" w:sz="12" w:space="0"/>
            </w:tcBorders>
            <w:tcW w:w="19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载重：≥1000KG；</w:t>
            </w:r>
            <w:r/>
          </w:p>
          <w:p>
            <w:pPr>
              <w:spacing w:line="276" w:lineRule="auto"/>
              <w:rPr>
                <w:rFonts w:hint="eastAsia" w:ascii="宋体" w:hAnsi="宋体" w:cs="宋体"/>
                <w:sz w:val="24"/>
                <w:szCs w:val="24"/>
              </w:rPr>
            </w:pPr>
            <w:r>
              <w:rPr>
                <w:rFonts w:hint="eastAsia" w:ascii="宋体" w:hAnsi="宋体" w:cs="宋体"/>
                <w:sz w:val="24"/>
                <w:szCs w:val="24"/>
              </w:rPr>
              <w:t xml:space="preserve">速度：≥1.75m/s；</w:t>
            </w:r>
            <w:r/>
          </w:p>
          <w:p>
            <w:pPr>
              <w:spacing w:line="276" w:lineRule="auto"/>
              <w:rPr>
                <w:rFonts w:hint="eastAsia" w:ascii="宋体" w:hAnsi="宋体" w:cs="宋体"/>
                <w:sz w:val="24"/>
                <w:szCs w:val="24"/>
              </w:rPr>
            </w:pPr>
            <w:r>
              <w:rPr>
                <w:rFonts w:hint="eastAsia" w:ascii="宋体" w:hAnsi="宋体" w:cs="宋体"/>
                <w:sz w:val="24"/>
                <w:szCs w:val="24"/>
              </w:rPr>
              <w:t xml:space="preserve">停靠：6层6站</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并联；第一批次安装；</w:t>
            </w:r>
            <w:r/>
          </w:p>
        </w:tc>
      </w:tr>
      <w:tr>
        <w:trPr>
          <w:trHeight w:val="3436" w:hRule="exact"/>
        </w:trPr>
        <w:tc>
          <w:tcPr>
            <w:tcBorders>
              <w:top w:val="single" w:color="000000" w:sz="12" w:space="0"/>
              <w:left w:val="single" w:color="000000" w:sz="12" w:space="0"/>
              <w:bottom w:val="single" w:color="000000" w:sz="12" w:space="0"/>
              <w:right w:val="single" w:color="000000" w:sz="12" w:space="0"/>
            </w:tcBorders>
            <w:tcW w:w="79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12" w:space="0"/>
              <w:left w:val="single" w:color="000000" w:sz="12" w:space="0"/>
              <w:bottom w:val="single" w:color="000000" w:sz="12" w:space="0"/>
              <w:right w:val="single" w:color="000000" w:sz="12" w:space="0"/>
            </w:tcBorders>
            <w:tcW w:w="1709"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DT3无机房</w:t>
            </w:r>
            <w:r/>
          </w:p>
          <w:p>
            <w:pPr>
              <w:spacing w:line="276" w:lineRule="auto"/>
              <w:rPr>
                <w:rFonts w:hint="eastAsia" w:ascii="宋体" w:hAnsi="宋体" w:cs="宋体"/>
                <w:sz w:val="24"/>
                <w:szCs w:val="24"/>
              </w:rPr>
            </w:pPr>
            <w:r>
              <w:rPr>
                <w:rFonts w:hint="eastAsia" w:ascii="宋体" w:hAnsi="宋体" w:cs="宋体"/>
                <w:sz w:val="24"/>
                <w:szCs w:val="24"/>
              </w:rPr>
              <w:t xml:space="preserve">客梯</w:t>
            </w:r>
            <w:r/>
          </w:p>
        </w:tc>
        <w:tc>
          <w:tcPr>
            <w:tcBorders>
              <w:top w:val="single" w:color="000000" w:sz="12" w:space="0"/>
              <w:left w:val="single" w:color="000000" w:sz="12" w:space="0"/>
              <w:bottom w:val="single" w:color="000000" w:sz="12" w:space="0"/>
              <w:right w:val="single" w:color="000000" w:sz="12" w:space="0"/>
            </w:tcBorders>
            <w:tcW w:w="180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江宁校区逸夫楼</w:t>
            </w:r>
            <w:r/>
          </w:p>
        </w:tc>
        <w:tc>
          <w:tcPr>
            <w:tcBorders>
              <w:top w:val="single" w:color="000000" w:sz="12" w:space="0"/>
              <w:left w:val="single" w:color="000000" w:sz="12" w:space="0"/>
              <w:bottom w:val="single" w:color="000000" w:sz="12" w:space="0"/>
              <w:right w:val="single" w:color="000000" w:sz="12" w:space="0"/>
            </w:tcBorders>
            <w:tcW w:w="7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1台</w:t>
            </w:r>
            <w:r/>
          </w:p>
        </w:tc>
        <w:tc>
          <w:tcPr>
            <w:tcBorders>
              <w:top w:val="single" w:color="000000" w:sz="12" w:space="0"/>
              <w:left w:val="single" w:color="000000" w:sz="12" w:space="0"/>
              <w:bottom w:val="single" w:color="000000" w:sz="12" w:space="0"/>
              <w:right w:val="single" w:color="000000" w:sz="12" w:space="0"/>
            </w:tcBorders>
            <w:tcW w:w="19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载重：≥1000KG；</w:t>
            </w:r>
            <w:r/>
          </w:p>
          <w:p>
            <w:pPr>
              <w:spacing w:line="276" w:lineRule="auto"/>
              <w:rPr>
                <w:rFonts w:hint="eastAsia" w:ascii="宋体" w:hAnsi="宋体" w:cs="宋体"/>
                <w:sz w:val="24"/>
                <w:szCs w:val="24"/>
              </w:rPr>
            </w:pPr>
            <w:r>
              <w:rPr>
                <w:rFonts w:hint="eastAsia" w:ascii="宋体" w:hAnsi="宋体" w:cs="宋体"/>
                <w:sz w:val="24"/>
                <w:szCs w:val="24"/>
              </w:rPr>
              <w:t xml:space="preserve">速度：≥1.75m/s；</w:t>
            </w:r>
            <w:r/>
          </w:p>
          <w:p>
            <w:pPr>
              <w:spacing w:line="276" w:lineRule="auto"/>
              <w:rPr>
                <w:rFonts w:hint="eastAsia" w:ascii="宋体" w:hAnsi="宋体" w:cs="宋体"/>
                <w:sz w:val="24"/>
                <w:szCs w:val="24"/>
              </w:rPr>
            </w:pPr>
            <w:r>
              <w:rPr>
                <w:rFonts w:hint="eastAsia" w:ascii="宋体" w:hAnsi="宋体" w:cs="宋体"/>
                <w:sz w:val="24"/>
                <w:szCs w:val="24"/>
              </w:rPr>
              <w:t xml:space="preserve">停靠：5层5站</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原B1</w:t>
            </w:r>
            <w:r>
              <w:rPr>
                <w:rFonts w:hint="eastAsia" w:ascii="宋体" w:hAnsi="宋体" w:cs="宋体"/>
                <w:sz w:val="24"/>
                <w:szCs w:val="24"/>
              </w:rPr>
              <w:t xml:space="preserve">楼学校</w:t>
            </w:r>
            <w:r>
              <w:rPr>
                <w:rFonts w:hint="eastAsia" w:ascii="宋体" w:hAnsi="宋体" w:cs="宋体"/>
                <w:sz w:val="24"/>
                <w:szCs w:val="24"/>
              </w:rPr>
              <w:t xml:space="preserve">进行回填后，B1楼不停靠，层站由原6层6站变更为5层5站；第一批次安装；</w:t>
            </w:r>
            <w:r/>
          </w:p>
        </w:tc>
      </w:tr>
      <w:tr>
        <w:trPr>
          <w:trHeight w:val="1960" w:hRule="exact"/>
        </w:trPr>
        <w:tc>
          <w:tcPr>
            <w:tcBorders>
              <w:top w:val="single" w:color="000000" w:sz="12" w:space="0"/>
              <w:left w:val="single" w:color="000000" w:sz="12" w:space="0"/>
              <w:bottom w:val="single" w:color="000000" w:sz="12" w:space="0"/>
              <w:right w:val="single" w:color="000000" w:sz="12" w:space="0"/>
            </w:tcBorders>
            <w:tcW w:w="79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12" w:space="0"/>
              <w:left w:val="single" w:color="000000" w:sz="12" w:space="0"/>
              <w:bottom w:val="single" w:color="000000" w:sz="12" w:space="0"/>
              <w:right w:val="single" w:color="000000" w:sz="12" w:space="0"/>
            </w:tcBorders>
            <w:tcW w:w="1709"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DT4无机房</w:t>
            </w:r>
            <w:r/>
          </w:p>
          <w:p>
            <w:pPr>
              <w:spacing w:line="276" w:lineRule="auto"/>
              <w:rPr>
                <w:rFonts w:hint="eastAsia" w:ascii="宋体" w:hAnsi="宋体" w:cs="宋体"/>
                <w:sz w:val="24"/>
                <w:szCs w:val="24"/>
              </w:rPr>
            </w:pPr>
            <w:r>
              <w:rPr>
                <w:rFonts w:hint="eastAsia" w:ascii="宋体" w:hAnsi="宋体" w:cs="宋体"/>
                <w:sz w:val="24"/>
                <w:szCs w:val="24"/>
              </w:rPr>
              <w:t xml:space="preserve">客梯</w:t>
            </w:r>
            <w:r/>
          </w:p>
        </w:tc>
        <w:tc>
          <w:tcPr>
            <w:tcBorders>
              <w:top w:val="single" w:color="000000" w:sz="12" w:space="0"/>
              <w:left w:val="single" w:color="000000" w:sz="12" w:space="0"/>
              <w:bottom w:val="single" w:color="000000" w:sz="12" w:space="0"/>
              <w:right w:val="single" w:color="000000" w:sz="12" w:space="0"/>
            </w:tcBorders>
            <w:tcW w:w="180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江宁校区博学楼</w:t>
            </w:r>
            <w:r/>
          </w:p>
        </w:tc>
        <w:tc>
          <w:tcPr>
            <w:tcBorders>
              <w:top w:val="single" w:color="000000" w:sz="12" w:space="0"/>
              <w:left w:val="single" w:color="000000" w:sz="12" w:space="0"/>
              <w:bottom w:val="single" w:color="000000" w:sz="12" w:space="0"/>
              <w:right w:val="single" w:color="000000" w:sz="12" w:space="0"/>
            </w:tcBorders>
            <w:tcW w:w="7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1台</w:t>
            </w:r>
            <w:r/>
          </w:p>
        </w:tc>
        <w:tc>
          <w:tcPr>
            <w:tcBorders>
              <w:top w:val="single" w:color="000000" w:sz="12" w:space="0"/>
              <w:left w:val="single" w:color="000000" w:sz="12" w:space="0"/>
              <w:bottom w:val="single" w:color="000000" w:sz="12" w:space="0"/>
              <w:right w:val="single" w:color="000000" w:sz="12" w:space="0"/>
            </w:tcBorders>
            <w:tcW w:w="19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载重：≥1000KG；</w:t>
            </w:r>
            <w:r/>
          </w:p>
          <w:p>
            <w:pPr>
              <w:spacing w:line="276" w:lineRule="auto"/>
              <w:rPr>
                <w:rFonts w:hint="eastAsia" w:ascii="宋体" w:hAnsi="宋体" w:cs="宋体"/>
                <w:sz w:val="24"/>
                <w:szCs w:val="24"/>
              </w:rPr>
            </w:pPr>
            <w:r>
              <w:rPr>
                <w:rFonts w:hint="eastAsia" w:ascii="宋体" w:hAnsi="宋体" w:cs="宋体"/>
                <w:sz w:val="24"/>
                <w:szCs w:val="24"/>
              </w:rPr>
              <w:t xml:space="preserve">速度：≥1.75m/s；</w:t>
            </w:r>
            <w:r/>
          </w:p>
          <w:p>
            <w:pPr>
              <w:spacing w:line="276" w:lineRule="auto"/>
              <w:rPr>
                <w:rFonts w:hint="eastAsia" w:ascii="宋体" w:hAnsi="宋体" w:cs="宋体"/>
                <w:sz w:val="24"/>
                <w:szCs w:val="24"/>
              </w:rPr>
            </w:pPr>
            <w:r>
              <w:rPr>
                <w:rFonts w:hint="eastAsia" w:ascii="宋体" w:hAnsi="宋体" w:cs="宋体"/>
                <w:sz w:val="24"/>
                <w:szCs w:val="24"/>
              </w:rPr>
              <w:t xml:space="preserve">停靠：5层5站</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第一批次安装；</w:t>
            </w:r>
            <w:r/>
          </w:p>
        </w:tc>
      </w:tr>
      <w:tr>
        <w:trPr>
          <w:trHeight w:val="1942" w:hRule="exact"/>
        </w:trPr>
        <w:tc>
          <w:tcPr>
            <w:tcBorders>
              <w:top w:val="single" w:color="000000" w:sz="12" w:space="0"/>
              <w:left w:val="single" w:color="000000" w:sz="12" w:space="0"/>
              <w:bottom w:val="single" w:color="000000" w:sz="12" w:space="0"/>
              <w:right w:val="single" w:color="000000" w:sz="12" w:space="0"/>
            </w:tcBorders>
            <w:tcW w:w="79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12" w:space="0"/>
              <w:left w:val="single" w:color="000000" w:sz="12" w:space="0"/>
              <w:bottom w:val="single" w:color="000000" w:sz="12" w:space="0"/>
              <w:right w:val="single" w:color="000000" w:sz="12" w:space="0"/>
            </w:tcBorders>
            <w:tcW w:w="1709"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DT5有机房</w:t>
            </w:r>
            <w:r/>
          </w:p>
          <w:p>
            <w:pPr>
              <w:spacing w:line="276" w:lineRule="auto"/>
              <w:rPr>
                <w:rFonts w:hint="eastAsia" w:ascii="宋体" w:hAnsi="宋体" w:cs="宋体"/>
                <w:sz w:val="24"/>
                <w:szCs w:val="24"/>
              </w:rPr>
            </w:pPr>
            <w:r>
              <w:rPr>
                <w:rFonts w:hint="eastAsia" w:ascii="宋体" w:hAnsi="宋体" w:cs="宋体"/>
                <w:sz w:val="24"/>
                <w:szCs w:val="24"/>
              </w:rPr>
              <w:t xml:space="preserve">客梯</w:t>
            </w:r>
            <w:r/>
          </w:p>
        </w:tc>
        <w:tc>
          <w:tcPr>
            <w:tcBorders>
              <w:top w:val="single" w:color="000000" w:sz="12" w:space="0"/>
              <w:left w:val="single" w:color="000000" w:sz="12" w:space="0"/>
              <w:bottom w:val="single" w:color="000000" w:sz="12" w:space="0"/>
              <w:right w:val="single" w:color="000000" w:sz="12" w:space="0"/>
            </w:tcBorders>
            <w:tcW w:w="180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江宁校区学生食堂2#楼</w:t>
            </w:r>
            <w:r/>
          </w:p>
        </w:tc>
        <w:tc>
          <w:tcPr>
            <w:tcBorders>
              <w:top w:val="single" w:color="000000" w:sz="12" w:space="0"/>
              <w:left w:val="single" w:color="000000" w:sz="12" w:space="0"/>
              <w:bottom w:val="single" w:color="000000" w:sz="12" w:space="0"/>
              <w:right w:val="single" w:color="000000" w:sz="12" w:space="0"/>
            </w:tcBorders>
            <w:tcW w:w="7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1台</w:t>
            </w:r>
            <w:r/>
          </w:p>
        </w:tc>
        <w:tc>
          <w:tcPr>
            <w:tcBorders>
              <w:top w:val="single" w:color="000000" w:sz="12" w:space="0"/>
              <w:left w:val="single" w:color="000000" w:sz="12" w:space="0"/>
              <w:bottom w:val="single" w:color="000000" w:sz="12" w:space="0"/>
              <w:right w:val="single" w:color="000000" w:sz="12" w:space="0"/>
            </w:tcBorders>
            <w:tcW w:w="19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载重：≥1000KG；</w:t>
            </w:r>
            <w:r/>
          </w:p>
          <w:p>
            <w:pPr>
              <w:spacing w:line="276" w:lineRule="auto"/>
              <w:rPr>
                <w:rFonts w:hint="eastAsia" w:ascii="宋体" w:hAnsi="宋体" w:cs="宋体"/>
                <w:sz w:val="24"/>
                <w:szCs w:val="24"/>
              </w:rPr>
            </w:pPr>
            <w:r>
              <w:rPr>
                <w:rFonts w:hint="eastAsia" w:ascii="宋体" w:hAnsi="宋体" w:cs="宋体"/>
                <w:sz w:val="24"/>
                <w:szCs w:val="24"/>
              </w:rPr>
              <w:t xml:space="preserve">速度：≥1.0m/s；</w:t>
            </w:r>
            <w:r/>
          </w:p>
          <w:p>
            <w:pPr>
              <w:spacing w:line="276" w:lineRule="auto"/>
              <w:rPr>
                <w:rFonts w:hint="eastAsia" w:ascii="宋体" w:hAnsi="宋体" w:cs="宋体"/>
                <w:sz w:val="24"/>
                <w:szCs w:val="24"/>
              </w:rPr>
            </w:pPr>
            <w:r>
              <w:rPr>
                <w:rFonts w:hint="eastAsia" w:ascii="宋体" w:hAnsi="宋体" w:cs="宋体"/>
                <w:sz w:val="24"/>
                <w:szCs w:val="24"/>
              </w:rPr>
              <w:t xml:space="preserve">停靠：2层2站</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第一批次安装；</w:t>
            </w:r>
            <w:r/>
          </w:p>
        </w:tc>
      </w:tr>
      <w:tr>
        <w:trPr>
          <w:trHeight w:val="1866" w:hRule="exact"/>
        </w:trPr>
        <w:tc>
          <w:tcPr>
            <w:tcBorders>
              <w:top w:val="single" w:color="000000" w:sz="12" w:space="0"/>
              <w:left w:val="single" w:color="000000" w:sz="12" w:space="0"/>
              <w:bottom w:val="single" w:color="000000" w:sz="12" w:space="0"/>
              <w:right w:val="single" w:color="000000" w:sz="12" w:space="0"/>
            </w:tcBorders>
            <w:tcW w:w="79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12" w:space="0"/>
              <w:left w:val="single" w:color="000000" w:sz="12" w:space="0"/>
              <w:bottom w:val="single" w:color="000000" w:sz="12" w:space="0"/>
              <w:right w:val="single" w:color="000000" w:sz="12" w:space="0"/>
            </w:tcBorders>
            <w:tcW w:w="1709"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DT6、DT7无机房</w:t>
            </w:r>
            <w:r/>
          </w:p>
          <w:p>
            <w:pPr>
              <w:spacing w:line="276" w:lineRule="auto"/>
              <w:rPr>
                <w:rFonts w:hint="eastAsia" w:ascii="宋体" w:hAnsi="宋体" w:cs="宋体"/>
                <w:sz w:val="24"/>
                <w:szCs w:val="24"/>
              </w:rPr>
            </w:pPr>
            <w:r>
              <w:rPr>
                <w:rFonts w:hint="eastAsia" w:ascii="宋体" w:hAnsi="宋体" w:cs="宋体"/>
                <w:sz w:val="24"/>
                <w:szCs w:val="24"/>
              </w:rPr>
              <w:t xml:space="preserve">客梯</w:t>
            </w:r>
            <w:r/>
          </w:p>
        </w:tc>
        <w:tc>
          <w:tcPr>
            <w:tcBorders>
              <w:top w:val="single" w:color="000000" w:sz="12" w:space="0"/>
              <w:left w:val="single" w:color="000000" w:sz="12" w:space="0"/>
              <w:bottom w:val="single" w:color="000000" w:sz="12" w:space="0"/>
              <w:right w:val="single" w:color="000000" w:sz="12" w:space="0"/>
            </w:tcBorders>
            <w:tcW w:w="180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江宁校区图书馆</w:t>
            </w:r>
            <w:r/>
          </w:p>
        </w:tc>
        <w:tc>
          <w:tcPr>
            <w:tcBorders>
              <w:top w:val="single" w:color="000000" w:sz="12" w:space="0"/>
              <w:left w:val="single" w:color="000000" w:sz="12" w:space="0"/>
              <w:bottom w:val="single" w:color="000000" w:sz="12" w:space="0"/>
              <w:right w:val="single" w:color="000000" w:sz="12" w:space="0"/>
            </w:tcBorders>
            <w:tcW w:w="7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2台</w:t>
            </w:r>
            <w:r/>
          </w:p>
        </w:tc>
        <w:tc>
          <w:tcPr>
            <w:tcBorders>
              <w:top w:val="single" w:color="000000" w:sz="12" w:space="0"/>
              <w:left w:val="single" w:color="000000" w:sz="12" w:space="0"/>
              <w:bottom w:val="single" w:color="000000" w:sz="12" w:space="0"/>
              <w:right w:val="single" w:color="000000" w:sz="12" w:space="0"/>
            </w:tcBorders>
            <w:tcW w:w="19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载重：≥1000KG；</w:t>
            </w:r>
            <w:r/>
          </w:p>
          <w:p>
            <w:pPr>
              <w:spacing w:line="276" w:lineRule="auto"/>
              <w:rPr>
                <w:rFonts w:hint="eastAsia" w:ascii="宋体" w:hAnsi="宋体" w:cs="宋体"/>
                <w:sz w:val="24"/>
                <w:szCs w:val="24"/>
              </w:rPr>
            </w:pPr>
            <w:r>
              <w:rPr>
                <w:rFonts w:hint="eastAsia" w:ascii="宋体" w:hAnsi="宋体" w:cs="宋体"/>
                <w:sz w:val="24"/>
                <w:szCs w:val="24"/>
              </w:rPr>
              <w:t xml:space="preserve">速度：≥1.75m/s；</w:t>
            </w:r>
            <w:r/>
          </w:p>
          <w:p>
            <w:pPr>
              <w:spacing w:line="276" w:lineRule="auto"/>
              <w:rPr>
                <w:rFonts w:hint="eastAsia" w:ascii="宋体" w:hAnsi="宋体" w:cs="宋体"/>
                <w:sz w:val="24"/>
                <w:szCs w:val="24"/>
              </w:rPr>
            </w:pPr>
            <w:r>
              <w:rPr>
                <w:rFonts w:hint="eastAsia" w:ascii="宋体" w:hAnsi="宋体" w:cs="宋体"/>
                <w:sz w:val="24"/>
                <w:szCs w:val="24"/>
              </w:rPr>
              <w:t xml:space="preserve">停靠：5层5站</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第一批次安装；</w:t>
            </w:r>
            <w:r/>
          </w:p>
        </w:tc>
      </w:tr>
      <w:tr>
        <w:trPr>
          <w:trHeight w:val="1866" w:hRule="exact"/>
        </w:trPr>
        <w:tc>
          <w:tcPr>
            <w:tcBorders>
              <w:top w:val="single" w:color="000000" w:sz="12" w:space="0"/>
              <w:left w:val="single" w:color="000000" w:sz="12" w:space="0"/>
              <w:bottom w:val="single" w:color="000000" w:sz="12" w:space="0"/>
              <w:right w:val="single" w:color="000000" w:sz="12" w:space="0"/>
            </w:tcBorders>
            <w:tcW w:w="79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12" w:space="0"/>
              <w:left w:val="single" w:color="000000" w:sz="12" w:space="0"/>
              <w:bottom w:val="single" w:color="000000" w:sz="12" w:space="0"/>
              <w:right w:val="single" w:color="000000" w:sz="12" w:space="0"/>
            </w:tcBorders>
            <w:tcW w:w="1709"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DT8有机房</w:t>
            </w:r>
            <w:r/>
          </w:p>
          <w:p>
            <w:pPr>
              <w:spacing w:line="276" w:lineRule="auto"/>
              <w:rPr>
                <w:rFonts w:hint="eastAsia" w:ascii="宋体" w:hAnsi="宋体" w:cs="宋体"/>
                <w:sz w:val="24"/>
                <w:szCs w:val="24"/>
              </w:rPr>
            </w:pPr>
            <w:r>
              <w:rPr>
                <w:rFonts w:hint="eastAsia" w:ascii="宋体" w:hAnsi="宋体" w:cs="宋体"/>
                <w:sz w:val="24"/>
                <w:szCs w:val="24"/>
              </w:rPr>
              <w:t xml:space="preserve">客梯</w:t>
            </w:r>
            <w:r/>
          </w:p>
        </w:tc>
        <w:tc>
          <w:tcPr>
            <w:tcBorders>
              <w:top w:val="single" w:color="000000" w:sz="12" w:space="0"/>
              <w:left w:val="single" w:color="000000" w:sz="12" w:space="0"/>
              <w:bottom w:val="single" w:color="000000" w:sz="12" w:space="0"/>
              <w:right w:val="single" w:color="000000" w:sz="12" w:space="0"/>
            </w:tcBorders>
            <w:tcW w:w="180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五台校区研究生公寓（生殖中心使用）</w:t>
            </w:r>
            <w:r/>
          </w:p>
        </w:tc>
        <w:tc>
          <w:tcPr>
            <w:tcBorders>
              <w:top w:val="single" w:color="000000" w:sz="12" w:space="0"/>
              <w:left w:val="single" w:color="000000" w:sz="12" w:space="0"/>
              <w:bottom w:val="single" w:color="000000" w:sz="12" w:space="0"/>
              <w:right w:val="single" w:color="000000" w:sz="12" w:space="0"/>
            </w:tcBorders>
            <w:tcW w:w="7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1台</w:t>
            </w:r>
            <w:r/>
          </w:p>
        </w:tc>
        <w:tc>
          <w:tcPr>
            <w:tcBorders>
              <w:top w:val="single" w:color="000000" w:sz="12" w:space="0"/>
              <w:left w:val="single" w:color="000000" w:sz="12" w:space="0"/>
              <w:bottom w:val="single" w:color="000000" w:sz="12" w:space="0"/>
              <w:right w:val="single" w:color="000000" w:sz="12" w:space="0"/>
            </w:tcBorders>
            <w:tcW w:w="19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载重：≥1000KG；</w:t>
            </w:r>
            <w:r/>
          </w:p>
          <w:p>
            <w:pPr>
              <w:spacing w:line="276" w:lineRule="auto"/>
              <w:rPr>
                <w:rFonts w:hint="eastAsia" w:ascii="宋体" w:hAnsi="宋体" w:cs="宋体"/>
                <w:sz w:val="24"/>
                <w:szCs w:val="24"/>
              </w:rPr>
            </w:pPr>
            <w:r>
              <w:rPr>
                <w:rFonts w:hint="eastAsia" w:ascii="宋体" w:hAnsi="宋体" w:cs="宋体"/>
                <w:sz w:val="24"/>
                <w:szCs w:val="24"/>
              </w:rPr>
              <w:t xml:space="preserve">速度：≥2.0m/s；</w:t>
            </w:r>
            <w:r/>
          </w:p>
          <w:p>
            <w:pPr>
              <w:spacing w:line="276" w:lineRule="auto"/>
              <w:rPr>
                <w:rFonts w:hint="eastAsia" w:ascii="宋体" w:hAnsi="宋体" w:cs="宋体"/>
                <w:sz w:val="24"/>
                <w:szCs w:val="24"/>
              </w:rPr>
            </w:pPr>
            <w:r>
              <w:rPr>
                <w:rFonts w:hint="eastAsia" w:ascii="宋体" w:hAnsi="宋体" w:cs="宋体"/>
                <w:sz w:val="24"/>
                <w:szCs w:val="24"/>
              </w:rPr>
              <w:t xml:space="preserve">停靠：15层15站</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第一批次安装；</w:t>
            </w:r>
            <w:r/>
          </w:p>
        </w:tc>
      </w:tr>
      <w:tr>
        <w:trPr>
          <w:trHeight w:val="1813" w:hRule="exact"/>
        </w:trPr>
        <w:tc>
          <w:tcPr>
            <w:tcBorders>
              <w:top w:val="single" w:color="000000" w:sz="12" w:space="0"/>
              <w:left w:val="single" w:color="000000" w:sz="12" w:space="0"/>
              <w:bottom w:val="single" w:color="000000" w:sz="12" w:space="0"/>
              <w:right w:val="single" w:color="000000" w:sz="12" w:space="0"/>
            </w:tcBorders>
            <w:tcW w:w="79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12" w:space="0"/>
              <w:left w:val="single" w:color="000000" w:sz="12" w:space="0"/>
              <w:bottom w:val="single" w:color="000000" w:sz="12" w:space="0"/>
              <w:right w:val="single" w:color="000000" w:sz="12" w:space="0"/>
            </w:tcBorders>
            <w:tcW w:w="1709"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DT9、DT10、DT11有机房客梯</w:t>
            </w:r>
            <w:r/>
          </w:p>
        </w:tc>
        <w:tc>
          <w:tcPr>
            <w:tcBorders>
              <w:top w:val="single" w:color="000000" w:sz="12" w:space="0"/>
              <w:left w:val="single" w:color="000000" w:sz="12" w:space="0"/>
              <w:bottom w:val="single" w:color="000000" w:sz="12" w:space="0"/>
              <w:right w:val="single" w:color="000000" w:sz="12" w:space="0"/>
            </w:tcBorders>
            <w:tcW w:w="180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五台校区研究生公寓</w:t>
            </w:r>
            <w:r/>
          </w:p>
        </w:tc>
        <w:tc>
          <w:tcPr>
            <w:tcBorders>
              <w:top w:val="single" w:color="000000" w:sz="12" w:space="0"/>
              <w:left w:val="single" w:color="000000" w:sz="12" w:space="0"/>
              <w:bottom w:val="single" w:color="000000" w:sz="12" w:space="0"/>
              <w:right w:val="single" w:color="000000" w:sz="12" w:space="0"/>
            </w:tcBorders>
            <w:tcW w:w="7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3台</w:t>
            </w:r>
            <w:r/>
          </w:p>
        </w:tc>
        <w:tc>
          <w:tcPr>
            <w:tcBorders>
              <w:top w:val="single" w:color="000000" w:sz="12" w:space="0"/>
              <w:left w:val="single" w:color="000000" w:sz="12" w:space="0"/>
              <w:bottom w:val="single" w:color="000000" w:sz="12" w:space="0"/>
              <w:right w:val="single" w:color="000000" w:sz="12" w:space="0"/>
            </w:tcBorders>
            <w:tcW w:w="19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载重：≥1000KG；</w:t>
            </w:r>
            <w:r/>
          </w:p>
          <w:p>
            <w:pPr>
              <w:spacing w:line="276" w:lineRule="auto"/>
              <w:rPr>
                <w:rFonts w:hint="eastAsia" w:ascii="宋体" w:hAnsi="宋体" w:cs="宋体"/>
                <w:sz w:val="24"/>
                <w:szCs w:val="24"/>
              </w:rPr>
            </w:pPr>
            <w:r>
              <w:rPr>
                <w:rFonts w:hint="eastAsia" w:ascii="宋体" w:hAnsi="宋体" w:cs="宋体"/>
                <w:sz w:val="24"/>
                <w:szCs w:val="24"/>
              </w:rPr>
              <w:t xml:space="preserve">速度：≥2.0m/s；</w:t>
            </w:r>
            <w:r/>
          </w:p>
          <w:p>
            <w:pPr>
              <w:spacing w:line="276" w:lineRule="auto"/>
              <w:rPr>
                <w:rFonts w:hint="eastAsia" w:ascii="宋体" w:hAnsi="宋体" w:cs="宋体"/>
                <w:sz w:val="24"/>
                <w:szCs w:val="24"/>
              </w:rPr>
            </w:pPr>
            <w:r>
              <w:rPr>
                <w:rFonts w:hint="eastAsia" w:ascii="宋体" w:hAnsi="宋体" w:cs="宋体"/>
                <w:sz w:val="24"/>
                <w:szCs w:val="24"/>
              </w:rPr>
              <w:t xml:space="preserve">停靠：14层14站</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DT9、DT10第一批安装，DT11第二批次安装；</w:t>
            </w:r>
            <w:r/>
          </w:p>
        </w:tc>
      </w:tr>
      <w:tr>
        <w:trPr>
          <w:trHeight w:val="1783" w:hRule="exact"/>
        </w:trPr>
        <w:tc>
          <w:tcPr>
            <w:tcBorders>
              <w:top w:val="single" w:color="000000" w:sz="12" w:space="0"/>
              <w:left w:val="single" w:color="000000" w:sz="12" w:space="0"/>
              <w:bottom w:val="single" w:color="000000" w:sz="12" w:space="0"/>
              <w:right w:val="single" w:color="000000" w:sz="12" w:space="0"/>
            </w:tcBorders>
            <w:tcW w:w="79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8</w:t>
            </w:r>
            <w:r/>
          </w:p>
        </w:tc>
        <w:tc>
          <w:tcPr>
            <w:tcBorders>
              <w:top w:val="single" w:color="000000" w:sz="12" w:space="0"/>
              <w:left w:val="single" w:color="000000" w:sz="12" w:space="0"/>
              <w:bottom w:val="single" w:color="000000" w:sz="12" w:space="0"/>
              <w:right w:val="single" w:color="000000" w:sz="12" w:space="0"/>
            </w:tcBorders>
            <w:tcW w:w="1709"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DT12有机房</w:t>
            </w:r>
            <w:r/>
          </w:p>
          <w:p>
            <w:pPr>
              <w:spacing w:line="276" w:lineRule="auto"/>
              <w:rPr>
                <w:rFonts w:hint="eastAsia" w:ascii="宋体" w:hAnsi="宋体" w:cs="宋体"/>
                <w:sz w:val="24"/>
                <w:szCs w:val="24"/>
              </w:rPr>
            </w:pPr>
            <w:r>
              <w:rPr>
                <w:rFonts w:hint="eastAsia" w:ascii="宋体" w:hAnsi="宋体" w:cs="宋体"/>
                <w:sz w:val="24"/>
                <w:szCs w:val="24"/>
              </w:rPr>
              <w:t xml:space="preserve">客梯</w:t>
            </w:r>
            <w:r/>
          </w:p>
        </w:tc>
        <w:tc>
          <w:tcPr>
            <w:tcBorders>
              <w:top w:val="single" w:color="000000" w:sz="12" w:space="0"/>
              <w:left w:val="single" w:color="000000" w:sz="12" w:space="0"/>
              <w:bottom w:val="single" w:color="000000" w:sz="12" w:space="0"/>
              <w:right w:val="single" w:color="000000" w:sz="12" w:space="0"/>
            </w:tcBorders>
            <w:tcW w:w="180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五台校区留学生公寓</w:t>
            </w:r>
            <w:r/>
          </w:p>
        </w:tc>
        <w:tc>
          <w:tcPr>
            <w:tcBorders>
              <w:top w:val="single" w:color="000000" w:sz="12" w:space="0"/>
              <w:left w:val="single" w:color="000000" w:sz="12" w:space="0"/>
              <w:bottom w:val="single" w:color="000000" w:sz="12" w:space="0"/>
              <w:right w:val="single" w:color="000000" w:sz="12" w:space="0"/>
            </w:tcBorders>
            <w:tcW w:w="7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1台</w:t>
            </w:r>
            <w:r/>
          </w:p>
        </w:tc>
        <w:tc>
          <w:tcPr>
            <w:tcBorders>
              <w:top w:val="single" w:color="000000" w:sz="12" w:space="0"/>
              <w:left w:val="single" w:color="000000" w:sz="12" w:space="0"/>
              <w:bottom w:val="single" w:color="000000" w:sz="12" w:space="0"/>
              <w:right w:val="single" w:color="000000" w:sz="12" w:space="0"/>
            </w:tcBorders>
            <w:tcW w:w="19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载重：≥1000KG；</w:t>
            </w:r>
            <w:r/>
          </w:p>
          <w:p>
            <w:pPr>
              <w:spacing w:line="276" w:lineRule="auto"/>
              <w:rPr>
                <w:rFonts w:hint="eastAsia" w:ascii="宋体" w:hAnsi="宋体" w:cs="宋体"/>
                <w:sz w:val="24"/>
                <w:szCs w:val="24"/>
              </w:rPr>
            </w:pPr>
            <w:r>
              <w:rPr>
                <w:rFonts w:hint="eastAsia" w:ascii="宋体" w:hAnsi="宋体" w:cs="宋体"/>
                <w:sz w:val="24"/>
                <w:szCs w:val="24"/>
              </w:rPr>
              <w:t xml:space="preserve">速度：≥1.75m/s；</w:t>
            </w:r>
            <w:r/>
          </w:p>
          <w:p>
            <w:pPr>
              <w:spacing w:line="276" w:lineRule="auto"/>
              <w:rPr>
                <w:rFonts w:hint="eastAsia" w:ascii="宋体" w:hAnsi="宋体" w:cs="宋体"/>
                <w:sz w:val="24"/>
                <w:szCs w:val="24"/>
              </w:rPr>
            </w:pPr>
            <w:r>
              <w:rPr>
                <w:rFonts w:hint="eastAsia" w:ascii="宋体" w:hAnsi="宋体" w:cs="宋体"/>
                <w:sz w:val="24"/>
                <w:szCs w:val="24"/>
              </w:rPr>
              <w:t xml:space="preserve">停靠：7层7站</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第一批次安装；</w:t>
            </w:r>
            <w:r/>
          </w:p>
        </w:tc>
      </w:tr>
      <w:tr>
        <w:trPr>
          <w:trHeight w:val="1716" w:hRule="exact"/>
        </w:trPr>
        <w:tc>
          <w:tcPr>
            <w:tcBorders>
              <w:top w:val="single" w:color="000000" w:sz="12" w:space="0"/>
              <w:left w:val="single" w:color="000000" w:sz="12" w:space="0"/>
              <w:bottom w:val="single" w:color="000000" w:sz="12" w:space="0"/>
              <w:right w:val="single" w:color="000000" w:sz="12" w:space="0"/>
            </w:tcBorders>
            <w:tcW w:w="79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9</w:t>
            </w:r>
            <w:r/>
          </w:p>
        </w:tc>
        <w:tc>
          <w:tcPr>
            <w:tcBorders>
              <w:top w:val="single" w:color="000000" w:sz="12" w:space="0"/>
              <w:left w:val="single" w:color="000000" w:sz="12" w:space="0"/>
              <w:bottom w:val="single" w:color="000000" w:sz="12" w:space="0"/>
              <w:right w:val="single" w:color="000000" w:sz="12" w:space="0"/>
            </w:tcBorders>
            <w:tcW w:w="1709"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DT13有机房</w:t>
            </w:r>
            <w:r/>
          </w:p>
          <w:p>
            <w:pPr>
              <w:spacing w:line="276" w:lineRule="auto"/>
              <w:rPr>
                <w:rFonts w:hint="eastAsia" w:ascii="宋体" w:hAnsi="宋体" w:cs="宋体"/>
                <w:sz w:val="24"/>
                <w:szCs w:val="24"/>
              </w:rPr>
            </w:pPr>
            <w:r>
              <w:rPr>
                <w:rFonts w:hint="eastAsia" w:ascii="宋体" w:hAnsi="宋体" w:cs="宋体"/>
                <w:sz w:val="24"/>
                <w:szCs w:val="24"/>
              </w:rPr>
              <w:t xml:space="preserve">客梯</w:t>
            </w:r>
            <w:r/>
          </w:p>
        </w:tc>
        <w:tc>
          <w:tcPr>
            <w:tcBorders>
              <w:top w:val="single" w:color="000000" w:sz="12" w:space="0"/>
              <w:left w:val="single" w:color="000000" w:sz="12" w:space="0"/>
              <w:bottom w:val="single" w:color="000000" w:sz="12" w:space="0"/>
              <w:right w:val="single" w:color="000000" w:sz="12" w:space="0"/>
            </w:tcBorders>
            <w:tcW w:w="180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五台校区留学生公寓</w:t>
            </w:r>
            <w:r/>
          </w:p>
        </w:tc>
        <w:tc>
          <w:tcPr>
            <w:tcBorders>
              <w:top w:val="single" w:color="000000" w:sz="12" w:space="0"/>
              <w:left w:val="single" w:color="000000" w:sz="12" w:space="0"/>
              <w:bottom w:val="single" w:color="000000" w:sz="12" w:space="0"/>
              <w:right w:val="single" w:color="000000" w:sz="12" w:space="0"/>
            </w:tcBorders>
            <w:tcW w:w="7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1台</w:t>
            </w:r>
            <w:r/>
          </w:p>
        </w:tc>
        <w:tc>
          <w:tcPr>
            <w:tcBorders>
              <w:top w:val="single" w:color="000000" w:sz="12" w:space="0"/>
              <w:left w:val="single" w:color="000000" w:sz="12" w:space="0"/>
              <w:bottom w:val="single" w:color="000000" w:sz="12" w:space="0"/>
              <w:right w:val="single" w:color="000000" w:sz="12" w:space="0"/>
            </w:tcBorders>
            <w:tcW w:w="19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载重：≥1000KG；</w:t>
            </w:r>
            <w:r/>
          </w:p>
          <w:p>
            <w:pPr>
              <w:spacing w:line="276" w:lineRule="auto"/>
              <w:rPr>
                <w:rFonts w:hint="eastAsia" w:ascii="宋体" w:hAnsi="宋体" w:cs="宋体"/>
                <w:sz w:val="24"/>
                <w:szCs w:val="24"/>
              </w:rPr>
            </w:pPr>
            <w:r>
              <w:rPr>
                <w:rFonts w:hint="eastAsia" w:ascii="宋体" w:hAnsi="宋体" w:cs="宋体"/>
                <w:sz w:val="24"/>
                <w:szCs w:val="24"/>
              </w:rPr>
              <w:t xml:space="preserve">速度：≥1.75m/s；</w:t>
            </w:r>
            <w:r/>
          </w:p>
          <w:p>
            <w:pPr>
              <w:spacing w:line="276" w:lineRule="auto"/>
              <w:rPr>
                <w:rFonts w:hint="eastAsia" w:ascii="宋体" w:hAnsi="宋体" w:cs="宋体"/>
                <w:sz w:val="24"/>
                <w:szCs w:val="24"/>
              </w:rPr>
            </w:pPr>
            <w:r>
              <w:rPr>
                <w:rFonts w:hint="eastAsia" w:ascii="宋体" w:hAnsi="宋体" w:cs="宋体"/>
                <w:sz w:val="24"/>
                <w:szCs w:val="24"/>
              </w:rPr>
              <w:t xml:space="preserve">停靠：7层7站</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第二批次安装；</w:t>
            </w:r>
            <w:r/>
          </w:p>
        </w:tc>
      </w:tr>
      <w:tr>
        <w:trPr>
          <w:trHeight w:val="1809" w:hRule="exact"/>
        </w:trPr>
        <w:tc>
          <w:tcPr>
            <w:tcBorders>
              <w:top w:val="single" w:color="000000" w:sz="12" w:space="0"/>
              <w:left w:val="single" w:color="000000" w:sz="12" w:space="0"/>
              <w:bottom w:val="single" w:color="000000" w:sz="12" w:space="0"/>
              <w:right w:val="single" w:color="000000" w:sz="12" w:space="0"/>
            </w:tcBorders>
            <w:tcW w:w="79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10</w:t>
            </w:r>
            <w:r/>
          </w:p>
        </w:tc>
        <w:tc>
          <w:tcPr>
            <w:tcBorders>
              <w:top w:val="single" w:color="000000" w:sz="12" w:space="0"/>
              <w:left w:val="single" w:color="000000" w:sz="12" w:space="0"/>
              <w:bottom w:val="single" w:color="000000" w:sz="12" w:space="0"/>
              <w:right w:val="single" w:color="000000" w:sz="12" w:space="0"/>
            </w:tcBorders>
            <w:tcW w:w="1709"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DT14无机房</w:t>
            </w:r>
            <w:r/>
          </w:p>
          <w:p>
            <w:pPr>
              <w:spacing w:line="276" w:lineRule="auto"/>
              <w:rPr>
                <w:rFonts w:hint="eastAsia" w:ascii="宋体" w:hAnsi="宋体" w:cs="宋体"/>
                <w:sz w:val="24"/>
                <w:szCs w:val="24"/>
              </w:rPr>
            </w:pPr>
            <w:r>
              <w:rPr>
                <w:rFonts w:hint="eastAsia" w:ascii="宋体" w:hAnsi="宋体" w:cs="宋体"/>
                <w:sz w:val="24"/>
                <w:szCs w:val="24"/>
              </w:rPr>
              <w:t xml:space="preserve">客梯</w:t>
            </w:r>
            <w:r/>
          </w:p>
        </w:tc>
        <w:tc>
          <w:tcPr>
            <w:tcBorders>
              <w:top w:val="single" w:color="000000" w:sz="12" w:space="0"/>
              <w:left w:val="single" w:color="000000" w:sz="12" w:space="0"/>
              <w:bottom w:val="single" w:color="000000" w:sz="12" w:space="0"/>
              <w:right w:val="single" w:color="000000" w:sz="12" w:space="0"/>
            </w:tcBorders>
            <w:tcW w:w="180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五台校区学生食堂</w:t>
            </w:r>
            <w:r/>
          </w:p>
        </w:tc>
        <w:tc>
          <w:tcPr>
            <w:tcBorders>
              <w:top w:val="single" w:color="000000" w:sz="12" w:space="0"/>
              <w:left w:val="single" w:color="000000" w:sz="12" w:space="0"/>
              <w:bottom w:val="single" w:color="000000" w:sz="12" w:space="0"/>
              <w:right w:val="single" w:color="000000" w:sz="12" w:space="0"/>
            </w:tcBorders>
            <w:tcW w:w="7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1台</w:t>
            </w:r>
            <w:r/>
          </w:p>
        </w:tc>
        <w:tc>
          <w:tcPr>
            <w:tcBorders>
              <w:top w:val="single" w:color="000000" w:sz="12" w:space="0"/>
              <w:left w:val="single" w:color="000000" w:sz="12" w:space="0"/>
              <w:bottom w:val="single" w:color="000000" w:sz="12" w:space="0"/>
              <w:right w:val="single" w:color="000000" w:sz="12" w:space="0"/>
            </w:tcBorders>
            <w:tcW w:w="1935"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载重：≥1000KG；</w:t>
            </w:r>
            <w:r/>
          </w:p>
          <w:p>
            <w:pPr>
              <w:spacing w:line="276" w:lineRule="auto"/>
              <w:rPr>
                <w:rFonts w:hint="eastAsia" w:ascii="宋体" w:hAnsi="宋体" w:cs="宋体"/>
                <w:sz w:val="24"/>
                <w:szCs w:val="24"/>
              </w:rPr>
            </w:pPr>
            <w:r>
              <w:rPr>
                <w:rFonts w:hint="eastAsia" w:ascii="宋体" w:hAnsi="宋体" w:cs="宋体"/>
                <w:sz w:val="24"/>
                <w:szCs w:val="24"/>
              </w:rPr>
              <w:t xml:space="preserve">速度：≥1.75m/s；</w:t>
            </w:r>
            <w:r/>
          </w:p>
          <w:p>
            <w:pPr>
              <w:spacing w:line="276" w:lineRule="auto"/>
              <w:rPr>
                <w:rFonts w:hint="eastAsia" w:ascii="宋体" w:hAnsi="宋体" w:cs="宋体"/>
                <w:sz w:val="24"/>
                <w:szCs w:val="24"/>
              </w:rPr>
            </w:pPr>
            <w:r>
              <w:rPr>
                <w:rFonts w:hint="eastAsia" w:ascii="宋体" w:hAnsi="宋体" w:cs="宋体"/>
                <w:sz w:val="24"/>
                <w:szCs w:val="24"/>
              </w:rPr>
              <w:t xml:space="preserve">停靠：4层4站</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第一批次安装；</w:t>
            </w:r>
            <w:r/>
          </w:p>
        </w:tc>
      </w:tr>
    </w:tbl>
    <w:p>
      <w:r/>
      <w:r/>
    </w:p>
    <w:p>
      <w:pPr>
        <w:spacing w:line="360" w:lineRule="auto"/>
        <w:rPr>
          <w:rFonts w:hint="eastAsia" w:ascii="宋体" w:hAnsi="宋体" w:cs="宋体"/>
          <w:b/>
          <w:bCs/>
          <w:sz w:val="24"/>
          <w:szCs w:val="24"/>
        </w:rPr>
      </w:pPr>
      <w:r>
        <w:rPr>
          <w:rFonts w:hint="eastAsia" w:ascii="宋体" w:hAnsi="宋体" w:cs="宋体"/>
          <w:b/>
          <w:bCs/>
          <w:sz w:val="24"/>
          <w:szCs w:val="24"/>
        </w:rPr>
        <w:t xml:space="preserve">1、招标范围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b/>
          <w:bCs/>
          <w:i/>
          <w:sz w:val="24"/>
          <w:szCs w:val="21"/>
          <w:u w:val="single"/>
        </w:rPr>
        <w:t xml:space="preserve">本项目为交钥匙项目，中标供应商应为采购人提供本项目的土建整改（包括基坑土建整改、井道土建整改及</w:t>
      </w:r>
      <w:r>
        <w:rPr>
          <w:rFonts w:hint="eastAsia" w:ascii="宋体" w:hAnsi="宋体"/>
          <w:b/>
          <w:bCs/>
          <w:i/>
          <w:sz w:val="24"/>
          <w:szCs w:val="21"/>
          <w:u w:val="single"/>
          <w:lang w:val="zh-CN"/>
        </w:rPr>
        <w:t xml:space="preserve">井道吊钩整改</w:t>
      </w:r>
      <w:r>
        <w:rPr>
          <w:rFonts w:hint="eastAsia" w:ascii="宋体" w:hAnsi="宋体"/>
          <w:b/>
          <w:bCs/>
          <w:i/>
          <w:sz w:val="24"/>
          <w:szCs w:val="21"/>
          <w:u w:val="single"/>
        </w:rPr>
        <w:t xml:space="preserve">、井道密封、</w:t>
      </w:r>
      <w:r>
        <w:rPr>
          <w:rFonts w:hint="eastAsia" w:ascii="宋体" w:hAnsi="宋体"/>
          <w:b/>
          <w:bCs/>
          <w:i/>
          <w:sz w:val="24"/>
          <w:szCs w:val="21"/>
          <w:u w:val="single"/>
          <w:lang w:val="zh-CN"/>
        </w:rPr>
        <w:t xml:space="preserve">门洞改造费及恢复原状的费用，外召唤空洞修复（不锈钢铁板做背衬板）</w:t>
      </w:r>
      <w:r>
        <w:rPr>
          <w:rFonts w:hint="eastAsia" w:ascii="宋体" w:hAnsi="宋体"/>
          <w:b/>
          <w:bCs/>
          <w:i/>
          <w:sz w:val="24"/>
          <w:szCs w:val="21"/>
          <w:u w:val="single"/>
        </w:rPr>
        <w:t xml:space="preserve">）、新梯安装（包括井道内的埋件、机房钢梁等）、新梯调试、新梯维修保养、垃圾清运、新设备及施工现场保洁等一条龙服务)，采购人只接收通过当地质量监督部门验收合格并发放准运证明的电梯设备。本项目从实施开始至验收、售后服务结束等环节过程中涉及的所有费用均应列入投标总价，采购人不再支付其他任何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（2）中标单位在中标后，需针对投标文件中的施工方案进行优化，其中包括：围挡方案、土建整改方案（包括基坑土建整改、井道土建整改及</w:t>
      </w:r>
      <w:r>
        <w:rPr>
          <w:rFonts w:hint="eastAsia" w:ascii="宋体" w:hAnsi="宋体" w:cs="宋体"/>
          <w:bCs/>
          <w:sz w:val="24"/>
          <w:szCs w:val="24"/>
          <w:lang w:val="zh-CN"/>
        </w:rPr>
        <w:t xml:space="preserve">井道吊钩整改</w:t>
      </w:r>
      <w:r>
        <w:rPr>
          <w:rFonts w:hint="eastAsia" w:ascii="宋体" w:hAnsi="宋体" w:cs="宋体"/>
          <w:sz w:val="24"/>
          <w:szCs w:val="24"/>
        </w:rPr>
        <w:t xml:space="preserve">、井道密封、</w:t>
      </w:r>
      <w:r>
        <w:rPr>
          <w:rFonts w:hint="eastAsia" w:ascii="宋体" w:hAnsi="宋体" w:cs="宋体"/>
          <w:bCs/>
          <w:sz w:val="24"/>
          <w:szCs w:val="24"/>
          <w:lang w:val="zh-CN"/>
        </w:rPr>
        <w:t xml:space="preserve">门洞改造费及恢复原状的费用，外召唤空洞修复（不锈钢铁板做背衬板）</w:t>
      </w:r>
      <w:r>
        <w:rPr>
          <w:rFonts w:hint="eastAsia" w:ascii="宋体" w:hAnsi="宋体" w:cs="宋体"/>
          <w:sz w:val="24"/>
          <w:szCs w:val="24"/>
        </w:rPr>
        <w:t xml:space="preserve">）、电梯外观选型方案（外呼、操纵箱、按钮、轿厢、轿顶、地面、扶手、轿门、厅门等）、电梯安装（包括井道内的埋件、机房钢梁、机房配电箱至电梯控制柜电缆等）及验收方案等供业主单位确认，待确认后方可进行施工，中标价不做调整，投标人需充分考虑此项费用（因本项目的特殊性，施工方案必须充分考虑方案的安全性、业主单位对作息时间的要求等）。</w:t>
      </w:r>
      <w:r/>
    </w:p>
    <w:p>
      <w:pPr>
        <w:spacing w:line="360" w:lineRule="auto"/>
        <w:rPr>
          <w:rFonts w:hint="eastAsia" w:ascii="宋体" w:hAnsi="宋体" w:cs="宋体"/>
          <w:b/>
          <w:sz w:val="24"/>
          <w:szCs w:val="24"/>
        </w:rPr>
      </w:pPr>
      <w:r>
        <w:rPr>
          <w:rFonts w:hint="eastAsia" w:ascii="宋体" w:hAnsi="宋体" w:cs="宋体"/>
          <w:b/>
          <w:sz w:val="24"/>
          <w:szCs w:val="24"/>
        </w:rPr>
        <w:t xml:space="preserve">2、商务要求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（1）交货期、交货方式及交货地点</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交货期：</w:t>
      </w:r>
      <w:r>
        <w:rPr>
          <w:rFonts w:hint="eastAsia" w:ascii="宋体" w:hAnsi="宋体"/>
          <w:b/>
          <w:bCs/>
          <w:i/>
          <w:sz w:val="24"/>
          <w:szCs w:val="21"/>
          <w:u w:val="single"/>
        </w:rPr>
        <w:t xml:space="preserve">合同签订后分两批次交货，第一批次75天内完工，第二批次90天内完成，总工期不超过90天。</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交货方式：供应商在采购人指定地点交货，并完成安装、调试。</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交货地点：采购人指定地点，由供应商负责办理运输和装卸等，费用由供应商负责，采购人组织验收，检验不合格或不符合质量要求，供应商除无条件退货、返工外，还应承担采购人由此造成的一切损失。</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（2）付款方式</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3.1 本项目电梯设备及安装为总价包干合同</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第1次付款：合同签订后10个工作日内，采购人按合同价的10%支付定金。</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第2次付款：提交生产计划并经采购人认可，采购人按合同价的50%支付排产款。</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第3次付款：现场安装调试合格后，经采购人所在地技术监督部门验收合格、采购人获得使用许可证后，付至合同价的100%。</w:t>
      </w:r>
      <w:r/>
    </w:p>
    <w:p>
      <w:pPr>
        <w:spacing w:line="360" w:lineRule="auto"/>
        <w:rPr>
          <w:rFonts w:hint="eastAsia" w:ascii="宋体" w:hAnsi="宋体" w:cs="宋体"/>
          <w:sz w:val="24"/>
          <w:szCs w:val="24"/>
        </w:rPr>
      </w:pPr>
      <w:r>
        <w:rPr>
          <w:rFonts w:hint="eastAsia" w:ascii="宋体" w:hAnsi="宋体" w:cs="宋体"/>
          <w:b/>
          <w:bCs/>
          <w:sz w:val="24"/>
          <w:szCs w:val="24"/>
        </w:rPr>
        <w:t xml:space="preserve">2、安装要求</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1、投标人应按《电梯制造与安装安全规范》等规定对本项目进行深化设计，确保电梯选型及安装符合本项目实际及国家相关规定。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2、投标人应制</w:t>
      </w:r>
      <w:r>
        <w:rPr>
          <w:rFonts w:hint="eastAsia" w:ascii="宋体" w:hAnsi="宋体" w:cs="宋体"/>
          <w:sz w:val="24"/>
          <w:szCs w:val="24"/>
        </w:rPr>
        <w:t xml:space="preserve">订针对</w:t>
      </w:r>
      <w:r>
        <w:rPr>
          <w:rFonts w:hint="eastAsia" w:ascii="宋体" w:hAnsi="宋体" w:cs="宋体"/>
          <w:sz w:val="24"/>
          <w:szCs w:val="24"/>
        </w:rPr>
        <w:t xml:space="preserve">本项目的设计方案，包括匹配本项目要求的产品选型、产品技术性能优势介绍、产品安全性介绍、系统拓扑图、电梯轿厢的效果图等，设计方案应充分考虑学校使用的实际，确保项目高质量完成及后期稳定、安全运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（1）安装方式：交钥匙工程，即本次采购电梯所需电梯的全部设备、材料、</w:t>
      </w:r>
      <w:r>
        <w:rPr>
          <w:rFonts w:hint="eastAsia" w:ascii="宋体" w:hAnsi="宋体" w:cs="宋体"/>
          <w:sz w:val="24"/>
          <w:szCs w:val="24"/>
        </w:rPr>
        <w:t xml:space="preserve">随设备</w:t>
      </w:r>
      <w:r>
        <w:rPr>
          <w:rFonts w:hint="eastAsia" w:ascii="宋体" w:hAnsi="宋体" w:cs="宋体"/>
          <w:sz w:val="24"/>
          <w:szCs w:val="24"/>
        </w:rPr>
        <w:t xml:space="preserve">的备品配件及专用工具，运抵采购人工地现场，负责安装、调试，直至采购人所在地质量监督部门验收合格，获得质量监督部门发给的使用许可证，交付采购人使用。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（2）安装时间：满足甲方要求，</w:t>
      </w:r>
      <w:r>
        <w:rPr>
          <w:rFonts w:hint="eastAsia" w:ascii="宋体" w:hAnsi="宋体" w:cs="宋体"/>
          <w:bCs/>
          <w:sz w:val="24"/>
          <w:szCs w:val="24"/>
        </w:rPr>
        <w:t xml:space="preserve">本次采购电梯共分两批次进行安装，第一批次（75天）需安装江宁校区药学院2#、3#电梯（DT1、DT2），逸夫楼电梯（DT3），博学楼电梯(DT4），学生食堂2#电梯（DT5），图书馆2#、3#电梯（DT6、DT7），五台校区研究生公寓1#、2#、3#电梯（DT8、DT9、DT10），留学生公寓1#电梯(DT12)，学生食堂6#电梯(DT14)；第二批次（90天）需安装五</w:t>
      </w:r>
      <w:r>
        <w:rPr>
          <w:rFonts w:hint="eastAsia" w:ascii="宋体" w:hAnsi="宋体" w:cs="宋体"/>
          <w:bCs/>
          <w:sz w:val="24"/>
          <w:szCs w:val="24"/>
        </w:rPr>
        <w:t xml:space="preserve">台校区研究生公寓4#电梯（DT11），留学生公寓2#电梯（DT13），总工期90天。</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（3）安装调试、检测、验收费含在投标总报价内。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3、投标人应制</w:t>
      </w:r>
      <w:r>
        <w:rPr>
          <w:rFonts w:hint="eastAsia" w:ascii="宋体" w:hAnsi="宋体" w:cs="宋体"/>
          <w:sz w:val="24"/>
          <w:szCs w:val="24"/>
        </w:rPr>
        <w:t xml:space="preserve">定针对</w:t>
      </w:r>
      <w:r>
        <w:rPr>
          <w:rFonts w:hint="eastAsia" w:ascii="宋体" w:hAnsi="宋体" w:cs="宋体"/>
          <w:sz w:val="24"/>
          <w:szCs w:val="24"/>
        </w:rPr>
        <w:t xml:space="preserve">本项目的技术方案，包括提供完整、详细、可行的主要技术说明方案、深化设计图纸及提供各项详细技术参数及设备选型方案等。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bCs/>
          <w:sz w:val="24"/>
          <w:szCs w:val="24"/>
        </w:rPr>
        <w:t xml:space="preserve">标人应结合招标要求及项目实施实际需求，编制完整的重难点分析专项方案</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5、投标人应结合招标要求及项目实际需求，编制科学合理的质量保证及质量控制方案。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6、投标人须依据招标文件要求及项目实际情况，编制科学合理的项目进度控制方案。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7、投标人应根据招标要求及项目实施需要，提供完整、详细、可行的安装调试方案。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8、投标人应根据招标要求及项目实际需要，编制完整详实、切实可行的安全文明施工专项方案。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9、供应商对于安装电梯有关的文明施工、环境保护、安全生产、治安与消防</w:t>
      </w:r>
      <w:r>
        <w:rPr>
          <w:rFonts w:hint="eastAsia" w:ascii="宋体" w:hAnsi="宋体" w:cs="宋体"/>
          <w:sz w:val="24"/>
          <w:szCs w:val="24"/>
        </w:rPr>
        <w:t xml:space="preserve">负主体</w:t>
      </w:r>
      <w:r>
        <w:rPr>
          <w:rFonts w:hint="eastAsia" w:ascii="宋体" w:hAnsi="宋体" w:cs="宋体"/>
          <w:sz w:val="24"/>
          <w:szCs w:val="24"/>
        </w:rPr>
        <w:t xml:space="preserve">责任。投标人须做好安全防护、围挡、个人安全防护措施，施工区域悬挂警示标志和安全文明用语；每天施工完毕需清洁井道外场地，以防人员意外滑到和伤害。施工前须与采购人签订安全协议，施工期间的安全责任</w:t>
      </w:r>
      <w:r>
        <w:rPr>
          <w:rFonts w:hint="eastAsia" w:ascii="宋体" w:hAnsi="宋体" w:cs="宋体"/>
          <w:sz w:val="24"/>
          <w:szCs w:val="24"/>
        </w:rPr>
        <w:t xml:space="preserve">由成交</w:t>
      </w:r>
      <w:r>
        <w:rPr>
          <w:rFonts w:hint="eastAsia" w:ascii="宋体" w:hAnsi="宋体" w:cs="宋体"/>
          <w:sz w:val="24"/>
          <w:szCs w:val="24"/>
        </w:rPr>
        <w:t xml:space="preserve">供应商负责，若发生安全事故，所有损失</w:t>
      </w:r>
      <w:r>
        <w:rPr>
          <w:rFonts w:hint="eastAsia" w:ascii="宋体" w:hAnsi="宋体" w:cs="宋体"/>
          <w:sz w:val="24"/>
          <w:szCs w:val="24"/>
        </w:rPr>
        <w:t xml:space="preserve">由成交</w:t>
      </w:r>
      <w:r>
        <w:rPr>
          <w:rFonts w:hint="eastAsia" w:ascii="宋体" w:hAnsi="宋体" w:cs="宋体"/>
          <w:sz w:val="24"/>
          <w:szCs w:val="24"/>
        </w:rPr>
        <w:t xml:space="preserve">供应商承担，给学校造成损失的，追究相关责任。</w:t>
      </w:r>
      <w:r/>
    </w:p>
    <w:p>
      <w:pPr>
        <w:spacing w:line="360" w:lineRule="auto"/>
        <w:rPr>
          <w:rFonts w:hint="eastAsia" w:ascii="宋体" w:hAnsi="宋体" w:cs="宋体"/>
          <w:b/>
          <w:bCs/>
          <w:sz w:val="24"/>
          <w:szCs w:val="24"/>
        </w:rPr>
      </w:pPr>
      <w:r>
        <w:rPr>
          <w:rFonts w:hint="eastAsia" w:ascii="宋体" w:hAnsi="宋体" w:cs="宋体"/>
          <w:b/>
          <w:sz w:val="24"/>
          <w:szCs w:val="24"/>
        </w:rPr>
        <w:t xml:space="preserve">3、</w:t>
      </w:r>
      <w:r>
        <w:rPr>
          <w:rFonts w:hint="eastAsia" w:ascii="宋体" w:hAnsi="宋体" w:cs="宋体"/>
          <w:b/>
          <w:bCs/>
          <w:sz w:val="24"/>
          <w:szCs w:val="24"/>
        </w:rPr>
        <w:t xml:space="preserve">售后服务要求：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（一）质保要求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（1）质保期：所购电梯整套设备质保期为最终验收合格后24个月。</w:t>
      </w:r>
      <w:r/>
    </w:p>
    <w:p>
      <w:pPr>
        <w:ind w:firstLine="480"/>
        <w:spacing w:line="360" w:lineRule="auto"/>
        <w:rPr>
          <w:rFonts w:hint="eastAsia" w:ascii="宋体" w:hAnsi="宋体"/>
          <w:b/>
          <w:bCs/>
          <w:i/>
          <w:sz w:val="24"/>
          <w:szCs w:val="21"/>
          <w:u w:val="single"/>
        </w:rPr>
      </w:pPr>
      <w:r>
        <w:rPr>
          <w:rFonts w:hint="eastAsia" w:ascii="宋体" w:hAnsi="宋体" w:cs="宋体"/>
          <w:sz w:val="24"/>
          <w:szCs w:val="24"/>
        </w:rPr>
        <w:t xml:space="preserve">（2）</w:t>
      </w:r>
      <w:r>
        <w:rPr>
          <w:rFonts w:hint="eastAsia" w:ascii="宋体" w:hAnsi="宋体"/>
          <w:b/>
          <w:bCs/>
          <w:i/>
          <w:sz w:val="24"/>
          <w:szCs w:val="21"/>
          <w:u w:val="single"/>
        </w:rPr>
        <w:t xml:space="preserve">售后服务单位应为中标单位，除不可抗力外，电梯日常维护保养单位接到电梯困人报告后，应当在三十分钟内到达现场开展救援，并及时报告质量技术监督部门；接到其他故障报告后，应当在一小时内到达现场排除故障。（提供上述承诺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（3）当备件停止生产的情况下，卖方应事先将停止生产的计划通知买方，使买方有足够的时间采购所需的备件；在停止生产后，如买方要求，卖方应免</w:t>
      </w:r>
      <w:r>
        <w:rPr>
          <w:rFonts w:hint="eastAsia" w:ascii="宋体" w:hAnsi="宋体" w:cs="宋体"/>
          <w:sz w:val="24"/>
          <w:szCs w:val="24"/>
        </w:rPr>
        <w:t xml:space="preserve">费向买方提供备件的蓝图、图纸和规格。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（4）应提供的伴随服务：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1）安装调试中负责进行电气及机械设备维修、操作及对操作、维护人员的培训；免费提供上述服务，并请在投标报价中说明。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2）要求提供的备件：保证货物正常运行的标准配置的附件及专用工具，均应包括在货物的投标报价中。并应将数量和单价单列，供评标时使用。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（二）售后及质保服务方案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1、投标人须依据招标文件要求及项目实际需求，编制完整详实、科学可行的售后及质保服务专项方案。</w:t>
      </w:r>
      <w:r/>
    </w:p>
    <w:p>
      <w:pPr>
        <w:ind w:firstLine="480"/>
        <w:spacing w:line="360" w:lineRule="auto"/>
        <w:rPr>
          <w:rFonts w:hint="eastAsia" w:ascii="宋体" w:hAnsi="宋体" w:cs="仿宋"/>
          <w:bCs/>
          <w:sz w:val="24"/>
          <w:szCs w:val="24"/>
        </w:rPr>
      </w:pPr>
      <w:r>
        <w:rPr>
          <w:rFonts w:hint="eastAsia" w:ascii="宋体" w:hAnsi="宋体" w:cs="宋体"/>
          <w:sz w:val="24"/>
          <w:szCs w:val="24"/>
        </w:rPr>
        <w:t xml:space="preserve">2、投标人应</w:t>
      </w:r>
      <w:r>
        <w:rPr>
          <w:rFonts w:hint="eastAsia" w:ascii="宋体" w:hAnsi="宋体"/>
          <w:bCs/>
          <w:sz w:val="24"/>
          <w:szCs w:val="24"/>
        </w:rPr>
        <w:t xml:space="preserve">根据招标要求及项目实施具体需要，提供本项目的应急处理方案。</w:t>
      </w:r>
      <w:r/>
    </w:p>
    <w:p>
      <w:pPr>
        <w:ind w:firstLine="480"/>
        <w:spacing w:line="360" w:lineRule="auto"/>
        <w:rPr>
          <w:rFonts w:hint="eastAsia" w:ascii="宋体" w:hAnsi="宋体" w:cs="宋体"/>
          <w:sz w:val="24"/>
          <w:szCs w:val="24"/>
        </w:rPr>
      </w:pPr>
      <w:r>
        <w:rPr>
          <w:rFonts w:hint="eastAsia" w:ascii="宋体" w:hAnsi="宋体" w:cs="仿宋"/>
          <w:bCs/>
          <w:sz w:val="24"/>
          <w:szCs w:val="24"/>
        </w:rPr>
        <w:t xml:space="preserve">3、</w:t>
      </w:r>
      <w:r>
        <w:rPr>
          <w:rFonts w:hint="eastAsia" w:ascii="宋体" w:hAnsi="宋体" w:cs="宋体"/>
          <w:sz w:val="24"/>
          <w:szCs w:val="24"/>
        </w:rPr>
        <w:t xml:space="preserve">投标人</w:t>
      </w:r>
      <w:r>
        <w:rPr>
          <w:rFonts w:hint="eastAsia" w:ascii="宋体" w:hAnsi="宋体"/>
          <w:bCs/>
          <w:sz w:val="24"/>
          <w:szCs w:val="24"/>
        </w:rPr>
        <w:t xml:space="preserve">应根据招标要求及项目实施具体需要，提供本项目的培训方案</w:t>
      </w:r>
      <w:r>
        <w:rPr>
          <w:rFonts w:hint="eastAsia" w:ascii="宋体" w:hAnsi="宋体" w:cs="宋体"/>
          <w:sz w:val="24"/>
          <w:szCs w:val="24"/>
        </w:rPr>
        <w:t xml:space="preserve">。</w:t>
      </w:r>
      <w:r/>
    </w:p>
    <w:p>
      <w:pPr>
        <w:ind w:firstLine="482"/>
        <w:spacing w:line="360" w:lineRule="auto"/>
        <w:rPr>
          <w:rFonts w:hint="eastAsia" w:ascii="宋体" w:hAnsi="宋体" w:cs="宋体"/>
          <w:sz w:val="24"/>
          <w:szCs w:val="24"/>
        </w:rPr>
      </w:pPr>
      <w:r>
        <w:rPr>
          <w:rFonts w:hint="eastAsia" w:ascii="宋体" w:hAnsi="宋体" w:cs="宋体"/>
          <w:b/>
          <w:sz w:val="24"/>
          <w:szCs w:val="24"/>
        </w:rPr>
        <w:t xml:space="preserve">4、验收标准：</w:t>
      </w:r>
      <w:r>
        <w:rPr>
          <w:rFonts w:hint="eastAsia" w:ascii="宋体" w:hAnsi="宋体" w:cs="宋体"/>
          <w:sz w:val="24"/>
          <w:szCs w:val="24"/>
        </w:rPr>
        <w:t xml:space="preserve">采购人验收，供应商安装调试结束，取得安全检验合格证及电梯使用登记证，且能正常使用。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b/>
          <w:bCs/>
          <w:sz w:val="24"/>
          <w:szCs w:val="24"/>
        </w:rPr>
        <w:t xml:space="preserve">其他要求</w:t>
      </w:r>
      <w:r>
        <w:rPr>
          <w:rFonts w:hint="eastAsia" w:ascii="宋体" w:hAnsi="宋体" w:cs="宋体"/>
          <w:sz w:val="24"/>
          <w:szCs w:val="24"/>
        </w:rPr>
        <w:t xml:space="preserve">：</w:t>
      </w:r>
      <w:r/>
    </w:p>
    <w:p>
      <w:pPr>
        <w:ind w:firstLine="482"/>
        <w:spacing w:line="360" w:lineRule="auto"/>
        <w:rPr>
          <w:rFonts w:hint="eastAsia" w:ascii="宋体" w:hAnsi="宋体" w:cs="宋体"/>
          <w:sz w:val="24"/>
          <w:szCs w:val="24"/>
        </w:rPr>
      </w:pPr>
      <w:r>
        <w:rPr>
          <w:rFonts w:hint="eastAsia" w:ascii="宋体" w:hAnsi="宋体"/>
          <w:b/>
          <w:bCs/>
          <w:i/>
          <w:sz w:val="24"/>
          <w:szCs w:val="21"/>
          <w:u w:val="single"/>
        </w:rPr>
        <w:t xml:space="preserve">本项目所采购电梯质保期内，采购电梯每年的年检费、电梯保险费等所有费用由中标单位承担。如中标单位承诺延长免费维保期的，采购电梯（除人为损坏及进水导致的故障以外）每年的年检费、电梯保险费等所有费用由中标单位承担。</w:t>
      </w:r>
      <w:r/>
    </w:p>
    <w:p>
      <w:pPr>
        <w:keepNext/>
        <w:rPr>
          <w:rFonts w:hint="eastAsia" w:ascii="宋体" w:hAnsi="宋体" w:cs="宋体"/>
          <w:b/>
          <w:bCs/>
          <w:sz w:val="24"/>
          <w:szCs w:val="24"/>
        </w:rPr>
        <w:outlineLvl w:val="0"/>
      </w:pPr>
      <w:r/>
      <w:bookmarkStart w:id="218" w:name="_Toc227167508"/>
      <w:r>
        <w:rPr>
          <w:rFonts w:hint="eastAsia" w:ascii="宋体" w:hAnsi="宋体"/>
          <w:b/>
          <w:bCs/>
          <w:sz w:val="24"/>
          <w:szCs w:val="24"/>
        </w:rPr>
        <w:t xml:space="preserve">三）、</w:t>
      </w:r>
      <w:r>
        <w:rPr>
          <w:rFonts w:hint="eastAsia" w:ascii="宋体" w:hAnsi="宋体" w:cs="宋体"/>
          <w:b/>
          <w:bCs/>
          <w:sz w:val="24"/>
          <w:szCs w:val="24"/>
        </w:rPr>
        <w:t xml:space="preserve">具体技术要求</w:t>
      </w:r>
      <w:bookmarkEnd w:id="218"/>
      <w:r/>
      <w:r/>
    </w:p>
    <w:p>
      <w:pPr>
        <w:ind w:firstLine="481"/>
        <w:rPr>
          <w:rFonts w:hint="eastAsia" w:ascii="宋体" w:hAnsi="宋体" w:cs="仿宋"/>
          <w:bCs/>
          <w:sz w:val="24"/>
          <w:szCs w:val="24"/>
        </w:rPr>
      </w:pPr>
      <w:r>
        <w:rPr>
          <w:rFonts w:hint="eastAsia" w:ascii="宋体" w:hAnsi="宋体" w:cs="仿宋"/>
          <w:bCs/>
          <w:sz w:val="24"/>
          <w:szCs w:val="24"/>
        </w:rPr>
        <w:t xml:space="preserve">本项目采购电梯的曳引机（主机）、控制柜、限速器、缓冲器、安全钳、层门锁，须与对应整机型式试验报告的品牌及型号一致。</w:t>
      </w:r>
      <w:r/>
    </w:p>
    <w:p>
      <w:pPr>
        <w:ind w:firstLine="481"/>
        <w:rPr>
          <w:rFonts w:hint="eastAsia" w:ascii="宋体" w:hAnsi="宋体" w:cs="宋体"/>
          <w:sz w:val="24"/>
          <w:szCs w:val="24"/>
        </w:rPr>
      </w:pPr>
      <w:r>
        <w:rPr>
          <w:rFonts w:hint="eastAsia" w:ascii="宋体" w:hAnsi="宋体" w:cs="宋体"/>
          <w:sz w:val="24"/>
          <w:szCs w:val="24"/>
        </w:rPr>
        <w:t xml:space="preserve">本项目采购电梯的</w:t>
      </w:r>
      <w:r>
        <w:rPr>
          <w:rFonts w:hint="eastAsia" w:ascii="宋体" w:hAnsi="宋体" w:cs="仿宋"/>
          <w:bCs/>
          <w:sz w:val="24"/>
          <w:szCs w:val="24"/>
        </w:rPr>
        <w:t xml:space="preserve">轿门门锁、上行超速保护装置、轿厢意外移动保护装置</w:t>
      </w:r>
      <w:r>
        <w:rPr>
          <w:rFonts w:hint="eastAsia" w:hAnsi="宋体" w:cs="Calibri"/>
          <w:sz w:val="24"/>
          <w:szCs w:val="24"/>
        </w:rPr>
        <w:t xml:space="preserve">，需与对应整机型式试验报告的品牌及型号一致</w:t>
      </w:r>
      <w:r>
        <w:rPr>
          <w:rFonts w:hint="eastAsia" w:ascii="宋体" w:hAnsi="宋体" w:cs="宋体"/>
          <w:sz w:val="24"/>
          <w:szCs w:val="24"/>
        </w:rPr>
        <w:t xml:space="preserve">。</w:t>
      </w:r>
      <w:r/>
    </w:p>
    <w:p>
      <w:pPr>
        <w:ind w:firstLine="481"/>
        <w:rPr>
          <w:rFonts w:hint="eastAsia" w:ascii="宋体" w:hAnsi="宋体" w:cs="宋体"/>
          <w:sz w:val="24"/>
          <w:szCs w:val="24"/>
        </w:rPr>
      </w:pPr>
      <w:r>
        <w:rPr>
          <w:rFonts w:hint="eastAsia" w:ascii="宋体" w:hAnsi="宋体" w:cs="宋体"/>
          <w:sz w:val="24"/>
          <w:szCs w:val="24"/>
        </w:rPr>
        <w:t xml:space="preserve">本项目采购电梯，电梯安装后应满足《中华人民共和国特种设备安全法》、《电梯制造与安装安全规范》（GB/T 7588.1）、《电梯工程施工质量验收规范》（GB50310）、《电梯型式试验规则》（TSG T7007）、《电梯技术条件》（GB/T10058）、《电梯安装验收规范》（GB/T 10060）及国家现行其它规范、标准等所规定的最新现行规范要求。</w:t>
      </w:r>
      <w:r/>
    </w:p>
    <w:p>
      <w:pPr>
        <w:ind w:firstLine="481"/>
        <w:rPr>
          <w:rFonts w:hint="eastAsia" w:ascii="宋体" w:hAnsi="宋体" w:cs="宋体"/>
          <w:sz w:val="24"/>
          <w:szCs w:val="24"/>
        </w:rPr>
      </w:pPr>
      <w:r>
        <w:rPr>
          <w:rFonts w:hint="eastAsia" w:ascii="宋体" w:hAnsi="宋体" w:cs="宋体"/>
          <w:sz w:val="24"/>
          <w:szCs w:val="24"/>
        </w:rPr>
        <w:t xml:space="preserve">性能要求：</w:t>
      </w:r>
      <w:r/>
    </w:p>
    <w:p>
      <w:pPr>
        <w:numPr>
          <w:ilvl w:val="0"/>
          <w:numId w:val="14"/>
        </w:numPr>
        <w:ind w:firstLine="481"/>
        <w:rPr>
          <w:rFonts w:hint="eastAsia" w:ascii="宋体" w:hAnsi="宋体" w:cs="宋体"/>
          <w:sz w:val="24"/>
          <w:szCs w:val="24"/>
        </w:rPr>
      </w:pPr>
      <w:r>
        <w:rPr>
          <w:rFonts w:hint="eastAsia" w:ascii="宋体" w:hAnsi="宋体" w:cs="宋体"/>
          <w:sz w:val="24"/>
          <w:szCs w:val="24"/>
        </w:rPr>
        <w:t xml:space="preserve">监控线：每部梯随行电缆中应配一根屏蔽监控软线缆，便于今后在轿厢中安装监控探头；同时投标人须在轿厢内预留监控探头的接口。</w:t>
      </w:r>
      <w:r/>
    </w:p>
    <w:p>
      <w:pPr>
        <w:numPr>
          <w:ilvl w:val="0"/>
          <w:numId w:val="14"/>
        </w:numPr>
        <w:ind w:firstLine="481"/>
        <w:rPr>
          <w:rFonts w:hint="eastAsia" w:ascii="宋体" w:hAnsi="宋体"/>
          <w:sz w:val="24"/>
          <w:szCs w:val="24"/>
        </w:rPr>
      </w:pPr>
      <w:r>
        <w:rPr>
          <w:rFonts w:hint="eastAsia" w:ascii="宋体" w:hAnsi="宋体"/>
          <w:sz w:val="24"/>
          <w:szCs w:val="24"/>
        </w:rPr>
        <w:t xml:space="preserve">电梯运行噪声达标：运行时机房内平均噪声值：≤80dB，运行中轿厢内最大噪声值：≤55dB，开关门过程最大噪声值：≤65dB。</w:t>
      </w:r>
      <w:r/>
    </w:p>
    <w:p>
      <w:pPr>
        <w:numPr>
          <w:ilvl w:val="0"/>
          <w:numId w:val="14"/>
        </w:numPr>
        <w:ind w:firstLine="481"/>
        <w:rPr>
          <w:rFonts w:hint="eastAsia" w:ascii="宋体" w:hAnsi="宋体"/>
          <w:sz w:val="24"/>
          <w:szCs w:val="24"/>
        </w:rPr>
      </w:pPr>
      <w:r>
        <w:rPr>
          <w:rFonts w:hint="eastAsia" w:ascii="宋体" w:hAnsi="宋体"/>
          <w:sz w:val="24"/>
          <w:szCs w:val="24"/>
        </w:rPr>
        <w:t xml:space="preserve">提升电梯运行舒适感，轿厢垂直方向和水平方向的振动加速度：轿厢</w:t>
      </w:r>
      <w:r>
        <w:rPr>
          <w:rFonts w:hint="eastAsia" w:ascii="宋体" w:hAnsi="宋体"/>
          <w:sz w:val="24"/>
          <w:szCs w:val="24"/>
        </w:rPr>
        <w:t xml:space="preserve">垂直震动≤ 0.2M/s2，轿厢水平震动≤ 0.2m/s2。</w:t>
      </w:r>
      <w:r/>
    </w:p>
    <w:p>
      <w:pPr>
        <w:numPr>
          <w:ilvl w:val="0"/>
          <w:numId w:val="14"/>
        </w:numPr>
        <w:ind w:firstLine="481"/>
        <w:rPr>
          <w:rFonts w:hint="eastAsia" w:ascii="宋体" w:hAnsi="宋体"/>
          <w:sz w:val="24"/>
          <w:szCs w:val="24"/>
        </w:rPr>
      </w:pPr>
      <w:r>
        <w:rPr>
          <w:rFonts w:hint="eastAsia" w:ascii="宋体" w:hAnsi="宋体"/>
          <w:sz w:val="24"/>
          <w:szCs w:val="24"/>
        </w:rPr>
        <w:t xml:space="preserve">自动精确平层：平层精度应≤±10mm。</w:t>
      </w:r>
      <w:r/>
    </w:p>
    <w:p>
      <w:pPr>
        <w:numPr>
          <w:ilvl w:val="0"/>
          <w:numId w:val="14"/>
        </w:numPr>
        <w:ind w:firstLine="481"/>
        <w:rPr>
          <w:rFonts w:hint="eastAsia" w:ascii="宋体" w:hAnsi="宋体"/>
          <w:sz w:val="24"/>
          <w:szCs w:val="24"/>
        </w:rPr>
      </w:pPr>
      <w:r>
        <w:rPr>
          <w:rFonts w:hint="eastAsia" w:ascii="宋体" w:hAnsi="宋体"/>
          <w:sz w:val="24"/>
          <w:szCs w:val="24"/>
        </w:rPr>
        <w:t xml:space="preserve">电梯基站位置可调，具有基站返回功能（可根据用户实际使用情况设定返回层）。</w:t>
      </w:r>
      <w:r/>
    </w:p>
    <w:p>
      <w:pPr>
        <w:numPr>
          <w:ilvl w:val="0"/>
          <w:numId w:val="14"/>
        </w:numPr>
        <w:ind w:firstLine="481"/>
        <w:rPr>
          <w:rFonts w:hint="eastAsia" w:ascii="宋体" w:hAnsi="宋体"/>
          <w:sz w:val="24"/>
          <w:szCs w:val="24"/>
        </w:rPr>
      </w:pPr>
      <w:r>
        <w:rPr>
          <w:rFonts w:hint="eastAsia" w:ascii="宋体" w:hAnsi="宋体"/>
          <w:sz w:val="24"/>
          <w:szCs w:val="24"/>
        </w:rPr>
        <w:t xml:space="preserve">停电应急自平层功能：突发停电时，电梯可就近平层，开门放人。</w:t>
      </w:r>
      <w:r/>
    </w:p>
    <w:p>
      <w:pPr>
        <w:numPr>
          <w:ilvl w:val="0"/>
          <w:numId w:val="14"/>
        </w:numPr>
        <w:ind w:firstLine="481"/>
        <w:rPr>
          <w:rFonts w:hint="eastAsia" w:ascii="宋体" w:hAnsi="宋体"/>
          <w:sz w:val="24"/>
          <w:szCs w:val="24"/>
        </w:rPr>
      </w:pPr>
      <w:r>
        <w:rPr>
          <w:rFonts w:hint="eastAsia" w:ascii="宋体" w:hAnsi="宋体"/>
          <w:sz w:val="24"/>
          <w:szCs w:val="24"/>
        </w:rPr>
        <w:t xml:space="preserve">所投电梯曳引机制动器，轿厢内加载至额定载荷并保持60min，主机制动器各部件完好，曳引轮不转动、轿厢未发生明显位移，制动器可保持良好的静态制动性能。</w:t>
      </w:r>
      <w:r/>
    </w:p>
    <w:p>
      <w:pPr>
        <w:numPr>
          <w:ilvl w:val="0"/>
          <w:numId w:val="14"/>
        </w:numPr>
        <w:ind w:firstLine="481"/>
        <w:rPr>
          <w:rFonts w:hint="eastAsia" w:ascii="宋体" w:hAnsi="宋体"/>
          <w:sz w:val="24"/>
          <w:szCs w:val="24"/>
        </w:rPr>
      </w:pPr>
      <w:r>
        <w:rPr>
          <w:rFonts w:hint="eastAsia" w:ascii="宋体" w:hAnsi="宋体"/>
          <w:sz w:val="24"/>
          <w:szCs w:val="24"/>
        </w:rPr>
        <w:t xml:space="preserve">投标电梯曳引机实测温升，曳引机实测温升应≤85K。</w:t>
      </w:r>
      <w:r/>
    </w:p>
    <w:p>
      <w:pPr>
        <w:numPr>
          <w:ilvl w:val="0"/>
          <w:numId w:val="14"/>
        </w:numPr>
        <w:ind w:firstLine="481"/>
        <w:rPr>
          <w:rFonts w:hint="eastAsia" w:ascii="宋体" w:hAnsi="宋体"/>
          <w:sz w:val="24"/>
          <w:szCs w:val="24"/>
        </w:rPr>
      </w:pPr>
      <w:r>
        <w:rPr>
          <w:rFonts w:hint="eastAsia" w:ascii="宋体" w:hAnsi="宋体"/>
          <w:sz w:val="24"/>
          <w:szCs w:val="24"/>
        </w:rPr>
        <w:t xml:space="preserve">本次所投型号电梯的门机系统或轿门开门装置无故障运行试验次数应≥500万次。</w:t>
      </w:r>
      <w:r/>
    </w:p>
    <w:p>
      <w:pPr>
        <w:numPr>
          <w:ilvl w:val="0"/>
          <w:numId w:val="14"/>
        </w:numPr>
        <w:ind w:firstLine="481"/>
        <w:rPr>
          <w:rFonts w:hint="eastAsia" w:ascii="宋体" w:hAnsi="宋体"/>
          <w:sz w:val="24"/>
          <w:szCs w:val="24"/>
        </w:rPr>
      </w:pPr>
      <w:r>
        <w:rPr>
          <w:rFonts w:hint="eastAsia" w:ascii="宋体" w:hAnsi="宋体"/>
          <w:sz w:val="24"/>
          <w:szCs w:val="24"/>
        </w:rPr>
        <w:t xml:space="preserve">所投电梯的曳引机制动器无故障运行试验次数应</w:t>
      </w:r>
      <w:r>
        <w:rPr>
          <w:rFonts w:ascii="Arial" w:hAnsi="Arial" w:cs="Arial"/>
          <w:sz w:val="24"/>
          <w:szCs w:val="24"/>
        </w:rPr>
        <w:t xml:space="preserve">≥</w:t>
      </w:r>
      <w:r>
        <w:rPr>
          <w:rFonts w:hint="eastAsia" w:ascii="宋体" w:hAnsi="宋体"/>
          <w:sz w:val="24"/>
          <w:szCs w:val="24"/>
        </w:rPr>
        <w:t xml:space="preserve">600万次。</w:t>
      </w:r>
      <w:r/>
    </w:p>
    <w:p>
      <w:pPr>
        <w:numPr>
          <w:ilvl w:val="0"/>
          <w:numId w:val="14"/>
        </w:numPr>
        <w:ind w:firstLine="481"/>
        <w:rPr>
          <w:rFonts w:hint="eastAsia" w:ascii="宋体" w:hAnsi="宋体"/>
          <w:sz w:val="24"/>
          <w:szCs w:val="24"/>
        </w:rPr>
      </w:pPr>
      <w:r>
        <w:rPr>
          <w:rFonts w:hint="eastAsia" w:ascii="宋体" w:hAnsi="宋体"/>
          <w:sz w:val="24"/>
          <w:szCs w:val="24"/>
        </w:rPr>
        <w:t xml:space="preserve">所投电梯的</w:t>
      </w:r>
      <w:r>
        <w:rPr>
          <w:rFonts w:hint="eastAsia" w:ascii="宋体" w:hAnsi="宋体"/>
          <w:sz w:val="24"/>
          <w:szCs w:val="24"/>
        </w:rPr>
        <w:t xml:space="preserve">光幕应与</w:t>
      </w:r>
      <w:r>
        <w:rPr>
          <w:rFonts w:hint="eastAsia" w:ascii="宋体" w:hAnsi="宋体"/>
          <w:sz w:val="24"/>
          <w:szCs w:val="24"/>
        </w:rPr>
        <w:t xml:space="preserve">电梯品牌一致；光幕的光束数目应</w:t>
      </w:r>
      <w:r>
        <w:rPr>
          <w:rFonts w:ascii="Arial" w:hAnsi="Arial" w:cs="Arial"/>
          <w:sz w:val="24"/>
          <w:szCs w:val="24"/>
        </w:rPr>
        <w:t xml:space="preserve">≥</w:t>
      </w:r>
      <w:r>
        <w:rPr>
          <w:rFonts w:hint="eastAsia" w:ascii="宋体" w:hAnsi="宋体"/>
          <w:sz w:val="24"/>
          <w:szCs w:val="24"/>
        </w:rPr>
        <w:t xml:space="preserve">180束；光幕</w:t>
      </w:r>
      <w:r>
        <w:rPr>
          <w:rFonts w:hint="eastAsia" w:ascii="宋体" w:hAnsi="宋体"/>
          <w:sz w:val="24"/>
          <w:szCs w:val="24"/>
        </w:rPr>
        <w:t xml:space="preserve">防护等级达应</w:t>
      </w:r>
      <w:r>
        <w:rPr>
          <w:rFonts w:ascii="Arial" w:hAnsi="Arial" w:cs="Arial"/>
          <w:sz w:val="24"/>
          <w:szCs w:val="24"/>
        </w:rPr>
        <w:t xml:space="preserve">≥</w:t>
      </w:r>
      <w:r>
        <w:rPr>
          <w:rFonts w:hint="eastAsia" w:ascii="宋体" w:hAnsi="宋体"/>
          <w:sz w:val="24"/>
          <w:szCs w:val="24"/>
        </w:rPr>
        <w:t xml:space="preserve">IP54。</w:t>
      </w:r>
      <w:r/>
    </w:p>
    <w:p>
      <w:pPr>
        <w:numPr>
          <w:ilvl w:val="0"/>
          <w:numId w:val="14"/>
        </w:numPr>
        <w:ind w:firstLine="481"/>
        <w:rPr>
          <w:rFonts w:hint="eastAsia" w:ascii="宋体" w:hAnsi="宋体"/>
          <w:sz w:val="24"/>
          <w:szCs w:val="24"/>
        </w:rPr>
      </w:pPr>
      <w:r>
        <w:rPr>
          <w:rFonts w:hint="eastAsia" w:ascii="宋体" w:hAnsi="宋体"/>
          <w:sz w:val="24"/>
          <w:szCs w:val="24"/>
        </w:rPr>
        <w:t xml:space="preserve">所投电梯的按钮应通过耐久性试验，动作寿命应</w:t>
      </w:r>
      <w:r>
        <w:rPr>
          <w:rFonts w:hint="eastAsia" w:ascii="Arial" w:hAnsi="Arial" w:cs="Arial"/>
          <w:sz w:val="24"/>
          <w:szCs w:val="24"/>
        </w:rPr>
        <w:t xml:space="preserve">达到</w:t>
      </w:r>
      <w:r>
        <w:rPr>
          <w:rFonts w:hint="eastAsia" w:ascii="宋体" w:hAnsi="宋体"/>
          <w:sz w:val="24"/>
          <w:szCs w:val="24"/>
        </w:rPr>
        <w:t xml:space="preserve">600万次。</w:t>
      </w:r>
      <w:r/>
    </w:p>
    <w:p>
      <w:pPr>
        <w:keepNext/>
        <w:rPr>
          <w:rFonts w:hint="eastAsia" w:ascii="宋体" w:hAnsi="宋体" w:cs="宋体"/>
          <w:b/>
          <w:bCs/>
          <w:sz w:val="24"/>
          <w:szCs w:val="24"/>
        </w:rPr>
        <w:outlineLvl w:val="0"/>
      </w:pPr>
      <w:r/>
      <w:bookmarkStart w:id="219" w:name="_Toc227167509"/>
      <w:r>
        <w:rPr>
          <w:rFonts w:hint="eastAsia" w:ascii="宋体" w:hAnsi="宋体" w:cs="宋体"/>
          <w:b/>
          <w:bCs/>
          <w:sz w:val="24"/>
          <w:szCs w:val="24"/>
        </w:rPr>
        <w:t xml:space="preserve">1、江宁校区药学院（DT1、DT2）</w:t>
      </w:r>
      <w:bookmarkEnd w:id="219"/>
      <w:r/>
      <w:r/>
    </w:p>
    <w:tbl>
      <w:tblPr>
        <w:tblW w:w="864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567"/>
        <w:gridCol w:w="142"/>
        <w:gridCol w:w="709"/>
        <w:gridCol w:w="1133"/>
        <w:gridCol w:w="3965"/>
        <w:gridCol w:w="1416"/>
      </w:tblGrid>
      <w:tr>
        <w:trPr>
          <w:trHeight w:val="397" w:hRule="exact"/>
        </w:trPr>
        <w:tc>
          <w:tcPr>
            <w:gridSpan w:val="5"/>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招标要求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备注</w:t>
            </w:r>
            <w:r/>
          </w:p>
        </w:tc>
      </w:tr>
      <w:tr>
        <w:trPr>
          <w:cantSplit/>
          <w:trHeight w:val="782"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建筑尺寸</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井道尺寸（宽*深mm）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2300*2700，以现场实际尺寸为准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76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厂家深化最大尺寸</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64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厅门尺寸（宽*高mm）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900*2100，以现场实际尺寸为准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4300，以现场实际尺寸为准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机房</w:t>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顶楼</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底坑深度（mm）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1700，以现场实际尺寸为准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配置要求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拖动方式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传动方式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精密紧凑永磁同步无齿轮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控制方式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双控，全集</w:t>
            </w:r>
            <w:r>
              <w:rPr>
                <w:rFonts w:hint="eastAsia" w:ascii="宋体" w:hAnsi="宋体" w:cs="宋体"/>
                <w:sz w:val="24"/>
                <w:szCs w:val="24"/>
              </w:rPr>
              <w:t xml:space="preserve">选控制</w:t>
            </w:r>
            <w:r>
              <w:rPr>
                <w:rFonts w:hint="eastAsia" w:ascii="宋体" w:hAnsi="宋体" w:cs="宋体"/>
                <w:sz w:val="24"/>
                <w:szCs w:val="24"/>
              </w:rPr>
              <w:t xml:space="preserve">方式（主板32位电脑控制（非双16位）</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门机系统</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门保护装置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光幕保护，不小于180束</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电源适应</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380V 50H    Z220V+10% 50HZ</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性能要求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额定速度允许误差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额定速度允差：-5%到+3%（国标）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振动（按照GB/T 10058）：垂直（平均）≤15mg；水平（平均）≤15mg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平层准确度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噪声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满足国家标准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载重量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≥1000kg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提升速度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≥1.75m/s</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站数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内外装饰要求</w:t>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w:t>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轿厢顶</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配置通风，备有应急电源操作。顶部装饰要求简洁、明快、大方的标准轿顶，照明明亮美观（LED节能灯）轿厢高度≥2400mm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轿厢壁</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镜面不锈钢+发纹304不锈钢材质，</w:t>
            </w:r>
            <w:r>
              <w:rPr>
                <w:rFonts w:hint="eastAsia" w:ascii="宋体" w:hAnsi="宋体" w:eastAsia="Times New Roman"/>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w:t>
            </w:r>
            <w:r>
              <w:rPr>
                <w:rFonts w:hint="eastAsia" w:ascii="宋体" w:hAnsi="宋体" w:eastAsia="Times New Roman"/>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脚踏板</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轿厢地面</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大理石地面，供应商提供三种款式供业主选择</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1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LED照明，应急照明，轿内灯光及风扇自动关闭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51"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操作盘</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发纹304不锈钢材质厚度，</w:t>
            </w:r>
            <w:r>
              <w:rPr>
                <w:rFonts w:hint="eastAsia"/>
                <w:sz w:val="24"/>
                <w:szCs w:val="24"/>
              </w:rPr>
              <w:t xml:space="preserve">厚度</w:t>
            </w:r>
            <w:r>
              <w:rPr>
                <w:rFonts w:hint="eastAsia" w:ascii="宋体" w:hAnsi="宋体"/>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76"/>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显示器显示内容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大于或等于10.4寸液晶显示和方向数字显示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操作功能</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隐藏式对讲机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标示要求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方向指示、层显、超载及运行方向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3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按钮要求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不锈钢按钮、开关门按钮、紧急呼叫按钮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厅门及门套</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门套</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5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展开面积</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大门套，</w:t>
            </w:r>
            <w:r>
              <w:rPr>
                <w:rFonts w:hint="eastAsia" w:ascii="宋体" w:hAnsi="宋体" w:cs="宋体"/>
                <w:sz w:val="24"/>
                <w:szCs w:val="24"/>
              </w:rPr>
              <w:t xml:space="preserve">展开面</w:t>
            </w:r>
            <w:r>
              <w:rPr>
                <w:rFonts w:hint="eastAsia" w:ascii="宋体" w:hAnsi="宋体" w:cs="宋体"/>
                <w:sz w:val="24"/>
                <w:szCs w:val="24"/>
              </w:rPr>
              <w:t xml:space="preserve">≥400mm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3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楼层  召唤</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液晶显示，运行方向、检修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发纹304不锈钢，厚度</w:t>
            </w:r>
            <w:r>
              <w:rPr>
                <w:rFonts w:hint="eastAsia" w:ascii="宋体" w:hAnsi="宋体"/>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6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厅门侧方无底盒安装</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功能配置及要求</w:t>
            </w:r>
            <w:r/>
          </w:p>
          <w:p>
            <w:pPr>
              <w:spacing w:line="276" w:lineRule="auto"/>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自动再平层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电梯受阻失速保护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制动器冗余保护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司机操作</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称重启动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上电再平层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选层器</w:t>
            </w:r>
            <w:r>
              <w:rPr>
                <w:rFonts w:hint="eastAsia" w:ascii="宋体" w:hAnsi="宋体" w:cs="宋体"/>
                <w:sz w:val="24"/>
                <w:szCs w:val="24"/>
              </w:rPr>
              <w:t xml:space="preserve">修正</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停层开门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逆变装置高温检测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轿厢意外移动保护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关门力矩控制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换向重开门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强制开门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门负载检测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门传感器自诊断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开门受阻控制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门速自适应控制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即时关门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安装用开门保持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响铃强制关门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重复关门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本层再开门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光幕</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轿厢应急照明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警铃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操纵箱异常处理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轿内照明/通风装置自动关闭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层站召唤自动登记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层站微机异常处理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首层站运行控制开关</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独立运行</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电梯不启动报警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次层停靠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超载报警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运行次数与时间统计</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多方通话装置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预留视频电缆（数字式）</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轿内误指令人工消除（轿内按钮型）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停电应急平层装置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配1P单冷空调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bl>
    <w:p>
      <w:pPr>
        <w:jc w:val="left"/>
        <w:widowControl/>
        <w:rPr>
          <w:rFonts w:hint="eastAsia" w:ascii="宋体" w:hAnsi="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szCs w:val="24"/>
        </w:rPr>
      </w:r>
      <w:r/>
    </w:p>
    <w:p>
      <w:pPr>
        <w:keepNext/>
        <w:rPr>
          <w:rFonts w:hint="eastAsia" w:ascii="宋体" w:hAnsi="宋体" w:cs="宋体"/>
          <w:sz w:val="24"/>
          <w:szCs w:val="24"/>
        </w:rPr>
        <w:outlineLvl w:val="0"/>
      </w:pPr>
      <w:r/>
      <w:bookmarkStart w:id="220" w:name="_Toc227167510"/>
      <w:r>
        <w:rPr>
          <w:rFonts w:hint="eastAsia" w:ascii="宋体" w:hAnsi="宋体" w:cs="宋体"/>
          <w:b/>
          <w:bCs/>
          <w:sz w:val="24"/>
          <w:szCs w:val="24"/>
        </w:rPr>
        <w:t xml:space="preserve">2、</w:t>
      </w:r>
      <w:r>
        <w:rPr>
          <w:rFonts w:hint="eastAsia" w:ascii="宋体" w:hAnsi="宋体" w:cs="宋体"/>
          <w:b/>
          <w:bCs/>
          <w:sz w:val="24"/>
          <w:szCs w:val="24"/>
        </w:rPr>
        <w:t xml:space="preserve">江宁校区逸夫</w:t>
      </w:r>
      <w:r>
        <w:rPr>
          <w:rFonts w:hint="eastAsia" w:ascii="宋体" w:hAnsi="宋体" w:cs="宋体"/>
          <w:b/>
          <w:bCs/>
          <w:sz w:val="24"/>
          <w:szCs w:val="24"/>
        </w:rPr>
        <w:t xml:space="preserve">楼（DT3）</w:t>
      </w:r>
      <w:bookmarkEnd w:id="220"/>
      <w:r/>
      <w:r/>
    </w:p>
    <w:tbl>
      <w:tblPr>
        <w:tblW w:w="864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567"/>
        <w:gridCol w:w="142"/>
        <w:gridCol w:w="709"/>
        <w:gridCol w:w="1133"/>
        <w:gridCol w:w="3965"/>
        <w:gridCol w:w="1416"/>
      </w:tblGrid>
      <w:tr>
        <w:trPr>
          <w:trHeight w:val="397" w:hRule="exact"/>
        </w:trPr>
        <w:tc>
          <w:tcPr>
            <w:gridSpan w:val="5"/>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招标要求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备注</w:t>
            </w:r>
            <w:r/>
          </w:p>
        </w:tc>
      </w:tr>
      <w:tr>
        <w:trPr>
          <w:cantSplit/>
          <w:trHeight w:val="662"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建筑尺寸</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井道尺寸（宽*深mm）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2100*2100，以现场实际尺寸为准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72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厂家深化最大尺寸</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73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厅门尺寸（宽*高mm）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900*2100，以现场实际尺寸为准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3900，以现场实际尺寸为准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机房</w:t>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底坑深度（mm）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1500，以现场实际尺寸为准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配置要求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拖动方式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传动方式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精密紧凑永磁同步无齿轮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控制方式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双控，全集</w:t>
            </w:r>
            <w:r>
              <w:rPr>
                <w:rFonts w:hint="eastAsia" w:ascii="宋体" w:hAnsi="宋体" w:cs="宋体"/>
                <w:sz w:val="24"/>
                <w:szCs w:val="24"/>
              </w:rPr>
              <w:t xml:space="preserve">选控制</w:t>
            </w:r>
            <w:r>
              <w:rPr>
                <w:rFonts w:hint="eastAsia" w:ascii="宋体" w:hAnsi="宋体" w:cs="宋体"/>
                <w:sz w:val="24"/>
                <w:szCs w:val="24"/>
              </w:rPr>
              <w:t xml:space="preserve">方式（主板32位电脑控制（非双16位）</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门机系统</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门保护装置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光幕保护，不小于180束</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电源适应</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380V 50H    Z220V+10% 50HZ</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性能要求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额定速度允许误差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额定速度允差：-5%到+3%（国标）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振动（按照GB/T 10058）：垂直（平均）≤15mg；水平（平均）≤15mg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平层准确度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噪声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满足国家标准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载重量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≥1000kg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提升速度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≥1.75m/s</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站数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内外装饰要求</w:t>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w:t>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轿厢顶</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配置通风，备有应急电源操作。顶部装饰要求简洁、明快、大方的标准轿顶，照明明亮美观（LED节能灯）轿厢高度≥2400mm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轿厢壁</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镜面不锈钢+发纹304不锈钢材质，</w:t>
            </w:r>
            <w:r>
              <w:rPr>
                <w:rFonts w:hint="eastAsia" w:ascii="宋体" w:hAnsi="宋体" w:eastAsia="Times New Roman"/>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w:t>
            </w:r>
            <w:r>
              <w:rPr>
                <w:rFonts w:hint="eastAsia" w:ascii="宋体" w:hAnsi="宋体" w:eastAsia="Times New Roman"/>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脚踏板</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轿厢地面</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大理石地面，供应商提供三种款式供业主选择</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1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LED照明，应急照明，轿内灯光及风扇自动关闭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4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操作盘</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发纹304不锈钢材质厚度，</w:t>
            </w:r>
            <w:r>
              <w:rPr>
                <w:rFonts w:hint="eastAsia" w:ascii="宋体" w:hAnsi="宋体" w:eastAsia="Times New Roman"/>
                <w:sz w:val="24"/>
                <w:szCs w:val="21"/>
              </w:rPr>
              <w:t xml:space="preserve">厚度</w:t>
            </w:r>
            <w:r>
              <w:rPr>
                <w:rFonts w:hint="eastAsia" w:ascii="宋体" w:hAnsi="宋体"/>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显示器显示内容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大于或等于10.4寸液晶显示和方向数字显示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7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操作功能</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隐藏式对讲机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标示要求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方向指示、层显、超载及运行方向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40"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按钮要求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不锈钢按钮、开关门按钮、紧急呼叫按钮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厅门及门套</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门套</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9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展开面积</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大门套，</w:t>
            </w:r>
            <w:r>
              <w:rPr>
                <w:rFonts w:hint="eastAsia" w:ascii="宋体" w:hAnsi="宋体" w:cs="宋体"/>
                <w:sz w:val="24"/>
                <w:szCs w:val="24"/>
              </w:rPr>
              <w:t xml:space="preserve">展开面</w:t>
            </w:r>
            <w:r>
              <w:rPr>
                <w:rFonts w:hint="eastAsia" w:ascii="宋体" w:hAnsi="宋体" w:cs="宋体"/>
                <w:sz w:val="24"/>
                <w:szCs w:val="24"/>
              </w:rPr>
              <w:t xml:space="preserve">≥400mm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3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楼层  召唤</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液晶显示，运行方向、检修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0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rPr>
                <w:rFonts w:hint="eastAsia" w:ascii="宋体" w:hAnsi="宋体" w:eastAsia="Times New Roman"/>
                <w:sz w:val="24"/>
                <w:szCs w:val="21"/>
              </w:rPr>
              <w:t xml:space="preserve">厚度</w:t>
            </w:r>
            <w:r>
              <w:rPr>
                <w:rFonts w:hint="eastAsia" w:ascii="宋体" w:hAnsi="宋体"/>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4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厅门侧方无底盒安装</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功能配置及要求</w:t>
            </w:r>
            <w:r/>
          </w:p>
          <w:p>
            <w:pPr>
              <w:spacing w:line="276" w:lineRule="auto"/>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自动再平层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电梯受阻失速保护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制动器冗余保护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司机操作</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称重启动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上电再平层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选层器</w:t>
            </w:r>
            <w:r>
              <w:rPr>
                <w:rFonts w:hint="eastAsia" w:ascii="宋体" w:hAnsi="宋体" w:cs="宋体"/>
                <w:sz w:val="24"/>
                <w:szCs w:val="24"/>
              </w:rPr>
              <w:t xml:space="preserve">修正</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停层开门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逆变装置高温检测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轿厢意外移动保护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关门力矩控制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换向重开门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强制开门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门负载检测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门传感器自诊断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开门受阻控制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门速自适应控制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即时关门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安装用开门保持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响铃强制关门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重复关门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本层再开门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光幕</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轿厢应急照明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警铃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操纵箱异常处理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轿内照明/通风装置自动关闭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层站召唤自动登记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层站微机异常处理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首层站运行控制开关</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独立运行</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电梯不启动报警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次层停靠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超载报警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运行次数与时间统计</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多方通话装置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预留视频电缆（数字式）</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轿内误指令人工消除（轿内按钮型）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453"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停电应急平层装置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453"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配1P单冷空调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bl>
    <w:p>
      <w:pPr>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szCs w:val="24"/>
        </w:rPr>
      </w:r>
      <w:r/>
    </w:p>
    <w:p>
      <w:pPr>
        <w:keepNext/>
        <w:rPr>
          <w:rFonts w:hint="eastAsia" w:ascii="宋体" w:hAnsi="宋体" w:cs="宋体"/>
          <w:b/>
          <w:bCs/>
          <w:sz w:val="24"/>
          <w:szCs w:val="24"/>
        </w:rPr>
        <w:outlineLvl w:val="0"/>
      </w:pPr>
      <w:r/>
      <w:bookmarkStart w:id="221" w:name="_Toc227167511"/>
      <w:r>
        <w:rPr>
          <w:rFonts w:hint="eastAsia" w:ascii="宋体" w:hAnsi="宋体" w:cs="宋体"/>
          <w:b/>
          <w:bCs/>
          <w:sz w:val="24"/>
          <w:szCs w:val="24"/>
        </w:rPr>
        <w:t xml:space="preserve">3、江宁校区博学楼（DT4）</w:t>
      </w:r>
      <w:bookmarkEnd w:id="221"/>
      <w:r/>
      <w:r/>
    </w:p>
    <w:tbl>
      <w:tblPr>
        <w:tblW w:w="864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567"/>
        <w:gridCol w:w="142"/>
        <w:gridCol w:w="709"/>
        <w:gridCol w:w="1133"/>
        <w:gridCol w:w="3965"/>
        <w:gridCol w:w="1416"/>
      </w:tblGrid>
      <w:tr>
        <w:trPr>
          <w:trHeight w:val="397" w:hRule="exact"/>
        </w:trPr>
        <w:tc>
          <w:tcPr>
            <w:gridSpan w:val="5"/>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招标要求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备注</w:t>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建筑尺寸</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井道尺寸（宽*深mm）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2100*2100，以现场实际尺寸为准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厂家深化最大尺寸</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厅门尺寸（宽*高mm）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900*2100，以现场实际尺寸为准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3900，以现场实际尺寸为准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机房</w:t>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底坑深度（mm）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1480，以现场实际尺寸为准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配置要求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拖动方式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传动方式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精密紧凑永磁同步无齿轮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控制方式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双控，全集</w:t>
            </w:r>
            <w:r>
              <w:rPr>
                <w:rFonts w:hint="eastAsia" w:ascii="宋体" w:hAnsi="宋体" w:cs="宋体"/>
                <w:sz w:val="24"/>
                <w:szCs w:val="24"/>
              </w:rPr>
              <w:t xml:space="preserve">选控制</w:t>
            </w:r>
            <w:r>
              <w:rPr>
                <w:rFonts w:hint="eastAsia" w:ascii="宋体" w:hAnsi="宋体" w:cs="宋体"/>
                <w:sz w:val="24"/>
                <w:szCs w:val="24"/>
              </w:rPr>
              <w:t xml:space="preserve">方式（主板32位电脑控制（非双16位）</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门机系统</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门保护装置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光幕保护，不小于180束</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电源适应</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380V 50H    Z220V+10% 50HZ</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性能要求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额定速度允许误差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额定速度允差：-5%到+3%（国标）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振动（按照GB/T 10058）：垂直（平均）≤15mg；水平（平均）≤15mg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平层准确度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噪声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满足国家标准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载重量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≥1000kg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提升速度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≥1.75m/s</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站数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内外装饰要求</w:t>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w:t>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轿厢顶</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配置通风，备有应急电源操作。顶部装饰要求简洁、明快、大方的标准轿顶，照明明亮美观（LED节能灯）轿厢高度≥2400mm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轿厢壁</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镜面不锈钢+发纹304不锈钢材质，</w:t>
            </w:r>
            <w:r>
              <w:rPr>
                <w:rFonts w:hint="eastAsia" w:ascii="宋体" w:hAnsi="宋体" w:eastAsia="Times New Roman"/>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w:t>
            </w:r>
            <w:r>
              <w:rPr>
                <w:rFonts w:hint="eastAsia" w:ascii="宋体" w:hAnsi="宋体" w:eastAsia="Times New Roman"/>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54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脚踏板</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轿厢地面</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大理石地面，供应商提供三种款式供业主选择</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1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LED照明，应急照明，轿内灯光及风扇自动关闭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82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操作盘</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发纹304不锈钢材质厚度，</w:t>
            </w:r>
            <w:r>
              <w:rPr>
                <w:rFonts w:hint="eastAsia" w:ascii="宋体" w:hAnsi="宋体" w:eastAsia="Times New Roman"/>
                <w:sz w:val="24"/>
                <w:szCs w:val="21"/>
              </w:rPr>
              <w:t xml:space="preserve">厚度</w:t>
            </w:r>
            <w:r>
              <w:rPr>
                <w:rFonts w:hint="eastAsia" w:ascii="宋体" w:hAnsi="宋体"/>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显示器显示内容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大于或等于10.4寸液晶显示和方向数字显示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90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操作功能</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隐藏式对讲机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3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标示要求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方向指示、层显、超载及运行方向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7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按钮要求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不锈钢按钮、开关门按钮、紧急呼叫按钮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厅门及门套</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门套</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1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展开面积</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大门套，</w:t>
            </w:r>
            <w:r>
              <w:rPr>
                <w:rFonts w:hint="eastAsia" w:ascii="宋体" w:hAnsi="宋体" w:cs="宋体"/>
                <w:sz w:val="24"/>
                <w:szCs w:val="24"/>
              </w:rPr>
              <w:t xml:space="preserve">展开面</w:t>
            </w:r>
            <w:r>
              <w:rPr>
                <w:rFonts w:hint="eastAsia" w:ascii="宋体" w:hAnsi="宋体" w:cs="宋体"/>
                <w:sz w:val="24"/>
                <w:szCs w:val="24"/>
              </w:rPr>
              <w:t xml:space="preserve">≥400mm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2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楼层  召唤</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液晶显示，运行方向、检修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56"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rPr>
                <w:rFonts w:hint="eastAsia" w:ascii="宋体" w:hAnsi="宋体" w:eastAsia="Times New Roman"/>
                <w:sz w:val="24"/>
                <w:szCs w:val="21"/>
              </w:rPr>
              <w:t xml:space="preserve">厚度</w:t>
            </w:r>
            <w:r>
              <w:rPr>
                <w:rFonts w:hint="eastAsia" w:ascii="宋体" w:hAnsi="宋体"/>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2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厅门侧方无底盒安装</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功能配置及要求</w:t>
            </w:r>
            <w:r/>
          </w:p>
          <w:p>
            <w:pPr>
              <w:spacing w:line="276" w:lineRule="auto"/>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自动再平层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电梯受阻失速保护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制动器冗余保护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司机操作</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称重启动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上电再平层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选层器</w:t>
            </w:r>
            <w:r>
              <w:rPr>
                <w:rFonts w:hint="eastAsia" w:ascii="宋体" w:hAnsi="宋体" w:cs="宋体"/>
                <w:sz w:val="24"/>
                <w:szCs w:val="24"/>
              </w:rPr>
              <w:t xml:space="preserve">修正</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停层开门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逆变装置高温检测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轿厢意外移动保护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关门力矩控制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换向重开门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强制开门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门负载检测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门传感器自诊断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开门受阻控制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门速自适应控制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即时关门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安装用开门保持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响铃强制关门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重复关门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本层再开门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光幕</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轿厢应急照明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警铃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操纵箱异常处理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轿内照明/通风装置自动关闭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层站召唤自动登记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层站微机异常处理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首层站运行控制开关</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独立运行</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电梯不启动报警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次层停靠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超载报警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运行次数与时间统计</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多方通话装置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预留视频电缆（数字式）</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轿内误指令人工消除（轿内按钮型）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停电应急平层装置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配1P单冷空调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bl>
    <w:p>
      <w:pPr>
        <w:keepNext/>
        <w:rPr>
          <w:rFonts w:hint="eastAsia" w:ascii="宋体" w:hAnsi="宋体" w:cs="宋体"/>
          <w:sz w:val="24"/>
          <w:szCs w:val="24"/>
        </w:rPr>
        <w:outlineLvl w:val="0"/>
      </w:pPr>
      <w:r/>
      <w:bookmarkStart w:id="222" w:name="_Toc227167512"/>
      <w:r>
        <w:rPr>
          <w:rFonts w:hint="eastAsia" w:ascii="宋体" w:hAnsi="宋体" w:cs="宋体"/>
          <w:b/>
          <w:bCs/>
          <w:sz w:val="24"/>
          <w:szCs w:val="24"/>
        </w:rPr>
        <w:t xml:space="preserve">4、江宁校区学生食堂2#梯（DT5）</w:t>
      </w:r>
      <w:bookmarkEnd w:id="222"/>
      <w:r/>
      <w:r/>
    </w:p>
    <w:tbl>
      <w:tblPr>
        <w:tblW w:w="864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567"/>
        <w:gridCol w:w="142"/>
        <w:gridCol w:w="709"/>
        <w:gridCol w:w="1133"/>
        <w:gridCol w:w="3965"/>
        <w:gridCol w:w="1416"/>
      </w:tblGrid>
      <w:tr>
        <w:trPr>
          <w:trHeight w:val="397" w:hRule="exact"/>
        </w:trPr>
        <w:tc>
          <w:tcPr>
            <w:gridSpan w:val="5"/>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招标要求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备注</w:t>
            </w:r>
            <w:r/>
          </w:p>
        </w:tc>
      </w:tr>
      <w:tr>
        <w:trPr>
          <w:cantSplit/>
          <w:trHeight w:val="662"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建筑尺寸</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井道尺寸（宽*深mm）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2400*2350，以现场实际尺寸为准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66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厂家深化最大尺寸</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94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厅门尺寸（宽*高mm）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900*2100，以现场实际尺寸为准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5100，以现场实际尺寸为准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机房</w:t>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顶楼</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底坑深度（mm）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1500，以现场实际尺寸为准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配置要求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拖动方式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传动方式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精密紧凑永磁同步无齿轮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控制方式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双控，全集</w:t>
            </w:r>
            <w:r>
              <w:rPr>
                <w:rFonts w:hint="eastAsia" w:ascii="宋体" w:hAnsi="宋体" w:cs="宋体"/>
                <w:sz w:val="24"/>
                <w:szCs w:val="24"/>
              </w:rPr>
              <w:t xml:space="preserve">选控制</w:t>
            </w:r>
            <w:r>
              <w:rPr>
                <w:rFonts w:hint="eastAsia" w:ascii="宋体" w:hAnsi="宋体" w:cs="宋体"/>
                <w:sz w:val="24"/>
                <w:szCs w:val="24"/>
              </w:rPr>
              <w:t xml:space="preserve">方式（主板32位电脑控制（非双16位）</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门机系统</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门保护装置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光幕保护，不小于180束</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电源适应</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380V 50H    Z220V+10% 50HZ</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性能要求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额定速度允许误差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额定速度允差：-5%到+3%（国标）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振动（按照GB/T 10058）：垂直（平均）≤15mg；水平（平均）≤15mg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平层准确度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噪声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满足国家标准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载重量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≥1000kg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提升速度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≥1.0m/s</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站数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内外装饰要求</w:t>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w:t>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轿厢顶</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配置通风，备有应急电源操作。顶部装饰要求简洁、明快、大方的标准轿顶，照明明亮美观（LED节能灯）轿厢高度≥2400mm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轿厢壁</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镜面不锈钢+发纹304不锈钢材质，</w:t>
            </w:r>
            <w:r>
              <w:rPr>
                <w:rFonts w:hint="eastAsia" w:ascii="宋体" w:hAnsi="宋体" w:eastAsia="Times New Roman"/>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w:t>
            </w:r>
            <w:r>
              <w:rPr>
                <w:rFonts w:hint="eastAsia" w:ascii="宋体" w:hAnsi="宋体" w:eastAsia="Times New Roman"/>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脚踏板</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轿厢地面</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大理石地面，供应商提供三种款式供业主选择</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1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LED照明，应急照明，轿内灯光及风扇自动关闭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1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操作盘</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发纹304不锈钢材质厚度，</w:t>
            </w:r>
            <w:r>
              <w:rPr>
                <w:rFonts w:hint="eastAsia" w:ascii="宋体" w:hAnsi="宋体" w:eastAsia="Times New Roman"/>
                <w:sz w:val="24"/>
                <w:szCs w:val="21"/>
              </w:rPr>
              <w:t xml:space="preserve">厚度</w:t>
            </w:r>
            <w:r>
              <w:rPr>
                <w:rFonts w:hint="eastAsia" w:ascii="宋体" w:hAnsi="宋体"/>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显示器显示内容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大于或等于10.4寸液晶显示和方向数字显示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1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操作功能</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隐藏式对讲机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8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标示要求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方向指示、层显、超载及运行方向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805"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按钮要求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不锈钢按钮、开关门按钮、紧急呼叫按钮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厅门及门套</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门套</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4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展开面积</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大门套，</w:t>
            </w:r>
            <w:r>
              <w:rPr>
                <w:rFonts w:hint="eastAsia" w:ascii="宋体" w:hAnsi="宋体" w:cs="宋体"/>
                <w:sz w:val="24"/>
                <w:szCs w:val="24"/>
              </w:rPr>
              <w:t xml:space="preserve">展开面</w:t>
            </w:r>
            <w:r>
              <w:rPr>
                <w:rFonts w:hint="eastAsia" w:ascii="宋体" w:hAnsi="宋体" w:cs="宋体"/>
                <w:sz w:val="24"/>
                <w:szCs w:val="24"/>
              </w:rPr>
              <w:t xml:space="preserve">≥400mm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1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楼层  召唤</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液晶显示，运行方向、检修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1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rPr>
                <w:rFonts w:hint="eastAsia" w:ascii="宋体" w:hAnsi="宋体" w:eastAsia="Times New Roman"/>
                <w:sz w:val="24"/>
                <w:szCs w:val="21"/>
              </w:rPr>
              <w:t xml:space="preserve">厚度</w:t>
            </w:r>
            <w:r>
              <w:rPr>
                <w:rFonts w:hint="eastAsia" w:ascii="宋体" w:hAnsi="宋体"/>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8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厅门侧方无底盒安装</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功能配置及要求</w:t>
            </w:r>
            <w:r/>
          </w:p>
          <w:p>
            <w:pPr>
              <w:spacing w:line="276" w:lineRule="auto"/>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自动再平层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电梯受阻失速保护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制动器冗余保护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司机操作</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称重启动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上电再平层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选层器</w:t>
            </w:r>
            <w:r>
              <w:rPr>
                <w:rFonts w:hint="eastAsia" w:ascii="宋体" w:hAnsi="宋体" w:cs="宋体"/>
                <w:sz w:val="24"/>
                <w:szCs w:val="24"/>
              </w:rPr>
              <w:t xml:space="preserve">修正</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停层开门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逆变装置高温检测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轿厢意外移动保护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关门力矩控制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换向重开门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强制开门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门负载检测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门传感器自诊断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开门受阻控制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门速自适应控制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即时关门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安装用开门保持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响铃强制关门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重复关门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本层再开门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光幕</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轿厢应急照明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警铃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操纵箱异常处理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轿内照明/通风装置自动关闭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层站召唤自动登记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层站微机异常处理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首层站运行控制开关</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独立运行</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电梯不启动报警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次层停靠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超载报警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运行次数与时间统计</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多方通话装置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预留视频电缆（数字式）</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轿内误指令人工消除（轿内按钮型）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停电应急平层装置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配1P单冷空调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bl>
    <w:p>
      <w:pPr>
        <w:keepNext/>
        <w:rPr>
          <w:rFonts w:hint="eastAsia" w:ascii="宋体" w:hAnsi="宋体" w:cs="宋体"/>
          <w:b/>
          <w:bCs/>
          <w:sz w:val="24"/>
          <w:szCs w:val="24"/>
        </w:rPr>
        <w:outlineLvl w:val="0"/>
      </w:pPr>
      <w:r/>
      <w:bookmarkStart w:id="223" w:name="_Toc227167513"/>
      <w:r>
        <w:rPr>
          <w:rFonts w:hint="eastAsia" w:ascii="宋体" w:hAnsi="宋体" w:cs="宋体"/>
          <w:b/>
          <w:bCs/>
          <w:sz w:val="24"/>
          <w:szCs w:val="24"/>
        </w:rPr>
        <w:t xml:space="preserve">5、江宁校区图书馆（DT6、DT7）</w:t>
      </w:r>
      <w:bookmarkEnd w:id="223"/>
      <w:r/>
      <w:r/>
    </w:p>
    <w:tbl>
      <w:tblPr>
        <w:tblW w:w="864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567"/>
        <w:gridCol w:w="142"/>
        <w:gridCol w:w="709"/>
        <w:gridCol w:w="1133"/>
        <w:gridCol w:w="3965"/>
        <w:gridCol w:w="1416"/>
      </w:tblGrid>
      <w:tr>
        <w:trPr>
          <w:trHeight w:val="397" w:hRule="exact"/>
        </w:trPr>
        <w:tc>
          <w:tcPr>
            <w:gridSpan w:val="5"/>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招标要求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备注</w:t>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建筑尺寸</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井道尺寸（宽*深mm）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2200*2150，以现场实际尺寸为准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厂家深化最大尺寸</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厅门尺寸（宽*高mm）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900*2110，以现场实际尺寸为准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3900，以现场实际尺寸为准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机房</w:t>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764"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left"/>
              <w:spacing w:after="100" w:afterAutospacing="1"/>
              <w:widowControl/>
              <w:rPr>
                <w:rFonts w:hint="eastAsia" w:ascii="宋体" w:hAnsi="宋体" w:cs="宋体"/>
                <w:sz w:val="24"/>
                <w:szCs w:val="24"/>
              </w:rPr>
            </w:pPr>
            <w:r>
              <w:rPr>
                <w:rFonts w:hint="eastAsia" w:ascii="宋体" w:hAnsi="宋体" w:cs="宋体"/>
                <w:sz w:val="24"/>
                <w:szCs w:val="24"/>
              </w:rPr>
              <w:t xml:space="preserve">1层4800，2层4400，3层4400，4层4400，5层4400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底坑深度（mm）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1600，以现场实际尺寸为准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配置要求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拖动方式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传动方式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精密紧凑永磁同步无齿轮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控制方式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双控，全集</w:t>
            </w:r>
            <w:r>
              <w:rPr>
                <w:rFonts w:hint="eastAsia" w:ascii="宋体" w:hAnsi="宋体" w:cs="宋体"/>
                <w:sz w:val="24"/>
                <w:szCs w:val="24"/>
              </w:rPr>
              <w:t xml:space="preserve">选控制</w:t>
            </w:r>
            <w:r>
              <w:rPr>
                <w:rFonts w:hint="eastAsia" w:ascii="宋体" w:hAnsi="宋体" w:cs="宋体"/>
                <w:sz w:val="24"/>
                <w:szCs w:val="24"/>
              </w:rPr>
              <w:t xml:space="preserve">方式（主板32位电脑控制（非双16位）</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门机系统</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门保护装置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光幕保护，不小于180束</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电源适应</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380V 50H    Z220V+10% 50HZ</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812"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性能要求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额定速度允许误差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额定速度允差：-5%到+3%（国标）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振动（按照GB/T 10058）：垂直（平均）≤15mg；水平（平均）≤15mg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平层准确度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噪声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满足国家标准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载重量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≥1000kg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提升速度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≥1.75m/s</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站数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内外装饰要求</w:t>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w:t>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轿厢顶</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配置通风，备有应急电源操作。顶部装饰要求简洁、明快、大方的标准轿顶，照明明亮美观（LED节能灯）轿厢高度≥2400mm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轿厢壁</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镜面不锈钢+发纹304不锈钢材质，≥1.2mm；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54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脚踏板</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轿厢地面</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大理石地面，供应商提供三种款式供业主选择</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1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LED照明，应急照明，轿内灯光及风扇自动关闭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82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操作盘</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发纹304不锈钢材质厚度，厚度不小于3mm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显示器显示内容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大于或等于10.4寸液晶显示和方向数字显示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90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操作功能</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隐藏式对讲机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3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标示要求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方向指示、层显、超载及运行方向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7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按钮要求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不锈钢按钮、开关门按钮、紧急呼叫按钮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厅门及门套</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门套</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1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展开面积</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大门套，</w:t>
            </w:r>
            <w:r>
              <w:rPr>
                <w:rFonts w:hint="eastAsia" w:ascii="宋体" w:hAnsi="宋体" w:cs="宋体"/>
                <w:sz w:val="24"/>
                <w:szCs w:val="24"/>
              </w:rPr>
              <w:t xml:space="preserve">展开面</w:t>
            </w:r>
            <w:r>
              <w:rPr>
                <w:rFonts w:hint="eastAsia" w:ascii="宋体" w:hAnsi="宋体" w:cs="宋体"/>
                <w:sz w:val="24"/>
                <w:szCs w:val="24"/>
              </w:rPr>
              <w:t xml:space="preserve">≥</w:t>
            </w:r>
            <w:r>
              <w:rPr>
                <w:rFonts w:hint="eastAsia" w:ascii="宋体" w:hAnsi="宋体" w:cs="宋体"/>
                <w:color w:val="ff0000"/>
                <w:sz w:val="24"/>
                <w:szCs w:val="24"/>
              </w:rPr>
              <w:t xml:space="preserve">7</w:t>
            </w:r>
            <w:r>
              <w:rPr>
                <w:rFonts w:hint="eastAsia" w:ascii="宋体" w:hAnsi="宋体" w:cs="宋体"/>
                <w:sz w:val="24"/>
                <w:szCs w:val="24"/>
              </w:rPr>
              <w:t xml:space="preserve">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2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楼层  召唤</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液晶显示，运行方向、检修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56"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发纹304不锈钢，厚度不小于3mm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2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厅门侧方无底盒安装</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功能配置及要求</w:t>
            </w:r>
            <w:r/>
          </w:p>
          <w:p>
            <w:pPr>
              <w:spacing w:line="276" w:lineRule="auto"/>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自动再平层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电梯受阻失速保护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制动器冗余保护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司机操作</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称重启动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上电再平层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选层器</w:t>
            </w:r>
            <w:r>
              <w:rPr>
                <w:rFonts w:hint="eastAsia" w:ascii="宋体" w:hAnsi="宋体" w:cs="宋体"/>
                <w:sz w:val="24"/>
                <w:szCs w:val="24"/>
              </w:rPr>
              <w:t xml:space="preserve">修正</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停层开门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逆变装置高温检测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轿厢意外移动保护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关门力矩控制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换向重开门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强制开门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门负载检测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门传感器自诊断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开门受阻控制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门速自适应控制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即时关门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安装用开门保持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响铃强制关门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重复关门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本层再开门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光幕</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轿厢应急照明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警铃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操纵箱异常处理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轿内照明/通风装置自动关闭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层站召唤自动登记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层站微机异常处理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首层站运行控制开关</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独立运行</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电梯不启动报警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次层停靠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超载报警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运行次数与时间统计</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多方通话装置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预留视频电缆（数字式）</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轿内误指令人工消除（轿内按钮型）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停电应急平层装置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配1P单冷空调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bl>
    <w:p>
      <w:pPr>
        <w:keepNext/>
        <w:rPr>
          <w:rFonts w:hint="eastAsia" w:ascii="宋体" w:hAnsi="宋体" w:cs="宋体"/>
          <w:b/>
          <w:bCs/>
          <w:sz w:val="24"/>
          <w:szCs w:val="24"/>
        </w:rPr>
        <w:outlineLvl w:val="0"/>
      </w:pPr>
      <w:r/>
      <w:bookmarkStart w:id="224" w:name="_Toc227167514"/>
      <w:r>
        <w:rPr>
          <w:rFonts w:hint="eastAsia" w:ascii="宋体" w:hAnsi="宋体" w:cs="宋体"/>
          <w:b/>
          <w:bCs/>
          <w:sz w:val="24"/>
          <w:szCs w:val="24"/>
        </w:rPr>
        <w:t xml:space="preserve">6、五台校区研究生公寓（DT8，生殖中心使用）</w:t>
      </w:r>
      <w:bookmarkEnd w:id="224"/>
      <w:r/>
      <w:r/>
    </w:p>
    <w:tbl>
      <w:tblPr>
        <w:tblW w:w="864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567"/>
        <w:gridCol w:w="142"/>
        <w:gridCol w:w="709"/>
        <w:gridCol w:w="1133"/>
        <w:gridCol w:w="3965"/>
        <w:gridCol w:w="1416"/>
      </w:tblGrid>
      <w:tr>
        <w:trPr>
          <w:trHeight w:val="397" w:hRule="exact"/>
        </w:trPr>
        <w:tc>
          <w:tcPr>
            <w:gridSpan w:val="5"/>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招标要求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备注</w:t>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建筑尺寸</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井道尺寸（宽*深mm）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2400*2300，以现场实际尺寸为准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厂家深化最大尺寸</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厅门尺寸（宽*高mm）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900*2100，以现场实际尺寸为准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4800，以现场实际尺寸为准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机房</w:t>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顶楼</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底坑深度（mm）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1800，以现场实际尺寸为准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配置要求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拖动方式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传动方式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精密紧凑永磁同步无齿轮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控制方式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双控，全集</w:t>
            </w:r>
            <w:r>
              <w:rPr>
                <w:rFonts w:hint="eastAsia" w:ascii="宋体" w:hAnsi="宋体" w:cs="宋体"/>
                <w:sz w:val="24"/>
                <w:szCs w:val="24"/>
              </w:rPr>
              <w:t xml:space="preserve">选控制</w:t>
            </w:r>
            <w:r>
              <w:rPr>
                <w:rFonts w:hint="eastAsia" w:ascii="宋体" w:hAnsi="宋体" w:cs="宋体"/>
                <w:sz w:val="24"/>
                <w:szCs w:val="24"/>
              </w:rPr>
              <w:t xml:space="preserve">方式（主板32位电脑控制（非双16位）</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门机系统</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门保护装置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光幕保护，不小于1</w:t>
            </w:r>
            <w:r>
              <w:rPr>
                <w:sz w:val="24"/>
                <w:szCs w:val="24"/>
              </w:rPr>
              <w:t xml:space="preserve">8</w:t>
            </w:r>
            <w:r>
              <w:rPr>
                <w:rFonts w:hint="eastAsia" w:ascii="宋体" w:hAnsi="宋体" w:cs="宋体"/>
                <w:sz w:val="24"/>
                <w:szCs w:val="24"/>
              </w:rPr>
              <w:t xml:space="preserve">0束</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电源适应</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380V 50H    Z220V+10% 50HZ</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性能要求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额定速度允许误差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额定速度允差：-5%到+3%（国标）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振动（按照GB/T 10058）：垂直（平均）≤15mg；水平（平均）≤15mg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平层准确度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噪声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满足国家标准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载重量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≥1000kg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提升速度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≥2.0m/s</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站数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内外装饰要求</w:t>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w:t>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轿厢顶</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配置通风，备有应急电源操作。顶部装饰要求简洁、明快、大方的标准轿顶，照明明亮美观（LED节能灯）轿厢高度≥2400mm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轿厢壁</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镜面不锈钢+发纹304不锈钢材质，</w:t>
            </w:r>
            <w:r>
              <w:rPr>
                <w:rFonts w:hint="eastAsia" w:ascii="宋体" w:hAnsi="宋体" w:eastAsia="Times New Roman"/>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w:t>
            </w:r>
            <w:r>
              <w:rPr>
                <w:rFonts w:hint="eastAsia" w:ascii="宋体" w:hAnsi="宋体" w:eastAsia="Times New Roman"/>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脚踏板</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轿厢地面</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大理石地面，供应商提供三种款式供业主选择</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1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LED照明，应急照明，轿内灯光及风扇自动关闭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05"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操作盘</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发纹304不锈钢材质厚度，</w:t>
            </w:r>
            <w:r>
              <w:rPr>
                <w:rFonts w:hint="eastAsia" w:ascii="宋体" w:hAnsi="宋体" w:eastAsia="Times New Roman"/>
                <w:sz w:val="24"/>
                <w:szCs w:val="21"/>
              </w:rPr>
              <w:t xml:space="preserve">厚度</w:t>
            </w:r>
            <w:r>
              <w:rPr>
                <w:rFonts w:hint="eastAsia" w:ascii="宋体" w:hAnsi="宋体"/>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95"/>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显示器显示内容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大于或等于10.4寸液晶显示和方向数字显示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操作功能</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隐藏式对讲机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标示要求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方向指示、层显、超载及运行方向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73"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按钮要求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不锈钢按钮、开关门按钮、紧急呼叫按钮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厅门及门套</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门套</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6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展开面积</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大门套，</w:t>
            </w:r>
            <w:r>
              <w:rPr>
                <w:rFonts w:hint="eastAsia" w:ascii="宋体" w:hAnsi="宋体" w:cs="宋体"/>
                <w:sz w:val="24"/>
                <w:szCs w:val="24"/>
              </w:rPr>
              <w:t xml:space="preserve">展开面</w:t>
            </w:r>
            <w:r>
              <w:rPr>
                <w:rFonts w:hint="eastAsia" w:ascii="宋体" w:hAnsi="宋体" w:cs="宋体"/>
                <w:sz w:val="24"/>
                <w:szCs w:val="24"/>
              </w:rPr>
              <w:t xml:space="preserve">≥400mm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6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楼层  召唤</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液晶显示，运行方向、检修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rPr>
                <w:rFonts w:hint="eastAsia" w:ascii="宋体" w:hAnsi="宋体" w:eastAsia="Times New Roman"/>
                <w:sz w:val="24"/>
                <w:szCs w:val="21"/>
              </w:rPr>
              <w:t xml:space="preserve">厚度</w:t>
            </w:r>
            <w:r>
              <w:rPr>
                <w:rFonts w:hint="eastAsia" w:ascii="宋体" w:hAnsi="宋体"/>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2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厅门侧方无底盒安装</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功能配置及要求</w:t>
            </w:r>
            <w:r/>
          </w:p>
          <w:p>
            <w:pPr>
              <w:spacing w:line="276" w:lineRule="auto"/>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自动再平层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电梯受阻失速保护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制动器冗余保护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司机操作</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称重启动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上电再平层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选层器</w:t>
            </w:r>
            <w:r>
              <w:rPr>
                <w:rFonts w:hint="eastAsia" w:ascii="宋体" w:hAnsi="宋体" w:cs="宋体"/>
                <w:sz w:val="24"/>
                <w:szCs w:val="24"/>
              </w:rPr>
              <w:t xml:space="preserve">修正</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停层开门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逆变装置高温检测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轿厢意外移动保护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关门力矩控制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换向重开门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强制开门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门负载检测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门传感器自诊断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开门受阻控制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门速自适应控制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即时关门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安装用开门保持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响铃强制关门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重复关门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本层再开门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光幕</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轿厢应急照明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警铃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操纵箱异常处理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轿内照明/通风装置自动关闭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层站召唤自动登记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层站微机异常处理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首层站运行控制开关</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独立运行</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电梯不启动报警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次层停靠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超载报警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运行次数与时间统计</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多方通话装置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预留视频电缆（数字式）</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轿内误指令人工消除（轿内按钮型）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停电应急平层装置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配1P单冷空调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bl>
    <w:p>
      <w:pPr>
        <w:keepNext/>
        <w:rPr>
          <w:rFonts w:hint="eastAsia" w:ascii="宋体" w:hAnsi="宋体" w:cs="宋体"/>
          <w:b/>
          <w:bCs/>
          <w:sz w:val="24"/>
          <w:szCs w:val="24"/>
        </w:rPr>
        <w:outlineLvl w:val="0"/>
      </w:pPr>
      <w:r/>
      <w:bookmarkStart w:id="225" w:name="_Toc227167515"/>
      <w:r>
        <w:rPr>
          <w:rFonts w:hint="eastAsia" w:ascii="宋体" w:hAnsi="宋体" w:cs="宋体"/>
          <w:b/>
          <w:bCs/>
          <w:sz w:val="24"/>
          <w:szCs w:val="24"/>
        </w:rPr>
        <w:t xml:space="preserve">7、五台校区研究生公寓（DT9、DT10、DT11）</w:t>
      </w:r>
      <w:bookmarkEnd w:id="225"/>
      <w:r/>
      <w:r/>
    </w:p>
    <w:tbl>
      <w:tblPr>
        <w:tblW w:w="864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567"/>
        <w:gridCol w:w="142"/>
        <w:gridCol w:w="709"/>
        <w:gridCol w:w="1133"/>
        <w:gridCol w:w="3965"/>
        <w:gridCol w:w="1416"/>
      </w:tblGrid>
      <w:tr>
        <w:trPr>
          <w:trHeight w:val="397" w:hRule="exact"/>
        </w:trPr>
        <w:tc>
          <w:tcPr>
            <w:gridSpan w:val="5"/>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招标要求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备注</w:t>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建筑尺寸</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井道尺寸（宽*深mm）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2400*2300，以现场实际尺寸为准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厂家深化最大尺寸</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厅门尺寸（宽*高mm）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900*2100，以现场实际尺寸为准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4800，以现场实际尺寸为准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机房</w:t>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顶楼</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底坑深度（mm）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1800，以现场实际尺寸为准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配置要求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拖动方式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传动方式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精密紧凑永磁同步无齿轮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控制方式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双控，全集</w:t>
            </w:r>
            <w:r>
              <w:rPr>
                <w:rFonts w:hint="eastAsia" w:ascii="宋体" w:hAnsi="宋体" w:cs="宋体"/>
                <w:sz w:val="24"/>
                <w:szCs w:val="24"/>
              </w:rPr>
              <w:t xml:space="preserve">选控制</w:t>
            </w:r>
            <w:r>
              <w:rPr>
                <w:rFonts w:hint="eastAsia" w:ascii="宋体" w:hAnsi="宋体" w:cs="宋体"/>
                <w:sz w:val="24"/>
                <w:szCs w:val="24"/>
              </w:rPr>
              <w:t xml:space="preserve">方式（主板32位电脑控制（非双16位）</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门机系统</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门保护装置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光幕保护，不小于180束</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电源适应</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380V 50H    Z220V+10% 50HZ</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性能要求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额定速度允许误差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额定速度允差：-5%到+3%（国标）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振动（按照GB/T 10058）：垂直（平均）≤15mg；水平（平均）≤15mg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平层准确度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噪声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满足国家标准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载重量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≥1000kg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提升速度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≥2.0m/s</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站数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内外装饰要求</w:t>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w:t>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轿厢顶</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配置通风，备有应急电源操作。顶部装饰要求简洁、明快、大方的标准轿顶，照明明亮美观（LED节能灯）轿厢高度≥2400mm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轿厢壁</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镜面不锈钢+发纹304不锈钢材质，</w:t>
            </w:r>
            <w:r>
              <w:rPr>
                <w:rFonts w:hint="eastAsia" w:ascii="宋体" w:hAnsi="宋体" w:eastAsia="Times New Roman"/>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w:t>
            </w:r>
            <w:r>
              <w:rPr>
                <w:rFonts w:hint="eastAsia" w:ascii="宋体" w:hAnsi="宋体" w:eastAsia="Times New Roman"/>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脚踏板</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轿厢地面</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大理石地面，供应商提供三种款式供业主选择</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1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LED照明，应急照明，轿内灯光及风扇自动关闭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操作盘</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发纹304不锈钢材质厚度，</w:t>
            </w:r>
            <w:r>
              <w:rPr>
                <w:rFonts w:hint="eastAsia" w:ascii="宋体" w:hAnsi="宋体" w:eastAsia="Times New Roman"/>
                <w:sz w:val="24"/>
                <w:szCs w:val="21"/>
              </w:rPr>
              <w:t xml:space="preserve">厚度</w:t>
            </w:r>
            <w:r>
              <w:rPr>
                <w:rFonts w:hint="eastAsia" w:ascii="宋体" w:hAnsi="宋体"/>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显示器显示内容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大于或等于10.4寸液晶显示和方向数字显示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操作功能</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隐藏式对讲机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标示要求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方向指示、层显、超载及运行方向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56"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按钮要求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不锈钢按钮、开关门按钮、紧急呼叫按钮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厅门及门套</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门套</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4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展开面积</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大门套，</w:t>
            </w:r>
            <w:r>
              <w:rPr>
                <w:rFonts w:hint="eastAsia" w:ascii="宋体" w:hAnsi="宋体" w:cs="宋体"/>
                <w:sz w:val="24"/>
                <w:szCs w:val="24"/>
              </w:rPr>
              <w:t xml:space="preserve">展开面</w:t>
            </w:r>
            <w:r>
              <w:rPr>
                <w:rFonts w:hint="eastAsia" w:ascii="宋体" w:hAnsi="宋体" w:cs="宋体"/>
                <w:sz w:val="24"/>
                <w:szCs w:val="24"/>
              </w:rPr>
              <w:t xml:space="preserve">≥400mm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楼层  召唤</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液晶显示，运行方向、检修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5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rPr>
                <w:rFonts w:hint="eastAsia" w:ascii="宋体" w:hAnsi="宋体" w:eastAsia="Times New Roman"/>
                <w:sz w:val="24"/>
                <w:szCs w:val="21"/>
              </w:rPr>
              <w:t xml:space="preserve">厚度</w:t>
            </w:r>
            <w:r>
              <w:rPr>
                <w:rFonts w:hint="eastAsia" w:ascii="宋体" w:hAnsi="宋体"/>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3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厅门侧方无底盒安装</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功能配置及要求</w:t>
            </w:r>
            <w:r/>
          </w:p>
          <w:p>
            <w:pPr>
              <w:spacing w:line="276" w:lineRule="auto"/>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自动再平层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电梯受阻失速保护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制动器冗余保护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司机操作</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称重启动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上电再平层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选层器</w:t>
            </w:r>
            <w:r>
              <w:rPr>
                <w:rFonts w:hint="eastAsia" w:ascii="宋体" w:hAnsi="宋体" w:cs="宋体"/>
                <w:sz w:val="24"/>
                <w:szCs w:val="24"/>
              </w:rPr>
              <w:t xml:space="preserve">修正</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停层开门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逆变装置高温检测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轿厢意外移动保护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关门力矩控制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换向重开门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强制开门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门负载检测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门传感器自诊断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开门受阻控制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门速自适应控制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即时关门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安装用开门保持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响铃强制关门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重复关门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本层再开门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光幕</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轿厢应急照明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警铃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操纵箱异常处理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轿内照明/通风装置自动关闭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层站召唤自动登记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层站微机异常处理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首层站运行控制开关</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独立运行</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电梯不启动报警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次层停靠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超载报警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运行次数与时间统计</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多方通话装置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预留视频电缆（数字式）</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轿内误指令人工消除（轿内按钮型）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停电应急平层装置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配1P单冷空调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bl>
    <w:p>
      <w:pPr>
        <w:ind w:firstLine="482"/>
        <w:spacing w:line="360" w:lineRule="auto"/>
        <w:widowControl/>
        <w:rPr>
          <w:rFonts w:hint="eastAsia" w:ascii="宋体" w:hAnsi="宋体"/>
          <w:b/>
          <w:sz w:val="24"/>
        </w:rPr>
      </w:pPr>
      <w:r>
        <w:rPr>
          <w:rFonts w:hint="eastAsia" w:ascii="宋体" w:hAnsi="宋体"/>
          <w:b/>
          <w:sz w:val="24"/>
        </w:rPr>
      </w:r>
      <w:r/>
    </w:p>
    <w:p>
      <w:pPr>
        <w:ind w:firstLine="482"/>
        <w:spacing w:line="360" w:lineRule="auto"/>
        <w:widowControl/>
        <w:rPr>
          <w:rFonts w:hint="eastAsia" w:ascii="宋体" w:hAnsi="宋体"/>
          <w:b/>
          <w:sz w:val="24"/>
        </w:rPr>
      </w:pPr>
      <w:r>
        <w:rPr>
          <w:rFonts w:hint="eastAsia" w:ascii="宋体" w:hAnsi="宋体"/>
          <w:b/>
          <w:sz w:val="24"/>
        </w:rPr>
        <w:t xml:space="preserve">8、五台校区留学生公寓（DT12、DT13）</w:t>
      </w:r>
      <w:r/>
    </w:p>
    <w:tbl>
      <w:tblPr>
        <w:tblW w:w="864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567"/>
        <w:gridCol w:w="142"/>
        <w:gridCol w:w="709"/>
        <w:gridCol w:w="1133"/>
        <w:gridCol w:w="3965"/>
        <w:gridCol w:w="1416"/>
      </w:tblGrid>
      <w:tr>
        <w:trPr>
          <w:trHeight w:val="397" w:hRule="exact"/>
        </w:trPr>
        <w:tc>
          <w:tcPr>
            <w:gridSpan w:val="5"/>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招标要求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备注</w:t>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建筑尺寸</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井道尺寸（宽*深mm）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2300*2150，以现场实际尺寸为准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厂家深化最大尺寸</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厅门尺寸（宽*高mm）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900*2100，以现场实际尺寸为准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3800，以现场实际尺寸为准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机房</w:t>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778"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left"/>
              <w:spacing w:after="100" w:afterAutospacing="1"/>
              <w:widowControl/>
              <w:rPr>
                <w:rFonts w:hint="eastAsia" w:ascii="宋体" w:hAnsi="宋体" w:cs="宋体"/>
                <w:sz w:val="24"/>
                <w:szCs w:val="24"/>
              </w:rPr>
            </w:pPr>
            <w:r>
              <w:rPr>
                <w:rFonts w:hint="eastAsia" w:ascii="宋体" w:hAnsi="宋体" w:cs="宋体"/>
                <w:sz w:val="24"/>
                <w:szCs w:val="24"/>
              </w:rPr>
              <w:t xml:space="preserve">1层3300,2层3300,3层3300,4层3300,5层3300,6层3300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底坑深度（mm）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1400，以现场实际尺寸为准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配置要求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拖动方式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传动方式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精密紧凑永磁同步无齿轮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控制方式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双控，全集</w:t>
            </w:r>
            <w:r>
              <w:rPr>
                <w:rFonts w:hint="eastAsia" w:ascii="宋体" w:hAnsi="宋体" w:cs="宋体"/>
                <w:sz w:val="24"/>
                <w:szCs w:val="24"/>
              </w:rPr>
              <w:t xml:space="preserve">选控制</w:t>
            </w:r>
            <w:r>
              <w:rPr>
                <w:rFonts w:hint="eastAsia" w:ascii="宋体" w:hAnsi="宋体" w:cs="宋体"/>
                <w:sz w:val="24"/>
                <w:szCs w:val="24"/>
              </w:rPr>
              <w:t xml:space="preserve">方式（主板32位电脑控制（非双16位）</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门机系统</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门保护装置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光幕保护，不小于180束</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电源适应</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380V 50H    Z220V+10% 50HZ</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性能</w:t>
            </w:r>
            <w:r>
              <w:rPr>
                <w:rFonts w:hint="eastAsia" w:ascii="宋体" w:hAnsi="宋体" w:cs="宋体"/>
                <w:sz w:val="24"/>
                <w:szCs w:val="24"/>
              </w:rPr>
              <w:t xml:space="preserve">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额定速度允许误差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额定速度允差：-5%到+3%（国标）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振动（按照GB/T 10058）：垂直（平均）≤15mg；水平（平均）≤15mg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平层准确度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噪声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满足国家标准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载重量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≥1000kg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提升速度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≥1.75m/s</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站数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内外装饰要求</w:t>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w:t>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轿厢顶</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配置通风，备有应急电源操作。顶部装饰要求简洁、明快、大方的标准轿顶，照明明亮美观（LED节能灯）轿厢高度≥2400mm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轿厢壁</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镜面不锈钢+发纹304不锈钢材质，≥1.2mm；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54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脚踏板</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轿厢地面</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大理石地面，供应商提供三种款式供业主选择</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1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LED照明，应急照明，轿内灯光及风扇自动关闭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82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操作盘</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发纹304不锈钢材质厚度，厚度不小于3mm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显示器显示内容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大于或等于10.4寸液晶显示和方向数字显示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90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操作功能</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隐藏式对讲机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3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标示要求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方向指示、层显、超载及运行方向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7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按钮要求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不锈钢按钮、开关门按钮、紧急呼叫按钮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厅门及门套</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门套</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1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展开面积</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大门套，</w:t>
            </w:r>
            <w:r>
              <w:rPr>
                <w:rFonts w:hint="eastAsia" w:ascii="宋体" w:hAnsi="宋体" w:cs="宋体"/>
                <w:sz w:val="24"/>
                <w:szCs w:val="24"/>
              </w:rPr>
              <w:t xml:space="preserve">展开面</w:t>
            </w:r>
            <w:r>
              <w:rPr>
                <w:rFonts w:hint="eastAsia" w:ascii="宋体" w:hAnsi="宋体" w:cs="宋体"/>
                <w:sz w:val="24"/>
                <w:szCs w:val="24"/>
              </w:rPr>
              <w:t xml:space="preserve">≥400mm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2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楼层  召唤</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液晶显示，运行方向、检修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56"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发纹304不锈钢，厚度不小于3mm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2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厅门侧方无底盒安装</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功能配置及要求</w:t>
            </w:r>
            <w:r/>
          </w:p>
          <w:p>
            <w:pPr>
              <w:spacing w:line="276" w:lineRule="auto"/>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自动再平层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电梯受阻失速保护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制动器冗余保护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司机操作</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称重启动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上电再平层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选层器</w:t>
            </w:r>
            <w:r>
              <w:rPr>
                <w:rFonts w:hint="eastAsia" w:ascii="宋体" w:hAnsi="宋体" w:cs="宋体"/>
                <w:sz w:val="24"/>
                <w:szCs w:val="24"/>
              </w:rPr>
              <w:t xml:space="preserve">修正</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停层开门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逆变装置高温检测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轿厢意外移动保护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关门力矩控制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换向重开门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强制开门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门负载检测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门传感器自诊断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开门受阻控制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门速自适应控制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即时关门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安装用开门保持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响铃强制关门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重复关门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本层再开门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光幕</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轿厢应急照明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警铃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操纵箱异常处理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轿内照明/通风装置自动关闭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层站召唤自动登记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层站微机异常处理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首层站运行控制开关</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独立运行</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电梯不启动报警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次层停靠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超载报警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运行次数与时间统计</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多方通话装置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预留视频电缆（数字式）</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轿内误指令人工消除（轿内按钮型）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停电应急平层装置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配1P单冷空调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bl>
    <w:p>
      <w:pPr>
        <w:ind w:firstLine="482"/>
        <w:spacing w:line="360" w:lineRule="auto"/>
        <w:widowControl/>
        <w:rPr>
          <w:rFonts w:hint="eastAsia" w:ascii="宋体" w:hAnsi="宋体"/>
          <w:b/>
          <w:sz w:val="24"/>
        </w:rPr>
      </w:pPr>
      <w:r>
        <w:rPr>
          <w:rFonts w:hint="eastAsia" w:ascii="宋体" w:hAnsi="宋体"/>
          <w:b/>
          <w:sz w:val="24"/>
        </w:rPr>
      </w:r>
      <w:r/>
    </w:p>
    <w:p>
      <w:pPr>
        <w:ind w:firstLine="482"/>
        <w:spacing w:line="360" w:lineRule="auto"/>
        <w:widowControl/>
        <w:rPr>
          <w:rFonts w:hint="eastAsia" w:ascii="宋体" w:hAnsi="宋体"/>
          <w:b/>
          <w:sz w:val="24"/>
        </w:rPr>
      </w:pPr>
      <w:r>
        <w:rPr>
          <w:rFonts w:hint="eastAsia" w:ascii="宋体" w:hAnsi="宋体"/>
          <w:b/>
          <w:sz w:val="24"/>
        </w:rPr>
        <w:t xml:space="preserve">9、五台校区学生食堂（DT14）</w:t>
      </w:r>
      <w:r/>
    </w:p>
    <w:tbl>
      <w:tblPr>
        <w:tblW w:w="864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567"/>
        <w:gridCol w:w="142"/>
        <w:gridCol w:w="709"/>
        <w:gridCol w:w="1133"/>
        <w:gridCol w:w="3965"/>
        <w:gridCol w:w="1416"/>
      </w:tblGrid>
      <w:tr>
        <w:trPr>
          <w:trHeight w:val="397" w:hRule="exact"/>
        </w:trPr>
        <w:tc>
          <w:tcPr>
            <w:gridSpan w:val="5"/>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招标要求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备注</w:t>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建筑尺寸</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井道尺寸（宽*深mm）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2200*1900，以现场实际尺寸为准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轿厢尺寸（宽*深mm）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厂家深化最大尺寸</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厅门尺寸（宽*高mm）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900*2100，以现场实际尺寸为准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4300，以现场实际尺寸为准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机房</w:t>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5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1层4800，2层4800，3层4800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底坑深度（mm）</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1200，以现场实际尺寸为准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配置要求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拖动方式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传动方式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精密紧凑永磁同步无齿轮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控制方式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双控，全集</w:t>
            </w:r>
            <w:r>
              <w:rPr>
                <w:rFonts w:hint="eastAsia" w:ascii="宋体" w:hAnsi="宋体" w:cs="宋体"/>
                <w:sz w:val="24"/>
                <w:szCs w:val="24"/>
              </w:rPr>
              <w:t xml:space="preserve">选控制</w:t>
            </w:r>
            <w:r>
              <w:rPr>
                <w:rFonts w:hint="eastAsia" w:ascii="宋体" w:hAnsi="宋体" w:cs="宋体"/>
                <w:sz w:val="24"/>
                <w:szCs w:val="24"/>
              </w:rPr>
              <w:t xml:space="preserve">方式（主板32位电脑控制（非双16位）</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门机系统</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门保护装置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光幕保护，不小于180束</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电源适应</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380V 50H    Z220V+10% 50HZ</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性能要求</w:t>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额定速度允许误差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额定速度允差：-5%到+3%（国标）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振动（按照GB/T 10058）：垂直（平均）≤15mg；水平（平均）≤15mg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平层准确度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+5mm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噪声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满足国家标准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载重量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≥1000kg</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提升速度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≥1.75m/s</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站数</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内外装饰要求</w:t>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w:t>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轿厢顶</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配置通风，备有应急电源操作。顶部装饰要求简洁、明快、大方的标准轿顶，照明明亮美观（LED节能灯）轿厢高度≥2400mm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轿厢壁</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镜面不锈钢+发纹304不锈钢材质，≥1.2mm；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54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脚踏板</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轿厢地面</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不锈钢地面，供应商提供三种款式供业主选择</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1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LED照明，应急照明，轿内灯光及风扇自动关闭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82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操作盘</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发纹304不锈钢材质厚度，厚度不小于3mm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显示器显示内容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大于或等于10.4寸液晶显示和方向数字显示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90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操作功能</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隐藏式对讲机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3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标示要求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方向指示、层显、超载及运行方向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7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按钮要求</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不锈钢按钮、开关门按钮、紧急呼叫按钮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厅门及门套</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门套</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1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展开面积</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大门套，</w:t>
            </w:r>
            <w:r>
              <w:rPr>
                <w:rFonts w:hint="eastAsia" w:ascii="宋体" w:hAnsi="宋体" w:cs="宋体"/>
                <w:sz w:val="24"/>
                <w:szCs w:val="24"/>
              </w:rPr>
              <w:t xml:space="preserve">展开面</w:t>
            </w:r>
            <w:r>
              <w:rPr>
                <w:rFonts w:hint="eastAsia" w:ascii="宋体" w:hAnsi="宋体" w:cs="宋体"/>
                <w:sz w:val="24"/>
                <w:szCs w:val="24"/>
              </w:rPr>
              <w:t xml:space="preserve">≥400mm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29"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楼层  召唤</w:t>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显示内容</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液晶显示，运行方向、检修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656"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发纹304不锈钢，厚度不小于3mm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722"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2"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厅门侧方无底盒安装</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326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4537"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功能配置及要求</w:t>
            </w:r>
            <w:r/>
          </w:p>
          <w:p>
            <w:pPr>
              <w:spacing w:line="276" w:lineRule="auto"/>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自动再平层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电梯受阻失速保护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制动器冗余保护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司机操作</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称重启动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上电再平层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选层器</w:t>
            </w:r>
            <w:r>
              <w:rPr>
                <w:rFonts w:hint="eastAsia" w:ascii="宋体" w:hAnsi="宋体" w:cs="宋体"/>
                <w:sz w:val="24"/>
                <w:szCs w:val="24"/>
              </w:rPr>
              <w:t xml:space="preserve">修正</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停层开门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逆变装置高温检测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轿厢意外移动保护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关门保护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关门力矩控制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换向重开门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强制开门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门负载检测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门传感器自诊断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开门受阻控制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门速自适应控制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即时关门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安装用开门保持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响铃强制关门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重复关门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本层再开门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光幕</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轿厢应急照明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警铃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操纵箱异常处理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轿内照明/通风装置自动关闭</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层站召唤自动登记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层站微机异常处理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首层站运行控制开关</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独立运行</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电梯不启动报警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次层停靠</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超载报警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层站运行方向指示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关门按钮响应指示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开门按钮响应指示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运行次数与时间统计</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多方通话装置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预留视频电缆（数字式）</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轿内误指令人工消除（轿内按钮型）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停电应急平层装置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779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spacing w:after="100" w:afterAutospacing="1"/>
              <w:widowControl/>
              <w:rPr>
                <w:rFonts w:hint="eastAsia" w:ascii="宋体" w:hAnsi="宋体" w:cs="宋体"/>
                <w:sz w:val="24"/>
                <w:szCs w:val="24"/>
              </w:rPr>
            </w:pPr>
            <w:r>
              <w:rPr>
                <w:rFonts w:hint="eastAsia" w:ascii="宋体" w:hAnsi="宋体" w:cs="宋体"/>
                <w:sz w:val="24"/>
                <w:szCs w:val="24"/>
              </w:rPr>
              <w:t xml:space="preserve">配1P单冷空调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r>
            <w:r/>
          </w:p>
        </w:tc>
      </w:tr>
    </w:tbl>
    <w:p>
      <w:pPr>
        <w:spacing w:line="360" w:lineRule="auto"/>
        <w:widowControl/>
        <w:rPr>
          <w:rFonts w:hint="eastAsia" w:ascii="宋体" w:hAnsi="宋体"/>
          <w:b/>
          <w:sz w:val="24"/>
        </w:rPr>
      </w:pPr>
      <w:r>
        <w:rPr>
          <w:rFonts w:hint="eastAsia" w:ascii="宋体" w:hAnsi="宋体"/>
          <w:b/>
          <w:sz w:val="24"/>
        </w:rPr>
      </w:r>
      <w:r/>
    </w:p>
    <w:p>
      <w:pPr>
        <w:ind w:firstLine="482"/>
        <w:spacing w:line="360" w:lineRule="auto"/>
        <w:widowControl/>
        <w:rPr>
          <w:rFonts w:hint="eastAsia" w:ascii="宋体" w:hAnsi="宋体"/>
          <w:b/>
          <w:sz w:val="24"/>
        </w:rPr>
      </w:pPr>
      <w:r>
        <w:rPr>
          <w:rFonts w:hint="eastAsia" w:ascii="宋体" w:hAnsi="宋体"/>
          <w:b/>
          <w:sz w:val="24"/>
        </w:rPr>
        <w:t xml:space="preserve">注：</w:t>
      </w:r>
      <w:r/>
    </w:p>
    <w:p>
      <w:pPr>
        <w:ind w:firstLine="480"/>
        <w:spacing w:line="360" w:lineRule="auto"/>
        <w:widowControl/>
        <w:rPr>
          <w:rFonts w:hint="eastAsia" w:ascii="宋体" w:hAnsi="宋体"/>
          <w:sz w:val="24"/>
        </w:rPr>
      </w:pPr>
      <w:r>
        <w:rPr>
          <w:rFonts w:hint="eastAsia" w:ascii="宋体" w:hAnsi="宋体"/>
          <w:sz w:val="24"/>
        </w:rPr>
        <w:t xml:space="preserve">（1）五方通话系统电梯机房到轿厢内布线包含在投标报价中。</w:t>
      </w:r>
      <w:r/>
    </w:p>
    <w:p>
      <w:pPr>
        <w:ind w:firstLine="480"/>
        <w:spacing w:line="360" w:lineRule="auto"/>
        <w:widowControl/>
        <w:rPr>
          <w:rFonts w:hint="eastAsia" w:ascii="宋体" w:hAnsi="宋体"/>
          <w:sz w:val="24"/>
        </w:rPr>
      </w:pPr>
      <w:r>
        <w:rPr>
          <w:rFonts w:hint="eastAsia" w:ascii="宋体" w:hAnsi="宋体"/>
          <w:sz w:val="24"/>
        </w:rPr>
        <w:t xml:space="preserve">（2）以上土建尺寸为参考尺寸，实际尺寸以现场测绘图纸为准。</w:t>
      </w:r>
      <w:r/>
    </w:p>
    <w:p>
      <w:pPr>
        <w:ind w:firstLine="480"/>
        <w:spacing w:line="360" w:lineRule="auto"/>
        <w:widowControl/>
        <w:rPr>
          <w:rFonts w:hint="eastAsia" w:ascii="宋体" w:hAnsi="宋体"/>
          <w:sz w:val="24"/>
        </w:rPr>
      </w:pPr>
      <w:r>
        <w:rPr>
          <w:rFonts w:hint="eastAsia" w:ascii="宋体" w:hAnsi="宋体"/>
          <w:sz w:val="24"/>
        </w:rPr>
        <w:t xml:space="preserve">（3）原电梯内安防监控摄像头，投标单位中标后需配合学校重新安装轿厢内安防监控摄像头，报价包含在投标报价中。</w:t>
      </w:r>
      <w:r/>
    </w:p>
    <w:p>
      <w:pPr>
        <w:ind w:firstLine="480"/>
        <w:spacing w:line="360" w:lineRule="auto"/>
        <w:widowControl/>
        <w:rPr>
          <w:rFonts w:hint="eastAsia" w:ascii="宋体" w:hAnsi="宋体"/>
          <w:sz w:val="24"/>
        </w:rPr>
      </w:pPr>
      <w:r>
        <w:rPr>
          <w:rFonts w:hint="eastAsia" w:ascii="宋体" w:hAnsi="宋体"/>
          <w:sz w:val="24"/>
        </w:rPr>
        <w:t xml:space="preserve">（4）</w:t>
      </w:r>
      <w:r>
        <w:rPr>
          <w:rFonts w:hint="eastAsia" w:ascii="宋体" w:hAnsi="宋体" w:cs="宋体"/>
          <w:sz w:val="24"/>
          <w:szCs w:val="24"/>
        </w:rPr>
        <w:t xml:space="preserve">五方通话系统值班室对讲终端，须根据学校指定位置进行安装、布线及调试，相关设备、线缆、辅材、施工及调试费用均已包含在本次投标报价内，采购人</w:t>
      </w:r>
      <w:r>
        <w:rPr>
          <w:rFonts w:hint="eastAsia" w:ascii="宋体" w:hAnsi="宋体" w:cs="宋体"/>
          <w:sz w:val="24"/>
          <w:szCs w:val="24"/>
        </w:rPr>
        <w:t xml:space="preserve">不</w:t>
      </w:r>
      <w:r>
        <w:rPr>
          <w:rFonts w:hint="eastAsia" w:ascii="宋体" w:hAnsi="宋体" w:cs="宋体"/>
          <w:sz w:val="24"/>
          <w:szCs w:val="24"/>
        </w:rPr>
        <w:t xml:space="preserve">另行支付任何费用。</w:t>
      </w:r>
      <w:r/>
    </w:p>
    <w:p>
      <w:pPr>
        <w:keepNext/>
        <w:rPr>
          <w:rFonts w:hint="eastAsia" w:ascii="宋体" w:hAnsi="宋体" w:cs="宋体"/>
          <w:b/>
          <w:bCs/>
          <w:sz w:val="24"/>
          <w:szCs w:val="24"/>
        </w:rPr>
        <w:outlineLvl w:val="0"/>
      </w:pPr>
      <w:r/>
      <w:bookmarkStart w:id="226" w:name="_Toc227167516"/>
      <w:r>
        <w:rPr>
          <w:rFonts w:hint="eastAsia" w:ascii="宋体" w:hAnsi="宋体" w:cs="宋体"/>
          <w:b/>
          <w:bCs/>
          <w:sz w:val="24"/>
          <w:szCs w:val="24"/>
        </w:rPr>
        <w:t xml:space="preserve">7、电梯应符合的技术标准要求</w:t>
      </w:r>
      <w:bookmarkEnd w:id="226"/>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（1）GB/T7588《电梯制造与安装安全规范》</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（2）GB/T10058《电梯技术条件》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（3）GB/T10059《电梯试验方法》</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（4）GB/T10060《电梯安装验收规范》</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（5）其他</w:t>
      </w:r>
      <w:bookmarkStart w:id="227" w:name="_Hlk135317920"/>
      <w:r>
        <w:rPr>
          <w:rFonts w:hint="eastAsia" w:ascii="宋体" w:hAnsi="宋体" w:cs="宋体"/>
          <w:bCs/>
          <w:sz w:val="24"/>
          <w:szCs w:val="24"/>
        </w:rPr>
        <w:t xml:space="preserve">与电梯相关的国家、行业和地方的法律法规、规范规程、标准、图集</w:t>
      </w:r>
      <w:bookmarkEnd w:id="227"/>
      <w:r>
        <w:rPr>
          <w:rFonts w:hint="eastAsia" w:ascii="宋体" w:hAnsi="宋体" w:cs="宋体"/>
          <w:bCs/>
          <w:sz w:val="24"/>
          <w:szCs w:val="24"/>
        </w:rPr>
        <w:t xml:space="preserve">。</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上述规范及技术条件并非全部，未列入而</w:t>
      </w:r>
      <w:r>
        <w:rPr>
          <w:rFonts w:hint="eastAsia" w:ascii="宋体" w:hAnsi="宋体" w:cs="宋体"/>
          <w:bCs/>
          <w:sz w:val="24"/>
          <w:szCs w:val="24"/>
        </w:rPr>
        <w:t xml:space="preserve">又相关</w:t>
      </w:r>
      <w:r>
        <w:rPr>
          <w:rFonts w:hint="eastAsia" w:ascii="宋体" w:hAnsi="宋体" w:cs="宋体"/>
          <w:bCs/>
          <w:sz w:val="24"/>
          <w:szCs w:val="24"/>
        </w:rPr>
        <w:t xml:space="preserve">的仍应采用。如有停用或废止的，应以相应的最新版本为准。</w:t>
      </w:r>
      <w:r/>
    </w:p>
    <w:p>
      <w:pPr>
        <w:keepNext/>
        <w:rPr>
          <w:rFonts w:hint="eastAsia" w:ascii="宋体" w:hAnsi="宋体" w:cs="宋体"/>
          <w:b/>
          <w:bCs/>
          <w:sz w:val="24"/>
          <w:szCs w:val="24"/>
        </w:rPr>
        <w:outlineLvl w:val="0"/>
      </w:pPr>
      <w:r/>
      <w:bookmarkStart w:id="228" w:name="_Toc227167517"/>
      <w:r>
        <w:rPr>
          <w:rFonts w:hint="eastAsia" w:ascii="宋体" w:hAnsi="宋体" w:cs="宋体"/>
          <w:b/>
          <w:bCs/>
          <w:sz w:val="24"/>
          <w:szCs w:val="24"/>
        </w:rPr>
        <w:t xml:space="preserve">8、技术资料要求</w:t>
      </w:r>
      <w:bookmarkEnd w:id="228"/>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中标供应商应向采购人应承诺至少提供以下技术资料（一梯一份），其费用已包括在响应价格之内：①电梯安装图；②电气设备及系统原理图；③电气设备及系统安装线路图；④构件、机械安装图；⑤安装手册、操作手册以及维修保养手册；⑥制造、安装标准和技术规范；⑦安装和验收报告(包括验收数据资料)；⑧零部件目录；⑨投标人应交付的其它资料和专用工具；⑩采购人认为应交付的其他资料。</w:t>
      </w:r>
      <w:r>
        <w:rPr>
          <w:rFonts w:hint="eastAsia" w:ascii="宋体" w:hAnsi="宋体" w:cs="宋体"/>
          <w:b/>
          <w:sz w:val="24"/>
          <w:szCs w:val="24"/>
        </w:rPr>
        <w:t xml:space="preserve">（提供承诺函，格式自拟，加盖公章）</w:t>
      </w:r>
      <w:r/>
    </w:p>
    <w:p>
      <w:pPr>
        <w:keepNext/>
        <w:rPr>
          <w:rFonts w:hint="eastAsia" w:ascii="宋体" w:hAnsi="宋体" w:cs="宋体"/>
          <w:b/>
          <w:bCs/>
          <w:sz w:val="24"/>
          <w:szCs w:val="24"/>
        </w:rPr>
        <w:outlineLvl w:val="0"/>
      </w:pPr>
      <w:r/>
      <w:bookmarkStart w:id="229" w:name="_Toc227167518"/>
      <w:r>
        <w:rPr>
          <w:rFonts w:hint="eastAsia" w:ascii="宋体" w:hAnsi="宋体" w:cs="宋体"/>
          <w:b/>
          <w:bCs/>
          <w:sz w:val="24"/>
          <w:szCs w:val="24"/>
        </w:rPr>
        <w:t xml:space="preserve">四）、项目实施要求</w:t>
      </w:r>
      <w:bookmarkEnd w:id="229"/>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项目的实施应符合本项目实际需要，并确保在学校规定的时间内完成。</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本次采购电梯共分两批次进行安装，第一</w:t>
      </w:r>
      <w:r>
        <w:rPr>
          <w:rFonts w:hint="eastAsia" w:ascii="宋体" w:hAnsi="宋体" w:cs="宋体"/>
          <w:bCs/>
          <w:sz w:val="24"/>
          <w:szCs w:val="24"/>
        </w:rPr>
        <w:t xml:space="preserve">批次需</w:t>
      </w:r>
      <w:r>
        <w:rPr>
          <w:rFonts w:hint="eastAsia" w:ascii="宋体" w:hAnsi="宋体" w:cs="宋体"/>
          <w:bCs/>
          <w:sz w:val="24"/>
          <w:szCs w:val="24"/>
        </w:rPr>
        <w:t xml:space="preserve">安装江宁校区药学院2#、3#电梯（DT1、DT2），逸夫楼电梯（DT3），博学楼电梯(DT4），学生食堂2#电梯（DT5），图书馆2#、3#电梯（DT6、DT7），五台校区研究生公寓1#、2#、3#电梯（DT8、DT9、DT10），留学生公寓1#电梯(DT12)，学生食堂6#电梯(DT14)；第二</w:t>
      </w:r>
      <w:r>
        <w:rPr>
          <w:rFonts w:hint="eastAsia" w:ascii="宋体" w:hAnsi="宋体" w:cs="宋体"/>
          <w:bCs/>
          <w:sz w:val="24"/>
          <w:szCs w:val="24"/>
        </w:rPr>
        <w:t xml:space="preserve">批次需</w:t>
      </w:r>
      <w:r>
        <w:rPr>
          <w:rFonts w:hint="eastAsia" w:ascii="宋体" w:hAnsi="宋体" w:cs="宋体"/>
          <w:bCs/>
          <w:sz w:val="24"/>
          <w:szCs w:val="24"/>
        </w:rPr>
        <w:t xml:space="preserve">安装五台校区研究生公寓4#台电梯（DT11），留学生公寓2#电梯（DT13）。</w:t>
      </w:r>
      <w:r/>
    </w:p>
    <w:p>
      <w:pPr>
        <w:keepNext/>
        <w:rPr>
          <w:rFonts w:hint="eastAsia" w:ascii="宋体" w:hAnsi="宋体" w:cs="宋体"/>
          <w:b/>
          <w:bCs/>
          <w:sz w:val="24"/>
          <w:szCs w:val="24"/>
        </w:rPr>
        <w:outlineLvl w:val="0"/>
      </w:pPr>
      <w:r/>
      <w:bookmarkStart w:id="230" w:name="_Toc227167519"/>
      <w:r>
        <w:rPr>
          <w:rFonts w:hint="eastAsia" w:ascii="宋体" w:hAnsi="宋体" w:cs="宋体"/>
          <w:b/>
          <w:bCs/>
          <w:sz w:val="24"/>
          <w:szCs w:val="24"/>
        </w:rPr>
        <w:t xml:space="preserve">五）、售后服务要求</w:t>
      </w:r>
      <w:bookmarkEnd w:id="230"/>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 投标人依据现场实际情况和招标文件的要求，提供具体详实的售后服务方案：包括售后服务及电梯故障响应机制，在电梯发生故障时将故障排除，对于电梯的维修和</w:t>
      </w:r>
      <w:r>
        <w:rPr>
          <w:rFonts w:hint="eastAsia" w:ascii="宋体" w:hAnsi="宋体" w:cs="宋体"/>
          <w:bCs/>
          <w:sz w:val="24"/>
          <w:szCs w:val="24"/>
        </w:rPr>
        <w:t xml:space="preserve">质保</w:t>
      </w:r>
      <w:r>
        <w:rPr>
          <w:rFonts w:hint="eastAsia" w:ascii="宋体" w:hAnsi="宋体" w:cs="宋体"/>
          <w:bCs/>
          <w:sz w:val="24"/>
          <w:szCs w:val="24"/>
        </w:rPr>
        <w:t xml:space="preserve">应满足以下要求。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电梯交付后，中标供应商须提供电梯使用地的报修电话，并保证24小时有人接听。中标供应商必须参照《电梯使用管理与维修保养规则》的要求，电梯困人的求援时间不应超过20分钟，故障反应时间小于30分钟，一般故障修复时间小于60分钟，较大故障修复时间小于36小时。完成修理后，中标供应商应提交维修情况书面报告（包括但不限于故障原因、修理概况、恢复正常的时间和日期）。</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（2）质保期最少2年（具体以投标人实际承诺为准）。质保期内，中标供应商每1个月至少例行</w:t>
      </w:r>
      <w:r>
        <w:rPr>
          <w:rFonts w:hint="eastAsia" w:ascii="宋体" w:hAnsi="宋体" w:cs="宋体"/>
          <w:bCs/>
          <w:sz w:val="24"/>
          <w:szCs w:val="24"/>
        </w:rPr>
        <w:t xml:space="preserve">检查维保2次</w:t>
      </w:r>
      <w:r>
        <w:rPr>
          <w:rFonts w:hint="eastAsia" w:ascii="宋体" w:hAnsi="宋体" w:cs="宋体"/>
          <w:bCs/>
          <w:sz w:val="24"/>
          <w:szCs w:val="24"/>
        </w:rPr>
        <w:t xml:space="preserve">，并将检查情况书面报告采购人；质保期届满前30日内，中标供应商应全面检查一次，并将检查情况书面报告采购人。</w:t>
      </w:r>
      <w:r/>
    </w:p>
    <w:p>
      <w:pPr>
        <w:keepNext/>
        <w:rPr>
          <w:rFonts w:hint="eastAsia" w:ascii="宋体" w:hAnsi="宋体" w:cs="宋体"/>
          <w:b/>
          <w:bCs/>
          <w:sz w:val="24"/>
          <w:szCs w:val="24"/>
        </w:rPr>
        <w:outlineLvl w:val="0"/>
      </w:pPr>
      <w:r/>
      <w:bookmarkStart w:id="231" w:name="_Toc227167520"/>
      <w:r>
        <w:rPr>
          <w:rFonts w:hint="eastAsia" w:ascii="宋体" w:hAnsi="宋体" w:cs="宋体"/>
          <w:b/>
          <w:bCs/>
          <w:sz w:val="24"/>
          <w:szCs w:val="24"/>
        </w:rPr>
        <w:t xml:space="preserve">六）、验收</w:t>
      </w:r>
      <w:bookmarkEnd w:id="231"/>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1、投标人应根据招标要求及项目实施具体需要，提供本项目的履约验收方案。</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2在交货之前，制造商应对产品质量、规格、性能和数量/重量进行精确和全面的检测，并出具证明产品与招标文件要求相符的证明书。</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3、检测、检验和试验证明设备达到文件的技术规定, 并获得南京市特种设备安全监督检验研究院特种设备使用登记证和特种设备使用标志，批准运营后，双方即签署验收文件，设备即视为验收通过。</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4、货物抵达工地后,双方根据装箱文件清点件数及外观质量验收,并出具书面验收证明。</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5、货物到达采购人工地至交付使用前所有的安全保管工作由供应商负责。</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6、电梯验收要求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①第1次验收：设备运抵采购人现场之日，采购人、供应</w:t>
      </w:r>
      <w:r>
        <w:rPr>
          <w:rFonts w:hint="eastAsia" w:ascii="宋体" w:hAnsi="宋体" w:cs="宋体"/>
          <w:bCs/>
          <w:sz w:val="24"/>
          <w:szCs w:val="24"/>
        </w:rPr>
        <w:t xml:space="preserve">商双方</w:t>
      </w:r>
      <w:r>
        <w:rPr>
          <w:rFonts w:hint="eastAsia" w:ascii="宋体" w:hAnsi="宋体" w:cs="宋体"/>
          <w:bCs/>
          <w:sz w:val="24"/>
          <w:szCs w:val="24"/>
        </w:rPr>
        <w:t xml:space="preserve">及采购人共同派员验收，如发生数量短少、外观缺损，由供应商负责办理相关报验手续并免费补齐、调换。供应商同时提供出厂前的检测报告和产品合格证书；供应商所提供的设备和部件如是国外制造的，除提供上述资料外还应提供原产地证书、报关资料及检验检疫证明。若供应商所提供的设备及部件的品牌不符合文件要求，采购人有权终止合同，并依法追究供应商的相关责任。</w:t>
      </w:r>
      <w:r/>
    </w:p>
    <w:p>
      <w:pPr>
        <w:ind w:firstLine="480"/>
        <w:spacing w:line="360" w:lineRule="auto"/>
        <w:rPr>
          <w:rFonts w:hint="eastAsia" w:ascii="宋体" w:hAnsi="宋体" w:cs="宋体"/>
          <w:bCs/>
          <w:sz w:val="24"/>
          <w:szCs w:val="24"/>
        </w:rPr>
      </w:pPr>
      <w:r>
        <w:rPr>
          <w:rFonts w:hint="eastAsia" w:ascii="宋体" w:hAnsi="宋体" w:cs="宋体"/>
          <w:bCs/>
          <w:sz w:val="24"/>
          <w:szCs w:val="24"/>
        </w:rPr>
        <w:fldChar w:fldCharType="begin"/>
      </w:r>
      <w:r>
        <w:rPr>
          <w:rFonts w:hint="eastAsia" w:ascii="宋体" w:hAnsi="宋体" w:cs="宋体"/>
          <w:bCs/>
          <w:sz w:val="24"/>
          <w:szCs w:val="24"/>
        </w:rPr>
        <w:instrText xml:space="preserve"> = 2 \* GB3 </w:instrText>
      </w:r>
      <w:r>
        <w:rPr>
          <w:rFonts w:hint="eastAsia" w:ascii="宋体" w:hAnsi="宋体" w:cs="宋体"/>
          <w:bCs/>
          <w:sz w:val="24"/>
          <w:szCs w:val="24"/>
        </w:rPr>
        <w:fldChar w:fldCharType="separate"/>
      </w:r>
      <w:r>
        <w:rPr>
          <w:rFonts w:hint="eastAsia" w:ascii="宋体" w:hAnsi="宋体" w:cs="宋体"/>
          <w:bCs/>
          <w:sz w:val="24"/>
          <w:szCs w:val="24"/>
        </w:rPr>
        <w:t xml:space="preserve">②</w:t>
      </w:r>
      <w:r>
        <w:rPr>
          <w:rFonts w:hint="eastAsia" w:ascii="宋体" w:hAnsi="宋体" w:cs="宋体"/>
          <w:bCs/>
          <w:sz w:val="24"/>
          <w:szCs w:val="24"/>
        </w:rPr>
        <w:fldChar w:fldCharType="end"/>
      </w:r>
      <w:r>
        <w:rPr>
          <w:rFonts w:hint="eastAsia" w:ascii="宋体" w:hAnsi="宋体" w:cs="宋体"/>
          <w:bCs/>
          <w:sz w:val="24"/>
          <w:szCs w:val="24"/>
        </w:rPr>
        <w:t xml:space="preserve">第2次验收：安装完成由供应商负责向南京市场监督管理局质量技术监督部门（特检院）送交有关验收资料，经南京市场监督管理局质量技术监督部门（特检院）检验验收合格。并由供应商负责办理特种设备使用登记证，特种</w:t>
      </w:r>
      <w:r>
        <w:rPr>
          <w:rFonts w:hint="eastAsia" w:ascii="宋体" w:hAnsi="宋体" w:cs="宋体"/>
          <w:bCs/>
          <w:sz w:val="24"/>
          <w:szCs w:val="24"/>
        </w:rPr>
        <w:t xml:space="preserve">设备使用标志。使用前办理完成电梯安全责任保险。</w:t>
      </w:r>
      <w:r/>
    </w:p>
    <w:p>
      <w:pPr>
        <w:keepNext/>
        <w:rPr>
          <w:rFonts w:hint="eastAsia" w:ascii="宋体" w:hAnsi="宋体" w:cs="宋体"/>
          <w:b/>
          <w:bCs/>
          <w:sz w:val="24"/>
          <w:szCs w:val="24"/>
        </w:rPr>
        <w:outlineLvl w:val="0"/>
      </w:pPr>
      <w:r/>
      <w:bookmarkStart w:id="232" w:name="_Toc227167521"/>
      <w:r>
        <w:rPr>
          <w:rFonts w:hint="eastAsia" w:ascii="宋体" w:hAnsi="宋体" w:cs="宋体"/>
          <w:b/>
          <w:bCs/>
          <w:sz w:val="24"/>
          <w:szCs w:val="24"/>
        </w:rPr>
        <w:t xml:space="preserve">七）、投标人履约能力</w:t>
      </w:r>
      <w:bookmarkEnd w:id="232"/>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1、投标人或所</w:t>
      </w:r>
      <w:r>
        <w:rPr>
          <w:rFonts w:hint="eastAsia" w:ascii="宋体" w:hAnsi="宋体" w:cs="宋体"/>
          <w:bCs/>
          <w:sz w:val="24"/>
          <w:szCs w:val="24"/>
        </w:rPr>
        <w:t xml:space="preserve">投产品需有</w:t>
      </w:r>
      <w:r>
        <w:rPr>
          <w:rFonts w:hint="eastAsia" w:ascii="宋体" w:hAnsi="宋体" w:cs="宋体"/>
          <w:bCs/>
          <w:sz w:val="24"/>
          <w:szCs w:val="24"/>
        </w:rPr>
        <w:t xml:space="preserve">2023年4月1日以来已完成的类似的更换（旧电梯换新）电梯业绩。</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2、投标人拟派本项目的项目负责人须具备机电类中级职称证书。</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3、投标人拟派本项目的管理机构，</w:t>
      </w:r>
      <w:r>
        <w:rPr>
          <w:rFonts w:hint="eastAsia" w:ascii="宋体" w:hAnsi="宋体" w:cs="宋体"/>
          <w:bCs/>
          <w:sz w:val="24"/>
          <w:szCs w:val="24"/>
        </w:rPr>
        <w:t xml:space="preserve">除项目</w:t>
      </w:r>
      <w:r>
        <w:rPr>
          <w:rFonts w:hint="eastAsia" w:ascii="宋体" w:hAnsi="宋体" w:cs="宋体"/>
          <w:bCs/>
          <w:sz w:val="24"/>
          <w:szCs w:val="24"/>
        </w:rPr>
        <w:t xml:space="preserve">负责人以外，还应当包括电梯质量检验员、焊工、电工、资料员等岗位。设置与本项目规模相适应的项目管理组织机构，并具备相应有效的岗位资格证书，包括但不限于：特种设备安全管理和作业人员证（作业项目：电梯修理，代号：T）、电梯质量检验员证、焊接与热切割作业证、电工证、建筑施工企业专职安全生产管理人员安全生产考核合格证书（C证）、资料员证书等。</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    </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0" w:lineRule="atLeast"/>
        <w:rPr>
          <w:rFonts w:hint="eastAsia" w:ascii="宋体" w:hAnsi="宋体"/>
          <w:sz w:val="24"/>
          <w:szCs w:val="24"/>
        </w:rPr>
      </w:pPr>
      <w:r>
        <w:rPr>
          <w:rFonts w:hint="eastAsia" w:ascii="宋体" w:hAnsi="宋体"/>
          <w:sz w:val="24"/>
          <w:szCs w:val="24"/>
        </w:rPr>
      </w:r>
      <w:r/>
    </w:p>
    <w:p>
      <w:pPr>
        <w:jc w:val="center"/>
        <w:keepNext/>
        <w:rPr>
          <w:rFonts w:ascii="黑体" w:eastAsia="黑体"/>
          <w:bCs/>
          <w:sz w:val="44"/>
          <w:szCs w:val="28"/>
        </w:rPr>
        <w:outlineLvl w:val="0"/>
      </w:pPr>
      <w:r>
        <w:rPr>
          <w:rFonts w:hint="eastAsia" w:ascii="宋体" w:hAnsi="宋体"/>
          <w:sz w:val="24"/>
          <w:szCs w:val="24"/>
        </w:rPr>
        <w:br w:type="page" w:clear="all"/>
      </w:r>
      <w:bookmarkStart w:id="233" w:name="_Toc227167522"/>
      <w:r>
        <w:rPr>
          <w:rFonts w:hint="eastAsia" w:ascii="黑体" w:eastAsia="黑体"/>
          <w:bCs/>
          <w:sz w:val="44"/>
          <w:szCs w:val="28"/>
        </w:rPr>
        <w:t xml:space="preserve">第五章  </w:t>
      </w:r>
      <w:r>
        <w:rPr>
          <w:rFonts w:hint="eastAsia" w:ascii="黑体" w:eastAsia="黑体"/>
          <w:b/>
          <w:bCs/>
          <w:sz w:val="44"/>
          <w:szCs w:val="28"/>
        </w:rPr>
        <w:t xml:space="preserve">评标方法与评标标准</w:t>
      </w:r>
      <w:bookmarkEnd w:id="233"/>
      <w:r/>
      <w:r/>
    </w:p>
    <w:p>
      <w:pPr>
        <w:rPr>
          <w:szCs w:val="21"/>
        </w:rPr>
      </w:pPr>
      <w:r>
        <w:rPr>
          <w:szCs w:val="21"/>
        </w:rPr>
      </w:r>
      <w:r/>
    </w:p>
    <w:p>
      <w:pPr>
        <w:ind w:firstLine="480"/>
        <w:spacing w:line="0" w:lineRule="atLeast"/>
        <w:rPr>
          <w:rFonts w:hint="eastAsia" w:ascii="宋体" w:hAnsi="宋体"/>
          <w:sz w:val="24"/>
          <w:szCs w:val="24"/>
        </w:rPr>
      </w:pPr>
      <w:r>
        <w:rPr>
          <w:rFonts w:ascii="宋体" w:hAnsi="宋体"/>
          <w:sz w:val="24"/>
          <w:szCs w:val="24"/>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4325"/>
      </w:tblGrid>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1610" w:type="dxa"/>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4325" w:type="dxa"/>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W w:w="1610"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W w:w="4325" w:type="dxa"/>
            <w:textDirection w:val="lrTb"/>
            <w:noWrap w:val="false"/>
          </w:tcPr>
          <w:p>
            <w:pPr>
              <w:jc w:val="left"/>
              <w:rPr>
                <w:rFonts w:hint="eastAsia" w:ascii="宋体" w:hAnsi="宋体"/>
                <w:szCs w:val="21"/>
              </w:rPr>
            </w:pPr>
            <w:r>
              <w:rPr>
                <w:rFonts w:hint="eastAsia" w:ascii="宋体" w:hAnsi="宋体"/>
                <w:szCs w:val="21"/>
              </w:rPr>
              <w:t xml:space="preserve">满足招标文件全部实质性要求，</w:t>
            </w:r>
            <w:r>
              <w:rPr>
                <w:rFonts w:hint="eastAsia" w:ascii="宋体" w:hAnsi="宋体"/>
                <w:szCs w:val="21"/>
              </w:rPr>
              <w:t xml:space="preserve">且按照</w:t>
            </w:r>
            <w:r>
              <w:rPr>
                <w:rFonts w:hint="eastAsia" w:ascii="宋体" w:hAnsi="宋体"/>
                <w:szCs w:val="21"/>
              </w:rPr>
              <w:t xml:space="preserve">评审因素的量化指标评审得分最高的投标人为中标候选人。</w:t>
            </w:r>
            <w:r/>
          </w:p>
        </w:tc>
      </w:tr>
    </w:tbl>
    <w:p>
      <w:pPr>
        <w:ind w:firstLine="441"/>
        <w:jc w:val="left"/>
        <w:spacing w:before="120" w:after="120" w:line="0" w:lineRule="atLeast"/>
        <w:rPr>
          <w:rFonts w:hint="eastAsia" w:ascii="宋体" w:hAnsi="宋体"/>
          <w:b/>
          <w:sz w:val="24"/>
          <w:szCs w:val="24"/>
        </w:rPr>
      </w:pPr>
      <w:r>
        <w:rPr>
          <w:rFonts w:hint="eastAsia" w:ascii="宋体" w:hAnsi="宋体"/>
          <w:b/>
          <w:sz w:val="24"/>
          <w:szCs w:val="24"/>
        </w:rPr>
        <w:t xml:space="preserve">政府采购政策功能落实</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1、小微型企业价格扣除</w:t>
      </w:r>
      <w:r/>
    </w:p>
    <w:p>
      <w:pPr>
        <w:ind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w:t>
      </w:r>
      <w:r/>
    </w:p>
    <w:p>
      <w:pPr>
        <w:ind w:firstLine="360"/>
        <w:jc w:val="left"/>
        <w:spacing w:before="120" w:after="120" w:line="0" w:lineRule="atLeast"/>
        <w:rPr>
          <w:rFonts w:hint="eastAsia" w:ascii="宋体" w:hAnsi="宋体"/>
          <w:sz w:val="24"/>
          <w:szCs w:val="24"/>
        </w:rPr>
      </w:pPr>
      <w:r>
        <w:rPr>
          <w:rFonts w:hint="eastAsia" w:ascii="宋体" w:hAnsi="宋体"/>
          <w:sz w:val="24"/>
          <w:szCs w:val="24"/>
        </w:rPr>
        <w:t xml:space="preserve">（2）供应商需按照采购文件的要求提供相应的《中小微企业声明函》。</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2、残疾人福利单位价格扣除</w:t>
      </w:r>
      <w:r/>
    </w:p>
    <w:p>
      <w:pPr>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3、监狱和戒毒企业价格扣除</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w:t>
      </w:r>
      <w:r>
        <w:rPr>
          <w:rFonts w:hint="eastAsia" w:ascii="宋体" w:hAnsi="宋体"/>
          <w:sz w:val="24"/>
          <w:szCs w:val="24"/>
        </w:rPr>
        <w:t xml:space="preserve">〔</w:t>
      </w:r>
      <w:r>
        <w:rPr>
          <w:rFonts w:ascii="宋体" w:hAnsi="宋体"/>
          <w:sz w:val="24"/>
          <w:szCs w:val="24"/>
        </w:rPr>
        <w:t xml:space="preserve">2014</w:t>
      </w:r>
      <w:r>
        <w:rPr>
          <w:rFonts w:hint="eastAsia" w:ascii="宋体" w:hAnsi="宋体"/>
          <w:sz w:val="24"/>
          <w:szCs w:val="24"/>
        </w:rPr>
        <w:t xml:space="preserve">〕</w:t>
      </w:r>
      <w:r>
        <w:rPr>
          <w:rFonts w:ascii="宋体" w:hAnsi="宋体"/>
          <w:sz w:val="24"/>
          <w:szCs w:val="24"/>
        </w:rPr>
        <w:t xml:space="preserve">68号</w:t>
      </w:r>
      <w:r>
        <w:rPr>
          <w:rFonts w:hint="eastAsia" w:ascii="宋体" w:hAnsi="宋体"/>
          <w:sz w:val="24"/>
          <w:szCs w:val="24"/>
        </w:rPr>
        <w:t xml:space="preserve">）。</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sz w:val="36"/>
          <w:szCs w:val="36"/>
        </w:rPr>
      </w:pPr>
      <w:r>
        <w:rPr>
          <w:rFonts w:hint="eastAsia" w:ascii="宋体" w:hAnsi="宋体"/>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w:t>
      </w:r>
      <w:r>
        <w:rPr>
          <w:rFonts w:hint="eastAsia" w:ascii="宋体" w:hAnsi="宋体"/>
          <w:sz w:val="24"/>
          <w:szCs w:val="24"/>
        </w:rPr>
        <w:t xml:space="preserve">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7、采购本国产品的支持政策</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7.1 本项目政府采购活动中既有本国产品又有非本国产品参与竞争的，依法对本国产品给予价格评审优惠，对本国产品的报价给予  20%的价格扣除，用扣除后的价格参与评审。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7.3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7.4 供应商需在《声明函》中逐一、</w:t>
      </w:r>
      <w:r>
        <w:rPr>
          <w:rFonts w:ascii="宋体" w:hAnsi="宋体"/>
          <w:sz w:val="24"/>
          <w:szCs w:val="24"/>
        </w:rPr>
        <w:t xml:space="preserve">准确</w:t>
      </w:r>
      <w:r>
        <w:rPr>
          <w:rFonts w:hint="eastAsia" w:ascii="宋体" w:hAnsi="宋体"/>
          <w:sz w:val="24"/>
          <w:szCs w:val="24"/>
        </w:rPr>
        <w:t xml:space="preserve">填写产品名称、厂名、生产厂址三项信息（《声明函》中标注“ / ”的地方无需填写），三</w:t>
      </w:r>
      <w:r>
        <w:rPr>
          <w:rFonts w:ascii="宋体" w:hAnsi="宋体"/>
          <w:sz w:val="24"/>
          <w:szCs w:val="24"/>
        </w:rPr>
        <w:t xml:space="preserve">项信息中</w:t>
      </w:r>
      <w:r>
        <w:rPr>
          <w:rFonts w:hint="eastAsia" w:ascii="宋体" w:hAnsi="宋体"/>
          <w:sz w:val="24"/>
          <w:szCs w:val="24"/>
        </w:rPr>
        <w:t xml:space="preserve">任意一项未填写的视为该项产品不符合本国产品标准，不享受本国产品价格评审优惠。</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7.5 评标过程中如发现供应商在《声明函》内容</w:t>
      </w:r>
      <w:r>
        <w:rPr>
          <w:rFonts w:ascii="宋体" w:hAnsi="宋体"/>
          <w:sz w:val="24"/>
          <w:szCs w:val="24"/>
        </w:rPr>
        <w:t xml:space="preserve">含义不明确、同类事项与投</w:t>
      </w:r>
      <w:r>
        <w:rPr>
          <w:rFonts w:hint="eastAsia" w:ascii="宋体" w:hAnsi="宋体"/>
          <w:sz w:val="24"/>
          <w:szCs w:val="24"/>
        </w:rPr>
        <w:t xml:space="preserve">标</w:t>
      </w:r>
      <w:r>
        <w:rPr>
          <w:rFonts w:ascii="宋体" w:hAnsi="宋体"/>
          <w:sz w:val="24"/>
          <w:szCs w:val="24"/>
        </w:rPr>
        <w:t xml:space="preserve">（</w:t>
      </w:r>
      <w:r>
        <w:rPr>
          <w:rFonts w:hint="eastAsia" w:ascii="宋体" w:hAnsi="宋体"/>
          <w:sz w:val="24"/>
          <w:szCs w:val="24"/>
        </w:rPr>
        <w:t xml:space="preserve">响应</w:t>
      </w:r>
      <w:r>
        <w:rPr>
          <w:rFonts w:ascii="宋体" w:hAnsi="宋体"/>
          <w:sz w:val="24"/>
          <w:szCs w:val="24"/>
        </w:rPr>
        <w:t xml:space="preserve">）</w:t>
      </w:r>
      <w:r>
        <w:rPr>
          <w:rFonts w:hint="eastAsia" w:ascii="宋体" w:hAnsi="宋体"/>
          <w:sz w:val="24"/>
          <w:szCs w:val="24"/>
        </w:rPr>
        <w:t xml:space="preserve">文件</w:t>
      </w:r>
      <w:r>
        <w:rPr>
          <w:rFonts w:ascii="宋体" w:hAnsi="宋体"/>
          <w:sz w:val="24"/>
          <w:szCs w:val="24"/>
        </w:rPr>
        <w:t xml:space="preserve">表述不一致或者有</w:t>
      </w:r>
      <w:r>
        <w:rPr>
          <w:rFonts w:hint="eastAsia" w:ascii="宋体" w:hAnsi="宋体"/>
          <w:sz w:val="24"/>
          <w:szCs w:val="24"/>
        </w:rPr>
        <w:t xml:space="preserve">明显</w:t>
      </w:r>
      <w:r>
        <w:rPr>
          <w:rFonts w:ascii="宋体" w:hAnsi="宋体"/>
          <w:sz w:val="24"/>
          <w:szCs w:val="24"/>
        </w:rPr>
        <w:t xml:space="preserve">文字错误等情况的</w:t>
      </w:r>
      <w:r>
        <w:rPr>
          <w:rFonts w:hint="eastAsia" w:ascii="宋体" w:hAnsi="宋体"/>
          <w:sz w:val="24"/>
          <w:szCs w:val="24"/>
        </w:rPr>
        <w:t xml:space="preserve">，评标委员会应当以书面形式要求供应商</w:t>
      </w:r>
      <w:r>
        <w:rPr>
          <w:rFonts w:hint="eastAsia" w:ascii="宋体" w:hAnsi="宋体"/>
          <w:sz w:val="24"/>
          <w:szCs w:val="24"/>
        </w:rPr>
        <w:t xml:space="preserve">作出</w:t>
      </w:r>
      <w:r>
        <w:rPr>
          <w:rFonts w:hint="eastAsia" w:ascii="宋体" w:hAnsi="宋体"/>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1"/>
        <w:jc w:val="left"/>
        <w:spacing w:before="120" w:after="120" w:line="0" w:lineRule="atLeast"/>
        <w:rPr>
          <w:rFonts w:hint="eastAsia" w:ascii="宋体" w:hAnsi="宋体"/>
          <w:b/>
          <w:sz w:val="24"/>
          <w:szCs w:val="24"/>
        </w:rPr>
      </w:pPr>
      <w:r>
        <w:rPr>
          <w:rFonts w:hint="eastAsia" w:ascii="宋体" w:hAnsi="宋体"/>
          <w:b/>
          <w:sz w:val="24"/>
          <w:szCs w:val="24"/>
        </w:rPr>
      </w:r>
      <w:r/>
    </w:p>
    <w:p>
      <w:pPr>
        <w:ind w:firstLine="441"/>
        <w:jc w:val="left"/>
        <w:spacing w:before="120" w:after="120" w:line="0" w:lineRule="atLeast"/>
        <w:rPr>
          <w:rFonts w:hint="eastAsia" w:ascii="宋体" w:hAnsi="宋体"/>
          <w:b/>
          <w:sz w:val="24"/>
          <w:szCs w:val="24"/>
        </w:rPr>
      </w:pPr>
      <w:r>
        <w:rPr>
          <w:rFonts w:hint="eastAsia" w:ascii="宋体" w:hAnsi="宋体"/>
          <w:b/>
          <w:sz w:val="24"/>
          <w:szCs w:val="24"/>
        </w:rPr>
        <w:t xml:space="preserve">评标方法与评标标准</w:t>
      </w:r>
      <w:r/>
    </w:p>
    <w:tbl>
      <w:tblPr>
        <w:tblW w:w="86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19"/>
        <w:gridCol w:w="1179"/>
        <w:gridCol w:w="6330"/>
        <w:gridCol w:w="647"/>
      </w:tblGrid>
      <w:tr>
        <w:trPr>
          <w:jc w:val="center"/>
          <w:trHeight w:val="501"/>
          <w:tblHeader/>
        </w:trPr>
        <w:tc>
          <w:tcPr>
            <w:tcW w:w="519" w:type="dxa"/>
            <w:vAlign w:val="center"/>
            <w:textDirection w:val="lrTb"/>
            <w:noWrap w:val="false"/>
          </w:tcPr>
          <w:p>
            <w:pPr>
              <w:jc w:val="center"/>
              <w:spacing w:before="68" w:line="264" w:lineRule="auto"/>
              <w:rPr>
                <w:rFonts w:hint="eastAsia" w:ascii="宋体" w:hAnsi="宋体" w:cs="宋体"/>
                <w:b/>
                <w:bCs/>
                <w:spacing w:val="-3"/>
                <w:sz w:val="24"/>
                <w:szCs w:val="24"/>
              </w:rPr>
            </w:pPr>
            <w:r>
              <w:rPr>
                <w:rFonts w:hint="eastAsia" w:ascii="宋体" w:hAnsi="宋体" w:cs="宋体"/>
                <w:b/>
                <w:bCs/>
                <w:spacing w:val="-3"/>
                <w:sz w:val="24"/>
                <w:szCs w:val="24"/>
              </w:rPr>
              <w:t xml:space="preserve">序号</w:t>
            </w:r>
            <w:r/>
          </w:p>
        </w:tc>
        <w:tc>
          <w:tcPr>
            <w:tcW w:w="1179" w:type="dxa"/>
            <w:vAlign w:val="center"/>
            <w:textDirection w:val="lrTb"/>
            <w:noWrap w:val="false"/>
          </w:tcPr>
          <w:p>
            <w:pPr>
              <w:jc w:val="center"/>
              <w:spacing w:before="68" w:line="264" w:lineRule="auto"/>
              <w:rPr>
                <w:rFonts w:hint="eastAsia" w:ascii="宋体" w:hAnsi="宋体" w:cs="宋体"/>
                <w:b/>
                <w:bCs/>
                <w:spacing w:val="-3"/>
                <w:sz w:val="24"/>
                <w:szCs w:val="24"/>
              </w:rPr>
            </w:pPr>
            <w:r>
              <w:rPr>
                <w:rFonts w:hint="eastAsia" w:ascii="宋体" w:hAnsi="宋体" w:cs="宋体"/>
                <w:b/>
                <w:bCs/>
                <w:spacing w:val="-3"/>
                <w:sz w:val="24"/>
                <w:szCs w:val="24"/>
              </w:rPr>
              <w:t xml:space="preserve">评审因素</w:t>
            </w:r>
            <w:r/>
          </w:p>
        </w:tc>
        <w:tc>
          <w:tcPr>
            <w:tcW w:w="6330" w:type="dxa"/>
            <w:vAlign w:val="center"/>
            <w:textDirection w:val="lrTb"/>
            <w:noWrap w:val="false"/>
          </w:tcPr>
          <w:p>
            <w:pPr>
              <w:jc w:val="center"/>
              <w:spacing w:before="68" w:line="264" w:lineRule="auto"/>
              <w:rPr>
                <w:rFonts w:hint="eastAsia" w:ascii="宋体" w:hAnsi="宋体" w:cs="宋体"/>
                <w:b/>
                <w:bCs/>
                <w:spacing w:val="-3"/>
                <w:sz w:val="24"/>
                <w:szCs w:val="24"/>
              </w:rPr>
            </w:pPr>
            <w:r>
              <w:rPr>
                <w:rFonts w:hint="eastAsia" w:ascii="宋体" w:hAnsi="宋体" w:cs="宋体"/>
                <w:b/>
                <w:bCs/>
                <w:spacing w:val="-3"/>
                <w:sz w:val="24"/>
                <w:szCs w:val="24"/>
              </w:rPr>
              <w:t xml:space="preserve">评审细则</w:t>
            </w:r>
            <w:r/>
          </w:p>
        </w:tc>
        <w:tc>
          <w:tcPr>
            <w:tcW w:w="647" w:type="dxa"/>
            <w:vAlign w:val="center"/>
            <w:textDirection w:val="lrTb"/>
            <w:noWrap w:val="false"/>
          </w:tcPr>
          <w:p>
            <w:pPr>
              <w:jc w:val="center"/>
              <w:spacing w:before="68" w:line="264" w:lineRule="auto"/>
              <w:rPr>
                <w:rFonts w:hint="eastAsia" w:ascii="宋体" w:hAnsi="宋体" w:cs="宋体"/>
                <w:b/>
                <w:bCs/>
                <w:spacing w:val="-3"/>
                <w:sz w:val="24"/>
                <w:szCs w:val="24"/>
              </w:rPr>
            </w:pPr>
            <w:r>
              <w:rPr>
                <w:rFonts w:hint="eastAsia" w:ascii="宋体" w:hAnsi="宋体" w:cs="宋体"/>
                <w:b/>
                <w:bCs/>
                <w:spacing w:val="-3"/>
                <w:sz w:val="24"/>
                <w:szCs w:val="24"/>
              </w:rPr>
              <w:t xml:space="preserve">分值</w:t>
            </w:r>
            <w:r/>
          </w:p>
        </w:tc>
      </w:tr>
      <w:tr>
        <w:trPr>
          <w:jc w:val="center"/>
          <w:trHeight w:val="1030"/>
        </w:trPr>
        <w:tc>
          <w:tcPr>
            <w:tcW w:w="519" w:type="dxa"/>
            <w:vAlign w:val="center"/>
            <w:textDirection w:val="lrTb"/>
            <w:noWrap w:val="false"/>
          </w:tcPr>
          <w:p>
            <w:pPr>
              <w:jc w:val="center"/>
              <w:spacing w:before="68" w:line="264" w:lineRule="auto"/>
              <w:rPr>
                <w:rFonts w:hint="eastAsia" w:ascii="宋体" w:hAnsi="宋体" w:cs="宋体"/>
                <w:sz w:val="24"/>
                <w:szCs w:val="24"/>
              </w:rPr>
            </w:pPr>
            <w:r>
              <w:rPr>
                <w:rFonts w:hint="eastAsia" w:ascii="宋体" w:hAnsi="宋体" w:cs="宋体"/>
                <w:spacing w:val="-6"/>
                <w:sz w:val="24"/>
                <w:szCs w:val="24"/>
              </w:rPr>
              <w:t xml:space="preserve">1</w:t>
            </w:r>
            <w:r>
              <w:rPr>
                <w:rFonts w:hint="eastAsia" w:ascii="宋体" w:hAnsi="宋体" w:cs="宋体"/>
                <w:spacing w:val="-5"/>
                <w:sz w:val="24"/>
                <w:szCs w:val="24"/>
              </w:rPr>
              <w:t xml:space="preserve">.1</w:t>
            </w:r>
            <w:r/>
          </w:p>
        </w:tc>
        <w:tc>
          <w:tcPr>
            <w:tcW w:w="1179" w:type="dxa"/>
            <w:vAlign w:val="center"/>
            <w:textDirection w:val="lrTb"/>
            <w:noWrap w:val="false"/>
          </w:tcPr>
          <w:p>
            <w:pPr>
              <w:jc w:val="left"/>
              <w:spacing w:before="68" w:line="264" w:lineRule="auto"/>
              <w:rPr>
                <w:rFonts w:hint="eastAsia" w:ascii="宋体" w:hAnsi="宋体" w:cs="宋体"/>
                <w:sz w:val="24"/>
                <w:szCs w:val="24"/>
              </w:rPr>
            </w:pPr>
            <w:r>
              <w:rPr>
                <w:rFonts w:hint="eastAsia" w:ascii="宋体" w:hAnsi="宋体" w:cs="宋体"/>
                <w:spacing w:val="-2"/>
                <w:sz w:val="24"/>
                <w:szCs w:val="24"/>
              </w:rPr>
              <w:t xml:space="preserve">价格分</w:t>
            </w:r>
            <w:r/>
          </w:p>
        </w:tc>
        <w:tc>
          <w:tcPr>
            <w:tcW w:w="6330" w:type="dxa"/>
            <w:vAlign w:val="center"/>
            <w:textDirection w:val="lrTb"/>
            <w:noWrap w:val="false"/>
          </w:tcPr>
          <w:p>
            <w:pPr>
              <w:jc w:val="left"/>
              <w:spacing w:line="264" w:lineRule="auto"/>
              <w:rPr>
                <w:rFonts w:hint="eastAsia" w:ascii="宋体" w:hAnsi="宋体" w:cs="宋体"/>
                <w:sz w:val="24"/>
                <w:szCs w:val="24"/>
              </w:rPr>
            </w:pPr>
            <w:r>
              <w:rPr>
                <w:rFonts w:hint="eastAsia" w:ascii="宋体" w:hAnsi="宋体" w:cs="宋体"/>
                <w:spacing w:val="1"/>
                <w:sz w:val="24"/>
                <w:szCs w:val="24"/>
              </w:rPr>
              <w:t xml:space="preserve">采用低价优先</w:t>
            </w:r>
            <w:r>
              <w:rPr>
                <w:rFonts w:hint="eastAsia" w:ascii="宋体" w:hAnsi="宋体" w:cs="宋体"/>
                <w:sz w:val="24"/>
                <w:szCs w:val="24"/>
              </w:rPr>
              <w:t xml:space="preserve">法计算，即满足招标文件要求且投标价格最低的投标</w:t>
            </w:r>
            <w:r>
              <w:rPr>
                <w:rFonts w:hint="eastAsia" w:ascii="宋体" w:hAnsi="宋体" w:cs="宋体"/>
                <w:spacing w:val="1"/>
                <w:sz w:val="24"/>
                <w:szCs w:val="24"/>
              </w:rPr>
              <w:t xml:space="preserve">报价为评标基准</w:t>
            </w:r>
            <w:r>
              <w:rPr>
                <w:rFonts w:hint="eastAsia" w:ascii="宋体" w:hAnsi="宋体" w:cs="宋体"/>
                <w:sz w:val="24"/>
                <w:szCs w:val="24"/>
              </w:rPr>
              <w:t xml:space="preserve">价，其价格分为满分。其他供应商的价格</w:t>
            </w:r>
            <w:r>
              <w:rPr>
                <w:rFonts w:hint="eastAsia" w:ascii="宋体" w:hAnsi="宋体" w:cs="宋体"/>
                <w:sz w:val="24"/>
                <w:szCs w:val="24"/>
              </w:rPr>
              <w:t xml:space="preserve">分统一</w:t>
            </w:r>
            <w:r>
              <w:rPr>
                <w:rFonts w:hint="eastAsia" w:ascii="宋体" w:hAnsi="宋体" w:cs="宋体"/>
                <w:sz w:val="24"/>
                <w:szCs w:val="24"/>
              </w:rPr>
              <w:t xml:space="preserve">按</w:t>
            </w:r>
            <w:r>
              <w:rPr>
                <w:rFonts w:hint="eastAsia" w:ascii="宋体" w:hAnsi="宋体" w:cs="宋体"/>
                <w:spacing w:val="-1"/>
                <w:sz w:val="24"/>
                <w:szCs w:val="24"/>
              </w:rPr>
              <w:t xml:space="preserve">照下列公</w:t>
            </w:r>
            <w:r>
              <w:rPr>
                <w:rFonts w:hint="eastAsia" w:ascii="宋体" w:hAnsi="宋体" w:cs="宋体"/>
                <w:sz w:val="24"/>
                <w:szCs w:val="24"/>
              </w:rPr>
              <w:t xml:space="preserve">式计算：投标报价得分=(评标基准价/投标报价)×30（小数点保留两位）</w:t>
            </w:r>
            <w:r/>
          </w:p>
        </w:tc>
        <w:tc>
          <w:tcPr>
            <w:tcW w:w="647" w:type="dxa"/>
            <w:vAlign w:val="center"/>
            <w:textDirection w:val="lrTb"/>
            <w:noWrap w:val="false"/>
          </w:tcPr>
          <w:p>
            <w:pPr>
              <w:jc w:val="center"/>
              <w:spacing w:line="264" w:lineRule="auto"/>
              <w:rPr>
                <w:rFonts w:hint="eastAsia" w:ascii="宋体" w:hAnsi="宋体" w:cs="宋体"/>
                <w:sz w:val="24"/>
                <w:szCs w:val="24"/>
              </w:rPr>
            </w:pPr>
            <w:r>
              <w:rPr>
                <w:rFonts w:hint="eastAsia" w:ascii="宋体" w:hAnsi="宋体" w:cs="宋体"/>
                <w:sz w:val="24"/>
                <w:szCs w:val="24"/>
              </w:rPr>
              <w:t xml:space="preserve">30</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2.1</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电梯主要部件</w:t>
            </w:r>
            <w:r/>
          </w:p>
        </w:tc>
        <w:tc>
          <w:tcPr>
            <w:tcW w:w="6330" w:type="dxa"/>
            <w:vAlign w:val="center"/>
            <w:textDirection w:val="lrTb"/>
            <w:noWrap w:val="false"/>
          </w:tcPr>
          <w:p>
            <w:pPr>
              <w:rPr>
                <w:rFonts w:hint="eastAsia" w:ascii="宋体" w:hAnsi="宋体" w:cs="仿宋"/>
                <w:bCs/>
                <w:sz w:val="24"/>
                <w:szCs w:val="24"/>
              </w:rPr>
            </w:pPr>
            <w:r>
              <w:rPr>
                <w:rFonts w:hint="eastAsia" w:ascii="宋体" w:hAnsi="宋体" w:cs="仿宋"/>
                <w:bCs/>
                <w:sz w:val="24"/>
                <w:szCs w:val="24"/>
              </w:rPr>
              <w:t xml:space="preserve">所投产品（需标明所投产品的品牌及相应的系列型号）的主要部件（曳引机、控制柜、限速器、缓冲器、安全钳、层门锁）为电梯制造商原厂原品牌，有一项不满足的扣1分，扣</w:t>
            </w:r>
            <w:r>
              <w:rPr>
                <w:rFonts w:hint="eastAsia" w:ascii="宋体" w:hAnsi="宋体" w:cs="仿宋"/>
                <w:bCs/>
                <w:sz w:val="24"/>
                <w:szCs w:val="24"/>
              </w:rPr>
              <w:t xml:space="preserve">完为止。（提供整机型式试验报告原件扫描上传至电子投标文件中，否则不予得分）</w:t>
            </w:r>
            <w:r/>
          </w:p>
        </w:tc>
        <w:tc>
          <w:tcPr>
            <w:tcW w:w="647" w:type="dxa"/>
            <w:vAlign w:val="center"/>
            <w:textDirection w:val="lrTb"/>
            <w:noWrap w:val="false"/>
          </w:tcPr>
          <w:p>
            <w:pPr>
              <w:jc w:val="center"/>
              <w:spacing w:before="68" w:line="264" w:lineRule="auto"/>
              <w:rPr>
                <w:rFonts w:hint="eastAsia" w:ascii="宋体" w:hAnsi="宋体" w:cs="宋体"/>
                <w:sz w:val="24"/>
                <w:szCs w:val="24"/>
              </w:rPr>
            </w:pPr>
            <w:r>
              <w:rPr>
                <w:rFonts w:hint="eastAsia" w:ascii="宋体" w:hAnsi="宋体" w:cs="宋体"/>
                <w:sz w:val="24"/>
                <w:szCs w:val="24"/>
              </w:rPr>
              <w:t xml:space="preserve">6</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2.2</w:t>
            </w:r>
            <w:r/>
          </w:p>
        </w:tc>
        <w:tc>
          <w:tcPr>
            <w:tcW w:w="1179" w:type="dxa"/>
            <w:vAlign w:val="center"/>
            <w:textDirection w:val="lrTb"/>
            <w:noWrap w:val="false"/>
          </w:tcPr>
          <w:p>
            <w:pPr>
              <w:jc w:val="center"/>
              <w:rPr>
                <w:rFonts w:hint="eastAsia" w:ascii="宋体" w:hAnsi="宋体" w:cs="宋体"/>
                <w:spacing w:val="-2"/>
                <w:sz w:val="24"/>
                <w:szCs w:val="24"/>
              </w:rPr>
            </w:pPr>
            <w:r>
              <w:rPr>
                <w:rFonts w:hint="eastAsia" w:ascii="宋体" w:hAnsi="宋体" w:cs="仿宋"/>
                <w:sz w:val="24"/>
                <w:szCs w:val="24"/>
              </w:rPr>
              <w:t xml:space="preserve">电梯门机系统或轿门开门装置性能</w:t>
            </w:r>
            <w:r/>
          </w:p>
        </w:tc>
        <w:tc>
          <w:tcPr>
            <w:tcW w:w="6330" w:type="dxa"/>
            <w:vAlign w:val="center"/>
            <w:textDirection w:val="lrTb"/>
            <w:noWrap w:val="false"/>
          </w:tcPr>
          <w:p>
            <w:pPr>
              <w:rPr>
                <w:rFonts w:hint="eastAsia" w:ascii="宋体" w:hAnsi="宋体" w:cs="宋体"/>
                <w:spacing w:val="-1"/>
                <w:sz w:val="24"/>
                <w:szCs w:val="24"/>
                <w:lang w:val="zh-CN"/>
              </w:rPr>
            </w:pPr>
            <w:r>
              <w:rPr>
                <w:rFonts w:hint="eastAsia" w:ascii="宋体" w:hAnsi="宋体" w:cs="仿宋"/>
                <w:bCs/>
                <w:sz w:val="24"/>
                <w:szCs w:val="24"/>
              </w:rPr>
              <w:t xml:space="preserve">投标产品(需标明所投产品的品牌及相应的系列型号)的电梯门机系统或轿门开门装置无故障运行试验次数，</w:t>
            </w:r>
            <w:r>
              <w:rPr>
                <w:rFonts w:ascii="宋体" w:hAnsi="宋体" w:cs="仿宋"/>
                <w:bCs/>
                <w:sz w:val="24"/>
                <w:szCs w:val="24"/>
              </w:rPr>
              <w:t xml:space="preserve">1350</w:t>
            </w:r>
            <w:r>
              <w:rPr>
                <w:rFonts w:hint="eastAsia" w:ascii="宋体" w:hAnsi="宋体" w:cs="仿宋"/>
                <w:bCs/>
                <w:sz w:val="24"/>
                <w:szCs w:val="24"/>
              </w:rPr>
              <w:t xml:space="preserve">万次及以上得</w:t>
            </w:r>
            <w:r>
              <w:rPr>
                <w:rFonts w:ascii="宋体" w:hAnsi="宋体" w:cs="仿宋"/>
                <w:bCs/>
                <w:sz w:val="24"/>
                <w:szCs w:val="24"/>
              </w:rPr>
              <w:t xml:space="preserve">3</w:t>
            </w:r>
            <w:r>
              <w:rPr>
                <w:rFonts w:hint="eastAsia" w:ascii="宋体" w:hAnsi="宋体" w:cs="仿宋"/>
                <w:bCs/>
                <w:sz w:val="24"/>
                <w:szCs w:val="24"/>
              </w:rPr>
              <w:t xml:space="preserve">分；</w:t>
            </w:r>
            <w:r>
              <w:rPr>
                <w:rFonts w:ascii="宋体" w:hAnsi="宋体" w:cs="仿宋"/>
                <w:bCs/>
                <w:sz w:val="24"/>
                <w:szCs w:val="24"/>
              </w:rPr>
              <w:t xml:space="preserve">1250</w:t>
            </w:r>
            <w:r>
              <w:rPr>
                <w:rFonts w:hint="eastAsia" w:ascii="宋体" w:hAnsi="宋体" w:cs="仿宋"/>
                <w:bCs/>
                <w:sz w:val="24"/>
                <w:szCs w:val="24"/>
              </w:rPr>
              <w:t xml:space="preserve">（含）-1350万次得2分，1250万次以下得</w:t>
            </w:r>
            <w:r>
              <w:rPr>
                <w:rFonts w:ascii="宋体" w:hAnsi="宋体" w:cs="仿宋"/>
                <w:bCs/>
                <w:sz w:val="24"/>
                <w:szCs w:val="24"/>
              </w:rPr>
              <w:t xml:space="preserve">1</w:t>
            </w:r>
            <w:r>
              <w:rPr>
                <w:rFonts w:hint="eastAsia" w:ascii="宋体" w:hAnsi="宋体" w:cs="仿宋"/>
                <w:bCs/>
                <w:sz w:val="24"/>
                <w:szCs w:val="24"/>
              </w:rPr>
              <w:t xml:space="preserve">分。(提供带CMA标识的检验报告原件扫描件上传至电子投标文件中，否则不予得分)</w:t>
            </w:r>
            <w:r/>
          </w:p>
        </w:tc>
        <w:tc>
          <w:tcPr>
            <w:tcW w:w="647" w:type="dxa"/>
            <w:vAlign w:val="center"/>
            <w:textDirection w:val="lrTb"/>
            <w:noWrap w:val="false"/>
          </w:tcPr>
          <w:p>
            <w:pPr>
              <w:jc w:val="center"/>
              <w:rPr>
                <w:rFonts w:hint="eastAsia" w:ascii="宋体" w:hAnsi="宋体" w:cs="宋体"/>
                <w:sz w:val="24"/>
                <w:szCs w:val="24"/>
              </w:rPr>
            </w:pPr>
            <w:r>
              <w:rPr>
                <w:rFonts w:ascii="宋体" w:hAnsi="宋体" w:cs="仿宋"/>
                <w:bCs/>
                <w:sz w:val="24"/>
                <w:szCs w:val="24"/>
              </w:rPr>
              <w:t xml:space="preserve">3</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2.3</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电梯曳引机制动器性能</w:t>
            </w:r>
            <w:r/>
          </w:p>
        </w:tc>
        <w:tc>
          <w:tcPr>
            <w:tcW w:w="6330" w:type="dxa"/>
            <w:vAlign w:val="center"/>
            <w:textDirection w:val="lrTb"/>
            <w:noWrap w:val="false"/>
          </w:tcPr>
          <w:p>
            <w:pPr>
              <w:rPr>
                <w:rFonts w:hint="eastAsia" w:ascii="宋体" w:hAnsi="宋体" w:cs="仿宋"/>
                <w:bCs/>
                <w:sz w:val="24"/>
                <w:szCs w:val="24"/>
              </w:rPr>
            </w:pPr>
            <w:r>
              <w:rPr>
                <w:rFonts w:hint="eastAsia" w:ascii="宋体" w:hAnsi="宋体" w:cs="仿宋"/>
                <w:bCs/>
                <w:sz w:val="24"/>
                <w:szCs w:val="24"/>
              </w:rPr>
              <w:t xml:space="preserve">所投产品（需标明所投产品的品牌及相应的系列型号）的曳引机制动器无故障运行试验次数，1</w:t>
            </w:r>
            <w:r>
              <w:rPr>
                <w:rFonts w:ascii="宋体" w:hAnsi="宋体" w:cs="仿宋"/>
                <w:bCs/>
                <w:sz w:val="24"/>
                <w:szCs w:val="24"/>
              </w:rPr>
              <w:t xml:space="preserve">8</w:t>
            </w:r>
            <w:r>
              <w:rPr>
                <w:rFonts w:hint="eastAsia" w:ascii="宋体" w:hAnsi="宋体" w:cs="仿宋"/>
                <w:bCs/>
                <w:sz w:val="24"/>
                <w:szCs w:val="24"/>
              </w:rPr>
              <w:t xml:space="preserve">00（含）万次以上得5</w:t>
            </w:r>
            <w:bookmarkStart w:id="234" w:name="OLE_LINK1"/>
            <w:r/>
            <w:bookmarkStart w:id="235" w:name="OLE_LINK2"/>
            <w:r>
              <w:rPr>
                <w:rFonts w:hint="eastAsia" w:ascii="宋体" w:hAnsi="宋体" w:cs="仿宋"/>
                <w:bCs/>
                <w:sz w:val="24"/>
                <w:szCs w:val="24"/>
              </w:rPr>
              <w:t xml:space="preserve">分；1</w:t>
            </w:r>
            <w:r>
              <w:rPr>
                <w:rFonts w:ascii="宋体" w:hAnsi="宋体" w:cs="仿宋"/>
                <w:bCs/>
                <w:sz w:val="24"/>
                <w:szCs w:val="24"/>
              </w:rPr>
              <w:t xml:space="preserve">5</w:t>
            </w:r>
            <w:r>
              <w:rPr>
                <w:rFonts w:hint="eastAsia" w:ascii="宋体" w:hAnsi="宋体" w:cs="仿宋"/>
                <w:bCs/>
                <w:sz w:val="24"/>
                <w:szCs w:val="24"/>
              </w:rPr>
              <w:t xml:space="preserve">00（含）-1800万次得3分，</w:t>
            </w:r>
            <w:bookmarkEnd w:id="234"/>
            <w:r/>
            <w:bookmarkEnd w:id="235"/>
            <w:r>
              <w:rPr>
                <w:rFonts w:hint="eastAsia" w:ascii="宋体" w:hAnsi="宋体" w:cs="仿宋"/>
                <w:bCs/>
                <w:sz w:val="24"/>
                <w:szCs w:val="24"/>
              </w:rPr>
              <w:t xml:space="preserve">1500万次以下得</w:t>
            </w:r>
            <w:r>
              <w:rPr>
                <w:rFonts w:ascii="宋体" w:hAnsi="宋体" w:cs="仿宋"/>
                <w:bCs/>
                <w:sz w:val="24"/>
                <w:szCs w:val="24"/>
              </w:rPr>
              <w:t xml:space="preserve">1</w:t>
            </w:r>
            <w:r>
              <w:rPr>
                <w:rFonts w:hint="eastAsia" w:ascii="宋体" w:hAnsi="宋体" w:cs="仿宋"/>
                <w:bCs/>
                <w:sz w:val="24"/>
                <w:szCs w:val="24"/>
              </w:rPr>
              <w:t xml:space="preserve">分。(提供带CMA标识的检验报告原件扫描件上传至电子投标文件中，否则不予得分）</w:t>
            </w:r>
            <w:r/>
          </w:p>
        </w:tc>
        <w:tc>
          <w:tcPr>
            <w:tcW w:w="647" w:type="dxa"/>
            <w:vAlign w:val="center"/>
            <w:textDirection w:val="lrTb"/>
            <w:noWrap w:val="false"/>
          </w:tcPr>
          <w:p>
            <w:pPr>
              <w:jc w:val="center"/>
              <w:rPr>
                <w:rFonts w:hint="eastAsia" w:ascii="宋体" w:hAnsi="宋体" w:cs="宋体"/>
                <w:spacing w:val="-2"/>
                <w:sz w:val="24"/>
                <w:szCs w:val="24"/>
              </w:rPr>
            </w:pPr>
            <w:r>
              <w:rPr>
                <w:rFonts w:ascii="宋体" w:hAnsi="宋体" w:cs="仿宋"/>
                <w:bCs/>
                <w:sz w:val="24"/>
                <w:szCs w:val="24"/>
              </w:rPr>
              <w:t xml:space="preserve">5</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2.4</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电梯光幕性能</w:t>
            </w:r>
            <w:r/>
          </w:p>
        </w:tc>
        <w:tc>
          <w:tcPr>
            <w:tcW w:w="6330" w:type="dxa"/>
            <w:vAlign w:val="center"/>
            <w:textDirection w:val="lrTb"/>
            <w:noWrap w:val="false"/>
          </w:tcPr>
          <w:p>
            <w:pPr>
              <w:rPr>
                <w:rFonts w:hint="eastAsia" w:ascii="宋体" w:hAnsi="宋体" w:cs="仿宋"/>
                <w:bCs/>
                <w:sz w:val="24"/>
                <w:szCs w:val="24"/>
              </w:rPr>
            </w:pPr>
            <w:r>
              <w:rPr>
                <w:rFonts w:hint="eastAsia" w:ascii="宋体" w:hAnsi="宋体" w:cs="仿宋"/>
                <w:bCs/>
                <w:sz w:val="24"/>
                <w:szCs w:val="24"/>
              </w:rPr>
              <w:t xml:space="preserve">所投产品（需标明所投产品的品牌及相应的系列型号）的光幕为电梯制造商原厂原品牌的得1分；光幕的光束数目≥2</w:t>
            </w:r>
            <w:r>
              <w:rPr>
                <w:rFonts w:ascii="宋体" w:hAnsi="宋体" w:cs="仿宋"/>
                <w:bCs/>
                <w:sz w:val="24"/>
                <w:szCs w:val="24"/>
              </w:rPr>
              <w:t xml:space="preserve">3</w:t>
            </w:r>
            <w:r>
              <w:rPr>
                <w:rFonts w:hint="eastAsia" w:ascii="宋体" w:hAnsi="宋体" w:cs="仿宋"/>
                <w:bCs/>
                <w:sz w:val="24"/>
                <w:szCs w:val="24"/>
              </w:rPr>
              <w:t xml:space="preserve">0得</w:t>
            </w:r>
            <w:r>
              <w:rPr>
                <w:rFonts w:ascii="宋体" w:hAnsi="宋体" w:cs="仿宋"/>
                <w:bCs/>
                <w:sz w:val="24"/>
                <w:szCs w:val="24"/>
              </w:rPr>
              <w:t xml:space="preserve">2</w:t>
            </w:r>
            <w:r>
              <w:rPr>
                <w:rFonts w:hint="eastAsia" w:ascii="宋体" w:hAnsi="宋体" w:cs="仿宋"/>
                <w:bCs/>
                <w:sz w:val="24"/>
                <w:szCs w:val="24"/>
              </w:rPr>
              <w:t xml:space="preserve">分，光幕的光束数目</w:t>
            </w:r>
            <w:r>
              <w:rPr>
                <w:rFonts w:hint="eastAsia" w:ascii="微软雅黑" w:hAnsi="微软雅黑" w:eastAsia="微软雅黑" w:cs="微软雅黑"/>
                <w:bCs/>
                <w:sz w:val="24"/>
                <w:szCs w:val="24"/>
              </w:rPr>
              <w:t xml:space="preserve">&lt;</w:t>
            </w:r>
            <w:r>
              <w:rPr>
                <w:rFonts w:hint="eastAsia" w:ascii="宋体" w:hAnsi="宋体" w:cs="仿宋"/>
                <w:bCs/>
                <w:sz w:val="24"/>
                <w:szCs w:val="24"/>
              </w:rPr>
              <w:t xml:space="preserve">2</w:t>
            </w:r>
            <w:r>
              <w:rPr>
                <w:rFonts w:ascii="宋体" w:hAnsi="宋体" w:cs="仿宋"/>
                <w:bCs/>
                <w:sz w:val="24"/>
                <w:szCs w:val="24"/>
              </w:rPr>
              <w:t xml:space="preserve">3</w:t>
            </w:r>
            <w:r>
              <w:rPr>
                <w:rFonts w:hint="eastAsia" w:ascii="宋体" w:hAnsi="宋体" w:cs="仿宋"/>
                <w:bCs/>
                <w:sz w:val="24"/>
                <w:szCs w:val="24"/>
              </w:rPr>
              <w:t xml:space="preserve">0得</w:t>
            </w:r>
            <w:r>
              <w:rPr>
                <w:rFonts w:hint="eastAsia"/>
              </w:rPr>
              <w:t xml:space="preserve">1</w:t>
            </w:r>
            <w:r>
              <w:rPr>
                <w:rFonts w:hint="eastAsia" w:ascii="宋体" w:hAnsi="宋体" w:cs="仿宋"/>
                <w:bCs/>
                <w:sz w:val="24"/>
                <w:szCs w:val="24"/>
              </w:rPr>
              <w:t xml:space="preserve">分；光幕防护等级≥IP65得2分，光幕防护等级</w:t>
            </w:r>
            <w:r>
              <w:rPr>
                <w:rFonts w:hint="eastAsia" w:ascii="微软雅黑" w:hAnsi="微软雅黑" w:eastAsia="微软雅黑" w:cs="微软雅黑"/>
                <w:bCs/>
                <w:sz w:val="24"/>
                <w:szCs w:val="24"/>
              </w:rPr>
              <w:t xml:space="preserve">&lt;</w:t>
            </w:r>
            <w:r>
              <w:rPr>
                <w:rFonts w:hint="eastAsia" w:ascii="宋体" w:hAnsi="宋体" w:cs="仿宋"/>
                <w:bCs/>
                <w:sz w:val="24"/>
                <w:szCs w:val="24"/>
              </w:rPr>
              <w:t xml:space="preserve">IP65得1分；本项最高分5分。</w:t>
            </w:r>
            <w:r>
              <w:rPr>
                <w:rFonts w:hint="eastAsia" w:ascii="宋体" w:hAnsi="宋体" w:cs="宋体"/>
                <w:spacing w:val="-1"/>
                <w:sz w:val="24"/>
                <w:szCs w:val="24"/>
              </w:rPr>
              <w:t xml:space="preserve">（提供带CMA标识的检验报告原件扫描件上传至电子投标文件中，否则不予得分）。</w:t>
            </w:r>
            <w:r/>
          </w:p>
        </w:tc>
        <w:tc>
          <w:tcPr>
            <w:tcW w:w="647" w:type="dxa"/>
            <w:vAlign w:val="center"/>
            <w:textDirection w:val="lrTb"/>
            <w:noWrap w:val="false"/>
          </w:tcPr>
          <w:p>
            <w:pPr>
              <w:jc w:val="center"/>
              <w:rPr>
                <w:rFonts w:hint="eastAsia" w:ascii="宋体" w:hAnsi="宋体" w:cs="宋体"/>
                <w:spacing w:val="-2"/>
                <w:sz w:val="24"/>
                <w:szCs w:val="24"/>
              </w:rPr>
            </w:pPr>
            <w:r>
              <w:rPr>
                <w:rFonts w:ascii="宋体" w:hAnsi="宋体" w:cs="仿宋"/>
                <w:bCs/>
                <w:sz w:val="24"/>
                <w:szCs w:val="24"/>
              </w:rPr>
              <w:t xml:space="preserve">5</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2.5</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电梯按钮性能</w:t>
            </w:r>
            <w:r/>
          </w:p>
        </w:tc>
        <w:tc>
          <w:tcPr>
            <w:tcW w:w="6330" w:type="dxa"/>
            <w:vAlign w:val="center"/>
            <w:textDirection w:val="lrTb"/>
            <w:noWrap w:val="false"/>
          </w:tcPr>
          <w:p>
            <w:pPr>
              <w:rPr>
                <w:rFonts w:hint="eastAsia" w:ascii="宋体" w:hAnsi="宋体" w:cs="宋体"/>
                <w:spacing w:val="-1"/>
                <w:sz w:val="24"/>
                <w:szCs w:val="24"/>
              </w:rPr>
            </w:pPr>
            <w:r>
              <w:rPr>
                <w:rFonts w:hint="eastAsia" w:ascii="宋体" w:hAnsi="宋体" w:cs="仿宋"/>
                <w:bCs/>
                <w:sz w:val="24"/>
                <w:szCs w:val="24"/>
              </w:rPr>
              <w:t xml:space="preserve">所投产品（需标明所投产品的品牌及相应的系列型号）</w:t>
            </w:r>
            <w:r>
              <w:rPr>
                <w:rFonts w:hint="eastAsia" w:ascii="宋体" w:hAnsi="宋体" w:cs="宋体"/>
                <w:spacing w:val="-1"/>
                <w:sz w:val="24"/>
                <w:szCs w:val="24"/>
              </w:rPr>
              <w:t xml:space="preserve">的电梯按钮通过耐久性试验，</w:t>
            </w:r>
            <w:r>
              <w:rPr>
                <w:rFonts w:hint="eastAsia" w:ascii="宋体" w:hAnsi="宋体" w:cs="仿宋"/>
                <w:bCs/>
                <w:sz w:val="24"/>
                <w:szCs w:val="24"/>
              </w:rPr>
              <w:t xml:space="preserve">动作寿命</w:t>
            </w:r>
            <w:r>
              <w:rPr>
                <w:rFonts w:ascii="宋体" w:hAnsi="宋体" w:cs="仿宋"/>
                <w:bCs/>
                <w:sz w:val="24"/>
                <w:szCs w:val="24"/>
              </w:rPr>
              <w:t xml:space="preserve">2000</w:t>
            </w:r>
            <w:r>
              <w:rPr>
                <w:rFonts w:hint="eastAsia" w:ascii="宋体" w:hAnsi="宋体" w:cs="仿宋"/>
                <w:bCs/>
                <w:sz w:val="24"/>
                <w:szCs w:val="24"/>
              </w:rPr>
              <w:t xml:space="preserve">（含）万次以上得5分；动作寿命1</w:t>
            </w:r>
            <w:r>
              <w:rPr>
                <w:rFonts w:ascii="宋体" w:hAnsi="宋体" w:cs="仿宋"/>
                <w:bCs/>
                <w:sz w:val="24"/>
                <w:szCs w:val="24"/>
              </w:rPr>
              <w:t xml:space="preserve">5</w:t>
            </w:r>
            <w:r>
              <w:rPr>
                <w:rFonts w:hint="eastAsia" w:ascii="宋体" w:hAnsi="宋体" w:cs="仿宋"/>
                <w:bCs/>
                <w:sz w:val="24"/>
                <w:szCs w:val="24"/>
              </w:rPr>
              <w:t xml:space="preserve">00（含）-</w:t>
            </w:r>
            <w:r>
              <w:rPr>
                <w:rFonts w:ascii="宋体" w:hAnsi="宋体" w:cs="仿宋"/>
                <w:bCs/>
                <w:sz w:val="24"/>
                <w:szCs w:val="24"/>
              </w:rPr>
              <w:t xml:space="preserve">20</w:t>
            </w:r>
            <w:r>
              <w:rPr>
                <w:rFonts w:hint="eastAsia" w:ascii="宋体" w:hAnsi="宋体" w:cs="仿宋"/>
                <w:bCs/>
                <w:sz w:val="24"/>
                <w:szCs w:val="24"/>
              </w:rPr>
              <w:t xml:space="preserve">00万次得3分；动作寿命</w:t>
            </w:r>
            <w:r>
              <w:rPr>
                <w:rFonts w:ascii="宋体" w:hAnsi="宋体" w:cs="仿宋"/>
                <w:bCs/>
                <w:sz w:val="24"/>
                <w:szCs w:val="24"/>
              </w:rPr>
              <w:t xml:space="preserve">15</w:t>
            </w:r>
            <w:r>
              <w:rPr>
                <w:rFonts w:hint="eastAsia" w:ascii="宋体" w:hAnsi="宋体" w:cs="仿宋"/>
                <w:bCs/>
                <w:sz w:val="24"/>
                <w:szCs w:val="24"/>
              </w:rPr>
              <w:t xml:space="preserve">00万次以下得</w:t>
            </w:r>
            <w:r>
              <w:rPr>
                <w:rFonts w:ascii="宋体" w:hAnsi="宋体" w:cs="仿宋"/>
                <w:bCs/>
                <w:sz w:val="24"/>
                <w:szCs w:val="24"/>
              </w:rPr>
              <w:t xml:space="preserve">1</w:t>
            </w:r>
            <w:r>
              <w:rPr>
                <w:rFonts w:hint="eastAsia" w:ascii="宋体" w:hAnsi="宋体" w:cs="仿宋"/>
                <w:bCs/>
                <w:sz w:val="24"/>
                <w:szCs w:val="24"/>
              </w:rPr>
              <w:t xml:space="preserve">分。</w:t>
            </w:r>
            <w:r>
              <w:rPr>
                <w:rFonts w:hint="eastAsia" w:ascii="宋体" w:hAnsi="宋体" w:cs="宋体"/>
                <w:spacing w:val="-1"/>
                <w:sz w:val="24"/>
                <w:szCs w:val="24"/>
              </w:rPr>
              <w:t xml:space="preserve">（提供带CMA标识的检验报告原件扫描件上传至电子投标文件中，否则不予得分）。</w:t>
            </w:r>
            <w:r/>
          </w:p>
        </w:tc>
        <w:tc>
          <w:tcPr>
            <w:tcW w:w="647" w:type="dxa"/>
            <w:vAlign w:val="center"/>
            <w:textDirection w:val="lrTb"/>
            <w:noWrap w:val="false"/>
          </w:tcPr>
          <w:p>
            <w:pPr>
              <w:jc w:val="center"/>
              <w:spacing w:before="68" w:line="264" w:lineRule="auto"/>
              <w:rPr>
                <w:rFonts w:hint="eastAsia" w:ascii="宋体" w:hAnsi="宋体" w:cs="仿宋"/>
                <w:bCs/>
                <w:sz w:val="24"/>
                <w:szCs w:val="24"/>
              </w:rPr>
            </w:pPr>
            <w:r>
              <w:rPr>
                <w:rFonts w:hint="eastAsia" w:ascii="宋体" w:hAnsi="宋体" w:cs="宋体"/>
                <w:spacing w:val="-2"/>
                <w:sz w:val="24"/>
                <w:szCs w:val="24"/>
              </w:rPr>
              <w:t xml:space="preserve">5</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3.1</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技术方案       </w:t>
            </w:r>
            <w:r/>
          </w:p>
        </w:tc>
        <w:tc>
          <w:tcPr>
            <w:tcW w:w="6330" w:type="dxa"/>
            <w:vAlign w:val="center"/>
            <w:textDirection w:val="lrTb"/>
            <w:noWrap w:val="false"/>
          </w:tcPr>
          <w:p>
            <w:pPr>
              <w:jc w:val="left"/>
              <w:spacing w:line="264" w:lineRule="auto"/>
              <w:widowControl/>
              <w:rPr>
                <w:rFonts w:hint="eastAsia" w:ascii="宋体" w:hAnsi="宋体"/>
                <w:bCs/>
                <w:sz w:val="24"/>
                <w:szCs w:val="24"/>
              </w:rPr>
            </w:pPr>
            <w:r>
              <w:rPr>
                <w:rFonts w:hint="eastAsia" w:ascii="宋体" w:hAnsi="宋体"/>
                <w:bCs/>
                <w:sz w:val="24"/>
                <w:szCs w:val="24"/>
              </w:rPr>
              <w:t xml:space="preserve">投标人应根据招标要求及项目实施具体需要，提供本项目的技术方案，包括</w:t>
            </w:r>
            <w:r>
              <w:rPr>
                <w:rFonts w:hint="eastAsia" w:ascii="宋体" w:hAnsi="宋体"/>
                <w:bCs/>
                <w:sz w:val="24"/>
                <w:szCs w:val="24"/>
                <w:lang w:val="zh-CN"/>
              </w:rPr>
              <w:t xml:space="preserve">提供完整、详细、可行的主要技术说明方案</w:t>
            </w:r>
            <w:r>
              <w:rPr>
                <w:rFonts w:hint="eastAsia" w:ascii="宋体" w:hAnsi="宋体"/>
                <w:bCs/>
                <w:sz w:val="24"/>
                <w:szCs w:val="24"/>
              </w:rPr>
              <w:t xml:space="preserve">、深化设计图纸及提供各项详细技术参数等。</w:t>
            </w:r>
            <w:r/>
          </w:p>
          <w:p>
            <w:pPr>
              <w:rPr>
                <w:rFonts w:hint="eastAsia" w:ascii="宋体" w:hAnsi="宋体" w:cs="仿宋"/>
                <w:bCs/>
                <w:sz w:val="24"/>
                <w:szCs w:val="24"/>
              </w:rPr>
            </w:pPr>
            <w:r>
              <w:rPr>
                <w:rFonts w:hint="eastAsia" w:ascii="宋体" w:hAnsi="宋体"/>
                <w:bCs/>
                <w:sz w:val="24"/>
                <w:szCs w:val="24"/>
              </w:rPr>
              <w:t xml:space="preserve">优于采购需求的得4分，符合采购需求的得2分，不符合采购需求的不得分。</w:t>
            </w:r>
            <w:r/>
          </w:p>
        </w:tc>
        <w:tc>
          <w:tcPr>
            <w:tcW w:w="647" w:type="dxa"/>
            <w:vAlign w:val="center"/>
            <w:textDirection w:val="lrTb"/>
            <w:noWrap w:val="false"/>
          </w:tcPr>
          <w:p>
            <w:pPr>
              <w:jc w:val="center"/>
              <w:spacing w:before="68" w:line="264" w:lineRule="auto"/>
              <w:rPr>
                <w:rFonts w:hint="eastAsia" w:ascii="宋体" w:hAnsi="宋体" w:cs="宋体"/>
                <w:sz w:val="24"/>
                <w:szCs w:val="24"/>
              </w:rPr>
            </w:pPr>
            <w:r>
              <w:rPr>
                <w:rFonts w:hint="eastAsia" w:ascii="宋体" w:hAnsi="宋体" w:cs="宋体"/>
                <w:sz w:val="24"/>
                <w:szCs w:val="24"/>
              </w:rPr>
              <w:t xml:space="preserve">4</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3.2</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施工方案与重难点分析</w:t>
            </w:r>
            <w:r/>
          </w:p>
        </w:tc>
        <w:tc>
          <w:tcPr>
            <w:tcW w:w="6330" w:type="dxa"/>
            <w:vAlign w:val="center"/>
            <w:textDirection w:val="lrTb"/>
            <w:noWrap w:val="false"/>
          </w:tcPr>
          <w:p>
            <w:pPr>
              <w:jc w:val="left"/>
              <w:spacing w:line="264" w:lineRule="auto"/>
              <w:widowControl/>
              <w:rPr>
                <w:rFonts w:hint="eastAsia" w:ascii="宋体" w:hAnsi="宋体"/>
                <w:bCs/>
                <w:sz w:val="24"/>
                <w:szCs w:val="24"/>
              </w:rPr>
            </w:pPr>
            <w:r>
              <w:rPr>
                <w:rFonts w:ascii="宋体" w:hAnsi="宋体"/>
                <w:bCs/>
                <w:sz w:val="24"/>
                <w:szCs w:val="24"/>
              </w:rPr>
              <w:t xml:space="preserve">投标人应结合招标要求及项目实施实际需求，编制完整的重难点分析专项方案，据此进行综合评审。</w:t>
            </w:r>
            <w:r/>
          </w:p>
          <w:p>
            <w:pPr>
              <w:rPr>
                <w:rFonts w:hint="eastAsia" w:ascii="宋体" w:hAnsi="宋体" w:cs="仿宋"/>
                <w:bCs/>
                <w:sz w:val="24"/>
                <w:szCs w:val="24"/>
              </w:rPr>
            </w:pPr>
            <w:r>
              <w:rPr>
                <w:rFonts w:hint="eastAsia" w:ascii="宋体" w:hAnsi="宋体"/>
                <w:bCs/>
                <w:sz w:val="24"/>
                <w:szCs w:val="24"/>
              </w:rPr>
              <w:t xml:space="preserve">优于采购需求的得4分，符合采购需求的得2分，不符合采购需求的不得分。</w:t>
            </w:r>
            <w:r/>
          </w:p>
        </w:tc>
        <w:tc>
          <w:tcPr>
            <w:tcW w:w="647" w:type="dxa"/>
            <w:vAlign w:val="center"/>
            <w:textDirection w:val="lrTb"/>
            <w:noWrap w:val="false"/>
          </w:tcPr>
          <w:p>
            <w:pPr>
              <w:jc w:val="center"/>
              <w:spacing w:before="68" w:line="264" w:lineRule="auto"/>
              <w:rPr>
                <w:rFonts w:hint="eastAsia" w:ascii="宋体" w:hAnsi="宋体" w:cs="宋体"/>
                <w:sz w:val="24"/>
                <w:szCs w:val="24"/>
              </w:rPr>
            </w:pPr>
            <w:r>
              <w:rPr>
                <w:rFonts w:hint="eastAsia" w:ascii="宋体" w:hAnsi="宋体" w:cs="仿宋"/>
                <w:bCs/>
                <w:sz w:val="24"/>
                <w:szCs w:val="24"/>
              </w:rPr>
              <w:t xml:space="preserve">4</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3.3</w:t>
            </w:r>
            <w:r/>
          </w:p>
        </w:tc>
        <w:tc>
          <w:tcPr>
            <w:tcW w:w="1179" w:type="dxa"/>
            <w:vAlign w:val="center"/>
            <w:textDirection w:val="lrTb"/>
            <w:noWrap w:val="false"/>
          </w:tcPr>
          <w:p>
            <w:pPr>
              <w:jc w:val="center"/>
              <w:rPr>
                <w:rFonts w:hint="eastAsia" w:ascii="宋体" w:hAnsi="宋体" w:cs="仿宋"/>
                <w:sz w:val="24"/>
                <w:szCs w:val="24"/>
              </w:rPr>
            </w:pPr>
            <w:r>
              <w:rPr>
                <w:rFonts w:ascii="宋体" w:hAnsi="宋体" w:cs="宋体"/>
                <w:sz w:val="24"/>
                <w:szCs w:val="24"/>
              </w:rPr>
              <w:t xml:space="preserve">质量保证及质量控制方案</w:t>
            </w:r>
            <w:r/>
          </w:p>
        </w:tc>
        <w:tc>
          <w:tcPr>
            <w:tcW w:w="6330" w:type="dxa"/>
            <w:vAlign w:val="center"/>
            <w:textDirection w:val="lrTb"/>
            <w:noWrap w:val="false"/>
          </w:tcPr>
          <w:p>
            <w:pPr>
              <w:jc w:val="left"/>
              <w:spacing w:line="264" w:lineRule="auto"/>
              <w:widowControl/>
              <w:rPr>
                <w:rFonts w:hint="eastAsia" w:ascii="宋体" w:hAnsi="宋体"/>
                <w:bCs/>
                <w:sz w:val="24"/>
                <w:szCs w:val="24"/>
              </w:rPr>
            </w:pPr>
            <w:r>
              <w:rPr>
                <w:rFonts w:ascii="宋体" w:hAnsi="宋体"/>
                <w:bCs/>
                <w:sz w:val="24"/>
                <w:szCs w:val="24"/>
              </w:rPr>
              <w:t xml:space="preserve">投标人应结合招标要求及项目实际</w:t>
            </w:r>
            <w:r>
              <w:rPr>
                <w:rFonts w:hint="eastAsia" w:ascii="宋体" w:hAnsi="宋体"/>
                <w:bCs/>
                <w:sz w:val="24"/>
                <w:szCs w:val="24"/>
              </w:rPr>
              <w:t xml:space="preserve">需求</w:t>
            </w:r>
            <w:r>
              <w:rPr>
                <w:rFonts w:ascii="宋体" w:hAnsi="宋体"/>
                <w:bCs/>
                <w:sz w:val="24"/>
                <w:szCs w:val="24"/>
              </w:rPr>
              <w:t xml:space="preserve">，编制</w:t>
            </w:r>
            <w:r>
              <w:rPr>
                <w:rFonts w:hint="eastAsia" w:ascii="宋体" w:hAnsi="宋体"/>
                <w:bCs/>
                <w:sz w:val="24"/>
                <w:szCs w:val="24"/>
              </w:rPr>
              <w:t xml:space="preserve">科学合理的质量保证及质量控制</w:t>
            </w:r>
            <w:r>
              <w:rPr>
                <w:rFonts w:ascii="宋体" w:hAnsi="宋体"/>
                <w:bCs/>
                <w:sz w:val="24"/>
                <w:szCs w:val="24"/>
              </w:rPr>
              <w:t xml:space="preserve">方案，据此进行综合评审。</w:t>
            </w:r>
            <w:r/>
          </w:p>
          <w:p>
            <w:pPr>
              <w:rPr>
                <w:rFonts w:hint="eastAsia" w:ascii="宋体" w:hAnsi="宋体" w:cs="仿宋"/>
                <w:bCs/>
                <w:sz w:val="24"/>
                <w:szCs w:val="24"/>
              </w:rPr>
            </w:pPr>
            <w:r>
              <w:rPr>
                <w:rFonts w:hint="eastAsia" w:ascii="宋体" w:hAnsi="宋体" w:cs="宋体"/>
                <w:sz w:val="24"/>
                <w:szCs w:val="24"/>
              </w:rPr>
              <w:t xml:space="preserve">优于采购需求的得4分，符合采购需求的得2分，不符合采购需求的不得分。</w:t>
            </w:r>
            <w:r/>
          </w:p>
        </w:tc>
        <w:tc>
          <w:tcPr>
            <w:tcW w:w="647" w:type="dxa"/>
            <w:vAlign w:val="center"/>
            <w:textDirection w:val="lrTb"/>
            <w:noWrap w:val="false"/>
          </w:tcPr>
          <w:p>
            <w:pPr>
              <w:jc w:val="center"/>
              <w:spacing w:before="68" w:line="264" w:lineRule="auto"/>
              <w:rPr>
                <w:rFonts w:hint="eastAsia" w:ascii="宋体" w:hAnsi="宋体" w:cs="宋体"/>
                <w:sz w:val="24"/>
                <w:szCs w:val="24"/>
              </w:rPr>
            </w:pPr>
            <w:r>
              <w:rPr>
                <w:rFonts w:hint="eastAsia" w:ascii="宋体" w:hAnsi="宋体" w:cs="仿宋"/>
                <w:bCs/>
                <w:sz w:val="24"/>
                <w:szCs w:val="24"/>
              </w:rPr>
              <w:t xml:space="preserve">4</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3.4</w:t>
            </w:r>
            <w:r/>
          </w:p>
        </w:tc>
        <w:tc>
          <w:tcPr>
            <w:tcW w:w="1179" w:type="dxa"/>
            <w:vAlign w:val="center"/>
            <w:textDirection w:val="lrTb"/>
            <w:noWrap w:val="false"/>
          </w:tcPr>
          <w:p>
            <w:pPr>
              <w:jc w:val="center"/>
              <w:rPr>
                <w:rFonts w:hint="eastAsia" w:ascii="宋体" w:hAnsi="宋体"/>
                <w:spacing w:val="-3"/>
                <w:sz w:val="24"/>
                <w:szCs w:val="24"/>
              </w:rPr>
            </w:pPr>
            <w:r>
              <w:rPr>
                <w:rFonts w:hint="eastAsia" w:ascii="宋体" w:hAnsi="宋体" w:cs="仿宋"/>
                <w:sz w:val="24"/>
                <w:szCs w:val="24"/>
              </w:rPr>
              <w:t xml:space="preserve">进度控制方案</w:t>
            </w:r>
            <w:r/>
          </w:p>
        </w:tc>
        <w:tc>
          <w:tcPr>
            <w:tcW w:w="6330" w:type="dxa"/>
            <w:vAlign w:val="center"/>
            <w:textDirection w:val="lrTb"/>
            <w:noWrap w:val="false"/>
          </w:tcPr>
          <w:p>
            <w:pPr>
              <w:jc w:val="left"/>
              <w:spacing w:line="264" w:lineRule="auto"/>
              <w:widowControl/>
              <w:rPr>
                <w:rFonts w:hint="eastAsia" w:ascii="宋体" w:hAnsi="宋体"/>
                <w:bCs/>
                <w:sz w:val="24"/>
                <w:szCs w:val="24"/>
              </w:rPr>
            </w:pPr>
            <w:r>
              <w:rPr>
                <w:rFonts w:ascii="宋体" w:hAnsi="宋体"/>
                <w:bCs/>
                <w:sz w:val="24"/>
                <w:szCs w:val="24"/>
              </w:rPr>
              <w:t xml:space="preserve">投标人应结合招标要求及项目实际</w:t>
            </w:r>
            <w:r>
              <w:rPr>
                <w:rFonts w:hint="eastAsia" w:ascii="宋体" w:hAnsi="宋体"/>
                <w:bCs/>
                <w:sz w:val="24"/>
                <w:szCs w:val="24"/>
              </w:rPr>
              <w:t xml:space="preserve">需求</w:t>
            </w:r>
            <w:r>
              <w:rPr>
                <w:rFonts w:ascii="宋体" w:hAnsi="宋体"/>
                <w:bCs/>
                <w:sz w:val="24"/>
                <w:szCs w:val="24"/>
              </w:rPr>
              <w:t xml:space="preserve">，编制</w:t>
            </w:r>
            <w:r>
              <w:rPr>
                <w:rFonts w:hint="eastAsia" w:ascii="宋体" w:hAnsi="宋体"/>
                <w:bCs/>
                <w:sz w:val="24"/>
                <w:szCs w:val="24"/>
              </w:rPr>
              <w:t xml:space="preserve">科学合理的项目进度控制</w:t>
            </w:r>
            <w:r>
              <w:rPr>
                <w:rFonts w:ascii="宋体" w:hAnsi="宋体"/>
                <w:bCs/>
                <w:sz w:val="24"/>
                <w:szCs w:val="24"/>
              </w:rPr>
              <w:t xml:space="preserve">方案，据此进行综合评审。</w:t>
            </w:r>
            <w:r/>
          </w:p>
          <w:p>
            <w:pPr>
              <w:rPr>
                <w:rFonts w:hint="eastAsia" w:ascii="宋体" w:hAnsi="宋体" w:cs="宋体"/>
                <w:sz w:val="24"/>
                <w:szCs w:val="24"/>
                <w:lang w:val="zh-CN"/>
              </w:rPr>
            </w:pPr>
            <w:r>
              <w:rPr>
                <w:rFonts w:hint="eastAsia" w:ascii="宋体" w:hAnsi="宋体" w:cs="宋体"/>
                <w:sz w:val="24"/>
                <w:szCs w:val="24"/>
              </w:rPr>
              <w:t xml:space="preserve">优于采购需求的得4分，符合采购需求的得2分，不符合采购需求的不得分。</w:t>
            </w:r>
            <w:r/>
          </w:p>
        </w:tc>
        <w:tc>
          <w:tcPr>
            <w:tcW w:w="647" w:type="dxa"/>
            <w:vAlign w:val="center"/>
            <w:textDirection w:val="lrTb"/>
            <w:noWrap w:val="false"/>
          </w:tcPr>
          <w:p>
            <w:pPr>
              <w:jc w:val="center"/>
              <w:spacing w:before="68" w:line="264" w:lineRule="auto"/>
              <w:rPr>
                <w:rFonts w:hint="eastAsia" w:ascii="宋体" w:hAnsi="宋体" w:cs="宋体"/>
                <w:sz w:val="24"/>
                <w:szCs w:val="24"/>
              </w:rPr>
            </w:pPr>
            <w:r>
              <w:rPr>
                <w:rFonts w:hint="eastAsia" w:ascii="宋体" w:hAnsi="宋体" w:cs="仿宋"/>
                <w:bCs/>
                <w:sz w:val="24"/>
                <w:szCs w:val="24"/>
              </w:rPr>
              <w:t xml:space="preserve">4</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3.5</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安装调试方案</w:t>
            </w:r>
            <w:r/>
          </w:p>
        </w:tc>
        <w:tc>
          <w:tcPr>
            <w:tcW w:w="6330" w:type="dxa"/>
            <w:vAlign w:val="center"/>
            <w:textDirection w:val="lrTb"/>
            <w:noWrap w:val="false"/>
          </w:tcPr>
          <w:p>
            <w:pPr>
              <w:jc w:val="left"/>
              <w:spacing w:line="264" w:lineRule="auto"/>
              <w:widowControl/>
              <w:rPr>
                <w:rFonts w:hint="eastAsia" w:ascii="宋体" w:hAnsi="宋体" w:cs="仿宋"/>
                <w:bCs/>
                <w:sz w:val="24"/>
                <w:szCs w:val="24"/>
              </w:rPr>
            </w:pPr>
            <w:r>
              <w:rPr>
                <w:rFonts w:hint="eastAsia" w:ascii="宋体" w:hAnsi="宋体" w:cs="仿宋"/>
                <w:bCs/>
                <w:sz w:val="24"/>
                <w:szCs w:val="24"/>
              </w:rPr>
              <w:t xml:space="preserve">投标人应根据招标要求及项目实施需要，提供完整、详细、可行的安装调试方案，据此进行综合评审。</w:t>
            </w:r>
            <w:r/>
          </w:p>
          <w:p>
            <w:pPr>
              <w:rPr>
                <w:rFonts w:hint="eastAsia" w:ascii="宋体" w:hAnsi="宋体" w:cs="仿宋"/>
                <w:bCs/>
                <w:sz w:val="24"/>
                <w:szCs w:val="24"/>
              </w:rPr>
            </w:pPr>
            <w:r>
              <w:rPr>
                <w:rFonts w:hint="eastAsia" w:ascii="宋体" w:hAnsi="宋体"/>
                <w:bCs/>
                <w:sz w:val="24"/>
                <w:szCs w:val="24"/>
              </w:rPr>
              <w:t xml:space="preserve">优于采购需求的得4分，符合采购需求的得2分，不符合采购需求的不得分。</w:t>
            </w:r>
            <w:r/>
          </w:p>
        </w:tc>
        <w:tc>
          <w:tcPr>
            <w:tcW w:w="647" w:type="dxa"/>
            <w:vAlign w:val="center"/>
            <w:textDirection w:val="lrTb"/>
            <w:noWrap w:val="false"/>
          </w:tcPr>
          <w:p>
            <w:pPr>
              <w:jc w:val="center"/>
              <w:spacing w:before="68" w:line="264" w:lineRule="auto"/>
              <w:rPr>
                <w:rFonts w:hint="eastAsia" w:ascii="宋体" w:hAnsi="宋体" w:cs="宋体"/>
                <w:sz w:val="24"/>
                <w:szCs w:val="24"/>
              </w:rPr>
            </w:pPr>
            <w:r>
              <w:rPr>
                <w:rFonts w:hint="eastAsia" w:ascii="宋体" w:hAnsi="宋体" w:cs="仿宋"/>
                <w:bCs/>
                <w:sz w:val="24"/>
                <w:szCs w:val="24"/>
              </w:rPr>
              <w:t xml:space="preserve">4</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3.6</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安全文明施工方案</w:t>
            </w:r>
            <w:r/>
          </w:p>
        </w:tc>
        <w:tc>
          <w:tcPr>
            <w:tcW w:w="6330" w:type="dxa"/>
            <w:vAlign w:val="center"/>
            <w:textDirection w:val="lrTb"/>
            <w:noWrap w:val="false"/>
          </w:tcPr>
          <w:p>
            <w:pPr>
              <w:jc w:val="left"/>
              <w:spacing w:line="264" w:lineRule="auto"/>
              <w:widowControl/>
              <w:rPr>
                <w:rFonts w:hint="eastAsia" w:ascii="宋体" w:hAnsi="宋体" w:cs="仿宋"/>
                <w:bCs/>
                <w:sz w:val="24"/>
                <w:szCs w:val="24"/>
              </w:rPr>
            </w:pPr>
            <w:r>
              <w:rPr>
                <w:rFonts w:hint="eastAsia" w:ascii="宋体" w:hAnsi="宋体" w:cs="仿宋"/>
                <w:bCs/>
                <w:sz w:val="24"/>
                <w:szCs w:val="24"/>
              </w:rPr>
              <w:t xml:space="preserve">投标人应根据招标要求及项目实际需要，编制完整详实、切实可行的安全文明施工专项方案，据此进行综合评审。</w:t>
            </w:r>
            <w:r/>
          </w:p>
          <w:p>
            <w:pPr>
              <w:rPr>
                <w:rFonts w:hint="eastAsia" w:ascii="宋体" w:hAnsi="宋体" w:cs="仿宋"/>
                <w:bCs/>
                <w:sz w:val="24"/>
                <w:szCs w:val="24"/>
              </w:rPr>
            </w:pPr>
            <w:r>
              <w:rPr>
                <w:rFonts w:hint="eastAsia" w:ascii="宋体" w:hAnsi="宋体"/>
                <w:bCs/>
                <w:sz w:val="24"/>
                <w:szCs w:val="24"/>
              </w:rPr>
              <w:t xml:space="preserve">优于采购需求的得4分，符合采购需求的得2分，不符合采购需求的不得分。</w:t>
            </w:r>
            <w:r/>
          </w:p>
        </w:tc>
        <w:tc>
          <w:tcPr>
            <w:tcW w:w="647" w:type="dxa"/>
            <w:vAlign w:val="center"/>
            <w:textDirection w:val="lrTb"/>
            <w:noWrap w:val="false"/>
          </w:tcPr>
          <w:p>
            <w:pPr>
              <w:jc w:val="center"/>
              <w:spacing w:before="68" w:line="264" w:lineRule="auto"/>
              <w:rPr>
                <w:rFonts w:hint="eastAsia" w:ascii="宋体" w:hAnsi="宋体" w:cs="宋体"/>
                <w:sz w:val="24"/>
                <w:szCs w:val="24"/>
              </w:rPr>
            </w:pPr>
            <w:r>
              <w:rPr>
                <w:rFonts w:hint="eastAsia" w:ascii="宋体" w:hAnsi="宋体" w:cs="仿宋"/>
                <w:bCs/>
                <w:sz w:val="24"/>
                <w:szCs w:val="24"/>
              </w:rPr>
              <w:t xml:space="preserve">4</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3.7</w:t>
            </w:r>
            <w:r/>
          </w:p>
        </w:tc>
        <w:tc>
          <w:tcPr>
            <w:tcW w:w="1179" w:type="dxa"/>
            <w:vAlign w:val="center"/>
            <w:textDirection w:val="lrTb"/>
            <w:noWrap w:val="false"/>
          </w:tcPr>
          <w:p>
            <w:pPr>
              <w:jc w:val="center"/>
              <w:rPr>
                <w:rFonts w:hint="eastAsia" w:ascii="宋体" w:hAnsi="宋体" w:cs="宋体"/>
                <w:spacing w:val="-2"/>
                <w:sz w:val="24"/>
                <w:szCs w:val="24"/>
              </w:rPr>
            </w:pPr>
            <w:r>
              <w:rPr>
                <w:rFonts w:hint="eastAsia" w:ascii="宋体" w:hAnsi="宋体" w:cs="仿宋"/>
                <w:sz w:val="24"/>
                <w:szCs w:val="24"/>
              </w:rPr>
              <w:t xml:space="preserve">履约及验收方案</w:t>
            </w:r>
            <w:r/>
          </w:p>
        </w:tc>
        <w:tc>
          <w:tcPr>
            <w:tcW w:w="6330" w:type="dxa"/>
            <w:vAlign w:val="center"/>
            <w:textDirection w:val="lrTb"/>
            <w:noWrap w:val="false"/>
          </w:tcPr>
          <w:p>
            <w:pPr>
              <w:pStyle w:val="964"/>
              <w:ind w:left="0"/>
              <w:rPr>
                <w:rFonts w:ascii="宋体" w:hAnsi="宋体"/>
                <w:bCs/>
                <w:sz w:val="24"/>
                <w:szCs w:val="24"/>
                <w:lang w:val="en-US"/>
              </w:rPr>
            </w:pPr>
            <w:r>
              <w:rPr>
                <w:rFonts w:hint="eastAsia" w:ascii="宋体" w:hAnsi="宋体" w:eastAsia="宋体"/>
                <w:bCs/>
                <w:sz w:val="24"/>
                <w:szCs w:val="24"/>
                <w:lang w:val="en-US"/>
              </w:rPr>
              <w:t xml:space="preserve">投标人应根据招标要求及项目实施具体需要，提供本项目的履约验收方案</w:t>
            </w:r>
            <w:r>
              <w:rPr>
                <w:rFonts w:hint="eastAsia" w:ascii="宋体" w:hAnsi="宋体" w:eastAsia="宋体" w:cs="仿宋"/>
                <w:bCs/>
                <w:sz w:val="24"/>
                <w:szCs w:val="24"/>
              </w:rPr>
              <w:t xml:space="preserve">，据此进行综合评审。</w:t>
            </w:r>
            <w:r/>
          </w:p>
          <w:p>
            <w:pPr>
              <w:jc w:val="left"/>
              <w:spacing w:line="264" w:lineRule="auto"/>
              <w:widowControl/>
              <w:rPr>
                <w:rFonts w:hint="eastAsia" w:ascii="宋体" w:hAnsi="宋体"/>
                <w:bCs/>
                <w:sz w:val="24"/>
                <w:szCs w:val="24"/>
                <w:lang w:val="zh-CN"/>
              </w:rPr>
            </w:pPr>
            <w:r>
              <w:rPr>
                <w:rFonts w:hint="eastAsia" w:ascii="宋体" w:hAnsi="宋体"/>
                <w:bCs/>
                <w:sz w:val="24"/>
                <w:szCs w:val="24"/>
              </w:rPr>
              <w:t xml:space="preserve">优于采购需求的得4分，符合采购需求的得2分，不符合采购需求的不得分。</w:t>
            </w:r>
            <w:r/>
          </w:p>
        </w:tc>
        <w:tc>
          <w:tcPr>
            <w:tcW w:w="647" w:type="dxa"/>
            <w:vAlign w:val="center"/>
            <w:textDirection w:val="lrTb"/>
            <w:noWrap w:val="false"/>
          </w:tcPr>
          <w:p>
            <w:pPr>
              <w:jc w:val="center"/>
              <w:spacing w:before="68" w:line="264" w:lineRule="auto"/>
              <w:rPr>
                <w:rFonts w:hint="eastAsia" w:ascii="宋体" w:hAnsi="宋体" w:cs="宋体"/>
                <w:sz w:val="24"/>
                <w:szCs w:val="24"/>
              </w:rPr>
            </w:pPr>
            <w:r>
              <w:rPr>
                <w:rFonts w:hint="eastAsia" w:ascii="宋体" w:hAnsi="宋体" w:cs="仿宋"/>
                <w:bCs/>
                <w:sz w:val="24"/>
                <w:szCs w:val="24"/>
              </w:rPr>
              <w:t xml:space="preserve">4</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3.8</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售后及质保服务方 案</w:t>
            </w:r>
            <w:r/>
          </w:p>
        </w:tc>
        <w:tc>
          <w:tcPr>
            <w:tcW w:w="6330" w:type="dxa"/>
            <w:vAlign w:val="center"/>
            <w:textDirection w:val="lrTb"/>
            <w:noWrap w:val="false"/>
          </w:tcPr>
          <w:p>
            <w:pPr>
              <w:rPr>
                <w:rFonts w:hint="eastAsia" w:ascii="宋体" w:hAnsi="宋体" w:cs="仿宋"/>
                <w:bCs/>
                <w:sz w:val="24"/>
                <w:szCs w:val="24"/>
              </w:rPr>
            </w:pPr>
            <w:r>
              <w:rPr>
                <w:rFonts w:ascii="宋体" w:hAnsi="宋体" w:cs="宋体"/>
                <w:sz w:val="24"/>
                <w:szCs w:val="24"/>
              </w:rPr>
              <w:t xml:space="preserve">投标人须依据招标文件要求及项目实际需求，编制完整详实、科学可行的售后</w:t>
            </w:r>
            <w:r>
              <w:rPr>
                <w:rFonts w:hint="eastAsia" w:ascii="宋体" w:hAnsi="宋体" w:cs="宋体"/>
                <w:sz w:val="24"/>
                <w:szCs w:val="24"/>
              </w:rPr>
              <w:t xml:space="preserve">及质保</w:t>
            </w:r>
            <w:r>
              <w:rPr>
                <w:rFonts w:ascii="宋体" w:hAnsi="宋体" w:cs="宋体"/>
                <w:sz w:val="24"/>
                <w:szCs w:val="24"/>
              </w:rPr>
              <w:t xml:space="preserve">服务专项方案，</w:t>
            </w:r>
            <w:r>
              <w:rPr>
                <w:rFonts w:hint="eastAsia" w:ascii="宋体" w:hAnsi="宋体" w:cs="仿宋"/>
                <w:bCs/>
                <w:sz w:val="24"/>
                <w:szCs w:val="24"/>
              </w:rPr>
              <w:t xml:space="preserve">据此进行综合评审。</w:t>
            </w:r>
            <w:r/>
          </w:p>
          <w:p>
            <w:pPr>
              <w:jc w:val="left"/>
              <w:spacing w:line="264" w:lineRule="auto"/>
              <w:widowControl/>
              <w:rPr>
                <w:rFonts w:hint="eastAsia" w:ascii="宋体" w:hAnsi="宋体"/>
                <w:bCs/>
                <w:sz w:val="24"/>
                <w:szCs w:val="24"/>
              </w:rPr>
            </w:pPr>
            <w:r>
              <w:rPr>
                <w:rFonts w:hint="eastAsia" w:ascii="宋体" w:hAnsi="宋体"/>
                <w:bCs/>
                <w:sz w:val="24"/>
                <w:szCs w:val="24"/>
              </w:rPr>
              <w:t xml:space="preserve">优于采购需求的得4分，符合采购需求的得2分，不符合采购需求的不得分。</w:t>
            </w:r>
            <w:r/>
          </w:p>
        </w:tc>
        <w:tc>
          <w:tcPr>
            <w:tcW w:w="647" w:type="dxa"/>
            <w:vAlign w:val="center"/>
            <w:textDirection w:val="lrTb"/>
            <w:noWrap w:val="false"/>
          </w:tcPr>
          <w:p>
            <w:pPr>
              <w:jc w:val="center"/>
              <w:rPr>
                <w:rFonts w:hint="eastAsia" w:ascii="宋体" w:hAnsi="宋体" w:cs="仿宋"/>
                <w:bCs/>
                <w:sz w:val="24"/>
                <w:szCs w:val="24"/>
              </w:rPr>
            </w:pPr>
            <w:r>
              <w:rPr>
                <w:rFonts w:hint="eastAsia" w:ascii="宋体" w:hAnsi="宋体" w:cs="仿宋"/>
                <w:bCs/>
                <w:sz w:val="24"/>
                <w:szCs w:val="24"/>
              </w:rPr>
              <w:t xml:space="preserve">4</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3.9</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培训方案</w:t>
            </w:r>
            <w:r/>
          </w:p>
        </w:tc>
        <w:tc>
          <w:tcPr>
            <w:tcW w:w="6330" w:type="dxa"/>
            <w:vAlign w:val="center"/>
            <w:textDirection w:val="lrTb"/>
            <w:noWrap w:val="false"/>
          </w:tcPr>
          <w:p>
            <w:pPr>
              <w:rPr>
                <w:rFonts w:hint="eastAsia" w:ascii="宋体" w:hAnsi="宋体" w:cs="仿宋"/>
                <w:bCs/>
                <w:sz w:val="24"/>
                <w:szCs w:val="24"/>
              </w:rPr>
            </w:pPr>
            <w:r>
              <w:rPr>
                <w:rFonts w:ascii="宋体" w:hAnsi="宋体" w:cs="宋体"/>
                <w:sz w:val="24"/>
                <w:szCs w:val="24"/>
              </w:rPr>
              <w:t xml:space="preserve">投标人</w:t>
            </w:r>
            <w:r>
              <w:rPr>
                <w:rFonts w:hint="eastAsia" w:ascii="宋体" w:hAnsi="宋体" w:cs="宋体"/>
                <w:sz w:val="24"/>
                <w:szCs w:val="24"/>
              </w:rPr>
              <w:t xml:space="preserve">应根据</w:t>
            </w:r>
            <w:r>
              <w:rPr>
                <w:rFonts w:ascii="宋体" w:hAnsi="宋体" w:cs="宋体"/>
                <w:sz w:val="24"/>
                <w:szCs w:val="24"/>
              </w:rPr>
              <w:t xml:space="preserve">招标文件要求及项目</w:t>
            </w:r>
            <w:r>
              <w:rPr>
                <w:rFonts w:hint="eastAsia" w:ascii="宋体" w:hAnsi="宋体" w:cs="宋体"/>
                <w:sz w:val="24"/>
                <w:szCs w:val="24"/>
              </w:rPr>
              <w:t xml:space="preserve">实施具体需要</w:t>
            </w:r>
            <w:r>
              <w:rPr>
                <w:rFonts w:ascii="宋体" w:hAnsi="宋体" w:cs="宋体"/>
                <w:sz w:val="24"/>
                <w:szCs w:val="24"/>
              </w:rPr>
              <w:t xml:space="preserve">，</w:t>
            </w:r>
            <w:r>
              <w:rPr>
                <w:rFonts w:hint="eastAsia" w:ascii="宋体" w:hAnsi="宋体" w:cs="宋体"/>
                <w:sz w:val="24"/>
                <w:szCs w:val="24"/>
              </w:rPr>
              <w:t xml:space="preserve">提供本项目的培训</w:t>
            </w:r>
            <w:r>
              <w:rPr>
                <w:rFonts w:ascii="宋体" w:hAnsi="宋体" w:cs="宋体"/>
                <w:sz w:val="24"/>
                <w:szCs w:val="24"/>
              </w:rPr>
              <w:t xml:space="preserve">方案，</w:t>
            </w:r>
            <w:r>
              <w:rPr>
                <w:rFonts w:hint="eastAsia" w:ascii="宋体" w:hAnsi="宋体" w:cs="仿宋"/>
                <w:bCs/>
                <w:sz w:val="24"/>
                <w:szCs w:val="24"/>
              </w:rPr>
              <w:t xml:space="preserve">据此进行综合评审。</w:t>
            </w:r>
            <w:r/>
          </w:p>
          <w:p>
            <w:pPr>
              <w:jc w:val="left"/>
              <w:spacing w:line="264" w:lineRule="auto"/>
              <w:widowControl/>
              <w:rPr>
                <w:rFonts w:hint="eastAsia" w:ascii="宋体" w:hAnsi="宋体"/>
                <w:bCs/>
                <w:sz w:val="24"/>
                <w:szCs w:val="24"/>
              </w:rPr>
            </w:pPr>
            <w:r>
              <w:rPr>
                <w:rFonts w:hint="eastAsia" w:ascii="宋体" w:hAnsi="宋体"/>
                <w:bCs/>
                <w:sz w:val="24"/>
                <w:szCs w:val="24"/>
              </w:rPr>
              <w:t xml:space="preserve">优于采购需求的得3分，符合采购需求的得1.5分，不符合采购需求的不得分。</w:t>
            </w:r>
            <w:r/>
          </w:p>
        </w:tc>
        <w:tc>
          <w:tcPr>
            <w:tcW w:w="647" w:type="dxa"/>
            <w:vAlign w:val="center"/>
            <w:textDirection w:val="lrTb"/>
            <w:noWrap w:val="false"/>
          </w:tcPr>
          <w:p>
            <w:pPr>
              <w:jc w:val="center"/>
              <w:rPr>
                <w:rFonts w:hint="eastAsia" w:ascii="宋体" w:hAnsi="宋体" w:cs="仿宋"/>
                <w:bCs/>
                <w:sz w:val="24"/>
                <w:szCs w:val="24"/>
              </w:rPr>
            </w:pPr>
            <w:r>
              <w:rPr>
                <w:rFonts w:hint="eastAsia" w:ascii="宋体" w:hAnsi="宋体" w:cs="仿宋"/>
                <w:bCs/>
                <w:sz w:val="24"/>
                <w:szCs w:val="24"/>
              </w:rPr>
              <w:t xml:space="preserve">3</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4.1</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履约能力1</w:t>
            </w:r>
            <w:r/>
          </w:p>
        </w:tc>
        <w:tc>
          <w:tcPr>
            <w:tcW w:w="6330" w:type="dxa"/>
            <w:vAlign w:val="center"/>
            <w:textDirection w:val="lrTb"/>
            <w:noWrap w:val="false"/>
          </w:tcPr>
          <w:p>
            <w:pPr>
              <w:rPr>
                <w:rFonts w:hint="eastAsia" w:ascii="宋体" w:hAnsi="宋体" w:cs="宋体"/>
                <w:sz w:val="24"/>
                <w:szCs w:val="24"/>
              </w:rPr>
            </w:pPr>
            <w:r>
              <w:rPr>
                <w:rFonts w:hint="eastAsia" w:ascii="宋体" w:hAnsi="宋体" w:cs="仿宋"/>
                <w:bCs/>
                <w:sz w:val="24"/>
                <w:szCs w:val="24"/>
              </w:rPr>
              <w:t xml:space="preserve">项目负责人具有机电类高级及以上职称证书的得</w:t>
            </w:r>
            <w:r>
              <w:rPr>
                <w:rFonts w:ascii="宋体" w:hAnsi="宋体" w:cs="仿宋"/>
                <w:bCs/>
                <w:sz w:val="24"/>
                <w:szCs w:val="24"/>
              </w:rPr>
              <w:t xml:space="preserve">2</w:t>
            </w:r>
            <w:r>
              <w:rPr>
                <w:rFonts w:hint="eastAsia" w:ascii="宋体" w:hAnsi="宋体" w:cs="仿宋"/>
                <w:bCs/>
                <w:sz w:val="24"/>
                <w:szCs w:val="24"/>
              </w:rPr>
              <w:t xml:space="preserve">分，具有机电类中级职称证书的得1分，其他不得分。（提供证书或证明文件扫描件，同时附投标人为该项目负责人缴纳的近3个月内的任意一个月</w:t>
            </w:r>
            <w:r>
              <w:rPr>
                <w:rFonts w:hint="eastAsia" w:ascii="宋体" w:hAnsi="宋体" w:cs="仿宋"/>
                <w:bCs/>
                <w:sz w:val="24"/>
                <w:szCs w:val="24"/>
              </w:rPr>
              <w:t xml:space="preserve">社保证明</w:t>
            </w:r>
            <w:r>
              <w:rPr>
                <w:rFonts w:hint="eastAsia" w:ascii="宋体" w:hAnsi="宋体" w:cs="仿宋"/>
                <w:bCs/>
                <w:sz w:val="24"/>
                <w:szCs w:val="24"/>
              </w:rPr>
              <w:t xml:space="preserve">材料并加盖公章，否则不得分。）</w:t>
            </w:r>
            <w:r/>
          </w:p>
        </w:tc>
        <w:tc>
          <w:tcPr>
            <w:tcW w:w="647" w:type="dxa"/>
            <w:vAlign w:val="center"/>
            <w:textDirection w:val="lrTb"/>
            <w:noWrap w:val="false"/>
          </w:tcPr>
          <w:p>
            <w:pPr>
              <w:jc w:val="center"/>
              <w:rPr>
                <w:rFonts w:hint="eastAsia" w:ascii="宋体" w:hAnsi="宋体" w:cs="仿宋"/>
                <w:bCs/>
                <w:sz w:val="24"/>
                <w:szCs w:val="24"/>
              </w:rPr>
            </w:pPr>
            <w:r>
              <w:rPr>
                <w:rFonts w:ascii="宋体" w:hAnsi="宋体" w:cs="宋体"/>
                <w:sz w:val="24"/>
                <w:szCs w:val="24"/>
              </w:rPr>
              <w:t xml:space="preserve">2</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4.2</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履约能力2</w:t>
            </w:r>
            <w:r/>
          </w:p>
        </w:tc>
        <w:tc>
          <w:tcPr>
            <w:tcW w:w="6330" w:type="dxa"/>
            <w:vAlign w:val="center"/>
            <w:textDirection w:val="lrTb"/>
            <w:noWrap w:val="false"/>
          </w:tcPr>
          <w:p>
            <w:pPr>
              <w:rPr>
                <w:rFonts w:hint="eastAsia" w:ascii="宋体" w:hAnsi="宋体" w:cs="宋体"/>
                <w:sz w:val="24"/>
                <w:szCs w:val="24"/>
              </w:rPr>
            </w:pPr>
            <w:r>
              <w:rPr>
                <w:rFonts w:hint="eastAsia" w:ascii="宋体" w:hAnsi="宋体" w:cs="仿宋"/>
                <w:bCs/>
                <w:sz w:val="24"/>
                <w:szCs w:val="24"/>
              </w:rPr>
              <w:t xml:space="preserve">本项目管理机构</w:t>
            </w:r>
            <w:r>
              <w:rPr>
                <w:rFonts w:hint="eastAsia" w:ascii="宋体" w:hAnsi="宋体" w:cs="仿宋"/>
                <w:bCs/>
                <w:sz w:val="24"/>
                <w:szCs w:val="24"/>
              </w:rPr>
              <w:t xml:space="preserve">除项目</w:t>
            </w:r>
            <w:r>
              <w:rPr>
                <w:rFonts w:hint="eastAsia" w:ascii="宋体" w:hAnsi="宋体" w:cs="仿宋"/>
                <w:bCs/>
                <w:sz w:val="24"/>
                <w:szCs w:val="24"/>
              </w:rPr>
              <w:t xml:space="preserve">负责人以外，还应当包括电梯质量检验员、焊工、电工、资料员等岗位。有与项目规模大小相匹配的管理机构且相应的岗位证书：特种设备安全管理和作业人员证（作业项目：电梯修理，代号：T）、电梯质量检验员证、焊接与热切割作业证、电工证、建筑施工企业专职安全生产管理人员安全生产考核合格证书（C证）、资料员证书，证书齐全的得6分，每缺少1个扣1分。（提供上述要求证书原件</w:t>
            </w:r>
            <w:r>
              <w:rPr>
                <w:rFonts w:hint="eastAsia" w:ascii="宋体" w:hAnsi="宋体" w:cs="仿宋"/>
                <w:bCs/>
                <w:sz w:val="24"/>
                <w:szCs w:val="24"/>
              </w:rPr>
              <w:t xml:space="preserve">扫描件并同时</w:t>
            </w:r>
            <w:r>
              <w:rPr>
                <w:rFonts w:hint="eastAsia" w:ascii="宋体" w:hAnsi="宋体" w:cs="仿宋"/>
                <w:bCs/>
                <w:sz w:val="24"/>
                <w:szCs w:val="24"/>
              </w:rPr>
              <w:t xml:space="preserve">附投标人为该项目相关人员缴纳的近3个月内的任意一个月</w:t>
            </w:r>
            <w:r>
              <w:rPr>
                <w:rFonts w:hint="eastAsia" w:ascii="宋体" w:hAnsi="宋体" w:cs="仿宋"/>
                <w:bCs/>
                <w:sz w:val="24"/>
                <w:szCs w:val="24"/>
              </w:rPr>
              <w:t xml:space="preserve">社保证明</w:t>
            </w:r>
            <w:r>
              <w:rPr>
                <w:rFonts w:hint="eastAsia" w:ascii="宋体" w:hAnsi="宋体" w:cs="仿宋"/>
                <w:bCs/>
                <w:sz w:val="24"/>
                <w:szCs w:val="24"/>
              </w:rPr>
              <w:t xml:space="preserve">材料并加盖公章，否则不得分。）</w:t>
            </w:r>
            <w:r/>
          </w:p>
        </w:tc>
        <w:tc>
          <w:tcPr>
            <w:tcW w:w="647" w:type="dxa"/>
            <w:vAlign w:val="center"/>
            <w:textDirection w:val="lrTb"/>
            <w:noWrap w:val="false"/>
          </w:tcPr>
          <w:p>
            <w:pPr>
              <w:jc w:val="center"/>
              <w:rPr>
                <w:rFonts w:hint="eastAsia" w:ascii="宋体" w:hAnsi="宋体" w:cs="仿宋"/>
                <w:bCs/>
                <w:sz w:val="24"/>
                <w:szCs w:val="24"/>
              </w:rPr>
            </w:pPr>
            <w:r>
              <w:rPr>
                <w:rFonts w:ascii="宋体" w:hAnsi="宋体" w:cs="宋体"/>
                <w:sz w:val="24"/>
                <w:szCs w:val="24"/>
              </w:rPr>
              <w:t xml:space="preserve">6</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4.3</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履约能力</w:t>
            </w:r>
            <w:r>
              <w:rPr>
                <w:rFonts w:ascii="宋体" w:hAnsi="宋体" w:cs="仿宋"/>
                <w:sz w:val="24"/>
                <w:szCs w:val="24"/>
              </w:rPr>
              <w:t xml:space="preserve">3</w:t>
            </w:r>
            <w:r/>
          </w:p>
        </w:tc>
        <w:tc>
          <w:tcPr>
            <w:tcW w:w="6330" w:type="dxa"/>
            <w:vAlign w:val="center"/>
            <w:textDirection w:val="lrTb"/>
            <w:noWrap w:val="false"/>
          </w:tcPr>
          <w:p>
            <w:pPr>
              <w:rPr>
                <w:rFonts w:hint="eastAsia" w:ascii="宋体" w:hAnsi="宋体" w:cs="仿宋"/>
                <w:bCs/>
                <w:sz w:val="24"/>
                <w:szCs w:val="24"/>
              </w:rPr>
            </w:pPr>
            <w:r>
              <w:rPr>
                <w:rFonts w:hint="eastAsia" w:ascii="宋体" w:hAnsi="宋体" w:cs="仿宋"/>
                <w:bCs/>
                <w:sz w:val="24"/>
                <w:szCs w:val="24"/>
              </w:rPr>
              <w:t xml:space="preserve">投标人或所投产品具有2023年4月1日以来已完成的类似的更换（旧电梯换新）电梯业绩，提供合同及竣工验收证明，有1个得</w:t>
            </w:r>
            <w:r>
              <w:rPr>
                <w:rFonts w:ascii="宋体" w:hAnsi="宋体" w:cs="仿宋"/>
                <w:bCs/>
                <w:sz w:val="24"/>
                <w:szCs w:val="24"/>
              </w:rPr>
              <w:t xml:space="preserve">0.5</w:t>
            </w:r>
            <w:r>
              <w:rPr>
                <w:rFonts w:hint="eastAsia" w:ascii="宋体" w:hAnsi="宋体" w:cs="仿宋"/>
                <w:bCs/>
                <w:sz w:val="24"/>
                <w:szCs w:val="24"/>
              </w:rPr>
              <w:t xml:space="preserve">分，满分2分。</w:t>
            </w:r>
            <w:r/>
          </w:p>
          <w:p>
            <w:pPr>
              <w:rPr>
                <w:rFonts w:hint="eastAsia" w:ascii="宋体" w:hAnsi="宋体" w:cs="宋体"/>
                <w:sz w:val="24"/>
                <w:szCs w:val="24"/>
              </w:rPr>
            </w:pPr>
            <w:r>
              <w:rPr>
                <w:rFonts w:hint="eastAsia" w:ascii="宋体" w:hAnsi="宋体" w:cs="仿宋"/>
                <w:bCs/>
                <w:sz w:val="24"/>
                <w:szCs w:val="24"/>
              </w:rPr>
              <w:t xml:space="preserve">注：投标文件中提供合同及竣工验收证明或电梯监督检验报告（缺一不可）复印件加盖投标人公章，时间以合同为准，</w:t>
            </w:r>
            <w:r>
              <w:rPr>
                <w:rFonts w:hint="eastAsia" w:ascii="宋体" w:hAnsi="宋体" w:cs="仿宋"/>
                <w:bCs/>
                <w:sz w:val="24"/>
                <w:szCs w:val="24"/>
              </w:rPr>
              <w:t xml:space="preserve">合同关键</w:t>
            </w:r>
            <w:r>
              <w:rPr>
                <w:rFonts w:hint="eastAsia" w:ascii="宋体" w:hAnsi="宋体" w:cs="仿宋"/>
                <w:bCs/>
                <w:sz w:val="24"/>
                <w:szCs w:val="24"/>
              </w:rPr>
              <w:t xml:space="preserve">页需包括</w:t>
            </w:r>
            <w:r>
              <w:rPr>
                <w:rFonts w:hint="eastAsia" w:ascii="宋体" w:hAnsi="宋体" w:cs="仿宋"/>
                <w:bCs/>
                <w:sz w:val="24"/>
                <w:szCs w:val="24"/>
              </w:rPr>
              <w:t xml:space="preserve">合同首页、标的时间、金额、签字盖章页等反应上述内容，否则视为未提供，未提供或未按要求提供的不得分。</w:t>
            </w:r>
            <w:r/>
          </w:p>
        </w:tc>
        <w:tc>
          <w:tcPr>
            <w:tcW w:w="647" w:type="dxa"/>
            <w:vAlign w:val="center"/>
            <w:textDirection w:val="lrTb"/>
            <w:noWrap w:val="false"/>
          </w:tcPr>
          <w:p>
            <w:pPr>
              <w:jc w:val="center"/>
              <w:rPr>
                <w:rFonts w:hint="eastAsia" w:ascii="宋体" w:hAnsi="宋体" w:cs="仿宋"/>
                <w:bCs/>
                <w:sz w:val="24"/>
                <w:szCs w:val="24"/>
              </w:rPr>
            </w:pPr>
            <w:r>
              <w:rPr>
                <w:rFonts w:ascii="宋体" w:hAnsi="宋体" w:cs="宋体"/>
                <w:sz w:val="24"/>
                <w:szCs w:val="24"/>
              </w:rPr>
              <w:t xml:space="preserve">2</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5.1</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节能产品</w:t>
            </w:r>
            <w:r/>
          </w:p>
        </w:tc>
        <w:tc>
          <w:tcPr>
            <w:tcW w:w="6330" w:type="dxa"/>
            <w:vAlign w:val="center"/>
            <w:textDirection w:val="lrTb"/>
            <w:noWrap w:val="false"/>
          </w:tcPr>
          <w:p>
            <w:pPr>
              <w:rPr>
                <w:rFonts w:cs="宋体"/>
                <w:sz w:val="24"/>
                <w:szCs w:val="24"/>
                <w:lang w:val="zh-CN"/>
              </w:rPr>
            </w:pPr>
            <w:r>
              <w:rPr>
                <w:rFonts w:hint="eastAsia" w:ascii="宋体" w:hAnsi="宋体"/>
                <w:sz w:val="24"/>
                <w:szCs w:val="24"/>
              </w:rPr>
              <w:t xml:space="preserve">投标产品属于财政部、</w:t>
            </w:r>
            <w:r>
              <w:rPr>
                <w:rFonts w:hint="eastAsia" w:ascii="宋体" w:hAnsi="宋体"/>
                <w:sz w:val="24"/>
                <w:szCs w:val="24"/>
              </w:rPr>
              <w:t xml:space="preserve">国家发改委</w:t>
            </w:r>
            <w:r>
              <w:rPr>
                <w:rFonts w:hint="eastAsia" w:ascii="宋体" w:hAnsi="宋体"/>
                <w:sz w:val="24"/>
                <w:szCs w:val="24"/>
              </w:rPr>
              <w:t xml:space="preserve">公布的“节能产品品目清单”范围内的，投标人提供国家确定的认证机构出具的、处于有效期之内的该节能产品认证证书复印件的，有1个得0.5分，最多得0.5分。如投标产品均属于政府强制采购节能产品品目清单范围内，本项不得分。</w:t>
            </w:r>
            <w:r/>
          </w:p>
        </w:tc>
        <w:tc>
          <w:tcPr>
            <w:tcW w:w="647" w:type="dxa"/>
            <w:vAlign w:val="center"/>
            <w:textDirection w:val="lrTb"/>
            <w:noWrap w:val="false"/>
          </w:tcPr>
          <w:p>
            <w:pPr>
              <w:jc w:val="center"/>
              <w:rPr>
                <w:rFonts w:hint="eastAsia" w:ascii="宋体" w:hAnsi="宋体" w:cs="仿宋"/>
                <w:bCs/>
                <w:sz w:val="24"/>
                <w:szCs w:val="24"/>
              </w:rPr>
            </w:pPr>
            <w:r>
              <w:rPr>
                <w:rFonts w:hint="eastAsia" w:ascii="宋体" w:hAnsi="宋体" w:cs="仿宋"/>
                <w:bCs/>
                <w:sz w:val="24"/>
                <w:szCs w:val="24"/>
              </w:rPr>
              <w:t xml:space="preserve">0.5</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5.2</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t xml:space="preserve">环境标志产品</w:t>
            </w:r>
            <w:r/>
          </w:p>
        </w:tc>
        <w:tc>
          <w:tcPr>
            <w:tcW w:w="6330" w:type="dxa"/>
            <w:vAlign w:val="center"/>
            <w:textDirection w:val="lrTb"/>
            <w:noWrap w:val="false"/>
          </w:tcPr>
          <w:p>
            <w:pPr>
              <w:rPr>
                <w:rFonts w:cs="宋体"/>
                <w:sz w:val="24"/>
                <w:szCs w:val="24"/>
                <w:lang w:val="zh-CN"/>
              </w:rPr>
            </w:pPr>
            <w:r>
              <w:rPr>
                <w:rFonts w:hint="eastAsia" w:ascii="宋体" w:hAnsi="宋体"/>
                <w:sz w:val="24"/>
                <w:szCs w:val="24"/>
              </w:rPr>
              <w:t xml:space="preserve">投标产品属于财政部、生态环境部公布的“环境标志产品品目清单”范围内的，投标人提供国家确定的认证机构出具的、处于有效期内的该投标产品环境标志产品认证证书复印件的，有1个得0.5分，最多得0.5分。</w:t>
            </w:r>
            <w:r/>
          </w:p>
        </w:tc>
        <w:tc>
          <w:tcPr>
            <w:tcW w:w="647" w:type="dxa"/>
            <w:vAlign w:val="center"/>
            <w:textDirection w:val="lrTb"/>
            <w:noWrap w:val="false"/>
          </w:tcPr>
          <w:p>
            <w:pPr>
              <w:jc w:val="center"/>
              <w:rPr>
                <w:rFonts w:hint="eastAsia" w:ascii="宋体" w:hAnsi="宋体" w:cs="仿宋"/>
                <w:bCs/>
                <w:sz w:val="24"/>
                <w:szCs w:val="24"/>
              </w:rPr>
            </w:pPr>
            <w:r>
              <w:rPr>
                <w:rFonts w:hint="eastAsia" w:ascii="宋体" w:hAnsi="宋体" w:cs="仿宋"/>
                <w:bCs/>
                <w:sz w:val="24"/>
                <w:szCs w:val="24"/>
              </w:rPr>
              <w:t xml:space="preserve">0.5</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spacing w:val="-2"/>
                <w:sz w:val="24"/>
                <w:szCs w:val="24"/>
              </w:rPr>
            </w:pPr>
            <w:r>
              <w:rPr>
                <w:rFonts w:hint="eastAsia" w:ascii="宋体" w:hAnsi="宋体" w:cs="宋体"/>
                <w:spacing w:val="-2"/>
                <w:sz w:val="24"/>
                <w:szCs w:val="24"/>
              </w:rPr>
              <w:t xml:space="preserve">合计</w:t>
            </w:r>
            <w:r/>
          </w:p>
        </w:tc>
        <w:tc>
          <w:tcPr>
            <w:tcW w:w="1179" w:type="dxa"/>
            <w:vAlign w:val="center"/>
            <w:textDirection w:val="lrTb"/>
            <w:noWrap w:val="false"/>
          </w:tcPr>
          <w:p>
            <w:pPr>
              <w:jc w:val="center"/>
              <w:rPr>
                <w:rFonts w:hint="eastAsia" w:ascii="宋体" w:hAnsi="宋体" w:cs="仿宋"/>
                <w:sz w:val="24"/>
                <w:szCs w:val="24"/>
              </w:rPr>
            </w:pPr>
            <w:r>
              <w:rPr>
                <w:rFonts w:hint="eastAsia" w:ascii="宋体" w:hAnsi="宋体" w:cs="仿宋"/>
                <w:sz w:val="24"/>
                <w:szCs w:val="24"/>
              </w:rPr>
            </w:r>
            <w:r/>
          </w:p>
        </w:tc>
        <w:tc>
          <w:tcPr>
            <w:tcW w:w="6330"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647" w:type="dxa"/>
            <w:vAlign w:val="center"/>
            <w:textDirection w:val="lrTb"/>
            <w:noWrap w:val="false"/>
          </w:tcPr>
          <w:p>
            <w:pPr>
              <w:jc w:val="center"/>
              <w:rPr>
                <w:rFonts w:hint="eastAsia" w:ascii="宋体" w:hAnsi="宋体" w:cs="仿宋"/>
                <w:bCs/>
                <w:sz w:val="24"/>
                <w:szCs w:val="24"/>
              </w:rPr>
            </w:pPr>
            <w:r>
              <w:rPr>
                <w:rFonts w:hint="eastAsia" w:ascii="宋体" w:hAnsi="宋体" w:cs="仿宋"/>
                <w:bCs/>
                <w:sz w:val="24"/>
                <w:szCs w:val="24"/>
              </w:rPr>
            </w:r>
            <w:r/>
          </w:p>
        </w:tc>
      </w:tr>
    </w:tbl>
    <w:p>
      <w:pPr>
        <w:ind w:firstLine="480"/>
        <w:spacing w:line="0" w:lineRule="atLeast"/>
        <w:rPr>
          <w:rFonts w:ascii="黑体" w:eastAsia="黑体"/>
          <w:bCs/>
          <w:sz w:val="44"/>
          <w:szCs w:val="28"/>
        </w:rPr>
      </w:pPr>
      <w:r>
        <w:rPr>
          <w:rFonts w:hint="eastAsia" w:ascii="宋体" w:hAnsi="宋体"/>
          <w:sz w:val="24"/>
          <w:szCs w:val="24"/>
        </w:rPr>
        <w:br w:type="page" w:clear="all"/>
      </w:r>
      <w:r/>
    </w:p>
    <w:p>
      <w:pPr>
        <w:jc w:val="center"/>
        <w:keepNext/>
        <w:rPr>
          <w:rFonts w:ascii="黑体" w:eastAsia="黑体"/>
          <w:bCs/>
          <w:sz w:val="44"/>
          <w:szCs w:val="28"/>
        </w:rPr>
        <w:outlineLvl w:val="0"/>
      </w:pPr>
      <w:r/>
      <w:bookmarkStart w:id="236" w:name="_Toc227167523"/>
      <w:r>
        <w:rPr>
          <w:rFonts w:hint="eastAsia" w:ascii="黑体" w:eastAsia="黑体"/>
          <w:bCs/>
          <w:sz w:val="44"/>
          <w:szCs w:val="28"/>
        </w:rPr>
        <w:t xml:space="preserve">第六章  投标</w:t>
      </w:r>
      <w:bookmarkEnd w:id="207"/>
      <w:r/>
      <w:bookmarkEnd w:id="208"/>
      <w:r/>
      <w:bookmarkEnd w:id="209"/>
      <w:r>
        <w:rPr>
          <w:rFonts w:hint="eastAsia" w:ascii="黑体" w:eastAsia="黑体"/>
          <w:bCs/>
          <w:sz w:val="44"/>
          <w:szCs w:val="28"/>
        </w:rPr>
        <w:t xml:space="preserve">文件格式</w:t>
      </w:r>
      <w:bookmarkEnd w:id="236"/>
      <w:r/>
      <w:r/>
    </w:p>
    <w:p>
      <w:pPr>
        <w:jc w:val="center"/>
        <w:rPr>
          <w:rFonts w:hint="eastAsia" w:ascii="宋体" w:hAnsi="宋体"/>
          <w:b/>
          <w:sz w:val="72"/>
          <w:szCs w:val="21"/>
        </w:rPr>
      </w:pPr>
      <w:r/>
      <w:bookmarkStart w:id="237" w:name="_Hlt26955039"/>
      <w:r/>
      <w:bookmarkStart w:id="238" w:name="_Hlt26671244"/>
      <w:r/>
      <w:bookmarkStart w:id="239" w:name="_Toc49090576"/>
      <w:r/>
      <w:bookmarkStart w:id="240" w:name="_Toc120614282"/>
      <w:r/>
      <w:bookmarkStart w:id="241" w:name="_Toc26554094"/>
      <w:r/>
      <w:bookmarkEnd w:id="237"/>
      <w:r/>
      <w:bookmarkEnd w:id="238"/>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hint="eastAsia"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2024或者2025年度的财务状况报告（投标人成立不满一年无需提供）</w:t>
      </w:r>
      <w:r/>
    </w:p>
    <w:p>
      <w:pPr>
        <w:ind w:left="480"/>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hint="eastAsia"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hint="eastAsia" w:ascii="宋体" w:hAnsi="宋体"/>
          <w:sz w:val="24"/>
          <w:szCs w:val="21"/>
        </w:rPr>
        <w:t xml:space="preserve">5.参加政府采购活动前 3 年内在经营活动中没有重大违法记录的书面声</w:t>
      </w:r>
      <w:r/>
    </w:p>
    <w:p>
      <w:pPr>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w:t>
      </w:r>
      <w:r>
        <w:rPr>
          <w:rFonts w:hint="eastAsia" w:ascii="宋体" w:hAnsi="宋体"/>
          <w:sz w:val="24"/>
          <w:szCs w:val="21"/>
        </w:rPr>
        <w:t xml:space="preserve">微企业</w:t>
      </w:r>
      <w:r>
        <w:rPr>
          <w:rFonts w:hint="eastAsia" w:ascii="宋体" w:hAnsi="宋体"/>
          <w:sz w:val="24"/>
          <w:szCs w:val="21"/>
        </w:rPr>
        <w:t xml:space="preserve">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hint="eastAsia" w:ascii="宋体" w:hAnsi="宋体"/>
          <w:sz w:val="24"/>
          <w:szCs w:val="24"/>
        </w:rPr>
      </w:pPr>
      <w:r>
        <w:rPr>
          <w:rFonts w:hint="eastAsia" w:ascii="宋体" w:hAnsi="宋体"/>
          <w:sz w:val="24"/>
          <w:szCs w:val="24"/>
        </w:rPr>
        <w:t xml:space="preserve">中提供相关材料，否则作无效投标处理；6、10、11、12条如招标文件要求必须</w:t>
      </w:r>
      <w:r>
        <w:rPr>
          <w:rFonts w:hint="eastAsia" w:ascii="宋体" w:hAnsi="宋体"/>
          <w:sz w:val="24"/>
          <w:szCs w:val="24"/>
        </w:rPr>
        <w:t xml:space="preserve">提供相关材料而未提供的，作无效投标处理。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附件12</w:t>
      </w:r>
      <w:r>
        <w:rPr>
          <w:rFonts w:hint="eastAsia" w:ascii="宋体" w:hAnsi="宋体"/>
          <w:sz w:val="24"/>
          <w:szCs w:val="21"/>
        </w:rPr>
        <w:t xml:space="preserve">）</w:t>
      </w:r>
      <w:r/>
    </w:p>
    <w:p>
      <w:pPr>
        <w:ind w:firstLine="480"/>
        <w:rPr>
          <w:rFonts w:hint="eastAsia"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w:t>
      </w:r>
      <w:r>
        <w:rPr>
          <w:rFonts w:hint="eastAsia" w:ascii="宋体" w:hAnsi="宋体"/>
          <w:sz w:val="24"/>
          <w:szCs w:val="21"/>
        </w:rPr>
        <w:t xml:space="preserve">微企业</w:t>
      </w:r>
      <w:r>
        <w:rPr>
          <w:rFonts w:hint="eastAsia" w:ascii="宋体" w:hAnsi="宋体"/>
          <w:sz w:val="24"/>
          <w:szCs w:val="21"/>
        </w:rPr>
        <w:t xml:space="preserve">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3. 关于符合本国产品标准的声明函（格式见附件13）</w:t>
      </w:r>
      <w:r/>
    </w:p>
    <w:p>
      <w:pPr>
        <w:ind w:firstLine="480"/>
        <w:spacing w:line="400" w:lineRule="exact"/>
        <w:rPr>
          <w:rFonts w:hint="eastAsia" w:ascii="宋体" w:hAnsi="宋体"/>
          <w:sz w:val="24"/>
          <w:szCs w:val="21"/>
        </w:rPr>
      </w:pPr>
      <w:r>
        <w:rPr>
          <w:rFonts w:hint="eastAsia" w:ascii="宋体" w:hAnsi="宋体"/>
          <w:sz w:val="24"/>
          <w:szCs w:val="21"/>
        </w:rPr>
      </w:r>
      <w:r/>
    </w:p>
    <w:p>
      <w:pPr>
        <w:ind w:left="480"/>
        <w:rPr>
          <w:rFonts w:hint="eastAsia" w:ascii="宋体" w:hAnsi="宋体"/>
          <w:b/>
          <w:sz w:val="24"/>
          <w:szCs w:val="21"/>
        </w:rPr>
      </w:pPr>
      <w:r>
        <w:rPr>
          <w:rFonts w:hint="eastAsia" w:ascii="宋体" w:hAnsi="宋体"/>
          <w:b/>
          <w:sz w:val="24"/>
          <w:szCs w:val="21"/>
        </w:rPr>
      </w:r>
      <w:r/>
    </w:p>
    <w:p>
      <w:pPr>
        <w:jc w:val="cente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hint="eastAsia" w:ascii="宋体" w:hAnsi="宋体"/>
          <w:sz w:val="24"/>
          <w:szCs w:val="24"/>
        </w:rPr>
      </w:pPr>
      <w:r>
        <w:rPr>
          <w:rFonts w:hint="eastAsia" w:ascii="宋体" w:hAnsi="宋体"/>
          <w:sz w:val="24"/>
          <w:szCs w:val="24"/>
        </w:rPr>
        <w:t xml:space="preserve">项目编号：                                   </w:t>
      </w:r>
      <w:r/>
    </w:p>
    <w:p>
      <w:pPr>
        <w:ind w:firstLine="482"/>
        <w:spacing w:line="400" w:lineRule="exact"/>
        <w:rPr>
          <w:rFonts w:hint="eastAsia" w:ascii="宋体" w:hAnsi="宋体"/>
          <w:sz w:val="24"/>
          <w:szCs w:val="24"/>
        </w:rPr>
      </w:pPr>
      <w:r>
        <w:rPr>
          <w:rFonts w:hint="eastAsia" w:ascii="宋体" w:hAnsi="宋体"/>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br w:type="page" w:clear="all"/>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W w:w="92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textDirection w:val="lrTb"/>
            <w:noWrap w:val="false"/>
          </w:tcPr>
          <w:p>
            <w:pPr>
              <w:rPr>
                <w:rFonts w:hint="eastAsia"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trHeight w:val="767"/>
        </w:trPr>
        <w:tc>
          <w:tcPr>
            <w:gridSpan w:val="10"/>
            <w:tcW w:w="9263" w:type="dxa"/>
            <w:textDirection w:val="lrTb"/>
            <w:noWrap w:val="false"/>
          </w:tcPr>
          <w:p>
            <w:pPr>
              <w:pStyle w:val="897"/>
              <w:spacing w:before="0" w:beforeAutospacing="0" w:after="0" w:afterAutospacing="0" w:line="0" w:lineRule="atLeast"/>
              <w:rPr>
                <w:rFonts w:hint="eastAsia"/>
              </w:rPr>
            </w:pPr>
            <w:r>
              <w:rPr>
                <w:rFonts w:hint="eastAsia" w:ascii="方正魏碑_GBK" w:hAnsi="方正魏碑_GBK" w:eastAsia="方正魏碑_GBK" w:cs="方正魏碑_GBK"/>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8"/>
                <w:szCs w:val="28"/>
                <w:u w:val="single"/>
              </w:rPr>
              <w:t xml:space="preserve">***</w:t>
            </w:r>
            <w:r>
              <w:rPr>
                <w:rFonts w:hint="eastAsia" w:ascii="方正魏碑_GBK" w:hAnsi="方正魏碑_GBK" w:eastAsia="方正魏碑_GBK" w:cs="方正魏碑_GBK"/>
                <w:sz w:val="28"/>
                <w:szCs w:val="28"/>
              </w:rPr>
              <w:t xml:space="preserve">%。</w:t>
            </w:r>
            <w:r/>
          </w:p>
        </w:tc>
      </w:tr>
    </w:tbl>
    <w:p>
      <w:pPr>
        <w:spacing w:line="400" w:lineRule="exact"/>
        <w:rPr>
          <w:rFonts w:hint="eastAsia" w:ascii="宋体" w:hAnsi="宋体"/>
          <w:sz w:val="24"/>
          <w:szCs w:val="24"/>
        </w:rPr>
      </w:pPr>
      <w:r>
        <w:rPr>
          <w:rFonts w:hint="eastAsia" w:ascii="宋体" w:hAnsi="宋体"/>
          <w:sz w:val="24"/>
          <w:szCs w:val="24"/>
        </w:rPr>
        <w:t xml:space="preserve">备注：</w:t>
      </w:r>
      <w:r/>
    </w:p>
    <w:p>
      <w:pPr>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w:t>
      </w:r>
      <w:r>
        <w:rPr>
          <w:rFonts w:hint="eastAsia" w:ascii="宋体" w:hAnsi="宋体"/>
          <w:sz w:val="24"/>
          <w:szCs w:val="21"/>
        </w:rPr>
        <w:t xml:space="preserve">承包方式，“投标总报价”应包括所投货物（包含与货物相关的服务）费用、安装调试费、</w:t>
      </w:r>
      <w:r>
        <w:rPr>
          <w:rFonts w:hint="eastAsia" w:ascii="宋体" w:hAnsi="宋体"/>
          <w:sz w:val="24"/>
          <w:szCs w:val="21"/>
        </w:rPr>
        <w:t xml:space="preserve">测试验</w:t>
      </w:r>
      <w:r>
        <w:rPr>
          <w:rFonts w:hint="eastAsia" w:ascii="宋体" w:hAnsi="宋体"/>
          <w:sz w:val="24"/>
          <w:szCs w:val="21"/>
        </w:rPr>
        <w:t xml:space="preserve">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w:t>
      </w:r>
      <w:r>
        <w:rPr>
          <w:rFonts w:hint="eastAsia" w:ascii="宋体" w:hAnsi="宋体"/>
          <w:sz w:val="24"/>
          <w:szCs w:val="21"/>
        </w:rPr>
        <w:t xml:space="preserve">和</w:t>
      </w:r>
      <w:r>
        <w:rPr>
          <w:rFonts w:hint="eastAsia" w:ascii="宋体" w:hAnsi="宋体"/>
          <w:sz w:val="24"/>
          <w:szCs w:val="21"/>
        </w:rPr>
        <w:t xml:space="preserve">。</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sz w:val="24"/>
          <w:szCs w:val="21"/>
        </w:rPr>
      </w:pPr>
      <w:r>
        <w:rPr>
          <w:rFonts w:hint="eastAsia" w:ascii="方正魏碑_GBK" w:hAnsi="方正魏碑_GBK" w:eastAsia="方正魏碑_GBK" w:cs="方正魏碑_GBK"/>
          <w:sz w:val="28"/>
          <w:szCs w:val="28"/>
        </w:rPr>
        <w:t xml:space="preserve">3</w:t>
      </w:r>
      <w:r>
        <w:rPr>
          <w:rFonts w:ascii="方正魏碑_GBK" w:hAnsi="方正魏碑_GBK" w:eastAsia="方正魏碑_GBK" w:cs="方正魏碑_GBK"/>
          <w:sz w:val="28"/>
          <w:szCs w:val="28"/>
        </w:rPr>
        <w:t xml:space="preserve">.</w:t>
      </w:r>
      <w:r>
        <w:rPr>
          <w:rFonts w:hint="eastAsia" w:ascii="方正魏碑_GBK" w:hAnsi="方正魏碑_GBK" w:eastAsia="方正魏碑_GBK" w:cs="方正魏碑_GBK"/>
          <w:sz w:val="28"/>
          <w:szCs w:val="28"/>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5</w:t>
      </w:r>
      <w:r>
        <w:rPr>
          <w:rFonts w:hint="eastAsia" w:ascii="宋体" w:hAnsi="宋体"/>
          <w:b/>
          <w:sz w:val="24"/>
          <w:szCs w:val="21"/>
        </w:rPr>
        <w:t xml:space="preserve"> 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t xml:space="preserve">                                     </w:t>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6 </w:t>
      </w:r>
      <w:r>
        <w:rPr>
          <w:rFonts w:hint="eastAsia" w:ascii="宋体" w:hAnsi="宋体"/>
          <w:b/>
          <w:sz w:val="24"/>
          <w:szCs w:val="21"/>
        </w:rPr>
        <w:t xml:space="preserve">参加政府采购活动前 3 年内在经营活动中没有重大违法记录的书</w:t>
      </w:r>
      <w:r/>
    </w:p>
    <w:p>
      <w:pPr>
        <w:rPr>
          <w:rFonts w:hint="eastAsia" w:ascii="宋体" w:hAnsi="宋体"/>
          <w:b/>
          <w:sz w:val="24"/>
          <w:szCs w:val="21"/>
        </w:rPr>
      </w:pPr>
      <w:r>
        <w:rPr>
          <w:rFonts w:hint="eastAsia" w:ascii="宋体" w:hAnsi="宋体"/>
          <w:b/>
          <w:sz w:val="24"/>
          <w:szCs w:val="21"/>
        </w:rPr>
        <w:t xml:space="preserve">面声明</w:t>
      </w:r>
      <w:r/>
    </w:p>
    <w:p>
      <w:pPr>
        <w:ind w:firstLine="480"/>
        <w:spacing w:line="460" w:lineRule="exact"/>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bookmarkStart w:id="242" w:name="_Toc120614284"/>
      <w:r/>
      <w:bookmarkEnd w:id="239"/>
      <w:r/>
      <w:bookmarkEnd w:id="240"/>
      <w:r/>
      <w:bookmarkEnd w:id="241"/>
      <w:r/>
      <w:r/>
    </w:p>
    <w:p>
      <w:pPr>
        <w:spacing w:line="460" w:lineRule="exact"/>
        <w:rPr>
          <w:rFonts w:hint="eastAsia" w:ascii="宋体" w:hAnsi="宋体"/>
          <w:b/>
          <w:sz w:val="24"/>
          <w:szCs w:val="21"/>
        </w:rPr>
      </w:pPr>
      <w:r>
        <w:rPr>
          <w:rFonts w:hint="eastAsia" w:ascii="宋体" w:hAnsi="宋体"/>
          <w:b/>
          <w:sz w:val="24"/>
          <w:szCs w:val="21"/>
        </w:rPr>
      </w:r>
      <w:r/>
    </w:p>
    <w:p>
      <w:pPr>
        <w:ind w:firstLine="480"/>
        <w:spacing w:line="460" w:lineRule="exact"/>
        <w:rPr>
          <w:rFonts w:hint="eastAsia" w:ascii="宋体" w:hAnsi="宋体"/>
          <w:b/>
          <w:sz w:val="24"/>
          <w:szCs w:val="21"/>
        </w:rPr>
      </w:pPr>
      <w:r>
        <w:rPr>
          <w:rFonts w:hint="eastAsia" w:ascii="宋体" w:hAnsi="宋体"/>
          <w:b/>
          <w:sz w:val="24"/>
          <w:szCs w:val="21"/>
        </w:rPr>
      </w:r>
      <w:r/>
    </w:p>
    <w:p>
      <w:pPr>
        <w:ind w:firstLine="480"/>
        <w:spacing w:line="460" w:lineRule="exact"/>
        <w:rPr>
          <w:rFonts w:hint="eastAsia" w:ascii="宋体" w:hAnsi="宋体"/>
          <w:bCs/>
          <w:sz w:val="24"/>
          <w:szCs w:val="21"/>
        </w:rPr>
      </w:pPr>
      <w:r>
        <w:rPr>
          <w:rFonts w:hint="eastAsia" w:ascii="宋体" w:hAnsi="宋体"/>
          <w:b/>
          <w:sz w:val="24"/>
          <w:szCs w:val="21"/>
        </w:rPr>
        <w:t xml:space="preserve">附件</w:t>
      </w:r>
      <w:r>
        <w:rPr>
          <w:rFonts w:ascii="宋体" w:hAnsi="宋体"/>
          <w:b/>
          <w:sz w:val="24"/>
          <w:szCs w:val="21"/>
        </w:rPr>
        <w:t xml:space="preserve">7</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sz w:val="24"/>
          <w:szCs w:val="24"/>
        </w:rPr>
        <w:t xml:space="preserve">320000-</w:t>
      </w:r>
      <w:r>
        <w:rPr>
          <w:sz w:val="24"/>
          <w:szCs w:val="24"/>
          <w:u w:val="single"/>
        </w:rPr>
        <w:t xml:space="preserve">***</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bookmarkStart w:id="243" w:name="_Hlt26955070"/>
      <w:r/>
      <w:bookmarkStart w:id="244" w:name="_Hlt26671380"/>
      <w:r/>
      <w:bookmarkStart w:id="245" w:name="_格式3__银行出具的资信证明"/>
      <w:r/>
      <w:bookmarkEnd w:id="243"/>
      <w:r/>
      <w:bookmarkEnd w:id="244"/>
      <w:r/>
      <w:bookmarkEnd w:id="245"/>
      <w:r>
        <w:rPr>
          <w:rFonts w:hint="eastAsia"/>
          <w:sz w:val="24"/>
          <w:szCs w:val="24"/>
          <w:u w:val="single"/>
        </w:rPr>
        <w:t xml:space="preserve">                                         </w:t>
      </w:r>
      <w:r/>
    </w:p>
    <w:p>
      <w:pPr>
        <w:ind w:firstLine="480"/>
        <w:spacing w:line="460" w:lineRule="exact"/>
        <w:rPr>
          <w:rFonts w:hint="eastAsia" w:ascii="黑体" w:hAnsi="黑体" w:eastAsia="黑体"/>
          <w:b/>
          <w:i/>
          <w:sz w:val="32"/>
          <w:szCs w:val="32"/>
          <w:u w:val="single"/>
        </w:rPr>
      </w:pPr>
      <w:r>
        <w:rPr>
          <w:rFonts w:ascii="宋体" w:hAnsi="宋体" w:eastAsia="幼圆" w:cs="Arial"/>
          <w:b/>
          <w:sz w:val="24"/>
          <w:szCs w:val="44"/>
        </w:rPr>
        <w:br w:type="page" w:clear="all"/>
      </w:r>
      <w:r>
        <w:rPr>
          <w:rFonts w:hint="eastAsia" w:ascii="宋体" w:hAnsi="宋体"/>
          <w:b/>
          <w:sz w:val="24"/>
          <w:szCs w:val="21"/>
        </w:rPr>
        <w:t xml:space="preserve">附件</w:t>
      </w:r>
      <w:r>
        <w:rPr>
          <w:rFonts w:ascii="宋体" w:hAnsi="宋体"/>
          <w:b/>
          <w:sz w:val="24"/>
          <w:szCs w:val="21"/>
        </w:rPr>
        <w:t xml:space="preserve">8                            </w:t>
      </w:r>
      <w:r>
        <w:rPr>
          <w:rFonts w:hint="eastAsia" w:ascii="宋体" w:hAnsi="宋体"/>
          <w:b/>
          <w:sz w:val="24"/>
          <w:szCs w:val="21"/>
        </w:rPr>
        <w:t xml:space="preserve">投标函</w:t>
      </w:r>
      <w:r/>
    </w:p>
    <w:p>
      <w:pPr>
        <w:jc w:val="left"/>
        <w:spacing w:line="420" w:lineRule="exact"/>
        <w:rPr>
          <w:rFonts w:hint="eastAsia" w:ascii="宋体" w:hAnsi="宋体"/>
          <w:sz w:val="24"/>
          <w:szCs w:val="21"/>
        </w:rPr>
      </w:pPr>
      <w:r>
        <w:rPr>
          <w:rFonts w:hint="eastAsia" w:ascii="宋体" w:hAnsi="宋体"/>
          <w:sz w:val="24"/>
          <w:szCs w:val="21"/>
        </w:rPr>
        <w:t xml:space="preserve">致：江苏省政府采购中心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w:t>
      </w:r>
      <w:r>
        <w:rPr>
          <w:rFonts w:hint="eastAsia" w:ascii="宋体" w:hAnsi="宋体"/>
          <w:sz w:val="24"/>
          <w:szCs w:val="21"/>
        </w:rPr>
        <w:t xml:space="preserve">人兹宣布</w:t>
      </w:r>
      <w:r>
        <w:rPr>
          <w:rFonts w:hint="eastAsia" w:ascii="宋体" w:hAnsi="宋体"/>
          <w:sz w:val="24"/>
          <w:szCs w:val="21"/>
        </w:rPr>
        <w:t xml:space="preserve">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w:t>
      </w:r>
      <w:r>
        <w:rPr>
          <w:rFonts w:hint="eastAsia" w:ascii="宋体" w:hAnsi="宋体"/>
          <w:sz w:val="24"/>
          <w:szCs w:val="21"/>
        </w:rPr>
        <w:t xml:space="preserve">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w:t>
      </w:r>
      <w:r>
        <w:rPr>
          <w:rFonts w:hint="eastAsia" w:ascii="宋体" w:hAnsi="宋体"/>
          <w:sz w:val="24"/>
          <w:szCs w:val="21"/>
        </w:rPr>
        <w:t xml:space="preserve">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spacing w:line="560" w:lineRule="exact"/>
        <w:rPr>
          <w:rFonts w:hint="eastAsia" w:ascii="宋体" w:hAnsi="宋体"/>
          <w:b/>
          <w:sz w:val="24"/>
          <w:szCs w:val="21"/>
        </w:rPr>
      </w:pPr>
      <w:r>
        <w:rPr>
          <w:rFonts w:hint="eastAsia" w:ascii="宋体" w:hAnsi="宋体"/>
          <w:b/>
          <w:sz w:val="24"/>
          <w:szCs w:val="21"/>
        </w:rPr>
      </w:r>
      <w:r/>
    </w:p>
    <w:p>
      <w:pPr>
        <w:ind w:firstLine="241"/>
        <w:jc w:val="center"/>
        <w:spacing w:line="560" w:lineRule="exact"/>
        <w:rPr>
          <w:rFonts w:hint="eastAsia" w:ascii="宋体" w:hAnsi="宋体"/>
          <w:b/>
          <w:sz w:val="24"/>
          <w:szCs w:val="21"/>
        </w:rPr>
      </w:pPr>
      <w:r>
        <w:rPr>
          <w:rFonts w:hint="eastAsia" w:ascii="宋体" w:hAnsi="宋体"/>
          <w:b/>
          <w:sz w:val="24"/>
          <w:szCs w:val="21"/>
        </w:rPr>
        <w:br w:type="page" w:clear="all"/>
      </w: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w:t>
      </w:r>
      <w:r>
        <w:rPr>
          <w:rFonts w:hint="eastAsia" w:ascii="宋体" w:hAnsi="宋体"/>
          <w:b/>
          <w:sz w:val="24"/>
          <w:szCs w:val="21"/>
        </w:rPr>
        <w:t xml:space="preserve">微企业</w:t>
      </w:r>
      <w:r>
        <w:rPr>
          <w:rFonts w:hint="eastAsia" w:ascii="宋体" w:hAnsi="宋体"/>
          <w:b/>
          <w:sz w:val="24"/>
          <w:szCs w:val="21"/>
        </w:rPr>
        <w:t xml:space="preserve">声明函（货物类项目）（采购包号：**）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w:t>
      </w:r>
      <w:r>
        <w:rPr>
          <w:rFonts w:hint="eastAsia" w:ascii="宋体" w:hAnsi="宋体"/>
          <w:sz w:val="24"/>
          <w:szCs w:val="24"/>
        </w:rPr>
        <w:t xml:space="preserve">微企业</w:t>
      </w:r>
      <w:r>
        <w:rPr>
          <w:rFonts w:hint="eastAsia" w:ascii="宋体" w:hAnsi="宋体"/>
          <w:sz w:val="24"/>
          <w:szCs w:val="24"/>
        </w:rPr>
        <w:t xml:space="preserve">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sz w:val="24"/>
          <w:szCs w:val="24"/>
        </w:rPr>
      </w:pPr>
      <w:r>
        <w:rPr>
          <w:rFonts w:hint="eastAsia" w:ascii="宋体" w:hAnsi="宋体"/>
          <w:sz w:val="24"/>
          <w:szCs w:val="24"/>
        </w:rPr>
        <w:t xml:space="preserve">3.供应商应对照</w:t>
      </w:r>
      <w:r>
        <w:rPr>
          <w:rFonts w:hint="eastAsia" w:ascii="宋体" w:hAnsi="宋体"/>
          <w:sz w:val="24"/>
          <w:szCs w:val="24"/>
        </w:rPr>
        <w:t xml:space="preserve">《</w:t>
      </w:r>
      <w:r>
        <w:rPr>
          <w:rFonts w:hint="eastAsia" w:ascii="宋体" w:hAnsi="宋体"/>
          <w:sz w:val="24"/>
          <w:szCs w:val="24"/>
        </w:rPr>
        <w:t xml:space="preserve">工业和信息化部、国家统计局、国家发展和改革委员会、</w:t>
      </w:r>
      <w:r/>
    </w:p>
    <w:p>
      <w:pPr>
        <w:spacing w:line="400" w:lineRule="exact"/>
        <w:rPr>
          <w:rFonts w:hint="eastAsia" w:ascii="宋体" w:hAnsi="宋体"/>
          <w:sz w:val="24"/>
          <w:szCs w:val="24"/>
        </w:rPr>
      </w:pPr>
      <w:r>
        <w:rPr>
          <w:rFonts w:hint="eastAsia" w:ascii="宋体" w:hAnsi="宋体"/>
          <w:sz w:val="24"/>
          <w:szCs w:val="24"/>
        </w:rPr>
        <w:t xml:space="preserve">财政部关于印发中小企业划型标准规定的通知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spacing w:line="400" w:lineRule="exact"/>
        <w:rPr>
          <w:rFonts w:hint="eastAsia" w:ascii="宋体" w:hAnsi="宋体"/>
          <w:sz w:val="24"/>
          <w:szCs w:val="21"/>
        </w:rPr>
      </w:pPr>
      <w:r>
        <w:rPr>
          <w:rFonts w:hint="eastAsia" w:ascii="宋体" w:hAnsi="宋体"/>
          <w:sz w:val="24"/>
          <w:szCs w:val="21"/>
        </w:rPr>
        <w:t xml:space="preserve">备注：</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w:t>
      </w:r>
      <w:r>
        <w:rPr>
          <w:rFonts w:hint="eastAsia" w:ascii="宋体" w:hAnsi="宋体"/>
          <w:sz w:val="24"/>
          <w:szCs w:val="21"/>
        </w:rPr>
        <w:t xml:space="preserve">声明函将随</w:t>
      </w:r>
      <w:r>
        <w:rPr>
          <w:rFonts w:hint="eastAsia" w:ascii="宋体" w:hAnsi="宋体"/>
          <w:sz w:val="24"/>
          <w:szCs w:val="21"/>
        </w:rPr>
        <w:t xml:space="preserve">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hint="eastAsia" w:ascii="宋体" w:hAnsi="宋体"/>
          <w:sz w:val="24"/>
          <w:szCs w:val="21"/>
        </w:rPr>
      </w:pPr>
      <w:r>
        <w:rPr>
          <w:rFonts w:hint="eastAsia" w:ascii="宋体" w:hAnsi="宋体"/>
          <w:sz w:val="24"/>
          <w:szCs w:val="21"/>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hint="eastAsia"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40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hint="eastAsia" w:ascii="宋体" w:hAnsi="宋体"/>
          <w:sz w:val="24"/>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附件13  关于符合本国产品标准的声明函（采购包号：**）</w:t>
      </w:r>
      <w:r/>
    </w:p>
    <w:p>
      <w:pPr>
        <w:pStyle w:val="897"/>
        <w:ind w:firstLine="42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7"/>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1.</w:t>
      </w:r>
      <w:r>
        <w:rPr>
          <w:rStyle w:val="912"/>
          <w:rFonts w:hint="eastAsia" w:ascii="方正魏碑_GBK" w:hAnsi="方正魏碑_GBK" w:eastAsia="方正魏碑_GBK" w:cs="方正魏碑_GBK"/>
          <w:i w:val="0"/>
          <w:u w:val="single"/>
          <w:shd w:val="clear" w:color="auto" w:fill="ffffff"/>
        </w:rPr>
        <w:t xml:space="preserve">（产品名称1）</w:t>
      </w:r>
      <w:r>
        <w:rPr>
          <w:rStyle w:val="912"/>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12"/>
          <w:rFonts w:hint="eastAsia" w:ascii="方正魏碑_GBK" w:hAnsi="方正魏碑_GBK" w:eastAsia="方正魏碑_GBK" w:cs="方正魏碑_GBK"/>
          <w:i w:val="0"/>
          <w:u w:val="single"/>
          <w:shd w:val="clear" w:color="auto" w:fill="ffffff"/>
        </w:rPr>
        <w:t xml:space="preserve">（厂名）</w:t>
      </w:r>
      <w:r>
        <w:rPr>
          <w:rStyle w:val="912"/>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12"/>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1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的中国境内生产的组件成本占比≥</w:t>
      </w:r>
      <w:r>
        <w:rPr>
          <w:rFonts w:hint="eastAsia" w:ascii="方正魏碑_GBK" w:hAnsi="方正魏碑_GBK" w:eastAsia="方正魏碑_GBK" w:cs="方正魏碑_GBK"/>
          <w:u w:val="single"/>
          <w:shd w:val="clear" w:color="auto" w:fill="ffffff"/>
        </w:rPr>
        <w:t xml:space="preserve">  </w:t>
      </w:r>
      <w:r>
        <w:rPr>
          <w:rStyle w:val="912"/>
          <w:rFonts w:hint="eastAsia" w:ascii="方正魏碑_GBK" w:hAnsi="方正魏碑_GBK" w:eastAsia="方正魏碑_GBK" w:cs="方正魏碑_GBK"/>
          <w:i w:val="0"/>
          <w:u w:val="single"/>
          <w:shd w:val="clear" w:color="auto" w:fill="ffffff"/>
        </w:rPr>
        <w:t xml:space="preserve">/  </w:t>
      </w:r>
      <w:r>
        <w:rPr>
          <w:rStyle w:val="912"/>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1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w:t>
      </w:r>
      <w:r>
        <w:rPr>
          <w:rFonts w:hint="eastAsia" w:ascii="方正魏碑_GBK" w:hAnsi="方正魏碑_GBK" w:eastAsia="方正魏碑_GBK" w:cs="方正魏碑_GBK"/>
          <w:u w:val="single"/>
          <w:shd w:val="clear" w:color="auto" w:fill="ffffff"/>
        </w:rPr>
        <w:t xml:space="preserve">  </w:t>
      </w:r>
      <w:r>
        <w:rPr>
          <w:rStyle w:val="912"/>
          <w:rFonts w:hint="eastAsia" w:ascii="方正魏碑_GBK" w:hAnsi="方正魏碑_GBK" w:eastAsia="方正魏碑_GBK" w:cs="方正魏碑_GBK"/>
          <w:i w:val="0"/>
          <w:u w:val="single"/>
          <w:shd w:val="clear" w:color="auto" w:fill="ffffff"/>
        </w:rPr>
        <w:t xml:space="preserve">/  </w:t>
      </w:r>
      <w:r>
        <w:rPr>
          <w:rStyle w:val="912"/>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Fonts w:hint="eastAsia" w:ascii="方正魏碑_GBK" w:hAnsi="方正魏碑_GBK" w:eastAsia="方正魏碑_GBK" w:cs="方正魏碑_GBK"/>
          <w:u w:val="single"/>
          <w:shd w:val="clear" w:color="auto" w:fill="ffffff"/>
        </w:rPr>
        <w:t xml:space="preserve">  </w:t>
      </w:r>
      <w:r>
        <w:rPr>
          <w:rStyle w:val="91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w:t>
      </w:r>
      <w:r>
        <w:rPr>
          <w:rFonts w:hint="eastAsia" w:ascii="方正魏碑_GBK" w:hAnsi="方正魏碑_GBK" w:eastAsia="方正魏碑_GBK" w:cs="方正魏碑_GBK"/>
          <w:u w:val="single"/>
          <w:shd w:val="clear" w:color="auto" w:fill="ffffff"/>
        </w:rPr>
        <w:t xml:space="preserve">  </w:t>
      </w:r>
      <w:r>
        <w:rPr>
          <w:rStyle w:val="912"/>
          <w:rFonts w:hint="eastAsia" w:ascii="方正魏碑_GBK" w:hAnsi="方正魏碑_GBK" w:eastAsia="方正魏碑_GBK" w:cs="方正魏碑_GBK"/>
          <w:i w:val="0"/>
          <w:u w:val="single"/>
          <w:shd w:val="clear" w:color="auto" w:fill="ffffff"/>
        </w:rPr>
        <w:t xml:space="preserve">/  </w:t>
      </w:r>
      <w:r>
        <w:rPr>
          <w:rStyle w:val="912"/>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897"/>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2.</w:t>
      </w:r>
      <w:r>
        <w:rPr>
          <w:rStyle w:val="912"/>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912"/>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12"/>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1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的中国境内生产的组件成本占比≥</w:t>
      </w:r>
      <w:r>
        <w:rPr>
          <w:rFonts w:hint="eastAsia" w:ascii="方正魏碑_GBK" w:hAnsi="方正魏碑_GBK" w:eastAsia="方正魏碑_GBK" w:cs="方正魏碑_GBK"/>
          <w:u w:val="single"/>
          <w:shd w:val="clear" w:color="auto" w:fill="ffffff"/>
        </w:rPr>
        <w:t xml:space="preserve">  </w:t>
      </w:r>
      <w:r>
        <w:rPr>
          <w:rStyle w:val="91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1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w:t>
      </w:r>
      <w:r>
        <w:rPr>
          <w:rFonts w:hint="eastAsia" w:ascii="方正魏碑_GBK" w:hAnsi="方正魏碑_GBK" w:eastAsia="方正魏碑_GBK" w:cs="方正魏碑_GBK"/>
          <w:u w:val="single"/>
          <w:shd w:val="clear" w:color="auto" w:fill="ffffff"/>
        </w:rPr>
        <w:t xml:space="preserve">  </w:t>
      </w:r>
      <w:r>
        <w:rPr>
          <w:rStyle w:val="91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在中国境内生产。</w:t>
      </w:r>
      <w:r>
        <w:rPr>
          <w:rFonts w:hint="eastAsia" w:ascii="方正魏碑_GBK" w:hAnsi="方正魏碑_GBK" w:eastAsia="方正魏碑_GBK" w:cs="方正魏碑_GBK"/>
          <w:u w:val="single"/>
          <w:shd w:val="clear" w:color="auto" w:fill="ffffff"/>
        </w:rPr>
        <w:t xml:space="preserve">  </w:t>
      </w:r>
      <w:r>
        <w:rPr>
          <w:rStyle w:val="91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w:t>
      </w:r>
      <w:r>
        <w:rPr>
          <w:rFonts w:hint="eastAsia" w:ascii="方正魏碑_GBK" w:hAnsi="方正魏碑_GBK" w:eastAsia="方正魏碑_GBK" w:cs="方正魏碑_GBK"/>
          <w:u w:val="single"/>
          <w:shd w:val="clear" w:color="auto" w:fill="ffffff"/>
        </w:rPr>
        <w:t xml:space="preserve">  </w:t>
      </w:r>
      <w:r>
        <w:rPr>
          <w:rStyle w:val="91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在中国境内完成。</w:t>
      </w:r>
      <w:r/>
    </w:p>
    <w:p>
      <w:pPr>
        <w:pStyle w:val="897"/>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897"/>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897"/>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897"/>
        <w:jc w:val="right"/>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公司（单位）名称（加盖CA电子公章）：　        </w:t>
      </w:r>
      <w:r/>
    </w:p>
    <w:p>
      <w:pPr>
        <w:pStyle w:val="897"/>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日期：　     年　  月　  日         </w:t>
      </w:r>
      <w:r/>
    </w:p>
    <w:p>
      <w:pPr>
        <w:pStyle w:val="897"/>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897"/>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1.产品如有型号，请在“产品名称”栏一并填写。</w:t>
      </w:r>
      <w:r/>
    </w:p>
    <w:p>
      <w:pPr>
        <w:pStyle w:val="897"/>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2.生产厂名与厂址应与生产厂营业执照载明的相关信息保持一致。</w:t>
      </w:r>
      <w:r/>
    </w:p>
    <w:p>
      <w:pPr>
        <w:pStyle w:val="897"/>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3.该产品的中国境内生产的组件成本占比相关要求实施前，“规定比例”栏可不填，下同。</w:t>
      </w:r>
      <w:r/>
    </w:p>
    <w:p>
      <w:pPr>
        <w:pStyle w:val="897"/>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4.该产品的关键组件要求实施前，“关键组件”栏可不填，下同。</w:t>
      </w:r>
      <w:r/>
    </w:p>
    <w:p>
      <w:pPr>
        <w:pStyle w:val="897"/>
        <w:spacing w:before="30" w:beforeAutospacing="0" w:after="30" w:afterAutospacing="0" w:line="0" w:lineRule="atLeast"/>
        <w:rPr>
          <w:rFonts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t xml:space="preserve">5.该产品的关键工序要求实施前，“关键工序”栏可不填，下同。</w:t>
      </w:r>
      <w:r/>
    </w:p>
    <w:p>
      <w:pPr>
        <w:pStyle w:val="897"/>
        <w:spacing w:before="30" w:beforeAutospacing="0" w:after="30" w:afterAutospacing="0" w:line="0" w:lineRule="atLeast"/>
        <w:rPr>
          <w:rFonts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t xml:space="preserve">6.《声明函》中标注“</w:t>
      </w:r>
      <w:r>
        <w:rPr>
          <w:rFonts w:hint="eastAsia" w:ascii="方正魏碑_GBK" w:hAnsi="方正魏碑_GBK" w:eastAsia="方正魏碑_GBK" w:cs="方正魏碑_GBK"/>
          <w:u w:val="single"/>
          <w:shd w:val="clear" w:color="auto" w:fill="ffffff"/>
        </w:rPr>
        <w:t xml:space="preserve">  </w:t>
      </w:r>
      <w:r>
        <w:rPr>
          <w:rStyle w:val="91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”的地方无需填写。</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bookmarkEnd w:id="201"/>
      <w:r/>
      <w:bookmarkEnd w:id="202"/>
      <w:r/>
      <w:bookmarkEnd w:id="242"/>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华文新魏">
    <w:panose1 w:val="02010800040101010101"/>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Tahoma">
    <w:panose1 w:val="020B0604030504040204"/>
  </w:font>
  <w:font w:name="方正黑体_GBK">
    <w:panose1 w:val="020B050302020202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fldChar w:fldCharType="begin"/>
    </w:r>
    <w:r>
      <w:instrText xml:space="preserve">PAGE   \* MERGEFORMAT</w:instrText>
    </w:r>
    <w:r>
      <w:fldChar w:fldCharType="separate"/>
    </w:r>
    <w:r>
      <w:rPr>
        <w:lang w:val="zh-CN"/>
      </w:rPr>
      <w:t xml:space="preserve">19</w:t>
    </w:r>
    <w:r>
      <w:fldChar w:fldCharType="end"/>
    </w:r>
    <w:r/>
  </w:p>
  <w:p>
    <w:pPr>
      <w:pStyle w:val="8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910"/>
        <w:rFonts w:hint="eastAsia" w:ascii="宋体" w:hAnsi="宋体"/>
      </w:rPr>
      <w:framePr w:wrap="around" w:vAnchor="text" w:hAnchor="margin" w:xAlign="center" w:y="1"/>
    </w:pPr>
    <w:r>
      <w:rPr>
        <w:rFonts w:ascii="宋体" w:hAnsi="宋体"/>
      </w:rPr>
      <w:fldChar w:fldCharType="begin"/>
    </w:r>
    <w:r>
      <w:rPr>
        <w:rStyle w:val="910"/>
        <w:rFonts w:ascii="宋体" w:hAnsi="宋体"/>
      </w:rPr>
      <w:instrText xml:space="preserve">PAGE  </w:instrText>
    </w:r>
    <w:r>
      <w:rPr>
        <w:rFonts w:ascii="宋体" w:hAnsi="宋体"/>
      </w:rPr>
      <w:fldChar w:fldCharType="separate"/>
    </w:r>
    <w:r>
      <w:rPr>
        <w:rStyle w:val="910"/>
        <w:rFonts w:ascii="宋体" w:hAnsi="宋体"/>
      </w:rPr>
      <w:t xml:space="preserve">22</w:t>
    </w:r>
    <w:r>
      <w:rPr>
        <w:rFonts w:ascii="宋体" w:hAnsi="宋体"/>
      </w:rPr>
      <w:fldChar w:fldCharType="end"/>
    </w:r>
    <w:r/>
  </w:p>
  <w:p>
    <w:pPr>
      <w:pStyle w:val="883"/>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910"/>
      </w:rPr>
      <w:framePr w:wrap="around" w:vAnchor="text" w:hAnchor="margin" w:xAlign="center" w:y="1"/>
    </w:pPr>
    <w:r>
      <w:fldChar w:fldCharType="begin"/>
    </w:r>
    <w:r>
      <w:rPr>
        <w:rStyle w:val="910"/>
      </w:rPr>
      <w:instrText xml:space="preserve">PAGE  </w:instrText>
    </w:r>
    <w:r>
      <w:fldChar w:fldCharType="separate"/>
    </w:r>
    <w:r>
      <w:rPr>
        <w:rStyle w:val="910"/>
      </w:rPr>
      <w:t xml:space="preserve">1</w:t>
    </w:r>
    <w:r>
      <w:fldChar w:fldCharType="end"/>
    </w:r>
    <w:r/>
  </w:p>
  <w:p>
    <w:pPr>
      <w:pStyle w:val="8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356" w:hanging="360"/>
      </w:pPr>
      <w:rPr>
        <w:rFonts w:ascii="Courier New" w:hAnsi="Courier New" w:eastAsia="Courier New" w:cs="Courier New"/>
      </w:rPr>
    </w:lvl>
    <w:lvl w:ilvl="2">
      <w:start w:val="1"/>
      <w:numFmt w:val="bullet"/>
      <w:isLgl w:val="false"/>
      <w:suff w:val="tab"/>
      <w:lvlText w:val="§"/>
      <w:lvlJc w:val="left"/>
      <w:pPr>
        <w:ind w:left="2076" w:hanging="360"/>
      </w:pPr>
      <w:rPr>
        <w:rFonts w:ascii="Wingdings" w:hAnsi="Wingdings" w:eastAsia="Wingdings" w:cs="Wingdings"/>
      </w:rPr>
    </w:lvl>
    <w:lvl w:ilvl="3">
      <w:start w:val="1"/>
      <w:numFmt w:val="bullet"/>
      <w:isLgl w:val="false"/>
      <w:suff w:val="tab"/>
      <w:lvlText w:val="·"/>
      <w:lvlJc w:val="left"/>
      <w:pPr>
        <w:ind w:left="2796" w:hanging="360"/>
      </w:pPr>
      <w:rPr>
        <w:rFonts w:ascii="Symbol" w:hAnsi="Symbol" w:eastAsia="Symbol" w:cs="Symbol"/>
      </w:rPr>
    </w:lvl>
    <w:lvl w:ilvl="4">
      <w:start w:val="1"/>
      <w:numFmt w:val="bullet"/>
      <w:isLgl w:val="false"/>
      <w:suff w:val="tab"/>
      <w:lvlText w:val="o"/>
      <w:lvlJc w:val="left"/>
      <w:pPr>
        <w:ind w:left="3516" w:hanging="360"/>
      </w:pPr>
      <w:rPr>
        <w:rFonts w:ascii="Courier New" w:hAnsi="Courier New" w:eastAsia="Courier New" w:cs="Courier New"/>
      </w:rPr>
    </w:lvl>
    <w:lvl w:ilvl="5">
      <w:start w:val="1"/>
      <w:numFmt w:val="bullet"/>
      <w:isLgl w:val="false"/>
      <w:suff w:val="tab"/>
      <w:lvlText w:val="§"/>
      <w:lvlJc w:val="left"/>
      <w:pPr>
        <w:ind w:left="4236" w:hanging="360"/>
      </w:pPr>
      <w:rPr>
        <w:rFonts w:ascii="Wingdings" w:hAnsi="Wingdings" w:eastAsia="Wingdings" w:cs="Wingdings"/>
      </w:rPr>
    </w:lvl>
    <w:lvl w:ilvl="6">
      <w:start w:val="1"/>
      <w:numFmt w:val="bullet"/>
      <w:isLgl w:val="false"/>
      <w:suff w:val="tab"/>
      <w:lvlText w:val="·"/>
      <w:lvlJc w:val="left"/>
      <w:pPr>
        <w:ind w:left="4956" w:hanging="360"/>
      </w:pPr>
      <w:rPr>
        <w:rFonts w:ascii="Symbol" w:hAnsi="Symbol" w:eastAsia="Symbol" w:cs="Symbol"/>
      </w:rPr>
    </w:lvl>
    <w:lvl w:ilvl="7">
      <w:start w:val="1"/>
      <w:numFmt w:val="bullet"/>
      <w:isLgl w:val="false"/>
      <w:suff w:val="tab"/>
      <w:lvlText w:val="o"/>
      <w:lvlJc w:val="left"/>
      <w:pPr>
        <w:ind w:left="5676" w:hanging="360"/>
      </w:pPr>
      <w:rPr>
        <w:rFonts w:ascii="Courier New" w:hAnsi="Courier New" w:eastAsia="Courier New" w:cs="Courier New"/>
      </w:rPr>
    </w:lvl>
    <w:lvl w:ilvl="8">
      <w:start w:val="1"/>
      <w:numFmt w:val="bullet"/>
      <w:isLgl w:val="false"/>
      <w:suff w:val="tab"/>
      <w:lvlText w:val="§"/>
      <w:lvlJc w:val="left"/>
      <w:pPr>
        <w:ind w:left="6396"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971"/>
      <w:isLgl w:val="false"/>
      <w:suff w:val="nothing"/>
      <w:lvlText w:val=""/>
      <w:lvlJc w:val="left"/>
      <w:pPr>
        <w:ind w:left="0" w:firstLine="0"/>
      </w:pPr>
    </w:lvl>
    <w:lvl w:ilvl="6">
      <w:start w:val="1"/>
      <w:numFmt w:val="decimal"/>
      <w:pStyle w:val="972"/>
      <w:isLgl w:val="false"/>
      <w:suff w:val="nothing"/>
      <w:lvlText w:val=""/>
      <w:lvlJc w:val="left"/>
      <w:pPr>
        <w:ind w:left="0" w:firstLine="0"/>
      </w:pPr>
    </w:lvl>
    <w:lvl w:ilvl="7">
      <w:start w:val="1"/>
      <w:numFmt w:val="decimal"/>
      <w:pStyle w:val="973"/>
      <w:isLgl w:val="false"/>
      <w:suff w:val="nothing"/>
      <w:lvlText w:val=""/>
      <w:lvlJc w:val="left"/>
      <w:pPr>
        <w:ind w:left="0" w:firstLine="0"/>
      </w:pPr>
    </w:lvl>
    <w:lvl w:ilvl="8">
      <w:start w:val="1"/>
      <w:numFmt w:val="decimal"/>
      <w:pStyle w:val="974"/>
      <w:isLgl w:val="false"/>
      <w:suff w:val="nothing"/>
      <w:lvlText w:val=""/>
      <w:lvlJc w:val="left"/>
      <w:pPr>
        <w:ind w:left="0" w:firstLine="0"/>
      </w:pPr>
    </w:lvl>
  </w:abstractNum>
  <w:abstractNum w:abstractNumId="3">
    <w:multiLevelType w:val="hybridMultilevel"/>
    <w:lvl w:ilvl="0">
      <w:start w:val="3"/>
      <w:numFmt w:val="decimal"/>
      <w:isLgl w:val="false"/>
      <w:suff w:val="tab"/>
      <w:lvlText w:val="%1、"/>
      <w:lvlJc w:val="left"/>
      <w:pPr>
        <w:ind w:left="870" w:hanging="360"/>
      </w:pPr>
    </w:lvl>
    <w:lvl w:ilvl="1">
      <w:start w:val="1"/>
      <w:numFmt w:val="lowerLetter"/>
      <w:isLgl w:val="false"/>
      <w:suff w:val="tab"/>
      <w:lvlText w:val="%2)"/>
      <w:lvlJc w:val="left"/>
      <w:pPr>
        <w:ind w:left="1390" w:hanging="440"/>
      </w:pPr>
    </w:lvl>
    <w:lvl w:ilvl="2">
      <w:start w:val="1"/>
      <w:numFmt w:val="lowerRoman"/>
      <w:isLgl w:val="false"/>
      <w:suff w:val="tab"/>
      <w:lvlText w:val="%3."/>
      <w:lvlJc w:val="right"/>
      <w:pPr>
        <w:ind w:left="1830" w:hanging="440"/>
      </w:pPr>
    </w:lvl>
    <w:lvl w:ilvl="3">
      <w:start w:val="1"/>
      <w:numFmt w:val="decimal"/>
      <w:isLgl w:val="false"/>
      <w:suff w:val="tab"/>
      <w:lvlText w:val="%4."/>
      <w:lvlJc w:val="left"/>
      <w:pPr>
        <w:ind w:left="2270" w:hanging="440"/>
      </w:pPr>
    </w:lvl>
    <w:lvl w:ilvl="4">
      <w:start w:val="1"/>
      <w:numFmt w:val="lowerLetter"/>
      <w:isLgl w:val="false"/>
      <w:suff w:val="tab"/>
      <w:lvlText w:val="%5)"/>
      <w:lvlJc w:val="left"/>
      <w:pPr>
        <w:ind w:left="2710" w:hanging="440"/>
      </w:pPr>
    </w:lvl>
    <w:lvl w:ilvl="5">
      <w:start w:val="1"/>
      <w:numFmt w:val="lowerRoman"/>
      <w:isLgl w:val="false"/>
      <w:suff w:val="tab"/>
      <w:lvlText w:val="%6."/>
      <w:lvlJc w:val="right"/>
      <w:pPr>
        <w:ind w:left="3150" w:hanging="440"/>
      </w:pPr>
    </w:lvl>
    <w:lvl w:ilvl="6">
      <w:start w:val="1"/>
      <w:numFmt w:val="decimal"/>
      <w:isLgl w:val="false"/>
      <w:suff w:val="tab"/>
      <w:lvlText w:val="%7."/>
      <w:lvlJc w:val="left"/>
      <w:pPr>
        <w:ind w:left="3590" w:hanging="440"/>
      </w:pPr>
    </w:lvl>
    <w:lvl w:ilvl="7">
      <w:start w:val="1"/>
      <w:numFmt w:val="lowerLetter"/>
      <w:isLgl w:val="false"/>
      <w:suff w:val="tab"/>
      <w:lvlText w:val="%8)"/>
      <w:lvlJc w:val="left"/>
      <w:pPr>
        <w:ind w:left="4030" w:hanging="440"/>
      </w:pPr>
    </w:lvl>
    <w:lvl w:ilvl="8">
      <w:start w:val="1"/>
      <w:numFmt w:val="lowerRoman"/>
      <w:isLgl w:val="false"/>
      <w:suff w:val="tab"/>
      <w:lvlText w:val="%9."/>
      <w:lvlJc w:val="right"/>
      <w:pPr>
        <w:ind w:left="4470" w:hanging="440"/>
      </w:pPr>
    </w:lvl>
  </w:abstractNum>
  <w:abstractNum w:abstractNumId="4">
    <w:multiLevelType w:val="hybridMultilevel"/>
    <w:lvl w:ilvl="0">
      <w:start w:val="1"/>
      <w:numFmt w:val="upperLetter"/>
      <w:pStyle w:val="9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5"/>
      <w:isLgl w:val="false"/>
      <w:suff w:val="nothing"/>
      <w:lvlText w:val=""/>
      <w:lvlJc w:val="left"/>
      <w:pPr>
        <w:ind w:left="0" w:firstLine="0"/>
      </w:pPr>
      <w:rPr>
        <w:rFonts w:hint="eastAsia"/>
      </w:rPr>
    </w:lvl>
    <w:lvl w:ilvl="6">
      <w:start w:val="1"/>
      <w:numFmt w:val="decimal"/>
      <w:pStyle w:val="846"/>
      <w:isLgl w:val="false"/>
      <w:suff w:val="nothing"/>
      <w:lvlText w:val=""/>
      <w:lvlJc w:val="left"/>
      <w:pPr>
        <w:ind w:left="0" w:firstLine="0"/>
      </w:pPr>
      <w:rPr>
        <w:rFonts w:hint="eastAsia"/>
      </w:rPr>
    </w:lvl>
    <w:lvl w:ilvl="7">
      <w:start w:val="1"/>
      <w:numFmt w:val="decimal"/>
      <w:pStyle w:val="847"/>
      <w:isLgl w:val="false"/>
      <w:suff w:val="nothing"/>
      <w:lvlText w:val=""/>
      <w:lvlJc w:val="left"/>
      <w:pPr>
        <w:ind w:left="0" w:firstLine="0"/>
      </w:pPr>
      <w:rPr>
        <w:rFonts w:hint="eastAsia"/>
      </w:rPr>
    </w:lvl>
    <w:lvl w:ilvl="8">
      <w:start w:val="1"/>
      <w:numFmt w:val="decimal"/>
      <w:pStyle w:val="848"/>
      <w:isLgl w:val="false"/>
      <w:suff w:val="nothing"/>
      <w:lvlText w:val=""/>
      <w:lvlJc w:val="left"/>
      <w:pPr>
        <w:ind w:left="0" w:firstLine="0"/>
      </w:pPr>
      <w:rPr>
        <w:rFonts w:hint="eastAsia"/>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149"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pStyle w:val="94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japaneseCounting"/>
      <w:isLgl w:val="false"/>
      <w:suff w:val="tab"/>
      <w:lvlText w:val="%1、"/>
      <w:lvlJc w:val="left"/>
      <w:pPr>
        <w:ind w:left="510" w:hanging="510"/>
      </w:pPr>
    </w:lvl>
    <w:lvl w:ilvl="1">
      <w:start w:val="1"/>
      <w:numFmt w:val="decimal"/>
      <w:isLgl w:val="false"/>
      <w:suff w:val="tab"/>
      <w:lvlText w:val="%2、"/>
      <w:lvlJc w:val="left"/>
      <w:pPr>
        <w:ind w:left="800" w:hanging="36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773"/>
    <w:link w:val="764"/>
    <w:uiPriority w:val="9"/>
    <w:rPr>
      <w:rFonts w:ascii="Arial" w:hAnsi="Arial" w:eastAsia="Arial" w:cs="Arial"/>
      <w:sz w:val="40"/>
      <w:szCs w:val="40"/>
    </w:rPr>
  </w:style>
  <w:style w:type="character" w:styleId="727">
    <w:name w:val="Heading 2 Char"/>
    <w:basedOn w:val="773"/>
    <w:link w:val="765"/>
    <w:uiPriority w:val="9"/>
    <w:rPr>
      <w:rFonts w:ascii="Arial" w:hAnsi="Arial" w:eastAsia="Arial" w:cs="Arial"/>
      <w:sz w:val="34"/>
    </w:rPr>
  </w:style>
  <w:style w:type="character" w:styleId="728">
    <w:name w:val="Heading 3 Char"/>
    <w:basedOn w:val="773"/>
    <w:link w:val="766"/>
    <w:uiPriority w:val="9"/>
    <w:rPr>
      <w:rFonts w:ascii="Arial" w:hAnsi="Arial" w:eastAsia="Arial" w:cs="Arial"/>
      <w:sz w:val="30"/>
      <w:szCs w:val="30"/>
    </w:rPr>
  </w:style>
  <w:style w:type="character" w:styleId="729">
    <w:name w:val="Heading 4 Char"/>
    <w:basedOn w:val="773"/>
    <w:link w:val="767"/>
    <w:uiPriority w:val="9"/>
    <w:rPr>
      <w:rFonts w:ascii="Arial" w:hAnsi="Arial" w:eastAsia="Arial" w:cs="Arial"/>
      <w:b/>
      <w:bCs/>
      <w:sz w:val="26"/>
      <w:szCs w:val="26"/>
    </w:rPr>
  </w:style>
  <w:style w:type="character" w:styleId="730">
    <w:name w:val="Heading 5 Char"/>
    <w:basedOn w:val="773"/>
    <w:link w:val="768"/>
    <w:uiPriority w:val="9"/>
    <w:rPr>
      <w:rFonts w:ascii="Arial" w:hAnsi="Arial" w:eastAsia="Arial" w:cs="Arial"/>
      <w:b/>
      <w:bCs/>
      <w:sz w:val="24"/>
      <w:szCs w:val="24"/>
    </w:rPr>
  </w:style>
  <w:style w:type="character" w:styleId="731">
    <w:name w:val="Heading 6 Char"/>
    <w:basedOn w:val="773"/>
    <w:link w:val="769"/>
    <w:uiPriority w:val="9"/>
    <w:rPr>
      <w:rFonts w:ascii="Arial" w:hAnsi="Arial" w:eastAsia="Arial" w:cs="Arial"/>
      <w:b/>
      <w:bCs/>
      <w:sz w:val="22"/>
      <w:szCs w:val="22"/>
    </w:rPr>
  </w:style>
  <w:style w:type="character" w:styleId="732">
    <w:name w:val="Heading 7 Char"/>
    <w:basedOn w:val="773"/>
    <w:link w:val="770"/>
    <w:uiPriority w:val="9"/>
    <w:rPr>
      <w:rFonts w:ascii="Arial" w:hAnsi="Arial" w:eastAsia="Arial" w:cs="Arial"/>
      <w:b/>
      <w:bCs/>
      <w:i/>
      <w:iCs/>
      <w:sz w:val="22"/>
      <w:szCs w:val="22"/>
    </w:rPr>
  </w:style>
  <w:style w:type="character" w:styleId="733">
    <w:name w:val="Heading 8 Char"/>
    <w:basedOn w:val="773"/>
    <w:link w:val="771"/>
    <w:uiPriority w:val="9"/>
    <w:rPr>
      <w:rFonts w:ascii="Arial" w:hAnsi="Arial" w:eastAsia="Arial" w:cs="Arial"/>
      <w:i/>
      <w:iCs/>
      <w:sz w:val="22"/>
      <w:szCs w:val="22"/>
    </w:rPr>
  </w:style>
  <w:style w:type="character" w:styleId="734">
    <w:name w:val="Heading 9 Char"/>
    <w:basedOn w:val="773"/>
    <w:link w:val="772"/>
    <w:uiPriority w:val="9"/>
    <w:rPr>
      <w:rFonts w:ascii="Arial" w:hAnsi="Arial" w:eastAsia="Arial" w:cs="Arial"/>
      <w:i/>
      <w:iCs/>
      <w:sz w:val="21"/>
      <w:szCs w:val="21"/>
    </w:rPr>
  </w:style>
  <w:style w:type="character" w:styleId="735">
    <w:name w:val="Title Char"/>
    <w:basedOn w:val="773"/>
    <w:link w:val="793"/>
    <w:uiPriority w:val="10"/>
    <w:rPr>
      <w:sz w:val="48"/>
      <w:szCs w:val="48"/>
    </w:rPr>
  </w:style>
  <w:style w:type="character" w:styleId="736">
    <w:name w:val="Subtitle Char"/>
    <w:basedOn w:val="773"/>
    <w:link w:val="787"/>
    <w:uiPriority w:val="11"/>
    <w:rPr>
      <w:sz w:val="24"/>
      <w:szCs w:val="24"/>
    </w:rPr>
  </w:style>
  <w:style w:type="character" w:styleId="737">
    <w:name w:val="Quote Char"/>
    <w:link w:val="811"/>
    <w:uiPriority w:val="29"/>
    <w:rPr>
      <w:i/>
    </w:rPr>
  </w:style>
  <w:style w:type="character" w:styleId="738">
    <w:name w:val="Intense Quote Char"/>
    <w:link w:val="813"/>
    <w:uiPriority w:val="30"/>
    <w:rPr>
      <w:i/>
    </w:rPr>
  </w:style>
  <w:style w:type="character" w:styleId="739">
    <w:name w:val="Header Char"/>
    <w:basedOn w:val="773"/>
    <w:link w:val="784"/>
    <w:uiPriority w:val="99"/>
  </w:style>
  <w:style w:type="character" w:styleId="740">
    <w:name w:val="Caption Char"/>
    <w:basedOn w:val="778"/>
    <w:link w:val="783"/>
    <w:uiPriority w:val="99"/>
  </w:style>
  <w:style w:type="table" w:styleId="741">
    <w:name w:val="Plain Table 1"/>
    <w:basedOn w:val="7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7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7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2"/>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3"/>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7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5 Dark"/>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6 Colorful"/>
    <w:basedOn w:val="7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7 Colorful"/>
    <w:basedOn w:val="7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List Table 1 Light"/>
    <w:basedOn w:val="7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2"/>
    <w:basedOn w:val="7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3"/>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5 Dark"/>
    <w:basedOn w:val="7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7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7 Colorful"/>
    <w:basedOn w:val="7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0">
    <w:name w:val="Footnote Text Char"/>
    <w:link w:val="788"/>
    <w:uiPriority w:val="99"/>
    <w:rPr>
      <w:sz w:val="18"/>
    </w:rPr>
  </w:style>
  <w:style w:type="character" w:styleId="761">
    <w:name w:val="Endnote Text Char"/>
    <w:link w:val="782"/>
    <w:uiPriority w:val="99"/>
    <w:rPr>
      <w:sz w:val="20"/>
    </w:rPr>
  </w:style>
  <w:style w:type="paragraph" w:styleId="762">
    <w:name w:val="TOC Heading"/>
    <w:uiPriority w:val="39"/>
    <w:unhideWhenUsed/>
  </w:style>
  <w:style w:type="paragraph" w:styleId="763" w:default="1">
    <w:name w:val="Normal"/>
    <w:next w:val="776"/>
    <w:link w:val="1030"/>
    <w:qFormat/>
    <w:pPr>
      <w:jc w:val="both"/>
      <w:widowControl w:val="off"/>
    </w:pPr>
    <w:rPr>
      <w:sz w:val="21"/>
      <w:szCs w:val="22"/>
    </w:rPr>
  </w:style>
  <w:style w:type="paragraph" w:styleId="764">
    <w:name w:val="Heading 1"/>
    <w:basedOn w:val="763"/>
    <w:next w:val="763"/>
    <w:link w:val="798"/>
    <w:uiPriority w:val="9"/>
    <w:qFormat/>
    <w:pPr>
      <w:keepLines/>
      <w:keepNext/>
      <w:spacing w:before="480" w:after="200"/>
      <w:outlineLvl w:val="0"/>
    </w:pPr>
    <w:rPr>
      <w:rFonts w:ascii="Arial" w:hAnsi="Arial" w:eastAsia="Arial" w:cs="Arial"/>
      <w:sz w:val="40"/>
      <w:szCs w:val="40"/>
    </w:rPr>
  </w:style>
  <w:style w:type="paragraph" w:styleId="765">
    <w:name w:val="Heading 2"/>
    <w:basedOn w:val="763"/>
    <w:next w:val="763"/>
    <w:link w:val="799"/>
    <w:uiPriority w:val="9"/>
    <w:unhideWhenUsed/>
    <w:qFormat/>
    <w:pPr>
      <w:keepLines/>
      <w:keepNext/>
      <w:spacing w:before="360" w:after="200"/>
      <w:outlineLvl w:val="1"/>
    </w:pPr>
    <w:rPr>
      <w:rFonts w:ascii="Arial" w:hAnsi="Arial" w:eastAsia="Arial" w:cs="Arial"/>
      <w:sz w:val="34"/>
    </w:rPr>
  </w:style>
  <w:style w:type="paragraph" w:styleId="766">
    <w:name w:val="Heading 3"/>
    <w:basedOn w:val="763"/>
    <w:next w:val="763"/>
    <w:link w:val="800"/>
    <w:uiPriority w:val="9"/>
    <w:unhideWhenUsed/>
    <w:qFormat/>
    <w:pPr>
      <w:keepLines/>
      <w:keepNext/>
      <w:spacing w:before="320" w:after="200"/>
      <w:outlineLvl w:val="2"/>
    </w:pPr>
    <w:rPr>
      <w:rFonts w:ascii="Arial" w:hAnsi="Arial" w:eastAsia="Arial" w:cs="Arial"/>
      <w:sz w:val="30"/>
      <w:szCs w:val="30"/>
    </w:rPr>
  </w:style>
  <w:style w:type="paragraph" w:styleId="767">
    <w:name w:val="Heading 4"/>
    <w:basedOn w:val="763"/>
    <w:next w:val="763"/>
    <w:link w:val="801"/>
    <w:uiPriority w:val="9"/>
    <w:unhideWhenUsed/>
    <w:qFormat/>
    <w:pPr>
      <w:keepLines/>
      <w:keepNext/>
      <w:spacing w:before="320" w:after="200"/>
      <w:outlineLvl w:val="3"/>
    </w:pPr>
    <w:rPr>
      <w:rFonts w:ascii="Arial" w:hAnsi="Arial" w:eastAsia="Arial" w:cs="Arial"/>
      <w:b/>
      <w:bCs/>
      <w:sz w:val="26"/>
      <w:szCs w:val="26"/>
    </w:rPr>
  </w:style>
  <w:style w:type="paragraph" w:styleId="768">
    <w:name w:val="Heading 5"/>
    <w:basedOn w:val="763"/>
    <w:next w:val="763"/>
    <w:link w:val="802"/>
    <w:uiPriority w:val="9"/>
    <w:unhideWhenUsed/>
    <w:qFormat/>
    <w:pPr>
      <w:keepLines/>
      <w:keepNext/>
      <w:spacing w:before="320" w:after="200"/>
      <w:outlineLvl w:val="4"/>
    </w:pPr>
    <w:rPr>
      <w:rFonts w:ascii="Arial" w:hAnsi="Arial" w:eastAsia="Arial" w:cs="Arial"/>
      <w:b/>
      <w:bCs/>
      <w:sz w:val="24"/>
      <w:szCs w:val="24"/>
    </w:rPr>
  </w:style>
  <w:style w:type="paragraph" w:styleId="769">
    <w:name w:val="Heading 6"/>
    <w:basedOn w:val="763"/>
    <w:next w:val="763"/>
    <w:link w:val="803"/>
    <w:uiPriority w:val="9"/>
    <w:unhideWhenUsed/>
    <w:qFormat/>
    <w:pPr>
      <w:keepLines/>
      <w:keepNext/>
      <w:spacing w:before="320" w:after="200"/>
      <w:outlineLvl w:val="5"/>
    </w:pPr>
    <w:rPr>
      <w:rFonts w:ascii="Arial" w:hAnsi="Arial" w:eastAsia="Arial" w:cs="Arial"/>
      <w:b/>
      <w:bCs/>
      <w:sz w:val="22"/>
    </w:rPr>
  </w:style>
  <w:style w:type="paragraph" w:styleId="770">
    <w:name w:val="Heading 7"/>
    <w:basedOn w:val="763"/>
    <w:next w:val="763"/>
    <w:link w:val="804"/>
    <w:uiPriority w:val="9"/>
    <w:unhideWhenUsed/>
    <w:qFormat/>
    <w:pPr>
      <w:keepLines/>
      <w:keepNext/>
      <w:spacing w:before="320" w:after="200"/>
      <w:outlineLvl w:val="6"/>
    </w:pPr>
    <w:rPr>
      <w:rFonts w:ascii="Arial" w:hAnsi="Arial" w:eastAsia="Arial" w:cs="Arial"/>
      <w:b/>
      <w:bCs/>
      <w:i/>
      <w:iCs/>
      <w:sz w:val="22"/>
    </w:rPr>
  </w:style>
  <w:style w:type="paragraph" w:styleId="771">
    <w:name w:val="Heading 8"/>
    <w:basedOn w:val="763"/>
    <w:next w:val="763"/>
    <w:link w:val="805"/>
    <w:uiPriority w:val="9"/>
    <w:unhideWhenUsed/>
    <w:qFormat/>
    <w:pPr>
      <w:keepLines/>
      <w:keepNext/>
      <w:spacing w:before="320" w:after="200"/>
      <w:outlineLvl w:val="7"/>
    </w:pPr>
    <w:rPr>
      <w:rFonts w:ascii="Arial" w:hAnsi="Arial" w:eastAsia="Arial" w:cs="Arial"/>
      <w:i/>
      <w:iCs/>
      <w:sz w:val="22"/>
    </w:rPr>
  </w:style>
  <w:style w:type="paragraph" w:styleId="772">
    <w:name w:val="Heading 9"/>
    <w:basedOn w:val="763"/>
    <w:next w:val="763"/>
    <w:link w:val="806"/>
    <w:uiPriority w:val="9"/>
    <w:unhideWhenUsed/>
    <w:qFormat/>
    <w:pPr>
      <w:keepLines/>
      <w:keepNext/>
      <w:spacing w:before="320" w:after="200"/>
      <w:outlineLvl w:val="8"/>
    </w:pPr>
    <w:rPr>
      <w:rFonts w:ascii="Arial" w:hAnsi="Arial" w:eastAsia="Arial" w:cs="Arial"/>
      <w:i/>
      <w:iCs/>
      <w:szCs w:val="21"/>
    </w:rPr>
  </w:style>
  <w:style w:type="character" w:styleId="773" w:default="1">
    <w:name w:val="Default Paragraph Font"/>
    <w:uiPriority w:val="1"/>
    <w:semiHidden/>
    <w:unhideWhenUsed/>
  </w:style>
  <w:style w:type="table" w:styleId="774" w:default="1">
    <w:name w:val="Normal Table"/>
    <w:uiPriority w:val="99"/>
    <w:semiHidden/>
    <w:unhideWhenUsed/>
    <w:tblPr>
      <w:tblInd w:w="0" w:type="dxa"/>
      <w:tblCellMar>
        <w:left w:w="108" w:type="dxa"/>
        <w:top w:w="0" w:type="dxa"/>
        <w:right w:w="108" w:type="dxa"/>
        <w:bottom w:w="0" w:type="dxa"/>
      </w:tblCellMar>
    </w:tblPr>
  </w:style>
  <w:style w:type="numbering" w:styleId="775" w:default="1">
    <w:name w:val="No List"/>
    <w:uiPriority w:val="99"/>
    <w:semiHidden/>
    <w:unhideWhenUsed/>
  </w:style>
  <w:style w:type="paragraph" w:styleId="776" w:customStyle="1">
    <w:name w:val="索引 411"/>
    <w:basedOn w:val="763"/>
    <w:next w:val="763"/>
    <w:uiPriority w:val="99"/>
    <w:semiHidden/>
    <w:qFormat/>
    <w:pPr>
      <w:ind w:left="1260"/>
    </w:pPr>
  </w:style>
  <w:style w:type="paragraph" w:styleId="777">
    <w:name w:val="toc 7"/>
    <w:basedOn w:val="763"/>
    <w:next w:val="763"/>
    <w:uiPriority w:val="39"/>
    <w:semiHidden/>
    <w:qFormat/>
    <w:pPr>
      <w:ind w:left="1260"/>
      <w:jc w:val="left"/>
    </w:pPr>
    <w:rPr>
      <w:szCs w:val="21"/>
    </w:rPr>
  </w:style>
  <w:style w:type="paragraph" w:styleId="778">
    <w:name w:val="Caption"/>
    <w:basedOn w:val="763"/>
    <w:next w:val="763"/>
    <w:uiPriority w:val="35"/>
    <w:semiHidden/>
    <w:unhideWhenUsed/>
    <w:qFormat/>
    <w:pPr>
      <w:spacing w:line="276" w:lineRule="auto"/>
    </w:pPr>
    <w:rPr>
      <w:b/>
      <w:bCs/>
      <w:color w:val="4f81bd" w:themeColor="accent1"/>
      <w:sz w:val="18"/>
      <w:szCs w:val="18"/>
    </w:rPr>
  </w:style>
  <w:style w:type="paragraph" w:styleId="779">
    <w:name w:val="toc 5"/>
    <w:basedOn w:val="763"/>
    <w:next w:val="763"/>
    <w:uiPriority w:val="39"/>
    <w:semiHidden/>
    <w:qFormat/>
    <w:pPr>
      <w:ind w:left="840"/>
      <w:jc w:val="left"/>
    </w:pPr>
    <w:rPr>
      <w:szCs w:val="21"/>
    </w:rPr>
  </w:style>
  <w:style w:type="paragraph" w:styleId="780">
    <w:name w:val="toc 3"/>
    <w:basedOn w:val="763"/>
    <w:next w:val="763"/>
    <w:uiPriority w:val="39"/>
    <w:qFormat/>
    <w:pPr>
      <w:ind w:left="420"/>
      <w:jc w:val="left"/>
    </w:pPr>
    <w:rPr>
      <w:i/>
      <w:iCs/>
      <w:szCs w:val="24"/>
    </w:rPr>
  </w:style>
  <w:style w:type="paragraph" w:styleId="781">
    <w:name w:val="toc 8"/>
    <w:basedOn w:val="763"/>
    <w:next w:val="763"/>
    <w:uiPriority w:val="39"/>
    <w:semiHidden/>
    <w:qFormat/>
    <w:pPr>
      <w:ind w:left="1470"/>
      <w:jc w:val="left"/>
    </w:pPr>
    <w:rPr>
      <w:szCs w:val="21"/>
    </w:rPr>
  </w:style>
  <w:style w:type="paragraph" w:styleId="782">
    <w:name w:val="endnote text"/>
    <w:basedOn w:val="763"/>
    <w:link w:val="837"/>
    <w:uiPriority w:val="99"/>
    <w:semiHidden/>
    <w:unhideWhenUsed/>
    <w:rPr>
      <w:sz w:val="20"/>
    </w:rPr>
  </w:style>
  <w:style w:type="paragraph" w:styleId="783">
    <w:name w:val="Footer"/>
    <w:basedOn w:val="763"/>
    <w:link w:val="816"/>
    <w:uiPriority w:val="99"/>
    <w:unhideWhenUsed/>
    <w:qFormat/>
    <w:pPr>
      <w:tabs>
        <w:tab w:val="center" w:pos="7143" w:leader="none"/>
        <w:tab w:val="right" w:pos="14287" w:leader="none"/>
      </w:tabs>
    </w:pPr>
  </w:style>
  <w:style w:type="paragraph" w:styleId="784">
    <w:name w:val="Header"/>
    <w:basedOn w:val="763"/>
    <w:link w:val="815"/>
    <w:uiPriority w:val="99"/>
    <w:unhideWhenUsed/>
    <w:pPr>
      <w:tabs>
        <w:tab w:val="center" w:pos="7143" w:leader="none"/>
        <w:tab w:val="right" w:pos="14287" w:leader="none"/>
      </w:tabs>
    </w:pPr>
  </w:style>
  <w:style w:type="paragraph" w:styleId="785">
    <w:name w:val="toc 1"/>
    <w:basedOn w:val="763"/>
    <w:next w:val="763"/>
    <w:uiPriority w:val="39"/>
    <w:qFormat/>
    <w:pPr>
      <w:jc w:val="left"/>
      <w:spacing w:before="120" w:after="120" w:line="400" w:lineRule="exact"/>
      <w:tabs>
        <w:tab w:val="right" w:pos="8720" w:leader="dot"/>
      </w:tabs>
    </w:pPr>
    <w:rPr>
      <w:rFonts w:ascii="宋体" w:hAnsi="宋体"/>
      <w:caps/>
      <w:sz w:val="24"/>
      <w:szCs w:val="24"/>
    </w:rPr>
  </w:style>
  <w:style w:type="paragraph" w:styleId="786">
    <w:name w:val="toc 4"/>
    <w:basedOn w:val="763"/>
    <w:next w:val="763"/>
    <w:uiPriority w:val="39"/>
    <w:semiHidden/>
    <w:qFormat/>
    <w:pPr>
      <w:ind w:left="630"/>
      <w:jc w:val="left"/>
    </w:pPr>
    <w:rPr>
      <w:szCs w:val="21"/>
    </w:rPr>
  </w:style>
  <w:style w:type="paragraph" w:styleId="787">
    <w:name w:val="Subtitle"/>
    <w:basedOn w:val="763"/>
    <w:next w:val="763"/>
    <w:link w:val="810"/>
    <w:uiPriority w:val="11"/>
    <w:qFormat/>
    <w:pPr>
      <w:spacing w:before="200" w:after="200"/>
    </w:pPr>
    <w:rPr>
      <w:sz w:val="24"/>
      <w:szCs w:val="24"/>
    </w:rPr>
  </w:style>
  <w:style w:type="paragraph" w:styleId="788">
    <w:name w:val="footnote text"/>
    <w:basedOn w:val="763"/>
    <w:link w:val="836"/>
    <w:uiPriority w:val="99"/>
    <w:semiHidden/>
    <w:unhideWhenUsed/>
    <w:qFormat/>
    <w:pPr>
      <w:spacing w:after="40"/>
    </w:pPr>
    <w:rPr>
      <w:sz w:val="18"/>
    </w:rPr>
  </w:style>
  <w:style w:type="paragraph" w:styleId="789">
    <w:name w:val="toc 6"/>
    <w:basedOn w:val="763"/>
    <w:next w:val="763"/>
    <w:uiPriority w:val="39"/>
    <w:semiHidden/>
    <w:qFormat/>
    <w:pPr>
      <w:ind w:left="1050"/>
      <w:jc w:val="left"/>
    </w:pPr>
    <w:rPr>
      <w:szCs w:val="21"/>
    </w:rPr>
  </w:style>
  <w:style w:type="paragraph" w:styleId="790">
    <w:name w:val="table of figures"/>
    <w:basedOn w:val="763"/>
    <w:next w:val="763"/>
    <w:uiPriority w:val="99"/>
    <w:unhideWhenUsed/>
  </w:style>
  <w:style w:type="paragraph" w:styleId="791">
    <w:name w:val="toc 2"/>
    <w:basedOn w:val="763"/>
    <w:next w:val="763"/>
    <w:uiPriority w:val="39"/>
    <w:qFormat/>
    <w:pPr>
      <w:ind w:left="210"/>
      <w:jc w:val="left"/>
    </w:pPr>
    <w:rPr>
      <w:smallCaps/>
      <w:szCs w:val="24"/>
    </w:rPr>
  </w:style>
  <w:style w:type="paragraph" w:styleId="792">
    <w:name w:val="toc 9"/>
    <w:basedOn w:val="763"/>
    <w:next w:val="763"/>
    <w:uiPriority w:val="39"/>
    <w:semiHidden/>
    <w:qFormat/>
    <w:pPr>
      <w:ind w:left="1680"/>
      <w:jc w:val="left"/>
    </w:pPr>
    <w:rPr>
      <w:szCs w:val="21"/>
    </w:rPr>
  </w:style>
  <w:style w:type="paragraph" w:styleId="793">
    <w:name w:val="Title"/>
    <w:basedOn w:val="763"/>
    <w:next w:val="763"/>
    <w:link w:val="809"/>
    <w:uiPriority w:val="10"/>
    <w:qFormat/>
    <w:pPr>
      <w:contextualSpacing/>
      <w:spacing w:before="300" w:after="200"/>
    </w:pPr>
    <w:rPr>
      <w:sz w:val="48"/>
      <w:szCs w:val="48"/>
    </w:rPr>
  </w:style>
  <w:style w:type="table" w:styleId="7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endnote reference"/>
    <w:uiPriority w:val="99"/>
    <w:semiHidden/>
    <w:unhideWhenUsed/>
    <w:qFormat/>
    <w:rPr>
      <w:vertAlign w:val="superscript"/>
    </w:rPr>
  </w:style>
  <w:style w:type="character" w:styleId="796">
    <w:name w:val="Hyperlink"/>
    <w:uiPriority w:val="99"/>
    <w:unhideWhenUsed/>
    <w:qFormat/>
    <w:rPr>
      <w:color w:val="0000ff" w:themeColor="hyperlink"/>
      <w:u w:val="single"/>
    </w:rPr>
  </w:style>
  <w:style w:type="character" w:styleId="797">
    <w:name w:val="footnote reference"/>
    <w:uiPriority w:val="99"/>
    <w:unhideWhenUsed/>
    <w:rPr>
      <w:vertAlign w:val="superscript"/>
    </w:rPr>
  </w:style>
  <w:style w:type="character" w:styleId="798" w:customStyle="1">
    <w:name w:val="标题 1 字符2"/>
    <w:link w:val="764"/>
    <w:uiPriority w:val="9"/>
    <w:qFormat/>
    <w:rPr>
      <w:rFonts w:ascii="Arial" w:hAnsi="Arial" w:eastAsia="Arial" w:cs="Arial"/>
      <w:sz w:val="40"/>
      <w:szCs w:val="40"/>
    </w:rPr>
  </w:style>
  <w:style w:type="character" w:styleId="799" w:customStyle="1">
    <w:name w:val="标题 2 字符2"/>
    <w:link w:val="765"/>
    <w:uiPriority w:val="9"/>
    <w:qFormat/>
    <w:rPr>
      <w:rFonts w:ascii="Arial" w:hAnsi="Arial" w:eastAsia="Arial" w:cs="Arial"/>
      <w:sz w:val="34"/>
    </w:rPr>
  </w:style>
  <w:style w:type="character" w:styleId="800" w:customStyle="1">
    <w:name w:val="标题 3 字符2"/>
    <w:link w:val="766"/>
    <w:uiPriority w:val="9"/>
    <w:qFormat/>
    <w:rPr>
      <w:rFonts w:ascii="Arial" w:hAnsi="Arial" w:eastAsia="Arial" w:cs="Arial"/>
      <w:sz w:val="30"/>
      <w:szCs w:val="30"/>
    </w:rPr>
  </w:style>
  <w:style w:type="character" w:styleId="801" w:customStyle="1">
    <w:name w:val="标题 4 字符2"/>
    <w:link w:val="767"/>
    <w:uiPriority w:val="9"/>
    <w:qFormat/>
    <w:rPr>
      <w:rFonts w:ascii="Arial" w:hAnsi="Arial" w:eastAsia="Arial" w:cs="Arial"/>
      <w:b/>
      <w:bCs/>
      <w:sz w:val="26"/>
      <w:szCs w:val="26"/>
    </w:rPr>
  </w:style>
  <w:style w:type="character" w:styleId="802" w:customStyle="1">
    <w:name w:val="标题 5 字符2"/>
    <w:link w:val="768"/>
    <w:uiPriority w:val="9"/>
    <w:qFormat/>
    <w:rPr>
      <w:rFonts w:ascii="Arial" w:hAnsi="Arial" w:eastAsia="Arial" w:cs="Arial"/>
      <w:b/>
      <w:bCs/>
      <w:sz w:val="24"/>
      <w:szCs w:val="24"/>
    </w:rPr>
  </w:style>
  <w:style w:type="character" w:styleId="803" w:customStyle="1">
    <w:name w:val="标题 6 字符2"/>
    <w:link w:val="769"/>
    <w:uiPriority w:val="9"/>
    <w:qFormat/>
    <w:rPr>
      <w:rFonts w:ascii="Arial" w:hAnsi="Arial" w:eastAsia="Arial" w:cs="Arial"/>
      <w:b/>
      <w:bCs/>
      <w:sz w:val="22"/>
      <w:szCs w:val="22"/>
    </w:rPr>
  </w:style>
  <w:style w:type="character" w:styleId="804" w:customStyle="1">
    <w:name w:val="标题 7 字符2"/>
    <w:link w:val="770"/>
    <w:uiPriority w:val="9"/>
    <w:qFormat/>
    <w:rPr>
      <w:rFonts w:ascii="Arial" w:hAnsi="Arial" w:eastAsia="Arial" w:cs="Arial"/>
      <w:b/>
      <w:bCs/>
      <w:i/>
      <w:iCs/>
      <w:sz w:val="22"/>
      <w:szCs w:val="22"/>
    </w:rPr>
  </w:style>
  <w:style w:type="character" w:styleId="805" w:customStyle="1">
    <w:name w:val="标题 8 字符2"/>
    <w:link w:val="771"/>
    <w:uiPriority w:val="9"/>
    <w:qFormat/>
    <w:rPr>
      <w:rFonts w:ascii="Arial" w:hAnsi="Arial" w:eastAsia="Arial" w:cs="Arial"/>
      <w:i/>
      <w:iCs/>
      <w:sz w:val="22"/>
      <w:szCs w:val="22"/>
    </w:rPr>
  </w:style>
  <w:style w:type="character" w:styleId="806" w:customStyle="1">
    <w:name w:val="标题 9 字符2"/>
    <w:link w:val="772"/>
    <w:uiPriority w:val="9"/>
    <w:qFormat/>
    <w:rPr>
      <w:rFonts w:ascii="Arial" w:hAnsi="Arial" w:eastAsia="Arial" w:cs="Arial"/>
      <w:i/>
      <w:iCs/>
      <w:sz w:val="21"/>
      <w:szCs w:val="21"/>
    </w:rPr>
  </w:style>
  <w:style w:type="paragraph" w:styleId="807">
    <w:name w:val="List Paragraph"/>
    <w:basedOn w:val="763"/>
    <w:uiPriority w:val="34"/>
    <w:qFormat/>
    <w:pPr>
      <w:contextualSpacing/>
      <w:ind w:left="720"/>
    </w:pPr>
  </w:style>
  <w:style w:type="paragraph" w:styleId="808">
    <w:name w:val="No Spacing"/>
    <w:uiPriority w:val="1"/>
    <w:qFormat/>
  </w:style>
  <w:style w:type="character" w:styleId="809" w:customStyle="1">
    <w:name w:val="标题 字符1"/>
    <w:link w:val="793"/>
    <w:uiPriority w:val="10"/>
    <w:qFormat/>
    <w:rPr>
      <w:sz w:val="48"/>
      <w:szCs w:val="48"/>
    </w:rPr>
  </w:style>
  <w:style w:type="character" w:styleId="810" w:customStyle="1">
    <w:name w:val="副标题 字符1"/>
    <w:link w:val="787"/>
    <w:uiPriority w:val="11"/>
    <w:qFormat/>
    <w:rPr>
      <w:sz w:val="24"/>
      <w:szCs w:val="24"/>
    </w:rPr>
  </w:style>
  <w:style w:type="paragraph" w:styleId="811">
    <w:name w:val="Quote"/>
    <w:basedOn w:val="763"/>
    <w:next w:val="763"/>
    <w:link w:val="812"/>
    <w:uiPriority w:val="29"/>
    <w:qFormat/>
    <w:pPr>
      <w:ind w:left="720" w:right="720"/>
    </w:pPr>
    <w:rPr>
      <w:i/>
    </w:rPr>
  </w:style>
  <w:style w:type="character" w:styleId="812" w:customStyle="1">
    <w:name w:val="引用 字符1"/>
    <w:link w:val="811"/>
    <w:uiPriority w:val="29"/>
    <w:qFormat/>
    <w:rPr>
      <w:i/>
    </w:rPr>
  </w:style>
  <w:style w:type="paragraph" w:styleId="813">
    <w:name w:val="Intense Quote"/>
    <w:basedOn w:val="763"/>
    <w:next w:val="763"/>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字符1"/>
    <w:link w:val="813"/>
    <w:uiPriority w:val="30"/>
    <w:qFormat/>
    <w:rPr>
      <w:i/>
    </w:rPr>
  </w:style>
  <w:style w:type="character" w:styleId="815" w:customStyle="1">
    <w:name w:val="页眉 字符2"/>
    <w:link w:val="784"/>
    <w:uiPriority w:val="99"/>
    <w:qFormat/>
  </w:style>
  <w:style w:type="character" w:styleId="816" w:customStyle="1">
    <w:name w:val="页脚 字符2"/>
    <w:link w:val="783"/>
    <w:uiPriority w:val="99"/>
    <w:qFormat/>
  </w:style>
  <w:style w:type="table" w:styleId="817"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3"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4"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8"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9"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4"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5"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36" w:customStyle="1">
    <w:name w:val="脚注文本 字符1"/>
    <w:link w:val="788"/>
    <w:uiPriority w:val="99"/>
    <w:qFormat/>
    <w:rPr>
      <w:sz w:val="18"/>
    </w:rPr>
  </w:style>
  <w:style w:type="character" w:styleId="837" w:customStyle="1">
    <w:name w:val="尾注文本 字符1"/>
    <w:link w:val="782"/>
    <w:uiPriority w:val="99"/>
    <w:qFormat/>
    <w:rPr>
      <w:sz w:val="20"/>
    </w:rPr>
  </w:style>
  <w:style w:type="paragraph" w:styleId="838" w:customStyle="1">
    <w:name w:val="TOC 标题1"/>
    <w:uiPriority w:val="39"/>
    <w:unhideWhenUsed/>
    <w:qFormat/>
  </w:style>
  <w:style w:type="paragraph" w:styleId="839" w:customStyle="1">
    <w:name w:val="标题 111"/>
    <w:basedOn w:val="763"/>
    <w:next w:val="763"/>
    <w:link w:val="851"/>
    <w:uiPriority w:val="9"/>
    <w:qFormat/>
    <w:pPr>
      <w:jc w:val="center"/>
      <w:keepNext/>
      <w:outlineLvl w:val="0"/>
    </w:pPr>
    <w:rPr>
      <w:rFonts w:ascii="楷体_GB2312" w:eastAsia="楷体_GB2312"/>
      <w:sz w:val="28"/>
      <w:szCs w:val="28"/>
    </w:rPr>
  </w:style>
  <w:style w:type="paragraph" w:styleId="840" w:customStyle="1">
    <w:name w:val="标题 211"/>
    <w:basedOn w:val="763"/>
    <w:next w:val="841"/>
    <w:link w:val="852"/>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841" w:customStyle="1">
    <w:name w:val="正文缩进11"/>
    <w:basedOn w:val="763"/>
    <w:link w:val="853"/>
    <w:qFormat/>
    <w:pPr>
      <w:ind w:firstLine="420"/>
    </w:pPr>
    <w:rPr>
      <w:szCs w:val="21"/>
    </w:rPr>
  </w:style>
  <w:style w:type="paragraph" w:styleId="842" w:customStyle="1">
    <w:name w:val="标题 311"/>
    <w:basedOn w:val="763"/>
    <w:next w:val="841"/>
    <w:link w:val="854"/>
    <w:uiPriority w:val="9"/>
    <w:qFormat/>
    <w:pPr>
      <w:keepLines/>
      <w:keepNext/>
      <w:spacing w:before="260" w:after="260" w:line="416" w:lineRule="auto"/>
      <w:outlineLvl w:val="2"/>
    </w:pPr>
    <w:rPr>
      <w:b/>
      <w:bCs/>
      <w:sz w:val="32"/>
      <w:szCs w:val="32"/>
    </w:rPr>
  </w:style>
  <w:style w:type="paragraph" w:styleId="843" w:customStyle="1">
    <w:name w:val="标题 411"/>
    <w:basedOn w:val="763"/>
    <w:next w:val="841"/>
    <w:link w:val="855"/>
    <w:uiPriority w:val="9"/>
    <w:qFormat/>
    <w:pPr>
      <w:keepLines/>
      <w:keepNext/>
      <w:spacing w:before="280" w:after="290" w:line="376" w:lineRule="auto"/>
      <w:outlineLvl w:val="3"/>
    </w:pPr>
    <w:rPr>
      <w:rFonts w:ascii="Arial" w:hAnsi="Arial" w:eastAsia="黑体" w:cs="Arial"/>
      <w:b/>
      <w:bCs/>
      <w:sz w:val="28"/>
      <w:szCs w:val="28"/>
    </w:rPr>
  </w:style>
  <w:style w:type="paragraph" w:styleId="844" w:customStyle="1">
    <w:name w:val="标题 511"/>
    <w:basedOn w:val="763"/>
    <w:next w:val="841"/>
    <w:link w:val="856"/>
    <w:uiPriority w:val="9"/>
    <w:qFormat/>
    <w:pPr>
      <w:keepNext/>
      <w:outlineLvl w:val="4"/>
    </w:pPr>
    <w:rPr>
      <w:rFonts w:ascii="宋体"/>
      <w:color w:val="000000"/>
      <w:sz w:val="28"/>
      <w:szCs w:val="28"/>
    </w:rPr>
  </w:style>
  <w:style w:type="paragraph" w:styleId="845" w:customStyle="1">
    <w:name w:val="标题 611"/>
    <w:basedOn w:val="763"/>
    <w:next w:val="763"/>
    <w:link w:val="857"/>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846" w:customStyle="1">
    <w:name w:val="标题 711"/>
    <w:basedOn w:val="763"/>
    <w:next w:val="763"/>
    <w:link w:val="858"/>
    <w:uiPriority w:val="9"/>
    <w:qFormat/>
    <w:pPr>
      <w:numPr>
        <w:ilvl w:val="6"/>
        <w:numId w:val="1"/>
      </w:numPr>
      <w:keepLines/>
      <w:keepNext/>
      <w:spacing w:before="240" w:after="64" w:line="320" w:lineRule="auto"/>
      <w:outlineLvl w:val="6"/>
    </w:pPr>
    <w:rPr>
      <w:b/>
      <w:bCs/>
      <w:sz w:val="24"/>
      <w:szCs w:val="24"/>
    </w:rPr>
  </w:style>
  <w:style w:type="paragraph" w:styleId="847" w:customStyle="1">
    <w:name w:val="标题 811"/>
    <w:basedOn w:val="763"/>
    <w:next w:val="763"/>
    <w:link w:val="859"/>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848" w:customStyle="1">
    <w:name w:val="标题 911"/>
    <w:basedOn w:val="763"/>
    <w:next w:val="763"/>
    <w:link w:val="860"/>
    <w:uiPriority w:val="9"/>
    <w:qFormat/>
    <w:pPr>
      <w:numPr>
        <w:ilvl w:val="8"/>
        <w:numId w:val="1"/>
      </w:numPr>
      <w:keepLines/>
      <w:keepNext/>
      <w:spacing w:before="240" w:after="64" w:line="320" w:lineRule="auto"/>
      <w:outlineLvl w:val="8"/>
    </w:pPr>
    <w:rPr>
      <w:rFonts w:ascii="Arial" w:hAnsi="Arial" w:eastAsia="黑体"/>
      <w:szCs w:val="21"/>
    </w:rPr>
  </w:style>
  <w:style w:type="character" w:styleId="849" w:customStyle="1">
    <w:name w:val="默认段落字体11"/>
    <w:uiPriority w:val="1"/>
    <w:unhideWhenUsed/>
    <w:qFormat/>
  </w:style>
  <w:style w:type="table" w:styleId="850" w:customStyle="1">
    <w:name w:val="普通表格11"/>
    <w:uiPriority w:val="99"/>
    <w:unhideWhenUsed/>
    <w:qFormat/>
    <w:tblPr>
      <w:tblCellMar>
        <w:left w:w="0" w:type="dxa"/>
        <w:top w:w="0" w:type="dxa"/>
        <w:right w:w="0" w:type="dxa"/>
        <w:bottom w:w="0" w:type="dxa"/>
      </w:tblCellMar>
    </w:tblPr>
  </w:style>
  <w:style w:type="character" w:styleId="851" w:customStyle="1">
    <w:name w:val="标题 1 字符"/>
    <w:link w:val="839"/>
    <w:uiPriority w:val="9"/>
    <w:qFormat/>
    <w:rPr>
      <w:rFonts w:ascii="楷体_GB2312" w:hAnsi="Times New Roman" w:eastAsia="楷体_GB2312" w:cs="Times New Roman"/>
      <w:sz w:val="28"/>
      <w:szCs w:val="28"/>
    </w:rPr>
  </w:style>
  <w:style w:type="character" w:styleId="852" w:customStyle="1">
    <w:name w:val="标题 2 字符"/>
    <w:link w:val="840"/>
    <w:uiPriority w:val="9"/>
    <w:qFormat/>
    <w:rPr>
      <w:rFonts w:ascii="Arial" w:hAnsi="Arial" w:eastAsia="幼圆" w:cs="Arial"/>
      <w:b/>
      <w:bCs/>
      <w:sz w:val="44"/>
      <w:szCs w:val="44"/>
    </w:rPr>
  </w:style>
  <w:style w:type="character" w:styleId="853" w:customStyle="1">
    <w:name w:val="正文缩进 字符"/>
    <w:link w:val="841"/>
    <w:qFormat/>
    <w:rPr>
      <w:szCs w:val="21"/>
    </w:rPr>
  </w:style>
  <w:style w:type="character" w:styleId="854" w:customStyle="1">
    <w:name w:val="标题 3 字符"/>
    <w:link w:val="842"/>
    <w:uiPriority w:val="9"/>
    <w:qFormat/>
    <w:rPr>
      <w:rFonts w:ascii="Times New Roman" w:hAnsi="Times New Roman" w:eastAsia="宋体" w:cs="Times New Roman"/>
      <w:b/>
      <w:bCs/>
      <w:sz w:val="32"/>
      <w:szCs w:val="32"/>
    </w:rPr>
  </w:style>
  <w:style w:type="character" w:styleId="855" w:customStyle="1">
    <w:name w:val="标题 4 字符"/>
    <w:link w:val="843"/>
    <w:uiPriority w:val="9"/>
    <w:qFormat/>
    <w:rPr>
      <w:rFonts w:ascii="Arial" w:hAnsi="Arial" w:eastAsia="黑体" w:cs="Arial"/>
      <w:b/>
      <w:bCs/>
      <w:sz w:val="28"/>
      <w:szCs w:val="28"/>
    </w:rPr>
  </w:style>
  <w:style w:type="character" w:styleId="856" w:customStyle="1">
    <w:name w:val="标题 5 字符"/>
    <w:link w:val="844"/>
    <w:uiPriority w:val="9"/>
    <w:qFormat/>
    <w:rPr>
      <w:rFonts w:ascii="宋体" w:hAnsi="Times New Roman" w:eastAsia="宋体" w:cs="Times New Roman"/>
      <w:color w:val="000000"/>
      <w:sz w:val="28"/>
      <w:szCs w:val="28"/>
    </w:rPr>
  </w:style>
  <w:style w:type="character" w:styleId="857" w:customStyle="1">
    <w:name w:val="标题 6 字符"/>
    <w:link w:val="845"/>
    <w:uiPriority w:val="9"/>
    <w:qFormat/>
    <w:rPr>
      <w:rFonts w:ascii="Arial" w:hAnsi="Arial" w:eastAsia="黑体" w:cs="Times New Roman"/>
      <w:b/>
      <w:bCs/>
      <w:sz w:val="24"/>
      <w:szCs w:val="24"/>
    </w:rPr>
  </w:style>
  <w:style w:type="character" w:styleId="858" w:customStyle="1">
    <w:name w:val="标题 7 字符"/>
    <w:link w:val="846"/>
    <w:uiPriority w:val="9"/>
    <w:qFormat/>
    <w:rPr>
      <w:rFonts w:ascii="Times New Roman" w:hAnsi="Times New Roman" w:eastAsia="宋体" w:cs="Times New Roman"/>
      <w:b/>
      <w:bCs/>
      <w:sz w:val="24"/>
      <w:szCs w:val="24"/>
    </w:rPr>
  </w:style>
  <w:style w:type="character" w:styleId="859" w:customStyle="1">
    <w:name w:val="标题 8 字符"/>
    <w:link w:val="847"/>
    <w:uiPriority w:val="9"/>
    <w:qFormat/>
    <w:rPr>
      <w:rFonts w:ascii="Arial" w:hAnsi="Arial" w:eastAsia="黑体" w:cs="Times New Roman"/>
      <w:sz w:val="24"/>
      <w:szCs w:val="24"/>
    </w:rPr>
  </w:style>
  <w:style w:type="character" w:styleId="860" w:customStyle="1">
    <w:name w:val="标题 9 字符"/>
    <w:link w:val="848"/>
    <w:uiPriority w:val="9"/>
    <w:qFormat/>
    <w:rPr>
      <w:rFonts w:ascii="Arial" w:hAnsi="Arial" w:eastAsia="黑体" w:cs="Times New Roman"/>
      <w:szCs w:val="21"/>
    </w:rPr>
  </w:style>
  <w:style w:type="paragraph" w:styleId="861" w:customStyle="1">
    <w:name w:val="列表 311"/>
    <w:basedOn w:val="763"/>
    <w:qFormat/>
    <w:pPr>
      <w:ind w:left="100" w:hanging="200"/>
    </w:pPr>
    <w:rPr>
      <w:szCs w:val="21"/>
    </w:rPr>
  </w:style>
  <w:style w:type="paragraph" w:styleId="862" w:customStyle="1">
    <w:name w:val="文档结构图11"/>
    <w:basedOn w:val="763"/>
    <w:link w:val="863"/>
    <w:semiHidden/>
    <w:qFormat/>
    <w:pPr>
      <w:shd w:val="clear" w:color="auto" w:fill="000080"/>
    </w:pPr>
    <w:rPr>
      <w:szCs w:val="21"/>
    </w:rPr>
  </w:style>
  <w:style w:type="character" w:styleId="863" w:customStyle="1">
    <w:name w:val="文档结构图 字符"/>
    <w:link w:val="862"/>
    <w:semiHidden/>
    <w:qFormat/>
    <w:rPr>
      <w:rFonts w:ascii="Times New Roman" w:hAnsi="Times New Roman" w:eastAsia="宋体" w:cs="Times New Roman"/>
      <w:szCs w:val="21"/>
      <w:shd w:val="clear" w:color="auto" w:fill="000080"/>
    </w:rPr>
  </w:style>
  <w:style w:type="paragraph" w:styleId="864" w:customStyle="1">
    <w:name w:val="批注文字11"/>
    <w:basedOn w:val="763"/>
    <w:link w:val="865"/>
    <w:uiPriority w:val="99"/>
    <w:unhideWhenUsed/>
    <w:qFormat/>
    <w:pPr>
      <w:jc w:val="left"/>
    </w:pPr>
  </w:style>
  <w:style w:type="character" w:styleId="865" w:customStyle="1">
    <w:name w:val="批注文字 字符"/>
    <w:link w:val="864"/>
    <w:uiPriority w:val="99"/>
    <w:semiHidden/>
    <w:qFormat/>
  </w:style>
  <w:style w:type="paragraph" w:styleId="866" w:customStyle="1">
    <w:name w:val="正文文本 311"/>
    <w:basedOn w:val="763"/>
    <w:link w:val="867"/>
    <w:qFormat/>
    <w:rPr>
      <w:rFonts w:ascii="仿宋_GB2312" w:hAnsi="Arial" w:eastAsia="仿宋_GB2312"/>
      <w:sz w:val="32"/>
      <w:szCs w:val="32"/>
    </w:rPr>
  </w:style>
  <w:style w:type="character" w:styleId="867" w:customStyle="1">
    <w:name w:val="正文文本 3 字符"/>
    <w:link w:val="866"/>
    <w:qFormat/>
    <w:rPr>
      <w:rFonts w:ascii="仿宋_GB2312" w:hAnsi="Arial" w:eastAsia="仿宋_GB2312" w:cs="Times New Roman"/>
      <w:sz w:val="32"/>
      <w:szCs w:val="32"/>
    </w:rPr>
  </w:style>
  <w:style w:type="paragraph" w:styleId="868" w:customStyle="1">
    <w:name w:val="正文文本11"/>
    <w:basedOn w:val="763"/>
    <w:link w:val="869"/>
    <w:qFormat/>
    <w:rPr>
      <w:rFonts w:ascii="楷体_GB2312" w:hAnsi="Arial" w:eastAsia="楷体_GB2312"/>
      <w:sz w:val="28"/>
      <w:szCs w:val="28"/>
    </w:rPr>
  </w:style>
  <w:style w:type="character" w:styleId="869" w:customStyle="1">
    <w:name w:val="正文文本 字符"/>
    <w:link w:val="868"/>
    <w:qFormat/>
    <w:rPr>
      <w:rFonts w:ascii="楷体_GB2312" w:hAnsi="Arial" w:eastAsia="楷体_GB2312" w:cs="Times New Roman"/>
      <w:sz w:val="28"/>
      <w:szCs w:val="28"/>
    </w:rPr>
  </w:style>
  <w:style w:type="paragraph" w:styleId="870" w:customStyle="1">
    <w:name w:val="正文文本缩进111"/>
    <w:basedOn w:val="763"/>
    <w:link w:val="871"/>
    <w:unhideWhenUsed/>
    <w:qFormat/>
    <w:pPr>
      <w:ind w:left="420"/>
      <w:spacing w:after="120"/>
    </w:pPr>
  </w:style>
  <w:style w:type="character" w:styleId="871" w:customStyle="1">
    <w:name w:val="正文文本缩进 字符"/>
    <w:link w:val="870"/>
    <w:qFormat/>
  </w:style>
  <w:style w:type="paragraph" w:styleId="872" w:customStyle="1">
    <w:name w:val="列表 211"/>
    <w:basedOn w:val="763"/>
    <w:qFormat/>
    <w:pPr>
      <w:ind w:left="100" w:hanging="200"/>
    </w:pPr>
    <w:rPr>
      <w:szCs w:val="21"/>
    </w:rPr>
  </w:style>
  <w:style w:type="paragraph" w:styleId="873" w:customStyle="1">
    <w:name w:val="纯文本11"/>
    <w:basedOn w:val="763"/>
    <w:link w:val="874"/>
    <w:qFormat/>
    <w:rPr>
      <w:rFonts w:ascii="宋体" w:hAnsi="Courier New" w:cs="Courier New"/>
      <w:szCs w:val="21"/>
    </w:rPr>
  </w:style>
  <w:style w:type="character" w:styleId="874" w:customStyle="1">
    <w:name w:val="纯文本 字符"/>
    <w:link w:val="873"/>
    <w:qFormat/>
    <w:rPr>
      <w:rFonts w:ascii="宋体" w:hAnsi="Courier New" w:eastAsia="宋体" w:cs="Courier New"/>
      <w:szCs w:val="21"/>
    </w:rPr>
  </w:style>
  <w:style w:type="paragraph" w:styleId="875" w:customStyle="1">
    <w:name w:val="日期11"/>
    <w:basedOn w:val="763"/>
    <w:next w:val="763"/>
    <w:link w:val="876"/>
    <w:qFormat/>
    <w:rPr>
      <w:sz w:val="24"/>
      <w:szCs w:val="24"/>
    </w:rPr>
  </w:style>
  <w:style w:type="character" w:styleId="876" w:customStyle="1">
    <w:name w:val="日期 字符"/>
    <w:link w:val="875"/>
    <w:qFormat/>
    <w:rPr>
      <w:rFonts w:ascii="Times New Roman" w:hAnsi="Times New Roman" w:eastAsia="宋体" w:cs="Times New Roman"/>
      <w:sz w:val="24"/>
      <w:szCs w:val="24"/>
    </w:rPr>
  </w:style>
  <w:style w:type="paragraph" w:styleId="877" w:customStyle="1">
    <w:name w:val="正文文本缩进 211"/>
    <w:basedOn w:val="763"/>
    <w:link w:val="878"/>
    <w:qFormat/>
    <w:pPr>
      <w:ind w:left="630" w:firstLine="645"/>
    </w:pPr>
    <w:rPr>
      <w:rFonts w:ascii="Arial" w:hAnsi="Arial" w:eastAsia="仿宋_GB2312" w:cs="Arial"/>
      <w:sz w:val="32"/>
      <w:szCs w:val="32"/>
    </w:rPr>
  </w:style>
  <w:style w:type="character" w:styleId="878" w:customStyle="1">
    <w:name w:val="正文文本缩进 2 字符"/>
    <w:link w:val="877"/>
    <w:qFormat/>
    <w:rPr>
      <w:rFonts w:ascii="Arial" w:hAnsi="Arial" w:eastAsia="仿宋_GB2312" w:cs="Arial"/>
      <w:sz w:val="32"/>
      <w:szCs w:val="32"/>
    </w:rPr>
  </w:style>
  <w:style w:type="paragraph" w:styleId="879" w:customStyle="1">
    <w:name w:val="尾注文本1"/>
    <w:basedOn w:val="763"/>
    <w:link w:val="880"/>
    <w:uiPriority w:val="99"/>
    <w:unhideWhenUsed/>
    <w:qFormat/>
    <w:rPr>
      <w:sz w:val="20"/>
    </w:rPr>
  </w:style>
  <w:style w:type="character" w:styleId="880" w:customStyle="1">
    <w:name w:val="尾注文本 字符"/>
    <w:link w:val="879"/>
    <w:uiPriority w:val="99"/>
    <w:semiHidden/>
    <w:qFormat/>
    <w:rPr>
      <w:szCs w:val="22"/>
    </w:rPr>
  </w:style>
  <w:style w:type="paragraph" w:styleId="881" w:customStyle="1">
    <w:name w:val="批注框文本11"/>
    <w:basedOn w:val="763"/>
    <w:link w:val="882"/>
    <w:semiHidden/>
    <w:qFormat/>
    <w:rPr>
      <w:sz w:val="18"/>
      <w:szCs w:val="18"/>
    </w:rPr>
  </w:style>
  <w:style w:type="character" w:styleId="882" w:customStyle="1">
    <w:name w:val="批注框文本 字符"/>
    <w:link w:val="881"/>
    <w:semiHidden/>
    <w:qFormat/>
    <w:rPr>
      <w:rFonts w:ascii="Times New Roman" w:hAnsi="Times New Roman" w:eastAsia="宋体" w:cs="Times New Roman"/>
      <w:sz w:val="18"/>
      <w:szCs w:val="18"/>
    </w:rPr>
  </w:style>
  <w:style w:type="paragraph" w:styleId="883" w:customStyle="1">
    <w:name w:val="页脚11"/>
    <w:basedOn w:val="763"/>
    <w:link w:val="884"/>
    <w:uiPriority w:val="99"/>
    <w:qFormat/>
    <w:pPr>
      <w:jc w:val="left"/>
      <w:tabs>
        <w:tab w:val="center" w:pos="4153" w:leader="none"/>
        <w:tab w:val="right" w:pos="8306" w:leader="none"/>
      </w:tabs>
    </w:pPr>
    <w:rPr>
      <w:sz w:val="18"/>
      <w:szCs w:val="18"/>
    </w:rPr>
  </w:style>
  <w:style w:type="character" w:styleId="884" w:customStyle="1">
    <w:name w:val="页脚 字符"/>
    <w:link w:val="883"/>
    <w:uiPriority w:val="99"/>
    <w:qFormat/>
    <w:rPr>
      <w:rFonts w:ascii="Times New Roman" w:hAnsi="Times New Roman" w:eastAsia="宋体" w:cs="Times New Roman"/>
      <w:sz w:val="18"/>
      <w:szCs w:val="18"/>
    </w:rPr>
  </w:style>
  <w:style w:type="paragraph" w:styleId="885" w:customStyle="1">
    <w:name w:val="页眉11"/>
    <w:basedOn w:val="763"/>
    <w:link w:val="886"/>
    <w:uiPriority w:val="99"/>
    <w:qFormat/>
    <w:pPr>
      <w:jc w:val="center"/>
      <w:tabs>
        <w:tab w:val="center" w:pos="4153" w:leader="none"/>
        <w:tab w:val="right" w:pos="8306" w:leader="none"/>
      </w:tabs>
      <w:pBdr>
        <w:bottom w:val="single" w:color="000000" w:sz="6" w:space="1"/>
      </w:pBdr>
    </w:pPr>
    <w:rPr>
      <w:sz w:val="18"/>
      <w:szCs w:val="18"/>
    </w:rPr>
  </w:style>
  <w:style w:type="character" w:styleId="886" w:customStyle="1">
    <w:name w:val="页眉 字符"/>
    <w:link w:val="885"/>
    <w:uiPriority w:val="99"/>
    <w:qFormat/>
    <w:rPr>
      <w:rFonts w:ascii="Times New Roman" w:hAnsi="Times New Roman" w:eastAsia="宋体" w:cs="Times New Roman"/>
      <w:sz w:val="18"/>
      <w:szCs w:val="18"/>
    </w:rPr>
  </w:style>
  <w:style w:type="paragraph" w:styleId="887" w:customStyle="1">
    <w:name w:val="副标题1"/>
    <w:basedOn w:val="763"/>
    <w:next w:val="763"/>
    <w:link w:val="888"/>
    <w:uiPriority w:val="11"/>
    <w:qFormat/>
    <w:pPr>
      <w:spacing w:before="200" w:after="200"/>
    </w:pPr>
    <w:rPr>
      <w:sz w:val="24"/>
      <w:szCs w:val="24"/>
    </w:rPr>
  </w:style>
  <w:style w:type="character" w:styleId="888" w:customStyle="1">
    <w:name w:val="副标题 字符"/>
    <w:link w:val="887"/>
    <w:uiPriority w:val="11"/>
    <w:qFormat/>
    <w:rPr>
      <w:sz w:val="24"/>
      <w:szCs w:val="24"/>
    </w:rPr>
  </w:style>
  <w:style w:type="paragraph" w:styleId="889" w:customStyle="1">
    <w:name w:val="列表11"/>
    <w:basedOn w:val="763"/>
    <w:qFormat/>
    <w:pPr>
      <w:ind w:left="200" w:hanging="200"/>
    </w:pPr>
    <w:rPr>
      <w:szCs w:val="21"/>
    </w:rPr>
  </w:style>
  <w:style w:type="paragraph" w:styleId="890" w:customStyle="1">
    <w:name w:val="脚注文本1"/>
    <w:basedOn w:val="763"/>
    <w:link w:val="891"/>
    <w:uiPriority w:val="99"/>
    <w:unhideWhenUsed/>
    <w:qFormat/>
    <w:pPr>
      <w:spacing w:after="40"/>
    </w:pPr>
    <w:rPr>
      <w:sz w:val="18"/>
    </w:rPr>
  </w:style>
  <w:style w:type="character" w:styleId="891" w:customStyle="1">
    <w:name w:val="脚注文本 字符"/>
    <w:link w:val="890"/>
    <w:uiPriority w:val="99"/>
    <w:semiHidden/>
    <w:qFormat/>
    <w:rPr>
      <w:sz w:val="18"/>
      <w:szCs w:val="22"/>
    </w:rPr>
  </w:style>
  <w:style w:type="paragraph" w:styleId="892" w:customStyle="1">
    <w:name w:val="正文文本缩进 311"/>
    <w:basedOn w:val="763"/>
    <w:link w:val="893"/>
    <w:qFormat/>
    <w:pPr>
      <w:ind w:left="645" w:firstLine="645"/>
    </w:pPr>
    <w:rPr>
      <w:rFonts w:ascii="Arial" w:hAnsi="Arial" w:eastAsia="仿宋_GB2312" w:cs="Arial"/>
      <w:color w:val="ffff00"/>
      <w:sz w:val="32"/>
      <w:szCs w:val="32"/>
    </w:rPr>
  </w:style>
  <w:style w:type="character" w:styleId="893" w:customStyle="1">
    <w:name w:val="正文文本缩进 3 字符"/>
    <w:link w:val="892"/>
    <w:qFormat/>
    <w:rPr>
      <w:rFonts w:ascii="Arial" w:hAnsi="Arial" w:eastAsia="仿宋_GB2312" w:cs="Arial"/>
      <w:color w:val="ffff00"/>
      <w:sz w:val="32"/>
      <w:szCs w:val="32"/>
    </w:rPr>
  </w:style>
  <w:style w:type="paragraph" w:styleId="894" w:customStyle="1">
    <w:name w:val="图表目录11"/>
    <w:basedOn w:val="763"/>
    <w:next w:val="763"/>
    <w:uiPriority w:val="99"/>
    <w:semiHidden/>
    <w:qFormat/>
    <w:pPr>
      <w:ind w:left="840" w:hanging="420"/>
    </w:pPr>
    <w:rPr>
      <w:szCs w:val="21"/>
    </w:rPr>
  </w:style>
  <w:style w:type="paragraph" w:styleId="895" w:customStyle="1">
    <w:name w:val="正文文本 211"/>
    <w:basedOn w:val="763"/>
    <w:link w:val="896"/>
    <w:qFormat/>
    <w:pPr>
      <w:jc w:val="center"/>
      <w:widowControl/>
    </w:pPr>
    <w:rPr>
      <w:rFonts w:ascii="楷体_GB2312" w:eastAsia="楷体_GB2312"/>
      <w:sz w:val="28"/>
      <w:szCs w:val="28"/>
    </w:rPr>
  </w:style>
  <w:style w:type="character" w:styleId="896" w:customStyle="1">
    <w:name w:val="正文文本 2 字符"/>
    <w:link w:val="895"/>
    <w:qFormat/>
    <w:rPr>
      <w:rFonts w:ascii="楷体_GB2312" w:hAnsi="Times New Roman" w:eastAsia="楷体_GB2312" w:cs="Times New Roman"/>
      <w:sz w:val="28"/>
      <w:szCs w:val="28"/>
    </w:rPr>
  </w:style>
  <w:style w:type="paragraph" w:styleId="897" w:customStyle="1">
    <w:name w:val="普通(网站)11"/>
    <w:basedOn w:val="763"/>
    <w:uiPriority w:val="99"/>
    <w:qFormat/>
    <w:pPr>
      <w:jc w:val="left"/>
      <w:spacing w:before="100" w:beforeAutospacing="1" w:after="100" w:afterAutospacing="1"/>
      <w:widowControl/>
    </w:pPr>
    <w:rPr>
      <w:rFonts w:ascii="宋体" w:hAnsi="宋体" w:cs="宋体"/>
      <w:sz w:val="24"/>
      <w:szCs w:val="24"/>
    </w:rPr>
  </w:style>
  <w:style w:type="paragraph" w:styleId="898" w:customStyle="1">
    <w:name w:val="索引 111"/>
    <w:basedOn w:val="763"/>
    <w:next w:val="763"/>
    <w:semiHidden/>
    <w:qFormat/>
    <w:pPr>
      <w:spacing w:line="240" w:lineRule="atLeast"/>
    </w:pPr>
    <w:rPr>
      <w:b/>
      <w:bCs/>
      <w:szCs w:val="21"/>
    </w:rPr>
  </w:style>
  <w:style w:type="paragraph" w:styleId="899" w:customStyle="1">
    <w:name w:val="标题11"/>
    <w:basedOn w:val="763"/>
    <w:next w:val="763"/>
    <w:link w:val="900"/>
    <w:uiPriority w:val="10"/>
    <w:qFormat/>
    <w:pPr>
      <w:contextualSpacing/>
      <w:spacing w:before="300" w:after="200"/>
    </w:pPr>
    <w:rPr>
      <w:sz w:val="48"/>
      <w:szCs w:val="48"/>
    </w:rPr>
  </w:style>
  <w:style w:type="character" w:styleId="900" w:customStyle="1">
    <w:name w:val="标题 字符"/>
    <w:link w:val="899"/>
    <w:uiPriority w:val="10"/>
    <w:qFormat/>
    <w:rPr>
      <w:sz w:val="48"/>
      <w:szCs w:val="48"/>
    </w:rPr>
  </w:style>
  <w:style w:type="paragraph" w:styleId="901" w:customStyle="1">
    <w:name w:val="批注主题11"/>
    <w:basedOn w:val="864"/>
    <w:next w:val="864"/>
    <w:link w:val="902"/>
    <w:semiHidden/>
    <w:qFormat/>
    <w:rPr>
      <w:b/>
      <w:bCs/>
      <w:szCs w:val="21"/>
    </w:rPr>
  </w:style>
  <w:style w:type="character" w:styleId="902" w:customStyle="1">
    <w:name w:val="批注主题 字符"/>
    <w:link w:val="901"/>
    <w:semiHidden/>
    <w:qFormat/>
    <w:rPr>
      <w:rFonts w:ascii="Times New Roman" w:hAnsi="Times New Roman" w:eastAsia="宋体" w:cs="Times New Roman"/>
      <w:b/>
      <w:bCs/>
      <w:szCs w:val="21"/>
    </w:rPr>
  </w:style>
  <w:style w:type="paragraph" w:styleId="903" w:customStyle="1">
    <w:name w:val="正文文本首行缩进1"/>
    <w:basedOn w:val="763"/>
    <w:link w:val="904"/>
    <w:qFormat/>
    <w:pPr>
      <w:ind w:firstLine="200"/>
      <w:spacing w:line="360" w:lineRule="auto"/>
    </w:pPr>
    <w:rPr>
      <w:rFonts w:ascii="仿宋_GB2312" w:eastAsia="仿宋_GB2312"/>
      <w:sz w:val="30"/>
      <w:szCs w:val="30"/>
    </w:rPr>
  </w:style>
  <w:style w:type="character" w:styleId="904" w:customStyle="1">
    <w:name w:val="正文文本首行缩进 字符"/>
    <w:link w:val="903"/>
    <w:qFormat/>
    <w:rPr>
      <w:rFonts w:ascii="仿宋_GB2312" w:hAnsi="Times New Roman" w:eastAsia="仿宋_GB2312" w:cs="Times New Roman"/>
      <w:sz w:val="30"/>
      <w:szCs w:val="30"/>
    </w:rPr>
  </w:style>
  <w:style w:type="paragraph" w:styleId="905" w:customStyle="1">
    <w:name w:val="正文文本首行缩进 21"/>
    <w:basedOn w:val="870"/>
    <w:link w:val="906"/>
    <w:qFormat/>
    <w:pPr>
      <w:ind w:left="0" w:firstLine="420"/>
      <w:spacing w:after="0" w:line="360" w:lineRule="auto"/>
    </w:pPr>
    <w:rPr>
      <w:rFonts w:ascii="宋体" w:hAnsi="宋体"/>
      <w:szCs w:val="20"/>
    </w:rPr>
  </w:style>
  <w:style w:type="character" w:styleId="906" w:customStyle="1">
    <w:name w:val="正文文本首行缩进 2 字符"/>
    <w:link w:val="905"/>
    <w:qFormat/>
    <w:rPr>
      <w:rFonts w:ascii="宋体" w:hAnsi="宋体" w:eastAsia="宋体" w:cs="Times New Roman"/>
      <w:szCs w:val="20"/>
    </w:rPr>
  </w:style>
  <w:style w:type="table" w:styleId="907" w:customStyle="1">
    <w:name w:val="网格型111"/>
    <w:basedOn w:val="850"/>
    <w:qFormat/>
    <w:pPr>
      <w:jc w:val="both"/>
      <w:widowControl w:val="off"/>
    </w:pPr>
    <w:tblPr>
      <w:tblCellMar>
        <w:left w:w="0" w:type="dxa"/>
        <w:top w:w="0" w:type="dxa"/>
        <w:right w:w="0" w:type="dxa"/>
        <w:bottom w:w="0" w:type="dxa"/>
      </w:tblCellMar>
    </w:tblPr>
  </w:style>
  <w:style w:type="character" w:styleId="908" w:customStyle="1">
    <w:name w:val="要点11"/>
    <w:uiPriority w:val="22"/>
    <w:qFormat/>
    <w:rPr>
      <w:b/>
      <w:bCs/>
    </w:rPr>
  </w:style>
  <w:style w:type="character" w:styleId="909" w:customStyle="1">
    <w:name w:val="尾注引用1"/>
    <w:uiPriority w:val="99"/>
    <w:unhideWhenUsed/>
    <w:qFormat/>
    <w:rPr>
      <w:vertAlign w:val="superscript"/>
    </w:rPr>
  </w:style>
  <w:style w:type="character" w:styleId="910" w:customStyle="1">
    <w:name w:val="页码11"/>
    <w:qFormat/>
  </w:style>
  <w:style w:type="character" w:styleId="911" w:customStyle="1">
    <w:name w:val="访问过的超链接1"/>
    <w:uiPriority w:val="99"/>
    <w:qFormat/>
    <w:rPr>
      <w:color w:val="800080"/>
      <w:u w:val="single"/>
    </w:rPr>
  </w:style>
  <w:style w:type="character" w:styleId="912" w:customStyle="1">
    <w:name w:val="强调1"/>
    <w:qFormat/>
    <w:rPr>
      <w:i/>
    </w:rPr>
  </w:style>
  <w:style w:type="character" w:styleId="913" w:customStyle="1">
    <w:name w:val="超链接11"/>
    <w:uiPriority w:val="99"/>
    <w:qFormat/>
    <w:rPr>
      <w:color w:val="0000ff"/>
      <w:u w:val="single"/>
    </w:rPr>
  </w:style>
  <w:style w:type="character" w:styleId="914" w:customStyle="1">
    <w:name w:val="批注引用11"/>
    <w:semiHidden/>
    <w:qFormat/>
    <w:rPr>
      <w:sz w:val="21"/>
      <w:szCs w:val="21"/>
    </w:rPr>
  </w:style>
  <w:style w:type="character" w:styleId="915" w:customStyle="1">
    <w:name w:val="脚注引用1"/>
    <w:uiPriority w:val="99"/>
    <w:unhideWhenUsed/>
    <w:qFormat/>
    <w:rPr>
      <w:vertAlign w:val="superscript"/>
    </w:rPr>
  </w:style>
  <w:style w:type="character" w:styleId="916" w:customStyle="1">
    <w:name w:val="二级目录 Char"/>
    <w:link w:val="917"/>
    <w:qFormat/>
    <w:rPr>
      <w:b/>
      <w:sz w:val="30"/>
      <w:szCs w:val="28"/>
    </w:rPr>
  </w:style>
  <w:style w:type="paragraph" w:styleId="917" w:customStyle="1">
    <w:name w:val="二级目录"/>
    <w:next w:val="763"/>
    <w:link w:val="916"/>
    <w:qFormat/>
    <w:pPr>
      <w:ind w:left="907" w:hanging="907"/>
      <w:tabs>
        <w:tab w:val="left" w:pos="907" w:leader="none"/>
        <w:tab w:val="left" w:pos="1145" w:leader="none"/>
      </w:tabs>
      <w:outlineLvl w:val="1"/>
    </w:pPr>
    <w:rPr>
      <w:b/>
      <w:sz w:val="30"/>
      <w:szCs w:val="28"/>
    </w:rPr>
  </w:style>
  <w:style w:type="character" w:styleId="918" w:customStyle="1">
    <w:name w:val="font5 Char"/>
    <w:qFormat/>
    <w:rPr>
      <w:rFonts w:ascii="宋体" w:hAnsi="宋体" w:eastAsia="宋体"/>
      <w:sz w:val="28"/>
      <w:szCs w:val="28"/>
      <w:lang w:val="en-US" w:eastAsia="zh-CN" w:bidi="ar-SA"/>
    </w:rPr>
  </w:style>
  <w:style w:type="character" w:styleId="919" w:customStyle="1">
    <w:name w:val="无"/>
    <w:qFormat/>
  </w:style>
  <w:style w:type="character" w:styleId="920" w:customStyle="1">
    <w:name w:val="列出段落 Char"/>
    <w:link w:val="921"/>
    <w:qFormat/>
    <w:rPr>
      <w:rFonts w:ascii="Calibri" w:hAnsi="Calibri"/>
      <w:sz w:val="24"/>
      <w:szCs w:val="24"/>
      <w:lang w:eastAsia="en-US" w:bidi="en-US"/>
    </w:rPr>
  </w:style>
  <w:style w:type="paragraph" w:styleId="921" w:customStyle="1">
    <w:name w:val="列出段落1"/>
    <w:basedOn w:val="763"/>
    <w:link w:val="920"/>
    <w:qFormat/>
    <w:pPr>
      <w:contextualSpacing/>
      <w:ind w:left="720"/>
      <w:jc w:val="left"/>
      <w:widowControl/>
    </w:pPr>
    <w:rPr>
      <w:rFonts w:ascii="Calibri" w:hAnsi="Calibri"/>
      <w:sz w:val="24"/>
      <w:szCs w:val="24"/>
      <w:lang w:eastAsia="en-US" w:bidi="en-US"/>
    </w:rPr>
  </w:style>
  <w:style w:type="paragraph" w:styleId="922" w:customStyle="1">
    <w:name w:val="Char"/>
    <w:basedOn w:val="763"/>
    <w:qFormat/>
    <w:pPr>
      <w:ind w:firstLine="200"/>
      <w:tabs>
        <w:tab w:val="left" w:pos="360" w:leader="none"/>
      </w:tabs>
    </w:pPr>
    <w:rPr>
      <w:sz w:val="28"/>
      <w:szCs w:val="30"/>
    </w:rPr>
  </w:style>
  <w:style w:type="paragraph" w:styleId="923" w:customStyle="1">
    <w:name w:val="标题3"/>
    <w:basedOn w:val="763"/>
    <w:next w:val="763"/>
    <w:qFormat/>
    <w:pPr>
      <w:ind w:firstLine="624"/>
      <w:spacing w:line="590" w:lineRule="atLeast"/>
    </w:pPr>
    <w:rPr>
      <w:rFonts w:ascii="方正黑体_GBK" w:eastAsia="方正黑体_GBK"/>
      <w:sz w:val="32"/>
      <w:szCs w:val="32"/>
    </w:rPr>
  </w:style>
  <w:style w:type="paragraph" w:styleId="924" w:customStyle="1">
    <w:name w:val="table_1stline"/>
    <w:basedOn w:val="763"/>
    <w:qFormat/>
    <w:pPr>
      <w:jc w:val="left"/>
      <w:spacing w:before="120"/>
      <w:widowControl/>
    </w:pPr>
    <w:rPr>
      <w:bCs/>
      <w:sz w:val="20"/>
      <w:szCs w:val="20"/>
      <w:lang w:val="de-DE" w:eastAsia="de-DE"/>
    </w:rPr>
  </w:style>
  <w:style w:type="paragraph" w:styleId="925" w:customStyle="1">
    <w:name w:val="table_lines"/>
    <w:basedOn w:val="763"/>
    <w:qFormat/>
    <w:pPr>
      <w:jc w:val="left"/>
      <w:widowControl/>
    </w:pPr>
    <w:rPr>
      <w:sz w:val="20"/>
      <w:szCs w:val="20"/>
      <w:lang w:val="de-DE" w:eastAsia="de-DE"/>
    </w:rPr>
  </w:style>
  <w:style w:type="paragraph" w:styleId="926" w:customStyle="1">
    <w:name w:val="列表段落1"/>
    <w:basedOn w:val="763"/>
    <w:uiPriority w:val="34"/>
    <w:qFormat/>
    <w:pPr>
      <w:contextualSpacing/>
      <w:ind w:left="720"/>
      <w:jc w:val="left"/>
      <w:widowControl/>
    </w:pPr>
    <w:rPr>
      <w:rFonts w:ascii="Calibri" w:hAnsi="Calibri"/>
      <w:sz w:val="24"/>
      <w:szCs w:val="24"/>
      <w:lang w:eastAsia="en-US" w:bidi="en-US"/>
    </w:rPr>
  </w:style>
  <w:style w:type="paragraph" w:styleId="927" w:customStyle="1">
    <w:name w:val="xl25"/>
    <w:basedOn w:val="76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8" w:customStyle="1">
    <w:name w:val="普通正文"/>
    <w:basedOn w:val="763"/>
    <w:qFormat/>
    <w:pPr>
      <w:ind w:firstLine="480"/>
      <w:jc w:val="left"/>
      <w:spacing w:before="120" w:after="120" w:line="360" w:lineRule="auto"/>
    </w:pPr>
    <w:rPr>
      <w:rFonts w:ascii="Arial" w:hAnsi="Arial"/>
      <w:sz w:val="24"/>
      <w:szCs w:val="24"/>
    </w:rPr>
  </w:style>
  <w:style w:type="paragraph" w:styleId="929" w:customStyle="1">
    <w:name w:val="font7"/>
    <w:basedOn w:val="763"/>
    <w:qFormat/>
    <w:pPr>
      <w:jc w:val="left"/>
      <w:spacing w:before="100" w:beforeAutospacing="1" w:after="100" w:afterAutospacing="1"/>
      <w:widowControl/>
    </w:pPr>
    <w:rPr>
      <w:rFonts w:hint="eastAsia" w:ascii="宋体" w:hAnsi="宋体"/>
      <w:sz w:val="18"/>
      <w:szCs w:val="18"/>
    </w:rPr>
  </w:style>
  <w:style w:type="paragraph" w:styleId="930" w:customStyle="1">
    <w:name w:val="font5"/>
    <w:basedOn w:val="763"/>
    <w:qFormat/>
    <w:pPr>
      <w:jc w:val="left"/>
      <w:spacing w:before="100" w:beforeAutospacing="1" w:after="100" w:afterAutospacing="1"/>
      <w:widowControl/>
    </w:pPr>
    <w:rPr>
      <w:rFonts w:hint="eastAsia" w:ascii="宋体" w:hAnsi="宋体"/>
      <w:sz w:val="28"/>
      <w:szCs w:val="28"/>
    </w:rPr>
  </w:style>
  <w:style w:type="paragraph" w:styleId="931" w:customStyle="1">
    <w:name w:val="xl30"/>
    <w:basedOn w:val="763"/>
    <w:qFormat/>
    <w:pPr>
      <w:jc w:val="center"/>
      <w:spacing w:before="100" w:beforeAutospacing="1" w:after="100" w:afterAutospacing="1"/>
      <w:widowControl/>
    </w:pPr>
    <w:rPr>
      <w:rFonts w:ascii="宋体" w:hAnsi="宋体"/>
      <w:b/>
      <w:bCs/>
      <w:sz w:val="36"/>
      <w:szCs w:val="36"/>
    </w:rPr>
  </w:style>
  <w:style w:type="paragraph" w:styleId="932" w:customStyle="1">
    <w:name w:val="Char"/>
    <w:basedOn w:val="862"/>
    <w:rPr>
      <w:rFonts w:ascii="Tahoma" w:hAnsi="Tahoma"/>
      <w:sz w:val="24"/>
      <w:szCs w:val="24"/>
    </w:rPr>
  </w:style>
  <w:style w:type="paragraph" w:styleId="933" w:customStyle="1">
    <w:name w:val="附录1"/>
    <w:qFormat/>
    <w:pPr>
      <w:numPr>
        <w:numId w:val="2"/>
      </w:numPr>
      <w:spacing w:before="240" w:line="600" w:lineRule="atLeast"/>
    </w:pPr>
    <w:rPr>
      <w:b/>
      <w:i/>
      <w:sz w:val="28"/>
    </w:rPr>
  </w:style>
  <w:style w:type="paragraph" w:styleId="934" w:customStyle="1">
    <w:name w:val="xl26"/>
    <w:basedOn w:val="7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5" w:customStyle="1">
    <w:name w:val="xl28"/>
    <w:basedOn w:val="76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36" w:customStyle="1">
    <w:name w:val="Char Char Char Char Char Char Char Char"/>
    <w:basedOn w:val="763"/>
    <w:qFormat/>
    <w:pPr>
      <w:jc w:val="left"/>
      <w:spacing w:after="160" w:line="240" w:lineRule="exact"/>
      <w:widowControl/>
    </w:pPr>
    <w:rPr>
      <w:rFonts w:ascii="Verdana" w:hAnsi="Verdana"/>
      <w:sz w:val="20"/>
      <w:szCs w:val="20"/>
      <w:lang w:eastAsia="en-US"/>
    </w:rPr>
  </w:style>
  <w:style w:type="paragraph" w:styleId="937" w:customStyle="1">
    <w:name w:val="Char Char Char Char"/>
    <w:basedOn w:val="862"/>
    <w:qFormat/>
    <w:pPr>
      <w:spacing w:line="360" w:lineRule="auto"/>
    </w:pPr>
    <w:rPr>
      <w:rFonts w:ascii="Tahoma" w:hAnsi="Tahoma"/>
      <w:sz w:val="24"/>
      <w:szCs w:val="24"/>
    </w:rPr>
  </w:style>
  <w:style w:type="paragraph" w:styleId="938" w:customStyle="1">
    <w:name w:val="Char Char Char Char Char Char Char Char Char Char"/>
    <w:basedOn w:val="763"/>
    <w:pPr>
      <w:spacing w:line="360" w:lineRule="auto"/>
    </w:pPr>
    <w:rPr>
      <w:sz w:val="24"/>
      <w:szCs w:val="20"/>
    </w:rPr>
  </w:style>
  <w:style w:type="paragraph" w:styleId="939" w:customStyle="1">
    <w:name w:val="无间隔1"/>
    <w:uiPriority w:val="1"/>
    <w:qFormat/>
    <w:pPr>
      <w:jc w:val="both"/>
      <w:widowControl w:val="off"/>
    </w:pPr>
    <w:rPr>
      <w:sz w:val="21"/>
      <w:szCs w:val="21"/>
    </w:rPr>
  </w:style>
  <w:style w:type="paragraph" w:styleId="940" w:customStyle="1">
    <w:name w:val="修订1"/>
    <w:uiPriority w:val="99"/>
    <w:semiHidden/>
    <w:qFormat/>
    <w:rPr>
      <w:sz w:val="21"/>
      <w:szCs w:val="21"/>
    </w:rPr>
  </w:style>
  <w:style w:type="paragraph" w:styleId="941" w:customStyle="1">
    <w:name w:val="Body Text(ch)"/>
    <w:basedOn w:val="763"/>
    <w:next w:val="868"/>
    <w:qFormat/>
    <w:pPr>
      <w:spacing w:after="120"/>
    </w:pPr>
    <w:rPr>
      <w:rFonts w:ascii="宋体" w:hAnsi="Arial"/>
      <w:bCs/>
      <w:iCs/>
      <w:szCs w:val="24"/>
    </w:rPr>
  </w:style>
  <w:style w:type="paragraph" w:styleId="942" w:customStyle="1">
    <w:name w:val="Char Char Char Char"/>
    <w:basedOn w:val="862"/>
    <w:qFormat/>
    <w:pPr>
      <w:spacing w:line="360" w:lineRule="auto"/>
    </w:pPr>
    <w:rPr>
      <w:rFonts w:ascii="Tahoma" w:hAnsi="Tahoma"/>
      <w:sz w:val="24"/>
      <w:szCs w:val="24"/>
    </w:rPr>
  </w:style>
  <w:style w:type="paragraph" w:styleId="943" w:customStyle="1">
    <w:name w:val="标题1"/>
    <w:basedOn w:val="763"/>
    <w:next w:val="76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4" w:customStyle="1">
    <w:name w:val="xl27"/>
    <w:basedOn w:val="76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5" w:customStyle="1">
    <w:name w:val="Char Char Char Char Char Char Char Char"/>
    <w:basedOn w:val="763"/>
    <w:qFormat/>
    <w:pPr>
      <w:jc w:val="left"/>
      <w:spacing w:after="160" w:line="240" w:lineRule="exact"/>
      <w:widowControl/>
    </w:pPr>
    <w:rPr>
      <w:rFonts w:ascii="Verdana" w:hAnsi="Verdana"/>
      <w:sz w:val="20"/>
      <w:szCs w:val="20"/>
      <w:lang w:eastAsia="en-US"/>
    </w:rPr>
  </w:style>
  <w:style w:type="paragraph" w:styleId="946" w:customStyle="1">
    <w:name w:val="4"/>
    <w:basedOn w:val="763"/>
    <w:next w:val="892"/>
    <w:qFormat/>
    <w:pPr>
      <w:ind w:firstLine="420"/>
      <w:spacing w:line="360" w:lineRule="auto"/>
    </w:pPr>
    <w:rPr>
      <w:color w:val="ff0000"/>
      <w:sz w:val="24"/>
      <w:szCs w:val="24"/>
    </w:rPr>
  </w:style>
  <w:style w:type="paragraph" w:styleId="947" w:customStyle="1">
    <w:name w:val="普通 (Web)"/>
    <w:basedOn w:val="763"/>
    <w:qFormat/>
    <w:pPr>
      <w:jc w:val="left"/>
      <w:spacing w:before="100" w:beforeAutospacing="1" w:after="100" w:afterAutospacing="1"/>
      <w:widowControl/>
    </w:pPr>
    <w:rPr>
      <w:rFonts w:ascii="宋体" w:hAnsi="宋体"/>
      <w:sz w:val="24"/>
      <w:szCs w:val="24"/>
    </w:rPr>
  </w:style>
  <w:style w:type="paragraph" w:styleId="948" w:customStyle="1">
    <w:name w:val="样式1"/>
    <w:basedOn w:val="763"/>
    <w:qFormat/>
    <w:pPr>
      <w:numPr>
        <w:numId w:val="3"/>
      </w:numPr>
    </w:pPr>
    <w:rPr>
      <w:rFonts w:ascii="宋体" w:hAnsi="宋体"/>
      <w:szCs w:val="21"/>
    </w:rPr>
  </w:style>
  <w:style w:type="paragraph" w:styleId="949" w:customStyle="1">
    <w:name w:val="font6"/>
    <w:basedOn w:val="763"/>
    <w:qFormat/>
    <w:pPr>
      <w:jc w:val="left"/>
      <w:spacing w:before="100" w:beforeAutospacing="1" w:after="100" w:afterAutospacing="1"/>
      <w:widowControl/>
    </w:pPr>
    <w:rPr>
      <w:rFonts w:hint="eastAsia" w:ascii="宋体" w:hAnsi="宋体"/>
      <w:sz w:val="28"/>
      <w:szCs w:val="28"/>
      <w:u w:val="single"/>
    </w:rPr>
  </w:style>
  <w:style w:type="paragraph" w:styleId="950" w:customStyle="1">
    <w:name w:val="图标"/>
    <w:basedOn w:val="763"/>
    <w:next w:val="76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1" w:customStyle="1">
    <w:name w:val="xl24"/>
    <w:basedOn w:val="76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2" w:customStyle="1">
    <w:name w:val="xl29"/>
    <w:basedOn w:val="76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3" w:customStyle="1">
    <w:name w:val="AONormal"/>
    <w:qFormat/>
    <w:pPr>
      <w:ind w:firstLine="440"/>
      <w:spacing w:line="400" w:lineRule="exact"/>
    </w:pPr>
    <w:rPr>
      <w:rFonts w:ascii="华文楷体" w:hAnsi="华文楷体" w:eastAsia="华文楷体" w:cs="华文楷体"/>
      <w:sz w:val="22"/>
      <w:szCs w:val="21"/>
    </w:rPr>
  </w:style>
  <w:style w:type="paragraph" w:styleId="954" w:customStyle="1">
    <w:name w:val="标题 21"/>
    <w:basedOn w:val="763"/>
    <w:next w:val="763"/>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955" w:customStyle="1">
    <w:name w:val="正文文本1"/>
    <w:basedOn w:val="763"/>
    <w:qFormat/>
    <w:rPr>
      <w:rFonts w:ascii="楷体_GB2312" w:hAnsi="Arial" w:eastAsia="楷体_GB2312"/>
      <w:sz w:val="28"/>
      <w:szCs w:val="28"/>
    </w:rPr>
  </w:style>
  <w:style w:type="paragraph" w:styleId="956" w:customStyle="1">
    <w:name w:val="正文文本缩进1"/>
    <w:basedOn w:val="763"/>
    <w:unhideWhenUsed/>
    <w:qFormat/>
    <w:pPr>
      <w:ind w:left="420"/>
      <w:spacing w:after="120"/>
    </w:pPr>
  </w:style>
  <w:style w:type="paragraph" w:styleId="957" w:customStyle="1">
    <w:name w:val="纯文本1"/>
    <w:basedOn w:val="763"/>
    <w:qFormat/>
    <w:rPr>
      <w:rFonts w:ascii="宋体" w:hAnsi="Courier New" w:cs="Courier New"/>
      <w:szCs w:val="21"/>
    </w:rPr>
  </w:style>
  <w:style w:type="paragraph" w:styleId="958" w:customStyle="1">
    <w:name w:val="msonormal"/>
    <w:basedOn w:val="763"/>
    <w:qFormat/>
    <w:pPr>
      <w:jc w:val="left"/>
      <w:spacing w:before="100" w:beforeAutospacing="1" w:after="100" w:afterAutospacing="1"/>
      <w:widowControl/>
    </w:pPr>
    <w:rPr>
      <w:rFonts w:ascii="宋体" w:hAnsi="宋体" w:cs="宋体"/>
      <w:sz w:val="24"/>
      <w:szCs w:val="24"/>
    </w:rPr>
  </w:style>
  <w:style w:type="paragraph" w:styleId="959" w:customStyle="1">
    <w:name w:val="题注1"/>
    <w:basedOn w:val="763"/>
    <w:next w:val="763"/>
    <w:uiPriority w:val="35"/>
    <w:unhideWhenUsed/>
    <w:qFormat/>
    <w:pPr>
      <w:spacing w:line="276" w:lineRule="auto"/>
    </w:pPr>
    <w:rPr>
      <w:b/>
      <w:bCs/>
      <w:color w:val="4f81bd"/>
      <w:sz w:val="18"/>
      <w:szCs w:val="18"/>
    </w:rPr>
  </w:style>
  <w:style w:type="paragraph" w:styleId="960" w:customStyle="1">
    <w:name w:val="引用1"/>
    <w:basedOn w:val="763"/>
    <w:next w:val="763"/>
    <w:link w:val="961"/>
    <w:uiPriority w:val="29"/>
    <w:qFormat/>
    <w:pPr>
      <w:ind w:left="720" w:right="720"/>
    </w:pPr>
    <w:rPr>
      <w:i/>
    </w:rPr>
  </w:style>
  <w:style w:type="character" w:styleId="961" w:customStyle="1">
    <w:name w:val="引用 字符"/>
    <w:link w:val="960"/>
    <w:uiPriority w:val="29"/>
    <w:qFormat/>
    <w:rPr>
      <w:i/>
      <w:sz w:val="21"/>
      <w:szCs w:val="22"/>
    </w:rPr>
  </w:style>
  <w:style w:type="paragraph" w:styleId="962" w:customStyle="1">
    <w:name w:val="明显引用1"/>
    <w:basedOn w:val="763"/>
    <w:next w:val="763"/>
    <w:link w:val="9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3" w:customStyle="1">
    <w:name w:val="明显引用 字符"/>
    <w:link w:val="962"/>
    <w:uiPriority w:val="30"/>
    <w:qFormat/>
    <w:rPr>
      <w:i/>
      <w:sz w:val="21"/>
      <w:szCs w:val="22"/>
      <w:shd w:val="clear" w:color="auto" w:fill="f2f2f2"/>
    </w:rPr>
  </w:style>
  <w:style w:type="paragraph" w:styleId="964" w:customStyle="1">
    <w:name w:val="索引 41"/>
    <w:basedOn w:val="763"/>
    <w:next w:val="763"/>
    <w:semiHidden/>
    <w:qFormat/>
    <w:pPr>
      <w:ind w:left="1260"/>
    </w:pPr>
    <w:rPr>
      <w:rFonts w:ascii="Calibri" w:hAnsi="Calibri" w:eastAsia="Calibri" w:cs="宋体"/>
      <w:sz w:val="20"/>
      <w:lang w:val="zh-CN"/>
    </w:rPr>
  </w:style>
  <w:style w:type="paragraph" w:styleId="965" w:customStyle="1">
    <w:name w:val="TOC 标题1"/>
    <w:uiPriority w:val="39"/>
    <w:qFormat/>
  </w:style>
  <w:style w:type="paragraph" w:styleId="966" w:customStyle="1">
    <w:name w:val="标题 11"/>
    <w:basedOn w:val="763"/>
    <w:next w:val="763"/>
    <w:uiPriority w:val="9"/>
    <w:qFormat/>
    <w:pPr>
      <w:jc w:val="center"/>
      <w:keepNext/>
      <w:outlineLvl w:val="0"/>
    </w:pPr>
    <w:rPr>
      <w:rFonts w:ascii="Arial" w:hAnsi="Arial" w:eastAsia="黑体"/>
      <w:color w:val="365f91"/>
      <w:sz w:val="48"/>
      <w:szCs w:val="48"/>
    </w:rPr>
  </w:style>
  <w:style w:type="paragraph" w:styleId="967" w:customStyle="1">
    <w:name w:val="正文缩进1"/>
    <w:basedOn w:val="763"/>
    <w:qFormat/>
    <w:pPr>
      <w:ind w:firstLine="420"/>
    </w:pPr>
    <w:rPr>
      <w:szCs w:val="21"/>
    </w:rPr>
  </w:style>
  <w:style w:type="paragraph" w:styleId="968" w:customStyle="1">
    <w:name w:val="标题 31"/>
    <w:basedOn w:val="763"/>
    <w:next w:val="967"/>
    <w:uiPriority w:val="9"/>
    <w:qFormat/>
    <w:pPr>
      <w:keepLines/>
      <w:keepNext/>
      <w:spacing w:before="260" w:after="260" w:line="415" w:lineRule="auto"/>
      <w:outlineLvl w:val="2"/>
    </w:pPr>
    <w:rPr>
      <w:rFonts w:ascii="Arial" w:hAnsi="Arial" w:eastAsia="黑体"/>
      <w:color w:val="365f91"/>
      <w:sz w:val="32"/>
      <w:szCs w:val="32"/>
    </w:rPr>
  </w:style>
  <w:style w:type="paragraph" w:styleId="969" w:customStyle="1">
    <w:name w:val="标题 41"/>
    <w:basedOn w:val="763"/>
    <w:next w:val="967"/>
    <w:uiPriority w:val="9"/>
    <w:qFormat/>
    <w:pPr>
      <w:keepLines/>
      <w:keepNext/>
      <w:spacing w:before="280" w:after="290" w:line="374" w:lineRule="auto"/>
      <w:outlineLvl w:val="3"/>
    </w:pPr>
    <w:rPr>
      <w:rFonts w:ascii="Arial" w:hAnsi="Arial"/>
      <w:color w:val="365f91"/>
      <w:sz w:val="28"/>
      <w:szCs w:val="28"/>
    </w:rPr>
  </w:style>
  <w:style w:type="paragraph" w:styleId="970" w:customStyle="1">
    <w:name w:val="标题 51"/>
    <w:basedOn w:val="763"/>
    <w:next w:val="967"/>
    <w:uiPriority w:val="9"/>
    <w:qFormat/>
    <w:pPr>
      <w:keepNext/>
      <w:outlineLvl w:val="4"/>
    </w:pPr>
    <w:rPr>
      <w:rFonts w:ascii="Arial" w:hAnsi="Arial"/>
      <w:color w:val="365f91"/>
      <w:sz w:val="24"/>
      <w:szCs w:val="24"/>
    </w:rPr>
  </w:style>
  <w:style w:type="paragraph" w:styleId="971" w:customStyle="1">
    <w:name w:val="标题 61"/>
    <w:basedOn w:val="763"/>
    <w:next w:val="763"/>
    <w:uiPriority w:val="9"/>
    <w:qFormat/>
    <w:pPr>
      <w:numPr>
        <w:ilvl w:val="5"/>
        <w:numId w:val="4"/>
      </w:numPr>
      <w:keepLines/>
      <w:keepNext/>
      <w:spacing w:before="240" w:after="64" w:line="319" w:lineRule="auto"/>
      <w:outlineLvl w:val="5"/>
    </w:pPr>
    <w:rPr>
      <w:rFonts w:ascii="Arial" w:hAnsi="Arial"/>
      <w:b/>
      <w:bCs/>
      <w:color w:val="365f91"/>
    </w:rPr>
  </w:style>
  <w:style w:type="paragraph" w:styleId="972" w:customStyle="1">
    <w:name w:val="标题 71"/>
    <w:basedOn w:val="763"/>
    <w:next w:val="763"/>
    <w:uiPriority w:val="9"/>
    <w:qFormat/>
    <w:pPr>
      <w:numPr>
        <w:ilvl w:val="6"/>
        <w:numId w:val="4"/>
      </w:numPr>
      <w:keepLines/>
      <w:keepNext/>
      <w:spacing w:before="240" w:after="64" w:line="319" w:lineRule="auto"/>
      <w:outlineLvl w:val="6"/>
    </w:pPr>
    <w:rPr>
      <w:rFonts w:ascii="Arial" w:hAnsi="Arial"/>
      <w:b/>
      <w:bCs/>
      <w:color w:val="595959"/>
    </w:rPr>
  </w:style>
  <w:style w:type="paragraph" w:styleId="973" w:customStyle="1">
    <w:name w:val="标题 81"/>
    <w:basedOn w:val="763"/>
    <w:next w:val="763"/>
    <w:uiPriority w:val="9"/>
    <w:qFormat/>
    <w:pPr>
      <w:numPr>
        <w:ilvl w:val="7"/>
        <w:numId w:val="4"/>
      </w:numPr>
      <w:keepLines/>
      <w:keepNext/>
      <w:spacing w:before="240" w:after="64" w:line="319" w:lineRule="auto"/>
      <w:outlineLvl w:val="7"/>
    </w:pPr>
    <w:rPr>
      <w:rFonts w:ascii="Arial" w:hAnsi="Arial"/>
      <w:color w:val="595959"/>
    </w:rPr>
  </w:style>
  <w:style w:type="paragraph" w:styleId="974" w:customStyle="1">
    <w:name w:val="标题 91"/>
    <w:basedOn w:val="763"/>
    <w:next w:val="763"/>
    <w:uiPriority w:val="9"/>
    <w:qFormat/>
    <w:pPr>
      <w:numPr>
        <w:ilvl w:val="8"/>
        <w:numId w:val="4"/>
      </w:numPr>
      <w:keepLines/>
      <w:keepNext/>
      <w:spacing w:before="240" w:after="64" w:line="319" w:lineRule="auto"/>
      <w:outlineLvl w:val="8"/>
    </w:pPr>
    <w:rPr>
      <w:rFonts w:ascii="Arial" w:hAnsi="Arial" w:eastAsia="黑体"/>
      <w:color w:val="595959"/>
    </w:rPr>
  </w:style>
  <w:style w:type="paragraph" w:styleId="975" w:customStyle="1">
    <w:name w:val="列表 31"/>
    <w:basedOn w:val="763"/>
    <w:qFormat/>
    <w:pPr>
      <w:ind w:left="100" w:hanging="200"/>
    </w:pPr>
    <w:rPr>
      <w:szCs w:val="21"/>
    </w:rPr>
  </w:style>
  <w:style w:type="paragraph" w:styleId="976" w:customStyle="1">
    <w:name w:val="目录 71"/>
    <w:basedOn w:val="763"/>
    <w:next w:val="763"/>
    <w:semiHidden/>
    <w:qFormat/>
    <w:pPr>
      <w:ind w:left="1260"/>
      <w:jc w:val="left"/>
    </w:pPr>
    <w:rPr>
      <w:szCs w:val="21"/>
    </w:rPr>
  </w:style>
  <w:style w:type="paragraph" w:styleId="977" w:customStyle="1">
    <w:name w:val="文档结构图1"/>
    <w:basedOn w:val="763"/>
    <w:semiHidden/>
    <w:qFormat/>
    <w:pPr>
      <w:shd w:val="clear" w:color="auto" w:fill="000080"/>
    </w:pPr>
    <w:rPr>
      <w:szCs w:val="21"/>
    </w:rPr>
  </w:style>
  <w:style w:type="paragraph" w:styleId="978" w:customStyle="1">
    <w:name w:val="批注文字1"/>
    <w:basedOn w:val="763"/>
    <w:qFormat/>
    <w:pPr>
      <w:jc w:val="left"/>
    </w:pPr>
  </w:style>
  <w:style w:type="paragraph" w:styleId="979" w:customStyle="1">
    <w:name w:val="正文文本 31"/>
    <w:basedOn w:val="763"/>
    <w:qFormat/>
    <w:rPr>
      <w:rFonts w:hint="eastAsia" w:ascii="仿宋_GB2312" w:hAnsi="Arial" w:eastAsia="仿宋_GB2312"/>
      <w:sz w:val="32"/>
      <w:szCs w:val="32"/>
    </w:rPr>
  </w:style>
  <w:style w:type="paragraph" w:styleId="980" w:customStyle="1">
    <w:name w:val="列表 21"/>
    <w:basedOn w:val="763"/>
    <w:qFormat/>
    <w:pPr>
      <w:ind w:left="100" w:hanging="200"/>
    </w:pPr>
    <w:rPr>
      <w:szCs w:val="21"/>
    </w:rPr>
  </w:style>
  <w:style w:type="paragraph" w:styleId="981" w:customStyle="1">
    <w:name w:val="目录 51"/>
    <w:basedOn w:val="763"/>
    <w:next w:val="763"/>
    <w:semiHidden/>
    <w:qFormat/>
    <w:pPr>
      <w:ind w:left="840"/>
      <w:jc w:val="left"/>
    </w:pPr>
    <w:rPr>
      <w:szCs w:val="21"/>
    </w:rPr>
  </w:style>
  <w:style w:type="paragraph" w:styleId="982" w:customStyle="1">
    <w:name w:val="目录 31"/>
    <w:basedOn w:val="763"/>
    <w:next w:val="763"/>
    <w:semiHidden/>
    <w:qFormat/>
    <w:pPr>
      <w:ind w:left="420"/>
      <w:jc w:val="left"/>
    </w:pPr>
    <w:rPr>
      <w:i/>
      <w:iCs/>
      <w:szCs w:val="24"/>
    </w:rPr>
  </w:style>
  <w:style w:type="paragraph" w:styleId="983" w:customStyle="1">
    <w:name w:val="目录 81"/>
    <w:basedOn w:val="763"/>
    <w:next w:val="763"/>
    <w:semiHidden/>
    <w:qFormat/>
    <w:pPr>
      <w:ind w:left="1470"/>
      <w:jc w:val="left"/>
    </w:pPr>
    <w:rPr>
      <w:szCs w:val="21"/>
    </w:rPr>
  </w:style>
  <w:style w:type="paragraph" w:styleId="984" w:customStyle="1">
    <w:name w:val="日期1"/>
    <w:basedOn w:val="763"/>
    <w:next w:val="763"/>
    <w:qFormat/>
    <w:rPr>
      <w:sz w:val="24"/>
      <w:szCs w:val="24"/>
    </w:rPr>
  </w:style>
  <w:style w:type="paragraph" w:styleId="985" w:customStyle="1">
    <w:name w:val="正文文本缩进 21"/>
    <w:basedOn w:val="763"/>
    <w:qFormat/>
    <w:pPr>
      <w:ind w:left="630" w:firstLine="645"/>
    </w:pPr>
    <w:rPr>
      <w:rFonts w:ascii="Arial" w:hAnsi="Arial" w:eastAsia="仿宋_GB2312" w:cs="Arial"/>
      <w:sz w:val="32"/>
      <w:szCs w:val="32"/>
    </w:rPr>
  </w:style>
  <w:style w:type="paragraph" w:styleId="986" w:customStyle="1">
    <w:name w:val="批注框文本1"/>
    <w:basedOn w:val="763"/>
    <w:semiHidden/>
    <w:qFormat/>
    <w:rPr>
      <w:sz w:val="18"/>
      <w:szCs w:val="18"/>
    </w:rPr>
  </w:style>
  <w:style w:type="paragraph" w:styleId="987" w:customStyle="1">
    <w:name w:val="页脚1"/>
    <w:basedOn w:val="763"/>
    <w:uiPriority w:val="99"/>
    <w:qFormat/>
    <w:pPr>
      <w:jc w:val="left"/>
      <w:tabs>
        <w:tab w:val="center" w:pos="4153" w:leader="none"/>
        <w:tab w:val="right" w:pos="8306" w:leader="none"/>
      </w:tabs>
    </w:pPr>
    <w:rPr>
      <w:sz w:val="18"/>
      <w:szCs w:val="18"/>
    </w:rPr>
  </w:style>
  <w:style w:type="paragraph" w:styleId="988" w:customStyle="1">
    <w:name w:val="页眉1"/>
    <w:basedOn w:val="763"/>
    <w:uiPriority w:val="99"/>
    <w:qFormat/>
    <w:pPr>
      <w:jc w:val="center"/>
      <w:tabs>
        <w:tab w:val="center" w:pos="4153" w:leader="none"/>
        <w:tab w:val="right" w:pos="8306" w:leader="none"/>
      </w:tabs>
      <w:pBdr>
        <w:bottom w:val="single" w:color="000000" w:sz="6" w:space="1"/>
      </w:pBdr>
    </w:pPr>
    <w:rPr>
      <w:sz w:val="18"/>
      <w:szCs w:val="18"/>
    </w:rPr>
  </w:style>
  <w:style w:type="paragraph" w:styleId="989" w:customStyle="1">
    <w:name w:val="目录 11"/>
    <w:basedOn w:val="763"/>
    <w:next w:val="763"/>
    <w:semiHidden/>
    <w:qFormat/>
    <w:pPr>
      <w:jc w:val="left"/>
      <w:spacing w:before="120" w:after="120" w:line="400" w:lineRule="exact"/>
      <w:tabs>
        <w:tab w:val="right" w:pos="8720" w:leader="dot"/>
      </w:tabs>
    </w:pPr>
    <w:rPr>
      <w:rFonts w:ascii="宋体" w:hAnsi="宋体"/>
      <w:caps/>
      <w:sz w:val="24"/>
      <w:szCs w:val="24"/>
    </w:rPr>
  </w:style>
  <w:style w:type="paragraph" w:styleId="990" w:customStyle="1">
    <w:name w:val="目录 41"/>
    <w:basedOn w:val="763"/>
    <w:next w:val="763"/>
    <w:semiHidden/>
    <w:qFormat/>
    <w:pPr>
      <w:ind w:left="630"/>
      <w:jc w:val="left"/>
    </w:pPr>
    <w:rPr>
      <w:szCs w:val="21"/>
    </w:rPr>
  </w:style>
  <w:style w:type="paragraph" w:styleId="991" w:customStyle="1">
    <w:name w:val="列表1"/>
    <w:basedOn w:val="763"/>
    <w:qFormat/>
    <w:pPr>
      <w:ind w:left="200" w:hanging="200"/>
    </w:pPr>
    <w:rPr>
      <w:szCs w:val="21"/>
    </w:rPr>
  </w:style>
  <w:style w:type="paragraph" w:styleId="992" w:customStyle="1">
    <w:name w:val="目录 61"/>
    <w:basedOn w:val="763"/>
    <w:next w:val="763"/>
    <w:semiHidden/>
    <w:qFormat/>
    <w:pPr>
      <w:ind w:left="1050"/>
      <w:jc w:val="left"/>
    </w:pPr>
    <w:rPr>
      <w:szCs w:val="21"/>
    </w:rPr>
  </w:style>
  <w:style w:type="paragraph" w:styleId="993" w:customStyle="1">
    <w:name w:val="正文文本缩进 31"/>
    <w:basedOn w:val="763"/>
    <w:qFormat/>
    <w:pPr>
      <w:ind w:left="645" w:firstLine="645"/>
    </w:pPr>
    <w:rPr>
      <w:rFonts w:ascii="Arial" w:hAnsi="Arial" w:eastAsia="仿宋_GB2312" w:cs="Arial"/>
      <w:color w:val="ffff00"/>
      <w:sz w:val="32"/>
      <w:szCs w:val="32"/>
    </w:rPr>
  </w:style>
  <w:style w:type="paragraph" w:styleId="994" w:customStyle="1">
    <w:name w:val="图表目录1"/>
    <w:basedOn w:val="763"/>
    <w:next w:val="763"/>
    <w:semiHidden/>
    <w:qFormat/>
    <w:pPr>
      <w:ind w:left="840" w:hanging="420"/>
    </w:pPr>
    <w:rPr>
      <w:szCs w:val="21"/>
    </w:rPr>
  </w:style>
  <w:style w:type="paragraph" w:styleId="995" w:customStyle="1">
    <w:name w:val="目录 21"/>
    <w:basedOn w:val="763"/>
    <w:next w:val="763"/>
    <w:semiHidden/>
    <w:qFormat/>
    <w:pPr>
      <w:ind w:left="210"/>
      <w:jc w:val="left"/>
    </w:pPr>
    <w:rPr>
      <w:smallCaps/>
      <w:szCs w:val="24"/>
    </w:rPr>
  </w:style>
  <w:style w:type="paragraph" w:styleId="996" w:customStyle="1">
    <w:name w:val="目录 91"/>
    <w:basedOn w:val="763"/>
    <w:next w:val="763"/>
    <w:semiHidden/>
    <w:qFormat/>
    <w:pPr>
      <w:ind w:left="1680"/>
      <w:jc w:val="left"/>
    </w:pPr>
    <w:rPr>
      <w:szCs w:val="21"/>
    </w:rPr>
  </w:style>
  <w:style w:type="paragraph" w:styleId="997" w:customStyle="1">
    <w:name w:val="正文文本 21"/>
    <w:basedOn w:val="763"/>
    <w:qFormat/>
    <w:pPr>
      <w:jc w:val="center"/>
      <w:widowControl/>
    </w:pPr>
    <w:rPr>
      <w:rFonts w:ascii="楷体_GB2312" w:eastAsia="楷体_GB2312"/>
      <w:sz w:val="28"/>
      <w:szCs w:val="28"/>
    </w:rPr>
  </w:style>
  <w:style w:type="paragraph" w:styleId="998" w:customStyle="1">
    <w:name w:val="普通(网站)1"/>
    <w:basedOn w:val="763"/>
    <w:uiPriority w:val="99"/>
    <w:qFormat/>
    <w:pPr>
      <w:jc w:val="left"/>
      <w:spacing w:before="100" w:beforeAutospacing="1" w:after="100" w:afterAutospacing="1"/>
      <w:widowControl/>
    </w:pPr>
    <w:rPr>
      <w:rFonts w:ascii="宋体" w:hAnsi="宋体" w:cs="宋体"/>
      <w:sz w:val="24"/>
      <w:szCs w:val="24"/>
    </w:rPr>
  </w:style>
  <w:style w:type="paragraph" w:styleId="999" w:customStyle="1">
    <w:name w:val="索引 11"/>
    <w:basedOn w:val="763"/>
    <w:next w:val="763"/>
    <w:semiHidden/>
    <w:qFormat/>
    <w:pPr>
      <w:spacing w:line="240" w:lineRule="atLeast"/>
    </w:pPr>
    <w:rPr>
      <w:b/>
      <w:bCs/>
      <w:szCs w:val="21"/>
    </w:rPr>
  </w:style>
  <w:style w:type="paragraph" w:styleId="1000" w:customStyle="1">
    <w:name w:val="批注主题1"/>
    <w:basedOn w:val="978"/>
    <w:next w:val="978"/>
    <w:semiHidden/>
    <w:qFormat/>
    <w:rPr>
      <w:b/>
      <w:bCs/>
      <w:szCs w:val="21"/>
    </w:rPr>
  </w:style>
  <w:style w:type="character" w:styleId="1001" w:customStyle="1">
    <w:name w:val="正文首行缩进 字符"/>
    <w:link w:val="1002"/>
    <w:qFormat/>
    <w:rPr>
      <w:rFonts w:ascii="仿宋_GB2312" w:eastAsia="仿宋_GB2312"/>
      <w:sz w:val="30"/>
      <w:szCs w:val="30"/>
    </w:rPr>
  </w:style>
  <w:style w:type="paragraph" w:styleId="1002" w:customStyle="1">
    <w:name w:val="正文首行缩进1"/>
    <w:basedOn w:val="763"/>
    <w:link w:val="1001"/>
    <w:qFormat/>
    <w:pPr>
      <w:ind w:firstLine="200"/>
      <w:spacing w:line="360" w:lineRule="auto"/>
    </w:pPr>
    <w:rPr>
      <w:rFonts w:ascii="仿宋_GB2312" w:eastAsia="仿宋_GB2312"/>
      <w:sz w:val="30"/>
      <w:szCs w:val="30"/>
    </w:rPr>
  </w:style>
  <w:style w:type="character" w:styleId="1003" w:customStyle="1">
    <w:name w:val="正文首行缩进 2 字符"/>
    <w:link w:val="1004"/>
    <w:qFormat/>
    <w:rPr>
      <w:rFonts w:ascii="宋体" w:hAnsi="宋体"/>
      <w:sz w:val="21"/>
    </w:rPr>
  </w:style>
  <w:style w:type="paragraph" w:styleId="1004" w:customStyle="1">
    <w:name w:val="正文首行缩进 211"/>
    <w:basedOn w:val="956"/>
    <w:link w:val="1003"/>
    <w:qFormat/>
    <w:pPr>
      <w:ind w:left="0" w:firstLine="420"/>
      <w:spacing w:after="0" w:line="360" w:lineRule="auto"/>
    </w:pPr>
    <w:rPr>
      <w:rFonts w:ascii="宋体" w:hAnsi="宋体"/>
      <w:szCs w:val="20"/>
    </w:rPr>
  </w:style>
  <w:style w:type="paragraph" w:styleId="1005" w:customStyle="1">
    <w:name w:val="寄信人地址1"/>
    <w:basedOn w:val="763"/>
    <w:qFormat/>
    <w:rPr>
      <w:rFonts w:ascii="Arial" w:hAnsi="Arial" w:cs="宋体"/>
    </w:rPr>
  </w:style>
  <w:style w:type="paragraph" w:styleId="1006" w:customStyle="1">
    <w:name w:val="正文文本缩进11"/>
    <w:basedOn w:val="763"/>
    <w:next w:val="1005"/>
    <w:qFormat/>
    <w:pPr>
      <w:ind w:left="420"/>
      <w:spacing w:after="120"/>
    </w:pPr>
  </w:style>
  <w:style w:type="paragraph" w:styleId="1007" w:customStyle="1">
    <w:name w:val="列出段落"/>
    <w:basedOn w:val="763"/>
    <w:qFormat/>
    <w:pPr>
      <w:contextualSpacing/>
      <w:ind w:left="720"/>
      <w:jc w:val="left"/>
      <w:widowControl/>
    </w:pPr>
    <w:rPr>
      <w:rFonts w:ascii="Calibri" w:hAnsi="Calibri"/>
      <w:sz w:val="24"/>
      <w:szCs w:val="24"/>
      <w:lang w:eastAsia="en-US" w:bidi="en-US"/>
    </w:rPr>
  </w:style>
  <w:style w:type="paragraph" w:styleId="1008" w:customStyle="1">
    <w:name w:val="Char Char Char Char Char Char Char Char Char Char"/>
    <w:basedOn w:val="763"/>
    <w:qFormat/>
    <w:pPr>
      <w:spacing w:line="360" w:lineRule="auto"/>
    </w:pPr>
    <w:rPr>
      <w:sz w:val="24"/>
      <w:szCs w:val="20"/>
    </w:rPr>
  </w:style>
  <w:style w:type="paragraph" w:styleId="1009" w:customStyle="1">
    <w:name w:val="修订1"/>
    <w:uiPriority w:val="99"/>
    <w:semiHidden/>
    <w:qFormat/>
    <w:rPr>
      <w:sz w:val="21"/>
      <w:szCs w:val="21"/>
    </w:rPr>
  </w:style>
  <w:style w:type="paragraph" w:styleId="1010" w:customStyle="1">
    <w:name w:val="无间隔1"/>
    <w:uiPriority w:val="99"/>
    <w:qFormat/>
    <w:pPr>
      <w:jc w:val="both"/>
      <w:widowControl w:val="off"/>
    </w:pPr>
    <w:rPr>
      <w:sz w:val="21"/>
      <w:szCs w:val="21"/>
    </w:rPr>
  </w:style>
  <w:style w:type="paragraph" w:styleId="1011" w:customStyle="1">
    <w:name w:val="正文_1_0"/>
    <w:qFormat/>
    <w:pPr>
      <w:jc w:val="both"/>
      <w:widowControl w:val="off"/>
    </w:pPr>
    <w:rPr>
      <w:rFonts w:ascii="Calibri" w:hAnsi="Calibri"/>
      <w:sz w:val="21"/>
      <w:szCs w:val="22"/>
    </w:rPr>
  </w:style>
  <w:style w:type="paragraph" w:styleId="1012" w:customStyle="1">
    <w:name w:val="Normal_3"/>
    <w:qFormat/>
    <w:rPr>
      <w:rFonts w:eastAsia="Times New Roman"/>
      <w:sz w:val="24"/>
      <w:szCs w:val="24"/>
    </w:rPr>
  </w:style>
  <w:style w:type="character" w:styleId="1013" w:customStyle="1">
    <w:name w:val="标题 1 字符1"/>
    <w:uiPriority w:val="9"/>
    <w:qFormat/>
    <w:rPr>
      <w:rFonts w:ascii="Arial" w:hAnsi="Arial" w:eastAsia="Arial" w:cs="Arial"/>
      <w:sz w:val="40"/>
      <w:szCs w:val="40"/>
    </w:rPr>
  </w:style>
  <w:style w:type="character" w:styleId="1014" w:customStyle="1">
    <w:name w:val="标题 2 字符1"/>
    <w:uiPriority w:val="9"/>
    <w:semiHidden/>
    <w:qFormat/>
    <w:rPr>
      <w:rFonts w:ascii="Arial" w:hAnsi="Arial" w:eastAsia="Arial" w:cs="Arial"/>
      <w:sz w:val="34"/>
      <w:szCs w:val="22"/>
    </w:rPr>
  </w:style>
  <w:style w:type="character" w:styleId="1015" w:customStyle="1">
    <w:name w:val="标题 3 字符1"/>
    <w:uiPriority w:val="9"/>
    <w:semiHidden/>
    <w:qFormat/>
    <w:rPr>
      <w:rFonts w:ascii="Arial" w:hAnsi="Arial" w:eastAsia="Arial" w:cs="Arial"/>
      <w:sz w:val="30"/>
      <w:szCs w:val="30"/>
    </w:rPr>
  </w:style>
  <w:style w:type="character" w:styleId="1016" w:customStyle="1">
    <w:name w:val="标题 4 字符1"/>
    <w:uiPriority w:val="9"/>
    <w:semiHidden/>
    <w:qFormat/>
    <w:rPr>
      <w:rFonts w:ascii="Arial" w:hAnsi="Arial" w:eastAsia="Arial" w:cs="Arial"/>
      <w:b/>
      <w:bCs/>
      <w:sz w:val="26"/>
      <w:szCs w:val="26"/>
    </w:rPr>
  </w:style>
  <w:style w:type="character" w:styleId="1017" w:customStyle="1">
    <w:name w:val="标题 5 字符1"/>
    <w:uiPriority w:val="9"/>
    <w:semiHidden/>
    <w:qFormat/>
    <w:rPr>
      <w:rFonts w:ascii="Arial" w:hAnsi="Arial" w:eastAsia="Arial" w:cs="Arial"/>
      <w:b/>
      <w:bCs/>
      <w:sz w:val="24"/>
      <w:szCs w:val="24"/>
    </w:rPr>
  </w:style>
  <w:style w:type="character" w:styleId="1018" w:customStyle="1">
    <w:name w:val="标题 6 字符1"/>
    <w:uiPriority w:val="9"/>
    <w:semiHidden/>
    <w:qFormat/>
    <w:rPr>
      <w:rFonts w:ascii="Arial" w:hAnsi="Arial" w:eastAsia="Arial" w:cs="Arial"/>
      <w:b/>
      <w:bCs/>
      <w:sz w:val="22"/>
      <w:szCs w:val="22"/>
    </w:rPr>
  </w:style>
  <w:style w:type="character" w:styleId="1019" w:customStyle="1">
    <w:name w:val="标题 7 字符1"/>
    <w:uiPriority w:val="9"/>
    <w:semiHidden/>
    <w:qFormat/>
    <w:rPr>
      <w:rFonts w:ascii="Arial" w:hAnsi="Arial" w:eastAsia="Arial" w:cs="Arial"/>
      <w:b/>
      <w:bCs/>
      <w:i/>
      <w:iCs/>
      <w:sz w:val="22"/>
      <w:szCs w:val="22"/>
    </w:rPr>
  </w:style>
  <w:style w:type="character" w:styleId="1020" w:customStyle="1">
    <w:name w:val="标题 8 字符1"/>
    <w:uiPriority w:val="9"/>
    <w:semiHidden/>
    <w:qFormat/>
    <w:rPr>
      <w:rFonts w:ascii="Arial" w:hAnsi="Arial" w:eastAsia="Arial" w:cs="Arial"/>
      <w:i/>
      <w:iCs/>
      <w:sz w:val="22"/>
      <w:szCs w:val="22"/>
    </w:rPr>
  </w:style>
  <w:style w:type="character" w:styleId="1021" w:customStyle="1">
    <w:name w:val="标题 9 字符1"/>
    <w:uiPriority w:val="9"/>
    <w:semiHidden/>
    <w:qFormat/>
    <w:rPr>
      <w:rFonts w:ascii="Arial" w:hAnsi="Arial" w:eastAsia="Arial" w:cs="Arial"/>
      <w:i/>
      <w:iCs/>
      <w:sz w:val="21"/>
      <w:szCs w:val="21"/>
    </w:rPr>
  </w:style>
  <w:style w:type="character" w:styleId="1022" w:customStyle="1">
    <w:name w:val="页眉 字符1"/>
    <w:uiPriority w:val="99"/>
    <w:semiHidden/>
    <w:qFormat/>
    <w:rPr>
      <w:sz w:val="21"/>
      <w:szCs w:val="22"/>
    </w:rPr>
  </w:style>
  <w:style w:type="character" w:styleId="1023" w:customStyle="1">
    <w:name w:val="Footer Char"/>
    <w:uiPriority w:val="99"/>
    <w:qFormat/>
  </w:style>
  <w:style w:type="character" w:styleId="1024" w:customStyle="1">
    <w:name w:val="页脚 字符1"/>
    <w:uiPriority w:val="99"/>
    <w:semiHidden/>
    <w:qFormat/>
    <w:rPr>
      <w:sz w:val="21"/>
      <w:szCs w:val="22"/>
    </w:rPr>
  </w:style>
  <w:style w:type="character" w:styleId="1025" w:customStyle="1">
    <w:name w:val="默认段落字体1"/>
    <w:uiPriority w:val="1"/>
    <w:qFormat/>
  </w:style>
  <w:style w:type="character" w:styleId="1026" w:customStyle="1">
    <w:name w:val="要点1"/>
    <w:qFormat/>
    <w:rPr>
      <w:b/>
      <w:bCs/>
    </w:rPr>
  </w:style>
  <w:style w:type="character" w:styleId="1027" w:customStyle="1">
    <w:name w:val="页码1"/>
    <w:qFormat/>
  </w:style>
  <w:style w:type="character" w:styleId="1028" w:customStyle="1">
    <w:name w:val="已访问的超链接1"/>
    <w:qFormat/>
    <w:rPr>
      <w:color w:val="800080"/>
      <w:u w:val="single"/>
    </w:rPr>
  </w:style>
  <w:style w:type="character" w:styleId="1029" w:customStyle="1">
    <w:name w:val="超链接1"/>
    <w:qFormat/>
    <w:rPr>
      <w:color w:val="0000ff"/>
      <w:u w:val="single"/>
    </w:rPr>
  </w:style>
  <w:style w:type="character" w:styleId="1030" w:customStyle="1">
    <w:name w:val="批注引用1"/>
    <w:semiHidden/>
    <w:qFormat/>
    <w:rPr>
      <w:sz w:val="21"/>
      <w:szCs w:val="21"/>
    </w:rPr>
  </w:style>
  <w:style w:type="table" w:styleId="1031" w:customStyle="1">
    <w:name w:val="网格型1"/>
    <w:uiPriority w:val="59"/>
    <w:qFormat/>
    <w:tblPr>
      <w:tblCellMar>
        <w:left w:w="0" w:type="dxa"/>
        <w:top w:w="0" w:type="dxa"/>
        <w:right w:w="0" w:type="dxa"/>
        <w:bottom w:w="0" w:type="dxa"/>
      </w:tblCellMar>
    </w:tblPr>
  </w:style>
  <w:style w:type="table" w:styleId="1032" w:customStyle="1">
    <w:name w:val="Table Grid Light"/>
    <w:uiPriority w:val="59"/>
    <w:qFormat/>
    <w:tblPr>
      <w:tblCellMar>
        <w:left w:w="0" w:type="dxa"/>
        <w:top w:w="0" w:type="dxa"/>
        <w:right w:w="0" w:type="dxa"/>
        <w:bottom w:w="0" w:type="dxa"/>
      </w:tblCellMar>
    </w:tblPr>
  </w:style>
  <w:style w:type="table" w:styleId="1033" w:customStyle="1">
    <w:name w:val="无格式表格 11"/>
    <w:uiPriority w:val="59"/>
    <w:qFormat/>
    <w:tblPr>
      <w:tblCellMar>
        <w:left w:w="0" w:type="dxa"/>
        <w:top w:w="0" w:type="dxa"/>
        <w:right w:w="0" w:type="dxa"/>
        <w:bottom w:w="0" w:type="dxa"/>
      </w:tblCellMar>
    </w:tblPr>
  </w:style>
  <w:style w:type="table" w:styleId="1034" w:customStyle="1">
    <w:name w:val="无格式表格 21"/>
    <w:uiPriority w:val="59"/>
    <w:qFormat/>
    <w:tblPr>
      <w:tblCellMar>
        <w:left w:w="0" w:type="dxa"/>
        <w:top w:w="0" w:type="dxa"/>
        <w:right w:w="0" w:type="dxa"/>
        <w:bottom w:w="0" w:type="dxa"/>
      </w:tblCellMar>
    </w:tblPr>
  </w:style>
  <w:style w:type="table" w:styleId="1035" w:customStyle="1">
    <w:name w:val="无格式表格 31"/>
    <w:uiPriority w:val="99"/>
    <w:qFormat/>
    <w:tblPr>
      <w:tblCellMar>
        <w:left w:w="0" w:type="dxa"/>
        <w:top w:w="0" w:type="dxa"/>
        <w:right w:w="0" w:type="dxa"/>
        <w:bottom w:w="0" w:type="dxa"/>
      </w:tblCellMar>
    </w:tblPr>
  </w:style>
  <w:style w:type="table" w:styleId="1036" w:customStyle="1">
    <w:name w:val="无格式表格 41"/>
    <w:uiPriority w:val="99"/>
    <w:qFormat/>
    <w:tblPr>
      <w:tblCellMar>
        <w:left w:w="0" w:type="dxa"/>
        <w:top w:w="0" w:type="dxa"/>
        <w:right w:w="0" w:type="dxa"/>
        <w:bottom w:w="0" w:type="dxa"/>
      </w:tblCellMar>
    </w:tblPr>
  </w:style>
  <w:style w:type="table" w:styleId="1037" w:customStyle="1">
    <w:name w:val="无格式表格 51"/>
    <w:uiPriority w:val="99"/>
    <w:qFormat/>
    <w:tblPr>
      <w:tblCellMar>
        <w:left w:w="0" w:type="dxa"/>
        <w:top w:w="0" w:type="dxa"/>
        <w:right w:w="0" w:type="dxa"/>
        <w:bottom w:w="0" w:type="dxa"/>
      </w:tblCellMar>
    </w:tblPr>
  </w:style>
  <w:style w:type="table" w:styleId="1038" w:customStyle="1">
    <w:name w:val="网格表 1 浅色1"/>
    <w:uiPriority w:val="99"/>
    <w:qFormat/>
    <w:tblPr>
      <w:tblCellMar>
        <w:left w:w="0" w:type="dxa"/>
        <w:top w:w="0" w:type="dxa"/>
        <w:right w:w="0" w:type="dxa"/>
        <w:bottom w:w="0" w:type="dxa"/>
      </w:tblCellMar>
    </w:tblPr>
  </w:style>
  <w:style w:type="table" w:styleId="1039" w:customStyle="1">
    <w:name w:val="Grid Table 1 Light - Accent 1"/>
    <w:uiPriority w:val="99"/>
    <w:qFormat/>
    <w:tblPr>
      <w:tblCellMar>
        <w:left w:w="0" w:type="dxa"/>
        <w:top w:w="0" w:type="dxa"/>
        <w:right w:w="0" w:type="dxa"/>
        <w:bottom w:w="0" w:type="dxa"/>
      </w:tblCellMar>
    </w:tblPr>
  </w:style>
  <w:style w:type="table" w:styleId="1040" w:customStyle="1">
    <w:name w:val="Grid Table 1 Light - Accent 2"/>
    <w:uiPriority w:val="99"/>
    <w:qFormat/>
    <w:tblPr>
      <w:tblCellMar>
        <w:left w:w="0" w:type="dxa"/>
        <w:top w:w="0" w:type="dxa"/>
        <w:right w:w="0" w:type="dxa"/>
        <w:bottom w:w="0" w:type="dxa"/>
      </w:tblCellMar>
    </w:tblPr>
  </w:style>
  <w:style w:type="table" w:styleId="1041" w:customStyle="1">
    <w:name w:val="Grid Table 1 Light - Accent 3"/>
    <w:uiPriority w:val="99"/>
    <w:qFormat/>
    <w:tblPr>
      <w:tblCellMar>
        <w:left w:w="0" w:type="dxa"/>
        <w:top w:w="0" w:type="dxa"/>
        <w:right w:w="0" w:type="dxa"/>
        <w:bottom w:w="0" w:type="dxa"/>
      </w:tblCellMar>
    </w:tblPr>
  </w:style>
  <w:style w:type="table" w:styleId="1042" w:customStyle="1">
    <w:name w:val="Grid Table 1 Light - Accent 4"/>
    <w:uiPriority w:val="99"/>
    <w:qFormat/>
    <w:tblPr>
      <w:tblCellMar>
        <w:left w:w="0" w:type="dxa"/>
        <w:top w:w="0" w:type="dxa"/>
        <w:right w:w="0" w:type="dxa"/>
        <w:bottom w:w="0" w:type="dxa"/>
      </w:tblCellMar>
    </w:tblPr>
  </w:style>
  <w:style w:type="table" w:styleId="1043" w:customStyle="1">
    <w:name w:val="Grid Table 1 Light - Accent 5"/>
    <w:uiPriority w:val="99"/>
    <w:qFormat/>
    <w:tblPr>
      <w:tblCellMar>
        <w:left w:w="0" w:type="dxa"/>
        <w:top w:w="0" w:type="dxa"/>
        <w:right w:w="0" w:type="dxa"/>
        <w:bottom w:w="0" w:type="dxa"/>
      </w:tblCellMar>
    </w:tblPr>
  </w:style>
  <w:style w:type="table" w:styleId="1044" w:customStyle="1">
    <w:name w:val="Grid Table 1 Light - Accent 6"/>
    <w:uiPriority w:val="99"/>
    <w:qFormat/>
    <w:tblPr>
      <w:tblCellMar>
        <w:left w:w="0" w:type="dxa"/>
        <w:top w:w="0" w:type="dxa"/>
        <w:right w:w="0" w:type="dxa"/>
        <w:bottom w:w="0" w:type="dxa"/>
      </w:tblCellMar>
    </w:tblPr>
  </w:style>
  <w:style w:type="table" w:styleId="1045" w:customStyle="1">
    <w:name w:val="网格表 21"/>
    <w:uiPriority w:val="99"/>
    <w:qFormat/>
    <w:tblPr>
      <w:tblCellMar>
        <w:left w:w="0" w:type="dxa"/>
        <w:top w:w="0" w:type="dxa"/>
        <w:right w:w="0" w:type="dxa"/>
        <w:bottom w:w="0" w:type="dxa"/>
      </w:tblCellMar>
    </w:tblPr>
  </w:style>
  <w:style w:type="table" w:styleId="1046" w:customStyle="1">
    <w:name w:val="Grid Table 2 - Accent 1"/>
    <w:uiPriority w:val="99"/>
    <w:qFormat/>
    <w:tblPr>
      <w:tblCellMar>
        <w:left w:w="0" w:type="dxa"/>
        <w:top w:w="0" w:type="dxa"/>
        <w:right w:w="0" w:type="dxa"/>
        <w:bottom w:w="0" w:type="dxa"/>
      </w:tblCellMar>
    </w:tblPr>
  </w:style>
  <w:style w:type="table" w:styleId="1047" w:customStyle="1">
    <w:name w:val="Grid Table 2 - Accent 2"/>
    <w:uiPriority w:val="99"/>
    <w:qFormat/>
    <w:tblPr>
      <w:tblCellMar>
        <w:left w:w="0" w:type="dxa"/>
        <w:top w:w="0" w:type="dxa"/>
        <w:right w:w="0" w:type="dxa"/>
        <w:bottom w:w="0" w:type="dxa"/>
      </w:tblCellMar>
    </w:tblPr>
  </w:style>
  <w:style w:type="table" w:styleId="1048" w:customStyle="1">
    <w:name w:val="Grid Table 2 - Accent 3"/>
    <w:uiPriority w:val="99"/>
    <w:qFormat/>
    <w:tblPr>
      <w:tblCellMar>
        <w:left w:w="0" w:type="dxa"/>
        <w:top w:w="0" w:type="dxa"/>
        <w:right w:w="0" w:type="dxa"/>
        <w:bottom w:w="0" w:type="dxa"/>
      </w:tblCellMar>
    </w:tblPr>
  </w:style>
  <w:style w:type="table" w:styleId="1049" w:customStyle="1">
    <w:name w:val="Grid Table 2 - Accent 4"/>
    <w:uiPriority w:val="99"/>
    <w:qFormat/>
    <w:tblPr>
      <w:tblCellMar>
        <w:left w:w="0" w:type="dxa"/>
        <w:top w:w="0" w:type="dxa"/>
        <w:right w:w="0" w:type="dxa"/>
        <w:bottom w:w="0" w:type="dxa"/>
      </w:tblCellMar>
    </w:tblPr>
  </w:style>
  <w:style w:type="table" w:styleId="1050" w:customStyle="1">
    <w:name w:val="Grid Table 2 - Accent 5"/>
    <w:uiPriority w:val="99"/>
    <w:qFormat/>
    <w:tblPr>
      <w:tblCellMar>
        <w:left w:w="0" w:type="dxa"/>
        <w:top w:w="0" w:type="dxa"/>
        <w:right w:w="0" w:type="dxa"/>
        <w:bottom w:w="0" w:type="dxa"/>
      </w:tblCellMar>
    </w:tblPr>
  </w:style>
  <w:style w:type="table" w:styleId="1051" w:customStyle="1">
    <w:name w:val="Grid Table 2 - Accent 6"/>
    <w:uiPriority w:val="99"/>
    <w:qFormat/>
    <w:tblPr>
      <w:tblCellMar>
        <w:left w:w="0" w:type="dxa"/>
        <w:top w:w="0" w:type="dxa"/>
        <w:right w:w="0" w:type="dxa"/>
        <w:bottom w:w="0" w:type="dxa"/>
      </w:tblCellMar>
    </w:tblPr>
  </w:style>
  <w:style w:type="table" w:styleId="1052" w:customStyle="1">
    <w:name w:val="网格表 31"/>
    <w:uiPriority w:val="99"/>
    <w:qFormat/>
    <w:tblPr>
      <w:tblCellMar>
        <w:left w:w="0" w:type="dxa"/>
        <w:top w:w="0" w:type="dxa"/>
        <w:right w:w="0" w:type="dxa"/>
        <w:bottom w:w="0" w:type="dxa"/>
      </w:tblCellMar>
    </w:tblPr>
  </w:style>
  <w:style w:type="table" w:styleId="1053" w:customStyle="1">
    <w:name w:val="Grid Table 3 - Accent 1"/>
    <w:uiPriority w:val="99"/>
    <w:qFormat/>
    <w:tblPr>
      <w:tblCellMar>
        <w:left w:w="0" w:type="dxa"/>
        <w:top w:w="0" w:type="dxa"/>
        <w:right w:w="0" w:type="dxa"/>
        <w:bottom w:w="0" w:type="dxa"/>
      </w:tblCellMar>
    </w:tblPr>
  </w:style>
  <w:style w:type="table" w:styleId="1054" w:customStyle="1">
    <w:name w:val="Grid Table 3 - Accent 2"/>
    <w:uiPriority w:val="99"/>
    <w:qFormat/>
    <w:tblPr>
      <w:tblCellMar>
        <w:left w:w="0" w:type="dxa"/>
        <w:top w:w="0" w:type="dxa"/>
        <w:right w:w="0" w:type="dxa"/>
        <w:bottom w:w="0" w:type="dxa"/>
      </w:tblCellMar>
    </w:tblPr>
  </w:style>
  <w:style w:type="table" w:styleId="1055" w:customStyle="1">
    <w:name w:val="Grid Table 3 - Accent 3"/>
    <w:uiPriority w:val="99"/>
    <w:qFormat/>
    <w:tblPr>
      <w:tblCellMar>
        <w:left w:w="0" w:type="dxa"/>
        <w:top w:w="0" w:type="dxa"/>
        <w:right w:w="0" w:type="dxa"/>
        <w:bottom w:w="0" w:type="dxa"/>
      </w:tblCellMar>
    </w:tblPr>
  </w:style>
  <w:style w:type="table" w:styleId="1056" w:customStyle="1">
    <w:name w:val="Grid Table 3 - Accent 4"/>
    <w:uiPriority w:val="99"/>
    <w:qFormat/>
    <w:tblPr>
      <w:tblCellMar>
        <w:left w:w="0" w:type="dxa"/>
        <w:top w:w="0" w:type="dxa"/>
        <w:right w:w="0" w:type="dxa"/>
        <w:bottom w:w="0" w:type="dxa"/>
      </w:tblCellMar>
    </w:tblPr>
  </w:style>
  <w:style w:type="table" w:styleId="1057" w:customStyle="1">
    <w:name w:val="Grid Table 3 - Accent 5"/>
    <w:uiPriority w:val="99"/>
    <w:qFormat/>
    <w:tblPr>
      <w:tblCellMar>
        <w:left w:w="0" w:type="dxa"/>
        <w:top w:w="0" w:type="dxa"/>
        <w:right w:w="0" w:type="dxa"/>
        <w:bottom w:w="0" w:type="dxa"/>
      </w:tblCellMar>
    </w:tblPr>
  </w:style>
  <w:style w:type="table" w:styleId="1058" w:customStyle="1">
    <w:name w:val="Grid Table 3 - Accent 6"/>
    <w:uiPriority w:val="99"/>
    <w:qFormat/>
    <w:tblPr>
      <w:tblCellMar>
        <w:left w:w="0" w:type="dxa"/>
        <w:top w:w="0" w:type="dxa"/>
        <w:right w:w="0" w:type="dxa"/>
        <w:bottom w:w="0" w:type="dxa"/>
      </w:tblCellMar>
    </w:tblPr>
  </w:style>
  <w:style w:type="table" w:styleId="1059" w:customStyle="1">
    <w:name w:val="网格表 41"/>
    <w:uiPriority w:val="59"/>
    <w:qFormat/>
    <w:tblPr>
      <w:tblCellMar>
        <w:left w:w="0" w:type="dxa"/>
        <w:top w:w="0" w:type="dxa"/>
        <w:right w:w="0" w:type="dxa"/>
        <w:bottom w:w="0" w:type="dxa"/>
      </w:tblCellMar>
    </w:tblPr>
  </w:style>
  <w:style w:type="table" w:styleId="1060" w:customStyle="1">
    <w:name w:val="Grid Table 4 - Accent 1"/>
    <w:uiPriority w:val="59"/>
    <w:qFormat/>
    <w:tblPr>
      <w:tblCellMar>
        <w:left w:w="0" w:type="dxa"/>
        <w:top w:w="0" w:type="dxa"/>
        <w:right w:w="0" w:type="dxa"/>
        <w:bottom w:w="0" w:type="dxa"/>
      </w:tblCellMar>
    </w:tblPr>
  </w:style>
  <w:style w:type="table" w:styleId="1061" w:customStyle="1">
    <w:name w:val="Grid Table 4 - Accent 2"/>
    <w:uiPriority w:val="59"/>
    <w:qFormat/>
    <w:tblPr>
      <w:tblCellMar>
        <w:left w:w="0" w:type="dxa"/>
        <w:top w:w="0" w:type="dxa"/>
        <w:right w:w="0" w:type="dxa"/>
        <w:bottom w:w="0" w:type="dxa"/>
      </w:tblCellMar>
    </w:tblPr>
  </w:style>
  <w:style w:type="table" w:styleId="1062" w:customStyle="1">
    <w:name w:val="Grid Table 4 - Accent 3"/>
    <w:uiPriority w:val="59"/>
    <w:qFormat/>
    <w:tblPr>
      <w:tblCellMar>
        <w:left w:w="0" w:type="dxa"/>
        <w:top w:w="0" w:type="dxa"/>
        <w:right w:w="0" w:type="dxa"/>
        <w:bottom w:w="0" w:type="dxa"/>
      </w:tblCellMar>
    </w:tblPr>
  </w:style>
  <w:style w:type="table" w:styleId="1063" w:customStyle="1">
    <w:name w:val="Grid Table 4 - Accent 4"/>
    <w:uiPriority w:val="59"/>
    <w:qFormat/>
    <w:tblPr>
      <w:tblCellMar>
        <w:left w:w="0" w:type="dxa"/>
        <w:top w:w="0" w:type="dxa"/>
        <w:right w:w="0" w:type="dxa"/>
        <w:bottom w:w="0" w:type="dxa"/>
      </w:tblCellMar>
    </w:tblPr>
  </w:style>
  <w:style w:type="table" w:styleId="1064" w:customStyle="1">
    <w:name w:val="Grid Table 4 - Accent 5"/>
    <w:uiPriority w:val="59"/>
    <w:qFormat/>
    <w:tblPr>
      <w:tblCellMar>
        <w:left w:w="0" w:type="dxa"/>
        <w:top w:w="0" w:type="dxa"/>
        <w:right w:w="0" w:type="dxa"/>
        <w:bottom w:w="0" w:type="dxa"/>
      </w:tblCellMar>
    </w:tblPr>
  </w:style>
  <w:style w:type="table" w:styleId="1065" w:customStyle="1">
    <w:name w:val="Grid Table 4 - Accent 6"/>
    <w:uiPriority w:val="59"/>
    <w:qFormat/>
    <w:tblPr>
      <w:tblCellMar>
        <w:left w:w="0" w:type="dxa"/>
        <w:top w:w="0" w:type="dxa"/>
        <w:right w:w="0" w:type="dxa"/>
        <w:bottom w:w="0" w:type="dxa"/>
      </w:tblCellMar>
    </w:tblPr>
  </w:style>
  <w:style w:type="table" w:styleId="1066" w:customStyle="1">
    <w:name w:val="网格表 5 深色1"/>
    <w:uiPriority w:val="99"/>
    <w:qFormat/>
    <w:tblPr>
      <w:tblCellMar>
        <w:left w:w="0" w:type="dxa"/>
        <w:top w:w="0" w:type="dxa"/>
        <w:right w:w="0" w:type="dxa"/>
        <w:bottom w:w="0" w:type="dxa"/>
      </w:tblCellMar>
    </w:tblPr>
  </w:style>
  <w:style w:type="table" w:styleId="1067" w:customStyle="1">
    <w:name w:val="Grid Table 5 Dark- Accent 1"/>
    <w:uiPriority w:val="99"/>
    <w:qFormat/>
    <w:tblPr>
      <w:tblCellMar>
        <w:left w:w="0" w:type="dxa"/>
        <w:top w:w="0" w:type="dxa"/>
        <w:right w:w="0" w:type="dxa"/>
        <w:bottom w:w="0" w:type="dxa"/>
      </w:tblCellMar>
    </w:tblPr>
  </w:style>
  <w:style w:type="table" w:styleId="1068" w:customStyle="1">
    <w:name w:val="Grid Table 5 Dark - Accent 2"/>
    <w:uiPriority w:val="99"/>
    <w:qFormat/>
    <w:tblPr>
      <w:tblCellMar>
        <w:left w:w="0" w:type="dxa"/>
        <w:top w:w="0" w:type="dxa"/>
        <w:right w:w="0" w:type="dxa"/>
        <w:bottom w:w="0" w:type="dxa"/>
      </w:tblCellMar>
    </w:tblPr>
  </w:style>
  <w:style w:type="table" w:styleId="1069" w:customStyle="1">
    <w:name w:val="Grid Table 5 Dark - Accent 3"/>
    <w:uiPriority w:val="99"/>
    <w:qFormat/>
    <w:tblPr>
      <w:tblCellMar>
        <w:left w:w="0" w:type="dxa"/>
        <w:top w:w="0" w:type="dxa"/>
        <w:right w:w="0" w:type="dxa"/>
        <w:bottom w:w="0" w:type="dxa"/>
      </w:tblCellMar>
    </w:tblPr>
  </w:style>
  <w:style w:type="table" w:styleId="1070" w:customStyle="1">
    <w:name w:val="Grid Table 5 Dark- Accent 4"/>
    <w:uiPriority w:val="99"/>
    <w:qFormat/>
    <w:tblPr>
      <w:tblCellMar>
        <w:left w:w="0" w:type="dxa"/>
        <w:top w:w="0" w:type="dxa"/>
        <w:right w:w="0" w:type="dxa"/>
        <w:bottom w:w="0" w:type="dxa"/>
      </w:tblCellMar>
    </w:tblPr>
  </w:style>
  <w:style w:type="table" w:styleId="1071" w:customStyle="1">
    <w:name w:val="Grid Table 5 Dark - Accent 5"/>
    <w:uiPriority w:val="99"/>
    <w:qFormat/>
    <w:tblPr>
      <w:tblCellMar>
        <w:left w:w="0" w:type="dxa"/>
        <w:top w:w="0" w:type="dxa"/>
        <w:right w:w="0" w:type="dxa"/>
        <w:bottom w:w="0" w:type="dxa"/>
      </w:tblCellMar>
    </w:tblPr>
  </w:style>
  <w:style w:type="table" w:styleId="1072" w:customStyle="1">
    <w:name w:val="Grid Table 5 Dark - Accent 6"/>
    <w:uiPriority w:val="99"/>
    <w:qFormat/>
    <w:tblPr>
      <w:tblCellMar>
        <w:left w:w="0" w:type="dxa"/>
        <w:top w:w="0" w:type="dxa"/>
        <w:right w:w="0" w:type="dxa"/>
        <w:bottom w:w="0" w:type="dxa"/>
      </w:tblCellMar>
    </w:tblPr>
  </w:style>
  <w:style w:type="table" w:styleId="1073" w:customStyle="1">
    <w:name w:val="网格表 6 彩色1"/>
    <w:uiPriority w:val="99"/>
    <w:qFormat/>
    <w:tblPr>
      <w:tblCellMar>
        <w:left w:w="0" w:type="dxa"/>
        <w:top w:w="0" w:type="dxa"/>
        <w:right w:w="0" w:type="dxa"/>
        <w:bottom w:w="0" w:type="dxa"/>
      </w:tblCellMar>
    </w:tblPr>
  </w:style>
  <w:style w:type="table" w:styleId="1074" w:customStyle="1">
    <w:name w:val="Grid Table 6 Colorful - Accent 1"/>
    <w:uiPriority w:val="99"/>
    <w:qFormat/>
    <w:tblPr>
      <w:tblCellMar>
        <w:left w:w="0" w:type="dxa"/>
        <w:top w:w="0" w:type="dxa"/>
        <w:right w:w="0" w:type="dxa"/>
        <w:bottom w:w="0" w:type="dxa"/>
      </w:tblCellMar>
    </w:tblPr>
  </w:style>
  <w:style w:type="table" w:styleId="1075" w:customStyle="1">
    <w:name w:val="Grid Table 6 Colorful - Accent 2"/>
    <w:uiPriority w:val="99"/>
    <w:qFormat/>
    <w:tblPr>
      <w:tblCellMar>
        <w:left w:w="0" w:type="dxa"/>
        <w:top w:w="0" w:type="dxa"/>
        <w:right w:w="0" w:type="dxa"/>
        <w:bottom w:w="0" w:type="dxa"/>
      </w:tblCellMar>
    </w:tblPr>
  </w:style>
  <w:style w:type="table" w:styleId="1076" w:customStyle="1">
    <w:name w:val="Grid Table 6 Colorful - Accent 3"/>
    <w:uiPriority w:val="99"/>
    <w:qFormat/>
    <w:tblPr>
      <w:tblCellMar>
        <w:left w:w="0" w:type="dxa"/>
        <w:top w:w="0" w:type="dxa"/>
        <w:right w:w="0" w:type="dxa"/>
        <w:bottom w:w="0" w:type="dxa"/>
      </w:tblCellMar>
    </w:tblPr>
  </w:style>
  <w:style w:type="table" w:styleId="1077" w:customStyle="1">
    <w:name w:val="Grid Table 6 Colorful - Accent 4"/>
    <w:uiPriority w:val="99"/>
    <w:qFormat/>
    <w:tblPr>
      <w:tblCellMar>
        <w:left w:w="0" w:type="dxa"/>
        <w:top w:w="0" w:type="dxa"/>
        <w:right w:w="0" w:type="dxa"/>
        <w:bottom w:w="0" w:type="dxa"/>
      </w:tblCellMar>
    </w:tblPr>
  </w:style>
  <w:style w:type="table" w:styleId="1078" w:customStyle="1">
    <w:name w:val="Grid Table 6 Colorful - Accent 5"/>
    <w:uiPriority w:val="99"/>
    <w:qFormat/>
    <w:tblPr>
      <w:tblCellMar>
        <w:left w:w="0" w:type="dxa"/>
        <w:top w:w="0" w:type="dxa"/>
        <w:right w:w="0" w:type="dxa"/>
        <w:bottom w:w="0" w:type="dxa"/>
      </w:tblCellMar>
    </w:tblPr>
  </w:style>
  <w:style w:type="table" w:styleId="1079" w:customStyle="1">
    <w:name w:val="Grid Table 6 Colorful - Accent 6"/>
    <w:uiPriority w:val="99"/>
    <w:qFormat/>
    <w:tblPr>
      <w:tblCellMar>
        <w:left w:w="0" w:type="dxa"/>
        <w:top w:w="0" w:type="dxa"/>
        <w:right w:w="0" w:type="dxa"/>
        <w:bottom w:w="0" w:type="dxa"/>
      </w:tblCellMar>
    </w:tblPr>
  </w:style>
  <w:style w:type="table" w:styleId="1080" w:customStyle="1">
    <w:name w:val="网格表 7 彩色1"/>
    <w:uiPriority w:val="99"/>
    <w:qFormat/>
    <w:tblPr>
      <w:tblCellMar>
        <w:left w:w="0" w:type="dxa"/>
        <w:top w:w="0" w:type="dxa"/>
        <w:right w:w="0" w:type="dxa"/>
        <w:bottom w:w="0" w:type="dxa"/>
      </w:tblCellMar>
    </w:tblPr>
  </w:style>
  <w:style w:type="table" w:styleId="1081" w:customStyle="1">
    <w:name w:val="Grid Table 7 Colorful - Accent 1"/>
    <w:uiPriority w:val="99"/>
    <w:qFormat/>
    <w:tblPr>
      <w:tblCellMar>
        <w:left w:w="0" w:type="dxa"/>
        <w:top w:w="0" w:type="dxa"/>
        <w:right w:w="0" w:type="dxa"/>
        <w:bottom w:w="0" w:type="dxa"/>
      </w:tblCellMar>
    </w:tblPr>
  </w:style>
  <w:style w:type="table" w:styleId="1082" w:customStyle="1">
    <w:name w:val="Grid Table 7 Colorful - Accent 2"/>
    <w:uiPriority w:val="99"/>
    <w:qFormat/>
    <w:tblPr>
      <w:tblCellMar>
        <w:left w:w="0" w:type="dxa"/>
        <w:top w:w="0" w:type="dxa"/>
        <w:right w:w="0" w:type="dxa"/>
        <w:bottom w:w="0" w:type="dxa"/>
      </w:tblCellMar>
    </w:tblPr>
  </w:style>
  <w:style w:type="table" w:styleId="1083" w:customStyle="1">
    <w:name w:val="Grid Table 7 Colorful - Accent 3"/>
    <w:uiPriority w:val="99"/>
    <w:qFormat/>
    <w:tblPr>
      <w:tblCellMar>
        <w:left w:w="0" w:type="dxa"/>
        <w:top w:w="0" w:type="dxa"/>
        <w:right w:w="0" w:type="dxa"/>
        <w:bottom w:w="0" w:type="dxa"/>
      </w:tblCellMar>
    </w:tblPr>
  </w:style>
  <w:style w:type="table" w:styleId="1084" w:customStyle="1">
    <w:name w:val="Grid Table 7 Colorful - Accent 4"/>
    <w:uiPriority w:val="99"/>
    <w:qFormat/>
    <w:tblPr>
      <w:tblCellMar>
        <w:left w:w="0" w:type="dxa"/>
        <w:top w:w="0" w:type="dxa"/>
        <w:right w:w="0" w:type="dxa"/>
        <w:bottom w:w="0" w:type="dxa"/>
      </w:tblCellMar>
    </w:tblPr>
  </w:style>
  <w:style w:type="table" w:styleId="1085" w:customStyle="1">
    <w:name w:val="Grid Table 7 Colorful - Accent 5"/>
    <w:uiPriority w:val="99"/>
    <w:qFormat/>
    <w:tblPr>
      <w:tblCellMar>
        <w:left w:w="0" w:type="dxa"/>
        <w:top w:w="0" w:type="dxa"/>
        <w:right w:w="0" w:type="dxa"/>
        <w:bottom w:w="0" w:type="dxa"/>
      </w:tblCellMar>
    </w:tblPr>
  </w:style>
  <w:style w:type="table" w:styleId="1086" w:customStyle="1">
    <w:name w:val="Grid Table 7 Colorful - Accent 6"/>
    <w:uiPriority w:val="99"/>
    <w:qFormat/>
    <w:tblPr>
      <w:tblCellMar>
        <w:left w:w="0" w:type="dxa"/>
        <w:top w:w="0" w:type="dxa"/>
        <w:right w:w="0" w:type="dxa"/>
        <w:bottom w:w="0" w:type="dxa"/>
      </w:tblCellMar>
    </w:tblPr>
  </w:style>
  <w:style w:type="table" w:styleId="1087" w:customStyle="1">
    <w:name w:val="清单表 1 浅色1"/>
    <w:uiPriority w:val="99"/>
    <w:qFormat/>
    <w:tblPr>
      <w:tblCellMar>
        <w:left w:w="0" w:type="dxa"/>
        <w:top w:w="0" w:type="dxa"/>
        <w:right w:w="0" w:type="dxa"/>
        <w:bottom w:w="0" w:type="dxa"/>
      </w:tblCellMar>
    </w:tblPr>
  </w:style>
  <w:style w:type="table" w:styleId="1088" w:customStyle="1">
    <w:name w:val="List Table 1 Light - Accent 1"/>
    <w:uiPriority w:val="99"/>
    <w:qFormat/>
    <w:tblPr>
      <w:tblCellMar>
        <w:left w:w="0" w:type="dxa"/>
        <w:top w:w="0" w:type="dxa"/>
        <w:right w:w="0" w:type="dxa"/>
        <w:bottom w:w="0" w:type="dxa"/>
      </w:tblCellMar>
    </w:tblPr>
  </w:style>
  <w:style w:type="table" w:styleId="1089" w:customStyle="1">
    <w:name w:val="List Table 1 Light - Accent 2"/>
    <w:uiPriority w:val="99"/>
    <w:qFormat/>
    <w:tblPr>
      <w:tblCellMar>
        <w:left w:w="0" w:type="dxa"/>
        <w:top w:w="0" w:type="dxa"/>
        <w:right w:w="0" w:type="dxa"/>
        <w:bottom w:w="0" w:type="dxa"/>
      </w:tblCellMar>
    </w:tblPr>
  </w:style>
  <w:style w:type="table" w:styleId="1090" w:customStyle="1">
    <w:name w:val="List Table 1 Light - Accent 3"/>
    <w:uiPriority w:val="99"/>
    <w:qFormat/>
    <w:tblPr>
      <w:tblCellMar>
        <w:left w:w="0" w:type="dxa"/>
        <w:top w:w="0" w:type="dxa"/>
        <w:right w:w="0" w:type="dxa"/>
        <w:bottom w:w="0" w:type="dxa"/>
      </w:tblCellMar>
    </w:tblPr>
  </w:style>
  <w:style w:type="table" w:styleId="1091" w:customStyle="1">
    <w:name w:val="List Table 1 Light - Accent 4"/>
    <w:uiPriority w:val="99"/>
    <w:qFormat/>
    <w:tblPr>
      <w:tblCellMar>
        <w:left w:w="0" w:type="dxa"/>
        <w:top w:w="0" w:type="dxa"/>
        <w:right w:w="0" w:type="dxa"/>
        <w:bottom w:w="0" w:type="dxa"/>
      </w:tblCellMar>
    </w:tblPr>
  </w:style>
  <w:style w:type="table" w:styleId="1092" w:customStyle="1">
    <w:name w:val="List Table 1 Light - Accent 5"/>
    <w:uiPriority w:val="99"/>
    <w:qFormat/>
    <w:tblPr>
      <w:tblCellMar>
        <w:left w:w="0" w:type="dxa"/>
        <w:top w:w="0" w:type="dxa"/>
        <w:right w:w="0" w:type="dxa"/>
        <w:bottom w:w="0" w:type="dxa"/>
      </w:tblCellMar>
    </w:tblPr>
  </w:style>
  <w:style w:type="table" w:styleId="1093" w:customStyle="1">
    <w:name w:val="List Table 1 Light - Accent 6"/>
    <w:uiPriority w:val="99"/>
    <w:qFormat/>
    <w:tblPr>
      <w:tblCellMar>
        <w:left w:w="0" w:type="dxa"/>
        <w:top w:w="0" w:type="dxa"/>
        <w:right w:w="0" w:type="dxa"/>
        <w:bottom w:w="0" w:type="dxa"/>
      </w:tblCellMar>
    </w:tblPr>
  </w:style>
  <w:style w:type="table" w:styleId="1094" w:customStyle="1">
    <w:name w:val="清单表 21"/>
    <w:uiPriority w:val="99"/>
    <w:qFormat/>
    <w:tblPr>
      <w:tblCellMar>
        <w:left w:w="0" w:type="dxa"/>
        <w:top w:w="0" w:type="dxa"/>
        <w:right w:w="0" w:type="dxa"/>
        <w:bottom w:w="0" w:type="dxa"/>
      </w:tblCellMar>
    </w:tblPr>
  </w:style>
  <w:style w:type="table" w:styleId="1095" w:customStyle="1">
    <w:name w:val="List Table 2 - Accent 1"/>
    <w:uiPriority w:val="99"/>
    <w:qFormat/>
    <w:tblPr>
      <w:tblCellMar>
        <w:left w:w="0" w:type="dxa"/>
        <w:top w:w="0" w:type="dxa"/>
        <w:right w:w="0" w:type="dxa"/>
        <w:bottom w:w="0" w:type="dxa"/>
      </w:tblCellMar>
    </w:tblPr>
  </w:style>
  <w:style w:type="table" w:styleId="1096" w:customStyle="1">
    <w:name w:val="List Table 2 - Accent 2"/>
    <w:uiPriority w:val="99"/>
    <w:qFormat/>
    <w:tblPr>
      <w:tblCellMar>
        <w:left w:w="0" w:type="dxa"/>
        <w:top w:w="0" w:type="dxa"/>
        <w:right w:w="0" w:type="dxa"/>
        <w:bottom w:w="0" w:type="dxa"/>
      </w:tblCellMar>
    </w:tblPr>
  </w:style>
  <w:style w:type="table" w:styleId="1097" w:customStyle="1">
    <w:name w:val="List Table 2 - Accent 3"/>
    <w:uiPriority w:val="99"/>
    <w:qFormat/>
    <w:tblPr>
      <w:tblCellMar>
        <w:left w:w="0" w:type="dxa"/>
        <w:top w:w="0" w:type="dxa"/>
        <w:right w:w="0" w:type="dxa"/>
        <w:bottom w:w="0" w:type="dxa"/>
      </w:tblCellMar>
    </w:tblPr>
  </w:style>
  <w:style w:type="table" w:styleId="1098" w:customStyle="1">
    <w:name w:val="List Table 2 - Accent 4"/>
    <w:uiPriority w:val="99"/>
    <w:qFormat/>
    <w:tblPr>
      <w:tblCellMar>
        <w:left w:w="0" w:type="dxa"/>
        <w:top w:w="0" w:type="dxa"/>
        <w:right w:w="0" w:type="dxa"/>
        <w:bottom w:w="0" w:type="dxa"/>
      </w:tblCellMar>
    </w:tblPr>
  </w:style>
  <w:style w:type="table" w:styleId="1099" w:customStyle="1">
    <w:name w:val="List Table 2 - Accent 5"/>
    <w:uiPriority w:val="99"/>
    <w:qFormat/>
    <w:tblPr>
      <w:tblCellMar>
        <w:left w:w="0" w:type="dxa"/>
        <w:top w:w="0" w:type="dxa"/>
        <w:right w:w="0" w:type="dxa"/>
        <w:bottom w:w="0" w:type="dxa"/>
      </w:tblCellMar>
    </w:tblPr>
  </w:style>
  <w:style w:type="table" w:styleId="1100" w:customStyle="1">
    <w:name w:val="List Table 2 - Accent 6"/>
    <w:uiPriority w:val="99"/>
    <w:qFormat/>
    <w:tblPr>
      <w:tblCellMar>
        <w:left w:w="0" w:type="dxa"/>
        <w:top w:w="0" w:type="dxa"/>
        <w:right w:w="0" w:type="dxa"/>
        <w:bottom w:w="0" w:type="dxa"/>
      </w:tblCellMar>
    </w:tblPr>
  </w:style>
  <w:style w:type="table" w:styleId="1101" w:customStyle="1">
    <w:name w:val="清单表 31"/>
    <w:uiPriority w:val="99"/>
    <w:qFormat/>
    <w:tblPr>
      <w:tblCellMar>
        <w:left w:w="0" w:type="dxa"/>
        <w:top w:w="0" w:type="dxa"/>
        <w:right w:w="0" w:type="dxa"/>
        <w:bottom w:w="0" w:type="dxa"/>
      </w:tblCellMar>
    </w:tblPr>
  </w:style>
  <w:style w:type="table" w:styleId="1102" w:customStyle="1">
    <w:name w:val="List Table 3 - Accent 1"/>
    <w:uiPriority w:val="99"/>
    <w:qFormat/>
    <w:tblPr>
      <w:tblCellMar>
        <w:left w:w="0" w:type="dxa"/>
        <w:top w:w="0" w:type="dxa"/>
        <w:right w:w="0" w:type="dxa"/>
        <w:bottom w:w="0" w:type="dxa"/>
      </w:tblCellMar>
    </w:tblPr>
  </w:style>
  <w:style w:type="table" w:styleId="1103" w:customStyle="1">
    <w:name w:val="List Table 3 - Accent 2"/>
    <w:uiPriority w:val="99"/>
    <w:qFormat/>
    <w:tblPr>
      <w:tblCellMar>
        <w:left w:w="0" w:type="dxa"/>
        <w:top w:w="0" w:type="dxa"/>
        <w:right w:w="0" w:type="dxa"/>
        <w:bottom w:w="0" w:type="dxa"/>
      </w:tblCellMar>
    </w:tblPr>
  </w:style>
  <w:style w:type="table" w:styleId="1104" w:customStyle="1">
    <w:name w:val="List Table 3 - Accent 3"/>
    <w:uiPriority w:val="99"/>
    <w:qFormat/>
    <w:tblPr>
      <w:tblCellMar>
        <w:left w:w="0" w:type="dxa"/>
        <w:top w:w="0" w:type="dxa"/>
        <w:right w:w="0" w:type="dxa"/>
        <w:bottom w:w="0" w:type="dxa"/>
      </w:tblCellMar>
    </w:tblPr>
  </w:style>
  <w:style w:type="table" w:styleId="1105" w:customStyle="1">
    <w:name w:val="List Table 3 - Accent 4"/>
    <w:uiPriority w:val="99"/>
    <w:qFormat/>
    <w:tblPr>
      <w:tblCellMar>
        <w:left w:w="0" w:type="dxa"/>
        <w:top w:w="0" w:type="dxa"/>
        <w:right w:w="0" w:type="dxa"/>
        <w:bottom w:w="0" w:type="dxa"/>
      </w:tblCellMar>
    </w:tblPr>
  </w:style>
  <w:style w:type="table" w:styleId="1106" w:customStyle="1">
    <w:name w:val="List Table 3 - Accent 5"/>
    <w:uiPriority w:val="99"/>
    <w:qFormat/>
    <w:tblPr>
      <w:tblCellMar>
        <w:left w:w="0" w:type="dxa"/>
        <w:top w:w="0" w:type="dxa"/>
        <w:right w:w="0" w:type="dxa"/>
        <w:bottom w:w="0" w:type="dxa"/>
      </w:tblCellMar>
    </w:tblPr>
  </w:style>
  <w:style w:type="table" w:styleId="1107" w:customStyle="1">
    <w:name w:val="List Table 3 - Accent 6"/>
    <w:uiPriority w:val="99"/>
    <w:qFormat/>
    <w:tblPr>
      <w:tblCellMar>
        <w:left w:w="0" w:type="dxa"/>
        <w:top w:w="0" w:type="dxa"/>
        <w:right w:w="0" w:type="dxa"/>
        <w:bottom w:w="0" w:type="dxa"/>
      </w:tblCellMar>
    </w:tblPr>
  </w:style>
  <w:style w:type="table" w:styleId="1108" w:customStyle="1">
    <w:name w:val="清单表 41"/>
    <w:uiPriority w:val="99"/>
    <w:qFormat/>
    <w:tblPr>
      <w:tblCellMar>
        <w:left w:w="0" w:type="dxa"/>
        <w:top w:w="0" w:type="dxa"/>
        <w:right w:w="0" w:type="dxa"/>
        <w:bottom w:w="0" w:type="dxa"/>
      </w:tblCellMar>
    </w:tblPr>
  </w:style>
  <w:style w:type="table" w:styleId="1109" w:customStyle="1">
    <w:name w:val="List Table 4 - Accent 1"/>
    <w:uiPriority w:val="99"/>
    <w:qFormat/>
    <w:tblPr>
      <w:tblCellMar>
        <w:left w:w="0" w:type="dxa"/>
        <w:top w:w="0" w:type="dxa"/>
        <w:right w:w="0" w:type="dxa"/>
        <w:bottom w:w="0" w:type="dxa"/>
      </w:tblCellMar>
    </w:tblPr>
  </w:style>
  <w:style w:type="table" w:styleId="1110" w:customStyle="1">
    <w:name w:val="List Table 4 - Accent 2"/>
    <w:uiPriority w:val="99"/>
    <w:qFormat/>
    <w:tblPr>
      <w:tblCellMar>
        <w:left w:w="0" w:type="dxa"/>
        <w:top w:w="0" w:type="dxa"/>
        <w:right w:w="0" w:type="dxa"/>
        <w:bottom w:w="0" w:type="dxa"/>
      </w:tblCellMar>
    </w:tblPr>
  </w:style>
  <w:style w:type="table" w:styleId="1111" w:customStyle="1">
    <w:name w:val="List Table 4 - Accent 3"/>
    <w:uiPriority w:val="99"/>
    <w:qFormat/>
    <w:tblPr>
      <w:tblCellMar>
        <w:left w:w="0" w:type="dxa"/>
        <w:top w:w="0" w:type="dxa"/>
        <w:right w:w="0" w:type="dxa"/>
        <w:bottom w:w="0" w:type="dxa"/>
      </w:tblCellMar>
    </w:tblPr>
  </w:style>
  <w:style w:type="table" w:styleId="1112" w:customStyle="1">
    <w:name w:val="List Table 4 - Accent 4"/>
    <w:uiPriority w:val="99"/>
    <w:qFormat/>
    <w:tblPr>
      <w:tblCellMar>
        <w:left w:w="0" w:type="dxa"/>
        <w:top w:w="0" w:type="dxa"/>
        <w:right w:w="0" w:type="dxa"/>
        <w:bottom w:w="0" w:type="dxa"/>
      </w:tblCellMar>
    </w:tblPr>
  </w:style>
  <w:style w:type="table" w:styleId="1113" w:customStyle="1">
    <w:name w:val="List Table 4 - Accent 5"/>
    <w:uiPriority w:val="99"/>
    <w:qFormat/>
    <w:tblPr>
      <w:tblCellMar>
        <w:left w:w="0" w:type="dxa"/>
        <w:top w:w="0" w:type="dxa"/>
        <w:right w:w="0" w:type="dxa"/>
        <w:bottom w:w="0" w:type="dxa"/>
      </w:tblCellMar>
    </w:tblPr>
  </w:style>
  <w:style w:type="table" w:styleId="1114" w:customStyle="1">
    <w:name w:val="List Table 4 - Accent 6"/>
    <w:uiPriority w:val="99"/>
    <w:qFormat/>
    <w:tblPr>
      <w:tblCellMar>
        <w:left w:w="0" w:type="dxa"/>
        <w:top w:w="0" w:type="dxa"/>
        <w:right w:w="0" w:type="dxa"/>
        <w:bottom w:w="0" w:type="dxa"/>
      </w:tblCellMar>
    </w:tblPr>
  </w:style>
  <w:style w:type="table" w:styleId="1115" w:customStyle="1">
    <w:name w:val="清单表 5 深色1"/>
    <w:uiPriority w:val="99"/>
    <w:qFormat/>
    <w:tblPr>
      <w:tblCellMar>
        <w:left w:w="0" w:type="dxa"/>
        <w:top w:w="0" w:type="dxa"/>
        <w:right w:w="0" w:type="dxa"/>
        <w:bottom w:w="0" w:type="dxa"/>
      </w:tblCellMar>
    </w:tblPr>
  </w:style>
  <w:style w:type="table" w:styleId="1116" w:customStyle="1">
    <w:name w:val="List Table 5 Dark - Accent 1"/>
    <w:uiPriority w:val="99"/>
    <w:qFormat/>
    <w:tblPr>
      <w:tblCellMar>
        <w:left w:w="0" w:type="dxa"/>
        <w:top w:w="0" w:type="dxa"/>
        <w:right w:w="0" w:type="dxa"/>
        <w:bottom w:w="0" w:type="dxa"/>
      </w:tblCellMar>
    </w:tblPr>
  </w:style>
  <w:style w:type="table" w:styleId="1117" w:customStyle="1">
    <w:name w:val="List Table 5 Dark - Accent 2"/>
    <w:uiPriority w:val="99"/>
    <w:qFormat/>
    <w:tblPr>
      <w:tblCellMar>
        <w:left w:w="0" w:type="dxa"/>
        <w:top w:w="0" w:type="dxa"/>
        <w:right w:w="0" w:type="dxa"/>
        <w:bottom w:w="0" w:type="dxa"/>
      </w:tblCellMar>
    </w:tblPr>
  </w:style>
  <w:style w:type="table" w:styleId="1118" w:customStyle="1">
    <w:name w:val="List Table 5 Dark - Accent 3"/>
    <w:uiPriority w:val="99"/>
    <w:qFormat/>
    <w:tblPr>
      <w:tblCellMar>
        <w:left w:w="0" w:type="dxa"/>
        <w:top w:w="0" w:type="dxa"/>
        <w:right w:w="0" w:type="dxa"/>
        <w:bottom w:w="0" w:type="dxa"/>
      </w:tblCellMar>
    </w:tblPr>
  </w:style>
  <w:style w:type="table" w:styleId="1119" w:customStyle="1">
    <w:name w:val="List Table 5 Dark - Accent 4"/>
    <w:uiPriority w:val="99"/>
    <w:qFormat/>
    <w:tblPr>
      <w:tblCellMar>
        <w:left w:w="0" w:type="dxa"/>
        <w:top w:w="0" w:type="dxa"/>
        <w:right w:w="0" w:type="dxa"/>
        <w:bottom w:w="0" w:type="dxa"/>
      </w:tblCellMar>
    </w:tblPr>
  </w:style>
  <w:style w:type="table" w:styleId="1120" w:customStyle="1">
    <w:name w:val="List Table 5 Dark - Accent 5"/>
    <w:uiPriority w:val="99"/>
    <w:qFormat/>
    <w:tblPr>
      <w:tblCellMar>
        <w:left w:w="0" w:type="dxa"/>
        <w:top w:w="0" w:type="dxa"/>
        <w:right w:w="0" w:type="dxa"/>
        <w:bottom w:w="0" w:type="dxa"/>
      </w:tblCellMar>
    </w:tblPr>
  </w:style>
  <w:style w:type="table" w:styleId="1121" w:customStyle="1">
    <w:name w:val="List Table 5 Dark - Accent 6"/>
    <w:uiPriority w:val="99"/>
    <w:qFormat/>
    <w:tblPr>
      <w:tblCellMar>
        <w:left w:w="0" w:type="dxa"/>
        <w:top w:w="0" w:type="dxa"/>
        <w:right w:w="0" w:type="dxa"/>
        <w:bottom w:w="0" w:type="dxa"/>
      </w:tblCellMar>
    </w:tblPr>
  </w:style>
  <w:style w:type="table" w:styleId="1122" w:customStyle="1">
    <w:name w:val="清单表 6 彩色1"/>
    <w:uiPriority w:val="99"/>
    <w:qFormat/>
    <w:tblPr>
      <w:tblCellMar>
        <w:left w:w="0" w:type="dxa"/>
        <w:top w:w="0" w:type="dxa"/>
        <w:right w:w="0" w:type="dxa"/>
        <w:bottom w:w="0" w:type="dxa"/>
      </w:tblCellMar>
    </w:tblPr>
  </w:style>
  <w:style w:type="table" w:styleId="1123" w:customStyle="1">
    <w:name w:val="List Table 6 Colorful - Accent 1"/>
    <w:uiPriority w:val="99"/>
    <w:qFormat/>
    <w:tblPr>
      <w:tblCellMar>
        <w:left w:w="0" w:type="dxa"/>
        <w:top w:w="0" w:type="dxa"/>
        <w:right w:w="0" w:type="dxa"/>
        <w:bottom w:w="0" w:type="dxa"/>
      </w:tblCellMar>
    </w:tblPr>
  </w:style>
  <w:style w:type="table" w:styleId="1124" w:customStyle="1">
    <w:name w:val="List Table 6 Colorful - Accent 2"/>
    <w:uiPriority w:val="99"/>
    <w:qFormat/>
    <w:tblPr>
      <w:tblCellMar>
        <w:left w:w="0" w:type="dxa"/>
        <w:top w:w="0" w:type="dxa"/>
        <w:right w:w="0" w:type="dxa"/>
        <w:bottom w:w="0" w:type="dxa"/>
      </w:tblCellMar>
    </w:tblPr>
  </w:style>
  <w:style w:type="table" w:styleId="1125" w:customStyle="1">
    <w:name w:val="List Table 6 Colorful - Accent 3"/>
    <w:uiPriority w:val="99"/>
    <w:qFormat/>
    <w:tblPr>
      <w:tblCellMar>
        <w:left w:w="0" w:type="dxa"/>
        <w:top w:w="0" w:type="dxa"/>
        <w:right w:w="0" w:type="dxa"/>
        <w:bottom w:w="0" w:type="dxa"/>
      </w:tblCellMar>
    </w:tblPr>
  </w:style>
  <w:style w:type="table" w:styleId="1126" w:customStyle="1">
    <w:name w:val="List Table 6 Colorful - Accent 4"/>
    <w:uiPriority w:val="99"/>
    <w:qFormat/>
    <w:tblPr>
      <w:tblCellMar>
        <w:left w:w="0" w:type="dxa"/>
        <w:top w:w="0" w:type="dxa"/>
        <w:right w:w="0" w:type="dxa"/>
        <w:bottom w:w="0" w:type="dxa"/>
      </w:tblCellMar>
    </w:tblPr>
  </w:style>
  <w:style w:type="table" w:styleId="1127" w:customStyle="1">
    <w:name w:val="List Table 6 Colorful - Accent 5"/>
    <w:uiPriority w:val="99"/>
    <w:qFormat/>
    <w:tblPr>
      <w:tblCellMar>
        <w:left w:w="0" w:type="dxa"/>
        <w:top w:w="0" w:type="dxa"/>
        <w:right w:w="0" w:type="dxa"/>
        <w:bottom w:w="0" w:type="dxa"/>
      </w:tblCellMar>
    </w:tblPr>
  </w:style>
  <w:style w:type="table" w:styleId="1128" w:customStyle="1">
    <w:name w:val="List Table 6 Colorful - Accent 6"/>
    <w:uiPriority w:val="99"/>
    <w:qFormat/>
    <w:tblPr>
      <w:tblCellMar>
        <w:left w:w="0" w:type="dxa"/>
        <w:top w:w="0" w:type="dxa"/>
        <w:right w:w="0" w:type="dxa"/>
        <w:bottom w:w="0" w:type="dxa"/>
      </w:tblCellMar>
    </w:tblPr>
  </w:style>
  <w:style w:type="table" w:styleId="1129" w:customStyle="1">
    <w:name w:val="清单表 7 彩色1"/>
    <w:uiPriority w:val="99"/>
    <w:qFormat/>
    <w:tblPr>
      <w:tblCellMar>
        <w:left w:w="0" w:type="dxa"/>
        <w:top w:w="0" w:type="dxa"/>
        <w:right w:w="0" w:type="dxa"/>
        <w:bottom w:w="0" w:type="dxa"/>
      </w:tblCellMar>
    </w:tblPr>
  </w:style>
  <w:style w:type="table" w:styleId="1130" w:customStyle="1">
    <w:name w:val="List Table 7 Colorful - Accent 1"/>
    <w:uiPriority w:val="99"/>
    <w:qFormat/>
    <w:tblPr>
      <w:tblCellMar>
        <w:left w:w="0" w:type="dxa"/>
        <w:top w:w="0" w:type="dxa"/>
        <w:right w:w="0" w:type="dxa"/>
        <w:bottom w:w="0" w:type="dxa"/>
      </w:tblCellMar>
    </w:tblPr>
  </w:style>
  <w:style w:type="table" w:styleId="1131" w:customStyle="1">
    <w:name w:val="List Table 7 Colorful - Accent 2"/>
    <w:uiPriority w:val="99"/>
    <w:qFormat/>
    <w:tblPr>
      <w:tblCellMar>
        <w:left w:w="0" w:type="dxa"/>
        <w:top w:w="0" w:type="dxa"/>
        <w:right w:w="0" w:type="dxa"/>
        <w:bottom w:w="0" w:type="dxa"/>
      </w:tblCellMar>
    </w:tblPr>
  </w:style>
  <w:style w:type="table" w:styleId="1132" w:customStyle="1">
    <w:name w:val="List Table 7 Colorful - Accent 3"/>
    <w:uiPriority w:val="99"/>
    <w:qFormat/>
    <w:tblPr>
      <w:tblCellMar>
        <w:left w:w="0" w:type="dxa"/>
        <w:top w:w="0" w:type="dxa"/>
        <w:right w:w="0" w:type="dxa"/>
        <w:bottom w:w="0" w:type="dxa"/>
      </w:tblCellMar>
    </w:tblPr>
  </w:style>
  <w:style w:type="table" w:styleId="1133" w:customStyle="1">
    <w:name w:val="List Table 7 Colorful - Accent 4"/>
    <w:uiPriority w:val="99"/>
    <w:qFormat/>
    <w:tblPr>
      <w:tblCellMar>
        <w:left w:w="0" w:type="dxa"/>
        <w:top w:w="0" w:type="dxa"/>
        <w:right w:w="0" w:type="dxa"/>
        <w:bottom w:w="0" w:type="dxa"/>
      </w:tblCellMar>
    </w:tblPr>
  </w:style>
  <w:style w:type="table" w:styleId="1134" w:customStyle="1">
    <w:name w:val="List Table 7 Colorful - Accent 5"/>
    <w:uiPriority w:val="99"/>
    <w:qFormat/>
    <w:tblPr>
      <w:tblCellMar>
        <w:left w:w="0" w:type="dxa"/>
        <w:top w:w="0" w:type="dxa"/>
        <w:right w:w="0" w:type="dxa"/>
        <w:bottom w:w="0" w:type="dxa"/>
      </w:tblCellMar>
    </w:tblPr>
  </w:style>
  <w:style w:type="table" w:styleId="1135" w:customStyle="1">
    <w:name w:val="List Table 7 Colorful - Accent 6"/>
    <w:uiPriority w:val="99"/>
    <w:qFormat/>
    <w:tblPr>
      <w:tblCellMar>
        <w:left w:w="0" w:type="dxa"/>
        <w:top w:w="0" w:type="dxa"/>
        <w:right w:w="0" w:type="dxa"/>
        <w:bottom w:w="0" w:type="dxa"/>
      </w:tblCellMar>
    </w:tblPr>
  </w:style>
  <w:style w:type="table" w:styleId="1136" w:customStyle="1">
    <w:name w:val="Lined - Accent"/>
    <w:uiPriority w:val="99"/>
    <w:qFormat/>
    <w:rPr>
      <w:color w:val="404040"/>
    </w:rPr>
    <w:tblPr>
      <w:tblCellMar>
        <w:left w:w="0" w:type="dxa"/>
        <w:top w:w="0" w:type="dxa"/>
        <w:right w:w="0" w:type="dxa"/>
        <w:bottom w:w="0" w:type="dxa"/>
      </w:tblCellMar>
    </w:tblPr>
  </w:style>
  <w:style w:type="table" w:styleId="1137" w:customStyle="1">
    <w:name w:val="Lined - Accent 1"/>
    <w:uiPriority w:val="99"/>
    <w:qFormat/>
    <w:rPr>
      <w:color w:val="404040"/>
    </w:rPr>
    <w:tblPr>
      <w:tblCellMar>
        <w:left w:w="0" w:type="dxa"/>
        <w:top w:w="0" w:type="dxa"/>
        <w:right w:w="0" w:type="dxa"/>
        <w:bottom w:w="0" w:type="dxa"/>
      </w:tblCellMar>
    </w:tblPr>
  </w:style>
  <w:style w:type="table" w:styleId="1138" w:customStyle="1">
    <w:name w:val="Lined - Accent 2"/>
    <w:uiPriority w:val="99"/>
    <w:qFormat/>
    <w:rPr>
      <w:color w:val="404040"/>
    </w:rPr>
    <w:tblPr>
      <w:tblCellMar>
        <w:left w:w="0" w:type="dxa"/>
        <w:top w:w="0" w:type="dxa"/>
        <w:right w:w="0" w:type="dxa"/>
        <w:bottom w:w="0" w:type="dxa"/>
      </w:tblCellMar>
    </w:tblPr>
  </w:style>
  <w:style w:type="table" w:styleId="1139" w:customStyle="1">
    <w:name w:val="Lined - Accent 3"/>
    <w:uiPriority w:val="99"/>
    <w:qFormat/>
    <w:rPr>
      <w:color w:val="404040"/>
    </w:rPr>
    <w:tblPr>
      <w:tblCellMar>
        <w:left w:w="0" w:type="dxa"/>
        <w:top w:w="0" w:type="dxa"/>
        <w:right w:w="0" w:type="dxa"/>
        <w:bottom w:w="0" w:type="dxa"/>
      </w:tblCellMar>
    </w:tblPr>
  </w:style>
  <w:style w:type="table" w:styleId="1140" w:customStyle="1">
    <w:name w:val="Lined - Accent 4"/>
    <w:uiPriority w:val="99"/>
    <w:qFormat/>
    <w:rPr>
      <w:color w:val="404040"/>
    </w:rPr>
    <w:tblPr>
      <w:tblCellMar>
        <w:left w:w="0" w:type="dxa"/>
        <w:top w:w="0" w:type="dxa"/>
        <w:right w:w="0" w:type="dxa"/>
        <w:bottom w:w="0" w:type="dxa"/>
      </w:tblCellMar>
    </w:tblPr>
  </w:style>
  <w:style w:type="table" w:styleId="1141" w:customStyle="1">
    <w:name w:val="Lined - Accent 5"/>
    <w:uiPriority w:val="99"/>
    <w:qFormat/>
    <w:rPr>
      <w:color w:val="404040"/>
    </w:rPr>
    <w:tblPr>
      <w:tblCellMar>
        <w:left w:w="0" w:type="dxa"/>
        <w:top w:w="0" w:type="dxa"/>
        <w:right w:w="0" w:type="dxa"/>
        <w:bottom w:w="0" w:type="dxa"/>
      </w:tblCellMar>
    </w:tblPr>
  </w:style>
  <w:style w:type="table" w:styleId="1142" w:customStyle="1">
    <w:name w:val="Lined - Accent 6"/>
    <w:uiPriority w:val="99"/>
    <w:qFormat/>
    <w:rPr>
      <w:color w:val="404040"/>
    </w:rPr>
    <w:tblPr>
      <w:tblCellMar>
        <w:left w:w="0" w:type="dxa"/>
        <w:top w:w="0" w:type="dxa"/>
        <w:right w:w="0" w:type="dxa"/>
        <w:bottom w:w="0" w:type="dxa"/>
      </w:tblCellMar>
    </w:tblPr>
  </w:style>
  <w:style w:type="table" w:styleId="1143" w:customStyle="1">
    <w:name w:val="Bordered &amp; Lined - Accent"/>
    <w:uiPriority w:val="99"/>
    <w:qFormat/>
    <w:rPr>
      <w:color w:val="404040"/>
    </w:rPr>
    <w:tblPr>
      <w:tblCellMar>
        <w:left w:w="0" w:type="dxa"/>
        <w:top w:w="0" w:type="dxa"/>
        <w:right w:w="0" w:type="dxa"/>
        <w:bottom w:w="0" w:type="dxa"/>
      </w:tblCellMar>
    </w:tblPr>
  </w:style>
  <w:style w:type="table" w:styleId="1144" w:customStyle="1">
    <w:name w:val="Bordered &amp; Lined - Accent 1"/>
    <w:uiPriority w:val="99"/>
    <w:qFormat/>
    <w:rPr>
      <w:color w:val="404040"/>
    </w:rPr>
    <w:tblPr>
      <w:tblCellMar>
        <w:left w:w="0" w:type="dxa"/>
        <w:top w:w="0" w:type="dxa"/>
        <w:right w:w="0" w:type="dxa"/>
        <w:bottom w:w="0" w:type="dxa"/>
      </w:tblCellMar>
    </w:tblPr>
  </w:style>
  <w:style w:type="table" w:styleId="1145" w:customStyle="1">
    <w:name w:val="Bordered &amp; Lined - Accent 2"/>
    <w:uiPriority w:val="99"/>
    <w:qFormat/>
    <w:rPr>
      <w:color w:val="404040"/>
    </w:rPr>
    <w:tblPr>
      <w:tblCellMar>
        <w:left w:w="0" w:type="dxa"/>
        <w:top w:w="0" w:type="dxa"/>
        <w:right w:w="0" w:type="dxa"/>
        <w:bottom w:w="0" w:type="dxa"/>
      </w:tblCellMar>
    </w:tblPr>
  </w:style>
  <w:style w:type="table" w:styleId="1146" w:customStyle="1">
    <w:name w:val="Bordered &amp; Lined - Accent 3"/>
    <w:uiPriority w:val="99"/>
    <w:qFormat/>
    <w:rPr>
      <w:color w:val="404040"/>
    </w:rPr>
    <w:tblPr>
      <w:tblCellMar>
        <w:left w:w="0" w:type="dxa"/>
        <w:top w:w="0" w:type="dxa"/>
        <w:right w:w="0" w:type="dxa"/>
        <w:bottom w:w="0" w:type="dxa"/>
      </w:tblCellMar>
    </w:tblPr>
  </w:style>
  <w:style w:type="table" w:styleId="1147" w:customStyle="1">
    <w:name w:val="Bordered &amp; Lined - Accent 4"/>
    <w:uiPriority w:val="99"/>
    <w:qFormat/>
    <w:rPr>
      <w:color w:val="404040"/>
    </w:rPr>
    <w:tblPr>
      <w:tblCellMar>
        <w:left w:w="0" w:type="dxa"/>
        <w:top w:w="0" w:type="dxa"/>
        <w:right w:w="0" w:type="dxa"/>
        <w:bottom w:w="0" w:type="dxa"/>
      </w:tblCellMar>
    </w:tblPr>
  </w:style>
  <w:style w:type="table" w:styleId="1148" w:customStyle="1">
    <w:name w:val="Bordered &amp; Lined - Accent 5"/>
    <w:uiPriority w:val="99"/>
    <w:qFormat/>
    <w:rPr>
      <w:color w:val="404040"/>
    </w:rPr>
    <w:tblPr>
      <w:tblCellMar>
        <w:left w:w="0" w:type="dxa"/>
        <w:top w:w="0" w:type="dxa"/>
        <w:right w:w="0" w:type="dxa"/>
        <w:bottom w:w="0" w:type="dxa"/>
      </w:tblCellMar>
    </w:tblPr>
  </w:style>
  <w:style w:type="table" w:styleId="1149" w:customStyle="1">
    <w:name w:val="Bordered &amp; Lined - Accent 6"/>
    <w:uiPriority w:val="99"/>
    <w:qFormat/>
    <w:rPr>
      <w:color w:val="404040"/>
    </w:rPr>
    <w:tblPr>
      <w:tblCellMar>
        <w:left w:w="0" w:type="dxa"/>
        <w:top w:w="0" w:type="dxa"/>
        <w:right w:w="0" w:type="dxa"/>
        <w:bottom w:w="0" w:type="dxa"/>
      </w:tblCellMar>
    </w:tblPr>
  </w:style>
  <w:style w:type="table" w:styleId="1150" w:customStyle="1">
    <w:name w:val="Bordered"/>
    <w:uiPriority w:val="99"/>
    <w:qFormat/>
    <w:tblPr>
      <w:tblCellMar>
        <w:left w:w="0" w:type="dxa"/>
        <w:top w:w="0" w:type="dxa"/>
        <w:right w:w="0" w:type="dxa"/>
        <w:bottom w:w="0" w:type="dxa"/>
      </w:tblCellMar>
    </w:tblPr>
  </w:style>
  <w:style w:type="table" w:styleId="1151" w:customStyle="1">
    <w:name w:val="Bordered - Accent 1"/>
    <w:uiPriority w:val="99"/>
    <w:qFormat/>
    <w:tblPr>
      <w:tblCellMar>
        <w:left w:w="0" w:type="dxa"/>
        <w:top w:w="0" w:type="dxa"/>
        <w:right w:w="0" w:type="dxa"/>
        <w:bottom w:w="0" w:type="dxa"/>
      </w:tblCellMar>
    </w:tblPr>
  </w:style>
  <w:style w:type="table" w:styleId="1152" w:customStyle="1">
    <w:name w:val="Bordered - Accent 2"/>
    <w:uiPriority w:val="99"/>
    <w:qFormat/>
    <w:tblPr>
      <w:tblCellMar>
        <w:left w:w="0" w:type="dxa"/>
        <w:top w:w="0" w:type="dxa"/>
        <w:right w:w="0" w:type="dxa"/>
        <w:bottom w:w="0" w:type="dxa"/>
      </w:tblCellMar>
    </w:tblPr>
  </w:style>
  <w:style w:type="table" w:styleId="1153" w:customStyle="1">
    <w:name w:val="Bordered - Accent 3"/>
    <w:uiPriority w:val="99"/>
    <w:qFormat/>
    <w:tblPr>
      <w:tblCellMar>
        <w:left w:w="0" w:type="dxa"/>
        <w:top w:w="0" w:type="dxa"/>
        <w:right w:w="0" w:type="dxa"/>
        <w:bottom w:w="0" w:type="dxa"/>
      </w:tblCellMar>
    </w:tblPr>
  </w:style>
  <w:style w:type="table" w:styleId="1154" w:customStyle="1">
    <w:name w:val="Bordered - Accent 4"/>
    <w:uiPriority w:val="99"/>
    <w:qFormat/>
    <w:tblPr>
      <w:tblCellMar>
        <w:left w:w="0" w:type="dxa"/>
        <w:top w:w="0" w:type="dxa"/>
        <w:right w:w="0" w:type="dxa"/>
        <w:bottom w:w="0" w:type="dxa"/>
      </w:tblCellMar>
    </w:tblPr>
  </w:style>
  <w:style w:type="table" w:styleId="1155" w:customStyle="1">
    <w:name w:val="Bordered - Accent 5"/>
    <w:uiPriority w:val="99"/>
    <w:qFormat/>
    <w:tblPr>
      <w:tblCellMar>
        <w:left w:w="0" w:type="dxa"/>
        <w:top w:w="0" w:type="dxa"/>
        <w:right w:w="0" w:type="dxa"/>
        <w:bottom w:w="0" w:type="dxa"/>
      </w:tblCellMar>
    </w:tblPr>
  </w:style>
  <w:style w:type="table" w:styleId="1156" w:customStyle="1">
    <w:name w:val="Bordered - Accent 6"/>
    <w:uiPriority w:val="99"/>
    <w:qFormat/>
    <w:tblPr>
      <w:tblCellMar>
        <w:left w:w="0" w:type="dxa"/>
        <w:top w:w="0" w:type="dxa"/>
        <w:right w:w="0" w:type="dxa"/>
        <w:bottom w:w="0" w:type="dxa"/>
      </w:tblCellMar>
    </w:tblPr>
  </w:style>
  <w:style w:type="table" w:styleId="1157" w:customStyle="1">
    <w:name w:val="普通表格1"/>
    <w:uiPriority w:val="99"/>
    <w:qFormat/>
    <w:tblPr>
      <w:tblCellMar>
        <w:left w:w="0" w:type="dxa"/>
        <w:top w:w="0" w:type="dxa"/>
        <w:right w:w="0" w:type="dxa"/>
        <w:bottom w:w="0" w:type="dxa"/>
      </w:tblCellMar>
    </w:tblPr>
  </w:style>
  <w:style w:type="table" w:styleId="1158" w:customStyle="1">
    <w:name w:val="网格型11"/>
    <w:basedOn w:val="1157"/>
    <w:qFormat/>
    <w:pPr>
      <w:jc w:val="both"/>
      <w:widowControl w:val="off"/>
    </w:pPr>
    <w:tblPr>
      <w:tblCellMar>
        <w:left w:w="0" w:type="dxa"/>
        <w:top w:w="0" w:type="dxa"/>
        <w:right w:w="0" w:type="dxa"/>
        <w:bottom w:w="0" w:type="dxa"/>
      </w:tblCellMar>
    </w:tblPr>
  </w:style>
  <w:style w:type="table" w:styleId="1159" w:customStyle="1">
    <w:name w:val="Table Normal"/>
    <w:qFormat/>
    <w:tblPr>
      <w:tblCellMar>
        <w:left w:w="0" w:type="dxa"/>
        <w:top w:w="0" w:type="dxa"/>
        <w:right w:w="0" w:type="dxa"/>
        <w:bottom w:w="0" w:type="dxa"/>
      </w:tblCellMar>
    </w:tblPr>
  </w:style>
  <w:style w:type="paragraph" w:styleId="1160" w:customStyle="1">
    <w:name w:val="正文首行缩进 21"/>
    <w:basedOn w:val="1006"/>
    <w:next w:val="763"/>
    <w:qFormat/>
    <w:pPr>
      <w:ind w:left="0" w:firstLine="420"/>
      <w:spacing w:after="0" w:line="360" w:lineRule="auto"/>
    </w:pPr>
    <w:rPr>
      <w:rFonts w:ascii="宋体" w:hAnsi="宋体"/>
      <w:szCs w:val="20"/>
    </w:rPr>
  </w:style>
  <w:style w:type="paragraph" w:styleId="1161">
    <w:name w:val="annotation text"/>
    <w:basedOn w:val="763"/>
    <w:link w:val="1162"/>
    <w:uiPriority w:val="99"/>
    <w:semiHidden/>
    <w:unhideWhenUsed/>
    <w:pPr>
      <w:jc w:val="left"/>
    </w:pPr>
  </w:style>
  <w:style w:type="character" w:styleId="1162" w:customStyle="1">
    <w:name w:val="批注文字 字符1"/>
    <w:basedOn w:val="773"/>
    <w:link w:val="1161"/>
    <w:uiPriority w:val="99"/>
    <w:semiHidden/>
    <w:rPr>
      <w:sz w:val="21"/>
      <w:szCs w:val="22"/>
    </w:rPr>
  </w:style>
  <w:style w:type="character" w:styleId="1163">
    <w:name w:val="annotation reference"/>
    <w:basedOn w:val="773"/>
    <w:uiPriority w:val="99"/>
    <w:semiHidden/>
    <w:unhideWhenUsed/>
    <w:rPr>
      <w:sz w:val="21"/>
      <w:szCs w:val="21"/>
    </w:rPr>
  </w:style>
  <w:style w:type="paragraph" w:styleId="1164">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付钢</cp:lastModifiedBy>
  <cp:revision>11</cp:revision>
  <dcterms:created xsi:type="dcterms:W3CDTF">2023-03-16T02:13:00Z</dcterms:created>
  <dcterms:modified xsi:type="dcterms:W3CDTF">2026-05-11T04:10:48Z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eyJoZGlkIjoiYzMyZDRjOWJlZmQzMmQ0MzA2MzVmNWE4ZjRmOTM1NmYiLCJ1c2VySWQiOiI1MjQ0ODMwMDkifQ==</vt:lpwstr>
  </property>
  <property fmtid="{D5CDD505-2E9C-101B-9397-08002B2CF9AE}" pid="3" name="KSOProductBuildVer">
    <vt:lpwstr>2052-12.1.0.25860</vt:lpwstr>
  </property>
  <property fmtid="{D5CDD505-2E9C-101B-9397-08002B2CF9AE}" pid="4" name="ICV">
    <vt:lpwstr>B40AAED1087546928D8E94965928F95A_12</vt:lpwstr>
  </property>
</Properties>
</file>