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招 标 文 件</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718"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项目名称：</w:t>
      </w:r>
      <w:r>
        <w:rPr>
          <w:rFonts w:ascii="SimSun" w:hAnsi="SimSun" w:eastAsia="SimSun" w:cs="SimSun"/>
          <w:b/>
          <w:color w:val="000000"/>
          <w:sz w:val="32"/>
          <w:u w:val="single"/>
        </w:rPr>
        <w:t xml:space="preserve">滨海县博物馆物业管理服务</w:t>
      </w:r>
      <w:r/>
    </w:p>
    <w:p>
      <w:pPr>
        <w:ind w:left="71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项目编号：JSZC-320922-JZCG-G2026-0005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滨海县博物馆</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2026年05月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10" w:after="57" w:line="85" w:lineRule="atLeast"/>
        <w:tabs>
          <w:tab w:val="left" w:pos="902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3136" w:history="1">
        <w:r>
          <w:rPr>
            <w:rStyle w:val="812"/>
            <w:rFonts w:ascii="SimHei" w:hAnsi="SimHei" w:eastAsia="SimHei" w:cs="SimHei"/>
            <w:color w:val="0000ee"/>
            <w:sz w:val="36"/>
            <w:u w:val="single"/>
          </w:rPr>
          <w:t xml:space="preserve">第一章</w:t>
        </w:r>
        <w:r>
          <w:rPr>
            <w:rStyle w:val="812"/>
            <w:rFonts w:ascii="SimSun" w:hAnsi="SimSun" w:eastAsia="SimSun" w:cs="SimSun"/>
            <w:color w:val="0000ee"/>
            <w:sz w:val="36"/>
            <w:u w:val="single"/>
          </w:rPr>
          <w:t xml:space="preserve">  </w:t>
        </w:r>
        <w:r>
          <w:rPr>
            <w:rStyle w:val="812"/>
            <w:rFonts w:ascii="SimHei" w:hAnsi="SimHei" w:eastAsia="SimHei" w:cs="SimHei"/>
            <w:color w:val="0000ee"/>
            <w:sz w:val="36"/>
            <w:u w:val="single"/>
          </w:rPr>
          <w:t xml:space="preserve">招标公告</w:t>
          <w:tab/>
        </w:r>
      </w:hyperlink>
      <w:r/>
      <w:r/>
    </w:p>
    <w:p>
      <w:pPr>
        <w:ind w:left="0" w:right="0" w:firstLine="0"/>
        <w:jc w:val="both"/>
        <w:spacing w:before="210" w:after="57" w:line="85" w:lineRule="atLeast"/>
        <w:tabs>
          <w:tab w:val="left" w:pos="902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76" w:history="1">
        <w:r>
          <w:rPr>
            <w:rStyle w:val="812"/>
            <w:rFonts w:ascii="SimHei" w:hAnsi="SimHei" w:eastAsia="SimHei" w:cs="SimHei"/>
            <w:color w:val="0000ee"/>
            <w:sz w:val="36"/>
            <w:u w:val="single"/>
          </w:rPr>
          <w:t xml:space="preserve">第二章</w:t>
        </w:r>
        <w:r>
          <w:rPr>
            <w:rStyle w:val="812"/>
            <w:rFonts w:ascii="SimSun" w:hAnsi="SimSun" w:eastAsia="SimSun" w:cs="SimSun"/>
            <w:color w:val="0000ee"/>
            <w:sz w:val="36"/>
            <w:u w:val="single"/>
          </w:rPr>
          <w:t xml:space="preserve">  </w:t>
        </w:r>
        <w:r>
          <w:rPr>
            <w:rStyle w:val="812"/>
            <w:rFonts w:ascii="SimHei" w:hAnsi="SimHei" w:eastAsia="SimHei" w:cs="SimHei"/>
            <w:color w:val="0000ee"/>
            <w:sz w:val="36"/>
            <w:u w:val="single"/>
          </w:rPr>
          <w:t xml:space="preserve">投标人须知</w:t>
          <w:tab/>
        </w:r>
      </w:hyperlink>
      <w:r/>
      <w:r/>
    </w:p>
    <w:p>
      <w:pPr>
        <w:ind w:left="0" w:right="0" w:firstLine="0"/>
        <w:jc w:val="both"/>
        <w:spacing w:before="210" w:after="57" w:line="85" w:lineRule="atLeast"/>
        <w:tabs>
          <w:tab w:val="left" w:pos="902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694" w:history="1">
        <w:r>
          <w:rPr>
            <w:rStyle w:val="812"/>
            <w:rFonts w:ascii="SimHei" w:hAnsi="SimHei" w:eastAsia="SimHei" w:cs="SimHei"/>
            <w:color w:val="0000ee"/>
            <w:sz w:val="36"/>
            <w:u w:val="single"/>
          </w:rPr>
          <w:t xml:space="preserve">第三章</w:t>
        </w:r>
        <w:r>
          <w:rPr>
            <w:rStyle w:val="812"/>
            <w:rFonts w:ascii="SimSun" w:hAnsi="SimSun" w:eastAsia="SimSun" w:cs="SimSun"/>
            <w:color w:val="0000ee"/>
            <w:sz w:val="36"/>
            <w:u w:val="single"/>
          </w:rPr>
          <w:t xml:space="preserve">  </w:t>
        </w:r>
        <w:r>
          <w:rPr>
            <w:rStyle w:val="812"/>
            <w:rFonts w:ascii="SimHei" w:hAnsi="SimHei" w:eastAsia="SimHei" w:cs="SimHei"/>
            <w:color w:val="0000ee"/>
            <w:sz w:val="36"/>
            <w:u w:val="single"/>
          </w:rPr>
          <w:t xml:space="preserve">合同文本</w:t>
          <w:tab/>
        </w:r>
      </w:hyperlink>
      <w:r/>
      <w:r/>
    </w:p>
    <w:p>
      <w:pPr>
        <w:ind w:left="0" w:right="0" w:firstLine="0"/>
        <w:jc w:val="both"/>
        <w:spacing w:before="210" w:after="57" w:line="85" w:lineRule="atLeast"/>
        <w:tabs>
          <w:tab w:val="left" w:pos="902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176" w:history="1">
        <w:r>
          <w:rPr>
            <w:rStyle w:val="812"/>
            <w:rFonts w:ascii="SimHei" w:hAnsi="SimHei" w:eastAsia="SimHei" w:cs="SimHei"/>
            <w:color w:val="0000ee"/>
            <w:sz w:val="36"/>
            <w:u w:val="single"/>
          </w:rPr>
          <w:t xml:space="preserve">第四章采购需求</w:t>
          <w:tab/>
        </w:r>
      </w:hyperlink>
      <w:r/>
      <w:r/>
    </w:p>
    <w:p>
      <w:pPr>
        <w:ind w:left="0" w:right="0" w:firstLine="0"/>
        <w:jc w:val="both"/>
        <w:spacing w:before="210" w:after="57" w:line="85" w:lineRule="atLeast"/>
        <w:tabs>
          <w:tab w:val="left" w:pos="902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9180" w:history="1">
        <w:r>
          <w:rPr>
            <w:rStyle w:val="812"/>
            <w:rFonts w:ascii="SimHei" w:hAnsi="SimHei" w:eastAsia="SimHei" w:cs="SimHei"/>
            <w:color w:val="0000ee"/>
            <w:sz w:val="36"/>
            <w:u w:val="single"/>
          </w:rPr>
          <w:t xml:space="preserve">第五章</w:t>
        </w:r>
        <w:r>
          <w:rPr>
            <w:rStyle w:val="812"/>
            <w:rFonts w:ascii="SimSun" w:hAnsi="SimSun" w:eastAsia="SimSun" w:cs="SimSun"/>
            <w:color w:val="0000ee"/>
            <w:sz w:val="36"/>
            <w:u w:val="single"/>
          </w:rPr>
          <w:t xml:space="preserve">  </w:t>
        </w:r>
        <w:r>
          <w:rPr>
            <w:rStyle w:val="812"/>
            <w:rFonts w:ascii="SimHei" w:hAnsi="SimHei" w:eastAsia="SimHei" w:cs="SimHei"/>
            <w:color w:val="0000ee"/>
            <w:sz w:val="36"/>
            <w:u w:val="single"/>
          </w:rPr>
          <w:t xml:space="preserve">评标方法与评标标准</w:t>
          <w:tab/>
        </w:r>
      </w:hyperlink>
      <w:r/>
      <w:r/>
    </w:p>
    <w:p>
      <w:pPr>
        <w:ind w:left="0" w:right="0" w:firstLine="0"/>
        <w:jc w:val="both"/>
        <w:spacing w:before="210" w:after="57" w:line="85" w:lineRule="atLeast"/>
        <w:tabs>
          <w:tab w:val="left" w:pos="902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217" w:history="1">
        <w:r>
          <w:rPr>
            <w:rStyle w:val="812"/>
            <w:rFonts w:ascii="SimHei" w:hAnsi="SimHei" w:eastAsia="SimHei" w:cs="SimHei"/>
            <w:color w:val="0000ee"/>
            <w:sz w:val="36"/>
            <w:u w:val="single"/>
          </w:rPr>
          <w:t xml:space="preserve">第六章</w:t>
        </w:r>
        <w:r>
          <w:rPr>
            <w:rStyle w:val="812"/>
            <w:rFonts w:ascii="SimSun" w:hAnsi="SimSun" w:eastAsia="SimSun" w:cs="SimSun"/>
            <w:color w:val="0000ee"/>
            <w:sz w:val="36"/>
            <w:u w:val="single"/>
          </w:rPr>
          <w:t xml:space="preserve">  </w:t>
        </w:r>
        <w:r>
          <w:rPr>
            <w:rStyle w:val="812"/>
            <w:rFonts w:ascii="SimHei" w:hAnsi="SimHei" w:eastAsia="SimHei" w:cs="SimHei"/>
            <w:color w:val="0000ee"/>
            <w:sz w:val="36"/>
            <w:u w:val="single"/>
          </w:rPr>
          <w:t xml:space="preserve">投标文件格式</w:t>
          <w:tab/>
        </w:r>
      </w:hyperlink>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第一章</w:t>
      </w:r>
      <w:r>
        <w:rPr>
          <w:rFonts w:ascii="SimSun" w:hAnsi="SimSun" w:eastAsia="SimSun" w:cs="SimSun"/>
          <w:color w:val="000000"/>
          <w:sz w:val="44"/>
          <w:u w:val="none"/>
        </w:rPr>
        <w:t xml:space="preserve"> </w:t>
      </w:r>
      <w:r>
        <w:rPr>
          <w:rFonts w:ascii="SimHei" w:hAnsi="SimHei" w:eastAsia="SimHei" w:cs="SimHei"/>
          <w:color w:val="000000"/>
          <w:sz w:val="44"/>
          <w:u w:val="none"/>
        </w:rPr>
        <w:t xml:space="preserve">招标公告</w:t>
      </w:r>
      <w:r/>
    </w:p>
    <w:p>
      <w:pPr>
        <w:ind w:left="0" w:right="0" w:firstLine="480"/>
        <w:jc w:val="both"/>
        <w:spacing w:before="240" w:after="24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2"/>
        <w:jc w:val="both"/>
        <w:spacing w:before="240" w:after="24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u w:val="single"/>
        </w:rPr>
        <w:t xml:space="preserve">滨海县博物馆物业管理服务</w:t>
      </w:r>
      <w:r>
        <w:rPr>
          <w:rFonts w:ascii="SimSun" w:hAnsi="SimSun" w:eastAsia="SimSun" w:cs="SimSun"/>
          <w:b/>
          <w:color w:val="000000"/>
          <w:sz w:val="24"/>
        </w:rPr>
        <w:t xml:space="preserve">的潜在投标人可在</w:t>
      </w:r>
      <w:r>
        <w:rPr>
          <w:rFonts w:ascii="Arial" w:hAnsi="Arial" w:eastAsia="Arial" w:cs="Arial"/>
          <w:b/>
          <w:color w:val="000000"/>
          <w:sz w:val="24"/>
        </w:rPr>
        <w:t xml:space="preserve">“苏采云”系统内免费下载（投标人必须在苏采云系统中获取采购文件，方能参与政府采购项目）</w:t>
      </w:r>
      <w:r>
        <w:rPr>
          <w:rFonts w:ascii="SimSun" w:hAnsi="SimSun" w:eastAsia="SimSun" w:cs="SimSun"/>
          <w:b/>
          <w:color w:val="000000"/>
          <w:sz w:val="24"/>
        </w:rPr>
        <w:t xml:space="preserve">，并于</w:t>
      </w:r>
      <w:r>
        <w:rPr>
          <w:rFonts w:ascii="SimSun" w:hAnsi="SimSun" w:eastAsia="SimSun" w:cs="SimSun"/>
          <w:b/>
          <w:color w:val="000000"/>
          <w:sz w:val="24"/>
          <w:u w:val="single"/>
        </w:rPr>
        <w:t xml:space="preserve">2026年5月27日9点00分</w:t>
      </w:r>
      <w:r>
        <w:rPr>
          <w:rFonts w:ascii="SimSun" w:hAnsi="SimSun" w:eastAsia="SimSun" w:cs="SimSun"/>
          <w:b/>
          <w:color w:val="000000"/>
          <w:sz w:val="24"/>
        </w:rPr>
        <w:t xml:space="preserve">（北京时间）前递交投标文件。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1.项目编号：JSZC-320922-JZCG-G2026-0005</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2.项目名称：滨海县博物馆物业管理服务</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3.采购方式：公开招标</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4.预算金额：225万元/年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5.最高限价：</w:t>
      </w:r>
      <w:r>
        <w:rPr>
          <w:rFonts w:ascii="SimSun" w:hAnsi="SimSun" w:eastAsia="SimSun" w:cs="SimSun"/>
          <w:b/>
          <w:color w:val="000000"/>
          <w:sz w:val="24"/>
          <w:u w:val="single"/>
        </w:rPr>
        <w:t xml:space="preserve">采购人设定总报价的最高限价人民币224.56万元/年，投标人总报价超过最高限价规定的作无效标处理</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6.采购需求：</w:t>
      </w:r>
      <w:r>
        <w:rPr>
          <w:rFonts w:ascii="SimSun" w:hAnsi="SimSun" w:eastAsia="SimSun" w:cs="SimSun"/>
          <w:b/>
          <w:color w:val="000000"/>
          <w:sz w:val="24"/>
          <w:u w:val="single"/>
        </w:rPr>
        <w:t xml:space="preserve">滨海县博物馆的公众服务、建筑设备设施服务、保洁和安全保卫服务等物业服务，具体服务内容及要求详见招标文件采购需求</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7.合同履行期限：</w:t>
      </w:r>
      <w:r>
        <w:rPr>
          <w:rFonts w:ascii="SimSun" w:hAnsi="SimSun" w:eastAsia="SimSun" w:cs="SimSun"/>
          <w:b/>
          <w:color w:val="000000"/>
          <w:sz w:val="24"/>
          <w:u w:val="single"/>
        </w:rPr>
        <w:t xml:space="preserve">一年合同期满后，若乙方年度考核结果为优秀、服务满意度不低于80%，且项目年度预算无调整，经招标人书面确认同意后，双方可续签下一服务年度合同，总服务期不得超过两年。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8.本项目（是/否）接受联合体投标：</w:t>
      </w:r>
      <w:r>
        <w:rPr>
          <w:rFonts w:ascii="SimSun" w:hAnsi="SimSun" w:eastAsia="SimSun" w:cs="SimSun"/>
          <w:b/>
          <w:color w:val="000000"/>
          <w:sz w:val="24"/>
          <w:u w:val="single"/>
        </w:rPr>
        <w:t xml:space="preserve">   否</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9.质量标准：</w:t>
      </w:r>
      <w:r>
        <w:rPr>
          <w:rFonts w:ascii="SimSun" w:hAnsi="SimSun" w:eastAsia="SimSun" w:cs="SimSun"/>
          <w:b/>
          <w:color w:val="000000"/>
          <w:sz w:val="24"/>
          <w:u w:val="single"/>
        </w:rPr>
        <w:t xml:space="preserve">符合招标文件采购需求及国家行政主管部门相关要求</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10.项目地点：</w:t>
      </w:r>
      <w:r>
        <w:rPr>
          <w:rFonts w:ascii="SimSun" w:hAnsi="SimSun" w:eastAsia="SimSun" w:cs="SimSun"/>
          <w:b/>
          <w:color w:val="000000"/>
          <w:sz w:val="24"/>
          <w:u w:val="single"/>
        </w:rPr>
        <w:t xml:space="preserve">滨海县博物馆（地址：盐城市滨海县东坎中路167号）</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1.满足《中华人民共和国政府采购法》第二十二条规定，并提供下列材料；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1.1法人或者其他组织的营业执照等证明文件，自然人的身份证明；</w:t>
      </w:r>
      <w:r/>
    </w:p>
    <w:p>
      <w:pPr>
        <w:ind w:left="0" w:right="0" w:firstLine="482"/>
        <w:spacing w:before="0" w:after="0" w:line="439"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1.2上一年度的财务状况报告（至少提供资产负债表、利润表、现金流量表，</w:t>
      </w:r>
      <w:r/>
    </w:p>
    <w:p>
      <w:pPr>
        <w:ind w:left="48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投标人成立不满一年无需提供）；</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1.3依法缴纳税收和社会保障资金的相关材料；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1.4具备履行合同所必需的专业技术能力的证明材料；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1.5参加政府采购活动前3年内在经营活动中没有重大违法记录的书面声明。</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1.8投标人的法定代表人或单位负责人为同一人或者存在控股、管理关系的不同单位，不得同时参加本招标项目投标。</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本项目（是/否）属于专门面向中小企业采购的项目：</w:t>
      </w:r>
      <w:r>
        <w:rPr>
          <w:rFonts w:ascii="SimSun" w:hAnsi="SimSun" w:eastAsia="SimSun" w:cs="SimSun"/>
          <w:b/>
          <w:color w:val="000000"/>
          <w:sz w:val="24"/>
          <w:u w:val="single"/>
        </w:rPr>
        <w:t xml:space="preserve"> 本项目为专门面向中小企业采购,投标人必须为中小微企业（或监狱企业或残疾人福利性单位），不接受非中小微型企业单位参与本项目投标</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1.时间：</w:t>
      </w:r>
      <w:r>
        <w:rPr>
          <w:rFonts w:ascii="SimSun" w:hAnsi="SimSun" w:eastAsia="SimSun" w:cs="SimSun"/>
          <w:b/>
          <w:color w:val="000000"/>
          <w:sz w:val="24"/>
        </w:rPr>
        <w:t xml:space="preserve">自招标文件公告发布之日起5个工作日。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2.地点：“苏采云”系统内免费下载（投标人必须在苏采云系统中获取采购文件，方能参与政府采购项目）；</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3.方式：本项目采用网上注册登记方式。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4.售价：0元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1.时间：</w:t>
      </w:r>
      <w:r>
        <w:rPr>
          <w:rFonts w:ascii="SimSun" w:hAnsi="SimSun" w:eastAsia="SimSun" w:cs="SimSun"/>
          <w:b/>
          <w:color w:val="000000"/>
          <w:sz w:val="24"/>
          <w:u w:val="single"/>
        </w:rPr>
        <w:t xml:space="preserve">2026年5月27日9点00分</w:t>
      </w:r>
      <w:r>
        <w:rPr>
          <w:rFonts w:ascii="SimSun" w:hAnsi="SimSun" w:eastAsia="SimSun" w:cs="SimSun"/>
          <w:b/>
          <w:color w:val="000000"/>
          <w:sz w:val="24"/>
        </w:rPr>
        <w:t xml:space="preserve">（北京时间）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2.地点：苏采云“不见面”开标大厅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自本公告发布之日起5个工作日。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2.潜在供应商访问电子招标响应交易平台的网络地址和方法：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潜在投标人访问“苏采云”系统方法：江苏省政府采购网首页-“苏采云”链接。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采购文件（后缀名为“.kedt”）、供应商操作手册及政府采购客户端 工具可通过“苏采云”系统相应链接进行下载。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采购中心将数据电文形式的采购文件加载至“苏采云”系统，供潜在供应商下载或者查阅。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请潜在投标单位提前安装相应的控件（详见《“苏采云”系统供应商操作手册》）并使用谷歌浏览器登录“苏采云”系统参与不见面开评标。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如潜在投标人未按上述要求操作，将自行承担所产生的风险。</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3.有关本次招标的事项若存在变动或修改，敬请及时关注在“中国政府采购网”“江苏政府采购网”“盐城市政府采购网”发布的更正公告。</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4.本次招标不收取投标保证金，不收取质量保证金。</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名称:滨海县博物馆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地址:盐城市滨海县东坎中路167号</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联系人:姜先生</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联系手机号码: 13512591020</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2.项目联系方式</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项目联系人：马女士 徐女士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电话：15195568340 13913365004 </w:t>
      </w:r>
      <w:r>
        <w:rPr>
          <w:rFonts w:ascii="SimSun" w:hAnsi="SimSun" w:eastAsia="SimSun" w:cs="SimSun"/>
          <w:color w:val="000000"/>
          <w:sz w:val="24"/>
        </w:rPr>
        <w:t xml:space="preserve"> </w:t>
      </w:r>
      <w:r/>
    </w:p>
    <w:p>
      <w:pPr>
        <w:ind w:left="0" w:right="0" w:firstLine="560"/>
        <w:jc w:val="both"/>
        <w:spacing w:before="240" w:after="24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84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u w:val="none"/>
        </w:rPr>
        <w:t xml:space="preserve">投标人须知</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4.1投标人应自行承担所有与参加投标有关的费用，无论投标过程中的做法和结果如何，滨海县公共资源交易中心（滨海县政府采购中心）（以下简称采购中心）在任何情况下均无义务和责任承担这些费用。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4.2本次招标采购中心和采购人不收取标书工本费与中标服务费。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请仔细检查招标文件是否齐全，如有缺漏请立即与采购中心联系解决。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前按招标公告中的通讯地址，以书面形式通知采购中心。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8.1在投标截止时间前，采购中心可以对招标文件进行修改。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8.2采购中心有权按照法定的要求推迟投标截止日期和开标日期。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8.3招标文件的修改将在“中国政府采购网”“江苏政府采购网”“盐城市政府采购网”公布，补充文件将作为招标文件的组成部分，并对投标人具有约束力。</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三、投标文件的编制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11.1投标人应按照法律、法规、规章和规范性文件以及招标文件要求提交证明文件，证明其及投标标的符合招标文件规定。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w:t>
      </w:r>
      <w:r>
        <w:rPr>
          <w:rFonts w:ascii="SimSun" w:hAnsi="SimSun" w:eastAsia="SimSun" w:cs="SimSun"/>
          <w:color w:val="000000"/>
          <w:sz w:val="24"/>
          <w:u w:val="none"/>
        </w:rPr>
        <w:t xml:space="preserve">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w:t>
      </w:r>
      <w:r>
        <w:rPr>
          <w:rFonts w:ascii="SimSun" w:hAnsi="SimSun" w:eastAsia="SimSun" w:cs="SimSun"/>
          <w:color w:val="000000"/>
          <w:sz w:val="24"/>
          <w:u w:val="none"/>
        </w:rPr>
        <w:t xml:space="preserve">标人应按照招标文件规定格式填报投标分项报价表。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12.4所有人员工资不低于本县每月最低工资标准，所有人员必须足额缴纳社保费用，社保（企业部分）不得低于最低缴纳基数，法定节假日加班费不得低于国家相关规定。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人员最低工资标准、社会保险缴纳基数等如遇到国家和地方政策调整，中标的价格不调整，投标人将此风险考虑在报价中。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12.5投标人根据招标内容的要求准确报价，一经报出，不得更改。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投标报价的单位为人民币(元)。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12.7对于超出招标文件的其他临时性服务项目，由甲乙双方协商解决。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14.3投标文件的大写金额和小写金额不一致的，以大写金额为准；对不同文字文本投标的解释发生异议的，以中文文本为准。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15.1投标有效期为采购中心规定的开标之日后</w:t>
      </w:r>
      <w:r>
        <w:rPr>
          <w:rFonts w:ascii="SimSun" w:hAnsi="SimSun" w:eastAsia="SimSun" w:cs="SimSun"/>
          <w:b/>
          <w:color w:val="000000"/>
          <w:sz w:val="24"/>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17、投标文件</w:t>
      </w:r>
      <w:r>
        <w:rPr>
          <w:rFonts w:ascii="SimSun" w:hAnsi="SimSun" w:eastAsia="SimSun" w:cs="SimSun"/>
          <w:color w:val="000000"/>
          <w:sz w:val="24"/>
        </w:rPr>
        <w:t xml:space="preserve">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18.1</w:t>
      </w:r>
      <w:r>
        <w:rPr>
          <w:rFonts w:ascii="SimSun" w:hAnsi="SimSun" w:eastAsia="SimSun" w:cs="SimSun"/>
          <w:i/>
          <w:color w:val="000000"/>
          <w:sz w:val="24"/>
          <w:u w:val="single"/>
        </w:rPr>
        <w:t xml:space="preserve">投标人上传电子投标文件的时间不得迟于招标公告中规定的投标截止时间</w:t>
      </w:r>
      <w:r>
        <w:rPr>
          <w:rFonts w:ascii="SimSun" w:hAnsi="SimSun" w:eastAsia="SimSun" w:cs="SimSun"/>
          <w:i/>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18.2采购中心可以按照规定，通过修改招标文件酌情延长投标截止时间，在此情况下，投标人的所有权利和义务以及投标人受制的截止时间均应以延长后新的截止时间为准。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19、投标文件</w:t>
      </w:r>
      <w:r>
        <w:rPr>
          <w:rFonts w:ascii="SimSun" w:hAnsi="SimSun" w:eastAsia="SimSun" w:cs="SimSun"/>
          <w:color w:val="000000"/>
          <w:sz w:val="24"/>
        </w:rPr>
        <w:t xml:space="preserve">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19.1采购中心拒绝接收在其规定的投标截止时间后上传的任何投标文件。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五、开标与评标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21.2开标仪式由采购中心组织。苏采云系统将自动对项目进行开标，并宣布各投标人名称和投标价格。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22.1开标后，采购中心将立即组织评标委员会（以下简称评委会）进行评标。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22.2评委会由采购人代表和有关技术、经济等方面的专家组成，且人员构成符合政府采购有关规定。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22.3评委会独立工作，负责评审所有投标文件并确定中标候选人。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23.1凡是与审查、澄清、评价和比较投标的有关资料以及授标建议等，采购人、评委、采购中心均不得向投标人或与评标无关的其他人员透露。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23.3采购中心和评标委员会不向未中标的投标人解释未中标原因，也不公布评标过程中的相关细节。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24.3接到评委会澄清、说明和补正要求的投标人如未按规定作出澄清、说明和补正，其风险由投标人自行承担。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25.6投标人在开、评标全过程中应保持通信畅通，及时登录苏采云系统查阅、答复相关信息，并安排专人与采购中心及评标委员会联系。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26.1.10投标人不能证明其报价合理性的，评标委员会应当将其作为无效投标处理。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（一）评审过程中出现下列情形之一的，评标委员会应当启动异常低价投标审查程序：</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1.投标报价低于采购项目预算50%的，即投标报价&lt;采购项目预算×50%；</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2.投标报价低于采购项目最高限价45%的，即投标报价&lt;采购项目最高限价×45%；</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3.评标委员会认定的供应商报价过低、有可能影响产品质量或者不能诚信履约的其他情形。</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26.2.5因苏采云系统故障原因造成开标不成功的。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w:t>
      </w:r>
      <w:r>
        <w:rPr>
          <w:rFonts w:ascii="SimSun" w:hAnsi="SimSun" w:eastAsia="SimSun" w:cs="SimSun"/>
          <w:color w:val="000000"/>
          <w:sz w:val="24"/>
        </w:rPr>
        <w:t xml:space="preserve">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27.3采购中心将在“中国政府采购网”、“江苏政府采购网”、“盐城市政府采购网”发布中标公告，公告期限为1个工作日。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27.4.2向采购人、采购中心行贿或者提供其他不正当利益的。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及采购人只接收以纸质原件形式送达的质疑,采购人和采购中心不接受未填写快递运单的快件。质疑接收部门为滨海县公共资源交易中心（滨海县政府采购中心），联系地址：滨海县县城育才路166号滨海县政务服务中心，联系电话：15195568340或13913365004。</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32.政府采购政策功能落实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32.2进口产品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32.3中小企业、监狱企业及残疾人福利性单位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 人（含10 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32.3.7本项目是否专门面向中小企业预留采购份额见第一章《招标公告》。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32.4政府采购节能产品、环境标志产品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32.5绿色包装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32.6政府采购创新产品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32.7绿色数据中心政策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32.8履约保证金政策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33.预付款制度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w:t>
      </w:r>
      <w:r>
        <w:rPr>
          <w:rFonts w:ascii="SimSun" w:hAnsi="SimSun" w:eastAsia="SimSun" w:cs="SimSun"/>
          <w:color w:val="000000"/>
          <w:sz w:val="24"/>
          <w:u w:val="single"/>
        </w:rPr>
        <w:t xml:space="preserve"> 30 </w:t>
      </w:r>
      <w:r>
        <w:rPr>
          <w:rFonts w:ascii="SimSun" w:hAnsi="SimSun" w:eastAsia="SimSun" w:cs="SimSun"/>
          <w:color w:val="000000"/>
          <w:sz w:val="24"/>
        </w:rPr>
        <w:t xml:space="preserve">%（原则上不低于合同金额的30%）。在签订合同时，中标、成交供应商明确书面表示无需预付款或者主动要求降低预付款比例的，采购人可就预付款比例作相应调整。</w:t>
      </w:r>
      <w:r/>
    </w:p>
    <w:p>
      <w:pPr>
        <w:ind w:left="0" w:right="0" w:firstLine="560"/>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SimSun" w:hAnsi="SimSun" w:eastAsia="SimSun" w:cs="SimSun"/>
          <w:color w:val="000000"/>
          <w:sz w:val="44"/>
        </w:rPr>
        <w:t xml:space="preserve">  </w:t>
      </w:r>
      <w:r>
        <w:rPr>
          <w:rFonts w:ascii="SimHei" w:hAnsi="SimHei" w:eastAsia="SimHei" w:cs="SimHei"/>
          <w:color w:val="000000"/>
          <w:sz w:val="44"/>
        </w:rPr>
        <w:t xml:space="preserve">合同文本</w:t>
      </w:r>
      <w:r/>
    </w:p>
    <w:p>
      <w:pPr>
        <w:ind w:left="0" w:right="0" w:firstLine="446"/>
        <w:jc w:val="center"/>
        <w:spacing w:before="156" w:after="145"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政府采购合同（服务）（合同编号）</w:t>
      </w:r>
      <w:r/>
    </w:p>
    <w:p>
      <w:pPr>
        <w:ind w:left="0" w:right="0" w:firstLine="355"/>
        <w:jc w:val="both"/>
        <w:spacing w:before="156"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项目名称：滨海县博物馆物业管理服务  </w:t>
      </w:r>
      <w:r/>
    </w:p>
    <w:p>
      <w:pPr>
        <w:ind w:left="0" w:right="0" w:firstLine="355"/>
        <w:jc w:val="both"/>
        <w:spacing w:before="156"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355"/>
        <w:jc w:val="both"/>
        <w:spacing w:before="156"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   滨海县博物馆</w:t>
      </w:r>
      <w:r/>
    </w:p>
    <w:p>
      <w:pPr>
        <w:ind w:left="0" w:right="0" w:firstLine="355"/>
        <w:jc w:val="both"/>
        <w:spacing w:before="156"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p>
    <w:p>
      <w:pPr>
        <w:ind w:left="0" w:right="0" w:firstLine="480"/>
        <w:jc w:val="both"/>
        <w:spacing w:before="156"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 </w:t>
      </w:r>
      <w:r>
        <w:rPr>
          <w:rFonts w:ascii="SimSun" w:hAnsi="SimSun" w:eastAsia="SimSun" w:cs="SimSun"/>
          <w:color w:val="000000"/>
          <w:sz w:val="24"/>
          <w:u w:val="single"/>
        </w:rPr>
        <w:t xml:space="preserve">滨海县博物馆物业管理服务 </w:t>
      </w:r>
      <w:r>
        <w:rPr>
          <w:rFonts w:ascii="SimSun" w:hAnsi="SimSun" w:eastAsia="SimSun" w:cs="SimSun"/>
          <w:color w:val="000000"/>
          <w:sz w:val="24"/>
        </w:rPr>
        <w:t xml:space="preserve">公开招标的结果，签署本合同。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1.1项目名称：</w:t>
      </w:r>
      <w:r>
        <w:rPr>
          <w:rFonts w:ascii="SimSun" w:hAnsi="SimSun" w:eastAsia="SimSun" w:cs="SimSun"/>
          <w:color w:val="000000"/>
          <w:sz w:val="24"/>
          <w:u w:val="single"/>
        </w:rPr>
        <w:t xml:space="preserve">    滨海县博物馆物业管理服务</w:t>
      </w: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1.2项目内容：</w:t>
      </w:r>
      <w:r>
        <w:rPr>
          <w:rFonts w:ascii="SimSun" w:hAnsi="SimSun" w:eastAsia="SimSun" w:cs="SimSun"/>
          <w:color w:val="000000"/>
          <w:sz w:val="24"/>
          <w:u w:val="single"/>
        </w:rPr>
        <w:t xml:space="preserve">    滨海县博物馆的公众服务、建筑设备设施服务、保洁和安全保卫服务等物业服务</w:t>
      </w: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1.3合同履行期限：</w:t>
      </w:r>
      <w:r>
        <w:rPr>
          <w:rFonts w:ascii="SimSun" w:hAnsi="SimSun" w:eastAsia="SimSun" w:cs="SimSun"/>
          <w:b/>
          <w:color w:val="000000"/>
          <w:sz w:val="24"/>
          <w:u w:val="single"/>
        </w:rPr>
        <w:t xml:space="preserve">一年合同期满后，若乙方年度考核结果为优秀、服务满意度不低于80%，且项目年度预算无调整，经招标人书面确认同意后，双方可续签下一服务年度合同，总服务期不得超过两年。</w:t>
      </w:r>
      <w:r>
        <w:rPr>
          <w:rFonts w:ascii="SimSun" w:hAnsi="SimSun" w:eastAsia="SimSun" w:cs="SimSun"/>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工作地点：</w:t>
      </w:r>
      <w:r>
        <w:rPr>
          <w:rFonts w:ascii="SimSun" w:hAnsi="SimSun" w:eastAsia="SimSun" w:cs="SimSun"/>
          <w:color w:val="000000"/>
          <w:sz w:val="24"/>
          <w:u w:val="single"/>
        </w:rPr>
        <w:t xml:space="preserve">   滨海县博物馆（地址：盐城市滨海县东坎中路167号）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本合同总金额为人民币（大写）：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合同价款（即：合同总金额及分项金额）指乙方完成本次投标为完成滨海县博物馆物业外包服务的所需的一切费用，包括但不限于：所涉及的劳务支出及其配套的设备、工具耗材、保险、劳保、交通、通讯、管理、利润、税金、投标费用、培训等工作所发生的全部费用等一切费用，除合同价外，纠纷不再支付其他任何费用。</w:t>
      </w:r>
      <w:r>
        <w:rPr>
          <w:rFonts w:ascii="SimSun" w:hAnsi="SimSun" w:eastAsia="SimSun" w:cs="SimSun"/>
          <w:b/>
          <w:color w:val="000000"/>
          <w:sz w:val="24"/>
        </w:rPr>
        <w:t xml:space="preserve">乙方已充分考虑人员最低工资标准、社会保险缴纳基数等遇到国家和地方政策调整，合同价款不调整等风险已包括在合同价款中。</w:t>
      </w:r>
      <w:r/>
    </w:p>
    <w:p>
      <w:pPr>
        <w:ind w:left="231" w:right="0" w:firstLine="24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三、付款方式及结算方式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5.1付款方式：物业管理服务费按季度支付，支付比例分为30%、20%、25%、25%。其中常规设备维护费、材料物耗费 43 万元为不可竞争费，已包含在物业服务总费用内，不纳入上述季度支付比例分配，实行预决算制，使用前须经甲方批准，按实结算，审核确认后在对应季度服务费中一并支付，年度累计不超过 43 万元。</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合同签订后，按照合同约定向采购人提供履约保函，待财政资金到账后，甲方全额支付第一季度物业管理费。第二季度物业管理费由甲方对上一季度考核确认，报经县政府、县财政局、县文广旅局经费支出流程审定审批后(一般约20-30个工作日)支付当季度实际物业管理服务费。乙方在履行完合同约定的全部义务且考核合格后，甲方将履约保函退还给乙方。甲方有权根据乙方的现场服务情况，在服务期内对考核办法进行调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5.2结算办法：乙方按本合同内容合格地履行协议，凭考核结果报告、税务发票办理结算手续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甲方于每季度首月10日前对乙方上一季度物业服务的服务质量进行考核，考核结果与物业服务费挂钩。具体考核办法、服务质量考核总表（季度考核表）由双方根据项目实际情况进一步细化完善，作为本合同履约考核依据。合同期限届满前，甲方对乙方合同年度内的物业服务满意度进行综合评价，评价结果作为合同续签的重要依据。</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四、履约保证金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4.1乙方交纳人民币（人民币：大写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（履约保证金为合同金额的10%）</w:t>
      </w:r>
      <w:r>
        <w:rPr>
          <w:rFonts w:ascii="SimSun" w:hAnsi="SimSun" w:eastAsia="SimSun" w:cs="SimSun"/>
          <w:color w:val="000000"/>
          <w:sz w:val="24"/>
        </w:rPr>
        <w:t xml:space="preserve">作为本合同的履约保证金。甲方应当对AA评级及以上政府采购供应商（需提供信用管理部门备案的第三方信用报告）免收履约保证金或降低履约保证金缴纳比例。）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4.2确需收取履约保证金的，履约保证金的缴纳形式：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4.2.2如以履约保函（保险）形式缴纳履约保证金，供应商可通过政府采购电子履约保函（保险）平台（www.jsdzbh.com）在线申请履约保函（保险）。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4.3合同履行结束后，甲方应及时退还交纳的履约保证金。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4.4履约保证金的退还：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4.4.1方式：无息退还至投标人缴纳履约保证金的账户。如为保函，在到期时自行失效。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4.4.2时间：验收合格且采购人收到发票后30日内。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4.4.3条件：按合同要求全部履约完成并经采购人验收合格，且采购人收到中标人出具的发票。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4.4.4不予退还情形：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除不可抗力情况外，投标人出现下列情形之一的，其履约保证金，采购人将视情节决定不予退还或部分不予退还。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五、权利和义务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5.1甲方权利和义务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5.1.1甲方有权随时对乙方的工作情况进行考核。</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5.1.2甲方不允许乙方将本项目转包和分包给任何第三方，如发现乙方有转包和分包行为，甲方有权单方终止本合同。所交履约保证金作为违约金不予退还。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5.1.3向乙方提供办公用房和值班用房。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5.2乙方权利和义务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5.2.1乙方必须按公司化运作，必须遵守国家的法律法规并负责本公司人员的管理。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5.2.2乙方应遵守《劳动法》及相关法律法规的规定，若有违反，责任由乙方自行承担。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5.2.3乙方必须按照甲方要求的定员数足额上岗作业，并按时发放工资、福利、为上岗人员按照规定办理相关保险。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5.2.4乙方在合同期限内录用的人员，合同到期后由乙方负责一切相关事宜。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协助做好本物业管理区域内的安全防范工作，发生安全事故时，在采取应急措施的同时，及时向有关行政管理部门报告，保护好现场、协助做好救助工作；保安人员在维护本物业管理区域的公共秩序时，要履行职责，不得侵害公民的合法权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5.2.6合同期内，乙方的主要负责人要保持相对稳定。如需更换项目经理，须提供相关证明材料并获得甲方认可，否则按项目经理未到岗处理。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5.2.7所有进场人员必须和招标文件中的人员身份等信息一致，否则按脱岗处理。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6.1乙方不能提供服务（逾期超过2天视为不能提供服务），或服务不合格从而影响甲方按期正常工作的，应向甲方偿付合同价款10%的违约金，违约金不足以补偿损失的，甲方有权要求乙方补足。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6.2乙方逾期提供服务的，应在服务前与甲方和政府采购管理部门协商，甲方仍需求的，乙方应立即提供服务，否则按照每天万分之四支付逾期违约金，同时承担甲方因此遭致的损失费用。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6.3项目实施期间，乙方进场的项目经理与招标时该单位所投的项目经理的名字应一致，如发现不一致情况，视乙方自行弃标，甲方有权与乙方终止合同。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七、其它约定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7.1本项目招标文件和乙方投标文件系本合同组成部分，招投标文件没有规定或规定不明的，按本合同约定执行。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7.2如因受疫情等特殊情况影响，服务延迟或中断的，在合同总金额不变的情况下，应顺延服务期限。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7.3除非得到甲方的书面同意，乙方不得将全部或部分服务分包给他人。乙方擅自转包或分包的，甲方有权单方拒付服务费，并终止合同履行。</w:t>
      </w:r>
      <w:r/>
    </w:p>
    <w:p>
      <w:pPr>
        <w:ind w:left="0" w:right="-36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八、安全责任</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8.1在本项目合同履约期间，如乙方原因产生的一切安全事故、劳资纠纷等由乙方全部承担，甲方不承担任何责任。</w:t>
      </w:r>
      <w:r/>
    </w:p>
    <w:p>
      <w:pPr>
        <w:ind w:left="0" w:right="-36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8.2</w:t>
      </w:r>
      <w:r>
        <w:rPr>
          <w:rFonts w:ascii="SimSun" w:hAnsi="SimSun" w:eastAsia="SimSun" w:cs="SimSun"/>
          <w:color w:val="000000"/>
          <w:sz w:val="24"/>
        </w:rPr>
        <w:t xml:space="preserve">在本项目合同履约期间</w:t>
      </w:r>
      <w:r>
        <w:rPr>
          <w:rFonts w:ascii="SimSun" w:hAnsi="SimSun" w:eastAsia="SimSun" w:cs="SimSun"/>
          <w:color w:val="000000"/>
          <w:sz w:val="24"/>
          <w:highlight w:val="white"/>
        </w:rPr>
        <w:t xml:space="preserve">若乙方原因发生死亡安全事故，除按国家有关安全管理规定及甲方有关安全管理办法执行外，并报相关行政主管部门处罚；若乙方原因发生重大安全事故或特大安全事故，除按国家有关安全管理规定及甲方有关安全管理办法执行外，甲方有权终止合同，给甲方造成的损失，还应承担全部赔偿责任。</w:t>
      </w:r>
      <w:r/>
    </w:p>
    <w:p>
      <w:pPr>
        <w:numPr>
          <w:ilvl w:val="0"/>
          <w:numId w:val="19"/>
        </w:numPr>
        <w:jc w:val="both"/>
        <w:spacing w:before="12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不可抗力事件处理</w:t>
      </w:r>
      <w:r/>
    </w:p>
    <w:p>
      <w:pPr>
        <w:ind w:left="0" w:right="0" w:firstLine="480"/>
        <w:jc w:val="both"/>
        <w:spacing w:before="12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在合同有效期内，任何一方因不可抗力事件导致不能履行合同，则合同履行期可延长，其延长期与不可抗力影响期相同。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不可抗力事件发生后，应立即通知对方，并寄送有关权威机构出具的证明。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不可抗力事件延续120天以上，双方应通过友好协商，确定是否继续履行合同。</w:t>
      </w:r>
      <w:r/>
    </w:p>
    <w:p>
      <w:pPr>
        <w:ind w:left="0" w:right="0" w:firstLine="482"/>
        <w:jc w:val="both"/>
        <w:spacing w:before="12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十、争议与诉讼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双方在执行合同中所发生的一切争议，应通过协商解决。如协商不成，可向合同签订地法院起诉，合同签订地在此约定为滨海县。</w:t>
      </w:r>
      <w:r/>
    </w:p>
    <w:p>
      <w:pPr>
        <w:ind w:left="0" w:right="0" w:firstLine="482"/>
        <w:jc w:val="both"/>
        <w:spacing w:before="12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十一、合同生效及其它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合同经双方法定代表人或授权委托代表人签字并加盖单位公章后生效。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11.2本合同未尽事宜，遵照《民法典》、《政府采购法》有关条文执行。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本合同正本一式肆份，具有同等法律效力，甲方贰份、乙方贰份。</w:t>
      </w:r>
      <w:r/>
    </w:p>
    <w:p>
      <w:pPr>
        <w:ind w:left="480" w:right="0" w:hanging="48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79" w:right="0" w:hanging="24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地址：地址： </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联系电话：联系电话：</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               签订日期：年月日</w:t>
      </w:r>
      <w:r/>
    </w:p>
    <w:p>
      <w:pPr>
        <w:ind w:left="0" w:right="0" w:firstLine="22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项目属性:服务类项目。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采购标的所属行业：</w:t>
      </w:r>
      <w:r>
        <w:rPr>
          <w:rFonts w:ascii="Arial" w:hAnsi="Arial" w:eastAsia="Arial" w:cs="Arial"/>
          <w:b/>
          <w:color w:val="000000"/>
          <w:sz w:val="24"/>
          <w:u w:val="single"/>
        </w:rPr>
        <w:t xml:space="preserve">物业管理</w:t>
      </w:r>
      <w:r>
        <w:rPr>
          <w:rFonts w:ascii="Arial" w:hAnsi="Arial" w:eastAsia="Arial" w:cs="Arial"/>
          <w:b/>
          <w:color w:val="000000"/>
          <w:sz w:val="24"/>
        </w:rPr>
        <w:t xml:space="preserve">。</w:t>
      </w:r>
      <w:r/>
    </w:p>
    <w:p>
      <w:pPr>
        <w:ind w:left="0" w:right="0" w:firstLine="1383"/>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一、物业服务项目概况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海县博物馆是以文物征集、收藏、管理、研究、陈列为基本任务的综合性国有博物馆,是中国博物馆协会会员单位,馆舍位于滨海县历史文化底蕴深厚的东坎老西街。滨海县博物馆占地7.8亩，馆舍建筑面积2973.65平方米，建筑设计为两层仿古明清风格，另有地下一层车库68个机动车停车位。馆内设有综合展示厅、临展厅、多功能报告厅、社教活动空间、文创体验区等。馆藏各类藏品700余件，其中文物藏品400余件。滨海县博物馆始终坚持“保护第一、加强管理、挖掘价值、有效利用、让文物活起来”的基本工作方针，立足我县历史文化资源禀赋，向社</w:t>
      </w:r>
      <w:r>
        <w:rPr>
          <w:rFonts w:ascii="SimSun" w:hAnsi="SimSun" w:eastAsia="SimSun" w:cs="SimSun"/>
          <w:color w:val="000000"/>
          <w:sz w:val="24"/>
        </w:rPr>
        <w:t xml:space="preserve">会公众充分展示滨海县悠久的人文历史，致力于推动滨海县博物馆从“以物为本”向“以人为本”的现代公共文化服务机构转变。滨海县博物馆日常开放时间为9︰00-17︰30（17︰00停止入馆），每周一闭馆（节假日除外）。安全保卫及工程设备设施实行24小时运行维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物业名称：滨海县博物馆（下称：“采购人”）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物业类型：综合性国有博物馆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物业性质：重要公共建筑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物业地点：盐城市滨海县东坎中路167号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二、各层功能区域及主要设备设施表及管理目标</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1、各层功能区域：</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8596"/>
      </w:tblGrid>
      <w:tr>
        <w:trPr>
          <w:trHeight w:val="4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功能分布情况</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地下一层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车库、仓库、强电间、弱电间、空调机房等。</w:t>
            </w:r>
            <w:r/>
          </w:p>
        </w:tc>
      </w:tr>
      <w:tr>
        <w:trPr>
          <w:trHeight w:val="1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展区（包括常设展厅、信息中心机房、杂物间）、文创区、安检区、监控室、临展厅、报告厅、社教活动区、办公区、贵宾接待室、卫生间、茶水间、母婴室、文物库区（强电间、弱电间、文物库房）、空调机房、保安休息区、保洁休息区等。</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茶歇区、书画展厅、会议室、社教活动室、钟楼、仿古亭榭廊道等。</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室外（红线范围内）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道路、地上广场（含停车场）、园林绿地、水池景观等。</w:t>
            </w:r>
            <w:r/>
          </w:p>
        </w:tc>
      </w:tr>
    </w:tbl>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2、主要设备设施</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电气、电梯设备：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配电系统（库房、常设展厅、临展厅、书画展厅、茶歇区、钟楼）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馆内照明系统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馆外亮化系统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净化热水器2台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电梯1部</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暖通设备：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1楼库房：EK恒温恒湿空调3套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1楼公共区域和办公区域：大金中央空调3组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1楼常设展厅展柜：中焓恒温恒湿空调3组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1楼安检区：美的空调1套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2楼书画展厅：大金空调1套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2楼茶歇区：美的空调2套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2楼钟楼：美的空调1套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2楼会议室和社教空间：美的空调2套</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弱电设备: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1楼序厅：滨海之源LED展示系统、馆情信息监测发布系统、导览系统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1楼常设展厅：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先民足迹——投影播放系统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故道寻踪——拼接屏播放系统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万灶煮海——投影播放系统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黄淮交织——海岸线LED播放装置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水患四起——互动查询系统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陈涛沉船——游戏交互系统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城脉兴替——互动查询系统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崇文重教——互动书法系统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黄海丰碑——互动展示系统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红色地名——互动查询系统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王桥战斗——投影播放系统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同仇敌忾——互动查询系统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内战爆发——互动查询系统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英烈名录——投影播放系统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滨海非遗——互动查询系统、LED播放系统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滨海非遗——LED播放系统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白首乌制作工艺——幻影成像播放系统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乡梓贤集（城市记忆）——互动魔法墙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1楼报告厅：3D投影系统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2楼书画展厅:LED播放系统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2楼会议室：多媒体一体机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多媒体中央控制系统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办公网络系统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观众网络系统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公共广播系统</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消防系统：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火灾自动报警及联动系统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消火栓给水系统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自动喷水灭火系统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防火分隔设施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机械排烟系统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应急照明及疏散指示系统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灭火器系统</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2.5安防系统：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入侵和紧急报警系统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出入口控制系统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电子巡查系统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视频监控系统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通讯对讲系统</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2.6展柜系统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常设展厅展柜：独立柜、沿墙通柜、悬挂展柜、平柜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临展厅展柜：沿墙通柜</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3、设施设备管理目标</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
        <w:gridCol w:w="1121"/>
        <w:gridCol w:w="934"/>
        <w:gridCol w:w="7035"/>
      </w:tblGrid>
      <w:tr>
        <w:trPr>
          <w:trHeight w:val="5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目标值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center"/>
            <w:textDirection w:val="lrTb"/>
            <w:noWrap/>
          </w:tcPr>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r>
      <w:tr>
        <w:trPr>
          <w:trHeight w:val="2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房屋建筑和装饰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完好率98%及以上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A．外墙饰面完好、清洁，屋面无积水。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B．墙体、台阶，不松动、不剥落。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C．屋（顶）隔热、隔漏层完好，保温、不漏雨、不窨水；避雷带无间断。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D．房屋所有门窗应牢固、开关灵活、不松动、不漏风；木结构建筑顶不漏雨、檐口紧密不漏风、梁柱不开裂、不破损（脱皮）。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E．大理石和铺设地砖、地胶的地坪平整、牢固、安全、橡塑地面拼缝严密。</w:t>
            </w:r>
            <w:r/>
          </w:p>
        </w:tc>
      </w:tr>
      <w:tr>
        <w:trPr>
          <w:trHeight w:val="1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完好率100%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A．灯具、开关、插座和照明配电箱安装牢固。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B．配电系统不发生停电事故（外来因素除外）。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C．开关有效，接地可靠。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D．线路绝缘符合规程要求，接线头不外露。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E．电力输送电缆温度不高于规定值。</w:t>
            </w:r>
            <w:r/>
          </w:p>
        </w:tc>
      </w:tr>
      <w:tr>
        <w:trPr>
          <w:trHeight w:val="12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完好率100%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A.多媒体系统、互动展项、报告厅设备正常运行。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B.中控、投影、音视频正常运行。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C.及时进行软件维护、系统调试、故障排查、备件更换等，并有完整的记录台账、维修日志。</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完好率100%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A．过滤网的换季清洗。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B．按规范要求操作设备。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C．运行符合安全规程，持证上岗。</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照明系统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完好率98%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所有灯具、照明系统完好。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发现灯具损坏及时修复。</w:t>
            </w:r>
            <w:r/>
          </w:p>
        </w:tc>
      </w:tr>
      <w:tr>
        <w:trPr>
          <w:trHeight w:val="1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给水系统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完好率100%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A．给水外露管网完好。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B．水箱清洁，水质达标。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C．水管及龙头等部件保持完好，无跑、冒、滴、漏等情况。</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排水系统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完好率100%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A．各排水管道畅通，无渗漏、堵塞。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B．排水泵运行与控制正常有效。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C．排水畅通，无回流气味。</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安防、消防报警系统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完好率100%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A．报警探测器可靠。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B．报警装置、声响正常、符合规范。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C．系统联动无失控现象。</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重大事故发生率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不发生重大责任事故</w:t>
            </w:r>
            <w:r/>
          </w:p>
        </w:tc>
      </w:tr>
    </w:tbl>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注：以上各层功能区域及主要设备材料表数据供参考，设备种类、具体型号和数量以现场实际情况为准。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三、物业管理服务范围及总体要求、内容及要求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（一）物业管理服务范围、内容及总体要求</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1、物业管理服务范围和内容：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海县博物馆的设备设施运行维护保养、安全保卫、消防安全管理、清洁绿化、场馆管理服务、讲解、会务接待、后勤服务、车辆停放等公共财产和事务的管理。物业管理服务范围具体包括但不限于本项目下采购人建筑物及其附属设施、设备、器具、场地的管理、维修养护、施工管理、巡视检查设备等管理服务和保障，环境卫生保洁管理服务和保障，安全管理服务和保障、消防安全管理服务和保障，办公区、贵宾接待、后勤保障等服务和保障、展览场地管理服务和保障、场馆常年对外开放运营管理、社会公众参观相关服务和保障、社会教育服务、采购人要求的与本项目有关的</w:t>
      </w:r>
      <w:r>
        <w:rPr>
          <w:rFonts w:ascii="SimSun" w:hAnsi="SimSun" w:eastAsia="SimSun" w:cs="SimSun"/>
          <w:color w:val="000000"/>
          <w:sz w:val="24"/>
        </w:rPr>
        <w:t xml:space="preserve">其他相关服务和保障等所有与采购人博物馆公共服务机构及场馆运营管理相关的所有事项，依本项目招标文件规定并以实际签署的合同进行管理并提供服务和保障。采购人委托投标方提供的物业服务范围还包括采购人因采购人博物馆运营管理工作需要在上述区域以外的空间和场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1.1服务内容包括但不限于公众服务</w:t>
      </w:r>
      <w:r>
        <w:rPr>
          <w:rFonts w:ascii="SimSun" w:hAnsi="SimSun" w:eastAsia="SimSun" w:cs="SimSun"/>
          <w:b/>
          <w:color w:val="000000"/>
          <w:sz w:val="24"/>
          <w:u w:val="none"/>
        </w:rPr>
        <w:t xml:space="preserve">（包括岗位职责及人员配备），包括但不限于如下服务内容：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公共区域导览服务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讲解服务及相关社会教育活动服务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贵宾接待服务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前台服务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安检服务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展览区域服务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展品展项服务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报告厅服务（含文艺演出、讲座授课及影片放映等服务）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临展区服务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文创区售卖服务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茶歇区日常管理与服务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会务服务与协助接待服务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办公区域服务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大型活动保障与服务（包括外来单位使用甲方场馆的活动或会务）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配合公众教育服务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突发应急管理及处置服务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公众咨询及投诉答疑服务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政府或上级单位或甲方指定完成的物业服务内容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1.2建筑设备设施服务（包括岗位职责及人员配备），包括但不限于如下内容：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强电系统运行和维修管理（包括新增设备设施）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弱电系统运行和维修管理（包括新增设备设施）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空调系统运行和维修管理（包括新增设备设施）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给排水系统运行和维修管理（包括新增设备设施）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污水系统运行和维修管理（包括新增设备设施）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消防、安防系统管理（包括新增设备设施）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建筑、装饰、装修维修管理养护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电梯运行和维修管理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展区设备管理（包括新增设备设施）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设备设施运行管理和维修养护管理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建筑设备设施生命周期管理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计算机及网络系统运行和维修管理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网站建设及维护管理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内部二次装修、展项更新等施工管理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设备控制室管理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各类通用设备管理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突发事件处置与管理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其他专项服务项目（各类会展、活动保障与服务等）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1.3安全保卫服务（包括岗位职责及人员配备），包括但不限于如下内容：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治安管理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高峰客流管理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专项活动安全保障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藏品库房及重点区域管理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危险物品管理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防台防汛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突发事件处置与管理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甲方要求的其他安全保障工作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1.4环境卫生服务（包括岗位职责及人员配备），包括但不限于如下内容：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室内保洁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室外保洁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外立面保洁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绿化养护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虫害治理（监管）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卫生防疫</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搬运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其他环保工作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采购人根据运营管理及社会公众服务等需要及临时增加的各类服务需求，投标方应予提供。该等服务已包含在总费用中，采购人不另支付费用。</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2、物业管理总体要求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滨海县博物馆是综合性国有博物馆，属国家公共服务场所，馆藏各类藏品700余件，其中文物藏品400余件。是滨海人文历史藏品收藏、展示、教育的重要场所，因此对安全性、规范性、服务性要求严格。物业管理服务要高标准、高档次，符合《博物馆开放服务规范》《博物馆物业服务规范》等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2.2组建派出的滨海县博物馆物业管理机构服从采购人统一管理。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2.3投标人对博物馆的物业管理方案、组织架构、人员录用等建立的各项规章制度，须在实施前报采购人备案，采购人有审核权。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2.4采购人对重要岗位的设置、人员录用与管理和关键管理决策有直接参与权与审批权，采购人如认为有必要、可查阅投标人的财务状况及财务报表。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2.5负责采购人范围内的全天24小时的设施设备维护、安全保卫、员工及观众人身安全、财产文物安全、保洁、绿化等有关物业方面的管理服务，妥善解决和处置各类突发事件。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2.6在处理特殊事件和紧急、突发事故时，采购人对投标人组建派出的物业管理机构人员有直接指挥权。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2.7投标人工作人员按岗位要求统一着装、言行规范，要注意仪容仪表、公众形象，一些公众岗位录用人员形象、身高要符合本采购需求的要求。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2.8投标人在做好工作的同时，有责任向采购人提供合理化建议，以提高管理效率和管理质量。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2.9采购人举办的大型接待和展览活动，投标人要适当增加人员满足各项活动的服务管理要求，而不向采购人提出另外增加费用。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2.10投标人在合同期内达到公共文化场所相关规定所需所有相应要求，达到《T/CPMI 026-2024 博物馆物业服务规范》等规定的相应条件及所需所有相应的要求。同时，配合采购人做好拟申评“国家三级博物馆”的相关服务工作，涉及中标方的服务工作要求达标。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2.11投标人不得擅自改动滨海县博物馆馆区内所有的房屋、管线、设备等的位置和用途。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2.12投标人对采购人馆区的消防、安全保卫工作进行定期检查，并定期组织人员进行业务培训和演习，确保馆区人身、文物和财产的安全。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2.13投标人必须遵守采购人的各项规章制度。对管理能力低、服务质量差的工作人员，采购人有权采取相应的惩罚措施，或责令投标人另行派遣人员。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2.14负责提供采购人运营的其他服务。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投标人派遣的物业管理人员要符合“遵纪守法，爱岗敬业，无犯罪记录，身体健康”的基本要求，投标人对所录用人员要严格政审，保证录用人员没有刑事犯罪记录，持健康证及相应专业岗位资格证。排岗用工必须符合《劳动法》的有关要求,并按盐城市用工标准签订劳动合同及缴纳国家规定的五险一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2.16质量要求：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2.16.1确保无重大安全责任事故。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2.16.2投标人须严格保守采购人各项保密事项，维护采购人各项合法权益。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2.16.3投标人协助做好采购人水、电、气的供应、管理部门和环卫、公安等部门的联络，建立良好关系和应急协调机制。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2.16.4投标人协助采购人做好设备大修、维护情况和应急协调机制。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2.16.5投标人协助采购人联络区域地块内各公共关系。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 相关档案管理要求：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2.17.1投标人协助采购人健全所有建筑物、公用设施、设备的图纸资料，及时增加修改资料。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2.17.2建立设备、设施、保安、保洁、车辆等日常运作管理档案。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2.17.3所有资料及管理资料分为图、档、卡、册四类，安放于防火、防潮、防蛀之专用档案箱内。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2.17.4所有有关办公区域管理档案资料，必须保证完整、完好，撤离时全部移交采购人。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2.17.5对采购人负责，做好财务日常管理工作。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2.18物资、耗材管理要求：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2.18.1根据采购人要求，对本项目物业管理服务的耗材采购费用实行管控，每季度提交物资耗材采购计划，每月5日提交上月决算费用细目清单，并配合采购人工作人员随时、随机对物业管理服务的耗材采购进行抽查核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2.18.2投标人物资采购行为和物资管理必须合法合规。投标人为采购人提供的物资采购行为和物资管理必须严格依据国家和江苏省、盐城市相关法律、法规、规章和规范性文件执行。投标人必须在合法合规的前提下进行物资采购行为和物资管理，不得有任何违法违规行为，不得进行任何违法违规操作，投标人必须廉洁自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2.18.3配合采购人建立并维持紧急采购物料的采购渠道。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2.18.4做好收集价格情报、替代品资料、最新产品等信息，及时更新供应商信息。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2.19交接工作内容：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2.19.1对设施、设备的查验和跟踪配合。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2.19.2交接过程中，各种物品、资料的准备和制作。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2.19.3对所有土建工程，装饰工程，设备设施的安装，绿化工程和相关的市政工程的施工单位、供货商、安装单位和与之有关联的单位的信息收集。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2.19.4做好技术资料交接前的准备和交接后的分类、整理、归档工作。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2.19.5对采购人档案资料进行整理，收集，有针对性地开展各项服务。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2.19.6物业服务人员的招聘、培训和具体业务指导。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2.19.7各种标识的制作和服务工具的配置。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2.19.8迅速熟悉管理区域情况，一旦入驻即能立刻提供采购人所要求的管理与服务，处理各类日常事务和应急事务。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2.19.9提前和采购人沟通物业交接相关工作，做好交接准备。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2.19.10按照采购人要求的时间节点介入物业管理工作。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2.19.11 所有交接工作规定在15个工作日内完成。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2.19.12交接物业工作后保障采购人设备设施正常，对外接待正常，保证场馆正常运营。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2.19.13执行其他有关交接工作的要求。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w:t>
        <w:tab/>
        <w:t xml:space="preserve">投标人对采购人采购的项目管理要求及规定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2.20.1依照统一管理原则，采购人采购的项目的管理与质量监控由投标人承担。投标人应在监督管理基础上应对供应商进行考核，并将考核结果及时通报给采购人。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 投标人的投标文件中必须包含对服务供方的监管及考核方案。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2.20.3投标人应当向采购人负责，接受采购人采购的项目承担连带责任。因监督管理所产生的任何对采购人不利或导致采购人名誉、财产、人身损害，投标人有权分别或同时向服务供方、项目实施单位追究违约责任、赔偿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2.20.4因监督管理中所产生的一切法律纠纷、人身损害、财产损失等均由投标人自行承担，概与采购人无关。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2.20.5 投标人应协助和配合采购人做好服务工作。同时，投标人应按采购人的要求，配合采购人对采购人采购项目的服务供方提供的服务质量进行全过程监管。</w:t>
      </w:r>
      <w:r/>
    </w:p>
    <w:p>
      <w:pPr>
        <w:ind w:left="0" w:right="0" w:firstLine="0"/>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（二）物业管理服务内容及要求</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6"/>
        <w:gridCol w:w="2121"/>
        <w:gridCol w:w="57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物业管理要求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工作内容（包括但不限于）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建筑物及其附属共用设施、设备、场地的管理、维修养护、巡视检查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1、负责供、配电各子系统的运行、维护和保养工作，制定相应的运行维护保养计划，进行日常检查、运维、检修和保养作业，并作出记录；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2、按供电部门相关规定操作，负责供、配电安全；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3、法规规定的特种设备的维修保养检测除外，但应做好配合工作；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4、设备检修期间，需要提供临时措施和解决办法。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二级配电系统：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1.维修保养主机房的动力控制柜、配电箱等。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2.制定维护保养计划，每月对所有二级配电系统动力、照明、空调等设备设施进行维护保养及维修（特殊设备除外）。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3.每月检查各类动力、空调、照明以及所有影院内的配电箱。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4.对具有双电源切换功能的配电系统每年2次检查和试验。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5.每半年对所有配电箱进行除尘清扫。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6.每季对继电器控制柜内的元器件检查一次，每半年校正一次热继电器的整定值，并予以清洁。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7.每年一次对各导线的接头紧固、接地测试。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8.每年一次对密集型母线排（机房内）检查，各类电缆导线等的接头紧固，并进行接地测试、绝缘测试。</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其他日常基础工作：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1.根据电气安全规程的要求，做（安排）好对馆内配电间内强弱电设施的安全检测，以及电工安全用具的检验。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2.根据建筑物防雷安全管理的有关要求，做好博物馆接地装置、建筑防雷系统装置的日常维护管理和定期安全检查测试工作，落实整改完善。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3.根据电梯使用管理和特种设备安全管理有关要求，做好博物馆电梯设备定期安全检查测试和特种设备年检工作，落实整改完善。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4.建立严格的配、送电运行制度和电气维修制度及停电事故应急预案。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5.处理好强电系统突发事件（如外网波动造成停电等情况）。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6.保障公共区域的照明、指示、显示灯安全使用；对绿化亮化、建筑亮化、二楼公共区域照明的操作及维修，确保正常运行。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7.电梯运行管理，对电梯机房设备、井道系统、轿厢设备进行日常运行管理和定期检查、维护、保养；负责协调电梯维修保养专业供方落实维修保养，对服务过程和结果进行监督、检验。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8.健全电梯设备档案及修理记录，做（安排）好电梯安全年检工作，落实整改完善工作。密切监视和掌握电梯的运行动态，及时做好需变动的电梯运行的调度、管理工作。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9.负责停电、设备主机故障、电梯困人等突发事件的处理。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10.加强日常维护检修，公共使用的照明、指示灯具线路、开关要保证完好，确保用电安全；管理和维护好办公区灯具等用电设施；制定突发事件应急处理程序和临时用电管理措施。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能源管理：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1.根据国家相关法规，做好全馆的能源管理工作；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2.详细正确地做好各类能源的统计报表（按月、季、半年、年统计），并对能源的消耗进行综合分析。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3.完成各类节能降耗的考核指标，提出节能管理方案。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1、负责给排水各子系统的运行、维护和保养工作，制定相应的运行维护保养计划，进行日常检查、运维、检修和保养作业，并作出记录；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2、执行给排水方面的法律、法规和规范；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3、确保污水排放达标；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4、负责运行安全。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给水系统：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1.每日给排水系统巡检工作，并作记录，掌握给排水系统当前运行的状态，确保设备运行良好。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2.根据实际使用情况制订年度设备设施管理及维修保养计划，定期进行更换损耗件等维保工作。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3.保持供水系统的正常运转，定期检查水泵运转情况。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4.定期检修维护供水系统管路、水泵、水池、水箱、阀门、水表，保证其正常运转。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5．做好设备系统设备和设备机房的清洁保养工作。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6.节约用水，防止冒、滴、漏，大面积跑水事故的发生。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7.保持热水器、水池、水箱的清洁卫生，防止二次污染。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8.停水预先通知馆方，以便做好安排。</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排水系统：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1.保证排水系统的正常运转，防止阻塞。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2.区域内生活污水经污水管道集中排放处理。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3.按时对排水沟清扫一次，明沟每周一次，暗沟每月一次。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4.排水管道每月检查2次，如有堵塞应随时处理、疏通。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5.每年对污水管网系统进行2次全面疏浚清洗工作。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6.定期对水质采样及分析，保持构筑物进出流、水位正常，保障污水系统正常运作。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7.配合业主做好水务管理部门的抽检工作。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暖通系统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1、全馆空调及通风系统运行管理，负责运行安全。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2、集中空调系统的运行管理及空调设施设备的日常养护维修。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3、恒温恒湿系统及机组设备运行管理和维护保养。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4、建立空调运行管理制度和安全操作规程，保证空调系统安全运行和正常使用。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5、负责集中空调系统、恒温恒湿系统及暖通设备换季大维保工作。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6、配合物业管理部落实空调风管系统清洁检测工作。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7、负责对维保/改造项目的专业供方服务过程、结果进行监管和验收。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8、建立相应运行管理制度和应急流程，处理空调系统突发事件。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9、根据实际使用情况制订年度总体节能计划。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10、中央空调控制室实行每日人员值班、监控。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11、根据运营要求，建立相应的暖通设备运行管理规章制度。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12、执行暖通系统方面的法律、法规和规范。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空调系统实行每日运行管理与维护：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1.建立空调运行管理制度和安全操作规程，保证空调系统安全运行和正常使用。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2.定期巡查设备运行状态并记录运行参数。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3.空调系统运行时，空调人员轮班进行展区巡查，进行巡检记录，发现问题马上进行处理。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4.空调运行中空调人员要保障每四小时进行温湿度和空调设备安全运行的巡查并做好记录，发现问题马上进行处理。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5.每月检查空调主机，测试运行控制和安全控制功能，分析运行数据。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6.定期检查空调外机、管道及其它附属设备，每年至少清洗、维护保养空调系统一次。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7.定期对空气处理单元、滤网、加(除)湿器、风阀、积水盘、冷凝水管、集水器分水器等进行检查、清洗和保养。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8.定期做好恒温恒湿机组的维护保养工作，保障恒温恒湿空调系统24小时正常运行。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9.定期对空调系统电源柜、控制柜进行检查，紧固螺栓、测试绝缘，保证系统的用电安全。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10.管道、阀门无锈蚀，风管、保温层完好无破损，无跑、冒、滴、漏现象。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11.每年至少除锈或根据需要刷漆一次。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12.根据实际情况进行风管系统清洗和空气质量测定，保证空气质量符合标准要求；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13.压力表、真空仪、传感器等测量装置按规定周期送计检局校验。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14.每年四次对库房恒温恒湿空调进行漏水检测报警测试。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15.在每个供冷期或供热期交替运行之前，或系统停机一段时间后又重新投入运行时，必须对系统所有设施设备进行严格细致的检查、清洗、测试和调整，确定正常后方能投入运行。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16.空调系统出现运行故障后，维修人员应在10分钟内到达现场实施维修，并做好记录。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中央空调控制管理要求：按保养计划进行维修保养，并将维修保养情况记录于相应记录内，物业工程部主管每年按设备运行情况制订下一年度中修、大修计划。中控设备故障维修一般不超过2小时。保证各控制箱、显示屏、信号灯、控制线路等的运作始终处于良好状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1、负责安保、消防系统的运行、维护和保养工作，制定相应的运行维护保养计划，进行日常检查、运维、检修和保养作业，并作出记录。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2、执行相关方面的法律、法规和规范。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3、负责运行安全。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安保、消防系统：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1.监控室环境符合系统设备运行要求，每年两次检修硬件及软件运行情况，确保系统功能正常。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2.每年不少于四次检修控制端、现场弱电控制接口设备、末端传感器、辅助设备及其他必备器材。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设备以及设备之间的连接线路完好无损、无缺；各设备运行、联动控制正常；泵压、电源供应正常。消防器材按期更新配备。主机、末端设备和各接线箱内、外部清洁，无杂物，无积灰，无锈蚀，无损坏；接线整齐，温度正常；各种标识、标签、编号准确完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4.监控设备 24 小时正常运行，监控室实行24小时值班制度。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5.监控记录画面清晰，视频监控无死角、无盲区。监控设备损坏及时报修。监控记录保持完整，保存时间不应少于 60天。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6.值班期间遵守操作规程和保密制度，做好监控记录的保存工作。无关人员进入监控室或查阅监控记录，经授权人批准并做好相关记录。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7.执行保修制度，故障修复及时，维修资料好记录齐全。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1、负责电梯系统的运行、维护和保养工作，制定相应的运行维护保养计划，进行日常检查、运维、检修和保养作业，并作出记录；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2、执行国家电梯方面的法律、法规和规范，满足其执法、检查方面要求；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3、负责运行安全。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电梯系统：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1.按照国家对电梯安全运行的标准，建立对电梯设备及附属设施的维护维修实施方案；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2.落实电梯设备设施维护、维修的专业（单位）力量；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3.实施依照电梯维护、维修工作方案，专业（单位）力量进行日常工作的监管，建立《电梯运行日记》；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4.落实协调电梯停运检修，提供电梯维修记录、维护情况台账；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5.电梯运行故障率控制在0.5%以下，停行时间/运行有效时间比小于0.3%，故障报修抢修到现场时间不超过15分钟；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6.落实当年电梯年检做到电梯年检、年审一次合格通过。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1、负责弱电系统的运行、维护和保养工作，制定相应的运行维护保养作业，并作出记录；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2、执行相关方面的法律、法规和规范，满足其执法、检查方面要求；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3、负责运行安全。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电话系统、讲解系统（扩音器、蓝牙耳机等）、馆内广播系统、网络系统（交换机）：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负责系统的日常维护，确保系统正常运行，要求：（1）各种设备以及设备间的连接线路完好无损，无缺；（2）各种末端设备运行正常，电源供应正常；各种电话通信正常，符合技术要求；（3）各种设备和各接线箱内、外清洁无杂物，无积灰，无锈蚀，接线整齐，温度正常，各种标识、标签准确完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B.每月一次检查程控网络交换机设备，电源设备、电话计费系统、话务台、交换机维护终端、语音问询设备和模拟及数字电路板设备；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C.每月检查中继台设备、机房环境、信号放大器、通信天线、UPS电源设备；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 每月检查音频切换器、应急广播切换控制器、应急广播切换控制器、定压式功放，每季度调试分区播放、紧急消防联动功能；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E.平时落实报修制度，维修资料和记录齐全。</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展区多媒体展示系统：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1.在每个开馆日的开馆和闭馆期间，实施对博物馆内多媒体展项设备进行开机和关机。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2.在开馆期间如多媒体展示设备发生故障，多媒体工程师必须到场并对故障设备进行诊断，确定故障原因。如有需要，向多媒体展项运维供应商报告，在技术人员的指导下对故障设施实施维修工作。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3.在每个开馆日工作期间，对所有展区多媒体展项设备的运行情况进行3次以上例行巡检，若发现问题，及时向物业经理和办公室通报。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4.每日对中控管理系统进行检测，对当天设备的巡检和维修情况进行记录，以便日后对设备的使用情况进行检讨。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5.每个季度对设备进行保养维护监测，以及在设备运维供应公司工作人员的指导下，对多媒体展项设备进行开机清洁等。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6.在博物馆建设其他多媒体展项期间，为建设公司提供必要的服务，配合相关展项的建设。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7.每个月的月底，向物业经理提交本月设备设施维护情况和下一步安排，进行汇总。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1、负责房屋及室外场地的维护和保养工作，制定相应的运行维护保养计划，进行日常检查、维护、检修和保养作业，并作出记录；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2、执行相关方面的法律、法规和规范，满足其执法、检查方面要求；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3、负责运行安全。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1.办公区、接待室、二楼社教活动室（会议室）、展区、库房、中控室、配电间等房屋地面、墙台面及吊顶、门窗、楼梯、通风道等日常养护维修管理。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2.每日做好建筑及装饰系统巡检工作，并作记录，掌握建筑及装饰系统当前的状态。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天对卫生间的五金件、装置等检查一次。每周对建筑的柱、梁、沉降缝、装饰区域的吊顶、地面、墙面、天花板、门窗、楼梯踏步、扶手目测检查一次，发现问题及时处理维修。因使用不当造成结构局部受损较轻，按房屋修缮规定实施维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月对屋面泄水沟进行一次检查、清扫，确保泄水通畅；每半年检查一次伸缩缝，在台汛季节来临之前必须检查一次。在台汛季节，每周进行一次检查清扫。每季度对墙体进行一次检查，确保屋面无渗漏。每半年对墙壁脱落维修一次，每半年对井盖编号刷漆一次，每年汛期前对井内堆积物清理一次。每年对室外木结构构件进行一次清洁、保养、油漆修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1、负责特种设备的维护和保养工作，制定相应的运行维护保养计划，进行日常检查、维护、检修和保养作业，并作出记录；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2、执行相关方面的法律、法规和规范，满足其执法、检查方面要求；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3、负责运行安全。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特种设备：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1.特种设备包括但不限于：电梯、搬运设备、登高设备、其它设施；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2.负责对特种设备进行维护、保养和具体操作，必要时配合外协单位使用管理；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3.建立维修巡查制度，且有巡查记录；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4.建立日常巡视及定期保养结合制度。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管理是指对管辖区域内的建筑设备设施管理在日常运行管理过程中的基础管理工作，主要包括：技术资料管理、固定资产管理（设备台账）、备品备件工程物料管理、供方管理、员工培训、计划管理、成本管理、其他专项管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6" w:type="dxa"/>
            <w:vAlign w:val="top"/>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环境卫生保洁管理服务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室内保洁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室内保洁内容：</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主要包括：1.展区公共区域、报告厅、文创商店、社教活动区域清洁；2.办公区、接待室、二楼社教活动室（会议室）；3.藏品区、库房清洁；4.监控室、机房清洁； 5.卫生间；6.电梯、楼道、7.保洁、保安值班室；8.其他公共设备设施清洁。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室内保洁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展区公共区域、报告厅、文创商店、社教活动区域：地面无浮灰、无水迹、无污渍、地面光亮、平滑；玻璃及镜面无污迹、水迹、污垢、表面洁净明亮；垃圾桶内外侧无浮灰、无污渍、无水迹，无锈迹，及时更换垃圾袋。</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办公区、接待室、二楼社教活动室（会议室）：无浮灰、无异味，地面光亮、无污渍；玻璃及镜面无污迹、水迹、污垢、表面洁净明亮；垃圾桶内外侧无浮灰、无污渍、无水迹，无锈迹，及时更换垃圾袋；木器家具色泽均匀光亮，无污迹，无手印，无蜡迹；地毯无缩水、褪色、污点、变形、损坏，清洗后色泽均匀，鲜亮，无色差。</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3.藏品区、库房清洁：根据相关职责部门的工作要求进行清洁。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4.监控室、机房清洁：由使用条线人员进行清洁，并遵守相应管理制度。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卫生间：顶部天花板表面色泽均匀、无积灰；大理石墙面无灰尘、无印迹、无污垢、表面光洁明亮；小便器及马桶表面无灰尘、无印迹，瓷釉色泽光亮、无损伤；地面表面无灰尘、无水迹、无污垢，色泽光亮；地漏无污渍、无异味、反光均匀；及时更换卷纸、洗手液、擦手纸，对各类洁具进行日常消毒，定时巡视保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6.电梯、楼道：操作面板、不锈钢墙面无灰尘、无印迹，无污渍，色泽均一；楼道整洁。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7.保洁、保安值班室：地面干净，无浮灰、无水迹、无污渍，更衣箱每日清洁，表面无灰尘，无水迹、印迹，光亮清洁。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8.茶炉、净水器等其他公共设备设施：制定计划定时、定点、定人进行清洁和消毒，类金属表层或表面使用专用保洁剂或防锈处理，保持光亮洁净。</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9.每日清洁以上室内保洁内容，做到杂物、废弃物及时清理，垃圾不隔夜，对人员出入频繁之地，进行不间断巡视保洁。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室外保洁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建筑外立面石材、木质屋廊檐立柱、玻璃门窗清洁、机动车库出入口顶棚进行保洁。保洁要求：石材光洁，无青苔、无积灰，无锈迹；木廊檐立柱无积灰，光洁；棚玻璃无积灰，光亮。清洗过程中发现有破坏之处视情况立即予以修复处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2.外围广场、台阶、道路及车库：按计划定期清洁。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3.亲水平台水域：每日用打捞网进行垃圾打捞，水体无杂物、无异味，开馆期间做好巡视保洁。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4.其他公共设施设备需制定计划，按时按需进行清洗。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绿化养护内容：</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包括室内外绿化养护、活动或节假日的绿化布置、绿化养护人员的管理。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绿化养护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1.室内绿化养护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外观叶片光泽，花朵鲜艳；土壤表层无杂物、无枯叶；叶子健壮，叶色正常。根据博物馆需要，合理布局，均匀，疏密有度，盆栽植物的色彩、形态和气质应与空间大小、装饰氛围及功能相协调。室内盆栽应选用无毒、无害、无味、园艺型肥料、严格控制病虫害，发现病变、虫害、枯萎应及时更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2.室外绿化养护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地或花坛内乔灌木、草类及北门清水平台水域荷花养殖等，绿化存活率100%，绿地设施及硬质景观保持常年完好。植物群落完整，层次分明，土壤不裸露，有整体的观赏效果。植物四季分明，色彩艳丽，生长茂盛。</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3.室外绿化养护制定详细的绿化养护实施方案，应由专业养护工进行，持证上岗，定期修剪，保证绿化、苗木、盆花的正常生长。</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4.建立完善绿化养护管理档案，责任落实到人，制定具体的考核制度，实行巡查制度，发现问题及时反馈并要求修复或整改，定期总结、分析，对档案进行分类归档。</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垃圾清运内容</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包括生活垃圾清运，建筑垃圾清运，各类电子危险废弃物处置及垃圾中转管理。</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1.在展区、办公区域、外围公共部位合理放置垃圾箱。</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2.垃圾实行袋装化，由保洁专员视垃圾量进行循环清理，垃圾收集后直接送至社区垃圾点，从而达到更高层次的环保效果。</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3.按照博物馆施工管理办法，建筑垃圾袋装后督促施工单位运出博物馆，并做好现场监管。</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4.所有垃圾清运处理应符合盐城市有关法律、法规规定。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虫害治理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虫害治理内容</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主要包括：鼠害控制、白蚁控制、蚊、蝇控制、蟑螂控制、跳蚤控制、其他虫害控制，科学有效地进行卫生消毒。对地区特异性的虫害做好预先防控措施。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虫害治理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1.灭鼠、灭蚊、灭苍蝇、灭蟑螂达到行业规定的标准。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2.定期科学有效地对办公区、展区及外围绿化带进行消杀工作。所选用的药剂和器械保证对人类及其他动植物及环境的危害是最低的，注重科学合理用药，不使用国家禁用药品。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3.对参与实施消杀服务的员工必须进行消杀理论和实际操作的培训和考核。保洁部具体负责此项工作的监管及验收工作。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卫生防疫</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卫生防疫的内容：</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包括公共卫生防疫、群发性疫情防治等。</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卫生防疫</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1.博物馆区域及外围绿化及车库应有明确划分，建立责任区，需由专人负责，使卫生管理工作保持经常化。环境卫生定期检查并形成记录，发现问题限期改正。</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2.定期对公共设施设备进行消毒处理，定期对博物馆内空气环境进行通风。</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3.在流行病情突发季节，采取有效措施，加强卫生防疫工作。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其他环保工作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其他环保工作内容</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主要包括大型活动现场环境保护工作及灾害性气候造成的环境工作等。</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其他环保工作</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1.对大型活动现场进行巡视保洁，使现场能保持地面干净整洁。针对灾害性天气的预防措施，对灾害性天气造成的环境破坏及时清理及复原。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2.配合博物馆及其他相关部门的环境保洁需求。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6"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安全管理服务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（一）安保工作的现场管理分为内保条线和外保条线两个部分。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其中内保条线主要负责滨海县博物馆开馆运营时段场馆内部的秩序维护工作，包括但不限于开馆前与外保条线的场馆（展区）交接、观众安检、区域秩序维护、区域客流管理、突发事件应急处置、闭馆联合清场、闭馆时与外保条线场馆（展区）交接以及消防管理等。内保条线人员实行峰值配置，以便集中人力资源做好开馆运营时段的安全保障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保条线主要负责开馆运营时段场馆外部的秩序维护工作，包括但不限于开馆前与外保的场馆（展区）交接、场馆门岗管理、交通管理、停车管理、馆外区域的客流管理、突发事件应急处置、闭馆联合清场、闭馆时与内保交接，消防管理、24小时的监控中心管理以及闭馆后的整体安全管理。外保条线人员实行最精简配置，以保障客流谷值阶段场馆安保需求为目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3.馆方安全保卫部交办的其他任务。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（一）配合馆方安保和消防系统维保方日常维护和维修，负责系统全面的日常维护和检查，保证24小时正常运行。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消防安全巡检，填写防火巡查记录。每个轮班安排专人对全馆区域，实行消防安全巡视检查，巡视频次、路线安排及质量要求由安全保卫部设定。每月对馆内所有消防设施进行全面抽查，同时填写《滨海县博物馆消防安全检查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消防设备器材管理。安保安排专人对全馆消防设备、器材实行周期性全覆盖巡视，巡视频次、巡视范围及质量要求由《消防设备器材巡检管理办法》设定。消防设备、器材巡检可与消防安全巡检相结合互动实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动火审批制度。动火审批共分三级分别是特级、一级和二级。其中特级和一级审批需安全保卫部批准方可实施，动火单有效时限为24小时，超时需重新审批。二级动火物管中心即刻审批，最长时效为一周，超时需重新审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消防应急处理流程和火灾应急预案。内容可包括突发事件发生后组织内部的报告流程、应急处理流程、各级消防组织应急响应流程、火灾发生后扑救方法、人员、物资疏散方法、医疗救助方法、指挥部与现场通讯联络的方法以及相关的后勤保障措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安检服务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常设展区散客人工、电子检票服务以及团队检票服务；负责提供观众基本参观指引；负责检票数据和观众流量统计；协助保洁员做好检票入口环境工作；负责对扫描仪、闸机等设备日常维护，保证机器能正常使用；负责其他与检票服务有关的服务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1.机动车辆管理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滨海县博物馆工作车辆停放于博物馆地下停车库。观众车辆、服务供方车辆停放至地下停车库或室外停车位。做好车库出入口的指引和车辆现场管理，确保人员安全。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2.非机动车辆管理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停入非机动车车位。自助电动车辆均不得进入馆区、沿靠馆舍建筑停放或拉线充放电。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1.日常安全生产工作的检查、监督、跟进及现场施工区域的安全防范，提出不符合安全要求的整改意见。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2.施工方安全责任书的签订，施工许可证的下发，施工证及其他相关手续的办理，特殊工种证件的查验，确保现场符合安全生产要求。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客流高峰管理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1.秩序维护，包括外围、安检区、展区、报告厅、车库、出入口等。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2.开启备用出入口，疏导人群。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3.疏导车辆。及时同公安、交警部门联系，争取支持。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专项活动安全保障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制定专项活动安全保障制度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1.专项活动实施前的各项安全确保，隐患排除。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2.活动前各安保岗人员就位，责任明确。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3.车辆及停放线路按制定的要求完成。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4.控制活动区域内无关人员的进入及现场秩序的维护。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5.贵宾、嘉宾等参加活动线路的引导。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6.贵宾、嘉宾、观众活动过程中的各项安全保障。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7.安保队伍整体的协调联络，确保信息的畅通。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8.整个活动区域内的安全保障，防止意外事件的发生。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9.活动结束或散场后的现场安全控制。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10.活动变化情况下，由安全保障负责人统一指挥。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藏品库房及重点区域管理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制定藏品库房及重点区域相关管理制度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1.保持藏品库房及重点区域通道的畅通。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2.易燃易爆物严格按标准存放管理。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3.藏品库房区及重点区域在监控系统可控范围内。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4.制定防火、防盗等相关应急预案。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5.做好库房文物和展品布展、撤展搬运路线中安全监管。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6.严格按照重点区域专人管理规定。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7.遵守保密制度，严守工作内容。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8.掌握库区及重点区域防火、初期灭火、应急逃生能力。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危险物品管理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全馆区域内可能涉及使用的易燃、易爆等化学危险品（如酒精、柴油、汽油、油漆等）进行安全管理。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防台防汛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预案管理和演练，应急物资的日常检查，按要求将应急物资存放到位，确保应急物资在第一时间的使用和使用的可靠性，确保应急人员响应的整体性、有效性，确保防汛防台过程中人员安全，做好防汛防台人员数清点，财产损失初步统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6"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专项服务（包括不限于）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后勤保障服务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各类配套服务（如教育活动、上级部门的安排活动等）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每次活动信息接收、相关活动资源准备、活动服务、讲解服务、签字服务、电梯服务、引位服务。重要接待前，应对各物业服务区内的设备进行检查，确保运行；提供会议接待区的配套服务。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包括：1.礼仪服务、桌椅布置、席卡、物品寄放、环境保洁等。藏品及一般货物的打包、装箱、搬运，征集品搬运工作。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2.电话咨询服务（9:00~17:30）报刊、杂志、信件、包裹等收发、派送服务。其他有关服务。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临展区域、大型活动、场地租赁服务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制定临展区域、大型活动、场地租赁服务人员配置方案；临展服务人员培训；配合招标人临展布置及策划；临展活动现场管理，秩序维持，安全保卫，观众接待、贵宾接待、参观人数统计；临展期间媒体接待服务，包括媒体参观、媒体访问、媒体拍摄、媒体会议等会务服务及特殊会议接待服务；及时提供临展期间安全、清洁、设备等保障工作，服从招标人安排、指导和管理，做到全方位服务保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饮用水服务（接待室、茶歇区、水房）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定时提供饮用水服务，确保足够水量。做好茶歇区、水房热水供应保障、及时提供热水供应定期对饮用水设备进行清洗、消毒，确保博物馆方健康饮水做好室内饮水设备的维护保养工作、定期、定时检查设备，保养设备、更换耗材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前台工作内容：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导览服务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主要负责对观众进行人工导览服务，做好管辖区域内的其他相关服务保障、客流疏导等工作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前厅咨询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馆内相关部门提供的具体内容，了解并熟练掌握馆内展览信息、服务信息、开放信息等相关内容，做好现场咨询服务工作；负责提供有关参观内容的电话咨询服务；负责提供馆内信息和各类便民服务的广播服务；负责落实收集、传递和摆放各类宣传资料服务，并做好宣传资料发放台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寄存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负责寄存领取服务、遗失物管理、自助寄存柜、轮椅等便民服务。负责检查各项器材完好无损，确保其能正常使用等。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报告厅工作内容：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报告厅服务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1.报告厅预约码验证服务。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2.观影物品发放及回收。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3.引导服务。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4.讲解服务。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5.场次间的清洁服务及每周例行的保洁服务。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6.相关数据统计。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7.现场的秩序维护。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8.区域的设备保护。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9.面对观众的现场接待。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10.突发事件的应急处理。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11.做好服务人员平时的管理及培训工作。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12.其他工作。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讲解员、展项服务内容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讲解员（社教老师）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1.熟练进行团队、散客观众的中文全程讲解，区域定时定点讲解，临时展览讲解，情景讲解等；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2.游客服务中心讲解引导咨询，热情、耐心回答观众服务的相关咨询，进行讲解设备的发放、回收，做好讲解公示栏的日常管理，及其他与教育活动有关的服务；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3.精心准备并参加各类讲解比赛，包括稿件撰写、PPT制作等全部工作；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全面参与社会教育工作，包括临展、常设展、巡展讲解词编写、更新，各类教育活动策划、实施，课程编写、科普授课、学生指导，讲解直播、讲解视频拍摄，博物馆组织的学习交流活动，观众意见征询和收集，以及其他社会教育部交办的其它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5.讲解质效和讲解员技能每年不断有提升，能满足博物馆讲解接待服务需求。</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1.引导观众安全有序参观，热情、耐心、细致地回答观众的问题，及时发现并阻止不文明行为、破坏性操作或恶意操作，及时排除安全隐患；</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2.指导观众正确操作，向观众讲解及操作演示互动展项；</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3.做好所负责展项、展区的设备检查和巡检工作，发现问题和故障及时按流程报修或报告；</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4.做好社教活动空间、报告厅等教育活动区域管理，包括但不限于活动的签到、秩序的维护、物料的准备、课程的教授、音响及投影等多媒体设施设备的准备，以及事后的空间整理和基本清洁工作。</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5.按博物馆要求完成日常团队手工活动材料的申领、准备、现场教授，以及部分情况下的发放；指导教授散客手工活动，以及物料定期盘点等工作；</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6.按博物馆要求，在开展常规教育活动，以及临时性安排的各类教育活动时，配合做好后台系统信息录入、报名核销、秩序维护、外出支持，以及部分手工课程的教授等；</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7.建立相关培训机制，能熟练进行常设手工制作指导，且不随人员流动而影响活动的正常开展；</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8.做好博物馆交办的其他工作任务。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6"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其他管理（包括但不限于）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建立正常阶段的物业管理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阶段的物业管理立足于全方位物业管理与服务，包括物业机构自入驻以后，对前期阶段未涵盖的物业管理内容，以及前期阶段以后应实施的全部物业管理内容。正常阶段的管理分为一般性管理服务和其他管理服务，具体内容如下：</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一般性管理服务内容：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一般性管理服务系指为招标人、用户提供普遍的管理服务，具体如下：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a.受理业主报修；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b.提供邮政服务，为业主分发投递邮件和发放报刊；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c.提供每日必需的饮用水量，定期对饮水机进行消毒。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对外协调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与业主相关单位的联系、沟通等工作。包括但不限于：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a.与各单位施工的衔接和管理。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b.配合处理游客投诉。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c.业主交办的其他事项。</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对物业管理范围内发生施工的衔接和管理，内容如下：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a.提供施工必要的前置条件说明及必须遵守的规定说明：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b.办理施工临时用电、动火和货梯专用手续；提供施工区域的物业安全巡查；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c.对施工涉及的必要防护措施、安全措施、工程施工等实施监督；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d.协助办理馆内施工申请单，负责施工人员出入管理；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e.指定施工方垃圾集中存放场所；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f.配合业主对施工项目的验收。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安排环境导向指示管理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制作各类会标、背景板、指示牌、警示牌、告示牌、通知等各类标识。安置现场导向指示牌、告示牌及各种导向标记；定期对导向指示牌及各种标记予以清洁，保持明晰。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物业档案资料的管理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档案管理内容包括：修订房屋管理图册，每年更新；设有专人保存物业房屋建筑图纸、设备设施资料、装修改建图纸等历史资料，维护管理的连续性和规范化，便于房屋及设施设备的检查、维护、更新与业主的沟通、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a.工程档案：从接管开始的所有工程技术、维修、改造资料、各种竣工图及各类设施设备《用户手册》或《使用说明》以及各系统室外调试、测试报告、物业管理申请表等；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b.行政档案：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1）财务档案：逐年形成的财务收支报表、物业维修资金使用报表等，且需对业主提交；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2）文件档案：有关物业管理法规政策、公司文件等；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3）管理资料：历年合同资料、供货商档案；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4）日常工作（清洁、维修、保安、安保、值班、车辆管理等）的记录。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仓库管理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做好仓库管理的调换、存放、统计、管理等工作并对仓库等设施做常规性维修。</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（三）物业管理服务岗位需求表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1、人员岗位基本（最低）配置表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7"/>
        <w:gridCol w:w="632"/>
        <w:gridCol w:w="1666"/>
        <w:gridCol w:w="877"/>
        <w:gridCol w:w="1086"/>
        <w:gridCol w:w="1012"/>
        <w:gridCol w:w="1031"/>
        <w:gridCol w:w="767"/>
      </w:tblGrid>
      <w:tr>
        <w:trPr>
          <w:trHeight w:val="10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岗位数（个）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设岗时间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岗位配置人数（人）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岗位人数小计（人）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关键岗位</w:t>
            </w:r>
            <w:r/>
          </w:p>
        </w:tc>
      </w:tr>
      <w:tr>
        <w:trPr>
          <w:trHeight w:val="1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公众服务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讲解员（序厅前台、茶歇区前台、文创区售卖、观众引导、社教老师）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关键岗位</w:t>
            </w:r>
            <w:r/>
          </w:p>
        </w:tc>
      </w:tr>
      <w:tr>
        <w:trPr>
          <w:trHeight w:val="1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设施设备管理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多媒体工程师（包括多媒体设施设备、“智慧博物馆”运维等）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关键岗位</w:t>
            </w:r>
            <w:r/>
          </w:p>
        </w:tc>
      </w:tr>
      <w:tr>
        <w:trPr>
          <w:trHeight w:val="10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水电维修工（包括暖通、电梯运行管理及其它综合维修）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关键岗位</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环境保洁管理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正门厅、序厅引导员兼保洁员（队长）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关键岗位</w:t>
            </w:r>
            <w:r/>
          </w:p>
        </w:tc>
      </w:tr>
      <w:tr>
        <w:trPr>
          <w:trHeight w:val="10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临展厅、报告厅、一楼过道引导员兼保洁员（包括办公区、卫生间）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展厅1、2单元引导员兼保洁员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展厅3、4单元引导员兼保洁员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展馆外围、地下停车场、二楼区域保洁员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秩序维护管理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正门入口保安（保安队长）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关键岗位</w:t>
            </w: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北门安检(常日班）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关键岗位</w:t>
            </w:r>
            <w:r/>
          </w:p>
        </w:tc>
      </w:tr>
      <w:tr>
        <w:trPr>
          <w:trHeight w:val="10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序厅、临展厅、报告厅一楼过道及巡管保安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展厅1、2单元保安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展厅3、4单元保安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二楼公共空间、第五单元展厅保安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夜间保安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晚间17:30点-次日早间9:00点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关键岗位</w:t>
            </w:r>
            <w:r/>
          </w:p>
        </w:tc>
      </w:tr>
      <w:tr>
        <w:trPr>
          <w:trHeight w:val="10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外保巡逻、馆区外围、地下停车场及室外停车场秩序维护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上午9点-下午17:30点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消防设施操作员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0点-24点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开放时段须为双人双岗</w:t>
            </w:r>
            <w:r/>
          </w:p>
        </w:tc>
      </w:tr>
      <w:tr>
        <w:trPr>
          <w:trHeight w:val="54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本项目服务岗位数不少于25岗，投标人承诺完全响应招标文件中《人员岗位基本（最低）配置表》要求，且各岗位人员配备数量不得少于项目需求《人员岗位基本（最低）配置表》中要求人数。（提供相关承诺书，格式自拟，加盖公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2、节假日、大客流、大型活动等工作增加岗位需求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假日、大客流、大型活动专指：元旦、春节、清明、五一、端午、国庆、中秋等国家规定的公共假期，以及博物馆日、学生春秋假和寒暑假、采购人规定的延时开放日等活动和学生团队大客流期间（采购人有权在合同实施过程中对该项内容进行适当调整，调整内容包含但不限于公共假期、大型活动等客流期间人员及岗位安排，中标供应商需无条件配合，费用包含在中标总价之中）。投标人制定日常及节假日客流情况岗位配置方案。</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6"/>
        <w:gridCol w:w="1243"/>
        <w:gridCol w:w="2356"/>
        <w:gridCol w:w="2160"/>
        <w:gridCol w:w="2010"/>
      </w:tblGrid>
      <w:tr>
        <w:trPr>
          <w:trHeight w:val="8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（最低配置）岗位数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社会教育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社教活动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大客流及社教活动时期，易出现人手短缺问题，目前通过志愿者的方式增加服务力量，但志愿者出勤不具有稳定性。</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开放管理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团队接待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大客流时团队众多，需要增加人手</w:t>
            </w:r>
            <w:r/>
          </w:p>
        </w:tc>
      </w:tr>
      <w:tr>
        <w:trPr>
          <w:trHeight w:val="1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南侧出入口及2楼开放平台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北侧入口防爆岗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遇重要团队或重大活动时，临时增派力量</w:t>
            </w:r>
            <w:r/>
          </w:p>
        </w:tc>
      </w:tr>
      <w:tr>
        <w:trPr>
          <w:trHeight w:val="6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文物运输出入口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遇常设展和临展更新，文物点交出入时，临时增派力量。</w:t>
            </w:r>
            <w:r/>
          </w:p>
        </w:tc>
      </w:tr>
      <w:tr>
        <w:trPr>
          <w:trHeight w:val="5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3、人员配置标准</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649"/>
        <w:gridCol w:w="1402"/>
        <w:gridCol w:w="2931"/>
        <w:gridCol w:w="2078"/>
        <w:gridCol w:w="1176"/>
      </w:tblGrid>
      <w:tr>
        <w:trPr>
          <w:trHeight w:val="7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人员主要要求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特殊物业需求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2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及以下，大专及以上学历；责任心强；具有公众物业管理经验3年及以上，从事过类似规模文化场馆物业管理的工作，并拥有成功管理经历；具有很强的组织管理能力和协调能力；熟悉物业管理和国家有关法律法规；身体健康，能承受工作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公众服务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讲解员（序厅前台、茶歇区前台、文创区售卖、观众引导、社教老师）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1、本科及以上学历，历史、中文、教育、新闻专业优先；</w:t>
              <w:br/>
              <w:t xml:space="preserve">2、普通话水平达二级甲等及以上水平，年龄在35周岁及以下，男性身高170cm及以上，女性身高160cm及以上，形象气质佳；</w:t>
              <w:br/>
              <w:t xml:space="preserve">3、具备中文、外文双语或手语讲解能力或其他条件特别优秀的讲解员学历可放宽至全日制大专。</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07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须经由博物馆方公开招聘考试考核，择优上岗</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7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与序厅前台、茶歇区前台、文创区售卖、观众引导、社教活动统筹使用</w:t>
            </w:r>
            <w:r/>
          </w:p>
        </w:tc>
      </w:tr>
      <w:tr>
        <w:trPr>
          <w:trHeight w:val="35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1、掌握并熟练讲解所有展区的讲解内容，向参观团队发放讲解耳机和相关讲解设备的日常维护；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2、能向观众讲解及操作演示互动展项，并指导观众正确完成操作；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3、能引导观众安全有序参观，热情、耐心、细致地回答观众的问题，及时发现并阻止观众不文明行为、破坏性操作或恶意操作，及时排除安全隐患；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4、掌握一定的手工技能、资料搜集整理能力，能教授社教常用手工及相关课程的课件编写；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做好社教区域管理：按博物馆要求，在开展常规教育活动，以及临时性安排的各类教育活动时，配合做好后台系统信息录入、报名核销、秩序维护，完成活动材料的申领、准备、发放，以及部分课程现场授课指导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6、配合馆方建立相关讲解人员、志愿者培养机制，不随人员流动而影响讲解服务和社教活动的正常开展；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7、做好办公室交办的其它工作任务。</w:t>
            </w:r>
            <w:r/>
          </w:p>
        </w:tc>
        <w:tc>
          <w:tcPr>
            <w:vMerge w:val="continue"/>
            <w:textDirection w:val="lrTb"/>
            <w:noWrap w:val="false"/>
          </w:tcPr>
          <w:p>
            <w:r/>
            <w:r/>
          </w:p>
        </w:tc>
        <w:tc>
          <w:tcPr>
            <w:vMerge w:val="continue"/>
            <w:textDirection w:val="lrTb"/>
            <w:noWrap w:val="false"/>
          </w:tcPr>
          <w:p>
            <w:r/>
            <w:r/>
          </w:p>
        </w:tc>
      </w:tr>
      <w:tr>
        <w:trPr>
          <w:trHeight w:val="3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设施设备管理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多媒体工程师（包括多媒体设施设备、“智慧博物馆”运维等）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1、大专及以上学历，身体健康，工作责任心及服务意识较强。</w:t>
              <w:br/>
              <w:t xml:space="preserve">2、具备电脑及周边设备的操作、维修能力。</w:t>
              <w:br/>
              <w:t xml:space="preserve">3、熟悉各类主流多媒体展示设备的使用特点和应用技术及维修能力。包括但不限于多媒体系统、互动展项、报告厅设备日常巡检、保养、维修；软件维护、系统调试、故障排查、备件更换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记录设备台账、运行参数、维修日志等。</w:t>
              <w:br/>
              <w:t xml:space="preserve">4、2年及以上多媒体设备、中控、音视频等相关工作经验，能独立排查多媒体故障并解决问题。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协助配合设备设施维修及更新改造工程管理工作；协助博物馆网站管理及公众号、视频号运营；协助社教及其它活动现场组织及音视频拍摄制作。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水电维修工（包括暖通、电梯运行管理及其它综合维修）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1、身体健康，具有5年及以上水电相关专业从业经验，实战经验丰富，专业技术能力及沟通协调组织能力强。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2、熟悉物业电梯、暖通、制冷与空调等设备操作技能。</w:t>
              <w:br/>
              <w:t xml:space="preserve">3、具有低压电工证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1.协助大修及更新改造工程管理工作。</w:t>
              <w:br/>
              <w:t xml:space="preserve">2.协助配合业主方负责物业管辖范围的博物馆建筑维护、展区灯光系统运行维护等专项设备运维管理及场馆日常综合维修工作。</w:t>
              <w:br/>
              <w:t xml:space="preserve">3.其中，暖通、电梯、制冷与空调等设备的日常运维修理，可委托符合资质要求的专业公司或熟练掌握电梯、暖通、制冷与空调等设备物业操作技能且持有作业上岗证的专业人员进行。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委托第三方公司或维保人员进行相关设备维保服务的，须报经博物馆核准。</w:t>
            </w:r>
            <w:r/>
          </w:p>
        </w:tc>
      </w:tr>
      <w:tr>
        <w:trPr>
          <w:trHeight w:val="9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环境保洁管理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正门厅、序厅引导员兼保洁员（队长）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身体健康，45周岁及以下，具有相关保洁和管理经验。有较强的沟通、协调能力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临展厅、报告厅、一楼过道引导员兼保洁员（包括办公区、卫生间）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身体健康，45周岁及以下，具有相关保洁经验。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展厅1、2单元引导员兼保洁员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身体健康，45周岁及以下，具有相关保洁经验。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展厅3、4单元引导员兼保洁员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身体健康，45周岁及以下，具有相关保洁经验。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展馆外围、地下停车场、二楼区域保洁员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身体健康，55周岁及以下，具有相关保洁经验。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秩序维护管理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正门入口保安（保安队长）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无犯罪记录、身体健康、55周岁及以下，有较强的沟通、协调能力；持有公安部颁发的《保安员证》；相关工作经验5年及以上。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北门安检(常日班）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无犯罪记录、身体健康、55周岁及以下；持有公安部颁发的《保安员证》；相关工作经验1年及以上。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序厅、临展厅、报告厅一楼过道及巡管保安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无犯罪记录、身体健康、55周岁及以下；持有公安部颁发的《保安员证》；相关工作经验1年及以上。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展厅1、2单元保安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无犯罪记录、身体健康、55周岁及以下；相关工作经验1年及以上；持有公安部颁发的《保安员证》。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展厅3、4单元保安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无犯罪记录、身体健康、55周岁及以下；相关工作经验1年及以上；持有公安部颁发的《保安员证》。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二楼公共空间、第五单元展厅保安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无犯罪记录、身体健康、55周岁及以下；相关工作经验1年及以上；持有公安部颁发的《保安员证》。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夜间保安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无犯罪记录、身体健康、55周岁及以下；相关工作经验1年及以上；持有公安部颁发的《保安员证》。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外保巡逻、馆区外围、地下停车场及室外停车场秩序维护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无犯罪记录、身体健康、55周岁及以下；相关工作经验1年及以上；持有公安部颁发的《保安员证》。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消防设施操作员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55周岁及以下；无犯罪记录、身体健康；相关工作经验1年及以上。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四、物业管理服务期限（合同）及费用结算方式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4.1物业管理服务期限为：</w:t>
      </w:r>
      <w:r>
        <w:rPr>
          <w:rFonts w:ascii="SimSun" w:hAnsi="SimSun" w:eastAsia="SimSun" w:cs="SimSun"/>
          <w:b/>
          <w:color w:val="000000"/>
          <w:sz w:val="24"/>
          <w:u w:val="single"/>
        </w:rPr>
        <w:t xml:space="preserve">一年合同期满后，若乙方年度考核结果为优秀、服务满意度不低于80%，且项目年度预算无调整，经招标人书面确认同意后，双方可续签下一服务年度合同，总服务期不得超过两年。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4.2费用结算：物业管理服务费按季度支付，支付比例分为30%、20%、25%、25%。其中常规设备维护费、材料物耗费 43 万元为不可竞争费，已包含在物业服务总费用内，不纳入上述季度支付比例分配，实行预决算制，使用前须经采购人批准，按实结算，审核确认后在对应季度服务费中一并支付，年度累计不超过 43 万元。</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在合同签订后，按照合同约定向采购人提供履约保函，待财政资金到账后，采购人全额支付第一季度物业管理费。第二季度物业管理费由采购人对上一季度考核确认，报经县政府、县财政局、县文广旅局经费支出流程审定审批后(一般约20-30个工作日)支付当季度实际物业管理服务费。中标人在履行完合同约定的全部义务且考核合格后，采购人将履约保函退还给中标人。采购人有权根据中标人的现场服务情况，在服务期内对考核办法进行调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4.3物业管理费以一个自然年度作为预算周期进行测算。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五、报价说明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本项目总预算为225万元/年，最高限价224.56万元/年，报价超出预算及最高限价将不被接受。其中</w:t>
      </w:r>
      <w:r>
        <w:rPr>
          <w:rFonts w:ascii="SimSun" w:hAnsi="SimSun" w:eastAsia="SimSun" w:cs="SimSun"/>
          <w:b/>
          <w:color w:val="000000"/>
          <w:sz w:val="24"/>
          <w:u w:val="single"/>
        </w:rPr>
        <w:t xml:space="preserve">常规设备维护费及材料物耗费（43万元）为不可竞争费。</w:t>
      </w:r>
      <w:r>
        <w:rPr>
          <w:rFonts w:ascii="SimSun" w:hAnsi="SimSun" w:eastAsia="SimSun" w:cs="SimSun"/>
          <w:color w:val="000000"/>
          <w:sz w:val="24"/>
        </w:rPr>
        <w:t xml:space="preserve">投标企业应充分考虑市场变化因素，避免经营风险。本项目物业管理费用应当是指招标文件中说明的全部物业管理服务内容的报酬，其中必须包括人员费用、各类委托服务费用、暂定费用、保险费用、其他投标人认为必要的费用、利润、税金及其他任何有关的费用。物业管理服务费具体包括但不限于人员运营费用（包括但不限于任何形式的工资、加班费、夜班费、值班费、差旅费、工伤、保险等与人工有关的一切费用及人工风险、通勤费、保险、劳保等一切人工费用、人员运营费。如遇节假日、大客流、大型活动等，采购人有权在合同实施过程中对人员、岗位进行适当调整，</w:t>
      </w:r>
      <w:r>
        <w:rPr>
          <w:rFonts w:ascii="SimSun" w:hAnsi="SimSun" w:eastAsia="SimSun" w:cs="SimSun"/>
          <w:color w:val="000000"/>
          <w:sz w:val="24"/>
        </w:rPr>
        <w:t xml:space="preserve">相关费用已包含在物业服务费用中）、建筑设备设施维修维护保养及日常物耗费用、公众服务保险、通讯网络及日常物耗费用、环境保洁保绿维护保养及日常物耗费用、秩序维护日常物耗费用、招标文件中规定的及合同约定的全部物业管理服务内容的报酬、办公费用、绿化养护费用、清洁卫生费用、秩序维护费用、其他专项费用、各类物耗、各类委托服务费用、保险费用、管理费、利润、税金及其他任何与本项目有关的费用、包括合同明示或暗示的所有责任、义务和一切风险费用、包括投标文件承诺的各种服务费用、政策性文件规定及本项目、合同中所包含的所有责任、义务</w:t>
      </w:r>
      <w:r>
        <w:rPr>
          <w:rFonts w:ascii="SimSun" w:hAnsi="SimSun" w:eastAsia="SimSun" w:cs="SimSun"/>
          <w:color w:val="000000"/>
          <w:sz w:val="24"/>
        </w:rPr>
        <w:t xml:space="preserve">和所有风险、责任等各项费用和一切成本费用。投标方不得以任何理由要求采购人增加本项目任何费用。投标报价必须是唯一的。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物业管理服务成本包括但不限于以下内容：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5.1.1人员工资包括但不限于基本工资、岗位工资、绩效工资等所有工资性支出。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5.1.2人员福利包括但不限于人员社保和住房公积金、服装劳防、高温津贴、雇主责任险、法定假日加班工资、体检费及培训费等福利性支出。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5.1.3企业管理费及计划利润。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5.1.4法定税费。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5.1.5常规设备维护费、材料物耗费（不可竞争费）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常规设备维护费、材料物耗费作为不可竞争费已包含在本项目物业服务费用中，采购人无需另行支付。常规设备维护费、材料物耗费的使用采用预决算制，按实结算，不纳入物业管理服务费季度支付比例分配。中标单位使用前需申请并报采购人批准后方可使用。审核确认后在对应季度服务费中一并支付，年度累计不超过 43 万元。</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9"/>
        <w:gridCol w:w="7853"/>
        <w:gridCol w:w="231"/>
        <w:gridCol w:w="231"/>
      </w:tblGrid>
      <w:tr>
        <w:trPr>
          <w:trHeight w:val="69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03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常规设施设备维护费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电梯运维（含年检）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采用预决</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算制，按实按进度结算。</w:t>
            </w:r>
            <w:r/>
          </w:p>
        </w:tc>
      </w:tr>
      <w:tr>
        <w:trPr>
          <w:trHeight w:val="3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暖通系统运维（含清洗保养维修）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r>
      <w:tr>
        <w:trPr>
          <w:trHeight w:val="3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消防系统运维（含耗材）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r>
      <w:tr>
        <w:trPr>
          <w:trHeight w:val="3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安防系统运维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vMerge w:val="continue"/>
            <w:textDirection w:val="lrTb"/>
            <w:noWrap w:val="false"/>
          </w:tcPr>
          <w:p>
            <w:r/>
            <w:r/>
          </w:p>
        </w:tc>
      </w:tr>
      <w:tr>
        <w:trPr>
          <w:trHeight w:val="3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“智慧博物馆”系统运维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r>
      <w:tr>
        <w:trPr>
          <w:trHeight w:val="3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通讯网络运维（含固话）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r>
      <w:tr>
        <w:trPr>
          <w:trHeight w:val="3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室内外绿化养护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r>
      <w:tr>
        <w:trPr>
          <w:trHeight w:val="3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财产险（含公众责任险）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r>
      <w:tr>
        <w:trPr>
          <w:trHeight w:val="14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材料物耗费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材料物耗费内容（包括但不限于）：水电维修材料费、暖通设备维修材料费、建筑装饰维修材料费、保安物耗费、保洁物耗费、办公耗材费、值岗餐费等。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vMerge w:val="continue"/>
            <w:textDirection w:val="lrTb"/>
            <w:noWrap w:val="false"/>
          </w:tcPr>
          <w:p>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5.1.6投标企业认为与本项目管理服务相关的其他费用。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5.2本项目投标文件报价无交接费。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五、附件</w:t>
      </w:r>
      <w:r>
        <w:rPr>
          <w:rFonts w:ascii="SimSun" w:hAnsi="SimSun" w:eastAsia="SimSun" w:cs="SimSun"/>
          <w:color w:val="000000"/>
          <w:sz w:val="28"/>
        </w:rPr>
        <w:t xml:space="preserve">（具体考核办法、服务质量考核总表（季度考核表）由双方根据项目实际情况进一步细化完善，作为本合同履约考核依据。）</w:t>
      </w:r>
      <w:r/>
    </w:p>
    <w:p>
      <w:pPr>
        <w:ind w:left="0" w:right="0" w:firstLine="630"/>
        <w:jc w:val="center"/>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30"/>
        <w:jc w:val="center"/>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滨海县博物馆物业管理工作考核办法</w:t>
      </w:r>
      <w:r/>
    </w:p>
    <w:p>
      <w:pPr>
        <w:ind w:left="0" w:right="0" w:firstLine="630"/>
        <w:jc w:val="center"/>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（暂定）</w:t>
      </w:r>
      <w:r/>
    </w:p>
    <w:p>
      <w:pPr>
        <w:ind w:left="0" w:right="0" w:firstLine="55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第一条</w:t>
      </w:r>
      <w:r>
        <w:rPr>
          <w:rFonts w:ascii="FangSong" w:hAnsi="FangSong" w:eastAsia="FangSong" w:cs="FangSong"/>
          <w:color w:val="000000"/>
          <w:sz w:val="28"/>
        </w:rPr>
        <w:t xml:space="preserve">为加强滨海县博物馆（以下简称“甲方”）物业服务供方（以下简称“乙方”）的工作质量考核，体现有奖有惩的原则，统一规范考核标准，进一步提升物业服务供方的工作积极性，发挥其主观能动性，使其在物业服务过程中完善服务，特制定本办法。</w:t>
      </w:r>
      <w:r/>
    </w:p>
    <w:p>
      <w:pPr>
        <w:ind w:left="0" w:right="0" w:firstLine="55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第二条</w:t>
      </w:r>
      <w:r>
        <w:rPr>
          <w:rFonts w:ascii="FangSong" w:hAnsi="FangSong" w:eastAsia="FangSong" w:cs="FangSong"/>
          <w:color w:val="000000"/>
          <w:sz w:val="28"/>
        </w:rPr>
        <w:t xml:space="preserve">本办法制定依据如下：</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（一）《物业管理条例》、行业法律法规要求；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（二）滨海县博物馆制度汇编、滨海县博物馆各类突发事件应急预案汇编等；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（三）甲方各相关考核部门制定的考核内容。</w:t>
      </w:r>
      <w:r/>
    </w:p>
    <w:p>
      <w:pPr>
        <w:ind w:left="0" w:right="0" w:firstLine="551"/>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第三条 </w:t>
      </w:r>
      <w:r>
        <w:rPr>
          <w:rFonts w:ascii="FangSong" w:hAnsi="FangSong" w:eastAsia="FangSong" w:cs="FangSong"/>
          <w:color w:val="000000"/>
          <w:sz w:val="28"/>
        </w:rPr>
        <w:t xml:space="preserve">本办法涉及组织形式如下：</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（一）考核小组由甲方物业管理工作相关的部、室组成。负责对乙方进行考核；</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（二）物业管理部负责本考核办法的落实，包括日常管理及考核汇总等工作；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（三）各相关部门配合协助完成对本考核办法的落实；</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（四）考核小组组长由馆主要领导担任，负责考核的总体管理、监督及考核结果的审核；</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（五）考核小组副组长由馆分管领导担任，同时设考核小组工作人员3名，负责考核乙方的日常组织，考核信息、数据和结果的收集、整理和汇总等工作，形成考核结果。</w:t>
      </w:r>
      <w:r/>
    </w:p>
    <w:p>
      <w:pPr>
        <w:ind w:left="0" w:right="0" w:firstLine="55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第四条</w:t>
      </w:r>
      <w:r>
        <w:rPr>
          <w:rFonts w:ascii="FangSong" w:hAnsi="FangSong" w:eastAsia="FangSong" w:cs="FangSong"/>
          <w:color w:val="000000"/>
          <w:sz w:val="28"/>
        </w:rPr>
        <w:t xml:space="preserve">考核形式及考核指标如下：</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（一）考核形式分为季度考核及年度考核两种形式。</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（二）考核指标分为物业服务质量等。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 考核内容为：通用板块+各工作板块+保障配合板块。</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（四）季度考核内容如下：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1.季度考核实行扣分制，按考核项目合计扣分值。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2.考核组分别在《滨海县博物馆物业服务质量考核总表》中的通用板块、各工作板块及保障配合板块中实施考核。</w:t>
      </w:r>
      <w:r/>
    </w:p>
    <w:p>
      <w:pPr>
        <w:ind w:left="0" w:right="0" w:firstLine="57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考核组不定期对管辖工作条线的工作质量、在岗人数、在编人数进行监督检查，对不符合考核要求的情况要记录并在考核表中描述扣分原因、日期等要素。提交考核表时，考核人需签字盖章确认。乙方在收到考核组考核表时确认并签字盖章。</w:t>
      </w:r>
      <w:r/>
    </w:p>
    <w:p>
      <w:pPr>
        <w:ind w:left="0" w:right="0" w:firstLine="57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物业服务项目考核依据为本项目当年招标文件及签订的物业服务合同设定的人员及岗位数。考核组负责对物业服务单位每日提供的上岗人数进行核实，如发现有缺岗人员，则按照投标文件中日人员经费的两倍扣款（扣款公式：投标文件中年人均人员经费÷365天×2倍=扣款金额）。</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补充期限为30天，逾期未到岗，按照投标文件中月人员经费（投标文件中年人均人员经费÷12）的三倍扣款；扣款时限为自31日-60日累计扣款，同时，如果该期间人员补充到岗，前期扣除费用不返还；扣款金额由人员经费中扣除。</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收到非考核组直接对物业服务质量评价的，采用一事一报的方式，填写《物业服务质量反馈表》或在日常工作联系单的意见栏中反馈服务质量，由考核组统计汇总并统计入滨海县博物馆物业服务质量考核总表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6.考核人在每季度末完成考核汇总并形成每季度考核报告并上报馆领导。</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每季度考核报告将作为每季度物业费用的支付依据。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每季度考核扣分值×扣分对应金额=考核酬金扣款额，每1分对应考核金额为：人民币1000元。在每季度支付中扣除考核酬金扣款额后，将剩余的物业管理费支付给乙方。</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7.甲方考核小组以外的工作人员在工作中发现乙方的物业服务工作不符合相关要求的，可报告考核小组，由考核小组进行调查确认后，计入当季考核。</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8.甲方组织的任何形式检查，由考核组统一纳入考核，在检查中发现的问题在考核总表中实施考核。</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（五）年度考核评定：</w:t>
      </w:r>
      <w:r/>
    </w:p>
    <w:p>
      <w:pPr>
        <w:ind w:left="0" w:right="0" w:firstLine="705"/>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1.年度考核扣分值=季度考核扣分总数值÷4（总季度数）</w:t>
      </w:r>
      <w:r/>
    </w:p>
    <w:p>
      <w:pPr>
        <w:ind w:left="0" w:right="0" w:firstLine="705"/>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2.年度考核扣分值小于等于20分，为“优秀”，可续签第二年度物业管理服务合同。</w:t>
      </w:r>
      <w:r/>
    </w:p>
    <w:p>
      <w:pPr>
        <w:ind w:left="0" w:right="0" w:firstLine="705"/>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年度考核扣分值大于20分，小于等于30分的，为“合格”，甲方将要求乙方提交物业工作报告，并要求乙方提出物业服务工作改进方案，在得到甲方认可后签订第二年物业管理服务合同。</w:t>
      </w:r>
      <w:r/>
    </w:p>
    <w:p>
      <w:pPr>
        <w:ind w:left="0" w:right="0" w:firstLine="705"/>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 年度考核扣分值大于30分，为“不合格”，甲方有权不续签物业管理服务合同。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将人员流动列为年度考核依据。一般岗位年流动率超过人员总数16%的，扣3分；管理层及关键岗位年流动率超过人员总数8%的，扣5分。其中，包含因不符合岗位要求，采购人指定调出的人员数。每年，物业服务管理公司须向甲方提供年度人员流动情况报告。</w:t>
      </w:r>
      <w:r/>
    </w:p>
    <w:p>
      <w:pPr>
        <w:ind w:left="0" w:right="0" w:firstLine="705"/>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乙方在当年度中，如有违法违规行为、有重大违约行为或甲方认为其无法满足甲方管理要求的，甲方有权不续签物业管理服务合同，且不受上述考核结果的影响。同时，乙方应按合同约定承担相应的违约金，并赔偿甲方所受相应损失。本条约定适用于各阶段考核及各服务期间。</w:t>
      </w:r>
      <w:r/>
    </w:p>
    <w:p>
      <w:pPr>
        <w:ind w:left="0" w:right="0" w:firstLine="551"/>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第五条</w:t>
      </w:r>
      <w:r>
        <w:rPr>
          <w:rFonts w:ascii="FangSong" w:hAnsi="FangSong" w:eastAsia="FangSong" w:cs="FangSong"/>
          <w:color w:val="000000"/>
          <w:sz w:val="28"/>
        </w:rPr>
        <w:t xml:space="preserve">相关考核酬金支付方式如下：</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（一）考核酬金总额按当年招标文件规定及物业服务合同约定执行。考核酬金为单独项目，人员缺岗扣款在考核酬金外另行计算。</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（二）甲方于每季度首月根据月度考核结果支付考核酬金，每月酬金最高上限金额为甲乙双方约定的考核酬金总额，超过考核酬金总额部分甲方不予承担。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（三）每季支付考核酬金时，需将季度支付总金额经县政府、县财政局、县文广旅局经费支出流程审定审批确认后方可支付。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（四）每轮中标年度的第一季度考核酬金全额支付；当季季度考核成绩所涉扣分酬金金额，将在当季度中一并结算。</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（五）在合同服务期、考核期内，发生以下任何一种情况的，扣除当月的全部考核酬金，同时按本办法第四条第（四）项第6款执行。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1.发生重大人身伤亡事故；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2.发生重大责任事故（影响全馆正常对外开放及重要VIP接待活动）；</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3.严重影响甲方品牌和对外形象及利益（以不正当行为占有客户、顾客、业主的财产、泄露有关保密信息等而导致业主形象或利益受损）；</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4.发生第四条第（四）项第6款的行为。</w:t>
      </w:r>
      <w:r/>
    </w:p>
    <w:p>
      <w:pPr>
        <w:ind w:left="0" w:right="0" w:firstLine="56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第六条</w:t>
      </w:r>
      <w:r>
        <w:rPr>
          <w:rFonts w:ascii="FangSong" w:hAnsi="FangSong" w:eastAsia="FangSong" w:cs="FangSong"/>
          <w:color w:val="000000"/>
          <w:sz w:val="28"/>
        </w:rPr>
        <w:t xml:space="preserve">本考核办法最终解释权归采购人（滨海县博物馆）所有。</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第七条 </w:t>
      </w:r>
      <w:r>
        <w:rPr>
          <w:rFonts w:ascii="FangSong" w:hAnsi="FangSong" w:eastAsia="FangSong" w:cs="FangSong"/>
          <w:color w:val="000000"/>
          <w:sz w:val="28"/>
        </w:rPr>
        <w:t xml:space="preserve"> 本办法自发布之日起生效。</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滨海县博物馆物业服务质量考核总表（暂定）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（季度考核表）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
        <w:gridCol w:w="473"/>
        <w:gridCol w:w="311"/>
        <w:gridCol w:w="5838"/>
        <w:gridCol w:w="1856"/>
        <w:gridCol w:w="355"/>
        <w:gridCol w:w="242"/>
        <w:gridCol w:w="161"/>
      </w:tblGrid>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考核板块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考核项目</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考核要求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检查情况描述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扣分值</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备注</w:t>
            </w:r>
            <w:r/>
          </w:p>
        </w:tc>
      </w:tr>
      <w:tr>
        <w:trPr>
          <w:trHeight w:val="76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通用板块</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上岗前的准备工作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上岗前做好个人的仪表仪容，按各部门要求参加岗前晨会；开馆前</w:t>
            </w:r>
            <w:r>
              <w:rPr>
                <w:rFonts w:ascii="Calibri" w:hAnsi="Calibri" w:eastAsia="Calibri" w:cs="Calibri"/>
                <w:color w:val="000000"/>
                <w:sz w:val="20"/>
              </w:rPr>
              <w:t xml:space="preserve">10</w:t>
            </w:r>
            <w:r>
              <w:rPr>
                <w:rFonts w:ascii="Arial" w:hAnsi="Arial" w:eastAsia="Arial" w:cs="Arial"/>
                <w:color w:val="000000"/>
                <w:sz w:val="20"/>
              </w:rPr>
              <w:t xml:space="preserve">分钟做好相关设施设备的准备、为民服务设施、导览资料、广告牌、说明牌等放置到位。如遇特殊情况必须提前开馆的，必须严格按要求的时间点到岗准备。</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岗前晨会未准时参加或无故缺席的，每出现一例扣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5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未按要求完成设施设备与用具等准备，每发现一例扣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因准备工作不充分，影响相关岗位工作正常运行，每出现一例扣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30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仪表仪容、礼仪规范、工作态度</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着装统一规范；佩戴工号牌、胸前牌上岗；头发梳理得体，不染彩发，女员工长发用发套，男员工头发后面不过衣领，两侧不过耳；女员工面部淡妆，男员工不蓄胡须；指甲长短合适、清洁，不涂有色指甲油；不戴式样夸张、色彩鲜艳饰物。</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着装不统一规范，每出现一例扣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上岗未戴工号牌、胸前牌，每出现一例扣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8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 </w:t>
            </w:r>
            <w:r>
              <w:rPr>
                <w:rFonts w:ascii="Arial" w:hAnsi="Arial" w:eastAsia="Arial" w:cs="Arial"/>
                <w:color w:val="000000"/>
                <w:sz w:val="20"/>
              </w:rPr>
              <w:t xml:space="preserve">女生长发披肩或梳理不整洁，染彩发，涂有色指甲油、戴夸张饰物等；男生留长发、蓄留胡须、留长指甲等，每发现一例扣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外型整洁、精神；浓妆或彩妆、蓄留胡须、留长甲、涂有色指甲油、戴夸张饰物等，每出现一例扣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30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 </w:t>
            </w:r>
            <w:r>
              <w:rPr>
                <w:rFonts w:ascii="Arial" w:hAnsi="Arial" w:eastAsia="Arial" w:cs="Arial"/>
                <w:color w:val="000000"/>
                <w:sz w:val="20"/>
              </w:rPr>
              <w:t xml:space="preserve">岗上出现站势不规范如倚靠、斜靠、抄手叉腰等，每一例扣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礼貌用语恰当，态度真诚友好，表情生动丰富，服务主动热情，身体语言应用适当。一般情况下不得使用方言等非普及化语言。有问必答，用语规范有理，多以敬语打头；遇到特殊情况不确定或无法处理时，不能生硬应对，应婉转地解答或请示上级领导，妥善处理现场各类情况。</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服务态度冷漠或不耐烦，用语欠规范，对观众、馆方提问置之不理或搪塞而过，每发现一例扣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不服从工作安排，没有完成交办事务，或借故推诿，每出现一例扣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3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对岗位所发生事未主动及时地作出处理，每出现一例扣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3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Arial" w:hAnsi="Arial" w:eastAsia="Arial" w:cs="Arial"/>
                <w:color w:val="000000"/>
                <w:sz w:val="20"/>
              </w:rPr>
              <w:t xml:space="preserve">业务培训无故缺席的，每出现一例扣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规章制度、劳动纪律</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遵守劳动纪律，不迟到早退；开馆前五分钟到岗，闭馆清场、待游客离去后，待收尾工作全部结束后方能撤岗；在岗期间不得擅自离岗脱岗；不得在岗上随意集聚或谈笑聊天（包括玩手机等电话聊天）</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迟到或早退，业务培训无故缺席；工作不主动，态度不积极，学习不认真，工作懈怠、责任心不强的，每发现一例扣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3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未按要求到岗或提前撤岗，每出现一例扣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在岗期间有离岗脱岗现象，虽未发生不良后果，每出现一例扣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在岗上发生谈笑或集聚聊天，包括手机聊天、打瞌睡等，每出现一例扣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3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应知应会</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上岗人员须了解岗位的性质、熟悉岗位职责、内容与关系等；熟练操作相关设施设备与工具，操作用具定位、有序、完好、清洁；能独立处理岗位日常事务；对岗位突发事件能作出恰当的处理。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对所在班或所在岗的工作未能全面完成，每发现一例扣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3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不能独立操作设备与工具的，每发现一例扣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操作用具损坏或报修不及时等，每出现一例扣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对所在岗的日常事务不能独立作出处理的，每发现一例扣</w:t>
            </w:r>
            <w:r>
              <w:rPr>
                <w:rFonts w:ascii="Calibri" w:hAnsi="Calibri" w:eastAsia="Calibri" w:cs="Calibri"/>
                <w:color w:val="000000"/>
                <w:sz w:val="20"/>
              </w:rPr>
              <w:t xml:space="preserve">0.5-5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Arial" w:hAnsi="Arial" w:eastAsia="Arial" w:cs="Arial"/>
                <w:color w:val="000000"/>
                <w:sz w:val="20"/>
              </w:rPr>
              <w:t xml:space="preserve">对岗位突发事件未能作出一般应急处理，处理各类问题欠妥当欠考虑，特殊情况不及时请示汇报，未能妥善处理现场情况，每发现一例扣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3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统计与日报</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每天做好相关记录，并按规定程序上报各主管部门。每周和每月的总结必须按规定的流程汇总上报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按规定时间节点提交各类汇总，延迟</w:t>
            </w:r>
            <w:r>
              <w:rPr>
                <w:rFonts w:ascii="Calibri" w:hAnsi="Calibri" w:eastAsia="Calibri" w:cs="Calibri"/>
                <w:color w:val="000000"/>
                <w:sz w:val="20"/>
              </w:rPr>
              <w:t xml:space="preserve">1</w:t>
            </w:r>
            <w:r>
              <w:rPr>
                <w:rFonts w:ascii="Arial" w:hAnsi="Arial" w:eastAsia="Arial" w:cs="Arial"/>
                <w:color w:val="000000"/>
                <w:sz w:val="20"/>
              </w:rPr>
              <w:t xml:space="preserve">天扣</w:t>
            </w:r>
            <w:r>
              <w:rPr>
                <w:rFonts w:ascii="Calibri" w:hAnsi="Calibri" w:eastAsia="Calibri" w:cs="Calibri"/>
                <w:color w:val="000000"/>
                <w:sz w:val="20"/>
              </w:rPr>
              <w:t xml:space="preserve">0.5</w:t>
            </w:r>
            <w:r>
              <w:rPr>
                <w:rFonts w:ascii="Arial" w:hAnsi="Arial" w:eastAsia="Arial" w:cs="Arial"/>
                <w:color w:val="000000"/>
                <w:sz w:val="20"/>
              </w:rPr>
              <w:t xml:space="preserve">分，以此类推。</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若有各种投诉，需在次月</w:t>
            </w:r>
            <w:r>
              <w:rPr>
                <w:rFonts w:ascii="Calibri" w:hAnsi="Calibri" w:eastAsia="Calibri" w:cs="Calibri"/>
                <w:color w:val="000000"/>
                <w:sz w:val="20"/>
              </w:rPr>
              <w:t xml:space="preserve">5</w:t>
            </w:r>
            <w:r>
              <w:rPr>
                <w:rFonts w:ascii="Arial" w:hAnsi="Arial" w:eastAsia="Arial" w:cs="Arial"/>
                <w:color w:val="000000"/>
                <w:sz w:val="20"/>
              </w:rPr>
              <w:t xml:space="preserve">日前提交投诉汇总表，延迟</w:t>
            </w:r>
            <w:r>
              <w:rPr>
                <w:rFonts w:ascii="Calibri" w:hAnsi="Calibri" w:eastAsia="Calibri" w:cs="Calibri"/>
                <w:color w:val="000000"/>
                <w:sz w:val="20"/>
              </w:rPr>
              <w:t xml:space="preserve">1</w:t>
            </w:r>
            <w:r>
              <w:rPr>
                <w:rFonts w:ascii="Arial" w:hAnsi="Arial" w:eastAsia="Arial" w:cs="Arial"/>
                <w:color w:val="000000"/>
                <w:sz w:val="20"/>
              </w:rPr>
              <w:t xml:space="preserve">天扣</w:t>
            </w:r>
            <w:r>
              <w:rPr>
                <w:rFonts w:ascii="Calibri" w:hAnsi="Calibri" w:eastAsia="Calibri" w:cs="Calibri"/>
                <w:color w:val="000000"/>
                <w:sz w:val="20"/>
              </w:rPr>
              <w:t xml:space="preserve">1</w:t>
            </w:r>
            <w:r>
              <w:rPr>
                <w:rFonts w:ascii="Arial" w:hAnsi="Arial" w:eastAsia="Arial" w:cs="Arial"/>
                <w:color w:val="000000"/>
                <w:sz w:val="20"/>
              </w:rPr>
              <w:t xml:space="preserve">分，以此类推。</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相关记录中有数据错误或错字超过</w:t>
            </w:r>
            <w:r>
              <w:rPr>
                <w:rFonts w:ascii="Calibri" w:hAnsi="Calibri" w:eastAsia="Calibri" w:cs="Calibri"/>
                <w:color w:val="000000"/>
                <w:sz w:val="20"/>
              </w:rPr>
              <w:t xml:space="preserve">2</w:t>
            </w:r>
            <w:r>
              <w:rPr>
                <w:rFonts w:ascii="Arial" w:hAnsi="Arial" w:eastAsia="Arial" w:cs="Arial"/>
                <w:color w:val="000000"/>
                <w:sz w:val="20"/>
              </w:rPr>
              <w:t xml:space="preserve">个或以上的，每出现一处扣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49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服从馆方制作统计及报表。不能及时完成每次扣</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1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公众服务板块</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讲解咨询（前台服务）</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讲解员须在</w:t>
            </w:r>
            <w:r>
              <w:rPr>
                <w:rFonts w:ascii="Calibri" w:hAnsi="Calibri" w:eastAsia="Calibri" w:cs="Calibri"/>
                <w:color w:val="000000"/>
                <w:sz w:val="20"/>
              </w:rPr>
              <w:t xml:space="preserve">9:00~17:30</w:t>
            </w:r>
            <w:r>
              <w:rPr>
                <w:rFonts w:ascii="Arial" w:hAnsi="Arial" w:eastAsia="Arial" w:cs="Arial"/>
                <w:color w:val="000000"/>
                <w:sz w:val="20"/>
              </w:rPr>
              <w:t xml:space="preserve">期间在前台轮岗，在开馆前完成相关准备工作，确保讲解设备和讲解公告栏处于正常使用状态。开馆期间需为观众耐心认真提供咨询服务，安排讲解等；协助发放子母机并做好相应记录；正常情况下，前台须至少有一人站岗；有散客要求提供讲解服务时，在保证预约团队接待及前台服务的情况下必须提供，不得无故拒接散客团；前台岗位负有监督、记录讲解员动向的任务，如确因特殊情况无人站岗时，需委托游客中心服务人员辅助管理，待讲解任务结束后及时补上。前台人员负责指导观众填写会员申请表、拍照及登记。</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开馆前未能做好讲解设备和讲解公告栏等准备工作，设备回收、保护等未尽责，每发现一例扣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正常情况下，前台服务出现缺人情况</w:t>
            </w:r>
            <w:r>
              <w:rPr>
                <w:rFonts w:ascii="Calibri" w:hAnsi="Calibri" w:eastAsia="Calibri" w:cs="Calibri"/>
                <w:color w:val="000000"/>
                <w:sz w:val="20"/>
              </w:rPr>
              <w:t xml:space="preserve">(</w:t>
            </w:r>
            <w:r>
              <w:rPr>
                <w:rFonts w:ascii="Arial" w:hAnsi="Arial" w:eastAsia="Arial" w:cs="Arial"/>
                <w:color w:val="000000"/>
                <w:sz w:val="20"/>
              </w:rPr>
              <w:t xml:space="preserve">包括早退和迟到</w:t>
            </w:r>
            <w:r>
              <w:rPr>
                <w:rFonts w:ascii="Calibri" w:hAnsi="Calibri" w:eastAsia="Calibri" w:cs="Calibri"/>
                <w:color w:val="000000"/>
                <w:sz w:val="20"/>
              </w:rPr>
              <w:t xml:space="preserve">)</w:t>
            </w:r>
            <w:r>
              <w:rPr>
                <w:rFonts w:ascii="Arial" w:hAnsi="Arial" w:eastAsia="Arial" w:cs="Arial"/>
                <w:color w:val="000000"/>
                <w:sz w:val="20"/>
              </w:rPr>
              <w:t xml:space="preserve">，每发现一例扣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面对观众咨询，不闻不问或者态度冷淡的，每发现一例扣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8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《讲解员岗位动向表》、《每日讲解记录表》和《岗位交接本》出现漏记、错记每次扣</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4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7</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讲解接待</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讲解员在讲解前需了解团队参观的全部相关信息和需求，确定讲解路线、时间和内容；需至少提前</w:t>
            </w:r>
            <w:r>
              <w:rPr>
                <w:rFonts w:ascii="Calibri" w:hAnsi="Calibri" w:eastAsia="Calibri" w:cs="Calibri"/>
                <w:color w:val="000000"/>
                <w:sz w:val="20"/>
              </w:rPr>
              <w:t xml:space="preserve">5</w:t>
            </w:r>
            <w:r>
              <w:rPr>
                <w:rFonts w:ascii="Arial" w:hAnsi="Arial" w:eastAsia="Arial" w:cs="Arial"/>
                <w:color w:val="000000"/>
                <w:sz w:val="20"/>
              </w:rPr>
              <w:t xml:space="preserve">分钟到岗等候，准备充分所需讲解设备；组织并指导使用子母机，做好讲解设备管理；工作要有轻重缓急，正常情况下应首先保证各类讲解工作预约团队讲解（包括家庭日等其它特殊讲解）、区域讲解、前台咨询，临时接待须第一时间处理好。讲解内容准确无误、要点明确，整体流畅；层次分明、逻辑性强、详略把握得当；语音语调准确、语音清晰、语速适中；能针对不同游客使用恰当的讲解技巧，讲解通俗易懂，富有感染力。不能因个人原因对讲解接待有所推脱，定期提升自身讲解水平，具有较强的学习能力和学习的主动性，及时掌握下发的各类学习资料，并融入到讲解中</w:t>
            </w:r>
            <w:r>
              <w:rPr>
                <w:rFonts w:ascii="Arial" w:hAnsi="Arial" w:eastAsia="Arial" w:cs="Arial"/>
                <w:color w:val="000000"/>
                <w:sz w:val="20"/>
              </w:rPr>
              <w:t xml:space="preserve">去。</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讲解员未能提前到岗接团，给观众造成影响的，每例扣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讲解员未事先了解团队讲解需求，未做好充分准备和人员安排的，每发现一例扣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讲解线路单一，内容有误，礼仪不规范，因人施讲能力较差，视整体情况扣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1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讲解接待水平停滞不前，自我学习主动性和能力较差，视整体情况扣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8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Arial" w:hAnsi="Arial" w:eastAsia="Arial" w:cs="Arial"/>
                <w:color w:val="000000"/>
                <w:sz w:val="20"/>
              </w:rPr>
              <w:t xml:space="preserve">针对特展、巡展等特殊展览的讲解，未能及时胜任确保接待工作的，每发现一例扣</w:t>
            </w:r>
            <w:r>
              <w:rPr>
                <w:rFonts w:ascii="Calibri" w:hAnsi="Calibri" w:eastAsia="Calibri" w:cs="Calibri"/>
                <w:color w:val="000000"/>
                <w:sz w:val="20"/>
              </w:rPr>
              <w:t xml:space="preserve">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6.</w:t>
            </w:r>
            <w:r>
              <w:rPr>
                <w:rFonts w:ascii="Arial" w:hAnsi="Arial" w:eastAsia="Arial" w:cs="Arial"/>
                <w:color w:val="000000"/>
                <w:sz w:val="20"/>
              </w:rPr>
              <w:t xml:space="preserve">针对各类讲解比赛，未能积极参加备赛的，视整体情况扣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4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8</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活动开展</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讲解员能按时保质保量完成常规教育活动和新的教育活动的策划。态度认真积极，工作责任心强；活动开展和科普课程授课方式生动活泼，符合观众需求，且传递的信息准确严谨。讲解词整理编写能依据权威的资料、参考文献进行，内容充实严谨、结构合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未能及时保质保量地完成教育活动的策划和实施，影响到相关工作质量和进度，每发现一例扣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4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课程编写内容粗糙有误，科普授课及学生指导等质量不符合要求，每发现一例扣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讲解词编写结构混乱，内容不详实，存在较多抄袭，不认真对待，质量较差，视整体情况扣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7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9</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领班职责</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对新进讲解员和展项人员负有指导及培训的职责，合理安排好每日讲解员和展项的出勤以确保正常的讲解工作的接待和教育活动的开展。根据团队讲解的具体需求合理安排讲解员，同时兼顾到讲解员工作量的均衡。根据展项岗位和馆内外社教工作的的实际情况，合理安排上岗人数和机动处理。加强对日常岗位的巡视，严格要求岗位纪律，掌握讲解员岗位和展项岗位动向，检查《讲解员岗位动向表》和《展项岗位动向表》内容填写完整、准确。处理好讲解班组和展项班组的内部事务。</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未能合理安排讲解员出勤，影响讲解接待工作安排的，每发现一例扣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安排讲解工作不妥当，造成观众投诉或是讲解员工作量差异过大，每发现一例扣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05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未能及时妥善处理班组内部事务，影响班组团结的，视整体情况扣</w:t>
            </w:r>
            <w:r>
              <w:rPr>
                <w:rFonts w:ascii="Calibri" w:hAnsi="Calibri" w:eastAsia="Calibri" w:cs="Calibri"/>
                <w:color w:val="000000"/>
                <w:sz w:val="20"/>
              </w:rPr>
              <w:t xml:space="preserve">2-5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81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10</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队伍管理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物业公司对于物业讲解员队伍、展项队伍的在岗人数、学历、岗位纪律、业务培训和技能水平等方面需严格按照博物馆要求执行。</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物业公司在物业讲解员、展项队伍学历、岗位纪律、业务水平和岗前培训等方面监督执行不力，不符合博物馆要求的，每发现一例扣</w:t>
            </w:r>
            <w:r>
              <w:rPr>
                <w:rFonts w:ascii="Calibri" w:hAnsi="Calibri" w:eastAsia="Calibri" w:cs="Calibri"/>
                <w:color w:val="000000"/>
                <w:sz w:val="20"/>
              </w:rPr>
              <w:t xml:space="preserve">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物业公司应根据要求确保讲解员业务梯队，满足日常讲解需求，未能执行每次扣</w:t>
            </w:r>
            <w:r>
              <w:rPr>
                <w:rFonts w:ascii="Calibri" w:hAnsi="Calibri" w:eastAsia="Calibri" w:cs="Calibri"/>
                <w:color w:val="000000"/>
                <w:sz w:val="20"/>
              </w:rPr>
              <w:t xml:space="preserve">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物业公司应确保讲解到岗人数，不得因讲解员产假或长病假等原因导致讲解岗位空缺，每发现一例扣</w:t>
            </w:r>
            <w:r>
              <w:rPr>
                <w:rFonts w:ascii="Calibri" w:hAnsi="Calibri" w:eastAsia="Calibri" w:cs="Calibri"/>
                <w:color w:val="000000"/>
                <w:sz w:val="20"/>
              </w:rPr>
              <w:t xml:space="preserve">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新进讲解员非自身原因，未能在规定时间内胜任一般团队的常规讲解，每发现一例扣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Arial" w:hAnsi="Arial" w:eastAsia="Arial" w:cs="Arial"/>
                <w:color w:val="000000"/>
                <w:sz w:val="20"/>
              </w:rPr>
              <w:t xml:space="preserve">对展项操作人员因管理不到位，造成展项损坏或者观众安全事故，每发现一例扣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1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6.</w:t>
            </w:r>
            <w:r>
              <w:rPr>
                <w:rFonts w:ascii="Arial" w:hAnsi="Arial" w:eastAsia="Arial" w:cs="Arial"/>
                <w:color w:val="000000"/>
                <w:sz w:val="20"/>
              </w:rPr>
              <w:t xml:space="preserve">物业公司须确保讲解员、展项在编人数，有离职者须在</w:t>
            </w:r>
            <w:r>
              <w:rPr>
                <w:rFonts w:ascii="Calibri" w:hAnsi="Calibri" w:eastAsia="Calibri" w:cs="Calibri"/>
                <w:color w:val="000000"/>
                <w:sz w:val="20"/>
              </w:rPr>
              <w:t xml:space="preserve">1</w:t>
            </w:r>
            <w:r>
              <w:rPr>
                <w:rFonts w:ascii="Arial" w:hAnsi="Arial" w:eastAsia="Arial" w:cs="Arial"/>
                <w:color w:val="000000"/>
                <w:sz w:val="20"/>
              </w:rPr>
              <w:t xml:space="preserve">个月内招齐，一个月未及时补充人员的，或物业公司未根据岗位要求做好讲解员、展项操作人员上岗前业务培训或培训不符合岗位要求的，每发现一例扣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岗位职责</w:t>
              <w:br/>
              <w:t xml:space="preserve">（展项操作）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维持、疏导和控制现场观众秩序；解答观众疑问；上岗前须了解岗位的性质、熟悉岗位职责；熟练展项设施设备与工具，做好相应准备工作。正确演示并指导观众操作展项；做好所辖区域、展项设备的检查工作，发现故障及时修理或报修；能独立处理岗位日常事件，合理妥善及时处理岗位突发事件；负责所在展项或区域展项的正确和安全使用。做好志愿者的管理辅助及物料周转点物料出入库的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岗位职责不清，岗位技能掌握欠缺，相关准备工作不到位，影响服务质量，每发现一例扣</w:t>
            </w:r>
            <w:r>
              <w:rPr>
                <w:rFonts w:ascii="Calibri" w:hAnsi="Calibri" w:eastAsia="Calibri" w:cs="Calibri"/>
                <w:color w:val="000000"/>
                <w:sz w:val="20"/>
              </w:rPr>
              <w:t xml:space="preserve">1-2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展项操作演示</w:t>
            </w:r>
            <w:r>
              <w:rPr>
                <w:rFonts w:ascii="Calibri" w:hAnsi="Calibri" w:eastAsia="Calibri" w:cs="Calibri"/>
                <w:color w:val="000000"/>
                <w:sz w:val="20"/>
              </w:rPr>
              <w:t xml:space="preserve">.</w:t>
            </w:r>
            <w:r>
              <w:rPr>
                <w:rFonts w:ascii="Arial" w:hAnsi="Arial" w:eastAsia="Arial" w:cs="Arial"/>
                <w:color w:val="000000"/>
                <w:sz w:val="20"/>
              </w:rPr>
              <w:t xml:space="preserve">解答和指导过程存在不清楚不到位不尽责或不能独立操作的，每发现一例扣</w:t>
            </w:r>
            <w:r>
              <w:rPr>
                <w:rFonts w:ascii="Calibri" w:hAnsi="Calibri" w:eastAsia="Calibri" w:cs="Calibri"/>
                <w:color w:val="000000"/>
                <w:sz w:val="20"/>
              </w:rPr>
              <w:t xml:space="preserve">1-5</w:t>
            </w:r>
            <w:r>
              <w:rPr>
                <w:rFonts w:ascii="Arial" w:hAnsi="Arial" w:eastAsia="Arial" w:cs="Arial"/>
                <w:color w:val="000000"/>
                <w:sz w:val="20"/>
              </w:rPr>
              <w:t xml:space="preserve">分。未按公布的场次定时开放，出现严重失实，造成不良影响的，每发现一例扣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对于可自行修理的展项事故，未在</w:t>
            </w:r>
            <w:r>
              <w:rPr>
                <w:rFonts w:ascii="Calibri" w:hAnsi="Calibri" w:eastAsia="Calibri" w:cs="Calibri"/>
                <w:color w:val="000000"/>
                <w:sz w:val="20"/>
              </w:rPr>
              <w:t xml:space="preserve">15</w:t>
            </w:r>
            <w:r>
              <w:rPr>
                <w:rFonts w:ascii="Arial" w:hAnsi="Arial" w:eastAsia="Arial" w:cs="Arial"/>
                <w:color w:val="000000"/>
                <w:sz w:val="20"/>
              </w:rPr>
              <w:t xml:space="preserve">分钟内修理完毕；对于需报修展项事故，未在</w:t>
            </w:r>
            <w:r>
              <w:rPr>
                <w:rFonts w:ascii="Calibri" w:hAnsi="Calibri" w:eastAsia="Calibri" w:cs="Calibri"/>
                <w:color w:val="000000"/>
                <w:sz w:val="20"/>
              </w:rPr>
              <w:t xml:space="preserve">15</w:t>
            </w:r>
            <w:r>
              <w:rPr>
                <w:rFonts w:ascii="Arial" w:hAnsi="Arial" w:eastAsia="Arial" w:cs="Arial"/>
                <w:color w:val="000000"/>
                <w:sz w:val="20"/>
              </w:rPr>
              <w:t xml:space="preserve">分钟内报修并挂出标示；因工作疏忽，出现眼镜</w:t>
            </w:r>
            <w:r>
              <w:rPr>
                <w:rFonts w:ascii="Calibri" w:hAnsi="Calibri" w:eastAsia="Calibri" w:cs="Calibri"/>
                <w:color w:val="000000"/>
                <w:sz w:val="20"/>
              </w:rPr>
              <w:t xml:space="preserve">.</w:t>
            </w:r>
            <w:r>
              <w:rPr>
                <w:rFonts w:ascii="Arial" w:hAnsi="Arial" w:eastAsia="Arial" w:cs="Arial"/>
                <w:color w:val="000000"/>
                <w:sz w:val="20"/>
              </w:rPr>
              <w:t xml:space="preserve">绳子等物品丢失情况的，每发现一例扣</w:t>
            </w:r>
            <w:r>
              <w:rPr>
                <w:rFonts w:ascii="Calibri" w:hAnsi="Calibri" w:eastAsia="Calibri" w:cs="Calibri"/>
                <w:color w:val="000000"/>
                <w:sz w:val="20"/>
              </w:rPr>
              <w:t xml:space="preserve">1-2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志愿者工作分配不合理，造成志愿者不满或者影响馆内服务的，每发现一例扣</w:t>
            </w:r>
            <w:r>
              <w:rPr>
                <w:rFonts w:ascii="Calibri" w:hAnsi="Calibri" w:eastAsia="Calibri" w:cs="Calibri"/>
                <w:color w:val="000000"/>
                <w:sz w:val="20"/>
              </w:rPr>
              <w:t xml:space="preserve">1-2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Arial" w:hAnsi="Arial" w:eastAsia="Arial" w:cs="Arial"/>
                <w:color w:val="000000"/>
                <w:sz w:val="20"/>
              </w:rPr>
              <w:t xml:space="preserve">物料周转点物料出入库管理混乱，需要使用时物料找不到或丢失，每发现一例扣</w:t>
            </w:r>
            <w:r>
              <w:rPr>
                <w:rFonts w:ascii="Calibri" w:hAnsi="Calibri" w:eastAsia="Calibri" w:cs="Calibri"/>
                <w:color w:val="000000"/>
                <w:sz w:val="20"/>
              </w:rPr>
              <w:t xml:space="preserve">1-2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82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12</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岗位职责</w:t>
              <w:br/>
              <w:t xml:space="preserve">（社教区、研学空间、报告厅等）</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做好</w:t>
            </w:r>
            <w:r>
              <w:rPr>
                <w:rFonts w:ascii="Calibri" w:hAnsi="Calibri" w:eastAsia="Calibri" w:cs="Calibri"/>
                <w:color w:val="000000"/>
                <w:sz w:val="20"/>
              </w:rPr>
              <w:t xml:space="preserve">3</w:t>
            </w:r>
            <w:r>
              <w:rPr>
                <w:rFonts w:ascii="Arial" w:hAnsi="Arial" w:eastAsia="Arial" w:cs="Arial"/>
                <w:color w:val="000000"/>
                <w:sz w:val="20"/>
              </w:rPr>
              <w:t xml:space="preserve">区域的日常管理工作，确保区域井然有序；提前准备好电脑、音响、投影、多媒体教学机等设施设备的启动调试，遇故障需及时报修；按照要求落实好活动教具准备、物料准备等相关工作；常规教育活动需做好报名签到二维码检查等工作；做好活动时必要的场次、人数、影像等基本信息采集归纳工作并及时存入电脑；活动涉及物料要做好物料保管及归类整理，领用需登记规范；平时要保证桌面的清洁，每日撤岗前视清洁度联系保洁做好地面清洁工作；遇馆外老师授课，需辅助授课老师完成活动授课；遇基本的手工授课，需按要求学习并能教授手工活动。</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由于管理不当造成设施设备损坏、物料缺失；未及时清理桌面，造成桌面脏乱差的，未做好手工材料登记的，每发现一例扣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0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活动开展前设施设备及物料准备不充分，影响活动开展；活动过程中管理及服务不到位，造成现场混乱的；相关业务技能不符合要求的，每发现一例扣</w:t>
            </w:r>
            <w:r>
              <w:rPr>
                <w:rFonts w:ascii="Calibri" w:hAnsi="Calibri" w:eastAsia="Calibri" w:cs="Calibri"/>
                <w:color w:val="000000"/>
                <w:sz w:val="20"/>
              </w:rPr>
              <w:t xml:space="preserve">1-4</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0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由专人或领班定期做好手工活动物料的整理和清点工作，因非客观原因造成的物料浪费或重复性采购，每发现一例扣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未作好活动开展后，信息采集和登记工作的，每发现一例扣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未按公布的场次定时开放；未控制进入人数造成人员过多，秩序紊乱；展区脏乱差未及时清洁，每发现一例扣</w:t>
            </w:r>
            <w:r>
              <w:rPr>
                <w:rFonts w:ascii="Calibri" w:hAnsi="Calibri" w:eastAsia="Calibri" w:cs="Calibri"/>
                <w:color w:val="000000"/>
                <w:sz w:val="20"/>
              </w:rPr>
              <w:t xml:space="preserve">1-2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13</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闭馆准备工作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闭馆前</w:t>
            </w:r>
            <w:r>
              <w:rPr>
                <w:rFonts w:ascii="Calibri" w:hAnsi="Calibri" w:eastAsia="Calibri" w:cs="Calibri"/>
                <w:color w:val="000000"/>
                <w:sz w:val="20"/>
              </w:rPr>
              <w:t xml:space="preserve">30</w:t>
            </w:r>
            <w:r>
              <w:rPr>
                <w:rFonts w:ascii="Arial" w:hAnsi="Arial" w:eastAsia="Arial" w:cs="Arial"/>
                <w:color w:val="000000"/>
                <w:sz w:val="20"/>
              </w:rPr>
              <w:t xml:space="preserve">分钟停止入馆验证，闭馆前</w:t>
            </w:r>
            <w:r>
              <w:rPr>
                <w:rFonts w:ascii="Calibri" w:hAnsi="Calibri" w:eastAsia="Calibri" w:cs="Calibri"/>
                <w:color w:val="000000"/>
                <w:sz w:val="20"/>
              </w:rPr>
              <w:t xml:space="preserve">10</w:t>
            </w:r>
            <w:r>
              <w:rPr>
                <w:rFonts w:ascii="Arial" w:hAnsi="Arial" w:eastAsia="Arial" w:cs="Arial"/>
                <w:color w:val="000000"/>
                <w:sz w:val="20"/>
              </w:rPr>
              <w:t xml:space="preserve">分钟放提示音乐提醒观众离开博物馆，闭馆后各岗关闭所有设备、并做好所辖区域设备的清洁和检查工作，发现故障，及时保修；完成当天的工作日志或相关统计表并上交有关对口部门。</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在无任何特殊情况下，擅自提前关闭售品窗口的，发现一次扣</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按规定时间关闭相关通道和设备的，每出现一例扣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岗位区域环境清洁和设备清洁，不符合要求的每发现一处扣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设备故障按规定巡检、报修不及时的，每次扣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3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Arial" w:hAnsi="Arial" w:eastAsia="Arial" w:cs="Arial"/>
                <w:color w:val="000000"/>
                <w:sz w:val="20"/>
              </w:rPr>
              <w:t xml:space="preserve">各项记录不齐，记录不完整或出现错误，每项扣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8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14</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严重违规情况</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无论何种原因、何种场合、何种矛盾都不允许与观众的冲突，确保游客有效投诉为</w:t>
            </w:r>
            <w:r>
              <w:rPr>
                <w:rFonts w:ascii="Calibri" w:hAnsi="Calibri" w:eastAsia="Calibri" w:cs="Calibri"/>
                <w:color w:val="000000"/>
                <w:sz w:val="20"/>
              </w:rPr>
              <w:t xml:space="preserve">0</w:t>
            </w:r>
            <w:r>
              <w:rPr>
                <w:rFonts w:ascii="Arial" w:hAnsi="Arial" w:eastAsia="Arial" w:cs="Arial"/>
                <w:color w:val="000000"/>
                <w:sz w:val="20"/>
              </w:rPr>
              <w:t xml:space="preserve">。</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发现任何与观众发生纠纷的，每查实一例，扣</w:t>
            </w:r>
            <w:r>
              <w:rPr>
                <w:rFonts w:ascii="Calibri" w:hAnsi="Calibri" w:eastAsia="Calibri" w:cs="Calibri"/>
                <w:color w:val="000000"/>
                <w:sz w:val="20"/>
              </w:rPr>
              <w:t xml:space="preserve">10</w:t>
            </w:r>
            <w:r>
              <w:rPr>
                <w:rFonts w:ascii="Arial" w:hAnsi="Arial" w:eastAsia="Arial" w:cs="Arial"/>
                <w:color w:val="000000"/>
                <w:sz w:val="20"/>
              </w:rPr>
              <w:t xml:space="preserve">分。</w:t>
            </w:r>
            <w:r>
              <w:rPr>
                <w:rFonts w:ascii="Calibri" w:hAnsi="Calibri" w:eastAsia="Calibri" w:cs="Calibri"/>
                <w:color w:val="000000"/>
                <w:sz w:val="20"/>
              </w:rPr>
              <w:t xml:space="preserve"> 2.</w:t>
            </w:r>
            <w:r>
              <w:rPr>
                <w:rFonts w:ascii="Arial" w:hAnsi="Arial" w:eastAsia="Arial" w:cs="Arial"/>
                <w:color w:val="000000"/>
                <w:sz w:val="20"/>
              </w:rPr>
              <w:t xml:space="preserve">发生游客投诉事件，经核查后定性为有效投诉的，每发生一起扣</w:t>
            </w:r>
            <w:r>
              <w:rPr>
                <w:rFonts w:ascii="Calibri" w:hAnsi="Calibri" w:eastAsia="Calibri" w:cs="Calibri"/>
                <w:color w:val="000000"/>
                <w:sz w:val="20"/>
              </w:rPr>
              <w:t xml:space="preserve">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27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15</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咨询服务、寄存、导览、售检票</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面对观众咨询做到仔细、耐心、亲切；语言规范，能迅速、正确地解答观众的提问，解决观众困难，能迅速反映和处置突发事件，不与观众起冲突</w:t>
            </w:r>
            <w:r>
              <w:rPr>
                <w:rFonts w:ascii="Calibri" w:hAnsi="Calibri" w:eastAsia="Calibri" w:cs="Calibri"/>
                <w:color w:val="000000"/>
                <w:sz w:val="20"/>
              </w:rPr>
              <w:t xml:space="preserve">.</w:t>
            </w:r>
            <w:r>
              <w:rPr>
                <w:rFonts w:ascii="Arial" w:hAnsi="Arial" w:eastAsia="Arial" w:cs="Arial"/>
                <w:color w:val="000000"/>
                <w:sz w:val="20"/>
              </w:rPr>
              <w:t xml:space="preserve">能协助检票对观众进行正确性的方向指引和疏导，寄存物品时能用规范的语言作相关提示，并态度亲切、操作规范。</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不能及时正确回答观众提出的问题，并且也没有通过其他渠道进行事后回复的，每出现一例扣</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面对大客流没有进行场内和场外有效疏导，造成场面混乱和失控。每出现一次扣</w:t>
            </w:r>
            <w:r>
              <w:rPr>
                <w:rFonts w:ascii="Calibri" w:hAnsi="Calibri" w:eastAsia="Calibri" w:cs="Calibri"/>
                <w:color w:val="000000"/>
                <w:sz w:val="20"/>
              </w:rPr>
              <w:t xml:space="preserve">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3. </w:t>
            </w:r>
            <w:r>
              <w:rPr>
                <w:rFonts w:ascii="Arial" w:hAnsi="Arial" w:eastAsia="Arial" w:cs="Arial"/>
                <w:color w:val="000000"/>
                <w:sz w:val="20"/>
              </w:rPr>
              <w:t xml:space="preserve">投诉处理接报人应第一时间按照投诉处置流程，认真、规范开展各项程序，未按要求执行的每发现一例扣</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未对观众所寄存的物件进行有效提示和妥善保管而造成物品遗失或损坏的发现一次扣</w:t>
            </w:r>
            <w:r>
              <w:rPr>
                <w:rFonts w:ascii="Calibri" w:hAnsi="Calibri" w:eastAsia="Calibri" w:cs="Calibri"/>
                <w:color w:val="000000"/>
                <w:sz w:val="20"/>
              </w:rPr>
              <w:t xml:space="preserve">5</w:t>
            </w:r>
            <w:r>
              <w:rPr>
                <w:rFonts w:ascii="Arial" w:hAnsi="Arial" w:eastAsia="Arial" w:cs="Arial"/>
                <w:color w:val="000000"/>
                <w:sz w:val="20"/>
              </w:rPr>
              <w:t xml:space="preserve">分，并承担相应的赔偿责任。</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Arial" w:hAnsi="Arial" w:eastAsia="Arial" w:cs="Arial"/>
                <w:color w:val="000000"/>
                <w:sz w:val="20"/>
              </w:rPr>
              <w:t xml:space="preserve">寄存物品时因操作不当而造成寄存物品损坏的，发现一次扣</w:t>
            </w:r>
            <w:r>
              <w:rPr>
                <w:rFonts w:ascii="Calibri" w:hAnsi="Calibri" w:eastAsia="Calibri" w:cs="Calibri"/>
                <w:color w:val="000000"/>
                <w:sz w:val="20"/>
              </w:rPr>
              <w:t xml:space="preserve">5</w:t>
            </w:r>
            <w:r>
              <w:rPr>
                <w:rFonts w:ascii="Arial" w:hAnsi="Arial" w:eastAsia="Arial" w:cs="Arial"/>
                <w:color w:val="000000"/>
                <w:sz w:val="20"/>
              </w:rPr>
              <w:t xml:space="preserve">分，并承担相应的赔偿责任。</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6.</w:t>
            </w:r>
            <w:r>
              <w:rPr>
                <w:rFonts w:ascii="Arial" w:hAnsi="Arial" w:eastAsia="Arial" w:cs="Arial"/>
                <w:color w:val="000000"/>
                <w:sz w:val="20"/>
              </w:rPr>
              <w:t xml:space="preserve">相关记录不完整的，发现一次扣</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16</w:t>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检票时能快速识别持有人及其相关证件的是否一致性、有效性；扫码操作前主动向游客说明预约扫码的有关注意事项；接待团体时认真做好说明工作，并快速取得领队的配合；团队入场时，能快速分类计数，分类记录确认单的人数请领队确认签名；不得借工作之便违规带他人入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杜绝人情票（无票进入）、失效票等，经查实发现一例扣</w:t>
            </w:r>
            <w:r>
              <w:rPr>
                <w:rFonts w:ascii="Calibri" w:hAnsi="Calibri" w:eastAsia="Calibri" w:cs="Calibri"/>
                <w:color w:val="000000"/>
                <w:sz w:val="20"/>
              </w:rPr>
              <w:t xml:space="preserve">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8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Arial" w:hAnsi="Arial" w:eastAsia="Arial" w:cs="Arial"/>
                <w:color w:val="000000"/>
                <w:sz w:val="20"/>
              </w:rPr>
              <w:t xml:space="preserve">团队或散客滞留检票口，而工作人员没有进行有效疏导，并产生严重后果的，每出现一例扣</w:t>
            </w:r>
            <w:r>
              <w:rPr>
                <w:rFonts w:ascii="Calibri" w:hAnsi="Calibri" w:eastAsia="Calibri" w:cs="Calibri"/>
                <w:color w:val="000000"/>
                <w:sz w:val="20"/>
              </w:rPr>
              <w:t xml:space="preserve">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3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不能对观众进行快速分类计数的，每发现一例扣</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不得借工作之便，将游客放入场；不得擅自离岗脱岗，避免游客径直入场。发现一次扣</w:t>
            </w:r>
            <w:r>
              <w:rPr>
                <w:rFonts w:ascii="Calibri" w:hAnsi="Calibri" w:eastAsia="Calibri" w:cs="Calibri"/>
                <w:color w:val="000000"/>
                <w:sz w:val="20"/>
              </w:rPr>
              <w:t xml:space="preserve">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3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Arial" w:hAnsi="Arial" w:eastAsia="Arial" w:cs="Arial"/>
                <w:color w:val="000000"/>
                <w:sz w:val="20"/>
              </w:rPr>
              <w:t xml:space="preserve">确认单上无领队签名确认的，每发现一例扣</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0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6.</w:t>
            </w:r>
            <w:r>
              <w:rPr>
                <w:rFonts w:ascii="Arial" w:hAnsi="Arial" w:eastAsia="Arial" w:cs="Arial"/>
                <w:color w:val="000000"/>
                <w:sz w:val="20"/>
              </w:rPr>
              <w:t xml:space="preserve">人员配置齐全，每发现一例扣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4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17</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闭馆准备工作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闭馆前</w:t>
            </w:r>
            <w:r>
              <w:rPr>
                <w:rFonts w:ascii="Calibri" w:hAnsi="Calibri" w:eastAsia="Calibri" w:cs="Calibri"/>
                <w:color w:val="000000"/>
                <w:sz w:val="20"/>
              </w:rPr>
              <w:t xml:space="preserve">30</w:t>
            </w:r>
            <w:r>
              <w:rPr>
                <w:rFonts w:ascii="Arial" w:hAnsi="Arial" w:eastAsia="Arial" w:cs="Arial"/>
                <w:color w:val="000000"/>
                <w:sz w:val="20"/>
              </w:rPr>
              <w:t xml:space="preserve">分钟停止入馆验证，闭馆后各岗关闭所有设备、并做好所辖区域设备的清洁和检查工作，发现故障，及时报修；完成当天的工作日志或相关统计表并上交有关对口部门。</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在无任何特殊情况下，擅自提前离岗的，发现一次扣</w:t>
            </w:r>
            <w:r>
              <w:rPr>
                <w:rFonts w:ascii="Calibri" w:hAnsi="Calibri" w:eastAsia="Calibri" w:cs="Calibri"/>
                <w:color w:val="000000"/>
                <w:sz w:val="20"/>
              </w:rPr>
              <w:t xml:space="preserve">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2. </w:t>
            </w:r>
            <w:r>
              <w:rPr>
                <w:rFonts w:ascii="Arial" w:hAnsi="Arial" w:eastAsia="Arial" w:cs="Arial"/>
                <w:color w:val="000000"/>
                <w:sz w:val="20"/>
              </w:rPr>
              <w:t xml:space="preserve">未按规定时间关闭相关通道和设备的，每出现一例扣</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3. </w:t>
            </w:r>
            <w:r>
              <w:rPr>
                <w:rFonts w:ascii="Arial" w:hAnsi="Arial" w:eastAsia="Arial" w:cs="Arial"/>
                <w:color w:val="000000"/>
                <w:sz w:val="20"/>
              </w:rPr>
              <w:t xml:space="preserve">岗位区域环境清洁和设备清洁，不符合要求的每发现一处扣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4. </w:t>
            </w:r>
            <w:r>
              <w:rPr>
                <w:rFonts w:ascii="Arial" w:hAnsi="Arial" w:eastAsia="Arial" w:cs="Arial"/>
                <w:color w:val="000000"/>
                <w:sz w:val="20"/>
              </w:rPr>
              <w:t xml:space="preserve">设备故障报修不及时，每次扣</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6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5. </w:t>
            </w:r>
            <w:r>
              <w:rPr>
                <w:rFonts w:ascii="Arial" w:hAnsi="Arial" w:eastAsia="Arial" w:cs="Arial"/>
                <w:color w:val="000000"/>
                <w:sz w:val="20"/>
              </w:rPr>
              <w:t xml:space="preserve">各项记录不齐，记录不完整或出现错误，每项扣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18</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严重违规情况</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在博物馆内，无论何种原因、何种矛盾，不允许与观众发生口角和肢体冲突，有问题按照正常途径解决。</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发现任何与观众发生纠纷的，每查实一例，扣</w:t>
            </w:r>
            <w:r>
              <w:rPr>
                <w:rFonts w:ascii="Calibri" w:hAnsi="Calibri" w:eastAsia="Calibri" w:cs="Calibri"/>
                <w:color w:val="000000"/>
                <w:sz w:val="20"/>
              </w:rPr>
              <w:t xml:space="preserve">10</w:t>
            </w:r>
            <w:r>
              <w:rPr>
                <w:rFonts w:ascii="Arial" w:hAnsi="Arial" w:eastAsia="Arial" w:cs="Arial"/>
                <w:color w:val="000000"/>
                <w:sz w:val="20"/>
              </w:rPr>
              <w:t xml:space="preserve">分。</w:t>
              <w:br/>
            </w:r>
            <w:r>
              <w:rPr>
                <w:rFonts w:ascii="Calibri" w:hAnsi="Calibri" w:eastAsia="Calibri" w:cs="Calibri"/>
                <w:color w:val="000000"/>
                <w:sz w:val="20"/>
              </w:rPr>
              <w:t xml:space="preserve">2.</w:t>
            </w:r>
            <w:r>
              <w:rPr>
                <w:rFonts w:ascii="Arial" w:hAnsi="Arial" w:eastAsia="Arial" w:cs="Arial"/>
                <w:color w:val="000000"/>
                <w:sz w:val="20"/>
              </w:rPr>
              <w:t xml:space="preserve">发生游客投诉事件，经核查后定性为有效投诉的，每发生一起扣</w:t>
            </w:r>
            <w:r>
              <w:rPr>
                <w:rFonts w:ascii="Calibri" w:hAnsi="Calibri" w:eastAsia="Calibri" w:cs="Calibri"/>
                <w:color w:val="000000"/>
                <w:sz w:val="20"/>
              </w:rPr>
              <w:t xml:space="preserve">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60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19</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操作技能</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按照规范操作；如果放映时发生设备故障，及时按应急预案处理；放映结束后及时做好保洁工作；每天检查报告厅照明设施、座椅、踏步灯、通道门等是否完好，发现问题及时报修。</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发生放映设备故障时，不能及时按应急预案处理的，按情况扣</w:t>
            </w:r>
            <w:r>
              <w:rPr>
                <w:rFonts w:ascii="Calibri" w:hAnsi="Calibri" w:eastAsia="Calibri" w:cs="Calibri"/>
                <w:color w:val="000000"/>
                <w:sz w:val="20"/>
              </w:rPr>
              <w:t xml:space="preserve">2-6</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发现报告厅问题（照明设施、座椅、踏步灯、通道门等）不及时报修的，按情况扣</w:t>
            </w:r>
            <w:r>
              <w:rPr>
                <w:rFonts w:ascii="Calibri" w:hAnsi="Calibri" w:eastAsia="Calibri" w:cs="Calibri"/>
                <w:color w:val="000000"/>
                <w:sz w:val="20"/>
              </w:rPr>
              <w:t xml:space="preserve">1-4</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02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20</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严重违规情况</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在博物馆内，无论何种原因、何种矛盾，不允许与观众发生口角和肢体冲突，有问题按照正常途径解决。</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发现任何与观众发生纠纷的，每查实一例，扣</w:t>
            </w:r>
            <w:r>
              <w:rPr>
                <w:rFonts w:ascii="Calibri" w:hAnsi="Calibri" w:eastAsia="Calibri" w:cs="Calibri"/>
                <w:color w:val="000000"/>
                <w:sz w:val="20"/>
              </w:rPr>
              <w:t xml:space="preserve">10</w:t>
            </w:r>
            <w:r>
              <w:rPr>
                <w:rFonts w:ascii="Arial" w:hAnsi="Arial" w:eastAsia="Arial" w:cs="Arial"/>
                <w:color w:val="000000"/>
                <w:sz w:val="20"/>
              </w:rPr>
              <w:t xml:space="preserve">分。</w:t>
              <w:br/>
            </w:r>
            <w:r>
              <w:rPr>
                <w:rFonts w:ascii="Calibri" w:hAnsi="Calibri" w:eastAsia="Calibri" w:cs="Calibri"/>
                <w:color w:val="000000"/>
                <w:sz w:val="20"/>
              </w:rPr>
              <w:t xml:space="preserve">2.</w:t>
            </w:r>
            <w:r>
              <w:rPr>
                <w:rFonts w:ascii="Arial" w:hAnsi="Arial" w:eastAsia="Arial" w:cs="Arial"/>
                <w:color w:val="000000"/>
                <w:sz w:val="20"/>
              </w:rPr>
              <w:t xml:space="preserve">发生游客投诉事件，经核查后定性为有效投诉的，每发生一起扣</w:t>
            </w:r>
            <w:r>
              <w:rPr>
                <w:rFonts w:ascii="Calibri" w:hAnsi="Calibri" w:eastAsia="Calibri" w:cs="Calibri"/>
                <w:color w:val="000000"/>
                <w:sz w:val="20"/>
              </w:rPr>
              <w:t xml:space="preserve">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69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21</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7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设备设施管理板块</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设备机房</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设备机房定期清洁、无堆物、设备维护检修空间保持通畅</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设备机房未清洁每次扣</w:t>
            </w:r>
            <w:r>
              <w:rPr>
                <w:rFonts w:ascii="Calibri" w:hAnsi="Calibri" w:eastAsia="Calibri" w:cs="Calibri"/>
                <w:color w:val="000000"/>
                <w:sz w:val="20"/>
              </w:rPr>
              <w:t xml:space="preserve">0.5</w:t>
            </w:r>
            <w:r>
              <w:rPr>
                <w:rFonts w:ascii="Arial" w:hAnsi="Arial" w:eastAsia="Arial" w:cs="Arial"/>
                <w:color w:val="000000"/>
                <w:sz w:val="20"/>
              </w:rPr>
              <w:t xml:space="preserve">分</w:t>
              <w:br/>
            </w:r>
            <w:r>
              <w:rPr>
                <w:rFonts w:ascii="Calibri" w:hAnsi="Calibri" w:eastAsia="Calibri" w:cs="Calibri"/>
                <w:color w:val="000000"/>
                <w:sz w:val="20"/>
              </w:rPr>
              <w:t xml:space="preserve">2.</w:t>
            </w:r>
            <w:r>
              <w:rPr>
                <w:rFonts w:ascii="Arial" w:hAnsi="Arial" w:eastAsia="Arial" w:cs="Arial"/>
                <w:color w:val="000000"/>
                <w:sz w:val="20"/>
              </w:rPr>
              <w:t xml:space="preserve">机房存在堆物每次扣</w:t>
            </w:r>
            <w:r>
              <w:rPr>
                <w:rFonts w:ascii="Calibri" w:hAnsi="Calibri" w:eastAsia="Calibri" w:cs="Calibri"/>
                <w:color w:val="000000"/>
                <w:sz w:val="20"/>
              </w:rPr>
              <w:t xml:space="preserve">0.5</w:t>
            </w:r>
            <w:r>
              <w:rPr>
                <w:rFonts w:ascii="Arial" w:hAnsi="Arial" w:eastAsia="Arial" w:cs="Arial"/>
                <w:color w:val="000000"/>
                <w:sz w:val="20"/>
              </w:rPr>
              <w:t xml:space="preserve">分</w:t>
              <w:br/>
            </w:r>
            <w:r>
              <w:rPr>
                <w:rFonts w:ascii="Calibri" w:hAnsi="Calibri" w:eastAsia="Calibri" w:cs="Calibri"/>
                <w:color w:val="000000"/>
                <w:sz w:val="20"/>
              </w:rPr>
              <w:t xml:space="preserve">3.</w:t>
            </w:r>
            <w:r>
              <w:rPr>
                <w:rFonts w:ascii="Arial" w:hAnsi="Arial" w:eastAsia="Arial" w:cs="Arial"/>
                <w:color w:val="000000"/>
                <w:sz w:val="20"/>
              </w:rPr>
              <w:t xml:space="preserve">设备检修空间堵塞每次扣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2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22</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空气质量</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温度和湿度控制适宜、清晰、无异味、滤网干净</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不符合要求每次扣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23</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设备台账按要求规范填写</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rPr>
                <w:rFonts w:ascii="Arial" w:hAnsi="Arial" w:eastAsia="Arial" w:cs="Arial"/>
                <w:color w:val="000000"/>
                <w:sz w:val="22"/>
              </w:rPr>
              <w:t xml:space="preserve">不符合要求每次扣</w:t>
            </w:r>
            <w:r>
              <w:rPr>
                <w:rFonts w:ascii="Calibri" w:hAnsi="Calibri" w:eastAsia="Calibri" w:cs="Calibri"/>
                <w:color w:val="000000"/>
                <w:sz w:val="22"/>
              </w:rPr>
              <w:t xml:space="preserve">1</w:t>
            </w:r>
            <w:r>
              <w:rPr>
                <w:rFonts w:ascii="Arial" w:hAnsi="Arial" w:eastAsia="Arial" w:cs="Arial"/>
                <w:color w:val="000000"/>
                <w:sz w:val="22"/>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24</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低压配电柜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tcPr>
          <w:p>
            <w:pPr>
              <w:numPr>
                <w:ilvl w:val="0"/>
                <w:numId w:val="20"/>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配电柜外表完好，系统运行正常。 </w:t>
            </w:r>
            <w:r>
              <w:rPr>
                <w:rFonts w:ascii="Calibri" w:hAnsi="Calibri" w:eastAsia="Calibri" w:cs="Calibri"/>
                <w:color w:val="000000"/>
                <w:sz w:val="20"/>
              </w:rPr>
              <w:t xml:space="preserve">          </w:t>
            </w:r>
            <w:r/>
          </w:p>
          <w:p>
            <w:pPr>
              <w:numPr>
                <w:ilvl w:val="0"/>
                <w:numId w:val="20"/>
              </w:numP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rPr>
                <w:rFonts w:ascii="Arial" w:hAnsi="Arial" w:eastAsia="Arial" w:cs="Arial"/>
                <w:color w:val="000000"/>
                <w:sz w:val="20"/>
              </w:rPr>
              <w:t xml:space="preserve">操作机构功能齐全、指示灯、计量表等显示正常 </w:t>
            </w:r>
            <w:r>
              <w:rPr>
                <w:rFonts w:ascii="Calibri" w:hAnsi="Calibri" w:eastAsia="Calibri" w:cs="Calibri"/>
                <w:color w:val="000000"/>
                <w:sz w:val="20"/>
              </w:rPr>
              <w:t xml:space="preserve">                                       3</w:t>
            </w:r>
            <w:r>
              <w:rPr>
                <w:rFonts w:ascii="Arial" w:hAnsi="Arial" w:eastAsia="Arial" w:cs="Arial"/>
                <w:color w:val="000000"/>
                <w:sz w:val="20"/>
              </w:rPr>
              <w:t xml:space="preserve">、断路器操作可靠、自切功能正常有效 </w:t>
            </w:r>
            <w:r>
              <w:rPr>
                <w:rFonts w:ascii="Calibri" w:hAnsi="Calibri" w:eastAsia="Calibri" w:cs="Calibri"/>
                <w:color w:val="000000"/>
                <w:sz w:val="20"/>
              </w:rPr>
              <w:t xml:space="preserve">         4</w:t>
            </w:r>
            <w:r>
              <w:rPr>
                <w:rFonts w:ascii="Arial" w:hAnsi="Arial" w:eastAsia="Arial" w:cs="Arial"/>
                <w:color w:val="000000"/>
                <w:sz w:val="20"/>
              </w:rPr>
              <w:t xml:space="preserve">、进、出</w:t>
            </w:r>
            <w:r>
              <w:rPr>
                <w:rFonts w:ascii="SimSun" w:hAnsi="SimSun" w:eastAsia="SimSun" w:cs="SimSun"/>
                <w:color w:val="000000"/>
                <w:sz w:val="20"/>
              </w:rPr>
              <w:t xml:space="preserve">线</w:t>
            </w:r>
            <w:r>
              <w:rPr>
                <w:rFonts w:ascii="Arial" w:hAnsi="Arial" w:eastAsia="Arial" w:cs="Arial"/>
                <w:color w:val="000000"/>
                <w:sz w:val="20"/>
              </w:rPr>
              <w:t xml:space="preserve">端无热损现象。 </w:t>
            </w:r>
            <w:r>
              <w:rPr>
                <w:rFonts w:ascii="Calibri" w:hAnsi="Calibri" w:eastAsia="Calibri" w:cs="Calibri"/>
                <w:color w:val="000000"/>
                <w:sz w:val="20"/>
              </w:rPr>
              <w:t xml:space="preserve">                  5</w:t>
            </w:r>
            <w:r>
              <w:rPr>
                <w:rFonts w:ascii="Arial" w:hAnsi="Arial" w:eastAsia="Arial" w:cs="Arial"/>
                <w:color w:val="000000"/>
                <w:sz w:val="20"/>
              </w:rPr>
              <w:t xml:space="preserve">、各类用具齐全，合格有效。各类操作票及规章制度齐全。 </w:t>
            </w:r>
            <w:r>
              <w:rPr>
                <w:rFonts w:ascii="Calibri" w:hAnsi="Calibri" w:eastAsia="Calibri" w:cs="Calibri"/>
                <w:color w:val="000000"/>
                <w:sz w:val="20"/>
              </w:rPr>
              <w:t xml:space="preserve">                              6</w:t>
            </w:r>
            <w:r>
              <w:rPr>
                <w:rFonts w:ascii="Arial" w:hAnsi="Arial" w:eastAsia="Arial" w:cs="Arial"/>
                <w:color w:val="000000"/>
                <w:sz w:val="20"/>
              </w:rPr>
              <w:t xml:space="preserve">、环境整洁。</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每台配电柜有一项不合格的，扣除</w:t>
            </w:r>
            <w:r>
              <w:rPr>
                <w:rFonts w:ascii="Calibri" w:hAnsi="Calibri" w:eastAsia="Calibri" w:cs="Calibri"/>
                <w:color w:val="000000"/>
                <w:sz w:val="20"/>
              </w:rPr>
              <w:t xml:space="preserve">1</w:t>
            </w:r>
            <w:r>
              <w:rPr>
                <w:rFonts w:ascii="Arial" w:hAnsi="Arial" w:eastAsia="Arial" w:cs="Arial"/>
                <w:color w:val="000000"/>
                <w:sz w:val="20"/>
              </w:rPr>
              <w:t xml:space="preserve">分，但造成系统停电的，最高可扣除</w:t>
            </w:r>
            <w:r>
              <w:rPr>
                <w:rFonts w:ascii="Calibri" w:hAnsi="Calibri" w:eastAsia="Calibri" w:cs="Calibri"/>
                <w:color w:val="000000"/>
                <w:sz w:val="20"/>
              </w:rPr>
              <w:t xml:space="preserve">50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68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25</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直流屏</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numPr>
                <w:ilvl w:val="0"/>
                <w:numId w:val="21"/>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直流电源柜能正常输出操作电源。 </w:t>
            </w:r>
            <w:r>
              <w:rPr>
                <w:rFonts w:ascii="Calibri" w:hAnsi="Calibri" w:eastAsia="Calibri" w:cs="Calibri"/>
                <w:color w:val="000000"/>
                <w:sz w:val="20"/>
              </w:rPr>
              <w:t xml:space="preserve">          </w:t>
            </w:r>
            <w:r/>
          </w:p>
          <w:p>
            <w:pPr>
              <w:numPr>
                <w:ilvl w:val="0"/>
                <w:numId w:val="21"/>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指示灯、触摸屏等功能完善。 </w:t>
            </w:r>
            <w:r>
              <w:rPr>
                <w:rFonts w:ascii="Calibri" w:hAnsi="Calibri" w:eastAsia="Calibri" w:cs="Calibri"/>
                <w:color w:val="000000"/>
                <w:sz w:val="20"/>
              </w:rPr>
              <w:t xml:space="preserve">               </w:t>
            </w:r>
            <w:r/>
          </w:p>
          <w:p>
            <w:pPr>
              <w:numPr>
                <w:ilvl w:val="0"/>
                <w:numId w:val="21"/>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蓄电池组无异常。</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每台直流屏有一项不合格的，扣除</w:t>
            </w:r>
            <w:r>
              <w:rPr>
                <w:rFonts w:ascii="Calibri" w:hAnsi="Calibri" w:eastAsia="Calibri" w:cs="Calibri"/>
                <w:color w:val="000000"/>
                <w:sz w:val="20"/>
              </w:rPr>
              <w:t xml:space="preserve">1</w:t>
            </w:r>
            <w:r>
              <w:rPr>
                <w:rFonts w:ascii="Arial" w:hAnsi="Arial" w:eastAsia="Arial" w:cs="Arial"/>
                <w:color w:val="000000"/>
                <w:sz w:val="20"/>
              </w:rPr>
              <w:t xml:space="preserve">分，造成设备无法正常运行的，扣除</w:t>
            </w:r>
            <w:r>
              <w:rPr>
                <w:rFonts w:ascii="Calibri" w:hAnsi="Calibri" w:eastAsia="Calibri" w:cs="Calibri"/>
                <w:color w:val="000000"/>
                <w:sz w:val="20"/>
              </w:rPr>
              <w:t xml:space="preserve">3</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2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26</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配电箱系统（</w:t>
            </w:r>
            <w:r>
              <w:rPr>
                <w:rFonts w:ascii="SimSun" w:hAnsi="SimSun" w:eastAsia="SimSun" w:cs="SimSun"/>
                <w:color w:val="000000"/>
                <w:sz w:val="20"/>
              </w:rPr>
              <w:t xml:space="preserve">含</w:t>
            </w:r>
            <w:r>
              <w:rPr>
                <w:rFonts w:ascii="Arial" w:hAnsi="Arial" w:eastAsia="Arial" w:cs="Arial"/>
                <w:color w:val="000000"/>
                <w:sz w:val="20"/>
              </w:rPr>
              <w:t xml:space="preserve">照明、空调、母线插接箱、电缆、母线等）</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、运行正常、外表完好、各类标志正确有效。 </w:t>
            </w:r>
            <w:r>
              <w:rPr>
                <w:rFonts w:ascii="Calibri" w:hAnsi="Calibri" w:eastAsia="Calibri" w:cs="Calibri"/>
                <w:color w:val="000000"/>
                <w:sz w:val="20"/>
              </w:rPr>
              <w:t xml:space="preserve">                              2</w:t>
            </w:r>
            <w:r>
              <w:rPr>
                <w:rFonts w:ascii="Arial" w:hAnsi="Arial" w:eastAsia="Arial" w:cs="Arial"/>
                <w:color w:val="000000"/>
                <w:sz w:val="20"/>
              </w:rPr>
              <w:t xml:space="preserve">、各类按钮、指示灯、电压表、电流表等显示正常有效。 </w:t>
            </w:r>
            <w:r>
              <w:rPr>
                <w:rFonts w:ascii="Calibri" w:hAnsi="Calibri" w:eastAsia="Calibri" w:cs="Calibri"/>
                <w:color w:val="000000"/>
                <w:sz w:val="20"/>
              </w:rPr>
              <w:t xml:space="preserve">                                    3</w:t>
            </w:r>
            <w:r>
              <w:rPr>
                <w:rFonts w:ascii="Arial" w:hAnsi="Arial" w:eastAsia="Arial" w:cs="Arial"/>
                <w:color w:val="000000"/>
                <w:sz w:val="20"/>
              </w:rPr>
              <w:t xml:space="preserve">、各类元器件无缺陷，配置合理。 </w:t>
            </w:r>
            <w:r>
              <w:rPr>
                <w:rFonts w:ascii="Calibri" w:hAnsi="Calibri" w:eastAsia="Calibri" w:cs="Calibri"/>
                <w:color w:val="000000"/>
                <w:sz w:val="20"/>
              </w:rPr>
              <w:t xml:space="preserve">               4</w:t>
            </w:r>
            <w:r>
              <w:rPr>
                <w:rFonts w:ascii="Arial" w:hAnsi="Arial" w:eastAsia="Arial" w:cs="Arial"/>
                <w:color w:val="000000"/>
                <w:sz w:val="20"/>
              </w:rPr>
              <w:t xml:space="preserve">、箱体内部无积灰，无杂物，内部走线整洁规范，各类线号完整有效。</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每台配电箱有一项不合格的，扣除</w:t>
            </w:r>
            <w:r>
              <w:rPr>
                <w:rFonts w:ascii="Calibri" w:hAnsi="Calibri" w:eastAsia="Calibri" w:cs="Calibri"/>
                <w:color w:val="000000"/>
                <w:sz w:val="20"/>
              </w:rPr>
              <w:t xml:space="preserve">1</w:t>
            </w:r>
            <w:r>
              <w:rPr>
                <w:rFonts w:ascii="Arial" w:hAnsi="Arial" w:eastAsia="Arial" w:cs="Arial"/>
                <w:color w:val="000000"/>
                <w:sz w:val="20"/>
              </w:rPr>
              <w:t xml:space="preserve">分。由于配电箱故障造成区域停电的，每次配电箱故障扣除</w:t>
            </w:r>
            <w:r>
              <w:rPr>
                <w:rFonts w:ascii="Calibri" w:hAnsi="Calibri" w:eastAsia="Calibri" w:cs="Calibri"/>
                <w:color w:val="000000"/>
                <w:sz w:val="20"/>
              </w:rPr>
              <w:t xml:space="preserve">2</w:t>
            </w:r>
            <w:r>
              <w:rPr>
                <w:rFonts w:ascii="Arial" w:hAnsi="Arial" w:eastAsia="Arial" w:cs="Arial"/>
                <w:color w:val="000000"/>
                <w:sz w:val="20"/>
              </w:rPr>
              <w:t xml:space="preserve">分，最高累计</w:t>
            </w:r>
            <w:r>
              <w:rPr>
                <w:rFonts w:ascii="SimSun" w:hAnsi="SimSun" w:eastAsia="SimSun" w:cs="SimSun"/>
                <w:color w:val="000000"/>
                <w:sz w:val="20"/>
              </w:rPr>
              <w:t xml:space="preserve">扣</w:t>
            </w:r>
            <w:r>
              <w:rPr>
                <w:rFonts w:ascii="Calibri" w:hAnsi="Calibri" w:eastAsia="Calibri" w:cs="Calibri"/>
                <w:color w:val="000000"/>
                <w:sz w:val="20"/>
              </w:rPr>
              <w:t xml:space="preserve">16</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27</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各类设备控制柜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numPr>
                <w:ilvl w:val="0"/>
                <w:numId w:val="22"/>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运行正常、外表完好、各类标志正确有效。 </w:t>
            </w:r>
            <w:r>
              <w:rPr>
                <w:rFonts w:ascii="Calibri" w:hAnsi="Calibri" w:eastAsia="Calibri" w:cs="Calibri"/>
                <w:color w:val="000000"/>
                <w:sz w:val="20"/>
              </w:rPr>
              <w:t xml:space="preserve">                                2</w:t>
            </w:r>
            <w:r>
              <w:rPr>
                <w:rFonts w:ascii="Arial" w:hAnsi="Arial" w:eastAsia="Arial" w:cs="Arial"/>
                <w:color w:val="000000"/>
                <w:sz w:val="20"/>
              </w:rPr>
              <w:t xml:space="preserve">、控制功能完善，无缺陷。 </w:t>
            </w:r>
            <w:r>
              <w:rPr>
                <w:rFonts w:ascii="Calibri" w:hAnsi="Calibri" w:eastAsia="Calibri" w:cs="Calibri"/>
                <w:color w:val="000000"/>
                <w:sz w:val="20"/>
              </w:rPr>
              <w:t xml:space="preserve">                  3</w:t>
            </w:r>
            <w:r>
              <w:rPr>
                <w:rFonts w:ascii="Arial" w:hAnsi="Arial" w:eastAsia="Arial" w:cs="Arial"/>
                <w:color w:val="000000"/>
                <w:sz w:val="20"/>
              </w:rPr>
              <w:t xml:space="preserve">、各类元器件无缺陷，配置合理。 </w:t>
            </w:r>
            <w:r>
              <w:rPr>
                <w:rFonts w:ascii="Calibri" w:hAnsi="Calibri" w:eastAsia="Calibri" w:cs="Calibr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Arial" w:hAnsi="Arial" w:eastAsia="Arial" w:cs="Arial"/>
                <w:color w:val="000000"/>
                <w:sz w:val="20"/>
              </w:rPr>
              <w:t xml:space="preserve">、箱体内部无积灰，无杂物，内部走线整洁规范，各类线号完整有效。</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每台设备控制柜有一项不合格的</w:t>
            </w:r>
            <w:r>
              <w:rPr>
                <w:rFonts w:ascii="Calibri" w:hAnsi="Calibri" w:eastAsia="Calibri" w:cs="Calibri"/>
                <w:color w:val="000000"/>
                <w:sz w:val="20"/>
              </w:rPr>
              <w:t xml:space="preserve">,</w:t>
            </w:r>
            <w:r>
              <w:rPr>
                <w:rFonts w:ascii="Arial" w:hAnsi="Arial" w:eastAsia="Arial" w:cs="Arial"/>
                <w:color w:val="000000"/>
                <w:sz w:val="20"/>
              </w:rPr>
              <w:t xml:space="preserve">扣除</w:t>
            </w:r>
            <w:r>
              <w:rPr>
                <w:rFonts w:ascii="Calibri" w:hAnsi="Calibri" w:eastAsia="Calibri" w:cs="Calibri"/>
                <w:color w:val="000000"/>
                <w:sz w:val="20"/>
              </w:rPr>
              <w:t xml:space="preserve">2</w:t>
            </w:r>
            <w:r>
              <w:rPr>
                <w:rFonts w:ascii="Arial" w:hAnsi="Arial" w:eastAsia="Arial" w:cs="Arial"/>
                <w:color w:val="000000"/>
                <w:sz w:val="20"/>
              </w:rPr>
              <w:t xml:space="preserve">分。造成相关设备停运的，扣除</w:t>
            </w:r>
            <w:r>
              <w:rPr>
                <w:rFonts w:ascii="Calibri" w:hAnsi="Calibri" w:eastAsia="Calibri" w:cs="Calibri"/>
                <w:color w:val="000000"/>
                <w:sz w:val="20"/>
              </w:rPr>
              <w:t xml:space="preserve">2</w:t>
            </w:r>
            <w:r>
              <w:rPr>
                <w:rFonts w:ascii="Arial" w:hAnsi="Arial" w:eastAsia="Arial" w:cs="Arial"/>
                <w:color w:val="000000"/>
                <w:sz w:val="20"/>
              </w:rPr>
              <w:t xml:space="preserve">分，累计最高扣分</w:t>
            </w:r>
            <w:r>
              <w:rPr>
                <w:rFonts w:ascii="Calibri" w:hAnsi="Calibri" w:eastAsia="Calibri" w:cs="Calibri"/>
                <w:color w:val="000000"/>
                <w:sz w:val="20"/>
              </w:rPr>
              <w:t xml:space="preserve">4</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20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28</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报告厅配电柜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、运行正常、外表完好、各类标志正确有效。 </w:t>
            </w:r>
            <w:r>
              <w:rPr>
                <w:rFonts w:ascii="Calibri" w:hAnsi="Calibri" w:eastAsia="Calibri" w:cs="Calibri"/>
                <w:color w:val="000000"/>
                <w:sz w:val="20"/>
              </w:rPr>
              <w:t xml:space="preserve">                                2</w:t>
            </w:r>
            <w:r>
              <w:rPr>
                <w:rFonts w:ascii="Arial" w:hAnsi="Arial" w:eastAsia="Arial" w:cs="Arial"/>
                <w:color w:val="000000"/>
                <w:sz w:val="20"/>
              </w:rPr>
              <w:t xml:space="preserve">、各类按钮、指示灯、电压表、电流表等显示正常有效。 </w:t>
            </w:r>
            <w:r>
              <w:rPr>
                <w:rFonts w:ascii="Calibri" w:hAnsi="Calibri" w:eastAsia="Calibri" w:cs="Calibri"/>
                <w:color w:val="000000"/>
                <w:sz w:val="20"/>
              </w:rPr>
              <w:t xml:space="preserve">                                    3</w:t>
            </w:r>
            <w:r>
              <w:rPr>
                <w:rFonts w:ascii="Arial" w:hAnsi="Arial" w:eastAsia="Arial" w:cs="Arial"/>
                <w:color w:val="000000"/>
                <w:sz w:val="20"/>
              </w:rPr>
              <w:t xml:space="preserve">、各类元器件无缺陷，配置合理。 </w:t>
            </w:r>
            <w:r>
              <w:rPr>
                <w:rFonts w:ascii="Calibri" w:hAnsi="Calibri" w:eastAsia="Calibri" w:cs="Calibri"/>
                <w:color w:val="000000"/>
                <w:sz w:val="20"/>
              </w:rPr>
              <w:t xml:space="preserve">                 4</w:t>
            </w:r>
            <w:r>
              <w:rPr>
                <w:rFonts w:ascii="Arial" w:hAnsi="Arial" w:eastAsia="Arial" w:cs="Arial"/>
                <w:color w:val="000000"/>
                <w:sz w:val="20"/>
              </w:rPr>
              <w:t xml:space="preserve">、箱体内部无积灰，无杂物，内部走线整洁规范，各类线号完整有效。</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每台配电柜有一项不合格的，扣除</w:t>
            </w:r>
            <w:r>
              <w:rPr>
                <w:rFonts w:ascii="Calibri" w:hAnsi="Calibri" w:eastAsia="Calibri" w:cs="Calibri"/>
                <w:color w:val="000000"/>
                <w:sz w:val="20"/>
              </w:rPr>
              <w:t xml:space="preserve">1</w:t>
            </w:r>
            <w:r>
              <w:rPr>
                <w:rFonts w:ascii="Arial" w:hAnsi="Arial" w:eastAsia="Arial" w:cs="Arial"/>
                <w:color w:val="000000"/>
                <w:sz w:val="20"/>
              </w:rPr>
              <w:t xml:space="preserve">分。造成影院停映的，扣除</w:t>
            </w:r>
            <w:r>
              <w:rPr>
                <w:rFonts w:ascii="Calibri" w:hAnsi="Calibri" w:eastAsia="Calibri" w:cs="Calibri"/>
                <w:color w:val="000000"/>
                <w:sz w:val="20"/>
              </w:rPr>
              <w:t xml:space="preserve">2</w:t>
            </w:r>
            <w:r>
              <w:rPr>
                <w:rFonts w:ascii="Arial" w:hAnsi="Arial" w:eastAsia="Arial" w:cs="Arial"/>
                <w:color w:val="000000"/>
                <w:sz w:val="20"/>
              </w:rPr>
              <w:t xml:space="preserve">分，累计最高扣分</w:t>
            </w:r>
            <w:r>
              <w:rPr>
                <w:rFonts w:ascii="Calibri" w:hAnsi="Calibri" w:eastAsia="Calibri" w:cs="Calibri"/>
                <w:color w:val="000000"/>
                <w:sz w:val="20"/>
              </w:rPr>
              <w:t xml:space="preserve">4</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44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29</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室内照明（展区效果照明除外）</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、照明灯具整体完整，无缺陷，发光正常 </w:t>
            </w:r>
            <w:r>
              <w:rPr>
                <w:rFonts w:ascii="Calibri" w:hAnsi="Calibri" w:eastAsia="Calibri" w:cs="Calibri"/>
                <w:color w:val="000000"/>
                <w:sz w:val="20"/>
              </w:rPr>
              <w:t xml:space="preserve">                                 2</w:t>
            </w:r>
            <w:r>
              <w:rPr>
                <w:rFonts w:ascii="Arial" w:hAnsi="Arial" w:eastAsia="Arial" w:cs="Arial"/>
                <w:color w:val="000000"/>
                <w:sz w:val="20"/>
              </w:rPr>
              <w:t xml:space="preserve">、灯具安装规范，管线牢固，无松动现象 </w:t>
            </w:r>
            <w:r>
              <w:rPr>
                <w:rFonts w:ascii="Calibri" w:hAnsi="Calibri" w:eastAsia="Calibri" w:cs="Calibri"/>
                <w:color w:val="000000"/>
                <w:sz w:val="20"/>
              </w:rPr>
              <w:t xml:space="preserve">                                    3</w:t>
            </w:r>
            <w:r>
              <w:rPr>
                <w:rFonts w:ascii="Arial" w:hAnsi="Arial" w:eastAsia="Arial" w:cs="Arial"/>
                <w:color w:val="000000"/>
                <w:sz w:val="20"/>
              </w:rPr>
              <w:t xml:space="preserve">、对应的控制开关完好，控制有效。</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每套灯具有一项不合格的，扣除</w:t>
            </w:r>
            <w:r>
              <w:rPr>
                <w:rFonts w:ascii="Calibri" w:hAnsi="Calibri" w:eastAsia="Calibri" w:cs="Calibri"/>
                <w:color w:val="000000"/>
                <w:sz w:val="20"/>
              </w:rPr>
              <w:t xml:space="preserve">0.5</w:t>
            </w:r>
            <w:r>
              <w:rPr>
                <w:rFonts w:ascii="Arial" w:hAnsi="Arial" w:eastAsia="Arial" w:cs="Arial"/>
                <w:color w:val="000000"/>
                <w:sz w:val="20"/>
              </w:rPr>
              <w:t xml:space="preserve">分，影响全部室内照明系统正常运行的，最高可扣除</w:t>
            </w:r>
            <w:r>
              <w:rPr>
                <w:rFonts w:ascii="Calibri" w:hAnsi="Calibri" w:eastAsia="Calibri" w:cs="Calibri"/>
                <w:color w:val="000000"/>
                <w:sz w:val="20"/>
              </w:rPr>
              <w:t xml:space="preserve">4</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30</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泛光照明（含庭院灯、地理灯）</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、灯具整体完整，无缺陷，发光正常，照射范围合理。 </w:t>
            </w:r>
            <w:r>
              <w:rPr>
                <w:rFonts w:ascii="Calibri" w:hAnsi="Calibri" w:eastAsia="Calibri" w:cs="Calibri"/>
                <w:color w:val="000000"/>
                <w:sz w:val="20"/>
              </w:rPr>
              <w:t xml:space="preserve">                                      2</w:t>
            </w:r>
            <w:r>
              <w:rPr>
                <w:rFonts w:ascii="Arial" w:hAnsi="Arial" w:eastAsia="Arial" w:cs="Arial"/>
                <w:color w:val="000000"/>
                <w:sz w:val="20"/>
              </w:rPr>
              <w:t xml:space="preserve">、灯具安装牢固，无松动现象。 </w:t>
            </w:r>
            <w:r>
              <w:rPr>
                <w:rFonts w:ascii="Calibri" w:hAnsi="Calibri" w:eastAsia="Calibri" w:cs="Calibri"/>
                <w:color w:val="000000"/>
                <w:sz w:val="20"/>
              </w:rPr>
              <w:t xml:space="preserve">                 3</w:t>
            </w:r>
            <w:r>
              <w:rPr>
                <w:rFonts w:ascii="Arial" w:hAnsi="Arial" w:eastAsia="Arial" w:cs="Arial"/>
                <w:color w:val="000000"/>
                <w:sz w:val="20"/>
              </w:rPr>
              <w:t xml:space="preserve">、对应的控制开关完好，控制有效。</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每套灯具有一项不合格的，扣除</w:t>
            </w:r>
            <w:r>
              <w:rPr>
                <w:rFonts w:ascii="Calibri" w:hAnsi="Calibri" w:eastAsia="Calibri" w:cs="Calibri"/>
                <w:color w:val="000000"/>
                <w:sz w:val="20"/>
              </w:rPr>
              <w:t xml:space="preserve">0.5</w:t>
            </w:r>
            <w:r>
              <w:rPr>
                <w:rFonts w:ascii="Arial" w:hAnsi="Arial" w:eastAsia="Arial" w:cs="Arial"/>
                <w:color w:val="000000"/>
                <w:sz w:val="20"/>
              </w:rPr>
              <w:t xml:space="preserve">分，影响全部泛光照明系统正常运行的，最高可扣除</w:t>
            </w:r>
            <w:r>
              <w:rPr>
                <w:rFonts w:ascii="Calibri" w:hAnsi="Calibri" w:eastAsia="Calibri" w:cs="Calibri"/>
                <w:color w:val="000000"/>
                <w:sz w:val="20"/>
              </w:rPr>
              <w:t xml:space="preserve">2</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15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31</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各类消防应急灯</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numPr>
                <w:ilvl w:val="0"/>
                <w:numId w:val="23"/>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灯具整体完整，无缺陷，发光正常。 </w:t>
            </w:r>
            <w:r>
              <w:rPr>
                <w:rFonts w:ascii="Calibri" w:hAnsi="Calibri" w:eastAsia="Calibri" w:cs="Calibri"/>
                <w:color w:val="000000"/>
                <w:sz w:val="20"/>
              </w:rPr>
              <w:t xml:space="preserve">         </w:t>
            </w:r>
            <w:r/>
          </w:p>
          <w:p>
            <w:pPr>
              <w:numPr>
                <w:ilvl w:val="0"/>
                <w:numId w:val="23"/>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停电时，电池放电发光功能完善。</w:t>
            </w:r>
            <w:r/>
          </w:p>
          <w:p>
            <w:pPr>
              <w:numPr>
                <w:ilvl w:val="0"/>
                <w:numId w:val="23"/>
              </w:numP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灯具安装牢固，无松动现象。 </w:t>
            </w:r>
            <w:r>
              <w:rPr>
                <w:rFonts w:ascii="Calibri" w:hAnsi="Calibri" w:eastAsia="Calibri" w:cs="Calibri"/>
                <w:color w:val="000000"/>
                <w:sz w:val="20"/>
              </w:rPr>
              <w:t xml:space="preserve">               4</w:t>
            </w:r>
            <w:r>
              <w:rPr>
                <w:rFonts w:ascii="Arial" w:hAnsi="Arial" w:eastAsia="Arial" w:cs="Arial"/>
                <w:color w:val="000000"/>
                <w:sz w:val="20"/>
              </w:rPr>
              <w:t xml:space="preserve">、对应的控制开关完好，控制有效。</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每套灯具有一项不合格的，扣除</w:t>
            </w:r>
            <w:r>
              <w:rPr>
                <w:rFonts w:ascii="Calibri" w:hAnsi="Calibri" w:eastAsia="Calibri" w:cs="Calibri"/>
                <w:color w:val="000000"/>
                <w:sz w:val="20"/>
              </w:rPr>
              <w:t xml:space="preserve">0.5</w:t>
            </w:r>
            <w:r>
              <w:rPr>
                <w:rFonts w:ascii="Arial" w:hAnsi="Arial" w:eastAsia="Arial" w:cs="Arial"/>
                <w:color w:val="000000"/>
                <w:sz w:val="20"/>
              </w:rPr>
              <w:t xml:space="preserve">分，影响全部应急照明系统正常运行的，最高可扣</w:t>
            </w:r>
            <w:r>
              <w:rPr>
                <w:rFonts w:ascii="Calibri" w:hAnsi="Calibri" w:eastAsia="Calibri" w:cs="Calibri"/>
                <w:color w:val="000000"/>
                <w:sz w:val="20"/>
              </w:rPr>
              <w:t xml:space="preserve">4</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32</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开关、插座面板（含地面插座）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、开关面板、插座整体完整，无缺陷，功能完善。 </w:t>
            </w:r>
            <w:r>
              <w:rPr>
                <w:rFonts w:ascii="Calibri" w:hAnsi="Calibri" w:eastAsia="Calibri" w:cs="Calibri"/>
                <w:color w:val="000000"/>
                <w:sz w:val="20"/>
              </w:rPr>
              <w:t xml:space="preserve">                            2</w:t>
            </w:r>
            <w:r>
              <w:rPr>
                <w:rFonts w:ascii="Arial" w:hAnsi="Arial" w:eastAsia="Arial" w:cs="Arial"/>
                <w:color w:val="000000"/>
                <w:sz w:val="20"/>
              </w:rPr>
              <w:t xml:space="preserve">、安装规范、管线牢固、无松动现象，采用隐蔽方式安装。 </w:t>
            </w:r>
            <w:r>
              <w:rPr>
                <w:rFonts w:ascii="Calibri" w:hAnsi="Calibri" w:eastAsia="Calibri" w:cs="Calibri"/>
                <w:color w:val="000000"/>
                <w:sz w:val="20"/>
              </w:rPr>
              <w:t xml:space="preserve">                                  3</w:t>
            </w:r>
            <w:r>
              <w:rPr>
                <w:rFonts w:ascii="Arial" w:hAnsi="Arial" w:eastAsia="Arial" w:cs="Arial"/>
                <w:color w:val="000000"/>
                <w:sz w:val="20"/>
              </w:rPr>
              <w:t xml:space="preserve">、插座漏电保护功能可靠。</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每套开关、插座有一项不合格的，扣</w:t>
            </w:r>
            <w:r>
              <w:rPr>
                <w:rFonts w:ascii="Calibri" w:hAnsi="Calibri" w:eastAsia="Calibri" w:cs="Calibri"/>
                <w:color w:val="000000"/>
                <w:sz w:val="20"/>
              </w:rPr>
              <w:t xml:space="preserve">0.5</w:t>
            </w:r>
            <w:r>
              <w:rPr>
                <w:rFonts w:ascii="Arial" w:hAnsi="Arial" w:eastAsia="Arial" w:cs="Arial"/>
                <w:color w:val="000000"/>
                <w:sz w:val="20"/>
              </w:rPr>
              <w:t xml:space="preserve">分，造成使用部门无法正常工作的，扣除</w:t>
            </w:r>
            <w:r>
              <w:rPr>
                <w:rFonts w:ascii="Calibri" w:hAnsi="Calibri" w:eastAsia="Calibri" w:cs="Calibri"/>
                <w:color w:val="000000"/>
                <w:sz w:val="20"/>
              </w:rPr>
              <w:t xml:space="preserve">2</w:t>
            </w:r>
            <w:r>
              <w:rPr>
                <w:rFonts w:ascii="Arial" w:hAnsi="Arial" w:eastAsia="Arial" w:cs="Arial"/>
                <w:color w:val="000000"/>
                <w:sz w:val="20"/>
              </w:rPr>
              <w:t xml:space="preserve">分，最高可扣除</w:t>
            </w:r>
            <w:r>
              <w:rPr>
                <w:rFonts w:ascii="Calibri" w:hAnsi="Calibri" w:eastAsia="Calibri" w:cs="Calibri"/>
                <w:color w:val="000000"/>
                <w:sz w:val="20"/>
              </w:rPr>
              <w:t xml:space="preserve">4</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33</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各类机械设备</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、各类设备完好无损，无缺陷，使用功能完善。 </w:t>
            </w:r>
            <w:r>
              <w:rPr>
                <w:rFonts w:ascii="Calibri" w:hAnsi="Calibri" w:eastAsia="Calibri" w:cs="Calibri"/>
                <w:color w:val="000000"/>
                <w:sz w:val="20"/>
              </w:rPr>
              <w:t xml:space="preserve">                              2</w:t>
            </w:r>
            <w:r>
              <w:rPr>
                <w:rFonts w:ascii="Arial" w:hAnsi="Arial" w:eastAsia="Arial" w:cs="Arial"/>
                <w:color w:val="000000"/>
                <w:sz w:val="20"/>
              </w:rPr>
              <w:t xml:space="preserve">、部分设备专人持证操作 </w:t>
            </w:r>
            <w:r>
              <w:rPr>
                <w:rFonts w:ascii="Calibri" w:hAnsi="Calibri" w:eastAsia="Calibri" w:cs="Calibri"/>
                <w:color w:val="000000"/>
                <w:sz w:val="20"/>
              </w:rPr>
              <w:t xml:space="preserve">                     3</w:t>
            </w:r>
            <w:r>
              <w:rPr>
                <w:rFonts w:ascii="Arial" w:hAnsi="Arial" w:eastAsia="Arial" w:cs="Arial"/>
                <w:color w:val="000000"/>
                <w:sz w:val="20"/>
              </w:rPr>
              <w:t xml:space="preserve">、维保制度齐全</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每台设备有一项个不合格的，扣除</w:t>
            </w:r>
            <w:r>
              <w:rPr>
                <w:rFonts w:ascii="Calibri" w:hAnsi="Calibri" w:eastAsia="Calibri" w:cs="Calibri"/>
                <w:color w:val="000000"/>
                <w:sz w:val="20"/>
              </w:rPr>
              <w:t xml:space="preserve">1</w:t>
            </w:r>
            <w:r>
              <w:rPr>
                <w:rFonts w:ascii="Arial" w:hAnsi="Arial" w:eastAsia="Arial" w:cs="Arial"/>
                <w:color w:val="000000"/>
                <w:sz w:val="20"/>
              </w:rPr>
              <w:t xml:space="preserve">分，最高累计口</w:t>
            </w:r>
            <w:r>
              <w:rPr>
                <w:rFonts w:ascii="Calibri" w:hAnsi="Calibri" w:eastAsia="Calibri" w:cs="Calibri"/>
                <w:color w:val="000000"/>
                <w:sz w:val="20"/>
              </w:rPr>
              <w:t xml:space="preserve">6</w:t>
            </w:r>
            <w:r>
              <w:rPr>
                <w:rFonts w:ascii="Arial" w:hAnsi="Arial" w:eastAsia="Arial" w:cs="Arial"/>
                <w:color w:val="000000"/>
                <w:sz w:val="20"/>
              </w:rPr>
              <w:t xml:space="preserve">分。违规操作造成安全事故的，最高可扣除</w:t>
            </w:r>
            <w:r>
              <w:rPr>
                <w:rFonts w:ascii="Calibri" w:hAnsi="Calibri" w:eastAsia="Calibri" w:cs="Calibri"/>
                <w:color w:val="000000"/>
                <w:sz w:val="20"/>
              </w:rPr>
              <w:t xml:space="preserve">50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各类电机</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、电动机运行正常，各类参数无异常。 </w:t>
            </w:r>
            <w:r>
              <w:rPr>
                <w:rFonts w:ascii="Calibri" w:hAnsi="Calibri" w:eastAsia="Calibri" w:cs="Calibri"/>
                <w:color w:val="000000"/>
                <w:sz w:val="20"/>
              </w:rPr>
              <w:t xml:space="preserve">          2</w:t>
            </w:r>
            <w:r>
              <w:rPr>
                <w:rFonts w:ascii="Arial" w:hAnsi="Arial" w:eastAsia="Arial" w:cs="Arial"/>
                <w:color w:val="000000"/>
                <w:sz w:val="20"/>
              </w:rPr>
              <w:t xml:space="preserve">、维修及时，不影响相关设备正常运行</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每台电机不合格，扣除</w:t>
            </w:r>
            <w:r>
              <w:rPr>
                <w:rFonts w:ascii="Calibri" w:hAnsi="Calibri" w:eastAsia="Calibri" w:cs="Calibri"/>
                <w:color w:val="000000"/>
                <w:sz w:val="20"/>
              </w:rPr>
              <w:t xml:space="preserve">0.5</w:t>
            </w:r>
            <w:r>
              <w:rPr>
                <w:rFonts w:ascii="Arial" w:hAnsi="Arial" w:eastAsia="Arial" w:cs="Arial"/>
                <w:color w:val="000000"/>
                <w:sz w:val="20"/>
              </w:rPr>
              <w:t xml:space="preserve">分，最高累计扣</w:t>
            </w:r>
            <w:r>
              <w:rPr>
                <w:rFonts w:ascii="Calibri" w:hAnsi="Calibri" w:eastAsia="Calibri" w:cs="Calibri"/>
                <w:color w:val="000000"/>
                <w:sz w:val="20"/>
              </w:rPr>
              <w:t xml:space="preserve">4</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8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35</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电梯</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各类电梯运行正常，辅助设施完整，并通过上海市检测单位的年检，设备完好，无缺陷。</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每台电梯故障停运，扣除</w:t>
            </w:r>
            <w:r>
              <w:rPr>
                <w:rFonts w:ascii="Calibri" w:hAnsi="Calibri" w:eastAsia="Calibri" w:cs="Calibri"/>
                <w:color w:val="000000"/>
                <w:sz w:val="20"/>
              </w:rPr>
              <w:t xml:space="preserve">0.5</w:t>
            </w:r>
            <w:r>
              <w:rPr>
                <w:rFonts w:ascii="Arial" w:hAnsi="Arial" w:eastAsia="Arial" w:cs="Arial"/>
                <w:color w:val="000000"/>
                <w:sz w:val="20"/>
              </w:rPr>
              <w:t xml:space="preserve">分，外观缺陷扣除</w:t>
            </w:r>
            <w:r>
              <w:rPr>
                <w:rFonts w:ascii="Calibri" w:hAnsi="Calibri" w:eastAsia="Calibri" w:cs="Calibri"/>
                <w:color w:val="000000"/>
                <w:sz w:val="20"/>
              </w:rPr>
              <w:t xml:space="preserve">0.5</w:t>
            </w:r>
            <w:r>
              <w:rPr>
                <w:rFonts w:ascii="Arial" w:hAnsi="Arial" w:eastAsia="Arial" w:cs="Arial"/>
                <w:color w:val="000000"/>
                <w:sz w:val="20"/>
              </w:rPr>
              <w:t xml:space="preserve">分，桥箱关人扣除</w:t>
            </w:r>
            <w:r>
              <w:rPr>
                <w:rFonts w:ascii="Calibri" w:hAnsi="Calibri" w:eastAsia="Calibri" w:cs="Calibri"/>
                <w:color w:val="000000"/>
                <w:sz w:val="20"/>
              </w:rPr>
              <w:t xml:space="preserve">10</w:t>
            </w:r>
            <w:r>
              <w:rPr>
                <w:rFonts w:ascii="Arial" w:hAnsi="Arial" w:eastAsia="Arial" w:cs="Arial"/>
                <w:color w:val="000000"/>
                <w:sz w:val="20"/>
              </w:rPr>
              <w:t xml:space="preserve">分，最高累计口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48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36</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给水系统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变频水泵外观完好、无滴漏、润滑良好、运行无异响、稳压罐工作正常、自闭式平衡阀工作正常、水箱外表清洁、管道阀门外观完好、无滴漏、反冲洗系统工作正常、阀门开关灵活、表具无损坏、设备及其连接管道表面无积灰、无锈迹、系统正常</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水泵外观不完好每次扣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2.</w:t>
            </w:r>
            <w:r>
              <w:rPr>
                <w:rFonts w:ascii="Arial" w:hAnsi="Arial" w:eastAsia="Arial" w:cs="Arial"/>
                <w:color w:val="000000"/>
                <w:sz w:val="20"/>
              </w:rPr>
              <w:t xml:space="preserve">系统不正常每处扣</w:t>
            </w:r>
            <w:r>
              <w:rPr>
                <w:rFonts w:ascii="Calibri" w:hAnsi="Calibri" w:eastAsia="Calibri" w:cs="Calibri"/>
                <w:color w:val="000000"/>
                <w:sz w:val="20"/>
              </w:rPr>
              <w:t xml:space="preserve">2</w:t>
            </w:r>
            <w:r>
              <w:rPr>
                <w:rFonts w:ascii="Arial" w:hAnsi="Arial" w:eastAsia="Arial" w:cs="Arial"/>
                <w:color w:val="000000"/>
                <w:sz w:val="20"/>
              </w:rPr>
              <w:t xml:space="preserve">分 </w:t>
            </w:r>
            <w:r>
              <w:rPr>
                <w:rFonts w:ascii="Calibri" w:hAnsi="Calibri" w:eastAsia="Calibri" w:cs="Calibri"/>
                <w:color w:val="000000"/>
                <w:sz w:val="20"/>
              </w:rPr>
              <w:t xml:space="preserve">                                3.</w:t>
            </w:r>
            <w:r>
              <w:rPr>
                <w:rFonts w:ascii="Arial" w:hAnsi="Arial" w:eastAsia="Arial" w:cs="Arial"/>
                <w:color w:val="000000"/>
                <w:sz w:val="20"/>
              </w:rPr>
              <w:t xml:space="preserve">阀门开关不灵活每只扣</w:t>
            </w:r>
            <w:r>
              <w:rPr>
                <w:rFonts w:ascii="Calibri" w:hAnsi="Calibri" w:eastAsia="Calibri" w:cs="Calibri"/>
                <w:color w:val="000000"/>
                <w:sz w:val="20"/>
              </w:rPr>
              <w:t xml:space="preserve">0.5</w:t>
            </w:r>
            <w:r>
              <w:rPr>
                <w:rFonts w:ascii="Arial" w:hAnsi="Arial" w:eastAsia="Arial" w:cs="Arial"/>
                <w:color w:val="000000"/>
                <w:sz w:val="20"/>
              </w:rPr>
              <w:t xml:space="preserve">分 </w:t>
            </w:r>
            <w:r>
              <w:rPr>
                <w:rFonts w:ascii="Calibri" w:hAnsi="Calibri" w:eastAsia="Calibri" w:cs="Calibri"/>
                <w:color w:val="000000"/>
                <w:sz w:val="20"/>
              </w:rPr>
              <w:t xml:space="preserve">                          4.</w:t>
            </w:r>
            <w:r>
              <w:rPr>
                <w:rFonts w:ascii="Arial" w:hAnsi="Arial" w:eastAsia="Arial" w:cs="Arial"/>
                <w:color w:val="000000"/>
                <w:sz w:val="20"/>
              </w:rPr>
              <w:t xml:space="preserve">表具有损坏每只扣</w:t>
            </w:r>
            <w:r>
              <w:rPr>
                <w:rFonts w:ascii="Calibri" w:hAnsi="Calibri" w:eastAsia="Calibri" w:cs="Calibri"/>
                <w:color w:val="000000"/>
                <w:sz w:val="20"/>
              </w:rPr>
              <w:t xml:space="preserve">0.5</w:t>
            </w:r>
            <w:r>
              <w:rPr>
                <w:rFonts w:ascii="Arial" w:hAnsi="Arial" w:eastAsia="Arial" w:cs="Arial"/>
                <w:color w:val="000000"/>
                <w:sz w:val="20"/>
              </w:rPr>
              <w:t xml:space="preserve">分 </w:t>
            </w:r>
            <w:r>
              <w:rPr>
                <w:rFonts w:ascii="Calibri" w:hAnsi="Calibri" w:eastAsia="Calibri" w:cs="Calibri"/>
                <w:color w:val="000000"/>
                <w:sz w:val="20"/>
              </w:rPr>
              <w:t xml:space="preserve">                              5.</w:t>
            </w:r>
            <w:r>
              <w:rPr>
                <w:rFonts w:ascii="Arial" w:hAnsi="Arial" w:eastAsia="Arial" w:cs="Arial"/>
                <w:color w:val="000000"/>
                <w:sz w:val="20"/>
              </w:rPr>
              <w:t xml:space="preserve">稳压罐异常每次扣</w:t>
            </w:r>
            <w:r>
              <w:rPr>
                <w:rFonts w:ascii="Calibri" w:hAnsi="Calibri" w:eastAsia="Calibri" w:cs="Calibri"/>
                <w:color w:val="000000"/>
                <w:sz w:val="20"/>
              </w:rPr>
              <w:t xml:space="preserve">0.5</w:t>
            </w:r>
            <w:r>
              <w:rPr>
                <w:rFonts w:ascii="Arial" w:hAnsi="Arial" w:eastAsia="Arial" w:cs="Arial"/>
                <w:color w:val="000000"/>
                <w:sz w:val="20"/>
              </w:rPr>
              <w:t xml:space="preserve">分 </w:t>
            </w:r>
            <w:r>
              <w:rPr>
                <w:rFonts w:ascii="Calibri" w:hAnsi="Calibri" w:eastAsia="Calibri" w:cs="Calibri"/>
                <w:color w:val="000000"/>
                <w:sz w:val="20"/>
              </w:rPr>
              <w:t xml:space="preserve">                              6.</w:t>
            </w:r>
            <w:r>
              <w:rPr>
                <w:rFonts w:ascii="Arial" w:hAnsi="Arial" w:eastAsia="Arial" w:cs="Arial"/>
                <w:color w:val="000000"/>
                <w:sz w:val="20"/>
              </w:rPr>
              <w:t xml:space="preserve">润滑不良每次扣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7.</w:t>
            </w:r>
            <w:r>
              <w:rPr>
                <w:rFonts w:ascii="Arial" w:hAnsi="Arial" w:eastAsia="Arial" w:cs="Arial"/>
                <w:color w:val="000000"/>
                <w:sz w:val="20"/>
              </w:rPr>
              <w:t xml:space="preserve">机房、设备积灰每处扣</w:t>
            </w:r>
            <w:r>
              <w:rPr>
                <w:rFonts w:ascii="Calibri" w:hAnsi="Calibri" w:eastAsia="Calibri" w:cs="Calibri"/>
                <w:color w:val="000000"/>
                <w:sz w:val="20"/>
              </w:rPr>
              <w:t xml:space="preserve">0.5</w:t>
            </w:r>
            <w:r>
              <w:rPr>
                <w:rFonts w:ascii="Arial" w:hAnsi="Arial" w:eastAsia="Arial" w:cs="Arial"/>
                <w:color w:val="000000"/>
                <w:sz w:val="20"/>
              </w:rPr>
              <w:t xml:space="preserve">分 </w:t>
            </w:r>
            <w:r>
              <w:rPr>
                <w:rFonts w:ascii="Calibri" w:hAnsi="Calibri" w:eastAsia="Calibri" w:cs="Calibri"/>
                <w:color w:val="000000"/>
                <w:sz w:val="20"/>
              </w:rPr>
              <w:t xml:space="preserve">                           8.</w:t>
            </w:r>
            <w:r>
              <w:rPr>
                <w:rFonts w:ascii="Arial" w:hAnsi="Arial" w:eastAsia="Arial" w:cs="Arial"/>
                <w:color w:val="000000"/>
                <w:sz w:val="20"/>
              </w:rPr>
              <w:t xml:space="preserve">自闭式平衡阀异常每处扣</w:t>
            </w:r>
            <w:r>
              <w:rPr>
                <w:rFonts w:ascii="Calibri" w:hAnsi="Calibri" w:eastAsia="Calibri" w:cs="Calibri"/>
                <w:color w:val="000000"/>
                <w:sz w:val="20"/>
              </w:rPr>
              <w:t xml:space="preserve">1</w:t>
            </w:r>
            <w:r>
              <w:rPr>
                <w:rFonts w:ascii="Arial" w:hAnsi="Arial" w:eastAsia="Arial" w:cs="Arial"/>
                <w:color w:val="000000"/>
                <w:sz w:val="20"/>
              </w:rPr>
              <w:t xml:space="preserve">分</w:t>
            </w:r>
            <w:r>
              <w:rPr>
                <w:rFonts w:ascii="Calibri" w:hAnsi="Calibri" w:eastAsia="Calibri" w:cs="Calibri"/>
                <w:color w:val="000000"/>
                <w:sz w:val="20"/>
              </w:rPr>
              <w:t xml:space="preserve">9.</w:t>
            </w:r>
            <w:r>
              <w:rPr>
                <w:rFonts w:ascii="Arial" w:hAnsi="Arial" w:eastAsia="Arial" w:cs="Arial"/>
                <w:color w:val="000000"/>
                <w:sz w:val="20"/>
              </w:rPr>
              <w:t xml:space="preserve">有无滴漏每次扣</w:t>
            </w:r>
            <w:r>
              <w:rPr>
                <w:rFonts w:ascii="Calibri" w:hAnsi="Calibri" w:eastAsia="Calibri" w:cs="Calibri"/>
                <w:color w:val="000000"/>
                <w:sz w:val="20"/>
              </w:rPr>
              <w:t xml:space="preserve">0.5</w:t>
            </w:r>
            <w:r>
              <w:rPr>
                <w:rFonts w:ascii="Arial" w:hAnsi="Arial" w:eastAsia="Arial" w:cs="Arial"/>
                <w:color w:val="000000"/>
                <w:sz w:val="20"/>
              </w:rPr>
              <w:t xml:space="preserve">分 </w:t>
            </w:r>
            <w:r>
              <w:rPr>
                <w:rFonts w:ascii="Calibri" w:hAnsi="Calibri" w:eastAsia="Calibri" w:cs="Calibri"/>
                <w:color w:val="000000"/>
                <w:sz w:val="20"/>
              </w:rPr>
              <w:t xml:space="preserve">                                10.</w:t>
            </w:r>
            <w:r>
              <w:rPr>
                <w:rFonts w:ascii="Arial" w:hAnsi="Arial" w:eastAsia="Arial" w:cs="Arial"/>
                <w:color w:val="000000"/>
                <w:sz w:val="20"/>
              </w:rPr>
              <w:t xml:space="preserve">反冲洗系统异常每次扣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25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37</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雨水系统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虹吸系统工作正常、无泄漏、雨水井无堵塞、雨水管道通畅、地漏通畅</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虹吸系统异常每处扣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2.</w:t>
            </w:r>
            <w:r>
              <w:rPr>
                <w:rFonts w:ascii="Arial" w:hAnsi="Arial" w:eastAsia="Arial" w:cs="Arial"/>
                <w:color w:val="000000"/>
                <w:sz w:val="20"/>
              </w:rPr>
              <w:t xml:space="preserve">雨水井堵塞每次扣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3.</w:t>
            </w:r>
            <w:r>
              <w:rPr>
                <w:rFonts w:ascii="Arial" w:hAnsi="Arial" w:eastAsia="Arial" w:cs="Arial"/>
                <w:color w:val="000000"/>
                <w:sz w:val="20"/>
              </w:rPr>
              <w:t xml:space="preserve">雨水管道堵塞每次扣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4.</w:t>
            </w:r>
            <w:r>
              <w:rPr>
                <w:rFonts w:ascii="Arial" w:hAnsi="Arial" w:eastAsia="Arial" w:cs="Arial"/>
                <w:color w:val="000000"/>
                <w:sz w:val="20"/>
              </w:rPr>
              <w:t xml:space="preserve">地漏不通畅每次扣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38</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卫生洁具</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卫生洁具外观完好、无滴漏现象、手柄转动松紧度适宜；水箱水位适宜、便斗感应器冲水量适宜、龙头紧固螺栓紧固、座便器底部无渗漏、座便器</w:t>
            </w:r>
            <w:r>
              <w:rPr>
                <w:rFonts w:ascii="Calibri" w:hAnsi="Calibri" w:eastAsia="Calibri" w:cs="Calibri"/>
                <w:color w:val="000000"/>
                <w:sz w:val="20"/>
              </w:rPr>
              <w:t xml:space="preserve">/</w:t>
            </w:r>
            <w:r>
              <w:rPr>
                <w:rFonts w:ascii="Arial" w:hAnsi="Arial" w:eastAsia="Arial" w:cs="Arial"/>
                <w:color w:val="000000"/>
                <w:sz w:val="20"/>
              </w:rPr>
              <w:t xml:space="preserve">便斗无堵塞、盆塞连杆调节适宜、水箱内阀门</w:t>
            </w:r>
            <w:r>
              <w:rPr>
                <w:rFonts w:ascii="Calibri" w:hAnsi="Calibri" w:eastAsia="Calibri" w:cs="Calibri"/>
                <w:color w:val="000000"/>
                <w:sz w:val="20"/>
              </w:rPr>
              <w:t xml:space="preserve">/</w:t>
            </w:r>
            <w:r>
              <w:rPr>
                <w:rFonts w:ascii="Arial" w:hAnsi="Arial" w:eastAsia="Arial" w:cs="Arial"/>
                <w:color w:val="000000"/>
                <w:sz w:val="20"/>
              </w:rPr>
              <w:t xml:space="preserve">拍盖</w:t>
            </w:r>
            <w:r>
              <w:rPr>
                <w:rFonts w:ascii="Calibri" w:hAnsi="Calibri" w:eastAsia="Calibri" w:cs="Calibri"/>
                <w:color w:val="000000"/>
                <w:sz w:val="20"/>
              </w:rPr>
              <w:t xml:space="preserve">/</w:t>
            </w:r>
            <w:r>
              <w:rPr>
                <w:rFonts w:ascii="Arial" w:hAnsi="Arial" w:eastAsia="Arial" w:cs="Arial"/>
                <w:color w:val="000000"/>
                <w:sz w:val="20"/>
              </w:rPr>
              <w:t xml:space="preserve">链条</w:t>
            </w:r>
            <w:r>
              <w:rPr>
                <w:rFonts w:ascii="Calibri" w:hAnsi="Calibri" w:eastAsia="Calibri" w:cs="Calibri"/>
                <w:color w:val="000000"/>
                <w:sz w:val="20"/>
              </w:rPr>
              <w:t xml:space="preserve">/</w:t>
            </w:r>
            <w:r>
              <w:rPr>
                <w:rFonts w:ascii="Arial" w:hAnsi="Arial" w:eastAsia="Arial" w:cs="Arial"/>
                <w:color w:val="000000"/>
                <w:sz w:val="20"/>
              </w:rPr>
              <w:t xml:space="preserve">盖板螺丝工作正常、隔板和门完好、配件齐全</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座便器堵塞每次扣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2.</w:t>
            </w:r>
            <w:r>
              <w:rPr>
                <w:rFonts w:ascii="Arial" w:hAnsi="Arial" w:eastAsia="Arial" w:cs="Arial"/>
                <w:color w:val="000000"/>
                <w:sz w:val="20"/>
              </w:rPr>
              <w:t xml:space="preserve">便斗堵塞每次扣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3.</w:t>
            </w:r>
            <w:r>
              <w:rPr>
                <w:rFonts w:ascii="Arial" w:hAnsi="Arial" w:eastAsia="Arial" w:cs="Arial"/>
                <w:color w:val="000000"/>
                <w:sz w:val="20"/>
              </w:rPr>
              <w:t xml:space="preserve">水箱漏水每只扣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4.</w:t>
            </w:r>
            <w:r>
              <w:rPr>
                <w:rFonts w:ascii="Arial" w:hAnsi="Arial" w:eastAsia="Arial" w:cs="Arial"/>
                <w:color w:val="000000"/>
                <w:sz w:val="20"/>
              </w:rPr>
              <w:t xml:space="preserve">龙头漏水每次扣</w:t>
            </w:r>
            <w:r>
              <w:rPr>
                <w:rFonts w:ascii="Calibri" w:hAnsi="Calibri" w:eastAsia="Calibri" w:cs="Calibri"/>
                <w:color w:val="000000"/>
                <w:sz w:val="20"/>
              </w:rPr>
              <w:t xml:space="preserve">0.5</w:t>
            </w:r>
            <w:r>
              <w:rPr>
                <w:rFonts w:ascii="Arial" w:hAnsi="Arial" w:eastAsia="Arial" w:cs="Arial"/>
                <w:color w:val="000000"/>
                <w:sz w:val="20"/>
              </w:rPr>
              <w:t xml:space="preserve">分 </w:t>
            </w:r>
            <w:r>
              <w:rPr>
                <w:rFonts w:ascii="Calibri" w:hAnsi="Calibri" w:eastAsia="Calibri" w:cs="Calibri"/>
                <w:color w:val="000000"/>
                <w:sz w:val="20"/>
              </w:rPr>
              <w:t xml:space="preserve">                                5.</w:t>
            </w:r>
            <w:r>
              <w:rPr>
                <w:rFonts w:ascii="Arial" w:hAnsi="Arial" w:eastAsia="Arial" w:cs="Arial"/>
                <w:color w:val="000000"/>
                <w:sz w:val="20"/>
              </w:rPr>
              <w:t xml:space="preserve">感应器工作异常每次扣</w:t>
            </w:r>
            <w:r>
              <w:rPr>
                <w:rFonts w:ascii="Calibri" w:hAnsi="Calibri" w:eastAsia="Calibri" w:cs="Calibri"/>
                <w:color w:val="000000"/>
                <w:sz w:val="20"/>
              </w:rPr>
              <w:t xml:space="preserve">0.5</w:t>
            </w:r>
            <w:r>
              <w:rPr>
                <w:rFonts w:ascii="Arial" w:hAnsi="Arial" w:eastAsia="Arial" w:cs="Arial"/>
                <w:color w:val="000000"/>
                <w:sz w:val="20"/>
              </w:rPr>
              <w:t xml:space="preserve">分 </w:t>
            </w:r>
            <w:r>
              <w:rPr>
                <w:rFonts w:ascii="Calibri" w:hAnsi="Calibri" w:eastAsia="Calibri" w:cs="Calibri"/>
                <w:color w:val="000000"/>
                <w:sz w:val="20"/>
              </w:rPr>
              <w:t xml:space="preserve">                           6.</w:t>
            </w:r>
            <w:r>
              <w:rPr>
                <w:rFonts w:ascii="Arial" w:hAnsi="Arial" w:eastAsia="Arial" w:cs="Arial"/>
                <w:color w:val="000000"/>
                <w:sz w:val="20"/>
              </w:rPr>
              <w:t xml:space="preserve">水箱工作异常每次扣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7.</w:t>
            </w:r>
            <w:r>
              <w:rPr>
                <w:rFonts w:ascii="Arial" w:hAnsi="Arial" w:eastAsia="Arial" w:cs="Arial"/>
                <w:color w:val="000000"/>
                <w:sz w:val="20"/>
              </w:rPr>
              <w:t xml:space="preserve">阀门漏水每次扣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68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39</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建筑主体结构工程</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建筑基础，承重墙体，柱、梁、楼板、屋顶等主要承重构部件（含建筑变形缝）的定期检查与维护，确保完好和正常使用。每周进行巡查并记录，发现问题及时报告并组织维修处理，各项检查、维修台账记录完整，月度完好率</w:t>
            </w:r>
            <w:r>
              <w:rPr>
                <w:rFonts w:ascii="Calibri" w:hAnsi="Calibri" w:eastAsia="Calibri" w:cs="Calibri"/>
                <w:color w:val="000000"/>
                <w:sz w:val="20"/>
              </w:rPr>
              <w:t xml:space="preserve">100%</w:t>
            </w:r>
            <w:r>
              <w:rPr>
                <w:rFonts w:ascii="Arial" w:hAnsi="Arial" w:eastAsia="Arial" w:cs="Arial"/>
                <w:color w:val="000000"/>
                <w:sz w:val="20"/>
              </w:rPr>
              <w:t xml:space="preserve">。</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1</w:t>
            </w:r>
            <w:r>
              <w:rPr>
                <w:rFonts w:ascii="Arial" w:hAnsi="Arial" w:eastAsia="Arial" w:cs="Arial"/>
                <w:color w:val="000000"/>
                <w:sz w:val="20"/>
              </w:rPr>
              <w:t xml:space="preserve">分，影响使用安全扣</w:t>
            </w:r>
            <w:r>
              <w:rPr>
                <w:rFonts w:ascii="Calibri" w:hAnsi="Calibri" w:eastAsia="Calibri" w:cs="Calibri"/>
                <w:color w:val="000000"/>
                <w:sz w:val="20"/>
              </w:rPr>
              <w:t xml:space="preserve">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42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40</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门窗及装修工程</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做好日常巡视巡查和维护保养，门窗及五金配件应完好，开关灵活、不松动，油漆不脱落，正常使用；装修应完好，牢固、平整，安全，无污渍，抹灰不开裂、不起壳、不剥落，各种油漆、涂料日常维护及定期保养。每周巡查覆盖，发现问题及时维修，各项检查、维修台账记录完整，月度完好率</w:t>
            </w:r>
            <w:r>
              <w:rPr>
                <w:rFonts w:ascii="Calibri" w:hAnsi="Calibri" w:eastAsia="Calibri" w:cs="Calibri"/>
                <w:color w:val="000000"/>
                <w:sz w:val="20"/>
              </w:rPr>
              <w:t xml:space="preserve">98%</w:t>
            </w:r>
            <w:r>
              <w:rPr>
                <w:rFonts w:ascii="Arial" w:hAnsi="Arial" w:eastAsia="Arial" w:cs="Arial"/>
                <w:color w:val="000000"/>
                <w:sz w:val="20"/>
              </w:rPr>
              <w:t xml:space="preserve">以上。</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68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41</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楼地面工程</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做好日常各类楼地面做好日常巡查与维护，确保完好、平整、牢固、安全，使用正常。定期进行检查，发现问题及时维修处理，每周覆盖一次，各项检查、维修台账记录完整，月度完好率达</w:t>
            </w:r>
            <w:r>
              <w:rPr>
                <w:rFonts w:ascii="Calibri" w:hAnsi="Calibri" w:eastAsia="Calibri" w:cs="Calibri"/>
                <w:color w:val="000000"/>
                <w:sz w:val="20"/>
              </w:rPr>
              <w:t xml:space="preserve">98%</w:t>
            </w:r>
            <w:r>
              <w:rPr>
                <w:rFonts w:ascii="Arial" w:hAnsi="Arial" w:eastAsia="Arial" w:cs="Arial"/>
                <w:color w:val="000000"/>
                <w:sz w:val="20"/>
              </w:rPr>
              <w:t xml:space="preserve">以上。</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42</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屋面工程</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定期检查屋面及附属设施，及时维护、修缮，确保屋面及附属设施完好，不渗漏、排水通畅，隔热防水保温层完好。要求每月进行一次覆盖检查、清扫，确保泄水通畅。在台汛季节，每周进行一次覆盖检查清扫。各项检查、维修台账记录完整，月度完好率</w:t>
            </w:r>
            <w:r>
              <w:rPr>
                <w:rFonts w:ascii="Calibri" w:hAnsi="Calibri" w:eastAsia="Calibri" w:cs="Calibri"/>
                <w:color w:val="000000"/>
                <w:sz w:val="20"/>
              </w:rPr>
              <w:t xml:space="preserve">98%</w:t>
            </w:r>
            <w:r>
              <w:rPr>
                <w:rFonts w:ascii="Arial" w:hAnsi="Arial" w:eastAsia="Arial" w:cs="Arial"/>
                <w:color w:val="000000"/>
                <w:sz w:val="20"/>
              </w:rPr>
              <w:t xml:space="preserve">以上。</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44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43</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幕墙工程</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做好建筑各类玻璃幕墙、石材幕墙，铝板幕墙、索网玻璃等日常巡查与维护，外观完好，胶条完好，无渗漏，使用正常。石材、铝板幕墙无松动、脱落、破损，玻璃幕墙无破损、无渗漏。发现问题及时报告并组织维修处理，巡视检查记录及维修台账完善。月度完好率达</w:t>
            </w:r>
            <w:r>
              <w:rPr>
                <w:rFonts w:ascii="Calibri" w:hAnsi="Calibri" w:eastAsia="Calibri" w:cs="Calibri"/>
                <w:color w:val="000000"/>
                <w:sz w:val="20"/>
              </w:rPr>
              <w:t xml:space="preserve">98%</w:t>
            </w:r>
            <w:r>
              <w:rPr>
                <w:rFonts w:ascii="Arial" w:hAnsi="Arial" w:eastAsia="Arial" w:cs="Arial"/>
                <w:color w:val="000000"/>
                <w:sz w:val="20"/>
              </w:rPr>
              <w:t xml:space="preserve">以上。</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44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44</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吊顶工程</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做好各类吊顶的日常巡查与维护，发现吊顶破损及时修复或调换，确保完好、安全、正常使用。检查维修台账记录完善，月度完好率达</w:t>
            </w:r>
            <w:r>
              <w:rPr>
                <w:rFonts w:ascii="Calibri" w:hAnsi="Calibri" w:eastAsia="Calibri" w:cs="Calibri"/>
                <w:color w:val="000000"/>
                <w:sz w:val="20"/>
              </w:rPr>
              <w:t xml:space="preserve">98%</w:t>
            </w:r>
            <w:r>
              <w:rPr>
                <w:rFonts w:ascii="Arial" w:hAnsi="Arial" w:eastAsia="Arial" w:cs="Arial"/>
                <w:color w:val="000000"/>
                <w:sz w:val="20"/>
              </w:rPr>
              <w:t xml:space="preserve">以上。</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2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45</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室外上人平台、踏步、阶梯式花坛</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做好日常巡查维护，外观完好，无缺损和碎裂、无松动，确保平台石材地面外观完好、平整、安全、正常使用。每日巡查，发现问题及时维修处理，维修台账记录完善，月度完好率达</w:t>
            </w:r>
            <w:r>
              <w:rPr>
                <w:rFonts w:ascii="Calibri" w:hAnsi="Calibri" w:eastAsia="Calibri" w:cs="Calibri"/>
                <w:color w:val="000000"/>
                <w:sz w:val="20"/>
              </w:rPr>
              <w:t xml:space="preserve">98%</w:t>
            </w:r>
            <w:r>
              <w:rPr>
                <w:rFonts w:ascii="Arial" w:hAnsi="Arial" w:eastAsia="Arial" w:cs="Arial"/>
                <w:color w:val="000000"/>
                <w:sz w:val="20"/>
              </w:rPr>
              <w:t xml:space="preserve">以上。</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82"/>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46</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建筑附属设施</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定期检查楼梯平台栏杆、安全玻璃挡板、安全扶手、安全平台格栅板及五金配件，室外钢构件、雨棚等附属设施，及时维护保养，确保无损坏、无脱落、无锈蚀，确保完好、安全、正常使用。月度完好率达</w:t>
            </w:r>
            <w:r>
              <w:rPr>
                <w:rFonts w:ascii="Calibri" w:hAnsi="Calibri" w:eastAsia="Calibri" w:cs="Calibri"/>
                <w:color w:val="000000"/>
                <w:sz w:val="20"/>
              </w:rPr>
              <w:t xml:space="preserve">98%</w:t>
            </w:r>
            <w:r>
              <w:rPr>
                <w:rFonts w:ascii="Arial" w:hAnsi="Arial" w:eastAsia="Arial" w:cs="Arial"/>
                <w:color w:val="000000"/>
                <w:sz w:val="20"/>
              </w:rPr>
              <w:t xml:space="preserve">以上。</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47</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其它</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落实日常检查与维护，确保基地道路、明沟、围栏完好，排水通畅，临时停车场及附属设施完好，确保正常使用。</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每有一项不符合标准扣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82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背景公共广播系统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、日常巡检和监控：对系统的运行状态进行巡检，巡检内容包括服务器、功放等指示灯，并做好记录。</w:t>
              <w:br/>
            </w:r>
            <w:r>
              <w:rPr>
                <w:rFonts w:ascii="Calibri" w:hAnsi="Calibri" w:eastAsia="Calibri" w:cs="Calibri"/>
                <w:color w:val="000000"/>
                <w:sz w:val="20"/>
              </w:rPr>
              <w:t xml:space="preserve">2</w:t>
            </w:r>
            <w:r>
              <w:rPr>
                <w:rFonts w:ascii="Arial" w:hAnsi="Arial" w:eastAsia="Arial" w:cs="Arial"/>
                <w:color w:val="000000"/>
                <w:sz w:val="20"/>
              </w:rPr>
              <w:t xml:space="preserve">、常规维护：按照月度维护计划，会同第三方运维公司对系统进行维护保养，并做好记录。</w:t>
              <w:br/>
            </w:r>
            <w:r>
              <w:rPr>
                <w:rFonts w:ascii="Calibri" w:hAnsi="Calibri" w:eastAsia="Calibri" w:cs="Calibri"/>
                <w:color w:val="000000"/>
                <w:sz w:val="20"/>
              </w:rPr>
              <w:t xml:space="preserve">3</w:t>
            </w:r>
            <w:r>
              <w:rPr>
                <w:rFonts w:ascii="Arial" w:hAnsi="Arial" w:eastAsia="Arial" w:cs="Arial"/>
                <w:color w:val="000000"/>
                <w:sz w:val="20"/>
              </w:rPr>
              <w:t xml:space="preserve">、应急处置：对巡检过程中发现的异常情况，采取有效措施进行处置，并做好记录。</w:t>
              <w:br/>
            </w:r>
            <w:r>
              <w:rPr>
                <w:rFonts w:ascii="Calibri" w:hAnsi="Calibri" w:eastAsia="Calibri" w:cs="Calibri"/>
                <w:color w:val="000000"/>
                <w:sz w:val="20"/>
              </w:rPr>
              <w:t xml:space="preserve">4</w:t>
            </w:r>
            <w:r>
              <w:rPr>
                <w:rFonts w:ascii="Arial" w:hAnsi="Arial" w:eastAsia="Arial" w:cs="Arial"/>
                <w:color w:val="000000"/>
                <w:sz w:val="20"/>
              </w:rPr>
              <w:t xml:space="preserve">、应急演练：每季度组织四次应急演练，会同第三方运维公司进行实施。</w:t>
              <w:br/>
            </w:r>
            <w:r>
              <w:rPr>
                <w:rFonts w:ascii="Calibri" w:hAnsi="Calibri" w:eastAsia="Calibri" w:cs="Calibri"/>
                <w:color w:val="000000"/>
                <w:sz w:val="20"/>
              </w:rPr>
              <w:t xml:space="preserve">5</w:t>
            </w:r>
            <w:r>
              <w:rPr>
                <w:rFonts w:ascii="Arial" w:hAnsi="Arial" w:eastAsia="Arial" w:cs="Arial"/>
                <w:color w:val="000000"/>
                <w:sz w:val="20"/>
              </w:rPr>
              <w:t xml:space="preserve">、备品备件：会同运维公司，管理好备品备件。</w:t>
              <w:br/>
            </w:r>
            <w:r>
              <w:rPr>
                <w:rFonts w:ascii="Calibri" w:hAnsi="Calibri" w:eastAsia="Calibri" w:cs="Calibri"/>
                <w:color w:val="000000"/>
                <w:sz w:val="20"/>
              </w:rPr>
              <w:t xml:space="preserve">6</w:t>
            </w:r>
            <w:r>
              <w:rPr>
                <w:rFonts w:ascii="Arial" w:hAnsi="Arial" w:eastAsia="Arial" w:cs="Arial"/>
                <w:color w:val="000000"/>
                <w:sz w:val="20"/>
              </w:rPr>
              <w:t xml:space="preserve">、日常清洁：完成责任区域内机房清洁工作。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经抽查，每有一处不符合标准扣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7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对讲机通信系统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、日常巡检和监控：对系统的运行状态进行巡检，巡检内容包括中继台等指示灯，并做好记录。</w:t>
              <w:br/>
            </w:r>
            <w:r>
              <w:rPr>
                <w:rFonts w:ascii="Calibri" w:hAnsi="Calibri" w:eastAsia="Calibri" w:cs="Calibri"/>
                <w:color w:val="000000"/>
                <w:sz w:val="20"/>
              </w:rPr>
              <w:t xml:space="preserve">2</w:t>
            </w:r>
            <w:r>
              <w:rPr>
                <w:rFonts w:ascii="Arial" w:hAnsi="Arial" w:eastAsia="Arial" w:cs="Arial"/>
                <w:color w:val="000000"/>
                <w:sz w:val="20"/>
              </w:rPr>
              <w:t xml:space="preserve">、常规维护：按照月度维护计划，会同第三方运维公司对系统进行维护保养，并做好记录。</w:t>
              <w:br/>
            </w:r>
            <w:r>
              <w:rPr>
                <w:rFonts w:ascii="Calibri" w:hAnsi="Calibri" w:eastAsia="Calibri" w:cs="Calibri"/>
                <w:color w:val="000000"/>
                <w:sz w:val="20"/>
              </w:rPr>
              <w:t xml:space="preserve">3</w:t>
            </w:r>
            <w:r>
              <w:rPr>
                <w:rFonts w:ascii="Arial" w:hAnsi="Arial" w:eastAsia="Arial" w:cs="Arial"/>
                <w:color w:val="000000"/>
                <w:sz w:val="20"/>
              </w:rPr>
              <w:t xml:space="preserve">、应急处置：对巡检过程中发现的异常情况，采取有效措施进行处置，并做好记录。</w:t>
              <w:br/>
            </w:r>
            <w:r>
              <w:rPr>
                <w:rFonts w:ascii="Calibri" w:hAnsi="Calibri" w:eastAsia="Calibri" w:cs="Calibri"/>
                <w:color w:val="000000"/>
                <w:sz w:val="20"/>
              </w:rPr>
              <w:t xml:space="preserve">4</w:t>
            </w:r>
            <w:r>
              <w:rPr>
                <w:rFonts w:ascii="Arial" w:hAnsi="Arial" w:eastAsia="Arial" w:cs="Arial"/>
                <w:color w:val="000000"/>
                <w:sz w:val="20"/>
              </w:rPr>
              <w:t xml:space="preserve">、应急演练：每季度组织一次应急演练，会同第三方运维公司进行实施。</w:t>
              <w:br/>
            </w:r>
            <w:r>
              <w:rPr>
                <w:rFonts w:ascii="Calibri" w:hAnsi="Calibri" w:eastAsia="Calibri" w:cs="Calibri"/>
                <w:color w:val="000000"/>
                <w:sz w:val="20"/>
              </w:rPr>
              <w:t xml:space="preserve">5</w:t>
            </w:r>
            <w:r>
              <w:rPr>
                <w:rFonts w:ascii="Arial" w:hAnsi="Arial" w:eastAsia="Arial" w:cs="Arial"/>
                <w:color w:val="000000"/>
                <w:sz w:val="20"/>
              </w:rPr>
              <w:t xml:space="preserve">、备品备件：会同运维公司，管理好备品备件。</w:t>
              <w:br/>
            </w:r>
            <w:r>
              <w:rPr>
                <w:rFonts w:ascii="Calibri" w:hAnsi="Calibri" w:eastAsia="Calibri" w:cs="Calibri"/>
                <w:color w:val="000000"/>
                <w:sz w:val="20"/>
              </w:rPr>
              <w:t xml:space="preserve">6</w:t>
            </w:r>
            <w:r>
              <w:rPr>
                <w:rFonts w:ascii="Arial" w:hAnsi="Arial" w:eastAsia="Arial" w:cs="Arial"/>
                <w:color w:val="000000"/>
                <w:sz w:val="20"/>
              </w:rPr>
              <w:t xml:space="preserve">、日常清洁：完成责任区域内的机房清洁工作。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经抽查，每有一处不符合标准扣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55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展区多媒体设备</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、日常开关机：按要求对展区多媒体设备进行开关机。</w:t>
              <w:br/>
            </w:r>
            <w:r>
              <w:rPr>
                <w:rFonts w:ascii="Calibri" w:hAnsi="Calibri" w:eastAsia="Calibri" w:cs="Calibri"/>
                <w:color w:val="000000"/>
                <w:sz w:val="20"/>
              </w:rPr>
              <w:t xml:space="preserve">2</w:t>
            </w:r>
            <w:r>
              <w:rPr>
                <w:rFonts w:ascii="Arial" w:hAnsi="Arial" w:eastAsia="Arial" w:cs="Arial"/>
                <w:color w:val="000000"/>
                <w:sz w:val="20"/>
              </w:rPr>
              <w:t xml:space="preserve">、日常巡检和监控：对各系统的运行状态进行巡检。</w:t>
              <w:br/>
            </w:r>
            <w:r>
              <w:rPr>
                <w:rFonts w:ascii="Calibri" w:hAnsi="Calibri" w:eastAsia="Calibri" w:cs="Calibri"/>
                <w:color w:val="000000"/>
                <w:sz w:val="20"/>
              </w:rPr>
              <w:t xml:space="preserve">3</w:t>
            </w:r>
            <w:r>
              <w:rPr>
                <w:rFonts w:ascii="Arial" w:hAnsi="Arial" w:eastAsia="Arial" w:cs="Arial"/>
                <w:color w:val="000000"/>
                <w:sz w:val="20"/>
              </w:rPr>
              <w:t xml:space="preserve">、应急处置：对巡检过程中发现的异常情况，采取有效措施进行处置。</w:t>
              <w:br/>
            </w:r>
            <w:r>
              <w:rPr>
                <w:rFonts w:ascii="Calibri" w:hAnsi="Calibri" w:eastAsia="Calibri" w:cs="Calibri"/>
                <w:color w:val="000000"/>
                <w:sz w:val="20"/>
              </w:rPr>
              <w:t xml:space="preserve">4</w:t>
            </w:r>
            <w:r>
              <w:rPr>
                <w:rFonts w:ascii="Arial" w:hAnsi="Arial" w:eastAsia="Arial" w:cs="Arial"/>
                <w:color w:val="000000"/>
                <w:sz w:val="20"/>
              </w:rPr>
              <w:t xml:space="preserve">、日常清洁：完成责任区域内的机房清洁工作。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经抽查，每有一处不符合标准扣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523"/>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强弱电机房中的强弱电设备</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、日常巡检和监控：对各系统的运行状态进行巡检，并做好记录。</w:t>
              <w:br/>
            </w:r>
            <w:r>
              <w:rPr>
                <w:rFonts w:ascii="Calibri" w:hAnsi="Calibri" w:eastAsia="Calibri" w:cs="Calibri"/>
                <w:color w:val="000000"/>
                <w:sz w:val="20"/>
              </w:rPr>
              <w:t xml:space="preserve">2</w:t>
            </w:r>
            <w:r>
              <w:rPr>
                <w:rFonts w:ascii="Arial" w:hAnsi="Arial" w:eastAsia="Arial" w:cs="Arial"/>
                <w:color w:val="000000"/>
                <w:sz w:val="20"/>
              </w:rPr>
              <w:t xml:space="preserve">、日常清洁：完成责任区域内的机房清洁工作。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经抽查，每有一处不符合标准扣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6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基础能力及业务技能</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、考核学习能力及解决故障的业务能力。</w:t>
              <w:br/>
            </w:r>
            <w:r>
              <w:rPr>
                <w:rFonts w:ascii="Calibri" w:hAnsi="Calibri" w:eastAsia="Calibri" w:cs="Calibri"/>
                <w:color w:val="000000"/>
                <w:sz w:val="20"/>
              </w:rPr>
              <w:t xml:space="preserve">2</w:t>
            </w:r>
            <w:r>
              <w:rPr>
                <w:rFonts w:ascii="Arial" w:hAnsi="Arial" w:eastAsia="Arial" w:cs="Arial"/>
                <w:color w:val="000000"/>
                <w:sz w:val="20"/>
              </w:rPr>
              <w:t xml:space="preserve">、熟练掌握水晶头制作、调音台操作、中控掉线以及常备设备连接等工作。</w:t>
              <w:br/>
            </w:r>
            <w:r>
              <w:rPr>
                <w:rFonts w:ascii="Calibri" w:hAnsi="Calibri" w:eastAsia="Calibri" w:cs="Calibri"/>
                <w:color w:val="000000"/>
                <w:sz w:val="20"/>
              </w:rPr>
              <w:t xml:space="preserve">3</w:t>
            </w:r>
            <w:r>
              <w:rPr>
                <w:rFonts w:ascii="Arial" w:hAnsi="Arial" w:eastAsia="Arial" w:cs="Arial"/>
                <w:color w:val="000000"/>
                <w:sz w:val="20"/>
              </w:rPr>
              <w:t xml:space="preserve">、能按时按质完成工作。</w:t>
              <w:br/>
            </w:r>
            <w:r>
              <w:rPr>
                <w:rFonts w:ascii="Calibri" w:hAnsi="Calibri" w:eastAsia="Calibri" w:cs="Calibri"/>
                <w:color w:val="000000"/>
                <w:sz w:val="20"/>
              </w:rPr>
              <w:t xml:space="preserve">4</w:t>
            </w:r>
            <w:r>
              <w:rPr>
                <w:rFonts w:ascii="Arial" w:hAnsi="Arial" w:eastAsia="Arial" w:cs="Arial"/>
                <w:color w:val="000000"/>
                <w:sz w:val="20"/>
              </w:rPr>
              <w:t xml:space="preserve">、服从博物馆下达的工作安排。</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32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责任感、工作态度及协调性</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、工作责任心强，工作态度</w:t>
            </w:r>
            <w:r>
              <w:rPr>
                <w:rFonts w:ascii="SimSun" w:hAnsi="SimSun" w:eastAsia="SimSun" w:cs="SimSun"/>
                <w:color w:val="000000"/>
                <w:sz w:val="20"/>
              </w:rPr>
              <w:t xml:space="preserve">诚</w:t>
            </w:r>
            <w:r>
              <w:rPr>
                <w:rFonts w:ascii="Arial" w:hAnsi="Arial" w:eastAsia="Arial" w:cs="Arial"/>
                <w:color w:val="000000"/>
                <w:sz w:val="20"/>
              </w:rPr>
              <w:t xml:space="preserve">恳。</w:t>
              <w:br/>
            </w:r>
            <w:r>
              <w:rPr>
                <w:rFonts w:ascii="Calibri" w:hAnsi="Calibri" w:eastAsia="Calibri" w:cs="Calibri"/>
                <w:color w:val="000000"/>
                <w:sz w:val="20"/>
              </w:rPr>
              <w:t xml:space="preserve">2</w:t>
            </w:r>
            <w:r>
              <w:rPr>
                <w:rFonts w:ascii="Arial" w:hAnsi="Arial" w:eastAsia="Arial" w:cs="Arial"/>
                <w:color w:val="000000"/>
                <w:sz w:val="20"/>
              </w:rPr>
              <w:t xml:space="preserve">、工作积极面对，守时守规。</w:t>
              <w:br/>
            </w:r>
            <w:r>
              <w:rPr>
                <w:rFonts w:ascii="Calibri" w:hAnsi="Calibri" w:eastAsia="Calibri" w:cs="Calibri"/>
                <w:color w:val="000000"/>
                <w:sz w:val="20"/>
              </w:rPr>
              <w:t xml:space="preserve">3</w:t>
            </w:r>
            <w:r>
              <w:rPr>
                <w:rFonts w:ascii="Arial" w:hAnsi="Arial" w:eastAsia="Arial" w:cs="Arial"/>
                <w:color w:val="000000"/>
                <w:sz w:val="20"/>
              </w:rPr>
              <w:t xml:space="preserve">、工作不偷懒、不懈怠。</w:t>
              <w:br/>
            </w:r>
            <w:r>
              <w:rPr>
                <w:rFonts w:ascii="Calibri" w:hAnsi="Calibri" w:eastAsia="Calibri" w:cs="Calibri"/>
                <w:color w:val="000000"/>
                <w:sz w:val="20"/>
              </w:rPr>
              <w:t xml:space="preserve">4</w:t>
            </w:r>
            <w:r>
              <w:rPr>
                <w:rFonts w:ascii="Arial" w:hAnsi="Arial" w:eastAsia="Arial" w:cs="Arial"/>
                <w:color w:val="000000"/>
                <w:sz w:val="20"/>
              </w:rPr>
              <w:t xml:space="preserve">、重视与同事之间协调配合工作。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0.5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80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54</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环境保洁板块</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办公区域清洁</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地面、墙面、玻璃干净、无污迹；办公桌无积尘。</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不符合标准发现一处扣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4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55</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展区清洁</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展区展柜玻璃洁净透明、无手印、无污渍；地面、墙面、天花板干净、无污迹、无水迹；卫生间无异味、洁具光亮，及时添加擦手纸；报告厅地毯无明显污渍等。</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不符合标准发现一处扣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20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56</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区域大清洁</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玻璃门、自动电梯、电梯轿厢、天花板、告示牌、风口、网架、亲水平台水域、通道、各类标识、外围展品等，无污迹、无积灰、干净、明亮、无蛛网、无坠挂物、无乱堆、乱放；近水域清洁，无杂物。</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不符合标准发现一处扣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96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57</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虫害控制</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对虫害治理工作进行监管、检查和考核，重点控制老鼠、蚊蝇和蟑螂的密度，每半年进行鼠密度测试，做好虫害预防工作，确保“虫害控制”工作达到江苏省标准。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现场检查并做好记录（每星期不少于五次，少做一次扣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2.</w:t>
            </w:r>
            <w:r>
              <w:rPr>
                <w:rFonts w:ascii="Arial" w:hAnsi="Arial" w:eastAsia="Arial" w:cs="Arial"/>
                <w:color w:val="000000"/>
                <w:sz w:val="20"/>
              </w:rPr>
              <w:t xml:space="preserve">虫害控制率（老鼠、蚊蝇、蟑螂、苍蝇）没有达标每项扣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68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58</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绿化（外围及室内）</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对外委绿化公司进行工作质量的监督和检查，并随时跟进其不足整改之处</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numPr>
                <w:ilvl w:val="0"/>
                <w:numId w:val="24"/>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室外绿化：发现枯木、大片枯叶枯杂草等，每发现一处不符扣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2.</w:t>
            </w:r>
            <w:r>
              <w:rPr>
                <w:rFonts w:ascii="Arial" w:hAnsi="Arial" w:eastAsia="Arial" w:cs="Arial"/>
                <w:color w:val="000000"/>
                <w:sz w:val="20"/>
              </w:rPr>
              <w:t xml:space="preserve">室内绿化按合同要求定期调整更换，保持叶片光鲜，无积灰，花盆无污迹，长势良好，每发现一处不符扣</w:t>
            </w:r>
            <w:r>
              <w:rPr>
                <w:rFonts w:ascii="Calibri" w:hAnsi="Calibri" w:eastAsia="Calibri" w:cs="Calibri"/>
                <w:color w:val="000000"/>
                <w:sz w:val="20"/>
              </w:rPr>
              <w:t xml:space="preserve">1</w:t>
            </w:r>
            <w:r>
              <w:rPr>
                <w:rFonts w:ascii="Arial" w:hAnsi="Arial" w:eastAsia="Arial" w:cs="Arial"/>
                <w:color w:val="000000"/>
                <w:sz w:val="20"/>
              </w:rPr>
              <w:t xml:space="preserve">分；</w:t>
            </w:r>
            <w:r/>
          </w:p>
          <w:p>
            <w:pPr>
              <w:numPr>
                <w:ilvl w:val="0"/>
                <w:numId w:val="24"/>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Arial" w:hAnsi="Arial" w:eastAsia="Arial" w:cs="Arial"/>
                <w:color w:val="000000"/>
                <w:sz w:val="20"/>
              </w:rPr>
              <w:t xml:space="preserve">室外亲水水池有设计感的布置养护应季绿化，保持水质清澈、水面无残叶等垃圾杂物。每发现一次不符扣</w:t>
            </w:r>
            <w:r>
              <w:rPr>
                <w:rFonts w:ascii="Calibri" w:hAnsi="Calibri" w:eastAsia="Calibri" w:cs="Calibri"/>
                <w:color w:val="000000"/>
                <w:sz w:val="20"/>
              </w:rPr>
              <w:t xml:space="preserve">1</w:t>
            </w:r>
            <w:r>
              <w:rPr>
                <w:rFonts w:ascii="Arial" w:hAnsi="Arial" w:eastAsia="Arial" w:cs="Arial"/>
                <w:color w:val="000000"/>
                <w:sz w:val="20"/>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20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59</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垃圾管理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、垃圾箱表面：无积灰、污渍、水迹、锈迹并按规定摆放；</w:t>
            </w:r>
            <w:r>
              <w:rPr>
                <w:rFonts w:ascii="Calibri" w:hAnsi="Calibri" w:eastAsia="Calibri" w:cs="Calibri"/>
                <w:color w:val="000000"/>
                <w:sz w:val="20"/>
              </w:rPr>
              <w:t xml:space="preserve">2</w:t>
            </w:r>
            <w:r>
              <w:rPr>
                <w:rFonts w:ascii="Arial" w:hAnsi="Arial" w:eastAsia="Arial" w:cs="Arial"/>
                <w:color w:val="000000"/>
                <w:sz w:val="20"/>
              </w:rPr>
              <w:t xml:space="preserve">、垃圾篓完整，无异味，外观干净无污迹；</w:t>
            </w:r>
            <w:r>
              <w:rPr>
                <w:rFonts w:ascii="Calibri" w:hAnsi="Calibri" w:eastAsia="Calibri" w:cs="Calibri"/>
                <w:color w:val="000000"/>
                <w:sz w:val="20"/>
              </w:rPr>
              <w:t xml:space="preserve">3</w:t>
            </w:r>
            <w:r>
              <w:rPr>
                <w:rFonts w:ascii="Arial" w:hAnsi="Arial" w:eastAsia="Arial" w:cs="Arial"/>
                <w:color w:val="000000"/>
                <w:sz w:val="20"/>
              </w:rPr>
              <w:t xml:space="preserve">、负责垃圾的收集、清运工作；</w:t>
            </w:r>
            <w:r>
              <w:rPr>
                <w:rFonts w:ascii="Calibri" w:hAnsi="Calibri" w:eastAsia="Calibri" w:cs="Calibri"/>
                <w:color w:val="000000"/>
                <w:sz w:val="20"/>
              </w:rPr>
              <w:t xml:space="preserve">4</w:t>
            </w:r>
            <w:r>
              <w:rPr>
                <w:rFonts w:ascii="Arial" w:hAnsi="Arial" w:eastAsia="Arial" w:cs="Arial"/>
                <w:color w:val="000000"/>
                <w:sz w:val="20"/>
              </w:rPr>
              <w:t xml:space="preserve">、做好全馆建筑垃圾的管理及清运。</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生活垃圾倒进垃圾容器内，建筑垃圾袋装化放置指定位置。保持每天有专人检查。 </w:t>
            </w:r>
            <w:r>
              <w:rPr>
                <w:rFonts w:ascii="Calibri" w:hAnsi="Calibri" w:eastAsia="Calibri" w:cs="Calibr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2.</w:t>
            </w:r>
            <w:r>
              <w:rPr>
                <w:rFonts w:ascii="Arial" w:hAnsi="Arial" w:eastAsia="Arial" w:cs="Arial"/>
                <w:color w:val="000000"/>
                <w:sz w:val="20"/>
              </w:rPr>
              <w:t xml:space="preserve">对清运的工作质量、安全措施进行监管，做到日产日清。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发现以上任何一项不符扣</w:t>
            </w:r>
            <w:r>
              <w:rPr>
                <w:rFonts w:ascii="Calibri" w:hAnsi="Calibri" w:eastAsia="Calibri" w:cs="Calibri"/>
                <w:color w:val="000000"/>
                <w:sz w:val="20"/>
              </w:rPr>
              <w:t xml:space="preserve">1</w:t>
            </w:r>
            <w:r>
              <w:rPr>
                <w:rFonts w:ascii="Arial" w:hAnsi="Arial" w:eastAsia="Arial" w:cs="Arial"/>
                <w:color w:val="000000"/>
                <w:sz w:val="20"/>
              </w:rPr>
              <w:t xml:space="preserve">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108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60</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保洁设备</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负责清洁设备的领用、使用、保养和日常管理工作；负责维保单位所有维护、维修工作的协调、监管、验收等，做好相关台账记录。</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对清洁设备的完好情况每周进行统计，设备保修及时，建立设备台卡。记录不完整每次扣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2.</w:t>
            </w:r>
            <w:r>
              <w:rPr>
                <w:rFonts w:ascii="Arial" w:hAnsi="Arial" w:eastAsia="Arial" w:cs="Arial"/>
                <w:color w:val="000000"/>
                <w:sz w:val="20"/>
              </w:rPr>
              <w:t xml:space="preserve">未能正确合理使用保洁设备发现一次扣</w:t>
            </w:r>
            <w:r>
              <w:rPr>
                <w:rFonts w:ascii="Calibri" w:hAnsi="Calibri" w:eastAsia="Calibri" w:cs="Calibri"/>
                <w:color w:val="000000"/>
                <w:sz w:val="20"/>
              </w:rPr>
              <w:t xml:space="preserve">1</w:t>
            </w:r>
            <w:r>
              <w:rPr>
                <w:rFonts w:ascii="Arial" w:hAnsi="Arial" w:eastAsia="Arial" w:cs="Arial"/>
                <w:color w:val="000000"/>
                <w:sz w:val="20"/>
              </w:rPr>
              <w:t xml:space="preserve">分； </w:t>
            </w:r>
            <w:r>
              <w:rPr>
                <w:rFonts w:ascii="Calibri" w:hAnsi="Calibri" w:eastAsia="Calibri" w:cs="Calibri"/>
                <w:color w:val="000000"/>
                <w:sz w:val="20"/>
              </w:rPr>
              <w:t xml:space="preserve">                3.</w:t>
            </w:r>
            <w:r>
              <w:rPr>
                <w:rFonts w:ascii="Arial" w:hAnsi="Arial" w:eastAsia="Arial" w:cs="Arial"/>
                <w:color w:val="000000"/>
                <w:sz w:val="20"/>
              </w:rPr>
              <w:t xml:space="preserve">按时完成设备维保计划并形成记录，不符要求每次扣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52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61</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保洁物资采购</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做好保洁条线日用品、应急物资及其他相关的物资采购，按时提交采购计划、库存盘点、应急采购联系单等。</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物资需登记入账，做到</w:t>
            </w:r>
            <w:r>
              <w:rPr>
                <w:rFonts w:ascii="SimSun" w:hAnsi="SimSun" w:eastAsia="SimSun" w:cs="SimSun"/>
                <w:color w:val="000000"/>
                <w:sz w:val="20"/>
              </w:rPr>
              <w:t xml:space="preserve">账</w:t>
            </w:r>
            <w:r>
              <w:rPr>
                <w:rFonts w:ascii="Arial" w:hAnsi="Arial" w:eastAsia="Arial" w:cs="Arial"/>
                <w:color w:val="000000"/>
                <w:sz w:val="20"/>
              </w:rPr>
              <w:t xml:space="preserve">物一致，并做好入库清单、领用清单，做好每月损耗及库存统计，每月月初需提交库存清单、上月领用清单，月底提交下月采购计划。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不符要求，每次扣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62</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人员培训管理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做好岗位培训工作，包括仪表仪容、规章制度、劳动纪律、工作态度、团队精神、业务操作技能等。</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Arial" w:hAnsi="Arial" w:eastAsia="Arial" w:cs="Arial"/>
                <w:color w:val="000000"/>
                <w:sz w:val="20"/>
              </w:rPr>
              <w:t xml:space="preserve">做好人员培训工作，加强工作积极性主动性教育及岗位技能培训工作。新人必须培训后才能上岗。发现</w:t>
            </w:r>
            <w:r>
              <w:rPr>
                <w:rFonts w:ascii="Calibri" w:hAnsi="Calibri" w:eastAsia="Calibri" w:cs="Calibri"/>
                <w:color w:val="000000"/>
                <w:sz w:val="20"/>
              </w:rPr>
              <w:t xml:space="preserve">1</w:t>
            </w:r>
            <w:r>
              <w:rPr>
                <w:rFonts w:ascii="Arial" w:hAnsi="Arial" w:eastAsia="Arial" w:cs="Arial"/>
                <w:color w:val="000000"/>
                <w:sz w:val="20"/>
              </w:rPr>
              <w:t xml:space="preserve">次不合格扣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73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63</w:t>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交办的其他任务</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因场馆日常运营需要或各类现场检查等，需积极配合并及时完成。</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积极配合各类现场需求，发现不及时或推诿现象，每次扣</w:t>
            </w:r>
            <w:r>
              <w:rPr>
                <w:rFonts w:ascii="Calibri" w:hAnsi="Calibri" w:eastAsia="Calibri" w:cs="Calibri"/>
                <w:color w:val="000000"/>
                <w:sz w:val="20"/>
              </w:rPr>
              <w:t xml:space="preserve">1</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390"/>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64</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秩序服务板块</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安全保障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上班期间饮酒，或酒后上岗</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每发现一次扣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迟到早退、擅离职守</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每发现一次扣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贪污受贿，利用职务之便谋私利</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每发现一次扣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不服从指挥，工作拖拉、怠慢</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每发现一次扣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谩骂观众，打架斗殴</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每发现一次扣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上班期间睡觉、电话聊天、看手机视频玩游戏等</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每发现一次扣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安全检查不符合规定</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1-10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安全设施设备使用不熟练</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外来车辆、人员管理不符合规定</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发生安全生产事故</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5-20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发生文物安全事故</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5-20</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其他</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每有一处不符合标准扣</w:t>
            </w:r>
            <w:r>
              <w:rPr>
                <w:rFonts w:ascii="Calibri" w:hAnsi="Calibri" w:eastAsia="Calibri" w:cs="Calibri"/>
                <w:color w:val="000000"/>
                <w:sz w:val="20"/>
              </w:rPr>
              <w:t xml:space="preserve">1-5</w:t>
            </w:r>
            <w:r>
              <w:rPr>
                <w:rFonts w:ascii="Arial" w:hAnsi="Arial" w:eastAsia="Arial" w:cs="Arial"/>
                <w:color w:val="000000"/>
                <w:sz w:val="20"/>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5" w:type="dxa"/>
            <w:vAlign w:val="center"/>
            <w:textDirection w:val="lrTb"/>
            <w:noWrap w:val="false"/>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 w:type="dxa"/>
            <w:vAlign w:val="center"/>
            <w:textDirection w:val="lrTb"/>
            <w:noWrap/>
          </w:tcPr>
          <w:p>
            <w:pPr>
              <w:spacing w:before="0" w:after="0" w:line="57" w:lineRule="atLeast"/>
            </w:pP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61" w:type="dxa"/>
            <w:vAlign w:val="center"/>
            <w:textDirection w:val="lrTb"/>
            <w:noWrap/>
          </w:tcPr>
          <w:p>
            <w:pPr>
              <w:spacing w:before="0" w:after="0" w:line="57" w:lineRule="atLeast"/>
            </w:pP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扣分合计：共计扣款：</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b/>
          <w:color w:val="000000"/>
          <w:sz w:val="44"/>
        </w:rPr>
        <w:t xml:space="preserve">评标方法与评标标准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综合评分 </w:t>
      </w:r>
      <w:r>
        <w:rPr>
          <w:rFonts w:ascii="SimSun" w:hAnsi="SimSun" w:eastAsia="SimSun" w:cs="SimSun"/>
          <w:color w:val="000000"/>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41"/>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、小微型企业价格扣除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）本项目专门面向中小企业采购，不再对小型和微型企业报价给予价格扣除。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）供应商需按照采购文件的要求提供相应的《中小企业声明函》。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）企业标准请参照《关于印发中小企业划型标准规定的通知》（工信部联企业〔</w:t>
      </w:r>
      <w:r>
        <w:rPr>
          <w:rFonts w:ascii="SimSun" w:hAnsi="SimSun" w:eastAsia="SimSun" w:cs="SimSun"/>
          <w:color w:val="000000"/>
          <w:sz w:val="24"/>
        </w:rPr>
        <w:t xml:space="preserve">2011</w:t>
      </w:r>
      <w:r>
        <w:rPr>
          <w:rFonts w:ascii="Arial" w:hAnsi="Arial" w:eastAsia="Arial" w:cs="Arial"/>
          <w:color w:val="000000"/>
          <w:sz w:val="24"/>
        </w:rPr>
        <w:t xml:space="preserve">〕</w:t>
      </w:r>
      <w:r>
        <w:rPr>
          <w:rFonts w:ascii="SimSun" w:hAnsi="SimSun" w:eastAsia="SimSun" w:cs="SimSun"/>
          <w:color w:val="000000"/>
          <w:sz w:val="24"/>
        </w:rPr>
        <w:t xml:space="preserve">300</w:t>
      </w:r>
      <w:r>
        <w:rPr>
          <w:rFonts w:ascii="Arial" w:hAnsi="Arial" w:eastAsia="Arial" w:cs="Arial"/>
          <w:color w:val="000000"/>
          <w:sz w:val="24"/>
        </w:rPr>
        <w:t xml:space="preserve">号）文件规定自行填写。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、残疾人福利单位价格扣除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）本项目对残疾人福利性单位视同小型、微型企业。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）残疾人福利单位需按照采购文件的要求提供《残疾人福利性单位声明函》。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）残疾人福利单位标准请参照《关于促进残疾人就业政府采购政策的通知》（财库〔</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z w:val="24"/>
        </w:rPr>
        <w:t xml:space="preserve">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、监狱和戒毒企业价格扣除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）本项目对监狱和戒毒企业（简称监狱企业）视同小型、微型企业。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）监狱企业参加政府采购活动时，需提供由省级以上监狱管理局、戒毒管理局</w:t>
      </w:r>
      <w:r>
        <w:rPr>
          <w:rFonts w:ascii="SimSun" w:hAnsi="SimSun" w:eastAsia="SimSun" w:cs="SimSun"/>
          <w:color w:val="000000"/>
          <w:sz w:val="24"/>
        </w:rPr>
        <w:t xml:space="preserve">(</w:t>
      </w:r>
      <w:r>
        <w:rPr>
          <w:rFonts w:ascii="Arial" w:hAnsi="Arial" w:eastAsia="Arial" w:cs="Arial"/>
          <w:color w:val="000000"/>
          <w:sz w:val="24"/>
        </w:rPr>
        <w:t xml:space="preserve">含新疆生产建设兵团</w:t>
      </w:r>
      <w:r>
        <w:rPr>
          <w:rFonts w:ascii="SimSun" w:hAnsi="SimSun" w:eastAsia="SimSun" w:cs="SimSun"/>
          <w:color w:val="000000"/>
          <w:sz w:val="24"/>
        </w:rPr>
        <w:t xml:space="preserve">)</w:t>
      </w:r>
      <w:r>
        <w:rPr>
          <w:rFonts w:ascii="Arial" w:hAnsi="Arial" w:eastAsia="Arial" w:cs="Arial"/>
          <w:color w:val="000000"/>
          <w:sz w:val="24"/>
        </w:rPr>
        <w:t xml:space="preserve">出具的属于监狱企业的证明文件。供应商如不提供上述证明文件，价格将不做相应扣除。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）监狱企业标准请参照《关于政府采购支持监狱企业发展有关问题的通知》（财库</w:t>
      </w:r>
      <w:r>
        <w:rPr>
          <w:rFonts w:ascii="SimSun" w:hAnsi="SimSun" w:eastAsia="SimSun" w:cs="SimSun"/>
          <w:color w:val="000000"/>
          <w:sz w:val="24"/>
        </w:rPr>
        <w:t xml:space="preserve">[2014]68</w:t>
      </w:r>
      <w:r>
        <w:rPr>
          <w:rFonts w:ascii="Arial" w:hAnsi="Arial" w:eastAsia="Arial" w:cs="Arial"/>
          <w:color w:val="000000"/>
          <w:sz w:val="24"/>
        </w:rPr>
        <w:t xml:space="preserve">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、残疾人福利单位、监狱企业属于小型、微型企业的，不重复享受政策。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、如果本项目同意联合体投标或同意分包履行合同的</w:t>
      </w:r>
      <w:r>
        <w:rPr>
          <w:rFonts w:ascii="SimSun" w:hAnsi="SimSun" w:eastAsia="SimSun" w:cs="SimSun"/>
          <w:color w:val="000000"/>
          <w:sz w:val="24"/>
        </w:rPr>
        <w:t xml:space="preserve">,</w:t>
      </w:r>
      <w:r>
        <w:rPr>
          <w:rFonts w:ascii="Arial" w:hAnsi="Arial" w:eastAsia="Arial" w:cs="Arial"/>
          <w:color w:val="000000"/>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SimSun" w:hAnsi="SimSun" w:eastAsia="SimSun" w:cs="SimSun"/>
          <w:color w:val="000000"/>
          <w:sz w:val="24"/>
        </w:rPr>
        <w:t xml:space="preserve">30%</w:t>
      </w:r>
      <w:r>
        <w:rPr>
          <w:rFonts w:ascii="Arial" w:hAnsi="Arial" w:eastAsia="Arial" w:cs="Arial"/>
          <w:color w:val="000000"/>
          <w:sz w:val="24"/>
        </w:rPr>
        <w:t xml:space="preserve">以上的，给予联合体或者大中型企业</w:t>
      </w:r>
      <w:r>
        <w:rPr>
          <w:rFonts w:ascii="SimSun" w:hAnsi="SimSun" w:eastAsia="SimSun" w:cs="SimSun"/>
          <w:color w:val="000000"/>
          <w:sz w:val="24"/>
        </w:rPr>
        <w:t xml:space="preserve">6%</w:t>
      </w:r>
      <w:r>
        <w:rPr>
          <w:rFonts w:ascii="Arial" w:hAnsi="Arial" w:eastAsia="Arial" w:cs="Arial"/>
          <w:color w:val="000000"/>
          <w:sz w:val="24"/>
        </w:rPr>
        <w:t xml:space="preserve">的价格扣除，用扣除后的价格参与评审。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、采购本国产品的支持政策</w:t>
      </w:r>
      <w:r>
        <w:rPr>
          <w:rFonts w:ascii="SimSun" w:hAnsi="SimSun" w:eastAsia="SimSun" w:cs="SimSun"/>
          <w:color w:val="000000"/>
          <w:sz w:val="24"/>
        </w:rPr>
        <w:t xml:space="preserve">（本项目不适用）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w:t>
      </w:r>
      <w:r>
        <w:rPr>
          <w:rFonts w:ascii="Arial" w:hAnsi="Arial" w:eastAsia="Arial" w:cs="Arial"/>
          <w:color w:val="000000"/>
          <w:sz w:val="24"/>
        </w:rPr>
        <w:t xml:space="preserve">本项目政府采购活动中既有本国产品又有非本国产品参与竞争的，依法对本国产品给予价格评审优惠，对本国产品的报价给予 </w:t>
      </w:r>
      <w:r>
        <w:rPr>
          <w:rFonts w:ascii="SimSun" w:hAnsi="SimSun" w:eastAsia="SimSun" w:cs="SimSun"/>
          <w:color w:val="000000"/>
          <w:sz w:val="24"/>
          <w:u w:val="single"/>
        </w:rPr>
        <w:t xml:space="preserve">20%</w:t>
      </w:r>
      <w:r>
        <w:rPr>
          <w:rFonts w:ascii="Arial" w:hAnsi="Arial" w:eastAsia="Arial" w:cs="Arial"/>
          <w:color w:val="000000"/>
          <w:sz w:val="24"/>
        </w:rPr>
        <w:t xml:space="preserve">的价格扣除，用扣除后的价格参与评审。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w:t>
      </w:r>
      <w:r>
        <w:rPr>
          <w:rFonts w:ascii="Arial" w:hAnsi="Arial" w:eastAsia="Arial" w:cs="Arial"/>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u w:val="single"/>
        </w:rPr>
        <w:t xml:space="preserve">80%</w:t>
      </w:r>
      <w:r>
        <w:rPr>
          <w:rFonts w:ascii="Arial" w:hAnsi="Arial" w:eastAsia="Arial" w:cs="Arial"/>
          <w:color w:val="00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ascii="SimSun" w:hAnsi="SimSun" w:eastAsia="SimSun" w:cs="SimSun"/>
          <w:color w:val="000000"/>
          <w:sz w:val="24"/>
          <w:u w:val="single"/>
        </w:rPr>
        <w:t xml:space="preserve">20%</w:t>
      </w:r>
      <w:r>
        <w:rPr>
          <w:rFonts w:ascii="Arial" w:hAnsi="Arial" w:eastAsia="Arial" w:cs="Arial"/>
          <w:color w:val="000000"/>
          <w:sz w:val="24"/>
        </w:rPr>
        <w:t xml:space="preserve">的价格扣除，用扣除后的价格参与评审。供应商未填写比例数值，或比例数值未达到</w:t>
      </w:r>
      <w:r>
        <w:rPr>
          <w:rFonts w:ascii="SimSun" w:hAnsi="SimSun" w:eastAsia="SimSun" w:cs="SimSun"/>
          <w:color w:val="000000"/>
          <w:sz w:val="24"/>
        </w:rPr>
        <w:t xml:space="preserve">80%</w:t>
      </w:r>
      <w:r>
        <w:rPr>
          <w:rFonts w:ascii="Arial" w:hAnsi="Arial" w:eastAsia="Arial" w:cs="Arial"/>
          <w:color w:val="000000"/>
          <w:sz w:val="24"/>
        </w:rPr>
        <w:t xml:space="preserve">的，将不享受本国产品价格评审优惠。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Arial" w:hAnsi="Arial" w:eastAsia="Arial" w:cs="Arial"/>
          <w:color w:val="000000"/>
          <w:sz w:val="24"/>
        </w:rPr>
        <w:t xml:space="preserve">供应商需按照招标文件的要求提供《关于符合本国产品标准的声明函》（以下简称《声明函》），如不提供将不享受本国产品价格评审优惠。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w:t>
      </w:r>
      <w:r>
        <w:rPr>
          <w:rFonts w:ascii="Arial" w:hAnsi="Arial" w:eastAsia="Arial" w:cs="Arial"/>
          <w:color w:val="000000"/>
          <w:sz w:val="24"/>
        </w:rPr>
        <w:t xml:space="preserve">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w:t>
      </w:r>
      <w:r>
        <w:rPr>
          <w:rFonts w:ascii="Arial" w:hAnsi="Arial" w:eastAsia="Arial" w:cs="Arial"/>
          <w:color w:val="000000"/>
          <w:sz w:val="24"/>
        </w:rPr>
        <w:t xml:space="preserve">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w:t>
      </w:r>
      <w:r>
        <w:rPr>
          <w:rFonts w:ascii="SimSun" w:hAnsi="SimSun" w:eastAsia="SimSun" w:cs="SimSun"/>
          <w:color w:val="000000"/>
          <w:sz w:val="24"/>
        </w:rPr>
        <w:t xml:space="preserve">2025</w:t>
      </w:r>
      <w:r>
        <w:rPr>
          <w:rFonts w:ascii="Arial" w:hAnsi="Arial" w:eastAsia="Arial" w:cs="Arial"/>
          <w:color w:val="000000"/>
          <w:sz w:val="24"/>
        </w:rPr>
        <w:t xml:space="preserve">〕</w:t>
      </w:r>
      <w:r>
        <w:rPr>
          <w:rFonts w:ascii="SimSun" w:hAnsi="SimSun" w:eastAsia="SimSun" w:cs="SimSun"/>
          <w:color w:val="000000"/>
          <w:sz w:val="24"/>
        </w:rPr>
        <w:t xml:space="preserve">34</w:t>
      </w:r>
      <w:r>
        <w:rPr>
          <w:rFonts w:ascii="Arial" w:hAnsi="Arial" w:eastAsia="Arial" w:cs="Arial"/>
          <w:color w:val="000000"/>
          <w:sz w:val="24"/>
        </w:rPr>
        <w:t xml:space="preserve">号）和招标文件规定的，供应商提供的相关产品视为不符合本国产品标准。</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三、评标方法与评标标准</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372"/>
        <w:gridCol w:w="923"/>
        <w:gridCol w:w="5868"/>
      </w:tblGrid>
      <w:tr>
        <w:trPr>
          <w:trHeight w:val="41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9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投标价格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1、评标总价是指通过资格审查、符合性检查且实质性响应招标文件要求，经修正、落实政府采购政策功能扣除后的总价。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2、评标基准价=评标总价中的最低总价。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3、当投标人的评标总价等于评标基准价的得15分，其他投标人的价格分按照下列公式计算：评标总价得分=（评标基准价/评标总价）×15分（计算结果保留2位小数，第三位四舍五入）。</w:t>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企业业绩及服务评价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2021年1月1日（含）以来，承担的类似服务项目业绩（非住宅），服务内容不少于安全保卫（或秩序维护）、保洁、讲解、维修、绿化养护（至少满足其中三项）的业绩，每提供一个业绩得3分，最多得9分，未提供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备注：投标人须提供合同扫描件并加盖投标人公章，合同中必须包含服务内容、合同签订时间等信息，否则不计分。同一采购人的多个业绩仅作为一个业绩，不累计得分。</w:t>
            </w:r>
            <w:r/>
          </w:p>
        </w:tc>
      </w:tr>
      <w:tr>
        <w:trPr>
          <w:trHeight w:val="196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服务评价：满足以上要求的业绩中，业主单位评价为优秀或满意的，每有一个得1分，最高3分（提供业主或业主单位管理部门盖章的评价为优或优秀或满意的证明材料，同一服务单位只认一份，不重复得分。）</w:t>
            </w:r>
            <w:r/>
          </w:p>
        </w:tc>
      </w:tr>
      <w:tr>
        <w:trPr>
          <w:trHeight w:val="21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1、投标人拟派项目经理具有物业项目经理证得</w:t>
            </w:r>
            <w:r>
              <w:rPr>
                <w:rFonts w:ascii="SimSun" w:hAnsi="SimSun" w:eastAsia="SimSun" w:cs="SimSun"/>
                <w:color w:val="000000"/>
                <w:sz w:val="24"/>
                <w:u w:val="single"/>
              </w:rPr>
              <w:t xml:space="preserve">5分</w:t>
            </w:r>
            <w:r>
              <w:rPr>
                <w:rFonts w:ascii="SimSun" w:hAnsi="SimSun" w:eastAsia="SimSun" w:cs="SimSun"/>
                <w:color w:val="000000"/>
                <w:sz w:val="24"/>
              </w:rPr>
              <w:t xml:space="preserve">，没有的不得分。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注：提供有效身份证、相关证书及投标人为其缴纳2025年1月1日以来任意一个月的社保证明。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2、项目经理业绩：投标人提供2023年1月1日（含）以来，项目经理承担的类似服务项目业绩（非住宅），服务内容不少于安全保卫（或秩序维护）、保洁、讲解、维修、绿化养护（至少满足其中三项）的业绩得</w:t>
            </w:r>
            <w:r>
              <w:rPr>
                <w:rFonts w:ascii="SimSun" w:hAnsi="SimSun" w:eastAsia="SimSun" w:cs="SimSun"/>
                <w:color w:val="000000"/>
                <w:sz w:val="24"/>
                <w:u w:val="single"/>
              </w:rPr>
              <w:t xml:space="preserve">5分</w:t>
            </w:r>
            <w:r>
              <w:rPr>
                <w:rFonts w:ascii="SimSun" w:hAnsi="SimSun" w:eastAsia="SimSun" w:cs="SimSun"/>
                <w:color w:val="000000"/>
                <w:sz w:val="24"/>
              </w:rPr>
              <w:t xml:space="preserve">，未提供不得分。（提供合同扫描件并加盖投标人公章，合同中必须包含服务内容、合同签订时间等信息，且须明确体现项目经理姓名（如不能明确体现的则需提供其他能体现项目经理姓名的有效证明材料），否则不计分。企业业绩与项目经理业绩可重复计分。）</w:t>
            </w:r>
            <w:r/>
          </w:p>
        </w:tc>
      </w:tr>
      <w:tr>
        <w:trPr>
          <w:trHeight w:val="211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投标人拟招聘派驻讲解员（6分）：</w:t>
            </w:r>
            <w:r/>
          </w:p>
          <w:p>
            <w:pPr>
              <w:numPr>
                <w:ilvl w:val="0"/>
                <w:numId w:val="25"/>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讲解员招聘实施方案（4分）：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投标人提供完整、可行的讲解员招聘实施方案，方案需涵盖招聘原则、招聘流程、报名条件、考试考核标准、人员筛选机制、岗前培训计划等核心内容。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逻辑清晰、贴合馆方需求，可直接落地执行，得4分；方案内容较全面、逻辑较清晰，贴合馆方需求，需少量调整即可执行，得3分；方案内容基本完整、逻辑较清晰，基本贴合馆方需求，需一定程度调整方可执行，得2分；方案内容基本完整，逻辑基本清晰，存在部分疏漏，需较大调整才能执行，得1分；方案内容不完整、逻辑混乱，不符合馆方基本需求，无法落地执行或未提供方案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2、承诺（2分）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郑重承诺，若中标，将严格按照采购人（馆方）的各项要求，进一步细化、完善讲解员招聘方案，方案内容将充分贴合馆方实际工作需求、岗位设置标准及公开招聘考试考核相关规定，所有完善内容须经采购人审核确认、统一意见后，正式组织实施；若未按承诺执行，自愿接受采购人相应处理，由此产生的一切责任由本投标人承担。提供加盖投标人公章的书面承诺函得2分，未提供承诺或承诺内容不符合要求不得分。</w:t>
            </w:r>
            <w:r/>
          </w:p>
        </w:tc>
      </w:tr>
      <w:tr>
        <w:trPr>
          <w:trHeight w:val="211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投标人拟派安保员（含保安队长）（不含北门安检）（5分）：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1、拟派人员中具有四级（中级）及以上保安员职业技能等级证书，每有一个得0.5分，满分得2.5分。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2、拟派人员中每有一名退役军人得0.5分，满分得2.5分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注：提供有效的身份证、相关证书（如职业技能等级证书、退役军人（复转军人）证）及投标人为其缴纳2025年1月1日以来任意一个月的社保证明。</w:t>
            </w:r>
            <w:r/>
          </w:p>
        </w:tc>
      </w:tr>
      <w:tr>
        <w:trPr>
          <w:trHeight w:val="211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投标人拟派北门安检人员（3分）：具有人社部门备案评价机构核发的安检员职业技能等级证书，每有一个得3分，满分得3分。其余不得分。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注：提供有效的身份证、相关证书及投标人为其缴纳2025年1月1日以来任意一个月的社保证明。</w:t>
            </w:r>
            <w:r/>
          </w:p>
        </w:tc>
      </w:tr>
      <w:tr>
        <w:trPr>
          <w:trHeight w:val="193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投标人拟派多媒体工程师（1分）：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w:t>
            </w:r>
            <w:r>
              <w:rPr>
                <w:rFonts w:ascii="SimSun" w:hAnsi="SimSun" w:eastAsia="SimSun" w:cs="SimSun"/>
                <w:color w:val="000000"/>
                <w:sz w:val="24"/>
                <w:highlight w:val="white"/>
              </w:rPr>
              <w:t xml:space="preserve">计算机技术与软件专业技术资格（软考）的</w:t>
            </w:r>
            <w:r>
              <w:rPr>
                <w:rFonts w:ascii="SimSun" w:hAnsi="SimSun" w:eastAsia="SimSun" w:cs="SimSun"/>
                <w:color w:val="000000"/>
                <w:sz w:val="24"/>
              </w:rPr>
              <w:t xml:space="preserve">，得1分，没有的不得分。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注：提供有效的身份证、相关证书及投标人为其缴纳2025年1月1日以来任意一个月的社保证明。</w:t>
            </w:r>
            <w:r/>
          </w:p>
        </w:tc>
      </w:tr>
      <w:tr>
        <w:trPr>
          <w:trHeight w:val="193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投标人拟派水电维修工（3分）：具有四级（中级）及以上电工职业技能等级证书，得3分。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注：提供有效的身份证、有效的证书及投标人为其缴纳2025年1月1日以来任意一个月的社保证明。</w:t>
            </w:r>
            <w:r/>
          </w:p>
        </w:tc>
      </w:tr>
      <w:tr>
        <w:trPr>
          <w:trHeight w:val="93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投标人拟派消防设施操作员（5分）：不少于5人具有四级（中级）及以上《消防设施操作员》职业技能等级证书</w:t>
            </w:r>
            <w:r>
              <w:rPr>
                <w:rFonts w:ascii="SimSun" w:hAnsi="SimSun" w:eastAsia="SimSun" w:cs="SimSun"/>
                <w:color w:val="000000"/>
                <w:sz w:val="24"/>
                <w:u w:val="single"/>
              </w:rPr>
              <w:t xml:space="preserve">得5分，不满足的不得分。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注：提供有效身份证、相关证书及投标人为其缴纳2025年1月1日以来任意一个月的社保证明</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根据投标人提供的服务整体方案（包括安保服务方案、物业服务方案，安保服务方案内容包括但不限于：安检措施方案、场地机动巡逻方案、固定岗设置、展厅安保方案等；物业服务方案内容包括但不限于：物业服务保障、设备运行管理、节能降耗管理等） 综合评分：（本项最高6分）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（1）方案全面，合理性、针对性强的，得6分；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（2）方案较全面，合理性、针对性较强的，</w:t>
            </w:r>
            <w:r>
              <w:rPr>
                <w:rFonts w:ascii="SimSun" w:hAnsi="SimSun" w:eastAsia="SimSun" w:cs="SimSun"/>
                <w:color w:val="000000"/>
                <w:sz w:val="24"/>
                <w:u w:val="single"/>
              </w:rPr>
              <w:t xml:space="preserve">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（3）提供了方案但合理性、针对性一般的，</w:t>
            </w:r>
            <w:r>
              <w:rPr>
                <w:rFonts w:ascii="SimSun" w:hAnsi="SimSun" w:eastAsia="SimSun" w:cs="SimSun"/>
                <w:color w:val="000000"/>
                <w:sz w:val="24"/>
                <w:u w:val="single"/>
              </w:rPr>
              <w:t xml:space="preserve">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（4）合理性、针对性差的，</w:t>
            </w:r>
            <w:r>
              <w:rPr>
                <w:rFonts w:ascii="SimSun" w:hAnsi="SimSun" w:eastAsia="SimSun" w:cs="SimSun"/>
                <w:color w:val="000000"/>
                <w:sz w:val="24"/>
                <w:u w:val="single"/>
              </w:rPr>
              <w:t xml:space="preserve">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（5）未提供或提供的方案中未体现本项内容的不得分。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根据投标人提供的部门、岗位职责、工作流程、规章制度、档案管理方案（方案内容包括但不限于：人员配备方案、部门及岗位职责、工作流程、规章制度、薪资考核奖惩制度；考核方案内容包括但不限于：考核标准，考核措施，奖惩措施等；安检资料、巡查资料、巡检资料、保洁记录等资料的收集、登记、保存、移交） 综合评分：（本项最高6分）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（1）人员配备符合性及专业性强；方案全面，合理性、针对性强的，得6分；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（2）人员配备符合性及专业性较强；方案较全面，合理性、针对性较强的，</w:t>
            </w:r>
            <w:r>
              <w:rPr>
                <w:rFonts w:ascii="SimSun" w:hAnsi="SimSun" w:eastAsia="SimSun" w:cs="SimSun"/>
                <w:color w:val="000000"/>
                <w:sz w:val="24"/>
                <w:u w:val="single"/>
              </w:rPr>
              <w:t xml:space="preserve">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（3）人员配备基本满足需求；提供了方案但合理性、针对性一般的，</w:t>
            </w:r>
            <w:r>
              <w:rPr>
                <w:rFonts w:ascii="SimSun" w:hAnsi="SimSun" w:eastAsia="SimSun" w:cs="SimSun"/>
                <w:color w:val="000000"/>
                <w:sz w:val="24"/>
                <w:u w:val="single"/>
              </w:rPr>
              <w:t xml:space="preserve">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（4）人员配备基本满足需求；各合理性、针对性差的，</w:t>
            </w:r>
            <w:r>
              <w:rPr>
                <w:rFonts w:ascii="SimSun" w:hAnsi="SimSun" w:eastAsia="SimSun" w:cs="SimSun"/>
                <w:color w:val="000000"/>
                <w:sz w:val="24"/>
                <w:u w:val="single"/>
              </w:rPr>
              <w:t xml:space="preserve">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（5）未提供或提供的方案中未体现本项内容的不得分。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3、评委根据投标人提供的突发事件应急处理预案，包括但不限于：自然灾害、事故灾难、文物保护、公共卫生事件、社会安全事件、公用设施设备应急预案（含消防、电梯等方面） 综合评分：（本项最高6分）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（1）方案全面，合理性、针对性强的，得6分；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（2）方案较全面，合理性、针对性较强的，</w:t>
            </w:r>
            <w:r>
              <w:rPr>
                <w:rFonts w:ascii="SimSun" w:hAnsi="SimSun" w:eastAsia="SimSun" w:cs="SimSun"/>
                <w:color w:val="000000"/>
                <w:sz w:val="24"/>
                <w:u w:val="single"/>
              </w:rPr>
              <w:t xml:space="preserve">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（3）提供了方案但合理性、针对性一般的，</w:t>
            </w:r>
            <w:r>
              <w:rPr>
                <w:rFonts w:ascii="SimSun" w:hAnsi="SimSun" w:eastAsia="SimSun" w:cs="SimSun"/>
                <w:color w:val="000000"/>
                <w:sz w:val="24"/>
                <w:u w:val="single"/>
              </w:rPr>
              <w:t xml:space="preserve">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（4）合理性、针对性差的，</w:t>
            </w:r>
            <w:r>
              <w:rPr>
                <w:rFonts w:ascii="SimSun" w:hAnsi="SimSun" w:eastAsia="SimSun" w:cs="SimSun"/>
                <w:color w:val="000000"/>
                <w:sz w:val="24"/>
                <w:u w:val="single"/>
              </w:rPr>
              <w:t xml:space="preserve">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（5）未提供或提供的方案中未体现本项内容的不得分。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根据投标人提供的双休日、法定节假日、重大活动及临时接待服务保障方案；夜间安全保障方案；进、退场交接方案（方案内容包括但不限于：人员调配计划，安保措施方案，接待方案等；巡逻安全计划、人员安排、重要场所安排等；交接计划，交接时间，具体流程等）综合评分：（本项最高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（1）方案全面，合理性、针对性强的，得6分；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（2）方案较全面，合理性、针对性较强的，</w:t>
            </w:r>
            <w:r>
              <w:rPr>
                <w:rFonts w:ascii="SimSun" w:hAnsi="SimSun" w:eastAsia="SimSun" w:cs="SimSun"/>
                <w:color w:val="000000"/>
                <w:sz w:val="24"/>
                <w:u w:val="single"/>
              </w:rPr>
              <w:t xml:space="preserve">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（3）提供了方案但合理性、针对性一般的，</w:t>
            </w:r>
            <w:r>
              <w:rPr>
                <w:rFonts w:ascii="SimSun" w:hAnsi="SimSun" w:eastAsia="SimSun" w:cs="SimSun"/>
                <w:color w:val="000000"/>
                <w:sz w:val="24"/>
                <w:u w:val="single"/>
              </w:rPr>
              <w:t xml:space="preserve">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（4）合理性、针对性差的，</w:t>
            </w:r>
            <w:r>
              <w:rPr>
                <w:rFonts w:ascii="SimSun" w:hAnsi="SimSun" w:eastAsia="SimSun" w:cs="SimSun"/>
                <w:color w:val="000000"/>
                <w:sz w:val="24"/>
                <w:u w:val="single"/>
              </w:rPr>
              <w:t xml:space="preserve">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（5）未提供或提供的方案中未体现本项内容的不得分。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5、评委根据投标人提供的对安全保卫和物业服务人员培训计划。（培训计划包括但不限于：岗前培训、定期培训、岗位培训、特殊岗位培训、专题培训等内容）综合评分：（本项最高6分）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（1）方案全面，合理性、针对性强的，得6分；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（2）方案较全面，合理性、针对性较强的，</w:t>
            </w:r>
            <w:r>
              <w:rPr>
                <w:rFonts w:ascii="SimSun" w:hAnsi="SimSun" w:eastAsia="SimSun" w:cs="SimSun"/>
                <w:color w:val="000000"/>
                <w:sz w:val="24"/>
                <w:u w:val="single"/>
              </w:rPr>
              <w:t xml:space="preserve">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（3）提供了方案但合理性、针对性一般的，</w:t>
            </w:r>
            <w:r>
              <w:rPr>
                <w:rFonts w:ascii="SimSun" w:hAnsi="SimSun" w:eastAsia="SimSun" w:cs="SimSun"/>
                <w:color w:val="000000"/>
                <w:sz w:val="24"/>
                <w:u w:val="single"/>
              </w:rPr>
              <w:t xml:space="preserve">得4分</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（4）合理性、针对性差的，</w:t>
            </w:r>
            <w:r>
              <w:rPr>
                <w:rFonts w:ascii="SimSun" w:hAnsi="SimSun" w:eastAsia="SimSun" w:cs="SimSun"/>
                <w:color w:val="000000"/>
                <w:sz w:val="24"/>
                <w:u w:val="single"/>
              </w:rPr>
              <w:t xml:space="preserve">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（5）未提供或提供的方案中未体现本项内容的不得分。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6、评委根据投标人制定的交接计划综合评分：（本项最高6分）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（1）计划全面，合理性、针对性强的，得6分；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（2）计划较全面，合理性、针对性较强的，</w:t>
            </w:r>
            <w:r>
              <w:rPr>
                <w:rFonts w:ascii="SimSun" w:hAnsi="SimSun" w:eastAsia="SimSun" w:cs="SimSun"/>
                <w:color w:val="000000"/>
                <w:sz w:val="24"/>
                <w:u w:val="single"/>
              </w:rPr>
              <w:t xml:space="preserve">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（3）提供了计划但合理性、针对性一般的，</w:t>
            </w:r>
            <w:r>
              <w:rPr>
                <w:rFonts w:ascii="SimSun" w:hAnsi="SimSun" w:eastAsia="SimSun" w:cs="SimSun"/>
                <w:color w:val="000000"/>
                <w:sz w:val="24"/>
                <w:u w:val="single"/>
              </w:rPr>
              <w:t xml:space="preserve">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（4）计划合理性、针对性差的，</w:t>
            </w:r>
            <w:r>
              <w:rPr>
                <w:rFonts w:ascii="SimSun" w:hAnsi="SimSun" w:eastAsia="SimSun" w:cs="SimSun"/>
                <w:color w:val="000000"/>
                <w:sz w:val="24"/>
                <w:u w:val="single"/>
              </w:rPr>
              <w:t xml:space="preserve">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（5）未提供或提供的方案中未体现本项内容的不得分。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7、评委根据投标人提供的创新服务、特色服务及优惠措施内容、先进技术或管理方式的应用情况（如智慧化管理应用、文物保护专项服务等）综合评分：（本项最高</w:t>
            </w:r>
            <w:r>
              <w:rPr>
                <w:rFonts w:ascii="SimSun" w:hAnsi="SimSun" w:eastAsia="SimSun" w:cs="SimSun"/>
                <w:color w:val="000000"/>
                <w:sz w:val="24"/>
                <w:u w:val="single"/>
              </w:rPr>
              <w:t xml:space="preserve">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（1）创新、特色服务及优惠措施多、先进技术或管理方式的应用先进性、科学性强的，</w:t>
            </w:r>
            <w:r>
              <w:rPr>
                <w:rFonts w:ascii="SimSun" w:hAnsi="SimSun" w:eastAsia="SimSun" w:cs="SimSun"/>
                <w:color w:val="000000"/>
                <w:sz w:val="24"/>
                <w:u w:val="single"/>
              </w:rPr>
              <w:t xml:space="preserve">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（2）创新、特色服务及优惠措施多、先进技术或管理方式的应用先进性、科学性强的，得3分；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（3）创新、特色服务及优惠措施较多、先进技术或管理方式的应用先进性、科学性一般的，得2分；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（4）创新、特色服务及优惠措施少、先进技术或管理方式的应用先进性、科学性一般的，得1分；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（5）未提供或提供的服务方案中未体现本项内容的不得分。</w:t>
            </w:r>
            <w:r/>
          </w:p>
        </w:tc>
      </w:tr>
    </w:tbl>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注：投标人的总得分为所有评委评审该单位总得分的平均值。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48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一、法人或者其他组织的营业执照等证明文件，自然人的身份证明</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二、上一年度的财务状况报告（至少提供资产负债表、利润表、现金流量表，投标人成立不满一年无需提供）</w:t>
      </w:r>
      <w:r/>
    </w:p>
    <w:p>
      <w:pPr>
        <w:ind w:left="48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三、具备履行合同所必需的设备和专业技术能力的书面声明（格式附后）</w:t>
      </w:r>
      <w:r/>
    </w:p>
    <w:p>
      <w:pPr>
        <w:ind w:left="0" w:right="0" w:firstLine="482"/>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2"/>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五、参加政府采购活动前 3 年内在经营活动中没有重大违法记录的书面声明（格式附后）</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2"/>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七、单位负责人为同一人或者存在直接控股、管理关系的不同供应商，不得参加同一合同项下的政府采购活动。（格式附后）</w:t>
      </w:r>
      <w:r/>
    </w:p>
    <w:p>
      <w:pPr>
        <w:ind w:left="48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八、特定资格要求的证明文件：无</w:t>
      </w:r>
      <w:r/>
    </w:p>
    <w:p>
      <w:pPr>
        <w:ind w:left="48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九、法人授权书（格式附后）</w:t>
      </w:r>
      <w:r/>
    </w:p>
    <w:p>
      <w:pPr>
        <w:ind w:left="48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十、投标函（格式附后）</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十一、中小企业声明函（格式附后）</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十二、残疾人福利性单位声明函（格式附后）</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十三、关于符合本国产品标准的声明函（如有需要）</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十四、投标分项报价表（格式附后）</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十五、商务要求响应及偏离表（格式附后）</w:t>
      </w:r>
      <w:r/>
    </w:p>
    <w:p>
      <w:pPr>
        <w:ind w:left="480" w:righ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十六、开标一览表（格式附后）</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十七、本项目招标文件第四章采购需求中要求实质性响应或要求提供相关承诺函等各项材料</w:t>
      </w:r>
      <w:r>
        <w:rPr>
          <w:rFonts w:ascii="Arial" w:hAnsi="Arial" w:eastAsia="Arial" w:cs="Arial"/>
          <w:b/>
          <w:color w:val="000000"/>
          <w:sz w:val="24"/>
        </w:rPr>
        <w:t xml:space="preserve">。</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w:t>
      </w:r>
      <w:r>
        <w:rPr>
          <w:rFonts w:ascii="Arial" w:hAnsi="Arial" w:eastAsia="Arial" w:cs="Arial"/>
          <w:b/>
          <w:color w:val="000000"/>
          <w:sz w:val="24"/>
        </w:rPr>
        <w:t xml:space="preserve">本项目招标文件第五章评标方法与评标标准中详细评审项及评分要素要求提供供评委打分的服务方案、业绩证明材料等各项证明材料。</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十九、盐城市政府采购事前信用承诺书（格式附后）</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w:t>
      </w:r>
      <w:r>
        <w:rPr>
          <w:rFonts w:ascii="SimSun" w:hAnsi="SimSun" w:eastAsia="SimSun" w:cs="SimSun"/>
          <w:color w:val="000000"/>
          <w:sz w:val="21"/>
        </w:rPr>
        <w:t xml:space="preserve">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640"/>
        <w:spacing w:before="101"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七、</w:t>
      </w:r>
      <w:r>
        <w:rPr>
          <w:rFonts w:ascii="SimHei" w:hAnsi="SimHei" w:eastAsia="SimHei" w:cs="SimHei"/>
          <w:b/>
          <w:i/>
          <w:color w:val="000000"/>
          <w:sz w:val="32"/>
        </w:rPr>
        <w:t xml:space="preserve">单位负责人为同一人或者存在直接控股、服务关系的不同供应商，不得参加同一合同项下的政府采购活动证明文件书面声明 </w:t>
      </w:r>
      <w:r/>
    </w:p>
    <w:p>
      <w:pPr>
        <w:ind w:left="0" w:right="0" w:firstLine="0"/>
        <w:jc w:val="center"/>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480"/>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我单位不存在：单位负责人为同一人或者存在直接控股、管理关系的不同供应商， 同时参加同一合同项下的政府采购活动。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rPr>
        <w:t xml:space="preserve">特定资格要求的证明文件：无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九、法人授权书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本授权书声明：</w:t>
      </w:r>
      <w:r>
        <w:rPr>
          <w:rFonts w:ascii="Times New Roman" w:hAnsi="Times New Roman" w:eastAsia="Times New Roman" w:cs="Times New Roman"/>
          <w:color w:val="000000"/>
          <w:sz w:val="24"/>
        </w:rPr>
        <w:t xml:space="preserve">____________</w:t>
      </w:r>
      <w:r>
        <w:rPr>
          <w:rFonts w:ascii="Arial" w:hAnsi="Arial" w:eastAsia="Arial" w:cs="Arial"/>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Arial" w:hAnsi="Arial" w:eastAsia="Arial" w:cs="Arial"/>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Arial" w:hAnsi="Arial" w:eastAsia="Arial" w:cs="Arial"/>
          <w:color w:val="000000"/>
          <w:sz w:val="24"/>
        </w:rPr>
        <w:t xml:space="preserve">号项目采购活动的合法代理人，以本单位名义全权处理一切与该项目采购有关的事务。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本授权书于</w:t>
      </w:r>
      <w:r>
        <w:rPr>
          <w:rFonts w:ascii="Times New Roman" w:hAnsi="Times New Roman" w:eastAsia="Times New Roman" w:cs="Times New Roman"/>
          <w:color w:val="000000"/>
          <w:sz w:val="24"/>
        </w:rPr>
        <w:t xml:space="preserve">______</w:t>
      </w:r>
      <w:r>
        <w:rPr>
          <w:rFonts w:ascii="Arial" w:hAnsi="Arial" w:eastAsia="Arial" w:cs="Arial"/>
          <w:color w:val="000000"/>
          <w:sz w:val="24"/>
        </w:rPr>
        <w:t xml:space="preserve">年</w:t>
      </w:r>
      <w:r>
        <w:rPr>
          <w:rFonts w:ascii="Times New Roman" w:hAnsi="Times New Roman" w:eastAsia="Times New Roman" w:cs="Times New Roman"/>
          <w:color w:val="000000"/>
          <w:sz w:val="24"/>
        </w:rPr>
        <w:t xml:space="preserve">____</w:t>
      </w:r>
      <w:r>
        <w:rPr>
          <w:rFonts w:ascii="Arial" w:hAnsi="Arial" w:eastAsia="Arial" w:cs="Arial"/>
          <w:color w:val="000000"/>
          <w:sz w:val="24"/>
        </w:rPr>
        <w:t xml:space="preserve">月</w:t>
      </w:r>
      <w:r>
        <w:rPr>
          <w:rFonts w:ascii="Times New Roman" w:hAnsi="Times New Roman" w:eastAsia="Times New Roman" w:cs="Times New Roman"/>
          <w:color w:val="000000"/>
          <w:sz w:val="24"/>
        </w:rPr>
        <w:t xml:space="preserve">____</w:t>
      </w:r>
      <w:r>
        <w:rPr>
          <w:rFonts w:ascii="Arial" w:hAnsi="Arial" w:eastAsia="Arial" w:cs="Arial"/>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Arial" w:hAnsi="Arial" w:eastAsia="Arial" w:cs="Arial"/>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Arial" w:hAnsi="Arial" w:eastAsia="Arial" w:cs="Arial"/>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授权单位名称：</w:t>
      </w:r>
      <w:r>
        <w:rPr>
          <w:rFonts w:ascii="Arial" w:hAnsi="Arial" w:eastAsia="Arial" w:cs="Arial"/>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Arial" w:hAnsi="Arial" w:eastAsia="Arial" w:cs="Arial"/>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Arial" w:hAnsi="Arial" w:eastAsia="Arial" w:cs="Arial"/>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Arial" w:hAnsi="Arial" w:eastAsia="Arial" w:cs="Arial"/>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Hei" w:hAnsi="SimHei" w:eastAsia="SimHei" w:cs="SimHei"/>
          <w:b/>
          <w:color w:val="000000"/>
          <w:sz w:val="32"/>
        </w:rPr>
        <w:t xml:space="preserve">十、投标函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致：滨海县公共资源交易中心（滨海县政府采购中心）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24"/>
        </w:rPr>
        <w:t xml:space="preserve">JSZC-</w:t>
      </w:r>
      <w:r>
        <w:rPr>
          <w:rFonts w:ascii="SimSun" w:hAnsi="SimSun" w:eastAsia="SimSun" w:cs="SimSun"/>
          <w:color w:val="000000"/>
          <w:sz w:val="24"/>
        </w:rPr>
        <w:t xml:space="preserve">________号招标文件，正式授权下述签字人______(姓名)代表我方______________（投标人的名称），全权处理本次项目投标的有关事宜。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十一、中小企业声明函（服务）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本公司（联合体）郑重声明，根据《政府采购促进中小企业发展管理办法》（财库﹝</w:t>
      </w:r>
      <w:r>
        <w:rPr>
          <w:rFonts w:ascii="Calibri" w:hAnsi="Calibri" w:eastAsia="Calibri" w:cs="Calibri"/>
          <w:color w:val="000000"/>
          <w:sz w:val="24"/>
        </w:rPr>
        <w:t xml:space="preserve">2020</w:t>
      </w:r>
      <w:r>
        <w:rPr>
          <w:rFonts w:ascii="Arial" w:hAnsi="Arial" w:eastAsia="Arial" w:cs="Arial"/>
          <w:color w:val="000000"/>
          <w:sz w:val="24"/>
        </w:rPr>
        <w:t xml:space="preserve">﹞</w:t>
      </w:r>
      <w:r>
        <w:rPr>
          <w:rFonts w:ascii="Calibri" w:hAnsi="Calibri" w:eastAsia="Calibri" w:cs="Calibri"/>
          <w:color w:val="000000"/>
          <w:sz w:val="24"/>
        </w:rPr>
        <w:t xml:space="preserve">46 </w:t>
      </w:r>
      <w:r>
        <w:rPr>
          <w:rFonts w:ascii="Arial" w:hAnsi="Arial" w:eastAsia="Arial" w:cs="Arial"/>
          <w:color w:val="000000"/>
          <w:sz w:val="24"/>
        </w:rPr>
        <w:t xml:space="preserve">号）的规定，本公司（联合体）参加滨海县公共资源交易中心（滨海县政府采购中心）组织的</w:t>
      </w:r>
      <w:r>
        <w:rPr>
          <w:rFonts w:ascii="Arial" w:hAnsi="Arial" w:eastAsia="Arial" w:cs="Arial"/>
          <w:i/>
          <w:color w:val="000000"/>
          <w:sz w:val="24"/>
          <w:u w:val="single"/>
        </w:rPr>
        <w:t xml:space="preserve">（单位名称）</w:t>
      </w:r>
      <w:r>
        <w:rPr>
          <w:rFonts w:ascii="Arial" w:hAnsi="Arial" w:eastAsia="Arial" w:cs="Arial"/>
          <w:color w:val="000000"/>
          <w:sz w:val="24"/>
        </w:rPr>
        <w:t xml:space="preserve">，采购编号为</w:t>
      </w:r>
      <w:r>
        <w:rPr>
          <w:rFonts w:ascii="Arial" w:hAnsi="Arial" w:eastAsia="Arial" w:cs="Arial"/>
          <w:color w:val="000000"/>
          <w:sz w:val="24"/>
          <w:u w:val="single"/>
        </w:rPr>
        <w:t xml:space="preserve">     </w:t>
      </w:r>
      <w:r>
        <w:rPr>
          <w:rFonts w:ascii="Arial" w:hAnsi="Arial" w:eastAsia="Arial" w:cs="Arial"/>
          <w:color w:val="000000"/>
          <w:sz w:val="24"/>
        </w:rPr>
        <w:t xml:space="preserve">的</w:t>
      </w:r>
      <w:r>
        <w:rPr>
          <w:rFonts w:ascii="Arial" w:hAnsi="Arial" w:eastAsia="Arial" w:cs="Arial"/>
          <w:i/>
          <w:color w:val="000000"/>
          <w:sz w:val="24"/>
          <w:u w:val="single"/>
        </w:rPr>
        <w:t xml:space="preserve">（项目名称）</w:t>
      </w:r>
      <w:r>
        <w:rPr>
          <w:rFonts w:ascii="Arial" w:hAnsi="Arial" w:eastAsia="Arial" w:cs="Arial"/>
          <w:color w:val="000000"/>
          <w:sz w:val="24"/>
        </w:rPr>
        <w:t xml:space="preserve">的采购活动，服务全部由符合政策要求的中小企业承接。相关企业（含联合体中的中小企业、签订分包意向协议的中小企业）的具体情况如下：</w:t>
      </w:r>
      <w:r/>
    </w:p>
    <w:p>
      <w:pPr>
        <w:numPr>
          <w:ilvl w:val="0"/>
          <w:numId w:val="27"/>
        </w:numPr>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（标的名称）</w:t>
      </w:r>
      <w:r>
        <w:rPr>
          <w:rFonts w:ascii="Arial" w:hAnsi="Arial" w:eastAsia="Arial" w:cs="Arial"/>
          <w:color w:val="000000"/>
          <w:sz w:val="24"/>
        </w:rPr>
        <w:t xml:space="preserve"> ，属于</w:t>
      </w:r>
      <w:r>
        <w:rPr>
          <w:rFonts w:ascii="Arial" w:hAnsi="Arial" w:eastAsia="Arial" w:cs="Arial"/>
          <w:b/>
          <w:i/>
          <w:color w:val="000000"/>
          <w:sz w:val="24"/>
          <w:u w:val="single"/>
        </w:rPr>
        <w:t xml:space="preserve">（物业管理）</w:t>
      </w:r>
      <w:r>
        <w:rPr>
          <w:rFonts w:ascii="Arial" w:hAnsi="Arial" w:eastAsia="Arial" w:cs="Arial"/>
          <w:color w:val="000000"/>
          <w:sz w:val="24"/>
        </w:rPr>
        <w:t xml:space="preserve">；承建（承接）企业为</w:t>
      </w:r>
      <w:r>
        <w:rPr>
          <w:rFonts w:ascii="Arial" w:hAnsi="Arial" w:eastAsia="Arial" w:cs="Arial"/>
          <w:i/>
          <w:color w:val="000000"/>
          <w:sz w:val="24"/>
          <w:u w:val="single"/>
        </w:rPr>
        <w:t xml:space="preserve">（企业名称）</w:t>
      </w:r>
      <w:r>
        <w:rPr>
          <w:rFonts w:ascii="Arial" w:hAnsi="Arial" w:eastAsia="Arial" w:cs="Arial"/>
          <w:color w:val="000000"/>
          <w:sz w:val="24"/>
        </w:rPr>
        <w:t xml:space="preserve">，从业人员</w:t>
      </w:r>
      <w:r>
        <w:rPr>
          <w:rFonts w:ascii="Arial" w:hAnsi="Arial" w:eastAsia="Arial" w:cs="Arial"/>
          <w:color w:val="000000"/>
          <w:sz w:val="24"/>
          <w:u w:val="single"/>
        </w:rPr>
        <w:t xml:space="preserve">    </w:t>
      </w:r>
      <w:r>
        <w:rPr>
          <w:rFonts w:ascii="Arial" w:hAnsi="Arial" w:eastAsia="Arial" w:cs="Arial"/>
          <w:color w:val="000000"/>
          <w:sz w:val="24"/>
        </w:rPr>
        <w:t xml:space="preserve">人，营业收入为</w:t>
      </w:r>
      <w:r>
        <w:rPr>
          <w:rFonts w:ascii="Arial" w:hAnsi="Arial" w:eastAsia="Arial" w:cs="Arial"/>
          <w:color w:val="000000"/>
          <w:sz w:val="24"/>
          <w:u w:val="single"/>
        </w:rPr>
        <w:t xml:space="preserve">    </w:t>
      </w:r>
      <w:r>
        <w:rPr>
          <w:rFonts w:ascii="Arial" w:hAnsi="Arial" w:eastAsia="Arial" w:cs="Arial"/>
          <w:color w:val="000000"/>
          <w:sz w:val="24"/>
        </w:rPr>
        <w:t xml:space="preserve">万元，资产总额为</w:t>
      </w:r>
      <w:r>
        <w:rPr>
          <w:rFonts w:ascii="Arial" w:hAnsi="Arial" w:eastAsia="Arial" w:cs="Arial"/>
          <w:color w:val="000000"/>
          <w:sz w:val="24"/>
          <w:u w:val="single"/>
        </w:rPr>
        <w:t xml:space="preserve">    </w:t>
      </w:r>
      <w:r>
        <w:rPr>
          <w:rFonts w:ascii="Arial" w:hAnsi="Arial" w:eastAsia="Arial" w:cs="Arial"/>
          <w:color w:val="000000"/>
          <w:sz w:val="24"/>
        </w:rPr>
        <w:t xml:space="preserve">万元，属于（</w:t>
      </w:r>
      <w:r>
        <w:rPr>
          <w:rFonts w:ascii="Arial" w:hAnsi="Arial" w:eastAsia="Arial" w:cs="Arial"/>
          <w:i/>
          <w:color w:val="000000"/>
          <w:sz w:val="24"/>
          <w:u w:val="single"/>
        </w:rPr>
        <w:t xml:space="preserve">中型企业、小型企业、微型企业</w:t>
      </w:r>
      <w:r>
        <w:rPr>
          <w:rFonts w:ascii="Arial" w:hAnsi="Arial" w:eastAsia="Arial" w:cs="Arial"/>
          <w:color w:val="000000"/>
          <w:sz w:val="24"/>
        </w:rPr>
        <w:t xml:space="preserve">）；</w:t>
      </w:r>
      <w:r/>
    </w:p>
    <w:p>
      <w:pPr>
        <w:numPr>
          <w:ilvl w:val="0"/>
          <w:numId w:val="27"/>
        </w:numPr>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（标的名称）</w:t>
      </w:r>
      <w:r>
        <w:rPr>
          <w:rFonts w:ascii="Arial" w:hAnsi="Arial" w:eastAsia="Arial" w:cs="Arial"/>
          <w:color w:val="000000"/>
          <w:sz w:val="24"/>
        </w:rPr>
        <w:t xml:space="preserve"> ，属于</w:t>
      </w:r>
      <w:r>
        <w:rPr>
          <w:rFonts w:ascii="Arial" w:hAnsi="Arial" w:eastAsia="Arial" w:cs="Arial"/>
          <w:i/>
          <w:color w:val="000000"/>
          <w:sz w:val="24"/>
          <w:u w:val="single"/>
        </w:rPr>
        <w:t xml:space="preserve">（采购文件中明确的所属行业）</w:t>
      </w:r>
      <w:r>
        <w:rPr>
          <w:rFonts w:ascii="Arial" w:hAnsi="Arial" w:eastAsia="Arial" w:cs="Arial"/>
          <w:color w:val="000000"/>
          <w:sz w:val="24"/>
        </w:rPr>
        <w:t xml:space="preserve">；承建（承接）企业为</w:t>
      </w:r>
      <w:r>
        <w:rPr>
          <w:rFonts w:ascii="Arial" w:hAnsi="Arial" w:eastAsia="Arial" w:cs="Arial"/>
          <w:i/>
          <w:color w:val="000000"/>
          <w:sz w:val="24"/>
          <w:u w:val="single"/>
        </w:rPr>
        <w:t xml:space="preserve">（企业名称）</w:t>
      </w:r>
      <w:r>
        <w:rPr>
          <w:rFonts w:ascii="Arial" w:hAnsi="Arial" w:eastAsia="Arial" w:cs="Arial"/>
          <w:color w:val="000000"/>
          <w:sz w:val="24"/>
        </w:rPr>
        <w:t xml:space="preserve">，从业人员</w:t>
      </w:r>
      <w:r>
        <w:rPr>
          <w:rFonts w:ascii="Arial" w:hAnsi="Arial" w:eastAsia="Arial" w:cs="Arial"/>
          <w:color w:val="000000"/>
          <w:sz w:val="24"/>
          <w:u w:val="single"/>
        </w:rPr>
        <w:t xml:space="preserve">    </w:t>
      </w:r>
      <w:r>
        <w:rPr>
          <w:rFonts w:ascii="Arial" w:hAnsi="Arial" w:eastAsia="Arial" w:cs="Arial"/>
          <w:color w:val="000000"/>
          <w:sz w:val="24"/>
        </w:rPr>
        <w:t xml:space="preserve">人，营业收入为</w:t>
      </w:r>
      <w:r>
        <w:rPr>
          <w:rFonts w:ascii="Arial" w:hAnsi="Arial" w:eastAsia="Arial" w:cs="Arial"/>
          <w:color w:val="000000"/>
          <w:sz w:val="24"/>
          <w:u w:val="single"/>
        </w:rPr>
        <w:t xml:space="preserve">    </w:t>
      </w:r>
      <w:r>
        <w:rPr>
          <w:rFonts w:ascii="Arial" w:hAnsi="Arial" w:eastAsia="Arial" w:cs="Arial"/>
          <w:color w:val="000000"/>
          <w:sz w:val="24"/>
        </w:rPr>
        <w:t xml:space="preserve">万元，资产总额为</w:t>
      </w:r>
      <w:r>
        <w:rPr>
          <w:rFonts w:ascii="Arial" w:hAnsi="Arial" w:eastAsia="Arial" w:cs="Arial"/>
          <w:color w:val="000000"/>
          <w:sz w:val="24"/>
          <w:u w:val="single"/>
        </w:rPr>
        <w:t xml:space="preserve">    </w:t>
      </w:r>
      <w:r>
        <w:rPr>
          <w:rFonts w:ascii="Arial" w:hAnsi="Arial" w:eastAsia="Arial" w:cs="Arial"/>
          <w:color w:val="000000"/>
          <w:sz w:val="24"/>
        </w:rPr>
        <w:t xml:space="preserve">万元，属于</w:t>
      </w:r>
      <w:r>
        <w:rPr>
          <w:rFonts w:ascii="Arial" w:hAnsi="Arial" w:eastAsia="Arial" w:cs="Arial"/>
          <w:i/>
          <w:color w:val="000000"/>
          <w:sz w:val="24"/>
          <w:u w:val="single"/>
        </w:rPr>
        <w:t xml:space="preserve">（中型企业、小型企业、微型企业）</w:t>
      </w:r>
      <w:r>
        <w:rPr>
          <w:rFonts w:ascii="Arial" w:hAnsi="Arial" w:eastAsia="Arial" w:cs="Arial"/>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5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十二、残疾人福利性单位声明函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 关于符合本国产品标准的声明函（如有需要）</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w:t>
      </w:r>
      <w:r>
        <w:rPr>
          <w:rFonts w:ascii="SimSun" w:hAnsi="SimSun" w:eastAsia="SimSun" w:cs="SimSun"/>
          <w:color w:val="000000"/>
          <w:sz w:val="24"/>
        </w:rPr>
        <w:t xml:space="preserve">2025</w:t>
      </w:r>
      <w:r>
        <w:rPr>
          <w:rFonts w:ascii="Arial" w:hAnsi="Arial" w:eastAsia="Arial" w:cs="Arial"/>
          <w:color w:val="000000"/>
          <w:sz w:val="24"/>
        </w:rPr>
        <w:t xml:space="preserve">〕</w:t>
      </w:r>
      <w:r>
        <w:rPr>
          <w:rFonts w:ascii="SimSun" w:hAnsi="SimSun" w:eastAsia="SimSun" w:cs="SimSun"/>
          <w:color w:val="000000"/>
          <w:sz w:val="24"/>
        </w:rPr>
        <w:t xml:space="preserve">34</w:t>
      </w:r>
      <w:r>
        <w:rPr>
          <w:rFonts w:ascii="Arial" w:hAnsi="Arial" w:eastAsia="Arial" w:cs="Arial"/>
          <w:color w:val="000000"/>
          <w:sz w:val="24"/>
        </w:rPr>
        <w:t xml:space="preserve">号）的规定，本公司（单位）提供的以下产品属于本国产品。具体情况如下：</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Arial" w:hAnsi="Arial" w:eastAsia="Arial" w:cs="Arial"/>
          <w:color w:val="000000"/>
          <w:sz w:val="24"/>
          <w:highlight w:val="white"/>
          <w:u w:val="single"/>
        </w:rPr>
        <w:t xml:space="preserve">（产品名称</w:t>
      </w:r>
      <w:r>
        <w:rPr>
          <w:rFonts w:ascii="SimSun" w:hAnsi="SimSun" w:eastAsia="SimSun" w:cs="SimSun"/>
          <w:color w:val="000000"/>
          <w:sz w:val="24"/>
          <w:highlight w:val="white"/>
          <w:u w:val="single"/>
        </w:rPr>
        <w:t xml:space="preserve">1</w:t>
      </w:r>
      <w:r>
        <w:rPr>
          <w:rFonts w:ascii="Arial" w:hAnsi="Arial" w:eastAsia="Arial" w:cs="Arial"/>
          <w:color w:val="000000"/>
          <w:sz w:val="24"/>
          <w:highlight w:val="white"/>
          <w:u w:val="single"/>
        </w:rPr>
        <w:t xml:space="preserve">）</w:t>
      </w:r>
      <w:r>
        <w:rPr>
          <w:rFonts w:ascii="SimSun" w:hAnsi="SimSun" w:eastAsia="SimSun" w:cs="SimSun"/>
          <w:color w:val="000000"/>
          <w:sz w:val="24"/>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SimSun" w:hAnsi="SimSun" w:eastAsia="SimSun" w:cs="SimSun"/>
          <w:strike/>
          <w:color w:val="000000"/>
          <w:sz w:val="24"/>
          <w:highlight w:val="white"/>
          <w:u w:val="single"/>
        </w:rPr>
        <w:t xml:space="preserve"> </w:t>
      </w:r>
      <w:r>
        <w:rPr>
          <w:rFonts w:ascii="Arial" w:hAnsi="Arial" w:eastAsia="Arial" w:cs="Arial"/>
          <w:strike/>
          <w:color w:val="000000"/>
          <w:sz w:val="24"/>
          <w:highlight w:val="white"/>
          <w:u w:val="single"/>
        </w:rPr>
        <w:t xml:space="preserve">（产品名称</w:t>
      </w:r>
      <w:r>
        <w:rPr>
          <w:rFonts w:ascii="SimSun" w:hAnsi="SimSun" w:eastAsia="SimSun" w:cs="SimSun"/>
          <w:strike/>
          <w:color w:val="000000"/>
          <w:sz w:val="24"/>
          <w:highlight w:val="white"/>
          <w:u w:val="single"/>
        </w:rPr>
        <w:t xml:space="preserve">1</w:t>
      </w:r>
      <w:r>
        <w:rPr>
          <w:rFonts w:ascii="Arial" w:hAnsi="Arial" w:eastAsia="Arial" w:cs="Arial"/>
          <w:strike/>
          <w:color w:val="000000"/>
          <w:sz w:val="24"/>
          <w:highlight w:val="white"/>
          <w:u w:val="single"/>
        </w:rPr>
        <w:t xml:space="preserve">）</w:t>
      </w:r>
      <w:r>
        <w:rPr>
          <w:rFonts w:ascii="SimSun" w:hAnsi="SimSun" w:eastAsia="SimSun" w:cs="SimSun"/>
          <w:color w:val="000000"/>
          <w:sz w:val="24"/>
          <w:highlight w:val="white"/>
          <w:u w:val="single"/>
        </w:rPr>
        <w:t xml:space="preserve"> </w:t>
      </w:r>
      <w:r>
        <w:rPr>
          <w:rFonts w:ascii="Arial" w:hAnsi="Arial" w:eastAsia="Arial" w:cs="Arial"/>
          <w:color w:val="000000"/>
          <w:sz w:val="24"/>
          <w:highlight w:val="white"/>
        </w:rPr>
        <w:t xml:space="preserve">的中国境内生产的组件成本占比</w:t>
      </w:r>
      <w:r>
        <w:rPr>
          <w:rFonts w:ascii="SimSun" w:hAnsi="SimSun" w:eastAsia="SimSun" w:cs="SimSun"/>
          <w:color w:val="000000"/>
          <w:sz w:val="24"/>
          <w:highlight w:val="white"/>
        </w:rPr>
        <w:t xml:space="preserve">≥</w:t>
      </w:r>
      <w:r>
        <w:rPr>
          <w:rFonts w:ascii="Arial" w:hAnsi="Arial" w:eastAsia="Arial" w:cs="Arial"/>
          <w:strike/>
          <w:color w:val="000000"/>
          <w:sz w:val="24"/>
          <w:highlight w:val="white"/>
          <w:u w:val="single"/>
        </w:rPr>
        <w:t xml:space="preserve">（规定比例）</w:t>
      </w:r>
      <w:r>
        <w:rPr>
          <w:rFonts w:ascii="SimSun" w:hAnsi="SimSun" w:eastAsia="SimSun" w:cs="SimSun"/>
          <w:strike/>
          <w:color w:val="000000"/>
          <w:sz w:val="24"/>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strike/>
          <w:color w:val="000000"/>
          <w:sz w:val="24"/>
          <w:highlight w:val="white"/>
          <w:u w:val="single"/>
        </w:rPr>
        <w:t xml:space="preserve">（产品名称</w:t>
      </w:r>
      <w:r>
        <w:rPr>
          <w:rFonts w:ascii="SimSun" w:hAnsi="SimSun" w:eastAsia="SimSun" w:cs="SimSun"/>
          <w:strike/>
          <w:color w:val="000000"/>
          <w:sz w:val="24"/>
          <w:highlight w:val="white"/>
          <w:u w:val="single"/>
        </w:rPr>
        <w:t xml:space="preserve">1</w:t>
      </w:r>
      <w:r>
        <w:rPr>
          <w:rFonts w:ascii="Arial" w:hAnsi="Arial" w:eastAsia="Arial" w:cs="Arial"/>
          <w:strike/>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strike/>
          <w:color w:val="000000"/>
          <w:sz w:val="24"/>
          <w:highlight w:val="white"/>
          <w:u w:val="single"/>
        </w:rPr>
        <w:t xml:space="preserve">（关键组件）</w:t>
      </w:r>
      <w:r>
        <w:rPr>
          <w:rFonts w:ascii="SimSun" w:hAnsi="SimSun" w:eastAsia="SimSun" w:cs="SimSun"/>
          <w:strike/>
          <w:color w:val="000000"/>
          <w:sz w:val="24"/>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strike/>
          <w:color w:val="000000"/>
          <w:sz w:val="24"/>
          <w:highlight w:val="white"/>
          <w:u w:val="single"/>
        </w:rPr>
        <w:t xml:space="preserve">（产品名称</w:t>
      </w:r>
      <w:r>
        <w:rPr>
          <w:rFonts w:ascii="SimSun" w:hAnsi="SimSun" w:eastAsia="SimSun" w:cs="SimSun"/>
          <w:strike/>
          <w:color w:val="000000"/>
          <w:sz w:val="24"/>
          <w:highlight w:val="white"/>
          <w:u w:val="single"/>
        </w:rPr>
        <w:t xml:space="preserve">1</w:t>
      </w:r>
      <w:r>
        <w:rPr>
          <w:rFonts w:ascii="Arial" w:hAnsi="Arial" w:eastAsia="Arial" w:cs="Arial"/>
          <w:strike/>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strike/>
          <w:color w:val="000000"/>
          <w:sz w:val="24"/>
          <w:highlight w:val="white"/>
          <w:u w:val="single"/>
        </w:rPr>
        <w:t xml:space="preserve">（关键工序）</w:t>
      </w:r>
      <w:r>
        <w:rPr>
          <w:rFonts w:ascii="SimSun" w:hAnsi="SimSun" w:eastAsia="SimSun" w:cs="SimSun"/>
          <w:strike/>
          <w:color w:val="000000"/>
          <w:sz w:val="24"/>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Arial" w:hAnsi="Arial" w:eastAsia="Arial" w:cs="Arial"/>
          <w:color w:val="000000"/>
          <w:sz w:val="24"/>
          <w:highlight w:val="white"/>
          <w:u w:val="single"/>
        </w:rPr>
        <w:t xml:space="preserve">（产品名称</w:t>
      </w:r>
      <w:r>
        <w:rPr>
          <w:rFonts w:ascii="SimSun" w:hAnsi="SimSun" w:eastAsia="SimSun" w:cs="SimSun"/>
          <w:color w:val="000000"/>
          <w:sz w:val="24"/>
          <w:highlight w:val="white"/>
          <w:u w:val="single"/>
        </w:rPr>
        <w:t xml:space="preserve">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strike/>
          <w:color w:val="000000"/>
          <w:sz w:val="24"/>
          <w:highlight w:val="white"/>
          <w:u w:val="single"/>
        </w:rPr>
        <w:t xml:space="preserve">（产品名称</w:t>
      </w:r>
      <w:r>
        <w:rPr>
          <w:rFonts w:ascii="SimSun" w:hAnsi="SimSun" w:eastAsia="SimSun" w:cs="SimSun"/>
          <w:strike/>
          <w:color w:val="000000"/>
          <w:sz w:val="24"/>
          <w:highlight w:val="white"/>
          <w:u w:val="single"/>
        </w:rPr>
        <w:t xml:space="preserve">2</w:t>
      </w:r>
      <w:r>
        <w:rPr>
          <w:rFonts w:ascii="Arial" w:hAnsi="Arial" w:eastAsia="Arial" w:cs="Arial"/>
          <w:strike/>
          <w:color w:val="000000"/>
          <w:sz w:val="24"/>
          <w:highlight w:val="white"/>
          <w:u w:val="single"/>
        </w:rPr>
        <w:t xml:space="preserve">）</w:t>
      </w:r>
      <w:r>
        <w:rPr>
          <w:rFonts w:ascii="Arial" w:hAnsi="Arial" w:eastAsia="Arial" w:cs="Arial"/>
          <w:color w:val="000000"/>
          <w:sz w:val="24"/>
          <w:highlight w:val="white"/>
        </w:rPr>
        <w:t xml:space="preserve">的中国境内生产的组件成本占比</w:t>
      </w:r>
      <w:r>
        <w:rPr>
          <w:rFonts w:ascii="SimSun" w:hAnsi="SimSun" w:eastAsia="SimSun" w:cs="SimSun"/>
          <w:color w:val="000000"/>
          <w:sz w:val="24"/>
          <w:highlight w:val="whit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strike/>
          <w:color w:val="000000"/>
          <w:sz w:val="24"/>
          <w:highlight w:val="white"/>
          <w:u w:val="single"/>
        </w:rPr>
        <w:t xml:space="preserve">（产品名称</w:t>
      </w:r>
      <w:r>
        <w:rPr>
          <w:rFonts w:ascii="SimSun" w:hAnsi="SimSun" w:eastAsia="SimSun" w:cs="SimSun"/>
          <w:strike/>
          <w:color w:val="000000"/>
          <w:sz w:val="24"/>
          <w:highlight w:val="white"/>
          <w:u w:val="single"/>
        </w:rPr>
        <w:t xml:space="preserve">2</w:t>
      </w:r>
      <w:r>
        <w:rPr>
          <w:rFonts w:ascii="Arial" w:hAnsi="Arial" w:eastAsia="Arial" w:cs="Arial"/>
          <w:strike/>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strike/>
          <w:color w:val="000000"/>
          <w:sz w:val="24"/>
          <w:highlight w:val="white"/>
          <w:u w:val="single"/>
        </w:rPr>
        <w:t xml:space="preserve">（产品名称</w:t>
      </w:r>
      <w:r>
        <w:rPr>
          <w:rFonts w:ascii="SimSun" w:hAnsi="SimSun" w:eastAsia="SimSun" w:cs="SimSun"/>
          <w:strike/>
          <w:color w:val="000000"/>
          <w:sz w:val="24"/>
          <w:highlight w:val="white"/>
          <w:u w:val="single"/>
        </w:rPr>
        <w:t xml:space="preserve">1</w:t>
      </w:r>
      <w:r>
        <w:rPr>
          <w:rFonts w:ascii="Arial" w:hAnsi="Arial" w:eastAsia="Arial" w:cs="Arial"/>
          <w:strike/>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Arial" w:hAnsi="Arial" w:eastAsia="Arial" w:cs="Arial"/>
          <w:color w:val="000000"/>
          <w:sz w:val="24"/>
          <w:highlight w:val="white"/>
        </w:rPr>
        <w:t xml:space="preserve">日期：　年　月　日</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产品如有型号，请在</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产品名称</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Arial" w:hAnsi="Arial" w:eastAsia="Arial" w:cs="Arial"/>
          <w:color w:val="000000"/>
          <w:sz w:val="24"/>
          <w:highlight w:val="white"/>
        </w:rPr>
        <w:t xml:space="preserve">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rFonts w:ascii="Arial" w:hAnsi="Arial" w:eastAsia="Arial" w:cs="Arial"/>
          <w:color w:val="000000"/>
          <w:sz w:val="24"/>
          <w:highlight w:val="white"/>
        </w:rPr>
        <w:t xml:space="preserve">该产品的中国境内生产的组件成本占比相关要求实施前，</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规定比例</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Arial" w:hAnsi="Arial" w:eastAsia="Arial" w:cs="Arial"/>
          <w:color w:val="000000"/>
          <w:sz w:val="24"/>
          <w:highlight w:val="white"/>
        </w:rPr>
        <w:t xml:space="preserve">该产品的关键组件要求实施前，</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关键组件</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rFonts w:ascii="Arial" w:hAnsi="Arial" w:eastAsia="Arial" w:cs="Arial"/>
          <w:color w:val="000000"/>
          <w:sz w:val="24"/>
          <w:highlight w:val="white"/>
        </w:rPr>
        <w:t xml:space="preserve">该产品的关键工序要求实施前，</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关键工序</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rPr>
          <w:rFonts w:ascii="Arial" w:hAnsi="Arial" w:eastAsia="Arial" w:cs="Arial"/>
          <w:color w:val="000000"/>
          <w:sz w:val="24"/>
          <w:highlight w:val="white"/>
        </w:rPr>
        <w:t xml:space="preserve">用横线划除的地方无需填写。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十四、投标分项报价表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5"/>
        <w:gridCol w:w="1596"/>
        <w:gridCol w:w="965"/>
        <w:gridCol w:w="812"/>
        <w:gridCol w:w="812"/>
        <w:gridCol w:w="900"/>
        <w:gridCol w:w="900"/>
        <w:gridCol w:w="1602"/>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不低于5000元/月/人</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保安员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不低于3000元/月/人</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引导员兼保洁员/保洁员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不低于2300元/月/人</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安防消控员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不低于3000元/月/人</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安检员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不低于3000元/月/人</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水电维修工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不低于3000元/月/人</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多媒体工程师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不低于4000元/月/人</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讲解员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不低于4000元/月/人</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社会保险费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所有人员必须按劳动合同法和国家规定为每位从业人员缴纳各种必缴的社保，并保障其合法权益</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住房公积金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福利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体检费及培训费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元/月/人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管理费及利润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法定税费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不可竞争费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一年费用合计（元）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备注：1. “投标总报价”应包括为完成滨海县博物馆物业外包服务的所需的一切费用，包括但不限于：所涉及的劳务支出及其配套的设备、工具耗材、保险、劳保、交通、通讯、管理、利润、税金、投标费用、培训等工作所发生的全部费用等一切费用，除合同价外，纠纷不再支付其他任何费用。招标文件中另有规定的除外。</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w:t>
      </w:r>
      <w:r>
        <w:rPr>
          <w:rFonts w:ascii="SimSun" w:hAnsi="SimSun" w:eastAsia="SimSun" w:cs="SimSun"/>
          <w:color w:val="000000"/>
          <w:sz w:val="24"/>
        </w:rPr>
        <w:t xml:space="preserve">投标分项报价表”中“投标总报价”数额应当与“开标一览表”中“投标总报价”数额一致。</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b/>
          <w:color w:val="000000"/>
          <w:sz w:val="24"/>
        </w:rPr>
        <w:t xml:space="preserve">  </w:t>
      </w:r>
      <w:r>
        <w:rPr>
          <w:rFonts w:ascii="SimSun" w:hAnsi="SimSun" w:eastAsia="SimSun" w:cs="SimSun"/>
          <w:color w:val="000000"/>
          <w:sz w:val="24"/>
        </w:rPr>
        <w:t xml:space="preserve">  3.</w:t>
      </w:r>
      <w:r>
        <w:rPr>
          <w:rFonts w:ascii="SimSun" w:hAnsi="SimSun" w:eastAsia="SimSun" w:cs="SimSun"/>
          <w:color w:val="000000"/>
          <w:sz w:val="21"/>
        </w:rPr>
        <w:t xml:space="preserve">“</w:t>
      </w:r>
      <w:r>
        <w:rPr>
          <w:rFonts w:ascii="SimSun" w:hAnsi="SimSun" w:eastAsia="SimSun" w:cs="SimSun"/>
          <w:color w:val="000000"/>
          <w:sz w:val="24"/>
        </w:rPr>
        <w:t xml:space="preserve">投标分项报价表”中综合单价指每年每人费用报价。</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4.“备注”中所列“不低于***元/月/人”均指的是按国家及地方相关规定足额缴纳社会保险、住房公积金及其他法定费用后的实发到手工资。</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分项报价表中必须至少有上述明细，如果招标公告发布之后开标前遇政府调整职工最低工资标准或社会保险缴纳基数，评标委员会进行符合性审查时可仍按上述标准审查，中标后，中标人应按照最新政策文件规定执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投标人（公章）：</w:t>
      </w:r>
      <w:r>
        <w:rPr>
          <w:rFonts w:ascii="Times New Roman" w:hAnsi="Times New Roman" w:eastAsia="Times New Roman" w:cs="Times New Roman"/>
          <w:color w:val="000000"/>
          <w:sz w:val="24"/>
        </w:rPr>
        <w:t xml:space="preserve"> </w:t>
      </w:r>
      <w:r/>
    </w:p>
    <w:p>
      <w:pPr>
        <w:ind w:left="0" w:right="0" w:firstLine="4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十五、商务要求响应及偏离表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2"/>
        <w:gridCol w:w="2059"/>
        <w:gridCol w:w="2265"/>
        <w:gridCol w:w="1127"/>
        <w:gridCol w:w="2064"/>
      </w:tblGrid>
      <w:tr>
        <w:trPr>
          <w:trHeight w:val="7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投标人总报价不得于采购人设定总报价的最高限价人民币224.56万元/年。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付款方式及结算方式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投标有效期为开标之日后九十（90）天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十六、开标一览表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80" w:right="0" w:firstLine="0"/>
        <w:spacing w:before="1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注：开标一览表的格式及内容以苏采云系统中开标一览表为准。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rPr>
        <w:t xml:space="preserve">十七、本项目招标文件第四章采购需求中要求实质性响应或要求提供相关承诺函等各项材料。</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rPr>
        <w:t xml:space="preserve"> </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rPr>
        <w:t xml:space="preserve"> </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rPr>
        <w:t xml:space="preserve"> </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rPr>
        <w:t xml:space="preserve">十八、本项目招标文件第五章评标方法与评标标准中详细评审项及评分要素要求提供供评委打分的服务方案、业绩证明材料等各项证明材料。</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十九、盐城市政府采购事前信用承诺书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9"/>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等线">
    <w:panose1 w:val="0201060003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2749550</wp:posOffset>
              </wp:positionH>
              <wp:positionV relativeFrom="paragraph">
                <wp:posOffset>41910</wp:posOffset>
              </wp:positionV>
              <wp:extent cx="403860" cy="20002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03860" cy="200025"/>
                      </a:xfrm>
                      <a:prstGeom prst="rect">
                        <a:avLst/>
                      </a:prstGeom>
                      <a:noFill/>
                      <a:ln w="6350">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756"/>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argin-left:216.5pt;mso-position-horizontal:absolute;mso-position-vertical-relative:text;margin-top:3.3pt;mso-position-vertical:absolute;width:31.8pt;height:15.8pt;mso-wrap-distance-left:9.0pt;mso-wrap-distance-top:0.0pt;mso-wrap-distance-right:9.0pt;mso-wrap-distance-bottom:0.0pt;visibility:visible;" filled="f" stroked="f" strokeweight="0.50pt">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7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56"/>
      </w:p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3">
    <w:multiLevelType w:val="hybridMultilevel"/>
    <w:lvl w:ilvl="0">
      <w:start w:val="9"/>
      <w:numFmt w:val="chineseCounting"/>
      <w:isLgl w:val="false"/>
      <w:suff w:val="nothing"/>
      <w:lvlText w:val="%1、"/>
      <w:lvlJc w:val="left"/>
      <w:pPr>
        <w:pStyle w:val="756"/>
      </w:pPr>
      <w:rPr>
        <w:rFonts w:hint="eastAsia"/>
      </w:r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pStyle w:val="756"/>
      </w:pPr>
      <w:rPr>
        <w:rFonts w:hint="eastAsia"/>
      </w:r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8"/>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8"/>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5"/>
  </w:num>
  <w:num w:numId="5">
    <w:abstractNumId w:val="0"/>
  </w:num>
  <w:num w:numId="6">
    <w:abstractNumId w:val="6"/>
  </w:num>
  <w:num w:numId="7">
    <w:abstractNumId w:val="8"/>
  </w:num>
  <w:num w:numId="8">
    <w:abstractNumId w:val="7"/>
  </w:num>
  <w:num w:numId="9">
    <w:abstractNumId w:val="2"/>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756"/>
    <w:next w:val="75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756"/>
    <w:next w:val="756"/>
    <w:link w:val="816"/>
    <w:uiPriority w:val="9"/>
    <w:unhideWhenUsed/>
    <w:qFormat/>
    <w:pPr>
      <w:keepLines/>
      <w:keepNext/>
      <w:spacing w:before="360" w:after="200"/>
      <w:outlineLvl w:val="1"/>
    </w:pPr>
    <w:rPr>
      <w:rFonts w:ascii="Arial" w:hAnsi="Arial" w:eastAsia="Arial" w:cs="Arial"/>
      <w:sz w:val="34"/>
    </w:rPr>
  </w:style>
  <w:style w:type="paragraph" w:styleId="711">
    <w:name w:val="Heading 3"/>
    <w:basedOn w:val="756"/>
    <w:next w:val="756"/>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756"/>
    <w:next w:val="756"/>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756"/>
    <w:next w:val="756"/>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756"/>
    <w:next w:val="756"/>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756"/>
    <w:next w:val="756"/>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756"/>
    <w:next w:val="756"/>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756"/>
    <w:next w:val="756"/>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756"/>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756"/>
    <w:next w:val="756"/>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756"/>
    <w:next w:val="756"/>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756"/>
    <w:next w:val="756"/>
    <w:link w:val="732"/>
    <w:uiPriority w:val="29"/>
    <w:qFormat/>
    <w:pPr>
      <w:ind w:left="720" w:right="720"/>
    </w:pPr>
    <w:rPr>
      <w:i/>
    </w:rPr>
  </w:style>
  <w:style w:type="character" w:styleId="732">
    <w:name w:val="Quote Char"/>
    <w:link w:val="731"/>
    <w:uiPriority w:val="29"/>
    <w:rPr>
      <w:i/>
    </w:rPr>
  </w:style>
  <w:style w:type="paragraph" w:styleId="733">
    <w:name w:val="Intense Quote"/>
    <w:basedOn w:val="756"/>
    <w:next w:val="756"/>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756"/>
    <w:link w:val="823"/>
    <w:uiPriority w:val="99"/>
    <w:unhideWhenUsed/>
    <w:pPr>
      <w:spacing w:after="0" w:line="240" w:lineRule="auto"/>
      <w:tabs>
        <w:tab w:val="center" w:pos="7143" w:leader="none"/>
        <w:tab w:val="right" w:pos="14287" w:leader="none"/>
      </w:tabs>
    </w:pPr>
  </w:style>
  <w:style w:type="paragraph" w:styleId="736">
    <w:name w:val="Footer"/>
    <w:basedOn w:val="756"/>
    <w:link w:val="825"/>
    <w:uiPriority w:val="99"/>
    <w:unhideWhenUsed/>
    <w:pPr>
      <w:spacing w:after="0" w:line="240" w:lineRule="auto"/>
      <w:tabs>
        <w:tab w:val="center" w:pos="7143" w:leader="none"/>
        <w:tab w:val="right" w:pos="14287" w:leader="none"/>
      </w:tabs>
    </w:pPr>
  </w:style>
  <w:style w:type="paragraph" w:styleId="737">
    <w:name w:val="Caption"/>
    <w:basedOn w:val="756"/>
    <w:next w:val="756"/>
    <w:uiPriority w:val="35"/>
    <w:semiHidden/>
    <w:unhideWhenUsed/>
    <w:qFormat/>
    <w:pPr>
      <w:spacing w:line="276" w:lineRule="auto"/>
    </w:pPr>
    <w:rPr>
      <w:b/>
      <w:bCs/>
      <w:color w:val="4f81bd" w:themeColor="accent1"/>
      <w:sz w:val="18"/>
      <w:szCs w:val="18"/>
    </w:rPr>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Hyperlink"/>
    <w:uiPriority w:val="99"/>
    <w:unhideWhenUsed/>
    <w:rPr>
      <w:color w:val="0000ff" w:themeColor="hyperlink"/>
      <w:u w:val="single"/>
    </w:rPr>
  </w:style>
  <w:style w:type="paragraph" w:styleId="740">
    <w:name w:val="footnote text"/>
    <w:basedOn w:val="756"/>
    <w:link w:val="741"/>
    <w:uiPriority w:val="99"/>
    <w:semiHidden/>
    <w:unhideWhenUsed/>
    <w:pPr>
      <w:spacing w:after="40" w:line="240" w:lineRule="auto"/>
    </w:pPr>
    <w:rPr>
      <w:sz w:val="18"/>
    </w:rPr>
  </w:style>
  <w:style w:type="character" w:styleId="741">
    <w:name w:val="Footnote Text Char"/>
    <w:link w:val="740"/>
    <w:uiPriority w:val="99"/>
    <w:rPr>
      <w:sz w:val="18"/>
    </w:rPr>
  </w:style>
  <w:style w:type="character" w:styleId="742">
    <w:name w:val="footnote reference"/>
    <w:uiPriority w:val="99"/>
    <w:unhideWhenUsed/>
    <w:rPr>
      <w:vertAlign w:val="superscript"/>
    </w:rPr>
  </w:style>
  <w:style w:type="paragraph" w:styleId="743">
    <w:name w:val="endnote text"/>
    <w:basedOn w:val="756"/>
    <w:link w:val="744"/>
    <w:uiPriority w:val="99"/>
    <w:semiHidden/>
    <w:unhideWhenUsed/>
    <w:pPr>
      <w:spacing w:after="0" w:line="240" w:lineRule="auto"/>
    </w:pPr>
    <w:rPr>
      <w:sz w:val="20"/>
    </w:rPr>
  </w:style>
  <w:style w:type="character" w:styleId="744">
    <w:name w:val="Endnote Text Char"/>
    <w:link w:val="743"/>
    <w:uiPriority w:val="99"/>
    <w:rPr>
      <w:sz w:val="20"/>
    </w:rPr>
  </w:style>
  <w:style w:type="character" w:styleId="745">
    <w:name w:val="endnote reference"/>
    <w:uiPriority w:val="99"/>
    <w:semiHidden/>
    <w:unhideWhenUsed/>
    <w:rPr>
      <w:vertAlign w:val="superscript"/>
    </w:rPr>
  </w:style>
  <w:style w:type="paragraph" w:styleId="746">
    <w:name w:val="toc 1"/>
    <w:basedOn w:val="756"/>
    <w:next w:val="756"/>
    <w:uiPriority w:val="39"/>
    <w:unhideWhenUsed/>
    <w:pPr>
      <w:ind w:left="0" w:right="0" w:firstLine="0"/>
      <w:spacing w:after="57"/>
    </w:pPr>
  </w:style>
  <w:style w:type="paragraph" w:styleId="747">
    <w:name w:val="toc 2"/>
    <w:basedOn w:val="756"/>
    <w:next w:val="756"/>
    <w:uiPriority w:val="39"/>
    <w:unhideWhenUsed/>
    <w:pPr>
      <w:ind w:left="283" w:right="0" w:firstLine="0"/>
      <w:spacing w:after="57"/>
    </w:pPr>
  </w:style>
  <w:style w:type="paragraph" w:styleId="748">
    <w:name w:val="toc 3"/>
    <w:basedOn w:val="756"/>
    <w:next w:val="756"/>
    <w:uiPriority w:val="39"/>
    <w:unhideWhenUsed/>
    <w:pPr>
      <w:ind w:left="567" w:right="0" w:firstLine="0"/>
      <w:spacing w:after="57"/>
    </w:pPr>
  </w:style>
  <w:style w:type="paragraph" w:styleId="749">
    <w:name w:val="toc 4"/>
    <w:basedOn w:val="756"/>
    <w:next w:val="756"/>
    <w:uiPriority w:val="39"/>
    <w:unhideWhenUsed/>
    <w:pPr>
      <w:ind w:left="850" w:right="0" w:firstLine="0"/>
      <w:spacing w:after="57"/>
    </w:pPr>
  </w:style>
  <w:style w:type="paragraph" w:styleId="750">
    <w:name w:val="toc 5"/>
    <w:basedOn w:val="756"/>
    <w:next w:val="756"/>
    <w:uiPriority w:val="39"/>
    <w:unhideWhenUsed/>
    <w:pPr>
      <w:ind w:left="1134" w:right="0" w:firstLine="0"/>
      <w:spacing w:after="57"/>
    </w:pPr>
  </w:style>
  <w:style w:type="paragraph" w:styleId="751">
    <w:name w:val="toc 6"/>
    <w:basedOn w:val="756"/>
    <w:next w:val="756"/>
    <w:uiPriority w:val="39"/>
    <w:unhideWhenUsed/>
    <w:pPr>
      <w:ind w:left="1417" w:right="0" w:firstLine="0"/>
      <w:spacing w:after="57"/>
    </w:pPr>
  </w:style>
  <w:style w:type="paragraph" w:styleId="752">
    <w:name w:val="toc 7"/>
    <w:basedOn w:val="756"/>
    <w:next w:val="756"/>
    <w:uiPriority w:val="39"/>
    <w:unhideWhenUsed/>
    <w:pPr>
      <w:ind w:left="1701" w:right="0" w:firstLine="0"/>
      <w:spacing w:after="57"/>
    </w:pPr>
  </w:style>
  <w:style w:type="paragraph" w:styleId="753">
    <w:name w:val="toc 8"/>
    <w:basedOn w:val="756"/>
    <w:next w:val="756"/>
    <w:uiPriority w:val="39"/>
    <w:unhideWhenUsed/>
    <w:pPr>
      <w:ind w:left="1984" w:right="0" w:firstLine="0"/>
      <w:spacing w:after="57"/>
    </w:pPr>
  </w:style>
  <w:style w:type="paragraph" w:styleId="754">
    <w:name w:val="toc 9"/>
    <w:basedOn w:val="756"/>
    <w:next w:val="756"/>
    <w:uiPriority w:val="39"/>
    <w:unhideWhenUsed/>
    <w:pPr>
      <w:ind w:left="2268" w:right="0" w:firstLine="0"/>
      <w:spacing w:after="57"/>
    </w:pPr>
  </w:style>
  <w:style w:type="paragraph" w:styleId="755">
    <w:name w:val="table of figures"/>
    <w:basedOn w:val="756"/>
    <w:next w:val="756"/>
    <w:uiPriority w:val="99"/>
    <w:unhideWhenUsed/>
    <w:pPr>
      <w:spacing w:after="0" w:afterAutospacing="0"/>
    </w:pPr>
  </w:style>
  <w:style w:type="paragraph" w:styleId="756" w:default="1">
    <w:name w:val="Normal"/>
    <w:next w:val="756"/>
    <w:link w:val="756"/>
    <w:qFormat/>
    <w:pPr>
      <w:jc w:val="both"/>
      <w:widowControl w:val="off"/>
    </w:pPr>
    <w:rPr>
      <w:rFonts w:ascii="Calibri" w:hAnsi="Calibri" w:eastAsia="Arial"/>
      <w:sz w:val="21"/>
      <w:szCs w:val="24"/>
      <w:lang w:val="en-US" w:eastAsia="zh-CN" w:bidi="ar-SA"/>
    </w:rPr>
  </w:style>
  <w:style w:type="paragraph" w:styleId="757">
    <w:name w:val="标题 1"/>
    <w:basedOn w:val="756"/>
    <w:next w:val="756"/>
    <w:link w:val="768"/>
    <w:uiPriority w:val="9"/>
    <w:qFormat/>
    <w:pPr>
      <w:keepLines/>
      <w:keepNext/>
      <w:spacing w:before="480" w:after="200"/>
      <w:outlineLvl w:val="0"/>
    </w:pPr>
    <w:rPr>
      <w:rFonts w:ascii="Arial" w:hAnsi="Arial" w:eastAsia="Arial" w:cs="Arial"/>
      <w:sz w:val="40"/>
      <w:szCs w:val="40"/>
    </w:rPr>
  </w:style>
  <w:style w:type="paragraph" w:styleId="758">
    <w:name w:val="标题 2"/>
    <w:basedOn w:val="756"/>
    <w:next w:val="756"/>
    <w:link w:val="756"/>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759">
    <w:name w:val="标题 3"/>
    <w:basedOn w:val="756"/>
    <w:next w:val="756"/>
    <w:link w:val="769"/>
    <w:uiPriority w:val="9"/>
    <w:qFormat/>
    <w:pPr>
      <w:keepLines/>
      <w:keepNext/>
      <w:spacing w:before="320" w:after="200"/>
      <w:outlineLvl w:val="2"/>
    </w:pPr>
    <w:rPr>
      <w:rFonts w:ascii="Arial" w:hAnsi="Arial" w:eastAsia="Arial" w:cs="Arial"/>
      <w:sz w:val="30"/>
      <w:szCs w:val="30"/>
    </w:rPr>
  </w:style>
  <w:style w:type="paragraph" w:styleId="760">
    <w:name w:val="标题 4"/>
    <w:basedOn w:val="756"/>
    <w:next w:val="756"/>
    <w:link w:val="770"/>
    <w:uiPriority w:val="9"/>
    <w:qFormat/>
    <w:pPr>
      <w:keepLines/>
      <w:keepNext/>
      <w:spacing w:before="320" w:after="200"/>
      <w:outlineLvl w:val="3"/>
    </w:pPr>
    <w:rPr>
      <w:rFonts w:ascii="Arial" w:hAnsi="Arial" w:eastAsia="Arial" w:cs="Arial"/>
      <w:b/>
      <w:bCs/>
      <w:sz w:val="26"/>
      <w:szCs w:val="26"/>
    </w:rPr>
  </w:style>
  <w:style w:type="paragraph" w:styleId="761">
    <w:name w:val="标题 5"/>
    <w:basedOn w:val="756"/>
    <w:next w:val="756"/>
    <w:link w:val="771"/>
    <w:uiPriority w:val="9"/>
    <w:qFormat/>
    <w:pPr>
      <w:keepLines/>
      <w:keepNext/>
      <w:spacing w:before="320" w:after="200"/>
      <w:outlineLvl w:val="4"/>
    </w:pPr>
    <w:rPr>
      <w:rFonts w:ascii="Arial" w:hAnsi="Arial" w:eastAsia="Arial" w:cs="Arial"/>
      <w:b/>
      <w:bCs/>
      <w:sz w:val="24"/>
      <w:szCs w:val="24"/>
    </w:rPr>
  </w:style>
  <w:style w:type="paragraph" w:styleId="762">
    <w:name w:val="标题 6"/>
    <w:basedOn w:val="756"/>
    <w:next w:val="756"/>
    <w:link w:val="772"/>
    <w:uiPriority w:val="9"/>
    <w:qFormat/>
    <w:pPr>
      <w:keepLines/>
      <w:keepNext/>
      <w:spacing w:before="320" w:after="200"/>
      <w:outlineLvl w:val="5"/>
    </w:pPr>
    <w:rPr>
      <w:rFonts w:ascii="Arial" w:hAnsi="Arial" w:eastAsia="Arial" w:cs="Arial"/>
      <w:b/>
      <w:bCs/>
      <w:sz w:val="22"/>
      <w:szCs w:val="22"/>
    </w:rPr>
  </w:style>
  <w:style w:type="paragraph" w:styleId="763">
    <w:name w:val="标题 7"/>
    <w:basedOn w:val="756"/>
    <w:next w:val="756"/>
    <w:link w:val="773"/>
    <w:uiPriority w:val="9"/>
    <w:qFormat/>
    <w:pPr>
      <w:keepLines/>
      <w:keepNext/>
      <w:spacing w:before="320" w:after="200"/>
      <w:outlineLvl w:val="6"/>
    </w:pPr>
    <w:rPr>
      <w:rFonts w:ascii="Arial" w:hAnsi="Arial" w:eastAsia="Arial" w:cs="Arial"/>
      <w:b/>
      <w:bCs/>
      <w:i/>
      <w:iCs/>
      <w:sz w:val="22"/>
      <w:szCs w:val="22"/>
    </w:rPr>
  </w:style>
  <w:style w:type="paragraph" w:styleId="764">
    <w:name w:val="标题 8"/>
    <w:basedOn w:val="756"/>
    <w:next w:val="756"/>
    <w:link w:val="774"/>
    <w:uiPriority w:val="9"/>
    <w:qFormat/>
    <w:pPr>
      <w:keepLines/>
      <w:keepNext/>
      <w:spacing w:before="320" w:after="200"/>
      <w:outlineLvl w:val="7"/>
    </w:pPr>
    <w:rPr>
      <w:rFonts w:ascii="Arial" w:hAnsi="Arial" w:eastAsia="Arial" w:cs="Arial"/>
      <w:i/>
      <w:iCs/>
      <w:sz w:val="22"/>
      <w:szCs w:val="22"/>
    </w:rPr>
  </w:style>
  <w:style w:type="paragraph" w:styleId="765">
    <w:name w:val="标题 9"/>
    <w:basedOn w:val="756"/>
    <w:next w:val="756"/>
    <w:link w:val="775"/>
    <w:uiPriority w:val="9"/>
    <w:qFormat/>
    <w:pPr>
      <w:keepLines/>
      <w:keepNext/>
      <w:spacing w:before="320" w:after="200"/>
      <w:outlineLvl w:val="8"/>
    </w:pPr>
    <w:rPr>
      <w:rFonts w:ascii="Arial" w:hAnsi="Arial" w:eastAsia="Arial" w:cs="Arial"/>
      <w:i/>
      <w:iCs/>
      <w:sz w:val="21"/>
      <w:szCs w:val="21"/>
    </w:rPr>
  </w:style>
  <w:style w:type="character" w:styleId="766">
    <w:name w:val="默认段落字体"/>
    <w:next w:val="766"/>
    <w:link w:val="756"/>
    <w:uiPriority w:val="1"/>
    <w:unhideWhenUsed/>
    <w:qFormat/>
  </w:style>
  <w:style w:type="table" w:styleId="767">
    <w:name w:val="普通表格"/>
    <w:next w:val="767"/>
    <w:link w:val="756"/>
    <w:uiPriority w:val="99"/>
    <w:unhideWhenUsed/>
    <w:qFormat/>
    <w:tblPr/>
  </w:style>
  <w:style w:type="character" w:styleId="768">
    <w:name w:val="标题 1 字符"/>
    <w:next w:val="768"/>
    <w:link w:val="757"/>
    <w:uiPriority w:val="9"/>
    <w:qFormat/>
    <w:rPr>
      <w:rFonts w:ascii="Arial" w:hAnsi="Arial" w:eastAsia="Arial" w:cs="Arial"/>
      <w:sz w:val="40"/>
      <w:szCs w:val="40"/>
    </w:rPr>
  </w:style>
  <w:style w:type="character" w:styleId="769">
    <w:name w:val="标题 3 字符"/>
    <w:next w:val="769"/>
    <w:link w:val="759"/>
    <w:uiPriority w:val="9"/>
    <w:qFormat/>
    <w:rPr>
      <w:rFonts w:ascii="Arial" w:hAnsi="Arial" w:eastAsia="Arial" w:cs="Arial"/>
      <w:sz w:val="30"/>
      <w:szCs w:val="30"/>
    </w:rPr>
  </w:style>
  <w:style w:type="character" w:styleId="770">
    <w:name w:val="标题 4 字符"/>
    <w:next w:val="770"/>
    <w:link w:val="760"/>
    <w:uiPriority w:val="9"/>
    <w:qFormat/>
    <w:rPr>
      <w:rFonts w:ascii="Arial" w:hAnsi="Arial" w:eastAsia="Arial" w:cs="Arial"/>
      <w:b/>
      <w:bCs/>
      <w:sz w:val="26"/>
      <w:szCs w:val="26"/>
    </w:rPr>
  </w:style>
  <w:style w:type="character" w:styleId="771">
    <w:name w:val="标题 5 字符"/>
    <w:next w:val="771"/>
    <w:link w:val="761"/>
    <w:uiPriority w:val="9"/>
    <w:rPr>
      <w:rFonts w:ascii="Arial" w:hAnsi="Arial" w:eastAsia="Arial" w:cs="Arial"/>
      <w:b/>
      <w:bCs/>
      <w:sz w:val="24"/>
      <w:szCs w:val="24"/>
    </w:rPr>
  </w:style>
  <w:style w:type="character" w:styleId="772">
    <w:name w:val="标题 6 字符"/>
    <w:next w:val="772"/>
    <w:link w:val="762"/>
    <w:uiPriority w:val="9"/>
    <w:rPr>
      <w:rFonts w:ascii="Arial" w:hAnsi="Arial" w:eastAsia="Arial" w:cs="Arial"/>
      <w:b/>
      <w:bCs/>
      <w:sz w:val="22"/>
      <w:szCs w:val="22"/>
    </w:rPr>
  </w:style>
  <w:style w:type="character" w:styleId="773">
    <w:name w:val="标题 7 字符"/>
    <w:next w:val="773"/>
    <w:link w:val="763"/>
    <w:uiPriority w:val="9"/>
    <w:rPr>
      <w:rFonts w:ascii="Arial" w:hAnsi="Arial" w:eastAsia="Arial" w:cs="Arial"/>
      <w:b/>
      <w:bCs/>
      <w:i/>
      <w:iCs/>
      <w:sz w:val="22"/>
      <w:szCs w:val="22"/>
    </w:rPr>
  </w:style>
  <w:style w:type="character" w:styleId="774">
    <w:name w:val="标题 8 字符"/>
    <w:next w:val="774"/>
    <w:link w:val="764"/>
    <w:uiPriority w:val="9"/>
    <w:qFormat/>
    <w:rPr>
      <w:rFonts w:ascii="Arial" w:hAnsi="Arial" w:eastAsia="Arial" w:cs="Arial"/>
      <w:i/>
      <w:iCs/>
      <w:sz w:val="22"/>
      <w:szCs w:val="22"/>
    </w:rPr>
  </w:style>
  <w:style w:type="character" w:styleId="775">
    <w:name w:val="标题 9 字符"/>
    <w:next w:val="775"/>
    <w:link w:val="765"/>
    <w:uiPriority w:val="9"/>
    <w:qFormat/>
    <w:rPr>
      <w:rFonts w:ascii="Arial" w:hAnsi="Arial" w:eastAsia="Arial" w:cs="Arial"/>
      <w:i/>
      <w:iCs/>
      <w:sz w:val="21"/>
      <w:szCs w:val="21"/>
    </w:rPr>
  </w:style>
  <w:style w:type="paragraph" w:styleId="776">
    <w:name w:val="目录 7"/>
    <w:basedOn w:val="756"/>
    <w:next w:val="756"/>
    <w:link w:val="756"/>
    <w:uiPriority w:val="39"/>
    <w:unhideWhenUsed/>
    <w:qFormat/>
    <w:pPr>
      <w:ind w:left="1701" w:right="0" w:firstLine="0"/>
      <w:spacing w:after="57"/>
    </w:pPr>
  </w:style>
  <w:style w:type="paragraph" w:styleId="777">
    <w:name w:val="题注"/>
    <w:basedOn w:val="756"/>
    <w:next w:val="756"/>
    <w:link w:val="756"/>
    <w:uiPriority w:val="35"/>
    <w:qFormat/>
    <w:pPr>
      <w:spacing w:line="276" w:lineRule="auto"/>
    </w:pPr>
    <w:rPr>
      <w:b/>
      <w:bCs/>
      <w:color w:val="5b9bd5"/>
      <w:sz w:val="18"/>
      <w:szCs w:val="18"/>
    </w:rPr>
  </w:style>
  <w:style w:type="paragraph" w:styleId="778">
    <w:name w:val="批注文字"/>
    <w:basedOn w:val="756"/>
    <w:next w:val="778"/>
    <w:link w:val="779"/>
    <w:uiPriority w:val="99"/>
    <w:unhideWhenUsed/>
    <w:pPr>
      <w:jc w:val="left"/>
    </w:pPr>
  </w:style>
  <w:style w:type="character" w:styleId="779">
    <w:name w:val="批注文字 字符"/>
    <w:next w:val="779"/>
    <w:link w:val="778"/>
    <w:uiPriority w:val="99"/>
    <w:rPr>
      <w:rFonts w:ascii="Calibri" w:hAnsi="Calibri" w:eastAsia="Arial"/>
      <w:sz w:val="21"/>
      <w:szCs w:val="24"/>
    </w:rPr>
  </w:style>
  <w:style w:type="paragraph" w:styleId="780">
    <w:name w:val="正文文本缩进"/>
    <w:basedOn w:val="756"/>
    <w:next w:val="756"/>
    <w:link w:val="756"/>
    <w:qFormat/>
    <w:pPr>
      <w:ind w:firstLine="645"/>
    </w:pPr>
    <w:rPr>
      <w:rFonts w:ascii="楷体_GB2312" w:eastAsia="楷体_GB2312"/>
      <w:sz w:val="32"/>
      <w:szCs w:val="32"/>
    </w:rPr>
  </w:style>
  <w:style w:type="paragraph" w:styleId="781">
    <w:name w:val="目录 5"/>
    <w:basedOn w:val="756"/>
    <w:next w:val="756"/>
    <w:link w:val="756"/>
    <w:uiPriority w:val="39"/>
    <w:unhideWhenUsed/>
    <w:qFormat/>
    <w:pPr>
      <w:ind w:left="1134" w:right="0" w:firstLine="0"/>
      <w:spacing w:after="57"/>
    </w:pPr>
  </w:style>
  <w:style w:type="paragraph" w:styleId="782">
    <w:name w:val="目录 3"/>
    <w:basedOn w:val="756"/>
    <w:next w:val="756"/>
    <w:link w:val="756"/>
    <w:uiPriority w:val="39"/>
    <w:unhideWhenUsed/>
    <w:qFormat/>
    <w:pPr>
      <w:ind w:left="567" w:right="0" w:firstLine="0"/>
      <w:spacing w:after="57"/>
    </w:pPr>
  </w:style>
  <w:style w:type="paragraph" w:styleId="783">
    <w:name w:val="纯文本"/>
    <w:next w:val="783"/>
    <w:link w:val="756"/>
    <w:qFormat/>
    <w:pPr>
      <w:jc w:val="both"/>
      <w:widowControl w:val="off"/>
    </w:pPr>
    <w:rPr>
      <w:rFonts w:ascii="宋体" w:hAnsi="Courier New" w:eastAsia="楷体_GB2312"/>
      <w:sz w:val="28"/>
      <w:lang w:val="en-US" w:eastAsia="zh-CN" w:bidi="ar-SA"/>
    </w:rPr>
  </w:style>
  <w:style w:type="paragraph" w:styleId="784">
    <w:name w:val="目录 8"/>
    <w:basedOn w:val="756"/>
    <w:next w:val="756"/>
    <w:link w:val="756"/>
    <w:uiPriority w:val="39"/>
    <w:unhideWhenUsed/>
    <w:qFormat/>
    <w:pPr>
      <w:ind w:left="1984" w:right="0" w:firstLine="0"/>
      <w:spacing w:after="57"/>
    </w:pPr>
  </w:style>
  <w:style w:type="paragraph" w:styleId="785">
    <w:name w:val="尾注文本"/>
    <w:basedOn w:val="756"/>
    <w:next w:val="785"/>
    <w:link w:val="786"/>
    <w:uiPriority w:val="99"/>
    <w:unhideWhenUsed/>
    <w:qFormat/>
    <w:pPr>
      <w:spacing w:after="0" w:line="240" w:lineRule="auto"/>
    </w:pPr>
    <w:rPr>
      <w:sz w:val="20"/>
    </w:rPr>
  </w:style>
  <w:style w:type="character" w:styleId="786">
    <w:name w:val="尾注文本 字符"/>
    <w:next w:val="786"/>
    <w:link w:val="785"/>
    <w:uiPriority w:val="99"/>
    <w:qFormat/>
    <w:rPr>
      <w:sz w:val="20"/>
    </w:rPr>
  </w:style>
  <w:style w:type="paragraph" w:styleId="787">
    <w:name w:val="页脚"/>
    <w:basedOn w:val="756"/>
    <w:next w:val="787"/>
    <w:link w:val="788"/>
    <w:qFormat/>
    <w:pPr>
      <w:jc w:val="left"/>
      <w:tabs>
        <w:tab w:val="center" w:pos="4153" w:leader="none"/>
        <w:tab w:val="right" w:pos="8306" w:leader="none"/>
      </w:tabs>
    </w:pPr>
    <w:rPr>
      <w:sz w:val="18"/>
      <w:szCs w:val="18"/>
    </w:rPr>
  </w:style>
  <w:style w:type="character" w:styleId="788">
    <w:name w:val="页脚 字符"/>
    <w:next w:val="788"/>
    <w:link w:val="787"/>
    <w:qFormat/>
    <w:rPr>
      <w:sz w:val="18"/>
      <w:szCs w:val="18"/>
    </w:rPr>
  </w:style>
  <w:style w:type="paragraph" w:styleId="789">
    <w:name w:val="页眉"/>
    <w:basedOn w:val="756"/>
    <w:next w:val="789"/>
    <w:link w:val="790"/>
    <w:qFormat/>
    <w:pPr>
      <w:jc w:val="center"/>
      <w:tabs>
        <w:tab w:val="center" w:pos="4153" w:leader="none"/>
        <w:tab w:val="right" w:pos="8306" w:leader="none"/>
      </w:tabs>
      <w:pBdr>
        <w:bottom w:val="single" w:color="000000" w:sz="6" w:space="1"/>
      </w:pBdr>
    </w:pPr>
    <w:rPr>
      <w:sz w:val="18"/>
      <w:szCs w:val="18"/>
    </w:rPr>
  </w:style>
  <w:style w:type="character" w:styleId="790">
    <w:name w:val="页眉 字符"/>
    <w:next w:val="790"/>
    <w:link w:val="789"/>
    <w:qFormat/>
    <w:rPr>
      <w:sz w:val="18"/>
      <w:szCs w:val="18"/>
    </w:rPr>
  </w:style>
  <w:style w:type="paragraph" w:styleId="791">
    <w:name w:val="目录 1"/>
    <w:basedOn w:val="756"/>
    <w:next w:val="756"/>
    <w:link w:val="756"/>
    <w:uiPriority w:val="39"/>
    <w:unhideWhenUsed/>
    <w:qFormat/>
    <w:pPr>
      <w:ind w:left="0" w:right="0" w:firstLine="0"/>
      <w:spacing w:after="57"/>
    </w:pPr>
  </w:style>
  <w:style w:type="paragraph" w:styleId="792">
    <w:name w:val="目录 4"/>
    <w:basedOn w:val="756"/>
    <w:next w:val="756"/>
    <w:link w:val="756"/>
    <w:uiPriority w:val="39"/>
    <w:unhideWhenUsed/>
    <w:qFormat/>
    <w:pPr>
      <w:ind w:left="850" w:right="0" w:firstLine="0"/>
      <w:spacing w:after="57"/>
    </w:pPr>
  </w:style>
  <w:style w:type="paragraph" w:styleId="793">
    <w:name w:val="副标题"/>
    <w:basedOn w:val="756"/>
    <w:next w:val="756"/>
    <w:link w:val="794"/>
    <w:uiPriority w:val="11"/>
    <w:qFormat/>
    <w:pPr>
      <w:spacing w:before="200" w:after="200"/>
    </w:pPr>
    <w:rPr>
      <w:sz w:val="24"/>
      <w:szCs w:val="24"/>
    </w:rPr>
  </w:style>
  <w:style w:type="character" w:styleId="794">
    <w:name w:val="副标题 字符"/>
    <w:next w:val="794"/>
    <w:link w:val="793"/>
    <w:uiPriority w:val="11"/>
    <w:qFormat/>
    <w:rPr>
      <w:sz w:val="24"/>
      <w:szCs w:val="24"/>
    </w:rPr>
  </w:style>
  <w:style w:type="paragraph" w:styleId="795">
    <w:name w:val="脚注文本"/>
    <w:basedOn w:val="756"/>
    <w:next w:val="795"/>
    <w:link w:val="796"/>
    <w:uiPriority w:val="99"/>
    <w:unhideWhenUsed/>
    <w:qFormat/>
    <w:pPr>
      <w:spacing w:after="40" w:line="240" w:lineRule="auto"/>
    </w:pPr>
    <w:rPr>
      <w:sz w:val="18"/>
    </w:rPr>
  </w:style>
  <w:style w:type="character" w:styleId="796">
    <w:name w:val="脚注文本 字符"/>
    <w:next w:val="796"/>
    <w:link w:val="795"/>
    <w:uiPriority w:val="99"/>
    <w:qFormat/>
    <w:rPr>
      <w:sz w:val="18"/>
    </w:rPr>
  </w:style>
  <w:style w:type="paragraph" w:styleId="797">
    <w:name w:val="目录 6"/>
    <w:basedOn w:val="756"/>
    <w:next w:val="756"/>
    <w:link w:val="756"/>
    <w:uiPriority w:val="39"/>
    <w:unhideWhenUsed/>
    <w:qFormat/>
    <w:pPr>
      <w:ind w:left="1417" w:right="0" w:firstLine="0"/>
      <w:spacing w:after="57"/>
    </w:pPr>
  </w:style>
  <w:style w:type="paragraph" w:styleId="798">
    <w:name w:val="正文文本缩进 3"/>
    <w:basedOn w:val="756"/>
    <w:next w:val="798"/>
    <w:link w:val="756"/>
    <w:qFormat/>
    <w:pPr>
      <w:ind w:left="645" w:firstLine="645"/>
    </w:pPr>
    <w:rPr>
      <w:rFonts w:ascii="Arial" w:hAnsi="Arial" w:eastAsia="仿宋_GB2312" w:cs="Arial"/>
      <w:color w:val="ffff00"/>
      <w:sz w:val="32"/>
      <w:szCs w:val="32"/>
    </w:rPr>
  </w:style>
  <w:style w:type="paragraph" w:styleId="799">
    <w:name w:val="图表目录"/>
    <w:basedOn w:val="756"/>
    <w:next w:val="756"/>
    <w:link w:val="756"/>
    <w:uiPriority w:val="99"/>
    <w:unhideWhenUsed/>
    <w:qFormat/>
    <w:pPr>
      <w:spacing w:after="0" w:afterAutospacing="0"/>
    </w:pPr>
  </w:style>
  <w:style w:type="paragraph" w:styleId="800">
    <w:name w:val="目录 2"/>
    <w:basedOn w:val="756"/>
    <w:next w:val="756"/>
    <w:link w:val="756"/>
    <w:uiPriority w:val="39"/>
    <w:unhideWhenUsed/>
    <w:qFormat/>
    <w:pPr>
      <w:ind w:left="283" w:right="0" w:firstLine="0"/>
      <w:spacing w:after="57"/>
    </w:pPr>
  </w:style>
  <w:style w:type="paragraph" w:styleId="801">
    <w:name w:val="目录 9"/>
    <w:basedOn w:val="756"/>
    <w:next w:val="756"/>
    <w:link w:val="756"/>
    <w:uiPriority w:val="39"/>
    <w:unhideWhenUsed/>
    <w:qFormat/>
    <w:pPr>
      <w:ind w:left="2268" w:right="0" w:firstLine="0"/>
      <w:spacing w:after="57"/>
    </w:pPr>
  </w:style>
  <w:style w:type="paragraph" w:styleId="802">
    <w:name w:val="普通(网站)"/>
    <w:basedOn w:val="756"/>
    <w:next w:val="802"/>
    <w:link w:val="756"/>
    <w:qFormat/>
    <w:pPr>
      <w:jc w:val="left"/>
      <w:spacing w:beforeAutospacing="1" w:afterAutospacing="1"/>
    </w:pPr>
    <w:rPr>
      <w:rFonts w:cs="Times New Roman"/>
      <w:sz w:val="24"/>
    </w:rPr>
  </w:style>
  <w:style w:type="paragraph" w:styleId="803">
    <w:name w:val="标题"/>
    <w:basedOn w:val="756"/>
    <w:next w:val="756"/>
    <w:link w:val="804"/>
    <w:uiPriority w:val="10"/>
    <w:qFormat/>
    <w:pPr>
      <w:contextualSpacing/>
      <w:spacing w:before="300" w:after="200"/>
    </w:pPr>
    <w:rPr>
      <w:sz w:val="48"/>
      <w:szCs w:val="48"/>
    </w:rPr>
  </w:style>
  <w:style w:type="character" w:styleId="804">
    <w:name w:val="标题 字符"/>
    <w:next w:val="804"/>
    <w:link w:val="803"/>
    <w:uiPriority w:val="10"/>
    <w:rPr>
      <w:sz w:val="48"/>
      <w:szCs w:val="48"/>
    </w:rPr>
  </w:style>
  <w:style w:type="paragraph" w:styleId="805">
    <w:name w:val="批注主题"/>
    <w:basedOn w:val="778"/>
    <w:next w:val="778"/>
    <w:link w:val="806"/>
    <w:uiPriority w:val="99"/>
    <w:unhideWhenUsed/>
    <w:rPr>
      <w:b/>
      <w:bCs/>
    </w:rPr>
  </w:style>
  <w:style w:type="character" w:styleId="806">
    <w:name w:val="批注主题 字符"/>
    <w:next w:val="806"/>
    <w:link w:val="805"/>
    <w:uiPriority w:val="99"/>
    <w:semiHidden/>
    <w:rPr>
      <w:rFonts w:ascii="Calibri" w:hAnsi="Calibri" w:eastAsia="Arial"/>
      <w:b/>
      <w:bCs/>
      <w:sz w:val="21"/>
      <w:szCs w:val="24"/>
    </w:rPr>
  </w:style>
  <w:style w:type="paragraph" w:styleId="807">
    <w:name w:val="正文首行缩进"/>
    <w:basedOn w:val="756"/>
    <w:next w:val="756"/>
    <w:link w:val="756"/>
    <w:uiPriority w:val="99"/>
    <w:unhideWhenUsed/>
    <w:qFormat/>
    <w:pPr>
      <w:ind w:firstLine="420"/>
    </w:pPr>
    <w:rPr>
      <w:rFonts w:ascii="Times New Roman" w:hAnsi="Times New Roman" w:eastAsia="宋体" w:cs="Times New Roman"/>
    </w:rPr>
  </w:style>
  <w:style w:type="paragraph" w:styleId="808">
    <w:name w:val="正文首行缩进 2"/>
    <w:next w:val="756"/>
    <w:link w:val="756"/>
    <w:qFormat/>
    <w:pPr>
      <w:ind w:firstLine="420"/>
      <w:jc w:val="both"/>
      <w:spacing w:line="360" w:lineRule="auto"/>
      <w:widowControl w:val="off"/>
    </w:pPr>
    <w:rPr>
      <w:rFonts w:ascii="宋体" w:hAnsi="宋体"/>
      <w:sz w:val="21"/>
      <w:lang w:val="en-US" w:eastAsia="zh-CN" w:bidi="ar-SA"/>
    </w:rPr>
  </w:style>
  <w:style w:type="table" w:styleId="809">
    <w:name w:val="网格型"/>
    <w:next w:val="809"/>
    <w:link w:val="756"/>
    <w:qFormat/>
    <w:pPr>
      <w:jc w:val="both"/>
      <w:widowControl w:val="off"/>
    </w:pPr>
    <w:rPr>
      <w:lang w:val="en-US" w:eastAsia="zh-CN" w:bidi="ar-SA"/>
    </w:rPr>
    <w:tblPr/>
  </w:style>
  <w:style w:type="character" w:styleId="810">
    <w:name w:val="要点"/>
    <w:next w:val="810"/>
    <w:link w:val="756"/>
    <w:uiPriority w:val="22"/>
    <w:qFormat/>
    <w:rPr>
      <w:b/>
    </w:rPr>
  </w:style>
  <w:style w:type="character" w:styleId="811">
    <w:name w:val="尾注引用"/>
    <w:next w:val="811"/>
    <w:link w:val="756"/>
    <w:uiPriority w:val="99"/>
    <w:unhideWhenUsed/>
    <w:qFormat/>
    <w:rPr>
      <w:vertAlign w:val="superscript"/>
    </w:rPr>
  </w:style>
  <w:style w:type="character" w:styleId="812">
    <w:name w:val="超链接"/>
    <w:next w:val="812"/>
    <w:link w:val="756"/>
    <w:uiPriority w:val="99"/>
    <w:unhideWhenUsed/>
    <w:qFormat/>
    <w:rPr>
      <w:color w:val="0563c1"/>
      <w:u w:val="single"/>
    </w:rPr>
  </w:style>
  <w:style w:type="character" w:styleId="813">
    <w:name w:val="批注引用"/>
    <w:next w:val="813"/>
    <w:link w:val="756"/>
    <w:uiPriority w:val="99"/>
    <w:unhideWhenUsed/>
    <w:rPr>
      <w:sz w:val="21"/>
      <w:szCs w:val="21"/>
    </w:rPr>
  </w:style>
  <w:style w:type="character" w:styleId="814">
    <w:name w:val="脚注引用"/>
    <w:next w:val="814"/>
    <w:link w:val="756"/>
    <w:uiPriority w:val="99"/>
    <w:unhideWhenUsed/>
    <w:qFormat/>
    <w:rPr>
      <w:vertAlign w:val="superscript"/>
    </w:rPr>
  </w:style>
  <w:style w:type="paragraph" w:styleId="815">
    <w:name w:val="索引 41"/>
    <w:basedOn w:val="756"/>
    <w:next w:val="756"/>
    <w:link w:val="756"/>
    <w:uiPriority w:val="99"/>
    <w:unhideWhenUsed/>
    <w:qFormat/>
    <w:pPr>
      <w:ind w:left="600"/>
      <w:spacing w:before="100" w:beforeAutospacing="1" w:after="100" w:afterAutospacing="1"/>
    </w:pPr>
    <w:rPr>
      <w:rFonts w:ascii="宋体"/>
      <w:b/>
      <w:bCs/>
      <w:position w:val="-10"/>
      <w:sz w:val="24"/>
      <w:szCs w:val="22"/>
    </w:rPr>
  </w:style>
  <w:style w:type="character" w:styleId="816">
    <w:name w:val="Heading 2 Char"/>
    <w:next w:val="816"/>
    <w:link w:val="756"/>
    <w:uiPriority w:val="9"/>
    <w:rPr>
      <w:rFonts w:ascii="Arial" w:hAnsi="Arial" w:eastAsia="Arial" w:cs="Arial"/>
      <w:sz w:val="34"/>
    </w:rPr>
  </w:style>
  <w:style w:type="paragraph" w:styleId="817">
    <w:name w:val="列表段落"/>
    <w:basedOn w:val="756"/>
    <w:next w:val="817"/>
    <w:link w:val="756"/>
    <w:uiPriority w:val="34"/>
    <w:qFormat/>
    <w:pPr>
      <w:contextualSpacing/>
      <w:ind w:left="720"/>
    </w:pPr>
  </w:style>
  <w:style w:type="paragraph" w:styleId="818">
    <w:name w:val="无间隔"/>
    <w:next w:val="818"/>
    <w:link w:val="756"/>
    <w:uiPriority w:val="1"/>
    <w:qFormat/>
    <w:rPr>
      <w:lang w:val="en-US" w:eastAsia="zh-CN" w:bidi="ar-SA"/>
    </w:rPr>
  </w:style>
  <w:style w:type="paragraph" w:styleId="819">
    <w:name w:val="引用"/>
    <w:basedOn w:val="756"/>
    <w:next w:val="756"/>
    <w:link w:val="820"/>
    <w:uiPriority w:val="29"/>
    <w:qFormat/>
    <w:pPr>
      <w:ind w:left="720" w:right="720"/>
    </w:pPr>
    <w:rPr>
      <w:i/>
    </w:rPr>
  </w:style>
  <w:style w:type="character" w:styleId="820">
    <w:name w:val="引用 字符"/>
    <w:next w:val="820"/>
    <w:link w:val="819"/>
    <w:uiPriority w:val="29"/>
    <w:qFormat/>
    <w:rPr>
      <w:i/>
    </w:rPr>
  </w:style>
  <w:style w:type="paragraph" w:styleId="821">
    <w:name w:val="明显引用"/>
    <w:basedOn w:val="756"/>
    <w:next w:val="756"/>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明显引用 字符"/>
    <w:next w:val="822"/>
    <w:link w:val="821"/>
    <w:uiPriority w:val="30"/>
    <w:qFormat/>
    <w:rPr>
      <w:i/>
    </w:rPr>
  </w:style>
  <w:style w:type="character" w:styleId="823">
    <w:name w:val="Header Char"/>
    <w:next w:val="823"/>
    <w:link w:val="756"/>
    <w:uiPriority w:val="99"/>
    <w:qFormat/>
  </w:style>
  <w:style w:type="character" w:styleId="824">
    <w:name w:val="Footer Char"/>
    <w:next w:val="824"/>
    <w:link w:val="756"/>
    <w:uiPriority w:val="99"/>
    <w:qFormat/>
  </w:style>
  <w:style w:type="character" w:styleId="825">
    <w:name w:val="Caption Char"/>
    <w:next w:val="825"/>
    <w:link w:val="756"/>
    <w:uiPriority w:val="99"/>
    <w:qFormat/>
  </w:style>
  <w:style w:type="table" w:styleId="826">
    <w:name w:val="Table Grid Light"/>
    <w:basedOn w:val="767"/>
    <w:next w:val="826"/>
    <w:link w:val="756"/>
    <w:uiPriority w:val="59"/>
    <w:qFormat/>
    <w:pPr>
      <w:spacing w:after="0" w:line="240" w:lineRule="auto"/>
    </w:pPr>
    <w:tblPr/>
  </w:style>
  <w:style w:type="table" w:styleId="827">
    <w:name w:val="Plain Table 1"/>
    <w:basedOn w:val="767"/>
    <w:next w:val="827"/>
    <w:link w:val="756"/>
    <w:uiPriority w:val="59"/>
    <w:qFormat/>
    <w:pPr>
      <w:spacing w:after="0" w:line="240" w:lineRule="auto"/>
    </w:pPr>
    <w:tblPr/>
  </w:style>
  <w:style w:type="table" w:styleId="828">
    <w:name w:val="Plain Table 2"/>
    <w:basedOn w:val="767"/>
    <w:next w:val="828"/>
    <w:link w:val="756"/>
    <w:uiPriority w:val="59"/>
    <w:qFormat/>
    <w:pPr>
      <w:spacing w:after="0" w:line="240" w:lineRule="auto"/>
    </w:pPr>
    <w:tblPr/>
  </w:style>
  <w:style w:type="table" w:styleId="829">
    <w:name w:val="Plain Table 3"/>
    <w:basedOn w:val="767"/>
    <w:next w:val="829"/>
    <w:link w:val="756"/>
    <w:uiPriority w:val="99"/>
    <w:qFormat/>
    <w:pPr>
      <w:spacing w:after="0" w:line="240" w:lineRule="auto"/>
    </w:pPr>
    <w:tblPr/>
  </w:style>
  <w:style w:type="table" w:styleId="830">
    <w:name w:val="Plain Table 4"/>
    <w:basedOn w:val="767"/>
    <w:next w:val="830"/>
    <w:link w:val="756"/>
    <w:uiPriority w:val="99"/>
    <w:qFormat/>
    <w:pPr>
      <w:spacing w:after="0" w:line="240" w:lineRule="auto"/>
    </w:pPr>
    <w:tblPr/>
  </w:style>
  <w:style w:type="table" w:styleId="831">
    <w:name w:val="Plain Table 5"/>
    <w:basedOn w:val="767"/>
    <w:next w:val="831"/>
    <w:link w:val="756"/>
    <w:uiPriority w:val="99"/>
    <w:qFormat/>
    <w:pPr>
      <w:spacing w:after="0" w:line="240" w:lineRule="auto"/>
    </w:pPr>
    <w:tblPr/>
  </w:style>
  <w:style w:type="table" w:styleId="832">
    <w:name w:val="Grid Table 1 Light"/>
    <w:basedOn w:val="767"/>
    <w:next w:val="832"/>
    <w:link w:val="756"/>
    <w:uiPriority w:val="99"/>
    <w:qFormat/>
    <w:pPr>
      <w:spacing w:after="0" w:line="240" w:lineRule="auto"/>
    </w:pPr>
    <w:tblPr/>
  </w:style>
  <w:style w:type="table" w:styleId="833">
    <w:name w:val="Grid Table 1 Light - Accent 1"/>
    <w:basedOn w:val="767"/>
    <w:next w:val="833"/>
    <w:link w:val="756"/>
    <w:uiPriority w:val="99"/>
    <w:qFormat/>
    <w:pPr>
      <w:spacing w:after="0" w:line="240" w:lineRule="auto"/>
    </w:pPr>
    <w:tblPr/>
  </w:style>
  <w:style w:type="table" w:styleId="834">
    <w:name w:val="Grid Table 1 Light - Accent 2"/>
    <w:basedOn w:val="767"/>
    <w:next w:val="834"/>
    <w:link w:val="756"/>
    <w:uiPriority w:val="99"/>
    <w:qFormat/>
    <w:pPr>
      <w:spacing w:after="0" w:line="240" w:lineRule="auto"/>
    </w:pPr>
    <w:tblPr/>
  </w:style>
  <w:style w:type="table" w:styleId="835">
    <w:name w:val="Grid Table 1 Light - Accent 3"/>
    <w:basedOn w:val="767"/>
    <w:next w:val="835"/>
    <w:link w:val="756"/>
    <w:uiPriority w:val="99"/>
    <w:qFormat/>
    <w:pPr>
      <w:spacing w:after="0" w:line="240" w:lineRule="auto"/>
    </w:pPr>
    <w:tblPr/>
  </w:style>
  <w:style w:type="table" w:styleId="836">
    <w:name w:val="Grid Table 1 Light - Accent 4"/>
    <w:basedOn w:val="767"/>
    <w:next w:val="836"/>
    <w:link w:val="756"/>
    <w:uiPriority w:val="99"/>
    <w:qFormat/>
    <w:pPr>
      <w:spacing w:after="0" w:line="240" w:lineRule="auto"/>
    </w:pPr>
    <w:tblPr/>
  </w:style>
  <w:style w:type="table" w:styleId="837">
    <w:name w:val="Grid Table 1 Light - Accent 5"/>
    <w:basedOn w:val="767"/>
    <w:next w:val="837"/>
    <w:link w:val="756"/>
    <w:uiPriority w:val="99"/>
    <w:pPr>
      <w:spacing w:after="0" w:line="240" w:lineRule="auto"/>
    </w:pPr>
    <w:tblPr/>
  </w:style>
  <w:style w:type="table" w:styleId="838">
    <w:name w:val="Grid Table 1 Light - Accent 6"/>
    <w:basedOn w:val="767"/>
    <w:next w:val="838"/>
    <w:link w:val="756"/>
    <w:uiPriority w:val="99"/>
    <w:qFormat/>
    <w:pPr>
      <w:spacing w:after="0" w:line="240" w:lineRule="auto"/>
    </w:pPr>
    <w:tblPr/>
  </w:style>
  <w:style w:type="table" w:styleId="839">
    <w:name w:val="Grid Table 2"/>
    <w:basedOn w:val="767"/>
    <w:next w:val="839"/>
    <w:link w:val="756"/>
    <w:uiPriority w:val="99"/>
    <w:qFormat/>
    <w:pPr>
      <w:spacing w:after="0" w:line="240" w:lineRule="auto"/>
    </w:pPr>
    <w:tblPr/>
  </w:style>
  <w:style w:type="table" w:styleId="840">
    <w:name w:val="Grid Table 2 - Accent 1"/>
    <w:basedOn w:val="767"/>
    <w:next w:val="840"/>
    <w:link w:val="756"/>
    <w:uiPriority w:val="99"/>
    <w:qFormat/>
    <w:pPr>
      <w:spacing w:after="0" w:line="240" w:lineRule="auto"/>
    </w:pPr>
    <w:tblPr/>
  </w:style>
  <w:style w:type="table" w:styleId="841">
    <w:name w:val="Grid Table 2 - Accent 2"/>
    <w:basedOn w:val="767"/>
    <w:next w:val="841"/>
    <w:link w:val="756"/>
    <w:uiPriority w:val="99"/>
    <w:qFormat/>
    <w:pPr>
      <w:spacing w:after="0" w:line="240" w:lineRule="auto"/>
    </w:pPr>
    <w:tblPr/>
  </w:style>
  <w:style w:type="table" w:styleId="842">
    <w:name w:val="Grid Table 2 - Accent 3"/>
    <w:basedOn w:val="767"/>
    <w:next w:val="842"/>
    <w:link w:val="756"/>
    <w:uiPriority w:val="99"/>
    <w:qFormat/>
    <w:pPr>
      <w:spacing w:after="0" w:line="240" w:lineRule="auto"/>
    </w:pPr>
    <w:tblPr/>
  </w:style>
  <w:style w:type="table" w:styleId="843">
    <w:name w:val="Grid Table 2 - Accent 4"/>
    <w:basedOn w:val="767"/>
    <w:next w:val="843"/>
    <w:link w:val="756"/>
    <w:uiPriority w:val="99"/>
    <w:qFormat/>
    <w:pPr>
      <w:spacing w:after="0" w:line="240" w:lineRule="auto"/>
    </w:pPr>
    <w:tblPr/>
  </w:style>
  <w:style w:type="table" w:styleId="844">
    <w:name w:val="Grid Table 2 - Accent 5"/>
    <w:basedOn w:val="767"/>
    <w:next w:val="844"/>
    <w:link w:val="756"/>
    <w:uiPriority w:val="99"/>
    <w:pPr>
      <w:spacing w:after="0" w:line="240" w:lineRule="auto"/>
    </w:pPr>
    <w:tblPr/>
  </w:style>
  <w:style w:type="table" w:styleId="845">
    <w:name w:val="Grid Table 2 - Accent 6"/>
    <w:basedOn w:val="767"/>
    <w:next w:val="845"/>
    <w:link w:val="756"/>
    <w:uiPriority w:val="99"/>
    <w:qFormat/>
    <w:pPr>
      <w:spacing w:after="0" w:line="240" w:lineRule="auto"/>
    </w:pPr>
    <w:tblPr/>
  </w:style>
  <w:style w:type="table" w:styleId="846">
    <w:name w:val="Grid Table 3"/>
    <w:basedOn w:val="767"/>
    <w:next w:val="846"/>
    <w:link w:val="756"/>
    <w:uiPriority w:val="99"/>
    <w:qFormat/>
    <w:pPr>
      <w:spacing w:after="0" w:line="240" w:lineRule="auto"/>
    </w:pPr>
    <w:tblPr/>
  </w:style>
  <w:style w:type="table" w:styleId="847">
    <w:name w:val="Grid Table 3 - Accent 1"/>
    <w:basedOn w:val="767"/>
    <w:next w:val="847"/>
    <w:link w:val="756"/>
    <w:uiPriority w:val="99"/>
    <w:qFormat/>
    <w:pPr>
      <w:spacing w:after="0" w:line="240" w:lineRule="auto"/>
    </w:pPr>
    <w:tblPr/>
  </w:style>
  <w:style w:type="table" w:styleId="848">
    <w:name w:val="Grid Table 3 - Accent 2"/>
    <w:basedOn w:val="767"/>
    <w:next w:val="848"/>
    <w:link w:val="756"/>
    <w:uiPriority w:val="99"/>
    <w:qFormat/>
    <w:pPr>
      <w:spacing w:after="0" w:line="240" w:lineRule="auto"/>
    </w:pPr>
    <w:tblPr/>
  </w:style>
  <w:style w:type="table" w:styleId="849">
    <w:name w:val="Grid Table 3 - Accent 3"/>
    <w:basedOn w:val="767"/>
    <w:next w:val="849"/>
    <w:link w:val="756"/>
    <w:uiPriority w:val="99"/>
    <w:qFormat/>
    <w:pPr>
      <w:spacing w:after="0" w:line="240" w:lineRule="auto"/>
    </w:pPr>
    <w:tblPr/>
  </w:style>
  <w:style w:type="table" w:styleId="850">
    <w:name w:val="Grid Table 3 - Accent 4"/>
    <w:basedOn w:val="767"/>
    <w:next w:val="850"/>
    <w:link w:val="756"/>
    <w:uiPriority w:val="99"/>
    <w:qFormat/>
    <w:pPr>
      <w:spacing w:after="0" w:line="240" w:lineRule="auto"/>
    </w:pPr>
    <w:tblPr/>
  </w:style>
  <w:style w:type="table" w:styleId="851">
    <w:name w:val="Grid Table 3 - Accent 5"/>
    <w:basedOn w:val="767"/>
    <w:next w:val="851"/>
    <w:link w:val="756"/>
    <w:uiPriority w:val="99"/>
    <w:pPr>
      <w:spacing w:after="0" w:line="240" w:lineRule="auto"/>
    </w:pPr>
    <w:tblPr/>
  </w:style>
  <w:style w:type="table" w:styleId="852">
    <w:name w:val="Grid Table 3 - Accent 6"/>
    <w:basedOn w:val="767"/>
    <w:next w:val="852"/>
    <w:link w:val="756"/>
    <w:uiPriority w:val="99"/>
    <w:qFormat/>
    <w:pPr>
      <w:spacing w:after="0" w:line="240" w:lineRule="auto"/>
    </w:pPr>
    <w:tblPr/>
  </w:style>
  <w:style w:type="table" w:styleId="853">
    <w:name w:val="Grid Table 4"/>
    <w:basedOn w:val="767"/>
    <w:next w:val="853"/>
    <w:link w:val="756"/>
    <w:uiPriority w:val="59"/>
    <w:qFormat/>
    <w:pPr>
      <w:spacing w:after="0" w:line="240" w:lineRule="auto"/>
    </w:pPr>
    <w:tblPr/>
  </w:style>
  <w:style w:type="table" w:styleId="854">
    <w:name w:val="Grid Table 4 - Accent 1"/>
    <w:basedOn w:val="767"/>
    <w:next w:val="854"/>
    <w:link w:val="756"/>
    <w:uiPriority w:val="59"/>
    <w:qFormat/>
    <w:pPr>
      <w:spacing w:after="0" w:line="240" w:lineRule="auto"/>
    </w:pPr>
    <w:tblPr/>
  </w:style>
  <w:style w:type="table" w:styleId="855">
    <w:name w:val="Grid Table 4 - Accent 2"/>
    <w:basedOn w:val="767"/>
    <w:next w:val="855"/>
    <w:link w:val="756"/>
    <w:uiPriority w:val="59"/>
    <w:qFormat/>
    <w:pPr>
      <w:spacing w:after="0" w:line="240" w:lineRule="auto"/>
    </w:pPr>
    <w:tblPr/>
  </w:style>
  <w:style w:type="table" w:styleId="856">
    <w:name w:val="Grid Table 4 - Accent 3"/>
    <w:basedOn w:val="767"/>
    <w:next w:val="856"/>
    <w:link w:val="756"/>
    <w:uiPriority w:val="59"/>
    <w:qFormat/>
    <w:pPr>
      <w:spacing w:after="0" w:line="240" w:lineRule="auto"/>
    </w:pPr>
    <w:tblPr/>
  </w:style>
  <w:style w:type="table" w:styleId="857">
    <w:name w:val="Grid Table 4 - Accent 4"/>
    <w:basedOn w:val="767"/>
    <w:next w:val="857"/>
    <w:link w:val="756"/>
    <w:uiPriority w:val="59"/>
    <w:qFormat/>
    <w:pPr>
      <w:spacing w:after="0" w:line="240" w:lineRule="auto"/>
    </w:pPr>
    <w:tblPr/>
  </w:style>
  <w:style w:type="table" w:styleId="858">
    <w:name w:val="Grid Table 4 - Accent 5"/>
    <w:basedOn w:val="767"/>
    <w:next w:val="858"/>
    <w:link w:val="756"/>
    <w:uiPriority w:val="59"/>
    <w:qFormat/>
    <w:pPr>
      <w:spacing w:after="0" w:line="240" w:lineRule="auto"/>
    </w:pPr>
    <w:tblPr/>
  </w:style>
  <w:style w:type="table" w:styleId="859">
    <w:name w:val="Grid Table 4 - Accent 6"/>
    <w:basedOn w:val="767"/>
    <w:next w:val="859"/>
    <w:link w:val="756"/>
    <w:uiPriority w:val="59"/>
    <w:qFormat/>
    <w:pPr>
      <w:spacing w:after="0" w:line="240" w:lineRule="auto"/>
    </w:pPr>
    <w:tblPr/>
  </w:style>
  <w:style w:type="table" w:styleId="860">
    <w:name w:val="Grid Table 5 Dark"/>
    <w:basedOn w:val="767"/>
    <w:next w:val="860"/>
    <w:link w:val="756"/>
    <w:uiPriority w:val="99"/>
    <w:qFormat/>
    <w:pPr>
      <w:spacing w:after="0" w:line="240" w:lineRule="auto"/>
    </w:pPr>
    <w:tblPr/>
  </w:style>
  <w:style w:type="table" w:styleId="861">
    <w:name w:val="Grid Table 5 Dark- Accent 1"/>
    <w:basedOn w:val="767"/>
    <w:next w:val="861"/>
    <w:link w:val="756"/>
    <w:uiPriority w:val="99"/>
    <w:qFormat/>
    <w:pPr>
      <w:spacing w:after="0" w:line="240" w:lineRule="auto"/>
    </w:pPr>
    <w:tblPr/>
  </w:style>
  <w:style w:type="table" w:styleId="862">
    <w:name w:val="Grid Table 5 Dark - Accent 2"/>
    <w:basedOn w:val="767"/>
    <w:next w:val="862"/>
    <w:link w:val="756"/>
    <w:uiPriority w:val="99"/>
    <w:qFormat/>
    <w:pPr>
      <w:spacing w:after="0" w:line="240" w:lineRule="auto"/>
    </w:pPr>
    <w:tblPr/>
  </w:style>
  <w:style w:type="table" w:styleId="863">
    <w:name w:val="Grid Table 5 Dark - Accent 3"/>
    <w:basedOn w:val="767"/>
    <w:next w:val="863"/>
    <w:link w:val="756"/>
    <w:uiPriority w:val="99"/>
    <w:qFormat/>
    <w:pPr>
      <w:spacing w:after="0" w:line="240" w:lineRule="auto"/>
    </w:pPr>
    <w:tblPr/>
  </w:style>
  <w:style w:type="table" w:styleId="864">
    <w:name w:val="Grid Table 5 Dark- Accent 4"/>
    <w:basedOn w:val="767"/>
    <w:next w:val="864"/>
    <w:link w:val="756"/>
    <w:uiPriority w:val="99"/>
    <w:pPr>
      <w:spacing w:after="0" w:line="240" w:lineRule="auto"/>
    </w:pPr>
    <w:tblPr/>
  </w:style>
  <w:style w:type="table" w:styleId="865">
    <w:name w:val="Grid Table 5 Dark - Accent 5"/>
    <w:basedOn w:val="767"/>
    <w:next w:val="865"/>
    <w:link w:val="756"/>
    <w:uiPriority w:val="99"/>
    <w:qFormat/>
    <w:pPr>
      <w:spacing w:after="0" w:line="240" w:lineRule="auto"/>
    </w:pPr>
    <w:tblPr/>
  </w:style>
  <w:style w:type="table" w:styleId="866">
    <w:name w:val="Grid Table 5 Dark - Accent 6"/>
    <w:basedOn w:val="767"/>
    <w:next w:val="866"/>
    <w:link w:val="756"/>
    <w:uiPriority w:val="99"/>
    <w:qFormat/>
    <w:pPr>
      <w:spacing w:after="0" w:line="240" w:lineRule="auto"/>
    </w:pPr>
    <w:tblPr/>
  </w:style>
  <w:style w:type="table" w:styleId="867">
    <w:name w:val="Grid Table 6 Colorful"/>
    <w:basedOn w:val="767"/>
    <w:next w:val="867"/>
    <w:link w:val="756"/>
    <w:uiPriority w:val="99"/>
    <w:qFormat/>
    <w:pPr>
      <w:spacing w:after="0" w:line="240" w:lineRule="auto"/>
    </w:pPr>
    <w:tblPr/>
  </w:style>
  <w:style w:type="table" w:styleId="868">
    <w:name w:val="Grid Table 6 Colorful - Accent 1"/>
    <w:basedOn w:val="767"/>
    <w:next w:val="868"/>
    <w:link w:val="756"/>
    <w:uiPriority w:val="99"/>
    <w:qFormat/>
    <w:pPr>
      <w:spacing w:after="0" w:line="240" w:lineRule="auto"/>
    </w:pPr>
    <w:tblPr/>
  </w:style>
  <w:style w:type="table" w:styleId="869">
    <w:name w:val="Grid Table 6 Colorful - Accent 2"/>
    <w:basedOn w:val="767"/>
    <w:next w:val="869"/>
    <w:link w:val="756"/>
    <w:uiPriority w:val="99"/>
    <w:qFormat/>
    <w:pPr>
      <w:spacing w:after="0" w:line="240" w:lineRule="auto"/>
    </w:pPr>
    <w:tblPr/>
  </w:style>
  <w:style w:type="table" w:styleId="870">
    <w:name w:val="Grid Table 6 Colorful - Accent 3"/>
    <w:basedOn w:val="767"/>
    <w:next w:val="870"/>
    <w:link w:val="756"/>
    <w:uiPriority w:val="99"/>
    <w:qFormat/>
    <w:pPr>
      <w:spacing w:after="0" w:line="240" w:lineRule="auto"/>
    </w:pPr>
    <w:tblPr/>
  </w:style>
  <w:style w:type="table" w:styleId="871">
    <w:name w:val="Grid Table 6 Colorful - Accent 4"/>
    <w:basedOn w:val="767"/>
    <w:next w:val="871"/>
    <w:link w:val="756"/>
    <w:uiPriority w:val="99"/>
    <w:qFormat/>
    <w:pPr>
      <w:spacing w:after="0" w:line="240" w:lineRule="auto"/>
    </w:pPr>
    <w:tblPr/>
  </w:style>
  <w:style w:type="table" w:styleId="872">
    <w:name w:val="Grid Table 6 Colorful - Accent 5"/>
    <w:basedOn w:val="767"/>
    <w:next w:val="872"/>
    <w:link w:val="756"/>
    <w:uiPriority w:val="99"/>
    <w:qFormat/>
    <w:pPr>
      <w:spacing w:after="0" w:line="240" w:lineRule="auto"/>
    </w:pPr>
    <w:tblPr/>
  </w:style>
  <w:style w:type="table" w:styleId="873">
    <w:name w:val="Grid Table 6 Colorful - Accent 6"/>
    <w:basedOn w:val="767"/>
    <w:next w:val="873"/>
    <w:link w:val="756"/>
    <w:uiPriority w:val="99"/>
    <w:qFormat/>
    <w:pPr>
      <w:spacing w:after="0" w:line="240" w:lineRule="auto"/>
    </w:pPr>
    <w:tblPr/>
  </w:style>
  <w:style w:type="table" w:styleId="874">
    <w:name w:val="Grid Table 7 Colorful"/>
    <w:basedOn w:val="767"/>
    <w:next w:val="874"/>
    <w:link w:val="756"/>
    <w:uiPriority w:val="99"/>
    <w:qFormat/>
    <w:pPr>
      <w:spacing w:after="0" w:line="240" w:lineRule="auto"/>
    </w:pPr>
    <w:tblPr/>
  </w:style>
  <w:style w:type="table" w:styleId="875">
    <w:name w:val="Grid Table 7 Colorful - Accent 1"/>
    <w:basedOn w:val="767"/>
    <w:next w:val="875"/>
    <w:link w:val="756"/>
    <w:uiPriority w:val="99"/>
    <w:qFormat/>
    <w:pPr>
      <w:spacing w:after="0" w:line="240" w:lineRule="auto"/>
    </w:pPr>
    <w:tblPr/>
  </w:style>
  <w:style w:type="table" w:styleId="876">
    <w:name w:val="Grid Table 7 Colorful - Accent 2"/>
    <w:basedOn w:val="767"/>
    <w:next w:val="876"/>
    <w:link w:val="756"/>
    <w:uiPriority w:val="99"/>
    <w:qFormat/>
    <w:pPr>
      <w:spacing w:after="0" w:line="240" w:lineRule="auto"/>
    </w:pPr>
    <w:tblPr/>
  </w:style>
  <w:style w:type="table" w:styleId="877">
    <w:name w:val="Grid Table 7 Colorful - Accent 3"/>
    <w:basedOn w:val="767"/>
    <w:next w:val="877"/>
    <w:link w:val="756"/>
    <w:uiPriority w:val="99"/>
    <w:qFormat/>
    <w:pPr>
      <w:spacing w:after="0" w:line="240" w:lineRule="auto"/>
    </w:pPr>
    <w:tblPr/>
  </w:style>
  <w:style w:type="table" w:styleId="878">
    <w:name w:val="Grid Table 7 Colorful - Accent 4"/>
    <w:basedOn w:val="767"/>
    <w:next w:val="878"/>
    <w:link w:val="756"/>
    <w:uiPriority w:val="99"/>
    <w:qFormat/>
    <w:pPr>
      <w:spacing w:after="0" w:line="240" w:lineRule="auto"/>
    </w:pPr>
    <w:tblPr/>
  </w:style>
  <w:style w:type="table" w:styleId="879">
    <w:name w:val="Grid Table 7 Colorful - Accent 5"/>
    <w:basedOn w:val="767"/>
    <w:next w:val="879"/>
    <w:link w:val="756"/>
    <w:uiPriority w:val="99"/>
    <w:qFormat/>
    <w:pPr>
      <w:spacing w:after="0" w:line="240" w:lineRule="auto"/>
    </w:pPr>
    <w:tblPr/>
  </w:style>
  <w:style w:type="table" w:styleId="880">
    <w:name w:val="Grid Table 7 Colorful - Accent 6"/>
    <w:basedOn w:val="767"/>
    <w:next w:val="880"/>
    <w:link w:val="756"/>
    <w:uiPriority w:val="99"/>
    <w:qFormat/>
    <w:pPr>
      <w:spacing w:after="0" w:line="240" w:lineRule="auto"/>
    </w:pPr>
    <w:tblPr/>
  </w:style>
  <w:style w:type="table" w:styleId="881">
    <w:name w:val="List Table 1 Light"/>
    <w:basedOn w:val="767"/>
    <w:next w:val="881"/>
    <w:link w:val="756"/>
    <w:uiPriority w:val="99"/>
    <w:qFormat/>
    <w:pPr>
      <w:spacing w:after="0" w:line="240" w:lineRule="auto"/>
    </w:pPr>
    <w:tblPr/>
  </w:style>
  <w:style w:type="table" w:styleId="882">
    <w:name w:val="List Table 1 Light - Accent 1"/>
    <w:basedOn w:val="767"/>
    <w:next w:val="882"/>
    <w:link w:val="756"/>
    <w:uiPriority w:val="99"/>
    <w:qFormat/>
    <w:pPr>
      <w:spacing w:after="0" w:line="240" w:lineRule="auto"/>
    </w:pPr>
    <w:tblPr/>
  </w:style>
  <w:style w:type="table" w:styleId="883">
    <w:name w:val="List Table 1 Light - Accent 2"/>
    <w:basedOn w:val="767"/>
    <w:next w:val="883"/>
    <w:link w:val="756"/>
    <w:uiPriority w:val="99"/>
    <w:qFormat/>
    <w:pPr>
      <w:spacing w:after="0" w:line="240" w:lineRule="auto"/>
    </w:pPr>
    <w:tblPr/>
  </w:style>
  <w:style w:type="table" w:styleId="884">
    <w:name w:val="List Table 1 Light - Accent 3"/>
    <w:basedOn w:val="767"/>
    <w:next w:val="884"/>
    <w:link w:val="756"/>
    <w:uiPriority w:val="99"/>
    <w:qFormat/>
    <w:pPr>
      <w:spacing w:after="0" w:line="240" w:lineRule="auto"/>
    </w:pPr>
    <w:tblPr/>
  </w:style>
  <w:style w:type="table" w:styleId="885">
    <w:name w:val="List Table 1 Light - Accent 4"/>
    <w:basedOn w:val="767"/>
    <w:next w:val="885"/>
    <w:link w:val="756"/>
    <w:uiPriority w:val="99"/>
    <w:qFormat/>
    <w:pPr>
      <w:spacing w:after="0" w:line="240" w:lineRule="auto"/>
    </w:pPr>
    <w:tblPr/>
  </w:style>
  <w:style w:type="table" w:styleId="886">
    <w:name w:val="List Table 1 Light - Accent 5"/>
    <w:basedOn w:val="767"/>
    <w:next w:val="886"/>
    <w:link w:val="756"/>
    <w:uiPriority w:val="99"/>
    <w:qFormat/>
    <w:pPr>
      <w:spacing w:after="0" w:line="240" w:lineRule="auto"/>
    </w:pPr>
    <w:tblPr/>
  </w:style>
  <w:style w:type="table" w:styleId="887">
    <w:name w:val="List Table 1 Light - Accent 6"/>
    <w:basedOn w:val="767"/>
    <w:next w:val="887"/>
    <w:link w:val="756"/>
    <w:uiPriority w:val="99"/>
    <w:qFormat/>
    <w:pPr>
      <w:spacing w:after="0" w:line="240" w:lineRule="auto"/>
    </w:pPr>
    <w:tblPr/>
  </w:style>
  <w:style w:type="table" w:styleId="888">
    <w:name w:val="List Table 2"/>
    <w:basedOn w:val="767"/>
    <w:next w:val="888"/>
    <w:link w:val="756"/>
    <w:uiPriority w:val="99"/>
    <w:qFormat/>
    <w:pPr>
      <w:spacing w:after="0" w:line="240" w:lineRule="auto"/>
    </w:pPr>
    <w:tblPr/>
  </w:style>
  <w:style w:type="table" w:styleId="889">
    <w:name w:val="List Table 2 - Accent 1"/>
    <w:basedOn w:val="767"/>
    <w:next w:val="889"/>
    <w:link w:val="756"/>
    <w:uiPriority w:val="99"/>
    <w:qFormat/>
    <w:pPr>
      <w:spacing w:after="0" w:line="240" w:lineRule="auto"/>
    </w:pPr>
    <w:tblPr/>
  </w:style>
  <w:style w:type="table" w:styleId="890">
    <w:name w:val="List Table 2 - Accent 2"/>
    <w:basedOn w:val="767"/>
    <w:next w:val="890"/>
    <w:link w:val="756"/>
    <w:uiPriority w:val="99"/>
    <w:qFormat/>
    <w:pPr>
      <w:spacing w:after="0" w:line="240" w:lineRule="auto"/>
    </w:pPr>
    <w:tblPr/>
  </w:style>
  <w:style w:type="table" w:styleId="891">
    <w:name w:val="List Table 2 - Accent 3"/>
    <w:basedOn w:val="767"/>
    <w:next w:val="891"/>
    <w:link w:val="756"/>
    <w:uiPriority w:val="99"/>
    <w:qFormat/>
    <w:pPr>
      <w:spacing w:after="0" w:line="240" w:lineRule="auto"/>
    </w:pPr>
    <w:tblPr/>
  </w:style>
  <w:style w:type="table" w:styleId="892">
    <w:name w:val="List Table 2 - Accent 4"/>
    <w:basedOn w:val="767"/>
    <w:next w:val="892"/>
    <w:link w:val="756"/>
    <w:uiPriority w:val="99"/>
    <w:qFormat/>
    <w:pPr>
      <w:spacing w:after="0" w:line="240" w:lineRule="auto"/>
    </w:pPr>
    <w:tblPr/>
  </w:style>
  <w:style w:type="table" w:styleId="893">
    <w:name w:val="List Table 2 - Accent 5"/>
    <w:basedOn w:val="767"/>
    <w:next w:val="893"/>
    <w:link w:val="756"/>
    <w:uiPriority w:val="99"/>
    <w:qFormat/>
    <w:pPr>
      <w:spacing w:after="0" w:line="240" w:lineRule="auto"/>
    </w:pPr>
    <w:tblPr/>
  </w:style>
  <w:style w:type="table" w:styleId="894">
    <w:name w:val="List Table 2 - Accent 6"/>
    <w:basedOn w:val="767"/>
    <w:next w:val="894"/>
    <w:link w:val="756"/>
    <w:uiPriority w:val="99"/>
    <w:qFormat/>
    <w:pPr>
      <w:spacing w:after="0" w:line="240" w:lineRule="auto"/>
    </w:pPr>
    <w:tblPr/>
  </w:style>
  <w:style w:type="table" w:styleId="895">
    <w:name w:val="List Table 3"/>
    <w:basedOn w:val="767"/>
    <w:next w:val="895"/>
    <w:link w:val="756"/>
    <w:uiPriority w:val="99"/>
    <w:pPr>
      <w:spacing w:after="0" w:line="240" w:lineRule="auto"/>
    </w:pPr>
    <w:tblPr/>
  </w:style>
  <w:style w:type="table" w:styleId="896">
    <w:name w:val="List Table 3 - Accent 1"/>
    <w:basedOn w:val="767"/>
    <w:next w:val="896"/>
    <w:link w:val="756"/>
    <w:uiPriority w:val="99"/>
    <w:qFormat/>
    <w:pPr>
      <w:spacing w:after="0" w:line="240" w:lineRule="auto"/>
    </w:pPr>
    <w:tblPr/>
  </w:style>
  <w:style w:type="table" w:styleId="897">
    <w:name w:val="List Table 3 - Accent 2"/>
    <w:basedOn w:val="767"/>
    <w:next w:val="897"/>
    <w:link w:val="756"/>
    <w:uiPriority w:val="99"/>
    <w:qFormat/>
    <w:pPr>
      <w:spacing w:after="0" w:line="240" w:lineRule="auto"/>
    </w:pPr>
    <w:tblPr/>
  </w:style>
  <w:style w:type="table" w:styleId="898">
    <w:name w:val="List Table 3 - Accent 3"/>
    <w:basedOn w:val="767"/>
    <w:next w:val="898"/>
    <w:link w:val="756"/>
    <w:uiPriority w:val="99"/>
    <w:pPr>
      <w:spacing w:after="0" w:line="240" w:lineRule="auto"/>
    </w:pPr>
    <w:tblPr/>
  </w:style>
  <w:style w:type="table" w:styleId="899">
    <w:name w:val="List Table 3 - Accent 4"/>
    <w:basedOn w:val="767"/>
    <w:next w:val="899"/>
    <w:link w:val="756"/>
    <w:uiPriority w:val="99"/>
    <w:qFormat/>
    <w:pPr>
      <w:spacing w:after="0" w:line="240" w:lineRule="auto"/>
    </w:pPr>
    <w:tblPr/>
  </w:style>
  <w:style w:type="table" w:styleId="900">
    <w:name w:val="List Table 3 - Accent 5"/>
    <w:basedOn w:val="767"/>
    <w:next w:val="900"/>
    <w:link w:val="756"/>
    <w:uiPriority w:val="99"/>
    <w:qFormat/>
    <w:pPr>
      <w:spacing w:after="0" w:line="240" w:lineRule="auto"/>
    </w:pPr>
    <w:tblPr/>
  </w:style>
  <w:style w:type="table" w:styleId="901">
    <w:name w:val="List Table 3 - Accent 6"/>
    <w:basedOn w:val="767"/>
    <w:next w:val="901"/>
    <w:link w:val="756"/>
    <w:uiPriority w:val="99"/>
    <w:qFormat/>
    <w:pPr>
      <w:spacing w:after="0" w:line="240" w:lineRule="auto"/>
    </w:pPr>
    <w:tblPr/>
  </w:style>
  <w:style w:type="table" w:styleId="902">
    <w:name w:val="List Table 4"/>
    <w:basedOn w:val="767"/>
    <w:next w:val="902"/>
    <w:link w:val="756"/>
    <w:uiPriority w:val="99"/>
    <w:qFormat/>
    <w:pPr>
      <w:spacing w:after="0" w:line="240" w:lineRule="auto"/>
    </w:pPr>
    <w:tblPr/>
  </w:style>
  <w:style w:type="table" w:styleId="903">
    <w:name w:val="List Table 4 - Accent 1"/>
    <w:basedOn w:val="767"/>
    <w:next w:val="903"/>
    <w:link w:val="756"/>
    <w:uiPriority w:val="99"/>
    <w:qFormat/>
    <w:pPr>
      <w:spacing w:after="0" w:line="240" w:lineRule="auto"/>
    </w:pPr>
    <w:tblPr/>
  </w:style>
  <w:style w:type="table" w:styleId="904">
    <w:name w:val="List Table 4 - Accent 2"/>
    <w:basedOn w:val="767"/>
    <w:next w:val="904"/>
    <w:link w:val="756"/>
    <w:uiPriority w:val="99"/>
    <w:qFormat/>
    <w:pPr>
      <w:spacing w:after="0" w:line="240" w:lineRule="auto"/>
    </w:pPr>
    <w:tblPr/>
  </w:style>
  <w:style w:type="table" w:styleId="905">
    <w:name w:val="List Table 4 - Accent 3"/>
    <w:basedOn w:val="767"/>
    <w:next w:val="905"/>
    <w:link w:val="756"/>
    <w:uiPriority w:val="99"/>
    <w:qFormat/>
    <w:pPr>
      <w:spacing w:after="0" w:line="240" w:lineRule="auto"/>
    </w:pPr>
    <w:tblPr/>
  </w:style>
  <w:style w:type="table" w:styleId="906">
    <w:name w:val="List Table 4 - Accent 4"/>
    <w:basedOn w:val="767"/>
    <w:next w:val="906"/>
    <w:link w:val="756"/>
    <w:uiPriority w:val="99"/>
    <w:qFormat/>
    <w:pPr>
      <w:spacing w:after="0" w:line="240" w:lineRule="auto"/>
    </w:pPr>
    <w:tblPr/>
  </w:style>
  <w:style w:type="table" w:styleId="907">
    <w:name w:val="List Table 4 - Accent 5"/>
    <w:basedOn w:val="767"/>
    <w:next w:val="907"/>
    <w:link w:val="756"/>
    <w:uiPriority w:val="99"/>
    <w:qFormat/>
    <w:pPr>
      <w:spacing w:after="0" w:line="240" w:lineRule="auto"/>
    </w:pPr>
    <w:tblPr/>
  </w:style>
  <w:style w:type="table" w:styleId="908">
    <w:name w:val="List Table 4 - Accent 6"/>
    <w:basedOn w:val="767"/>
    <w:next w:val="908"/>
    <w:link w:val="756"/>
    <w:uiPriority w:val="99"/>
    <w:qFormat/>
    <w:pPr>
      <w:spacing w:after="0" w:line="240" w:lineRule="auto"/>
    </w:pPr>
    <w:tblPr/>
  </w:style>
  <w:style w:type="table" w:styleId="909">
    <w:name w:val="List Table 5 Dark"/>
    <w:basedOn w:val="767"/>
    <w:next w:val="909"/>
    <w:link w:val="756"/>
    <w:uiPriority w:val="99"/>
    <w:qFormat/>
    <w:pPr>
      <w:spacing w:after="0" w:line="240" w:lineRule="auto"/>
    </w:pPr>
    <w:tblPr/>
  </w:style>
  <w:style w:type="table" w:styleId="910">
    <w:name w:val="List Table 5 Dark - Accent 1"/>
    <w:basedOn w:val="767"/>
    <w:next w:val="910"/>
    <w:link w:val="756"/>
    <w:uiPriority w:val="99"/>
    <w:qFormat/>
    <w:pPr>
      <w:spacing w:after="0" w:line="240" w:lineRule="auto"/>
    </w:pPr>
    <w:tblPr/>
  </w:style>
  <w:style w:type="table" w:styleId="911">
    <w:name w:val="List Table 5 Dark - Accent 2"/>
    <w:basedOn w:val="767"/>
    <w:next w:val="911"/>
    <w:link w:val="756"/>
    <w:uiPriority w:val="99"/>
    <w:qFormat/>
    <w:pPr>
      <w:spacing w:after="0" w:line="240" w:lineRule="auto"/>
    </w:pPr>
    <w:tblPr/>
  </w:style>
  <w:style w:type="table" w:styleId="912">
    <w:name w:val="List Table 5 Dark - Accent 3"/>
    <w:basedOn w:val="767"/>
    <w:next w:val="912"/>
    <w:link w:val="756"/>
    <w:uiPriority w:val="99"/>
    <w:qFormat/>
    <w:pPr>
      <w:spacing w:after="0" w:line="240" w:lineRule="auto"/>
    </w:pPr>
    <w:tblPr/>
  </w:style>
  <w:style w:type="table" w:styleId="913">
    <w:name w:val="List Table 5 Dark - Accent 4"/>
    <w:basedOn w:val="767"/>
    <w:next w:val="913"/>
    <w:link w:val="756"/>
    <w:uiPriority w:val="99"/>
    <w:qFormat/>
    <w:pPr>
      <w:spacing w:after="0" w:line="240" w:lineRule="auto"/>
    </w:pPr>
    <w:tblPr/>
  </w:style>
  <w:style w:type="table" w:styleId="914">
    <w:name w:val="List Table 5 Dark - Accent 5"/>
    <w:basedOn w:val="767"/>
    <w:next w:val="914"/>
    <w:link w:val="756"/>
    <w:uiPriority w:val="99"/>
    <w:qFormat/>
    <w:pPr>
      <w:spacing w:after="0" w:line="240" w:lineRule="auto"/>
    </w:pPr>
    <w:tblPr/>
  </w:style>
  <w:style w:type="table" w:styleId="915">
    <w:name w:val="List Table 5 Dark - Accent 6"/>
    <w:basedOn w:val="767"/>
    <w:next w:val="915"/>
    <w:link w:val="756"/>
    <w:uiPriority w:val="99"/>
    <w:qFormat/>
    <w:pPr>
      <w:spacing w:after="0" w:line="240" w:lineRule="auto"/>
    </w:pPr>
    <w:tblPr/>
  </w:style>
  <w:style w:type="table" w:styleId="916">
    <w:name w:val="List Table 6 Colorful"/>
    <w:basedOn w:val="767"/>
    <w:next w:val="916"/>
    <w:link w:val="756"/>
    <w:uiPriority w:val="99"/>
    <w:qFormat/>
    <w:pPr>
      <w:spacing w:after="0" w:line="240" w:lineRule="auto"/>
    </w:pPr>
    <w:tblPr/>
  </w:style>
  <w:style w:type="table" w:styleId="917">
    <w:name w:val="List Table 6 Colorful - Accent 1"/>
    <w:basedOn w:val="767"/>
    <w:next w:val="917"/>
    <w:link w:val="756"/>
    <w:uiPriority w:val="99"/>
    <w:pPr>
      <w:spacing w:after="0" w:line="240" w:lineRule="auto"/>
    </w:pPr>
    <w:tblPr/>
  </w:style>
  <w:style w:type="table" w:styleId="918">
    <w:name w:val="List Table 6 Colorful - Accent 2"/>
    <w:basedOn w:val="767"/>
    <w:next w:val="918"/>
    <w:link w:val="756"/>
    <w:uiPriority w:val="99"/>
    <w:qFormat/>
    <w:pPr>
      <w:spacing w:after="0" w:line="240" w:lineRule="auto"/>
    </w:pPr>
    <w:tblPr/>
  </w:style>
  <w:style w:type="table" w:styleId="919">
    <w:name w:val="List Table 6 Colorful - Accent 3"/>
    <w:basedOn w:val="767"/>
    <w:next w:val="919"/>
    <w:link w:val="756"/>
    <w:uiPriority w:val="99"/>
    <w:qFormat/>
    <w:pPr>
      <w:spacing w:after="0" w:line="240" w:lineRule="auto"/>
    </w:pPr>
    <w:tblPr/>
  </w:style>
  <w:style w:type="table" w:styleId="920">
    <w:name w:val="List Table 6 Colorful - Accent 4"/>
    <w:basedOn w:val="767"/>
    <w:next w:val="920"/>
    <w:link w:val="756"/>
    <w:uiPriority w:val="99"/>
    <w:qFormat/>
    <w:pPr>
      <w:spacing w:after="0" w:line="240" w:lineRule="auto"/>
    </w:pPr>
    <w:tblPr/>
  </w:style>
  <w:style w:type="table" w:styleId="921">
    <w:name w:val="List Table 6 Colorful - Accent 5"/>
    <w:basedOn w:val="767"/>
    <w:next w:val="921"/>
    <w:link w:val="756"/>
    <w:uiPriority w:val="99"/>
    <w:qFormat/>
    <w:pPr>
      <w:spacing w:after="0" w:line="240" w:lineRule="auto"/>
    </w:pPr>
    <w:tblPr/>
  </w:style>
  <w:style w:type="table" w:styleId="922">
    <w:name w:val="List Table 6 Colorful - Accent 6"/>
    <w:basedOn w:val="767"/>
    <w:next w:val="922"/>
    <w:link w:val="756"/>
    <w:uiPriority w:val="99"/>
    <w:qFormat/>
    <w:pPr>
      <w:spacing w:after="0" w:line="240" w:lineRule="auto"/>
    </w:pPr>
    <w:tblPr/>
  </w:style>
  <w:style w:type="table" w:styleId="923">
    <w:name w:val="List Table 7 Colorful"/>
    <w:basedOn w:val="767"/>
    <w:next w:val="923"/>
    <w:link w:val="756"/>
    <w:uiPriority w:val="99"/>
    <w:qFormat/>
    <w:pPr>
      <w:spacing w:after="0" w:line="240" w:lineRule="auto"/>
    </w:pPr>
    <w:tblPr/>
  </w:style>
  <w:style w:type="table" w:styleId="924">
    <w:name w:val="List Table 7 Colorful - Accent 1"/>
    <w:basedOn w:val="767"/>
    <w:next w:val="924"/>
    <w:link w:val="756"/>
    <w:uiPriority w:val="99"/>
    <w:qFormat/>
    <w:pPr>
      <w:spacing w:after="0" w:line="240" w:lineRule="auto"/>
    </w:pPr>
    <w:tblPr/>
  </w:style>
  <w:style w:type="table" w:styleId="925">
    <w:name w:val="List Table 7 Colorful - Accent 2"/>
    <w:basedOn w:val="767"/>
    <w:next w:val="925"/>
    <w:link w:val="756"/>
    <w:uiPriority w:val="99"/>
    <w:qFormat/>
    <w:pPr>
      <w:spacing w:after="0" w:line="240" w:lineRule="auto"/>
    </w:pPr>
    <w:tblPr/>
  </w:style>
  <w:style w:type="table" w:styleId="926">
    <w:name w:val="List Table 7 Colorful - Accent 3"/>
    <w:basedOn w:val="767"/>
    <w:next w:val="926"/>
    <w:link w:val="756"/>
    <w:uiPriority w:val="99"/>
    <w:qFormat/>
    <w:pPr>
      <w:spacing w:after="0" w:line="240" w:lineRule="auto"/>
    </w:pPr>
    <w:tblPr/>
  </w:style>
  <w:style w:type="table" w:styleId="927">
    <w:name w:val="List Table 7 Colorful - Accent 4"/>
    <w:basedOn w:val="767"/>
    <w:next w:val="927"/>
    <w:link w:val="756"/>
    <w:uiPriority w:val="99"/>
    <w:qFormat/>
    <w:pPr>
      <w:spacing w:after="0" w:line="240" w:lineRule="auto"/>
    </w:pPr>
    <w:tblPr/>
  </w:style>
  <w:style w:type="table" w:styleId="928">
    <w:name w:val="List Table 7 Colorful - Accent 5"/>
    <w:basedOn w:val="767"/>
    <w:next w:val="928"/>
    <w:link w:val="756"/>
    <w:uiPriority w:val="99"/>
    <w:qFormat/>
    <w:pPr>
      <w:spacing w:after="0" w:line="240" w:lineRule="auto"/>
    </w:pPr>
    <w:tblPr/>
  </w:style>
  <w:style w:type="table" w:styleId="929">
    <w:name w:val="List Table 7 Colorful - Accent 6"/>
    <w:basedOn w:val="767"/>
    <w:next w:val="929"/>
    <w:link w:val="756"/>
    <w:uiPriority w:val="99"/>
    <w:qFormat/>
    <w:pPr>
      <w:spacing w:after="0" w:line="240" w:lineRule="auto"/>
    </w:pPr>
    <w:tblPr/>
  </w:style>
  <w:style w:type="table" w:styleId="930">
    <w:name w:val="Lined - Accent"/>
    <w:basedOn w:val="767"/>
    <w:next w:val="930"/>
    <w:link w:val="756"/>
    <w:uiPriority w:val="99"/>
    <w:qFormat/>
    <w:pPr>
      <w:spacing w:after="0" w:line="240" w:lineRule="auto"/>
    </w:pPr>
    <w:rPr>
      <w:color w:val="404040"/>
    </w:rPr>
    <w:tblPr/>
  </w:style>
  <w:style w:type="table" w:styleId="931">
    <w:name w:val="Lined - Accent 1"/>
    <w:basedOn w:val="767"/>
    <w:next w:val="931"/>
    <w:link w:val="756"/>
    <w:uiPriority w:val="99"/>
    <w:qFormat/>
    <w:pPr>
      <w:spacing w:after="0" w:line="240" w:lineRule="auto"/>
    </w:pPr>
    <w:rPr>
      <w:color w:val="404040"/>
    </w:rPr>
    <w:tblPr/>
  </w:style>
  <w:style w:type="table" w:styleId="932">
    <w:name w:val="Lined - Accent 2"/>
    <w:basedOn w:val="767"/>
    <w:next w:val="932"/>
    <w:link w:val="756"/>
    <w:uiPriority w:val="99"/>
    <w:qFormat/>
    <w:pPr>
      <w:spacing w:after="0" w:line="240" w:lineRule="auto"/>
    </w:pPr>
    <w:rPr>
      <w:color w:val="404040"/>
    </w:rPr>
    <w:tblPr/>
  </w:style>
  <w:style w:type="table" w:styleId="933">
    <w:name w:val="Lined - Accent 3"/>
    <w:basedOn w:val="767"/>
    <w:next w:val="933"/>
    <w:link w:val="756"/>
    <w:uiPriority w:val="99"/>
    <w:qFormat/>
    <w:pPr>
      <w:spacing w:after="0" w:line="240" w:lineRule="auto"/>
    </w:pPr>
    <w:rPr>
      <w:color w:val="404040"/>
    </w:rPr>
    <w:tblPr/>
  </w:style>
  <w:style w:type="table" w:styleId="934">
    <w:name w:val="Lined - Accent 4"/>
    <w:basedOn w:val="767"/>
    <w:next w:val="934"/>
    <w:link w:val="756"/>
    <w:uiPriority w:val="99"/>
    <w:qFormat/>
    <w:pPr>
      <w:spacing w:after="0" w:line="240" w:lineRule="auto"/>
    </w:pPr>
    <w:rPr>
      <w:color w:val="404040"/>
    </w:rPr>
    <w:tblPr/>
  </w:style>
  <w:style w:type="table" w:styleId="935">
    <w:name w:val="Lined - Accent 5"/>
    <w:basedOn w:val="767"/>
    <w:next w:val="935"/>
    <w:link w:val="756"/>
    <w:uiPriority w:val="99"/>
    <w:qFormat/>
    <w:pPr>
      <w:spacing w:after="0" w:line="240" w:lineRule="auto"/>
    </w:pPr>
    <w:rPr>
      <w:color w:val="404040"/>
    </w:rPr>
    <w:tblPr/>
  </w:style>
  <w:style w:type="table" w:styleId="936">
    <w:name w:val="Lined - Accent 6"/>
    <w:basedOn w:val="767"/>
    <w:next w:val="936"/>
    <w:link w:val="756"/>
    <w:uiPriority w:val="99"/>
    <w:qFormat/>
    <w:pPr>
      <w:spacing w:after="0" w:line="240" w:lineRule="auto"/>
    </w:pPr>
    <w:rPr>
      <w:color w:val="404040"/>
    </w:rPr>
    <w:tblPr/>
  </w:style>
  <w:style w:type="table" w:styleId="937">
    <w:name w:val="Bordered &amp; Lined - Accent"/>
    <w:basedOn w:val="767"/>
    <w:next w:val="937"/>
    <w:link w:val="756"/>
    <w:uiPriority w:val="99"/>
    <w:qFormat/>
    <w:pPr>
      <w:spacing w:after="0" w:line="240" w:lineRule="auto"/>
    </w:pPr>
    <w:rPr>
      <w:color w:val="404040"/>
    </w:rPr>
    <w:tblPr/>
  </w:style>
  <w:style w:type="table" w:styleId="938">
    <w:name w:val="Bordered &amp; Lined - Accent 1"/>
    <w:basedOn w:val="767"/>
    <w:next w:val="938"/>
    <w:link w:val="756"/>
    <w:uiPriority w:val="99"/>
    <w:qFormat/>
    <w:pPr>
      <w:spacing w:after="0" w:line="240" w:lineRule="auto"/>
    </w:pPr>
    <w:rPr>
      <w:color w:val="404040"/>
    </w:rPr>
    <w:tblPr/>
  </w:style>
  <w:style w:type="table" w:styleId="939">
    <w:name w:val="Bordered &amp; Lined - Accent 2"/>
    <w:basedOn w:val="767"/>
    <w:next w:val="939"/>
    <w:link w:val="756"/>
    <w:uiPriority w:val="99"/>
    <w:qFormat/>
    <w:pPr>
      <w:spacing w:after="0" w:line="240" w:lineRule="auto"/>
    </w:pPr>
    <w:rPr>
      <w:color w:val="404040"/>
    </w:rPr>
    <w:tblPr/>
  </w:style>
  <w:style w:type="table" w:styleId="940">
    <w:name w:val="Bordered &amp; Lined - Accent 3"/>
    <w:basedOn w:val="767"/>
    <w:next w:val="940"/>
    <w:link w:val="756"/>
    <w:uiPriority w:val="99"/>
    <w:qFormat/>
    <w:pPr>
      <w:spacing w:after="0" w:line="240" w:lineRule="auto"/>
    </w:pPr>
    <w:rPr>
      <w:color w:val="404040"/>
    </w:rPr>
    <w:tblPr/>
  </w:style>
  <w:style w:type="table" w:styleId="941">
    <w:name w:val="Bordered &amp; Lined - Accent 4"/>
    <w:basedOn w:val="767"/>
    <w:next w:val="941"/>
    <w:link w:val="756"/>
    <w:uiPriority w:val="99"/>
    <w:qFormat/>
    <w:pPr>
      <w:spacing w:after="0" w:line="240" w:lineRule="auto"/>
    </w:pPr>
    <w:rPr>
      <w:color w:val="404040"/>
    </w:rPr>
    <w:tblPr/>
  </w:style>
  <w:style w:type="table" w:styleId="942">
    <w:name w:val="Bordered &amp; Lined - Accent 5"/>
    <w:basedOn w:val="767"/>
    <w:next w:val="942"/>
    <w:link w:val="756"/>
    <w:uiPriority w:val="99"/>
    <w:qFormat/>
    <w:pPr>
      <w:spacing w:after="0" w:line="240" w:lineRule="auto"/>
    </w:pPr>
    <w:rPr>
      <w:color w:val="404040"/>
    </w:rPr>
    <w:tblPr/>
  </w:style>
  <w:style w:type="table" w:styleId="943">
    <w:name w:val="Bordered &amp; Lined - Accent 6"/>
    <w:basedOn w:val="767"/>
    <w:next w:val="943"/>
    <w:link w:val="756"/>
    <w:uiPriority w:val="99"/>
    <w:qFormat/>
    <w:pPr>
      <w:spacing w:after="0" w:line="240" w:lineRule="auto"/>
    </w:pPr>
    <w:rPr>
      <w:color w:val="404040"/>
    </w:rPr>
    <w:tblPr/>
  </w:style>
  <w:style w:type="table" w:styleId="944">
    <w:name w:val="Bordered"/>
    <w:basedOn w:val="767"/>
    <w:next w:val="944"/>
    <w:link w:val="756"/>
    <w:uiPriority w:val="99"/>
    <w:qFormat/>
    <w:pPr>
      <w:spacing w:after="0" w:line="240" w:lineRule="auto"/>
    </w:pPr>
    <w:tblPr/>
  </w:style>
  <w:style w:type="table" w:styleId="945">
    <w:name w:val="Bordered - Accent 1"/>
    <w:basedOn w:val="767"/>
    <w:next w:val="945"/>
    <w:link w:val="756"/>
    <w:uiPriority w:val="99"/>
    <w:qFormat/>
    <w:pPr>
      <w:spacing w:after="0" w:line="240" w:lineRule="auto"/>
    </w:pPr>
    <w:tblPr/>
  </w:style>
  <w:style w:type="table" w:styleId="946">
    <w:name w:val="Bordered - Accent 2"/>
    <w:basedOn w:val="767"/>
    <w:next w:val="946"/>
    <w:link w:val="756"/>
    <w:uiPriority w:val="99"/>
    <w:qFormat/>
    <w:pPr>
      <w:spacing w:after="0" w:line="240" w:lineRule="auto"/>
    </w:pPr>
    <w:tblPr/>
  </w:style>
  <w:style w:type="table" w:styleId="947">
    <w:name w:val="Bordered - Accent 3"/>
    <w:basedOn w:val="767"/>
    <w:next w:val="947"/>
    <w:link w:val="756"/>
    <w:uiPriority w:val="99"/>
    <w:qFormat/>
    <w:pPr>
      <w:spacing w:after="0" w:line="240" w:lineRule="auto"/>
    </w:pPr>
    <w:tblPr/>
  </w:style>
  <w:style w:type="table" w:styleId="948">
    <w:name w:val="Bordered - Accent 4"/>
    <w:basedOn w:val="767"/>
    <w:next w:val="948"/>
    <w:link w:val="756"/>
    <w:uiPriority w:val="99"/>
    <w:qFormat/>
    <w:pPr>
      <w:spacing w:after="0" w:line="240" w:lineRule="auto"/>
    </w:pPr>
    <w:tblPr/>
  </w:style>
  <w:style w:type="table" w:styleId="949">
    <w:name w:val="Bordered - Accent 5"/>
    <w:basedOn w:val="767"/>
    <w:next w:val="949"/>
    <w:link w:val="756"/>
    <w:uiPriority w:val="99"/>
    <w:qFormat/>
    <w:pPr>
      <w:spacing w:after="0" w:line="240" w:lineRule="auto"/>
    </w:pPr>
    <w:tblPr/>
  </w:style>
  <w:style w:type="table" w:styleId="950">
    <w:name w:val="Bordered - Accent 6"/>
    <w:basedOn w:val="767"/>
    <w:next w:val="950"/>
    <w:link w:val="756"/>
    <w:uiPriority w:val="99"/>
    <w:qFormat/>
    <w:pPr>
      <w:spacing w:after="0" w:line="240" w:lineRule="auto"/>
    </w:pPr>
    <w:tblPr/>
  </w:style>
  <w:style w:type="paragraph" w:styleId="951">
    <w:name w:val="TOC Heading"/>
    <w:next w:val="951"/>
    <w:link w:val="756"/>
    <w:uiPriority w:val="39"/>
    <w:unhideWhenUsed/>
    <w:qFormat/>
    <w:rPr>
      <w:lang w:val="en-US" w:eastAsia="zh-CN" w:bidi="ar-SA"/>
    </w:rPr>
  </w:style>
  <w:style w:type="paragraph" w:styleId="952">
    <w:name w:val="Default"/>
    <w:basedOn w:val="756"/>
    <w:next w:val="952"/>
    <w:link w:val="756"/>
    <w:semiHidden/>
    <w:qFormat/>
    <w:pPr>
      <w:jc w:val="left"/>
    </w:pPr>
    <w:rPr>
      <w:rFonts w:ascii="宋体" w:hAnsi="Calibri" w:cs="宋体"/>
      <w:color w:val="000000"/>
      <w:sz w:val="24"/>
    </w:rPr>
  </w:style>
  <w:style w:type="paragraph" w:styleId="953">
    <w:name w:val="4"/>
    <w:basedOn w:val="756"/>
    <w:next w:val="798"/>
    <w:link w:val="756"/>
    <w:qFormat/>
    <w:pPr>
      <w:ind w:firstLine="420"/>
      <w:spacing w:line="360" w:lineRule="auto"/>
    </w:pPr>
    <w:rPr>
      <w:color w:val="ff0000"/>
      <w:sz w:val="24"/>
    </w:rPr>
  </w:style>
  <w:style w:type="paragraph" w:styleId="954">
    <w:name w:val="纯文本1"/>
    <w:basedOn w:val="756"/>
    <w:next w:val="954"/>
    <w:link w:val="756"/>
    <w:qFormat/>
    <w:rPr>
      <w:rFonts w:ascii="宋体" w:hAnsi="Courier New" w:eastAsia="楷体_GB2312"/>
      <w:sz w:val="28"/>
      <w:szCs w:val="20"/>
    </w:rPr>
  </w:style>
  <w:style w:type="paragraph" w:styleId="955">
    <w:name w:val="普通正文"/>
    <w:basedOn w:val="756"/>
    <w:next w:val="955"/>
    <w:link w:val="756"/>
    <w:qFormat/>
    <w:pPr>
      <w:ind w:firstLine="480"/>
      <w:jc w:val="left"/>
      <w:spacing w:before="120" w:after="120" w:line="360" w:lineRule="auto"/>
    </w:pPr>
    <w:rPr>
      <w:rFonts w:ascii="Arial" w:hAnsi="Arial" w:eastAsia="等线" w:cs="Arial"/>
      <w:sz w:val="24"/>
      <w:szCs w:val="24"/>
    </w:rPr>
  </w:style>
  <w:style w:type="paragraph" w:styleId="956">
    <w:name w:val="正文首行缩进 21"/>
    <w:basedOn w:val="957"/>
    <w:next w:val="956"/>
    <w:link w:val="756"/>
    <w:qFormat/>
    <w:pPr>
      <w:ind w:firstLine="420"/>
    </w:pPr>
  </w:style>
  <w:style w:type="paragraph" w:styleId="957">
    <w:name w:val="正文文本缩进1"/>
    <w:basedOn w:val="756"/>
    <w:next w:val="957"/>
    <w:link w:val="756"/>
    <w:qFormat/>
    <w:pPr>
      <w:ind w:left="420"/>
      <w:spacing w:after="120"/>
    </w:pPr>
  </w:style>
  <w:style w:type="character" w:styleId="958" w:default="1">
    <w:name w:val="Default Paragraph Font"/>
    <w:uiPriority w:val="1"/>
    <w:semiHidden/>
    <w:unhideWhenUsed/>
  </w:style>
  <w:style w:type="numbering" w:styleId="959" w:default="1">
    <w:name w:val="No List"/>
    <w:uiPriority w:val="99"/>
    <w:semiHidden/>
    <w:unhideWhenUsed/>
  </w:style>
  <w:style w:type="table" w:styleId="9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13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6"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69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7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18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1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南京江城工程项目管理有限公司</cp:lastModifiedBy>
  <cp:revision>4</cp:revision>
  <dcterms:created xsi:type="dcterms:W3CDTF">2026-03-17T03:17:00Z</dcterms:created>
  <dcterms:modified xsi:type="dcterms:W3CDTF">2026-05-06T02:14:25Z</dcterms:modified>
</cp:coreProperties>
</file>