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cs="宋体"/>
          <w:b/>
          <w:spacing w:val="76"/>
          <w:sz w:val="72"/>
          <w:szCs w:val="72"/>
          <w:lang w:val="zh-CN" w:bidi="zh-CN"/>
        </w:rPr>
      </w:pPr>
      <w:r>
        <w:rPr>
          <w:rFonts w:hint="eastAsia" w:ascii="宋体" w:hAnsi="宋体" w:cs="宋体"/>
          <w:b/>
          <w:spacing w:val="76"/>
          <w:sz w:val="72"/>
          <w:szCs w:val="72"/>
          <w:lang w:val="zh-CN" w:bidi="zh-CN"/>
        </w:rPr>
        <w:t xml:space="preserve">竞</w:t>
      </w:r>
      <w:r/>
    </w:p>
    <w:p>
      <w:pPr>
        <w:jc w:val="center"/>
        <w:rPr>
          <w:rFonts w:hint="eastAsia" w:ascii="宋体" w:hAnsi="宋体" w:cs="宋体"/>
          <w:b/>
          <w:spacing w:val="76"/>
          <w:sz w:val="72"/>
          <w:szCs w:val="72"/>
          <w:lang w:val="zh-CN" w:bidi="zh-CN"/>
        </w:rPr>
      </w:pPr>
      <w:r>
        <w:rPr>
          <w:rFonts w:hint="eastAsia" w:ascii="宋体" w:hAnsi="宋体" w:cs="宋体"/>
          <w:b/>
          <w:spacing w:val="76"/>
          <w:sz w:val="72"/>
          <w:szCs w:val="72"/>
          <w:lang w:val="zh-CN" w:bidi="zh-CN"/>
        </w:rPr>
        <w:t xml:space="preserve">争</w:t>
      </w:r>
      <w:r/>
    </w:p>
    <w:p>
      <w:pPr>
        <w:jc w:val="center"/>
        <w:rPr>
          <w:rFonts w:hint="eastAsia" w:ascii="宋体" w:hAnsi="宋体" w:cs="宋体"/>
          <w:b/>
          <w:spacing w:val="76"/>
          <w:sz w:val="72"/>
          <w:szCs w:val="72"/>
          <w:lang w:val="zh-CN" w:bidi="zh-CN"/>
        </w:rPr>
      </w:pPr>
      <w:r>
        <w:rPr>
          <w:rFonts w:hint="eastAsia" w:ascii="宋体" w:hAnsi="宋体" w:cs="宋体"/>
          <w:b/>
          <w:spacing w:val="76"/>
          <w:sz w:val="72"/>
          <w:szCs w:val="72"/>
          <w:lang w:val="zh-CN" w:bidi="zh-CN"/>
        </w:rPr>
        <w:t xml:space="preserve">性</w:t>
      </w:r>
      <w:r/>
    </w:p>
    <w:p>
      <w:pPr>
        <w:jc w:val="center"/>
        <w:rPr>
          <w:rFonts w:hint="eastAsia" w:ascii="宋体" w:hAnsi="宋体" w:cs="宋体"/>
          <w:b/>
          <w:spacing w:val="76"/>
          <w:sz w:val="72"/>
          <w:szCs w:val="72"/>
          <w:lang w:val="zh-CN" w:bidi="zh-CN"/>
        </w:rPr>
      </w:pPr>
      <w:r>
        <w:rPr>
          <w:rFonts w:hint="eastAsia" w:ascii="宋体" w:hAnsi="宋体" w:cs="宋体"/>
          <w:b/>
          <w:spacing w:val="76"/>
          <w:sz w:val="72"/>
          <w:szCs w:val="72"/>
          <w:lang w:val="zh-CN" w:bidi="zh-CN"/>
        </w:rPr>
        <w:t xml:space="preserve">磋</w:t>
      </w:r>
      <w:r/>
    </w:p>
    <w:p>
      <w:pPr>
        <w:jc w:val="center"/>
        <w:rPr>
          <w:rFonts w:hint="eastAsia" w:ascii="宋体" w:hAnsi="宋体" w:cs="宋体"/>
          <w:b/>
          <w:spacing w:val="76"/>
          <w:sz w:val="72"/>
          <w:szCs w:val="72"/>
          <w:lang w:val="zh-CN" w:bidi="zh-CN"/>
        </w:rPr>
      </w:pPr>
      <w:r>
        <w:rPr>
          <w:rFonts w:hint="eastAsia" w:ascii="宋体" w:hAnsi="宋体" w:cs="宋体"/>
          <w:b/>
          <w:spacing w:val="76"/>
          <w:sz w:val="72"/>
          <w:szCs w:val="72"/>
          <w:lang w:val="zh-CN" w:bidi="zh-CN"/>
        </w:rPr>
        <w:t xml:space="preserve">商</w:t>
      </w:r>
      <w:r/>
    </w:p>
    <w:p>
      <w:pPr>
        <w:jc w:val="center"/>
        <w:rPr>
          <w:rFonts w:hint="eastAsia" w:ascii="宋体" w:hAnsi="宋体" w:cs="宋体"/>
          <w:b/>
          <w:spacing w:val="76"/>
          <w:sz w:val="72"/>
          <w:szCs w:val="72"/>
          <w:lang w:val="zh-CN" w:bidi="zh-CN"/>
        </w:rPr>
      </w:pPr>
      <w:r>
        <w:rPr>
          <w:rFonts w:hint="eastAsia" w:ascii="宋体" w:hAnsi="宋体" w:cs="宋体"/>
          <w:b/>
          <w:spacing w:val="76"/>
          <w:sz w:val="72"/>
          <w:szCs w:val="72"/>
          <w:lang w:val="zh-CN" w:bidi="zh-CN"/>
        </w:rPr>
        <w:t xml:space="preserve">文</w:t>
      </w:r>
      <w:r/>
    </w:p>
    <w:p>
      <w:pPr>
        <w:jc w:val="center"/>
        <w:rPr>
          <w:rFonts w:hint="eastAsia" w:ascii="宋体" w:hAnsi="宋体" w:cs="宋体"/>
          <w:b/>
          <w:spacing w:val="76"/>
          <w:sz w:val="72"/>
          <w:szCs w:val="72"/>
          <w:lang w:val="zh-CN" w:bidi="zh-CN"/>
        </w:rPr>
      </w:pPr>
      <w:r>
        <w:rPr>
          <w:rFonts w:hint="eastAsia" w:ascii="宋体" w:hAnsi="宋体" w:cs="宋体"/>
          <w:b/>
          <w:spacing w:val="76"/>
          <w:sz w:val="72"/>
          <w:szCs w:val="72"/>
          <w:lang w:val="zh-CN" w:bidi="zh-CN"/>
        </w:rPr>
        <w:t xml:space="preserve">件</w:t>
      </w:r>
      <w:r/>
    </w:p>
    <w:p>
      <w:pPr>
        <w:rPr>
          <w:rFonts w:hint="eastAsia" w:ascii="宋体" w:hAnsi="宋体" w:cs="宋体"/>
          <w:sz w:val="24"/>
        </w:rPr>
      </w:pPr>
      <w:r>
        <w:rPr>
          <w:rFonts w:hint="eastAsia" w:ascii="宋体" w:hAnsi="宋体" w:cs="宋体"/>
          <w:sz w:val="24"/>
        </w:rPr>
      </w:r>
      <w:r/>
    </w:p>
    <w:p>
      <w:pPr>
        <w:rPr>
          <w:rFonts w:hint="eastAsia" w:ascii="宋体" w:hAnsi="宋体" w:cs="宋体"/>
          <w:sz w:val="24"/>
        </w:rPr>
      </w:pPr>
      <w:r>
        <w:rPr>
          <w:rFonts w:hint="eastAsia" w:ascii="宋体" w:hAnsi="宋体" w:cs="宋体"/>
          <w:sz w:val="24"/>
        </w:rPr>
      </w:r>
      <w:r/>
    </w:p>
    <w:p>
      <w:pPr>
        <w:pStyle w:val="884"/>
        <w:ind w:firstLine="480"/>
        <w:rPr>
          <w:rFonts w:hint="eastAsia" w:ascii="宋体" w:hAnsi="宋体" w:eastAsia="宋体" w:cs="宋体"/>
          <w:sz w:val="24"/>
          <w:szCs w:val="24"/>
        </w:rPr>
      </w:pPr>
      <w:r>
        <w:rPr>
          <w:rFonts w:hint="eastAsia" w:ascii="宋体" w:hAnsi="宋体" w:eastAsia="宋体" w:cs="宋体"/>
          <w:sz w:val="24"/>
          <w:szCs w:val="24"/>
        </w:rPr>
      </w:r>
      <w:r/>
    </w:p>
    <w:p>
      <w:pPr>
        <w:pStyle w:val="884"/>
        <w:ind w:firstLine="480"/>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cs="宋体"/>
          <w:sz w:val="24"/>
        </w:rPr>
      </w:pPr>
      <w:r>
        <w:rPr>
          <w:rFonts w:hint="eastAsia" w:ascii="宋体" w:hAnsi="宋体" w:cs="宋体"/>
          <w:sz w:val="24"/>
        </w:rPr>
      </w:r>
      <w:r/>
    </w:p>
    <w:p>
      <w:pPr>
        <w:jc w:val="center"/>
        <w:rPr>
          <w:rFonts w:hint="eastAsia" w:ascii="宋体" w:hAnsi="宋体" w:cs="宋体"/>
          <w:sz w:val="24"/>
        </w:rPr>
      </w:pPr>
      <w:r>
        <w:rPr>
          <w:rFonts w:hint="eastAsia" w:ascii="宋体" w:hAnsi="宋体" w:cs="宋体"/>
          <w:sz w:val="24"/>
        </w:rPr>
        <w:t xml:space="preserve"> </w:t>
      </w:r>
      <w:r/>
    </w:p>
    <w:p>
      <w:pPr>
        <w:jc w:val="center"/>
        <w:rPr>
          <w:rFonts w:hint="eastAsia" w:ascii="宋体" w:hAnsi="宋体" w:cs="宋体"/>
          <w:sz w:val="24"/>
        </w:rPr>
      </w:pPr>
      <w:r>
        <w:rPr>
          <w:rFonts w:hint="eastAsia" w:ascii="宋体" w:hAnsi="宋体" w:cs="宋体"/>
          <w:sz w:val="24"/>
        </w:rPr>
      </w:r>
      <w:r/>
    </w:p>
    <w:p>
      <w:pPr>
        <w:jc w:val="center"/>
        <w:rPr>
          <w:rFonts w:hint="eastAsia" w:ascii="宋体" w:hAnsi="宋体" w:cs="宋体"/>
          <w:sz w:val="24"/>
        </w:rPr>
      </w:pPr>
      <w:r>
        <w:rPr>
          <w:rFonts w:hint="eastAsia" w:ascii="宋体" w:hAnsi="宋体" w:cs="宋体"/>
          <w:sz w:val="24"/>
        </w:rPr>
      </w:r>
      <w:r/>
    </w:p>
    <w:p>
      <w:pPr>
        <w:ind w:firstLine="1205"/>
        <w:jc w:val="left"/>
        <w:spacing w:line="360" w:lineRule="auto"/>
        <w:rPr>
          <w:rFonts w:hint="eastAsia" w:ascii="宋体" w:hAnsi="宋体" w:cs="宋体"/>
          <w:b/>
          <w:bCs/>
          <w:sz w:val="32"/>
          <w:szCs w:val="32"/>
        </w:rPr>
      </w:pPr>
      <w:r>
        <w:rPr>
          <w:rFonts w:hint="eastAsia" w:ascii="宋体" w:hAnsi="宋体"/>
          <w:b/>
          <w:bCs/>
          <w:sz w:val="30"/>
          <w:szCs w:val="30"/>
          <w:lang w:val="en-US" w:eastAsia="zh-CN"/>
        </w:rPr>
        <w:t xml:space="preserve">项目名称：</w:t>
      </w:r>
      <w:r>
        <w:rPr>
          <w:rFonts w:hint="eastAsia" w:ascii="宋体" w:hAnsi="宋体" w:eastAsia="宋体" w:cs="宋体"/>
          <w:b/>
          <w:bCs w:val="0"/>
          <w:sz w:val="32"/>
          <w:szCs w:val="32"/>
        </w:rPr>
        <w:t xml:space="preserve">江苏省预算管理一体化运维项目</w:t>
      </w:r>
      <w:r>
        <w:rPr>
          <w:rFonts w:ascii="宋体" w:hAnsi="宋体" w:cs="宋体"/>
          <w:sz w:val="22"/>
          <w:szCs w:val="28"/>
        </w:rPr>
      </w:r>
      <w:r/>
    </w:p>
    <w:p>
      <w:pPr>
        <w:ind w:firstLine="1205"/>
        <w:jc w:val="left"/>
        <w:spacing w:line="360" w:lineRule="auto"/>
        <w:rPr>
          <w:rFonts w:hint="eastAsia" w:ascii="宋体" w:hAnsi="宋体"/>
          <w:b/>
          <w:bCs/>
          <w:sz w:val="30"/>
          <w:szCs w:val="30"/>
        </w:rPr>
      </w:pPr>
      <w:r>
        <w:rPr>
          <w:rFonts w:hint="eastAsia" w:ascii="宋体" w:hAnsi="宋体"/>
          <w:b/>
          <w:bCs/>
          <w:sz w:val="30"/>
          <w:szCs w:val="30"/>
        </w:rPr>
        <w:t xml:space="preserve">采 购 人：新沂市财政局（机关）</w:t>
      </w:r>
      <w:r/>
    </w:p>
    <w:p>
      <w:pPr>
        <w:ind w:firstLine="1205"/>
        <w:jc w:val="left"/>
        <w:spacing w:line="360" w:lineRule="auto"/>
        <w:rPr>
          <w:rFonts w:hint="eastAsia" w:ascii="宋体" w:hAnsi="宋体"/>
          <w:b/>
          <w:bCs/>
          <w:sz w:val="30"/>
          <w:szCs w:val="30"/>
        </w:rPr>
      </w:pPr>
      <w:r>
        <w:rPr>
          <w:rFonts w:hint="eastAsia" w:ascii="宋体" w:hAnsi="宋体"/>
          <w:b/>
          <w:bCs/>
          <w:sz w:val="30"/>
          <w:szCs w:val="30"/>
        </w:rPr>
        <w:t xml:space="preserve">代理机构：新沂市公共资源交易中心</w:t>
      </w:r>
      <w:r/>
    </w:p>
    <w:p>
      <w:pPr>
        <w:ind w:firstLine="1205"/>
        <w:jc w:val="left"/>
        <w:spacing w:line="360" w:lineRule="auto"/>
        <w:rPr>
          <w:rFonts w:hint="eastAsia" w:ascii="宋体" w:hAnsi="宋体"/>
          <w:b/>
          <w:bCs/>
          <w:sz w:val="30"/>
          <w:szCs w:val="30"/>
        </w:rPr>
      </w:pPr>
      <w:r>
        <w:rPr>
          <w:rFonts w:hint="eastAsia" w:ascii="宋体" w:hAnsi="宋体"/>
          <w:b/>
          <w:bCs/>
          <w:sz w:val="30"/>
          <w:szCs w:val="30"/>
        </w:rPr>
        <w:t xml:space="preserve">编制时间：202</w:t>
      </w:r>
      <w:r>
        <w:rPr>
          <w:rFonts w:hint="eastAsia" w:ascii="宋体" w:hAnsi="宋体"/>
          <w:b/>
          <w:bCs/>
          <w:sz w:val="30"/>
          <w:szCs w:val="30"/>
          <w:lang w:val="en-US" w:eastAsia="zh-CN"/>
        </w:rPr>
        <w:t xml:space="preserve">6 </w:t>
      </w:r>
      <w:r>
        <w:rPr>
          <w:rFonts w:hint="eastAsia" w:ascii="宋体" w:hAnsi="宋体"/>
          <w:b/>
          <w:bCs/>
          <w:sz w:val="30"/>
          <w:szCs w:val="30"/>
        </w:rPr>
        <w:t xml:space="preserve">年</w:t>
      </w:r>
      <w:r>
        <w:rPr>
          <w:rFonts w:hint="eastAsia" w:ascii="宋体" w:hAnsi="宋体"/>
          <w:b/>
          <w:bCs/>
          <w:sz w:val="30"/>
          <w:szCs w:val="30"/>
          <w:lang w:val="en-US" w:eastAsia="zh-CN"/>
        </w:rPr>
        <w:t xml:space="preserve"> 5 </w:t>
      </w:r>
      <w:bookmarkStart w:id="0" w:name="_GoBack"/>
      <w:r/>
      <w:bookmarkEnd w:id="0"/>
      <w:r>
        <w:rPr>
          <w:rFonts w:hint="eastAsia" w:ascii="宋体" w:hAnsi="宋体"/>
          <w:b/>
          <w:bCs/>
          <w:sz w:val="30"/>
          <w:szCs w:val="30"/>
        </w:rPr>
        <w:t xml:space="preserve">月</w:t>
      </w:r>
      <w:r/>
    </w:p>
    <w:p>
      <w:r/>
      <w:r/>
    </w:p>
    <w:p>
      <w:r/>
      <w:r/>
    </w:p>
    <w:p>
      <w:r/>
      <w:r/>
    </w:p>
    <w:p>
      <w:r/>
      <w:r/>
    </w:p>
    <w:p>
      <w:r/>
      <w:r/>
    </w:p>
    <w:p>
      <w:r/>
      <w:r/>
    </w:p>
    <w:p>
      <w:r/>
      <w:r/>
    </w:p>
    <w:p>
      <w:r/>
      <w:r/>
    </w:p>
    <w:p>
      <w:pPr>
        <w:pStyle w:val="893"/>
        <w:ind w:firstLine="3092"/>
        <w:jc w:val="both"/>
        <w:rPr>
          <w:rFonts w:hint="eastAsia" w:ascii="仿宋_GB2312" w:hAnsi="仿宋_GB2312" w:eastAsia="仿宋_GB2312" w:cs="仿宋_GB2312"/>
          <w:sz w:val="28"/>
          <w:szCs w:val="28"/>
        </w:rPr>
        <w:sectPr>
          <w:headerReference w:type="default" r:id="rId9"/>
          <w:footnotePr/>
          <w:endnotePr/>
          <w:type w:val="nextPage"/>
          <w:pgSz w:w="11906" w:h="16838" w:orient="portrait"/>
          <w:pgMar w:top="1440" w:right="1800" w:bottom="1440" w:left="1800" w:header="851" w:footer="992" w:gutter="0"/>
          <w:cols w:num="1" w:sep="0" w:space="425" w:equalWidth="1"/>
          <w:docGrid w:linePitch="360"/>
        </w:sectPr>
      </w:pPr>
      <w:r>
        <w:rPr>
          <w:rFonts w:hint="eastAsia" w:ascii="仿宋_GB2312" w:hAnsi="仿宋_GB2312" w:eastAsia="仿宋_GB2312" w:cs="仿宋_GB2312"/>
          <w:sz w:val="28"/>
          <w:szCs w:val="28"/>
        </w:rPr>
      </w:r>
      <w:r/>
    </w:p>
    <w:p>
      <w:pPr>
        <w:pStyle w:val="893"/>
        <w:ind w:firstLine="3092"/>
        <w:jc w:val="both"/>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竞争性磋商文件</w:t>
      </w:r>
      <w:r/>
    </w:p>
    <w:p>
      <w:pPr>
        <w:ind w:firstLine="482"/>
        <w:keepLines w:val="0"/>
        <w:keepNext w:val="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按照《中华人民共和国政府采购法》、《中华人民共和国政府采购法实施条例》及《政府采购非招标采购方式管理办法》的规定,受</w:t>
      </w:r>
      <w:r>
        <w:rPr>
          <w:rFonts w:hint="eastAsia" w:ascii="仿宋_GB2312" w:hAnsi="仿宋_GB2312" w:eastAsia="仿宋_GB2312" w:cs="仿宋_GB2312"/>
          <w:b/>
          <w:bCs/>
          <w:sz w:val="28"/>
          <w:szCs w:val="28"/>
          <w:u w:val="single"/>
        </w:rPr>
        <w:t xml:space="preserve">新沂市财政局（机关）</w:t>
      </w:r>
      <w:r>
        <w:rPr>
          <w:rFonts w:hint="eastAsia" w:ascii="仿宋_GB2312" w:hAnsi="仿宋_GB2312" w:eastAsia="仿宋_GB2312" w:cs="仿宋_GB2312"/>
          <w:sz w:val="28"/>
          <w:szCs w:val="28"/>
        </w:rPr>
        <w:t xml:space="preserve">委托，新沂市公共资源交易中心对</w:t>
      </w:r>
      <w:r>
        <w:rPr>
          <w:rFonts w:hint="eastAsia" w:ascii="仿宋_GB2312" w:hAnsi="仿宋_GB2312" w:eastAsia="仿宋_GB2312" w:cs="仿宋_GB2312"/>
          <w:b/>
          <w:bCs/>
          <w:sz w:val="28"/>
          <w:szCs w:val="28"/>
          <w:u w:val="single"/>
        </w:rPr>
        <w:t xml:space="preserve">江苏省预算管理一体化运维项目</w:t>
      </w:r>
      <w:r>
        <w:rPr>
          <w:rFonts w:hint="eastAsia" w:ascii="仿宋_GB2312" w:hAnsi="仿宋_GB2312" w:eastAsia="仿宋_GB2312" w:cs="仿宋_GB2312"/>
          <w:sz w:val="28"/>
          <w:szCs w:val="28"/>
        </w:rPr>
        <w:t xml:space="preserve">采取</w:t>
      </w:r>
      <w:r>
        <w:rPr>
          <w:rFonts w:hint="eastAsia" w:ascii="仿宋_GB2312" w:hAnsi="仿宋_GB2312" w:eastAsia="仿宋_GB2312" w:cs="仿宋_GB2312"/>
          <w:b/>
          <w:bCs/>
          <w:sz w:val="28"/>
          <w:szCs w:val="28"/>
        </w:rPr>
        <w:t xml:space="preserve">竞</w:t>
      </w:r>
      <w:r>
        <w:rPr>
          <w:rFonts w:hint="eastAsia" w:ascii="仿宋_GB2312" w:hAnsi="仿宋_GB2312" w:eastAsia="仿宋_GB2312" w:cs="仿宋_GB2312"/>
          <w:b/>
          <w:bCs/>
          <w:sz w:val="28"/>
          <w:szCs w:val="28"/>
        </w:rPr>
        <w:t xml:space="preserve">争性磋商</w:t>
      </w:r>
      <w:r>
        <w:rPr>
          <w:rFonts w:hint="eastAsia" w:ascii="仿宋_GB2312" w:hAnsi="仿宋_GB2312" w:eastAsia="仿宋_GB2312" w:cs="仿宋_GB2312"/>
          <w:sz w:val="28"/>
          <w:szCs w:val="28"/>
        </w:rPr>
        <w:t xml:space="preserve">发布公告方式进行采购。如贵单位有意与本单位合作，请按以下要求参加磋商。</w:t>
      </w:r>
      <w:r/>
    </w:p>
    <w:p>
      <w:pPr>
        <w:ind w:firstLine="482"/>
        <w:keepLines w:val="0"/>
        <w:keepNext w:val="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pStyle w:val="893"/>
        <w:rPr>
          <w:rFonts w:hint="eastAsia" w:ascii="宋体" w:hAnsi="宋体" w:cs="宋体"/>
          <w:sz w:val="32"/>
          <w:szCs w:val="32"/>
        </w:rPr>
      </w:pPr>
      <w:r>
        <w:rPr>
          <w:rFonts w:hint="eastAsia" w:ascii="宋体" w:hAnsi="宋体" w:cs="宋体"/>
          <w:sz w:val="32"/>
          <w:szCs w:val="32"/>
        </w:rPr>
        <w:t xml:space="preserve">第一章 项目说明</w:t>
      </w:r>
      <w:r/>
    </w:p>
    <w:p>
      <w:pPr>
        <w:ind w:firstLine="482"/>
        <w:keepLines w:val="0"/>
        <w:keepNext w:val="0"/>
        <w:pageBreakBefore w:val="0"/>
        <w:spacing w:line="520" w:lineRule="exact"/>
        <w:rPr>
          <w:rFonts w:hint="eastAsia" w:ascii="仿宋_GB2312" w:hAnsi="仿宋_GB2312" w:eastAsia="仿宋_GB2312" w:cs="仿宋_GB2312"/>
          <w:b/>
          <w:bCs w:val="0"/>
          <w:sz w:val="28"/>
          <w:szCs w:val="28"/>
        </w:rPr>
      </w:pPr>
      <w:r>
        <w:rPr>
          <w:rFonts w:hint="eastAsia" w:ascii="仿宋_GB2312" w:hAnsi="仿宋_GB2312" w:eastAsia="仿宋_GB2312" w:cs="仿宋_GB2312"/>
          <w:b/>
          <w:bCs w:val="0"/>
          <w:sz w:val="28"/>
          <w:szCs w:val="28"/>
        </w:rPr>
        <w:t xml:space="preserve">一、采购人：新沂市财政局（机关）</w:t>
      </w:r>
      <w:r/>
    </w:p>
    <w:p>
      <w:pPr>
        <w:ind w:firstLine="482"/>
        <w:keepLines w:val="0"/>
        <w:keepNext w:val="0"/>
        <w:pageBreakBefore w:val="0"/>
        <w:spacing w:line="520" w:lineRule="exact"/>
        <w:rPr>
          <w:rFonts w:hint="eastAsia" w:ascii="仿宋_GB2312" w:hAnsi="仿宋_GB2312" w:eastAsia="仿宋_GB2312" w:cs="仿宋_GB2312"/>
          <w:b/>
          <w:bCs w:val="0"/>
          <w:sz w:val="28"/>
          <w:szCs w:val="28"/>
        </w:rPr>
      </w:pPr>
      <w:r>
        <w:rPr>
          <w:rFonts w:hint="eastAsia" w:ascii="仿宋_GB2312" w:hAnsi="仿宋_GB2312" w:eastAsia="仿宋_GB2312" w:cs="仿宋_GB2312"/>
          <w:b/>
          <w:bCs w:val="0"/>
          <w:sz w:val="28"/>
          <w:szCs w:val="28"/>
        </w:rPr>
        <w:t xml:space="preserve">二、项目名称：江苏省预算管理一体化运维项目</w:t>
      </w:r>
      <w:r/>
    </w:p>
    <w:p>
      <w:pPr>
        <w:ind w:firstLine="482"/>
        <w:keepLines w:val="0"/>
        <w:keepNext w:val="0"/>
        <w:pageBreakBefore w:val="0"/>
        <w:spacing w:line="520" w:lineRule="exact"/>
        <w:rPr>
          <w:rFonts w:hint="eastAsia" w:ascii="仿宋_GB2312" w:hAnsi="仿宋_GB2312" w:eastAsia="仿宋_GB2312" w:cs="仿宋_GB2312"/>
          <w:b/>
          <w:bCs w:val="0"/>
          <w:sz w:val="28"/>
          <w:szCs w:val="28"/>
        </w:rPr>
      </w:pPr>
      <w:r>
        <w:rPr>
          <w:rFonts w:hint="eastAsia" w:ascii="仿宋_GB2312" w:hAnsi="仿宋_GB2312" w:eastAsia="仿宋_GB2312" w:cs="仿宋_GB2312"/>
          <w:b/>
          <w:bCs w:val="0"/>
          <w:sz w:val="28"/>
          <w:szCs w:val="28"/>
        </w:rPr>
        <w:t xml:space="preserve">三、项目编号：JSZC-320381-XYZX-C2026-0004</w:t>
      </w:r>
      <w:r/>
    </w:p>
    <w:p>
      <w:pPr>
        <w:ind w:firstLine="482"/>
        <w:keepLines w:val="0"/>
        <w:keepNext w:val="0"/>
        <w:pageBreakBefore w:val="0"/>
        <w:spacing w:line="520" w:lineRule="exact"/>
        <w:rPr>
          <w:rFonts w:hint="eastAsia" w:ascii="仿宋_GB2312" w:hAnsi="仿宋_GB2312" w:eastAsia="仿宋_GB2312" w:cs="仿宋_GB2312"/>
          <w:b w:val="0"/>
          <w:bCs/>
          <w:sz w:val="28"/>
          <w:szCs w:val="28"/>
          <w:lang w:eastAsia="zh-CN"/>
        </w:rPr>
      </w:pPr>
      <w:r>
        <w:rPr>
          <w:rFonts w:hint="eastAsia" w:ascii="仿宋_GB2312" w:hAnsi="仿宋_GB2312" w:eastAsia="仿宋_GB2312" w:cs="仿宋_GB2312"/>
          <w:b/>
          <w:bCs w:val="0"/>
          <w:sz w:val="28"/>
          <w:szCs w:val="28"/>
        </w:rPr>
        <w:t xml:space="preserve">四、采购方式：本项目采用竞争性磋商采购。</w:t>
      </w:r>
      <w:r/>
    </w:p>
    <w:p>
      <w:pPr>
        <w:ind w:firstLine="482"/>
        <w:keepLines w:val="0"/>
        <w:keepNext w:val="0"/>
        <w:pageBreakBefore w:val="0"/>
        <w:spacing w:line="520" w:lineRule="exact"/>
        <w:rPr>
          <w:rFonts w:hint="eastAsia" w:ascii="仿宋_GB2312" w:hAnsi="仿宋_GB2312" w:eastAsia="仿宋_GB2312" w:cs="仿宋_GB2312"/>
          <w:b w:val="0"/>
          <w:bCs/>
          <w:sz w:val="28"/>
          <w:szCs w:val="28"/>
        </w:rPr>
      </w:pPr>
      <w:r>
        <w:rPr>
          <w:rFonts w:hint="eastAsia" w:ascii="仿宋_GB2312" w:hAnsi="仿宋_GB2312" w:eastAsia="仿宋_GB2312" w:cs="仿宋_GB2312"/>
          <w:b/>
          <w:bCs w:val="0"/>
          <w:sz w:val="28"/>
          <w:szCs w:val="28"/>
        </w:rPr>
        <w:t xml:space="preserve">五、供应商资格条件</w:t>
      </w:r>
      <w:r>
        <w:rPr>
          <w:rFonts w:hint="eastAsia" w:ascii="仿宋_GB2312" w:hAnsi="仿宋_GB2312" w:eastAsia="仿宋_GB2312" w:cs="仿宋_GB2312"/>
          <w:b w:val="0"/>
          <w:bCs/>
          <w:sz w:val="28"/>
          <w:szCs w:val="28"/>
        </w:rPr>
        <w:t xml:space="preserve">：</w:t>
      </w:r>
      <w:r/>
    </w:p>
    <w:p>
      <w:pPr>
        <w:pStyle w:val="895"/>
        <w:ind w:firstLine="480"/>
        <w:keepLines w:val="0"/>
        <w:keepNext w:val="0"/>
        <w:pageBreakBefore w:val="0"/>
        <w:spacing w:line="520" w:lineRule="exact"/>
        <w:rPr>
          <w:rFonts w:hint="eastAsia" w:ascii="仿宋_GB2312" w:hAnsi="仿宋_GB2312" w:eastAsia="仿宋_GB2312" w:cs="仿宋_GB2312"/>
          <w:b/>
          <w:bCs w:val="0"/>
          <w:sz w:val="28"/>
          <w:szCs w:val="28"/>
          <w:lang w:eastAsia="zh-CN"/>
        </w:rPr>
      </w:pPr>
      <w:r>
        <w:rPr>
          <w:rFonts w:hint="eastAsia" w:ascii="仿宋_GB2312" w:hAnsi="仿宋_GB2312" w:eastAsia="仿宋_GB2312" w:cs="仿宋_GB2312"/>
          <w:b/>
          <w:bCs w:val="0"/>
          <w:sz w:val="28"/>
          <w:szCs w:val="28"/>
          <w:lang w:val="en-US" w:eastAsia="zh-CN"/>
        </w:rPr>
        <w:t xml:space="preserve">5.1 满足</w:t>
      </w:r>
      <w:r>
        <w:rPr>
          <w:rFonts w:hint="eastAsia" w:ascii="仿宋_GB2312" w:hAnsi="仿宋_GB2312" w:eastAsia="仿宋_GB2312" w:cs="仿宋_GB2312"/>
          <w:b/>
          <w:bCs w:val="0"/>
          <w:sz w:val="28"/>
          <w:szCs w:val="28"/>
        </w:rPr>
        <w:t xml:space="preserve">《中华人民共和国政府采购法》第二十二条的规定</w:t>
      </w:r>
      <w:r>
        <w:rPr>
          <w:rFonts w:hint="eastAsia" w:ascii="仿宋_GB2312" w:hAnsi="仿宋_GB2312" w:eastAsia="仿宋_GB2312" w:cs="仿宋_GB2312"/>
          <w:b/>
          <w:bCs w:val="0"/>
          <w:sz w:val="28"/>
          <w:szCs w:val="28"/>
          <w:lang w:eastAsia="zh-CN"/>
        </w:rPr>
        <w:t xml:space="preserve">：</w:t>
      </w:r>
      <w:r/>
    </w:p>
    <w:p>
      <w:pPr>
        <w:contextualSpacing/>
        <w:ind w:firstLine="480"/>
        <w:jc w:val="left"/>
        <w:keepLines w:val="0"/>
        <w:keepNext w:val="0"/>
        <w:pageBreakBefore w:val="0"/>
        <w:spacing w:line="520" w:lineRule="exact"/>
        <w:widowControl/>
        <w:rPr>
          <w:rFonts w:hint="eastAsia" w:ascii="仿宋_GB2312" w:hAnsi="仿宋_GB2312" w:eastAsia="仿宋_GB2312" w:cs="仿宋_GB2312"/>
          <w:b w:val="0"/>
          <w:bCs/>
          <w:sz w:val="28"/>
          <w:szCs w:val="28"/>
        </w:rPr>
      </w:pPr>
      <w:r>
        <w:rPr>
          <w:rFonts w:hint="eastAsia" w:ascii="仿宋_GB2312" w:hAnsi="仿宋_GB2312" w:eastAsia="仿宋_GB2312" w:cs="仿宋_GB2312"/>
          <w:b w:val="0"/>
          <w:bCs/>
          <w:sz w:val="28"/>
          <w:szCs w:val="28"/>
        </w:rPr>
        <w:t xml:space="preserve">1.具有独立承担民事责任的能力；</w:t>
      </w:r>
      <w:r/>
    </w:p>
    <w:p>
      <w:pPr>
        <w:contextualSpacing/>
        <w:ind w:firstLine="480"/>
        <w:jc w:val="left"/>
        <w:keepLines w:val="0"/>
        <w:keepNext w:val="0"/>
        <w:pageBreakBefore w:val="0"/>
        <w:spacing w:line="520" w:lineRule="exact"/>
        <w:widowControl/>
        <w:rPr>
          <w:rFonts w:hint="eastAsia" w:ascii="仿宋_GB2312" w:hAnsi="仿宋_GB2312" w:eastAsia="仿宋_GB2312" w:cs="仿宋_GB2312"/>
          <w:b w:val="0"/>
          <w:bCs/>
          <w:sz w:val="28"/>
          <w:szCs w:val="28"/>
        </w:rPr>
      </w:pPr>
      <w:r>
        <w:rPr>
          <w:rFonts w:hint="eastAsia" w:ascii="仿宋_GB2312" w:hAnsi="仿宋_GB2312" w:eastAsia="仿宋_GB2312" w:cs="仿宋_GB2312"/>
          <w:b w:val="0"/>
          <w:bCs/>
          <w:sz w:val="28"/>
          <w:szCs w:val="28"/>
        </w:rPr>
        <w:t xml:space="preserve">2.具有良好的商业信誉和健全的财务会计制度；</w:t>
      </w:r>
      <w:r/>
    </w:p>
    <w:p>
      <w:pPr>
        <w:contextualSpacing/>
        <w:ind w:firstLine="480"/>
        <w:jc w:val="left"/>
        <w:keepLines w:val="0"/>
        <w:keepNext w:val="0"/>
        <w:pageBreakBefore w:val="0"/>
        <w:spacing w:line="520" w:lineRule="exact"/>
        <w:widowControl/>
        <w:rPr>
          <w:rFonts w:hint="eastAsia" w:ascii="仿宋_GB2312" w:hAnsi="仿宋_GB2312" w:eastAsia="仿宋_GB2312" w:cs="仿宋_GB2312"/>
          <w:b w:val="0"/>
          <w:bCs/>
          <w:sz w:val="28"/>
          <w:szCs w:val="28"/>
        </w:rPr>
      </w:pPr>
      <w:r>
        <w:rPr>
          <w:rFonts w:hint="eastAsia" w:ascii="仿宋_GB2312" w:hAnsi="仿宋_GB2312" w:eastAsia="仿宋_GB2312" w:cs="仿宋_GB2312"/>
          <w:b w:val="0"/>
          <w:bCs/>
          <w:sz w:val="28"/>
          <w:szCs w:val="28"/>
        </w:rPr>
        <w:t xml:space="preserve">3.具有履行合同所必需的设备和专业技术能力；</w:t>
      </w:r>
      <w:r/>
    </w:p>
    <w:p>
      <w:pPr>
        <w:contextualSpacing/>
        <w:ind w:firstLine="480"/>
        <w:jc w:val="left"/>
        <w:keepLines w:val="0"/>
        <w:keepNext w:val="0"/>
        <w:pageBreakBefore w:val="0"/>
        <w:spacing w:line="520" w:lineRule="exact"/>
        <w:widowControl/>
        <w:rPr>
          <w:rFonts w:hint="eastAsia" w:ascii="仿宋_GB2312" w:hAnsi="仿宋_GB2312" w:eastAsia="仿宋_GB2312" w:cs="仿宋_GB2312"/>
          <w:b w:val="0"/>
          <w:bCs/>
          <w:sz w:val="28"/>
          <w:szCs w:val="28"/>
        </w:rPr>
      </w:pPr>
      <w:r>
        <w:rPr>
          <w:rFonts w:hint="eastAsia" w:ascii="仿宋_GB2312" w:hAnsi="仿宋_GB2312" w:eastAsia="仿宋_GB2312" w:cs="仿宋_GB2312"/>
          <w:b w:val="0"/>
          <w:bCs/>
          <w:sz w:val="28"/>
          <w:szCs w:val="28"/>
        </w:rPr>
        <w:t xml:space="preserve">4.有依法缴纳税收和社会保障资金的良好记录；</w:t>
      </w:r>
      <w:r/>
    </w:p>
    <w:p>
      <w:pPr>
        <w:contextualSpacing/>
        <w:ind w:firstLine="480"/>
        <w:jc w:val="left"/>
        <w:keepLines w:val="0"/>
        <w:keepNext w:val="0"/>
        <w:pageBreakBefore w:val="0"/>
        <w:spacing w:line="520" w:lineRule="exact"/>
        <w:widowControl/>
        <w:rPr>
          <w:rFonts w:hint="eastAsia" w:ascii="仿宋_GB2312" w:hAnsi="仿宋_GB2312" w:eastAsia="仿宋_GB2312" w:cs="仿宋_GB2312"/>
          <w:b w:val="0"/>
          <w:bCs/>
          <w:sz w:val="28"/>
          <w:szCs w:val="28"/>
        </w:rPr>
      </w:pPr>
      <w:r>
        <w:rPr>
          <w:rFonts w:hint="eastAsia" w:ascii="仿宋_GB2312" w:hAnsi="仿宋_GB2312" w:eastAsia="仿宋_GB2312" w:cs="仿宋_GB2312"/>
          <w:b w:val="0"/>
          <w:bCs/>
          <w:sz w:val="28"/>
          <w:szCs w:val="28"/>
        </w:rPr>
        <w:t xml:space="preserve">5.参加投标活动前三年内，在经营活动中没有重大违法记录；</w:t>
      </w:r>
      <w:r/>
    </w:p>
    <w:p>
      <w:pPr>
        <w:contextualSpacing/>
        <w:ind w:firstLine="480"/>
        <w:jc w:val="left"/>
        <w:keepLines w:val="0"/>
        <w:keepNext w:val="0"/>
        <w:pageBreakBefore w:val="0"/>
        <w:spacing w:line="520" w:lineRule="exact"/>
        <w:widowControl/>
        <w:rPr>
          <w:rFonts w:hint="eastAsia" w:ascii="仿宋_GB2312" w:hAnsi="仿宋_GB2312" w:eastAsia="仿宋_GB2312" w:cs="仿宋_GB2312"/>
          <w:b w:val="0"/>
          <w:bCs/>
          <w:sz w:val="28"/>
          <w:szCs w:val="28"/>
        </w:rPr>
      </w:pPr>
      <w:r>
        <w:rPr>
          <w:rFonts w:hint="eastAsia" w:ascii="仿宋_GB2312" w:hAnsi="仿宋_GB2312" w:eastAsia="仿宋_GB2312" w:cs="仿宋_GB2312"/>
          <w:b w:val="0"/>
          <w:bCs/>
          <w:sz w:val="28"/>
          <w:szCs w:val="28"/>
        </w:rPr>
        <w:t xml:space="preserve">6.法律、行政法规规定的其他条件。</w:t>
      </w:r>
      <w:r/>
    </w:p>
    <w:p>
      <w:pPr>
        <w:contextualSpacing/>
        <w:ind w:firstLine="480"/>
        <w:jc w:val="left"/>
        <w:keepLines w:val="0"/>
        <w:keepNext w:val="0"/>
        <w:pageBreakBefore w:val="0"/>
        <w:spacing w:line="520" w:lineRule="exact"/>
        <w:widowControl/>
        <w:rPr>
          <w:rFonts w:hint="eastAsia" w:ascii="仿宋_GB2312" w:hAnsi="仿宋_GB2312" w:eastAsia="仿宋_GB2312" w:cs="仿宋_GB2312"/>
          <w:b w:val="0"/>
          <w:bCs/>
          <w:sz w:val="28"/>
          <w:szCs w:val="28"/>
        </w:rPr>
      </w:pPr>
      <w:r>
        <w:rPr>
          <w:rFonts w:hint="eastAsia" w:ascii="仿宋_GB2312" w:hAnsi="仿宋_GB2312" w:eastAsia="仿宋_GB2312" w:cs="仿宋_GB2312"/>
          <w:b/>
          <w:bCs w:val="0"/>
          <w:sz w:val="28"/>
          <w:szCs w:val="28"/>
          <w:lang w:val="en-US" w:eastAsia="zh-CN"/>
        </w:rPr>
        <w:t xml:space="preserve">5.2 </w:t>
      </w:r>
      <w:r>
        <w:rPr>
          <w:rFonts w:hint="eastAsia" w:ascii="仿宋_GB2312" w:hAnsi="仿宋_GB2312" w:eastAsia="仿宋_GB2312" w:cs="仿宋_GB2312"/>
          <w:b/>
          <w:bCs w:val="0"/>
          <w:sz w:val="28"/>
          <w:szCs w:val="28"/>
        </w:rPr>
        <w:t xml:space="preserve">项目要求投标人具备的特定条件</w:t>
      </w:r>
      <w:r>
        <w:rPr>
          <w:rFonts w:hint="eastAsia" w:ascii="仿宋_GB2312" w:hAnsi="仿宋_GB2312" w:eastAsia="仿宋_GB2312" w:cs="仿宋_GB2312"/>
          <w:b/>
          <w:bCs w:val="0"/>
          <w:sz w:val="28"/>
          <w:szCs w:val="28"/>
          <w:lang w:eastAsia="zh-CN"/>
        </w:rPr>
        <w:t xml:space="preserve">：</w:t>
      </w:r>
      <w:r>
        <w:rPr>
          <w:rFonts w:hint="eastAsia" w:ascii="仿宋_GB2312" w:hAnsi="仿宋_GB2312" w:eastAsia="仿宋_GB2312" w:cs="仿宋_GB2312"/>
          <w:b w:val="0"/>
          <w:bCs/>
          <w:sz w:val="28"/>
          <w:szCs w:val="28"/>
        </w:rPr>
        <w:t xml:space="preserve">无</w:t>
      </w:r>
      <w:r/>
    </w:p>
    <w:p>
      <w:pPr>
        <w:pStyle w:val="895"/>
        <w:ind w:firstLine="480"/>
        <w:keepLines w:val="0"/>
        <w:keepNext w:val="0"/>
        <w:pageBreakBefore w:val="0"/>
        <w:spacing w:line="520" w:lineRule="exact"/>
        <w:rPr>
          <w:rFonts w:hint="eastAsia" w:ascii="仿宋_GB2312" w:hAnsi="仿宋_GB2312" w:eastAsia="仿宋_GB2312" w:cs="仿宋_GB2312"/>
          <w:b w:val="0"/>
          <w:bCs/>
          <w:sz w:val="28"/>
          <w:szCs w:val="28"/>
        </w:rPr>
      </w:pPr>
      <w:r>
        <w:rPr>
          <w:rFonts w:hint="eastAsia" w:ascii="仿宋_GB2312" w:hAnsi="仿宋_GB2312" w:eastAsia="仿宋_GB2312" w:cs="仿宋_GB2312"/>
          <w:b/>
          <w:bCs w:val="0"/>
          <w:sz w:val="28"/>
          <w:szCs w:val="28"/>
          <w:lang w:val="en-US" w:eastAsia="zh-CN"/>
        </w:rPr>
        <w:t xml:space="preserve">5.3 </w:t>
      </w:r>
      <w:r>
        <w:rPr>
          <w:rFonts w:hint="eastAsia" w:ascii="仿宋_GB2312" w:hAnsi="仿宋_GB2312" w:eastAsia="仿宋_GB2312" w:cs="仿宋_GB2312"/>
          <w:b/>
          <w:bCs w:val="0"/>
          <w:sz w:val="28"/>
          <w:szCs w:val="28"/>
        </w:rPr>
        <w:t xml:space="preserve">采购项目需要落实的政府采购政策：</w:t>
      </w:r>
      <w:r>
        <w:rPr>
          <w:rFonts w:hint="eastAsia" w:ascii="仿宋_GB2312" w:hAnsi="仿宋_GB2312" w:eastAsia="仿宋_GB2312" w:cs="仿宋_GB2312"/>
          <w:b w:val="0"/>
          <w:bCs/>
          <w:sz w:val="28"/>
          <w:szCs w:val="28"/>
        </w:rPr>
        <w:t xml:space="preserve">此项目属于专门面向中小微企业采购的项目，供应商应为中小微企业、监狱企业、残疾人福利性单位。</w:t>
      </w:r>
      <w:r/>
    </w:p>
    <w:p>
      <w:pPr>
        <w:contextualSpacing/>
        <w:ind w:firstLine="480"/>
        <w:jc w:val="left"/>
        <w:keepLines w:val="0"/>
        <w:keepNext w:val="0"/>
        <w:pageBreakBefore w:val="0"/>
        <w:spacing w:line="520" w:lineRule="exact"/>
        <w:widowControl/>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5.4.查询及使用供应商信用记录：</w:t>
      </w:r>
      <w:r/>
    </w:p>
    <w:p>
      <w:pPr>
        <w:ind w:firstLine="480"/>
        <w:keepLines w:val="0"/>
        <w:keepNext w:val="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（1）由采购人查询信用信息；</w:t>
      </w:r>
      <w:r/>
    </w:p>
    <w:p>
      <w:pPr>
        <w:ind w:firstLine="480"/>
        <w:keepLines w:val="0"/>
        <w:keepNext w:val="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（2）查询渠道包括：</w:t>
      </w:r>
      <w:r/>
    </w:p>
    <w:p>
      <w:pPr>
        <w:ind w:firstLine="480"/>
        <w:keepLines w:val="0"/>
        <w:keepNext w:val="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①“信用中国”网（www.creditchina.gov.cn）；</w:t>
      </w:r>
      <w:r/>
    </w:p>
    <w:p>
      <w:pPr>
        <w:ind w:firstLine="480"/>
        <w:keepLines w:val="0"/>
        <w:keepNext w:val="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②“中国政府采购”网（www.ccgp.gov.cn）；</w:t>
      </w:r>
      <w:r/>
    </w:p>
    <w:p>
      <w:pPr>
        <w:ind w:firstLine="480"/>
        <w:keepLines w:val="0"/>
        <w:keepNext w:val="0"/>
        <w:pageBreakBefore w:val="0"/>
        <w:spacing w:line="520" w:lineRule="exact"/>
        <w:rPr>
          <w:rFonts w:hint="eastAsia" w:ascii="仿宋_GB2312" w:hAnsi="仿宋_GB2312" w:eastAsia="仿宋_GB2312" w:cs="仿宋_GB2312"/>
          <w:sz w:val="28"/>
          <w:szCs w:val="28"/>
          <w:highlight w:val="red"/>
        </w:rPr>
      </w:pPr>
      <w:r>
        <w:rPr>
          <w:rFonts w:hint="eastAsia" w:ascii="仿宋_GB2312" w:hAnsi="仿宋_GB2312" w:eastAsia="仿宋_GB2312" w:cs="仿宋_GB2312"/>
          <w:sz w:val="28"/>
          <w:szCs w:val="28"/>
        </w:rPr>
        <w:t xml:space="preserve">③</w:t>
      </w:r>
      <w:r>
        <w:rPr>
          <w:rFonts w:hint="eastAsia" w:ascii="仿宋_GB2312" w:hAnsi="仿宋_GB2312" w:eastAsia="仿宋_GB2312" w:cs="仿宋_GB2312"/>
          <w:color w:val="000000"/>
          <w:sz w:val="28"/>
          <w:szCs w:val="28"/>
        </w:rPr>
        <w:t xml:space="preserve">“信用江苏”网（http://credit.jiangsu.gov.cn/）；</w:t>
      </w:r>
      <w:r/>
    </w:p>
    <w:p>
      <w:pPr>
        <w:ind w:firstLine="480"/>
        <w:keepLines w:val="0"/>
        <w:keepNext w:val="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④“信用中国(江苏徐州)”网（</w:t>
      </w:r>
      <w:r>
        <w:rPr>
          <w:rFonts w:hint="eastAsia" w:ascii="仿宋_GB2312" w:hAnsi="仿宋_GB2312" w:eastAsia="仿宋_GB2312" w:cs="仿宋_GB2312"/>
          <w:sz w:val="28"/>
          <w:szCs w:val="28"/>
        </w:rPr>
        <w:fldChar w:fldCharType="begin"/>
      </w:r>
      <w:r>
        <w:rPr>
          <w:rFonts w:hint="eastAsia" w:ascii="仿宋_GB2312" w:hAnsi="仿宋_GB2312" w:eastAsia="仿宋_GB2312" w:cs="仿宋_GB2312"/>
          <w:sz w:val="28"/>
          <w:szCs w:val="28"/>
        </w:rPr>
        <w:instrText xml:space="preserve"> HYPERLINK "http://www.xuzhoucredit.gov.cn" </w:instrText>
      </w:r>
      <w:r>
        <w:rPr>
          <w:rFonts w:hint="eastAsia" w:ascii="仿宋_GB2312" w:hAnsi="仿宋_GB2312" w:eastAsia="仿宋_GB2312" w:cs="仿宋_GB2312"/>
          <w:sz w:val="28"/>
          <w:szCs w:val="28"/>
        </w:rPr>
        <w:fldChar w:fldCharType="separate"/>
      </w:r>
      <w:r>
        <w:rPr>
          <w:rFonts w:hint="eastAsia" w:ascii="仿宋_GB2312" w:hAnsi="仿宋_GB2312" w:eastAsia="仿宋_GB2312" w:cs="仿宋_GB2312"/>
          <w:sz w:val="28"/>
          <w:szCs w:val="28"/>
        </w:rPr>
        <w:t xml:space="preserve">http://www.xuzhoucredit.gov.cn</w:t>
      </w:r>
      <w:r>
        <w:rPr>
          <w:rFonts w:hint="eastAsia" w:ascii="仿宋_GB2312" w:hAnsi="仿宋_GB2312" w:eastAsia="仿宋_GB2312" w:cs="仿宋_GB2312"/>
          <w:sz w:val="28"/>
          <w:szCs w:val="28"/>
        </w:rPr>
        <w:fldChar w:fldCharType="end"/>
      </w:r>
      <w:r>
        <w:rPr>
          <w:rFonts w:hint="eastAsia" w:ascii="仿宋_GB2312" w:hAnsi="仿宋_GB2312" w:eastAsia="仿宋_GB2312" w:cs="仿宋_GB2312"/>
          <w:sz w:val="28"/>
          <w:szCs w:val="28"/>
        </w:rPr>
        <w:t xml:space="preserve">）；</w:t>
      </w:r>
      <w:r/>
    </w:p>
    <w:p>
      <w:pPr>
        <w:ind w:firstLine="480"/>
        <w:keepLines w:val="0"/>
        <w:keepNext w:val="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（3）截止时点（查询环节）：磋商结束前；</w:t>
      </w:r>
      <w:r/>
    </w:p>
    <w:p>
      <w:pPr>
        <w:ind w:firstLine="480"/>
        <w:keepLines w:val="0"/>
        <w:keepNext w:val="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（4）信用信息查询记录和证据留存方式：网页截屏打印，与其他采购文件一并保存；</w:t>
      </w:r>
      <w:r/>
    </w:p>
    <w:p>
      <w:pPr>
        <w:ind w:firstLine="480"/>
        <w:keepLines w:val="0"/>
        <w:keepNext w:val="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（5）信用信息的使用规则：</w:t>
      </w:r>
      <w:r/>
    </w:p>
    <w:p>
      <w:pPr>
        <w:ind w:firstLine="480"/>
        <w:keepLines w:val="0"/>
        <w:keepNext w:val="0"/>
        <w:pageBreakBefore w:val="0"/>
        <w:spacing w:line="520" w:lineRule="exact"/>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rPr>
        <w:t xml:space="preserve">采购人对供应商信用记录进行甄别，对列入失信被执行人、重大税收违法失信主体、政府采购严重违法失信行为记录名单及其他不符合《中华人民共和国政府采购法》第二十二条规定条件的供应商，拒绝其参与采购活动；供应商信用评价结果参考期限从项目开标之日前三年起算，具体按照《江苏省政府采购信用管理暂行办法》（苏财规[2018]18号）执行。</w:t>
      </w:r>
      <w:r/>
    </w:p>
    <w:p>
      <w:pPr>
        <w:ind w:firstLine="482"/>
        <w:keepLines w:val="0"/>
        <w:keepNext w:val="0"/>
        <w:pageBreakBefore w:val="0"/>
        <w:spacing w:line="520" w:lineRule="exact"/>
        <w:widowControl w:val="off"/>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t xml:space="preserve">六、项目预算金额：</w:t>
      </w:r>
      <w:r>
        <w:rPr>
          <w:rFonts w:hint="eastAsia" w:ascii="仿宋_GB2312" w:hAnsi="仿宋_GB2312" w:eastAsia="仿宋_GB2312" w:cs="仿宋_GB2312"/>
          <w:b/>
          <w:sz w:val="28"/>
          <w:szCs w:val="28"/>
          <w:lang w:val="en-US" w:eastAsia="zh-CN"/>
        </w:rPr>
        <w:t xml:space="preserve">139.00</w:t>
      </w:r>
      <w:r>
        <w:rPr>
          <w:rFonts w:hint="eastAsia" w:ascii="仿宋_GB2312" w:hAnsi="仿宋_GB2312" w:eastAsia="仿宋_GB2312" w:cs="仿宋_GB2312"/>
          <w:b/>
          <w:sz w:val="28"/>
          <w:szCs w:val="28"/>
        </w:rPr>
        <w:t xml:space="preserve">万元，</w:t>
      </w:r>
      <w:r>
        <w:rPr>
          <w:rFonts w:hint="eastAsia" w:ascii="仿宋_GB2312" w:hAnsi="仿宋_GB2312" w:eastAsia="仿宋_GB2312" w:cs="仿宋_GB2312"/>
          <w:b/>
          <w:sz w:val="28"/>
          <w:szCs w:val="28"/>
          <w:lang w:eastAsia="zh-CN"/>
        </w:rPr>
        <w:t xml:space="preserve">最高限价：</w:t>
      </w:r>
      <w:r>
        <w:rPr>
          <w:rFonts w:hint="eastAsia" w:ascii="仿宋_GB2312" w:hAnsi="仿宋_GB2312" w:eastAsia="仿宋_GB2312" w:cs="仿宋_GB2312"/>
          <w:b/>
          <w:sz w:val="28"/>
          <w:szCs w:val="28"/>
          <w:lang w:val="en-US" w:eastAsia="zh-CN"/>
        </w:rPr>
        <w:t xml:space="preserve">130.00万元，</w:t>
      </w:r>
      <w:r>
        <w:rPr>
          <w:rFonts w:hint="eastAsia" w:ascii="仿宋_GB2312" w:hAnsi="仿宋_GB2312" w:eastAsia="仿宋_GB2312" w:cs="仿宋_GB2312"/>
          <w:b/>
          <w:sz w:val="28"/>
          <w:szCs w:val="28"/>
        </w:rPr>
        <w:t xml:space="preserve">本项目不接受超过</w:t>
      </w:r>
      <w:r>
        <w:rPr>
          <w:rFonts w:hint="eastAsia" w:ascii="仿宋_GB2312" w:hAnsi="仿宋_GB2312" w:eastAsia="仿宋_GB2312" w:cs="仿宋_GB2312"/>
          <w:b/>
          <w:sz w:val="28"/>
          <w:szCs w:val="28"/>
          <w:lang w:val="en-US" w:eastAsia="zh-CN"/>
        </w:rPr>
        <w:t xml:space="preserve">130.00</w:t>
      </w:r>
      <w:r>
        <w:rPr>
          <w:rFonts w:hint="eastAsia" w:ascii="仿宋_GB2312" w:hAnsi="仿宋_GB2312" w:eastAsia="仿宋_GB2312" w:cs="仿宋_GB2312"/>
          <w:b/>
          <w:sz w:val="28"/>
          <w:szCs w:val="28"/>
        </w:rPr>
        <w:t xml:space="preserve">万元以上报价。</w:t>
      </w:r>
      <w:r/>
    </w:p>
    <w:p>
      <w:pPr>
        <w:ind w:firstLine="482"/>
        <w:keepLines w:val="0"/>
        <w:keepNext w:val="0"/>
        <w:pageBreakBefore w:val="0"/>
        <w:spacing w:line="520" w:lineRule="exact"/>
        <w:widowControl w:val="off"/>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t xml:space="preserve">七、采购需求：详见《磋商文件》第八章附件《采购需求》。</w:t>
      </w:r>
      <w:r/>
    </w:p>
    <w:p>
      <w:pPr>
        <w:ind w:firstLine="482"/>
        <w:keepLines w:val="0"/>
        <w:keepNext w:val="0"/>
        <w:pageBreakBefore w:val="0"/>
        <w:spacing w:line="520" w:lineRule="exact"/>
        <w:widowControl w:val="off"/>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t xml:space="preserve">八、合同草案条款：详见《磋商文件》第八章附件《合同草案条款》。</w:t>
      </w:r>
      <w:r/>
    </w:p>
    <w:p>
      <w:pPr>
        <w:ind w:firstLine="482"/>
        <w:keepLines w:val="0"/>
        <w:keepNext w:val="0"/>
        <w:pageBreakBefore w:val="0"/>
        <w:spacing w:line="520" w:lineRule="exact"/>
        <w:widowControl w:val="off"/>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t xml:space="preserve">九、报价要求：</w:t>
      </w:r>
      <w:r/>
    </w:p>
    <w:p>
      <w:pPr>
        <w:ind w:firstLine="480"/>
        <w:keepLines w:val="0"/>
        <w:keepNext w:val="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1、供应商报价为要约，采购人无承诺表示时视为未成交，采购人认为必要时可重新进行竞争性磋商采购或采取其它方式采购。</w:t>
      </w:r>
      <w:r/>
    </w:p>
    <w:p>
      <w:pPr>
        <w:ind w:firstLine="480"/>
        <w:keepLines w:val="0"/>
        <w:keepNext w:val="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2、按照《磋商报价表》要求填写首次报价：详见《磋商文件》第八章附件《磋商报价表》。</w:t>
      </w:r>
      <w:r/>
    </w:p>
    <w:p>
      <w:pPr>
        <w:ind w:firstLine="480"/>
        <w:keepLines w:val="0"/>
        <w:keepNext w:val="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3、报价包含本项目范围内的全部费用。供应商有漏报或不报的，采购人将视为有关费用已包括在本项目的报价中而不予支付。采购人不支付报价以外的任何费用。</w:t>
      </w:r>
      <w:r/>
    </w:p>
    <w:p>
      <w:pPr>
        <w:pStyle w:val="893"/>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第二章 招标代理服务费</w:t>
      </w:r>
      <w:r/>
    </w:p>
    <w:p>
      <w:pPr>
        <w:pStyle w:val="897"/>
        <w:ind w:left="0" w:firstLine="482"/>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t xml:space="preserve">十、本次招标，新沂市公共资源交易中心为中标供应商提供免费服务，不收取费用。</w:t>
      </w:r>
      <w:r/>
    </w:p>
    <w:p>
      <w:pPr>
        <w:pStyle w:val="893"/>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第三章 响应文件</w:t>
      </w:r>
      <w:r/>
    </w:p>
    <w:p>
      <w:pPr>
        <w:ind w:firstLine="482"/>
        <w:spacing w:line="360" w:lineRule="auto"/>
        <w:rPr>
          <w:rFonts w:hint="eastAsia" w:ascii="仿宋_GB2312" w:hAnsi="仿宋_GB2312" w:eastAsia="仿宋_GB2312" w:cs="仿宋_GB2312"/>
          <w:sz w:val="28"/>
          <w:szCs w:val="28"/>
        </w:rPr>
      </w:pPr>
      <w:r>
        <w:rPr>
          <w:rFonts w:hint="eastAsia" w:ascii="仿宋_GB2312" w:hAnsi="仿宋_GB2312" w:eastAsia="仿宋_GB2312" w:cs="仿宋_GB2312"/>
          <w:b/>
          <w:sz w:val="28"/>
          <w:szCs w:val="28"/>
        </w:rPr>
        <w:t xml:space="preserve">十一、响应文件编制要求</w:t>
      </w:r>
      <w:r/>
    </w:p>
    <w:p>
      <w:pPr>
        <w:pStyle w:val="893"/>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第一部分 基本要求</w:t>
      </w:r>
      <w:r/>
    </w:p>
    <w:p>
      <w:pPr>
        <w:ind w:firstLine="48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1、供应商应当按照《磋商文件》的要求编制响应文件，并对其提交的响应文件的真实性、合法性承担法律责任。</w:t>
      </w:r>
      <w:r/>
    </w:p>
    <w:p>
      <w:pPr>
        <w:ind w:firstLine="48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2、电子响应文件要求</w:t>
      </w:r>
      <w:r/>
    </w:p>
    <w:p>
      <w:pPr>
        <w:ind w:firstLine="48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（1）供应商应由其法定代表人或法定代表人授权代表在规定的网上响应时间，使用“政府采购客户端”编制电子响应文件，并在提交响应文件截止时间之前上传响应文件。</w:t>
      </w:r>
      <w:r/>
    </w:p>
    <w:p>
      <w:pPr>
        <w:ind w:firstLine="48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（2）供应商应对 CA 证书妥善保管，如被他人盗用投标，因此带来的结果均由供应商自行承担。</w:t>
      </w:r>
      <w:r/>
    </w:p>
    <w:p>
      <w:pPr>
        <w:ind w:firstLine="48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（3）投标人应凭CA数字证书以及自备的能够登录“苏采云”系统的笔记本电脑，在达到开标时间后，使用CA数字证书解密各自投标文件。因此带来的结果均由供应商自行承担。</w:t>
      </w:r>
      <w:r/>
    </w:p>
    <w:p>
      <w:pPr>
        <w:ind w:firstLine="48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（4）供应商应当对《磋商文件》提出的要求和条件作出实质性响应，并在电子投标系统逐条应答。</w:t>
      </w:r>
      <w:r/>
    </w:p>
    <w:p>
      <w:pPr>
        <w:ind w:firstLine="48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（5）供应商应对要求提供的资格证明文件（如资质证书、资格证书）、技术资料（如白皮书、彩页、手册、检测报告等）原件扫描上传。</w:t>
      </w:r>
      <w:r/>
    </w:p>
    <w:p>
      <w:pPr>
        <w:ind w:firstLine="48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3、获取竞争性磋商文件</w:t>
      </w:r>
      <w:r/>
    </w:p>
    <w:p>
      <w:pPr>
        <w:ind w:firstLine="480"/>
        <w:pageBreakBefore w:val="0"/>
        <w:spacing w:line="520" w:lineRule="exact"/>
        <w:widowControl w:val="off"/>
        <w:rPr>
          <w:rFonts w:hint="eastAsia" w:ascii="仿宋_GB2312" w:hAnsi="仿宋_GB2312" w:eastAsia="仿宋_GB2312" w:cs="仿宋_GB2312"/>
          <w:b/>
          <w:bCs/>
          <w:sz w:val="28"/>
          <w:szCs w:val="28"/>
          <w:lang w:eastAsia="zh-CN"/>
        </w:rPr>
      </w:pPr>
      <w:r>
        <w:rPr>
          <w:rFonts w:hint="eastAsia" w:ascii="仿宋_GB2312" w:hAnsi="仿宋_GB2312" w:eastAsia="仿宋_GB2312" w:cs="仿宋_GB2312"/>
          <w:sz w:val="28"/>
          <w:szCs w:val="28"/>
          <w:lang w:val="en-US" w:eastAsia="zh-CN"/>
        </w:rPr>
        <w:t xml:space="preserve">(1) </w:t>
      </w:r>
      <w:r>
        <w:rPr>
          <w:rFonts w:hint="eastAsia" w:ascii="仿宋_GB2312" w:hAnsi="仿宋_GB2312" w:eastAsia="仿宋_GB2312" w:cs="仿宋_GB2312"/>
          <w:b/>
          <w:bCs/>
          <w:sz w:val="28"/>
          <w:szCs w:val="28"/>
          <w:u w:val="single"/>
          <w:lang w:val="en-US" w:eastAsia="zh-CN"/>
        </w:rPr>
        <w:t xml:space="preserve">获取磋商文件的有效期限为：</w:t>
      </w:r>
      <w:r>
        <w:rPr>
          <w:rFonts w:hint="eastAsia" w:ascii="仿宋_GB2312" w:hAnsi="仿宋_GB2312" w:eastAsia="仿宋_GB2312" w:cs="仿宋_GB2312"/>
          <w:b/>
          <w:bCs/>
          <w:sz w:val="28"/>
          <w:szCs w:val="28"/>
          <w:u w:val="single"/>
        </w:rPr>
        <w:t xml:space="preserve">自磋商文件公告发布之日起5个工作日</w:t>
      </w:r>
      <w:r>
        <w:rPr>
          <w:rFonts w:hint="eastAsia" w:ascii="仿宋_GB2312" w:hAnsi="仿宋_GB2312" w:eastAsia="仿宋_GB2312" w:cs="仿宋_GB2312"/>
          <w:b/>
          <w:bCs/>
          <w:sz w:val="28"/>
          <w:szCs w:val="28"/>
          <w:lang w:eastAsia="zh-CN"/>
        </w:rPr>
        <w:t xml:space="preserve">。</w:t>
      </w:r>
      <w:r>
        <w:rPr>
          <w:rFonts w:hint="eastAsia" w:ascii="仿宋_GB2312" w:hAnsi="仿宋_GB2312" w:eastAsia="仿宋_GB2312" w:cs="仿宋_GB2312"/>
          <w:b/>
          <w:bCs/>
          <w:sz w:val="28"/>
          <w:szCs w:val="28"/>
        </w:rPr>
        <w:t xml:space="preserve">磋商文件提供期限届满后仍可以下载，期限届满后下载的磋商文件，视为非有效方式且不作为供应商权益受到损害的证明材料和依据。</w:t>
      </w:r>
      <w:r/>
    </w:p>
    <w:p>
      <w:pPr>
        <w:ind w:firstLine="48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w:t>
      </w:r>
      <w:r>
        <w:rPr>
          <w:rFonts w:hint="eastAsia" w:ascii="仿宋_GB2312" w:hAnsi="仿宋_GB2312" w:eastAsia="仿宋_GB2312" w:cs="仿宋_GB2312"/>
          <w:sz w:val="28"/>
          <w:szCs w:val="28"/>
          <w:lang w:val="en-US" w:eastAsia="zh-CN"/>
        </w:rPr>
        <w:t xml:space="preserve">2</w:t>
      </w:r>
      <w:r>
        <w:rPr>
          <w:rFonts w:hint="eastAsia" w:ascii="仿宋_GB2312" w:hAnsi="仿宋_GB2312" w:eastAsia="仿宋_GB2312" w:cs="仿宋_GB2312"/>
          <w:sz w:val="28"/>
          <w:szCs w:val="28"/>
        </w:rPr>
        <w:t xml:space="preserve">）潜在供应商访问电子招标投标交易平台的网络地址和方法：</w:t>
      </w:r>
      <w:r/>
    </w:p>
    <w:p>
      <w:pPr>
        <w:ind w:firstLine="48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①登录 http://jszfcg.jsczt.cn/ ，或进入徐州政府采购网--业务工作--用户登录，点击“苏采云”进入系统。</w:t>
      </w:r>
      <w:r/>
    </w:p>
    <w:p>
      <w:pPr>
        <w:ind w:firstLine="48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②“CA数字证书”的获取：供应商需办理CA锁，“苏采云”系统目前仅支持“苏采云”系统下的政务CA，省内各地区办理的“苏采云”系统下的政务CA全省通用。“CA数字证书”的办理材料详见“徐州政府采购网-业务工作-快速服务-下载专区”中《</w:t>
      </w:r>
      <w:r>
        <w:rPr>
          <w:rFonts w:hint="eastAsia" w:ascii="仿宋_GB2312" w:hAnsi="仿宋_GB2312" w:eastAsia="仿宋_GB2312" w:cs="仿宋_GB2312"/>
          <w:sz w:val="28"/>
          <w:szCs w:val="28"/>
        </w:rPr>
        <w:fldChar w:fldCharType="begin"/>
      </w:r>
      <w:r>
        <w:rPr>
          <w:rFonts w:hint="eastAsia" w:ascii="仿宋_GB2312" w:hAnsi="仿宋_GB2312" w:eastAsia="仿宋_GB2312" w:cs="仿宋_GB2312"/>
          <w:sz w:val="28"/>
          <w:szCs w:val="28"/>
        </w:rPr>
        <w:instrText xml:space="preserve"> HYPERLINK "http://218.3.177.171:8088/Home/HomeDetails?type=13&amp;articleid=48474397-614b-4e09-ba87-56241d82e743" \t "http://218.3.177.171:8088/Home/_blank" \o "“苏采云”系统政务CA办理材料、操作手册及控件下载" </w:instrText>
      </w:r>
      <w:r>
        <w:rPr>
          <w:rFonts w:hint="eastAsia" w:ascii="仿宋_GB2312" w:hAnsi="仿宋_GB2312" w:eastAsia="仿宋_GB2312" w:cs="仿宋_GB2312"/>
          <w:sz w:val="28"/>
          <w:szCs w:val="28"/>
        </w:rPr>
        <w:fldChar w:fldCharType="separate"/>
      </w:r>
      <w:r>
        <w:rPr>
          <w:rFonts w:hint="eastAsia" w:ascii="仿宋_GB2312" w:hAnsi="仿宋_GB2312" w:eastAsia="仿宋_GB2312" w:cs="仿宋_GB2312"/>
          <w:sz w:val="28"/>
          <w:szCs w:val="28"/>
        </w:rPr>
        <w:t xml:space="preserve">“苏采云”系统政务CA办理材料、操作手册及控件下载</w:t>
      </w:r>
      <w:r>
        <w:rPr>
          <w:rFonts w:hint="eastAsia" w:ascii="仿宋_GB2312" w:hAnsi="仿宋_GB2312" w:eastAsia="仿宋_GB2312" w:cs="仿宋_GB2312"/>
          <w:sz w:val="28"/>
          <w:szCs w:val="28"/>
        </w:rPr>
        <w:fldChar w:fldCharType="end"/>
      </w:r>
      <w:r>
        <w:rPr>
          <w:rFonts w:hint="eastAsia" w:ascii="仿宋_GB2312" w:hAnsi="仿宋_GB2312" w:eastAsia="仿宋_GB2312" w:cs="仿宋_GB2312"/>
          <w:sz w:val="28"/>
          <w:szCs w:val="28"/>
        </w:rPr>
        <w:t xml:space="preserve">》。</w:t>
      </w:r>
      <w:r/>
    </w:p>
    <w:p>
      <w:pPr>
        <w:ind w:firstLine="48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投标客户端工具及供应商操作手册可访问徐州市政府采购网，选中“业务工作”，“下载专区”进行下载《江苏省政府采购管理交易系统（苏采云）供应商操作手册及政府采购客户端》。</w:t>
      </w:r>
      <w:r/>
    </w:p>
    <w:p>
      <w:pPr>
        <w:ind w:firstLine="48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w:t>
      </w:r>
      <w:r>
        <w:rPr>
          <w:rFonts w:hint="eastAsia" w:ascii="仿宋_GB2312" w:hAnsi="仿宋_GB2312" w:eastAsia="仿宋_GB2312" w:cs="仿宋_GB2312"/>
          <w:sz w:val="28"/>
          <w:szCs w:val="28"/>
          <w:lang w:val="en-US" w:eastAsia="zh-CN"/>
        </w:rPr>
        <w:t xml:space="preserve">3</w:t>
      </w:r>
      <w:r>
        <w:rPr>
          <w:rFonts w:hint="eastAsia" w:ascii="仿宋_GB2312" w:hAnsi="仿宋_GB2312" w:eastAsia="仿宋_GB2312" w:cs="仿宋_GB2312"/>
          <w:sz w:val="28"/>
          <w:szCs w:val="28"/>
        </w:rPr>
        <w:t xml:space="preserve">）采购代理机构将数据电文形式的采购文件加载至电子招标投标交易平台，供潜在供应商下载或者查阅。</w:t>
      </w:r>
      <w:r/>
    </w:p>
    <w:p>
      <w:pPr>
        <w:ind w:firstLine="48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w:t>
      </w:r>
      <w:r>
        <w:rPr>
          <w:rFonts w:hint="eastAsia" w:ascii="仿宋_GB2312" w:hAnsi="仿宋_GB2312" w:eastAsia="仿宋_GB2312" w:cs="仿宋_GB2312"/>
          <w:sz w:val="28"/>
          <w:szCs w:val="28"/>
          <w:lang w:val="en-US" w:eastAsia="zh-CN"/>
        </w:rPr>
        <w:t xml:space="preserve">4</w:t>
      </w:r>
      <w:r>
        <w:rPr>
          <w:rFonts w:hint="eastAsia" w:ascii="仿宋_GB2312" w:hAnsi="仿宋_GB2312" w:eastAsia="仿宋_GB2312" w:cs="仿宋_GB2312"/>
          <w:sz w:val="28"/>
          <w:szCs w:val="28"/>
        </w:rPr>
        <w:t xml:space="preserve">）售价：免费。</w:t>
      </w:r>
      <w:r/>
    </w:p>
    <w:p>
      <w:pPr>
        <w:ind w:firstLine="48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w:t>
      </w:r>
      <w:r>
        <w:rPr>
          <w:rFonts w:hint="eastAsia" w:ascii="仿宋_GB2312" w:hAnsi="仿宋_GB2312" w:eastAsia="仿宋_GB2312" w:cs="仿宋_GB2312"/>
          <w:sz w:val="28"/>
          <w:szCs w:val="28"/>
          <w:lang w:val="en-US" w:eastAsia="zh-CN"/>
        </w:rPr>
        <w:t xml:space="preserve">5</w:t>
      </w:r>
      <w:r>
        <w:rPr>
          <w:rFonts w:hint="eastAsia" w:ascii="仿宋_GB2312" w:hAnsi="仿宋_GB2312" w:eastAsia="仿宋_GB2312" w:cs="仿宋_GB2312"/>
          <w:sz w:val="28"/>
          <w:szCs w:val="28"/>
        </w:rPr>
        <w:t xml:space="preserve">）技术支持</w:t>
      </w:r>
      <w:r/>
    </w:p>
    <w:p>
      <w:pPr>
        <w:ind w:firstLine="48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如有疑问，请联系客服人员。（工作时间：法定工作日9:00-17:00）</w:t>
      </w:r>
      <w:r/>
    </w:p>
    <w:p>
      <w:pPr>
        <w:ind w:firstLine="48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进入政府采购交易系统，遇到任何问题，请联系</w:t>
      </w:r>
      <w:r/>
    </w:p>
    <w:p>
      <w:pPr>
        <w:ind w:firstLine="48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电话：0516-67669051 、0516-67669158</w:t>
      </w:r>
      <w:r/>
    </w:p>
    <w:p>
      <w:pPr>
        <w:ind w:firstLine="48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附：</w:t>
      </w:r>
      <w:r/>
    </w:p>
    <w:p>
      <w:pPr>
        <w:ind w:firstLine="48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① 江苏省政府采购管理交易系统（苏采云）供应商操作手册及政府采购客户端：</w:t>
      </w:r>
      <w:r/>
    </w:p>
    <w:p>
      <w:pPr>
        <w:ind w:firstLine="48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http://czj.xz.gov.cn/Home/HomeDetails?type=13&amp;articleid=a5520682-d9b1-4ff4-b46c-e9a09d1c7d08</w:t>
      </w:r>
      <w:r/>
    </w:p>
    <w:p>
      <w:pPr>
        <w:ind w:firstLine="48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② 供应商报名和标书制作：</w:t>
      </w:r>
      <w:r/>
    </w:p>
    <w:p>
      <w:pPr>
        <w:ind w:firstLine="48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http://czj.xz.gov.cn/Home/HomeDetails?type=13&amp;articleid=1d984549-f767-40c7-8647-cbbd55af52da</w:t>
      </w:r>
      <w:r/>
    </w:p>
    <w:p>
      <w:pPr>
        <w:ind w:firstLine="48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③ 供应商开标视频流程：</w:t>
      </w:r>
      <w:r/>
    </w:p>
    <w:p>
      <w:pPr>
        <w:ind w:firstLine="48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http://czj.xz.gov.cn/Home/HomeDetails?type=13&amp;articleid=9614c442-efd2-44c4-9b6f-2aed99840c8e</w:t>
      </w:r>
      <w:r/>
    </w:p>
    <w:p>
      <w:pPr>
        <w:ind w:firstLine="48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4、有下列情形之一的，其投标无效：</w:t>
      </w:r>
      <w:r/>
    </w:p>
    <w:p>
      <w:pPr>
        <w:ind w:firstLine="48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(1）电子响应文件未按规定期限投标的；</w:t>
      </w:r>
      <w:r/>
    </w:p>
    <w:p>
      <w:pPr>
        <w:ind w:firstLine="48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(2)电子响应文件未按磋商文件要求签章的； </w:t>
      </w:r>
      <w:r/>
    </w:p>
    <w:p>
      <w:pPr>
        <w:ind w:firstLine="48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(3)供应商未在规定时间内解密电子响应文件的；</w:t>
      </w:r>
      <w:r/>
    </w:p>
    <w:p>
      <w:pPr>
        <w:ind w:firstLine="48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(4)不同供应商响应文件内容存在非正常一致、项目组成员出现同一人、响应文件中错误（或异常）一致或雷同、电子文档信息一致或雷同的、报价呈规律性差异的。</w:t>
      </w:r>
      <w:r/>
    </w:p>
    <w:p>
      <w:pPr>
        <w:ind w:firstLine="48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eastAsia="zh-CN"/>
        </w:rPr>
        <w:t xml:space="preserve">（</w:t>
      </w:r>
      <w:r>
        <w:rPr>
          <w:rFonts w:hint="eastAsia" w:ascii="仿宋_GB2312" w:hAnsi="仿宋_GB2312" w:eastAsia="仿宋_GB2312" w:cs="仿宋_GB2312"/>
          <w:sz w:val="28"/>
          <w:szCs w:val="28"/>
          <w:lang w:val="en-US" w:eastAsia="zh-CN"/>
        </w:rPr>
        <w:t xml:space="preserve">5</w:t>
      </w:r>
      <w:r>
        <w:rPr>
          <w:rFonts w:hint="eastAsia" w:ascii="仿宋_GB2312" w:hAnsi="仿宋_GB2312" w:eastAsia="仿宋_GB2312" w:cs="仿宋_GB2312"/>
          <w:sz w:val="28"/>
          <w:szCs w:val="28"/>
          <w:lang w:eastAsia="zh-CN"/>
        </w:rPr>
        <w:t xml:space="preserve">）</w:t>
      </w:r>
      <w:r>
        <w:rPr>
          <w:rFonts w:hint="eastAsia" w:ascii="仿宋_GB2312" w:hAnsi="仿宋_GB2312" w:eastAsia="仿宋_GB2312" w:cs="仿宋_GB2312"/>
          <w:sz w:val="28"/>
          <w:szCs w:val="28"/>
        </w:rPr>
        <w:t xml:space="preserve">供应商的最后报价高于竞争性文件规定的最高限价的（</w:t>
      </w:r>
      <w:r>
        <w:rPr>
          <w:rFonts w:hint="eastAsia" w:ascii="仿宋_GB2312" w:hAnsi="仿宋_GB2312" w:eastAsia="仿宋_GB2312" w:cs="仿宋_GB2312"/>
          <w:b/>
          <w:bCs/>
          <w:sz w:val="28"/>
          <w:szCs w:val="28"/>
        </w:rPr>
        <w:t xml:space="preserve">本项目最高限价为人民币</w:t>
      </w:r>
      <w:r>
        <w:rPr>
          <w:rFonts w:hint="eastAsia" w:ascii="仿宋_GB2312" w:hAnsi="仿宋_GB2312" w:eastAsia="仿宋_GB2312" w:cs="仿宋_GB2312"/>
          <w:b/>
          <w:bCs/>
          <w:sz w:val="28"/>
          <w:szCs w:val="28"/>
          <w:lang w:val="en-US" w:eastAsia="zh-CN"/>
        </w:rPr>
        <w:t xml:space="preserve">130.00</w:t>
      </w:r>
      <w:r>
        <w:rPr>
          <w:rFonts w:hint="eastAsia" w:ascii="仿宋_GB2312" w:hAnsi="仿宋_GB2312" w:eastAsia="仿宋_GB2312" w:cs="仿宋_GB2312"/>
          <w:b/>
          <w:bCs/>
          <w:sz w:val="28"/>
          <w:szCs w:val="28"/>
        </w:rPr>
        <w:t xml:space="preserve">万元</w:t>
      </w:r>
      <w:r>
        <w:rPr>
          <w:rFonts w:hint="eastAsia" w:ascii="仿宋_GB2312" w:hAnsi="仿宋_GB2312" w:eastAsia="仿宋_GB2312" w:cs="仿宋_GB2312"/>
          <w:sz w:val="28"/>
          <w:szCs w:val="28"/>
        </w:rPr>
        <w:t xml:space="preserve">），视为无效报价，其响应文件作无效响应文件处理。</w:t>
      </w:r>
      <w:r/>
    </w:p>
    <w:p>
      <w:pPr>
        <w:ind w:firstLine="480"/>
        <w:pageBreakBefore w:val="0"/>
        <w:spacing w:line="520" w:lineRule="exact"/>
        <w:widowControl w:val="off"/>
        <w:rPr>
          <w:rFonts w:hint="eastAsia" w:ascii="宋体" w:hAnsi="宋体" w:cs="宋体"/>
          <w:sz w:val="28"/>
          <w:szCs w:val="28"/>
        </w:rPr>
      </w:pPr>
      <w:r>
        <w:rPr>
          <w:rFonts w:hint="eastAsia" w:ascii="仿宋_GB2312" w:hAnsi="仿宋_GB2312" w:eastAsia="仿宋_GB2312" w:cs="仿宋_GB2312"/>
          <w:sz w:val="28"/>
          <w:szCs w:val="28"/>
          <w:lang w:eastAsia="zh-CN"/>
        </w:rPr>
        <w:t xml:space="preserve">（</w:t>
      </w:r>
      <w:r>
        <w:rPr>
          <w:rFonts w:hint="eastAsia" w:ascii="仿宋_GB2312" w:hAnsi="仿宋_GB2312" w:eastAsia="仿宋_GB2312" w:cs="仿宋_GB2312"/>
          <w:sz w:val="28"/>
          <w:szCs w:val="28"/>
          <w:lang w:val="en-US" w:eastAsia="zh-CN"/>
        </w:rPr>
        <w:t xml:space="preserve">6</w:t>
      </w:r>
      <w:r>
        <w:rPr>
          <w:rFonts w:hint="eastAsia" w:ascii="仿宋_GB2312" w:hAnsi="仿宋_GB2312" w:eastAsia="仿宋_GB2312" w:cs="仿宋_GB2312"/>
          <w:sz w:val="28"/>
          <w:szCs w:val="28"/>
          <w:lang w:eastAsia="zh-CN"/>
        </w:rPr>
        <w:t xml:space="preserve">）</w:t>
      </w:r>
      <w:r>
        <w:rPr>
          <w:rFonts w:hint="eastAsia" w:ascii="仿宋_GB2312" w:hAnsi="仿宋_GB2312" w:eastAsia="仿宋_GB2312" w:cs="仿宋_GB2312"/>
          <w:sz w:val="28"/>
          <w:szCs w:val="28"/>
        </w:rPr>
        <w:t xml:space="preserve">供应商的同一份报价表出现两个或两个以上不同报价的，视为无效报价，其响应文件作无效响应文件处理。</w:t>
      </w:r>
      <w:r/>
    </w:p>
    <w:p>
      <w:pPr>
        <w:pStyle w:val="893"/>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第二部分 响应文件的组成</w:t>
      </w:r>
      <w:r/>
    </w:p>
    <w:p>
      <w:pPr>
        <w:pStyle w:val="909"/>
        <w:ind w:firstLine="480"/>
        <w:spacing w:line="360" w:lineRule="auto"/>
        <w:rPr>
          <w:rFonts w:hint="eastAsia" w:ascii="宋体" w:hAnsi="宋体"/>
          <w:color w:val="000000"/>
          <w:sz w:val="28"/>
          <w:szCs w:val="28"/>
        </w:rPr>
      </w:pPr>
      <w:r>
        <w:rPr>
          <w:rFonts w:ascii="宋体" w:hAnsi="宋体"/>
          <w:b/>
          <w:bCs/>
          <w:color w:val="000000"/>
          <w:sz w:val="28"/>
          <w:szCs w:val="28"/>
        </w:rPr>
        <w:t xml:space="preserve">请按照以下要求（包括但不限于以下要求）制作：</w:t>
      </w:r>
      <w:r>
        <w:rPr>
          <w:rFonts w:hint="eastAsia" w:ascii="宋体" w:hAnsi="宋体"/>
          <w:b/>
          <w:bCs/>
          <w:color w:val="000000"/>
          <w:sz w:val="28"/>
          <w:szCs w:val="28"/>
        </w:rPr>
      </w:r>
      <w:r/>
    </w:p>
    <w:p>
      <w:pPr>
        <w:pStyle w:val="909"/>
        <w:ind w:left="0" w:firstLine="562"/>
        <w:keepLines w:val="0"/>
        <w:keepNext w:val="0"/>
        <w:pageBreakBefore w:val="0"/>
        <w:spacing w:line="520" w:lineRule="exact"/>
        <w:widowControl w:val="off"/>
        <w:rPr>
          <w:rFonts w:hint="eastAsia" w:ascii="仿宋_GB2312" w:hAnsi="仿宋_GB2312" w:eastAsia="仿宋_GB2312" w:cs="仿宋_GB2312"/>
          <w:b/>
          <w:bCs/>
          <w:color w:val="000000"/>
          <w:sz w:val="28"/>
          <w:szCs w:val="28"/>
          <w:highlight w:val="none"/>
          <w:lang w:val="en-US" w:eastAsia="zh-CN" w:bidi="ar-SA"/>
        </w:rPr>
      </w:pPr>
      <w:r>
        <w:rPr>
          <w:rFonts w:hint="eastAsia" w:ascii="仿宋_GB2312" w:hAnsi="仿宋_GB2312" w:eastAsia="仿宋_GB2312" w:cs="仿宋_GB2312"/>
          <w:b/>
          <w:bCs/>
          <w:color w:val="000000"/>
          <w:sz w:val="28"/>
          <w:szCs w:val="28"/>
          <w:highlight w:val="none"/>
          <w:lang w:val="en-US" w:eastAsia="zh-CN" w:bidi="ar-SA"/>
        </w:rPr>
        <w:t xml:space="preserve">（一）基本目录</w:t>
      </w:r>
      <w:r/>
    </w:p>
    <w:p>
      <w:pPr>
        <w:pStyle w:val="909"/>
        <w:ind w:firstLine="548"/>
        <w:keepLines w:val="0"/>
        <w:keepNext w:val="0"/>
        <w:pageBreakBefore w:val="0"/>
        <w:spacing w:line="520" w:lineRule="exact"/>
        <w:widowControl w:val="off"/>
        <w:rPr>
          <w:rFonts w:hint="eastAsia" w:ascii="仿宋_GB2312" w:hAnsi="仿宋_GB2312" w:eastAsia="仿宋_GB2312" w:cs="仿宋_GB2312"/>
          <w:b/>
          <w:bCs/>
          <w:color w:val="000000"/>
          <w:sz w:val="28"/>
          <w:szCs w:val="28"/>
          <w:highlight w:val="none"/>
          <w:lang w:val="en-US" w:eastAsia="zh-CN" w:bidi="ar-SA"/>
        </w:rPr>
      </w:pPr>
      <w:r>
        <w:rPr>
          <w:rFonts w:hint="eastAsia" w:ascii="仿宋_GB2312" w:hAnsi="仿宋_GB2312" w:eastAsia="仿宋_GB2312" w:cs="仿宋_GB2312"/>
          <w:b/>
          <w:bCs/>
          <w:color w:val="000000"/>
          <w:sz w:val="28"/>
          <w:szCs w:val="28"/>
          <w:highlight w:val="none"/>
          <w:lang w:val="en-US" w:eastAsia="zh-CN" w:bidi="ar-SA"/>
        </w:rPr>
        <w:t xml:space="preserve">（1）《磋商报价表》（加盖电子签章，格式见《磋商文件》附件。政府采购客户端工具输入报价自动生成）；</w:t>
      </w:r>
      <w:r/>
    </w:p>
    <w:p>
      <w:pPr>
        <w:ind w:firstLine="562"/>
        <w:keepLines w:val="0"/>
        <w:keepNext w:val="0"/>
        <w:pageBreakBefore w:val="0"/>
        <w:spacing w:line="520" w:lineRule="exact"/>
        <w:widowControl w:val="off"/>
        <w:tabs>
          <w:tab w:val="center" w:pos="4153" w:leader="none"/>
        </w:tabs>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 xml:space="preserve">（</w:t>
      </w:r>
      <w:r>
        <w:rPr>
          <w:rFonts w:hint="eastAsia" w:ascii="仿宋_GB2312" w:hAnsi="仿宋_GB2312" w:eastAsia="仿宋_GB2312" w:cs="仿宋_GB2312"/>
          <w:b/>
          <w:bCs/>
          <w:sz w:val="28"/>
          <w:szCs w:val="28"/>
          <w:lang w:eastAsia="zh-CN"/>
        </w:rPr>
        <w:t xml:space="preserve">二</w:t>
      </w:r>
      <w:r>
        <w:rPr>
          <w:rFonts w:hint="eastAsia" w:ascii="仿宋_GB2312" w:hAnsi="仿宋_GB2312" w:eastAsia="仿宋_GB2312" w:cs="仿宋_GB2312"/>
          <w:b/>
          <w:bCs/>
          <w:sz w:val="28"/>
          <w:szCs w:val="28"/>
        </w:rPr>
        <w:t xml:space="preserve">）资格证明文件（必须提供，否则投标将被拒绝）</w:t>
      </w:r>
      <w:r/>
    </w:p>
    <w:p>
      <w:pPr>
        <w:ind w:firstLine="482"/>
        <w:keepLines w:val="0"/>
        <w:keepNext w:val="0"/>
        <w:pageBreakBefore w:val="0"/>
        <w:spacing w:line="520" w:lineRule="exact"/>
        <w:widowControl w:val="off"/>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 xml:space="preserve">（1）</w:t>
      </w:r>
      <w:r>
        <w:rPr>
          <w:rFonts w:hint="eastAsia" w:ascii="仿宋_GB2312" w:hAnsi="仿宋_GB2312" w:eastAsia="仿宋_GB2312" w:cs="仿宋_GB2312"/>
          <w:b/>
          <w:bCs/>
          <w:color w:val="000000"/>
          <w:sz w:val="28"/>
          <w:szCs w:val="28"/>
          <w:highlight w:val="none"/>
        </w:rPr>
        <w:t xml:space="preserve">合法有效的法人或者其他组织的营业执照等证明文件，自然人的身份证明</w:t>
      </w:r>
      <w:r>
        <w:rPr>
          <w:rFonts w:hint="eastAsia" w:ascii="仿宋_GB2312" w:hAnsi="仿宋_GB2312" w:eastAsia="仿宋_GB2312" w:cs="仿宋_GB2312"/>
          <w:b/>
          <w:bCs/>
          <w:sz w:val="28"/>
          <w:szCs w:val="28"/>
        </w:rPr>
        <w:t xml:space="preserve">，以上原件扫描上传并加盖电子签章。</w:t>
      </w:r>
      <w:r/>
    </w:p>
    <w:p>
      <w:pPr>
        <w:ind w:firstLine="482"/>
        <w:keepLines w:val="0"/>
        <w:keepNext w:val="0"/>
        <w:pageBreakBefore w:val="0"/>
        <w:spacing w:line="520" w:lineRule="exact"/>
        <w:widowControl w:val="off"/>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 xml:space="preserve">（2）财务状况报告，提供：投标人的本项目开标时间前6个月内任一时间截点的资产负债表和利润表月报表的扫描件1份或提供供应商</w:t>
      </w:r>
      <w:r>
        <w:rPr>
          <w:rFonts w:hint="eastAsia" w:ascii="仿宋_GB2312" w:hAnsi="仿宋_GB2312" w:eastAsia="仿宋_GB2312" w:cs="仿宋_GB2312"/>
          <w:b/>
          <w:bCs/>
          <w:sz w:val="28"/>
          <w:szCs w:val="28"/>
          <w:lang w:val="en-US" w:eastAsia="zh-CN"/>
        </w:rPr>
        <w:t xml:space="preserve">上一</w:t>
      </w:r>
      <w:r>
        <w:rPr>
          <w:rFonts w:hint="eastAsia" w:ascii="仿宋_GB2312" w:hAnsi="仿宋_GB2312" w:eastAsia="仿宋_GB2312" w:cs="仿宋_GB2312"/>
          <w:b/>
          <w:bCs/>
          <w:sz w:val="28"/>
          <w:szCs w:val="28"/>
        </w:rPr>
        <w:t xml:space="preserve">年度财务审计报告或供应商的本项目开标时间前6个月内银行出具的资信证明扫描件。</w:t>
      </w:r>
      <w:r/>
    </w:p>
    <w:p>
      <w:pPr>
        <w:ind w:firstLine="482"/>
        <w:keepLines w:val="0"/>
        <w:keepNext w:val="0"/>
        <w:pageBreakBefore w:val="0"/>
        <w:spacing w:line="520" w:lineRule="exact"/>
        <w:widowControl w:val="off"/>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 xml:space="preserve">（3）供应商的本项目开标时间前6个月内（</w:t>
      </w:r>
      <w:r>
        <w:rPr>
          <w:rFonts w:hint="eastAsia" w:ascii="仿宋_GB2312" w:hAnsi="仿宋_GB2312" w:eastAsia="仿宋_GB2312" w:cs="仿宋_GB2312"/>
          <w:b/>
          <w:bCs/>
          <w:sz w:val="28"/>
          <w:szCs w:val="28"/>
          <w:u w:val="single"/>
        </w:rPr>
        <w:t xml:space="preserve">不含开标当月</w:t>
      </w:r>
      <w:r>
        <w:rPr>
          <w:rFonts w:hint="eastAsia" w:ascii="仿宋_GB2312" w:hAnsi="仿宋_GB2312" w:eastAsia="仿宋_GB2312" w:cs="仿宋_GB2312"/>
          <w:b/>
          <w:bCs/>
          <w:sz w:val="28"/>
          <w:szCs w:val="28"/>
        </w:rPr>
        <w:t xml:space="preserve">）任何1月的</w:t>
      </w:r>
      <w:r>
        <w:rPr>
          <w:rFonts w:hint="eastAsia" w:ascii="仿宋_GB2312" w:hAnsi="仿宋_GB2312" w:eastAsia="仿宋_GB2312" w:cs="仿宋_GB2312"/>
          <w:b/>
          <w:bCs/>
          <w:sz w:val="28"/>
          <w:szCs w:val="28"/>
          <w:u w:val="single"/>
        </w:rPr>
        <w:t xml:space="preserve">依法缴纳税收</w:t>
      </w:r>
      <w:r>
        <w:rPr>
          <w:rFonts w:hint="eastAsia" w:ascii="仿宋_GB2312" w:hAnsi="仿宋_GB2312" w:eastAsia="仿宋_GB2312" w:cs="仿宋_GB2312"/>
          <w:b/>
          <w:bCs/>
          <w:sz w:val="28"/>
          <w:szCs w:val="28"/>
        </w:rPr>
        <w:t xml:space="preserve">和</w:t>
      </w:r>
      <w:r>
        <w:rPr>
          <w:rFonts w:hint="eastAsia" w:ascii="仿宋_GB2312" w:hAnsi="仿宋_GB2312" w:eastAsia="仿宋_GB2312" w:cs="仿宋_GB2312"/>
          <w:b/>
          <w:bCs/>
          <w:sz w:val="28"/>
          <w:szCs w:val="28"/>
          <w:u w:val="single"/>
        </w:rPr>
        <w:t xml:space="preserve">社会障保资金</w:t>
      </w:r>
      <w:r>
        <w:rPr>
          <w:rFonts w:hint="eastAsia" w:ascii="仿宋_GB2312" w:hAnsi="仿宋_GB2312" w:eastAsia="仿宋_GB2312" w:cs="仿宋_GB2312"/>
          <w:b/>
          <w:bCs/>
          <w:sz w:val="28"/>
          <w:szCs w:val="28"/>
        </w:rPr>
        <w:t xml:space="preserve">的相关材料扫描件；依法免税或不需要缴纳社会保障资金的投标人应提供相应其依法免税或不需要缴纳社会保障资金的证明文件的相关材料原件扫描上传并加盖电子签章。</w:t>
      </w:r>
      <w:r/>
    </w:p>
    <w:p>
      <w:pPr>
        <w:ind w:firstLine="482"/>
        <w:keepLines w:val="0"/>
        <w:keepNext w:val="0"/>
        <w:pageBreakBefore w:val="0"/>
        <w:spacing w:line="520" w:lineRule="exact"/>
        <w:widowControl w:val="off"/>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 xml:space="preserve">（4）提供具备履行合同所必需的设备和专业技术能力的书面声明（上传并加盖电子签章，格式见《磋商文件》附件）。</w:t>
      </w:r>
      <w:r/>
    </w:p>
    <w:p>
      <w:pPr>
        <w:pStyle w:val="902"/>
        <w:ind w:firstLine="482"/>
        <w:keepLines w:val="0"/>
        <w:keepNext w:val="0"/>
        <w:pageBreakBefore w:val="0"/>
        <w:spacing w:line="520" w:lineRule="exact"/>
        <w:widowControl w:val="off"/>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 xml:space="preserve">（5）供应商参加政府采购活动前3年内在经营活动中没有重大违法记录的书面声明（上传并加盖电子签章，格式见《磋商文件》附件）。</w:t>
      </w:r>
      <w:r/>
    </w:p>
    <w:p>
      <w:pPr>
        <w:pStyle w:val="902"/>
        <w:ind w:firstLine="482"/>
        <w:keepLines w:val="0"/>
        <w:keepNext w:val="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b/>
          <w:bCs/>
          <w:sz w:val="28"/>
          <w:szCs w:val="28"/>
        </w:rPr>
        <w:t xml:space="preserve">（6）投标人需提供中小企业声明函或残疾人福利性单位声明函或省级以上监狱管理局、戒毒管理局（含新疆生产建设兵团）出具的属于监狱企业的证明文件</w:t>
      </w:r>
      <w:r>
        <w:rPr>
          <w:rFonts w:hint="eastAsia" w:ascii="仿宋_GB2312" w:hAnsi="仿宋_GB2312" w:eastAsia="仿宋_GB2312" w:cs="仿宋_GB2312"/>
          <w:b/>
          <w:bCs/>
          <w:sz w:val="28"/>
          <w:szCs w:val="28"/>
          <w:lang w:eastAsia="zh-CN"/>
        </w:rPr>
        <w:t xml:space="preserve">原件</w:t>
      </w:r>
      <w:r>
        <w:rPr>
          <w:rFonts w:hint="eastAsia" w:ascii="仿宋_GB2312" w:hAnsi="仿宋_GB2312" w:eastAsia="仿宋_GB2312" w:cs="仿宋_GB2312"/>
          <w:b/>
          <w:bCs/>
          <w:sz w:val="28"/>
          <w:szCs w:val="28"/>
        </w:rPr>
        <w:t xml:space="preserve">扫描件。（上传并加盖电子签章，格式见《磋商文件》附件）；</w:t>
      </w:r>
      <w:r/>
    </w:p>
    <w:p>
      <w:pPr>
        <w:ind w:firstLine="922"/>
        <w:keepLines w:val="0"/>
        <w:keepNext w:val="0"/>
        <w:pageBreakBefore w:val="0"/>
        <w:spacing w:line="520" w:lineRule="exact"/>
        <w:widowControl w:val="off"/>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 xml:space="preserve">供应商为中小企业（含中型、小型、微型企业，下同）的，提供《中小企业声明函》（</w:t>
      </w:r>
      <w:r>
        <w:rPr>
          <w:rFonts w:hint="eastAsia" w:ascii="仿宋_GB2312" w:hAnsi="仿宋_GB2312" w:eastAsia="仿宋_GB2312" w:cs="仿宋_GB2312"/>
          <w:b/>
          <w:bCs/>
          <w:sz w:val="28"/>
          <w:szCs w:val="28"/>
          <w:lang w:eastAsia="zh-CN"/>
        </w:rPr>
        <w:t xml:space="preserve">原件扫描件</w:t>
      </w:r>
      <w:r>
        <w:rPr>
          <w:rFonts w:hint="eastAsia" w:ascii="仿宋_GB2312" w:hAnsi="仿宋_GB2312" w:eastAsia="仿宋_GB2312" w:cs="仿宋_GB2312"/>
          <w:b/>
          <w:bCs/>
          <w:sz w:val="28"/>
          <w:szCs w:val="28"/>
        </w:rPr>
        <w:t xml:space="preserve">上传并加盖电子签章，填写完整。格式见《磋商文件》附件）。《中小企业声明函》查询渠道参考工业和信息化部发布的中小企业规模自测小程序。</w:t>
      </w:r>
      <w:r/>
    </w:p>
    <w:p>
      <w:pPr>
        <w:ind w:firstLine="480"/>
        <w:keepLines w:val="0"/>
        <w:keepNext w:val="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b/>
          <w:bCs/>
          <w:sz w:val="28"/>
          <w:szCs w:val="28"/>
        </w:rPr>
        <w:t xml:space="preserve">注：</w:t>
      </w:r>
      <w:r>
        <w:rPr>
          <w:rFonts w:hint="eastAsia" w:ascii="仿宋_GB2312" w:hAnsi="仿宋_GB2312" w:eastAsia="仿宋_GB2312" w:cs="仿宋_GB2312"/>
          <w:sz w:val="28"/>
          <w:szCs w:val="28"/>
        </w:rPr>
        <w:t xml:space="preserve">中小微企业，应当符合以下条件：</w:t>
      </w:r>
      <w:r/>
    </w:p>
    <w:p>
      <w:pPr>
        <w:ind w:firstLine="480"/>
        <w:keepLines w:val="0"/>
        <w:keepNext w:val="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ind w:firstLine="480"/>
        <w:keepLines w:val="0"/>
        <w:keepNext w:val="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b/>
          <w:bCs/>
          <w:sz w:val="28"/>
          <w:szCs w:val="28"/>
        </w:rPr>
        <w:t xml:space="preserve">投标人为监狱企业的，视同小微企业，提供省级以上监狱管理局、戒毒管理局（含新疆生产建设兵团）出具的属于监狱企业的证明文件原件扫描上传并加盖电子签章。</w:t>
      </w:r>
      <w:r>
        <w:rPr>
          <w:rFonts w:hint="eastAsia" w:ascii="仿宋_GB2312" w:hAnsi="仿宋_GB2312" w:eastAsia="仿宋_GB2312" w:cs="仿宋_GB2312"/>
          <w:sz w:val="28"/>
          <w:szCs w:val="28"/>
        </w:rPr>
        <w:t xml:space="preserve">具体以《财政部 司法部关于政府采购支持监狱企业发展有关问题的通知》（财库〔2014〕68号）的规定为准。</w:t>
      </w:r>
      <w:r/>
    </w:p>
    <w:p>
      <w:pPr>
        <w:ind w:firstLine="480"/>
        <w:keepLines w:val="0"/>
        <w:keepNext w:val="0"/>
        <w:pageBreakBefore w:val="0"/>
        <w:spacing w:line="520" w:lineRule="exact"/>
        <w:widowControl w:val="off"/>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 xml:space="preserve">供应商为享受政府采购支持政策的残疾人福利性单位的，提供《残疾人福利性单位声明函》（</w:t>
      </w:r>
      <w:r>
        <w:rPr>
          <w:rFonts w:hint="eastAsia" w:ascii="仿宋_GB2312" w:hAnsi="仿宋_GB2312" w:eastAsia="仿宋_GB2312" w:cs="仿宋_GB2312"/>
          <w:b/>
          <w:bCs/>
          <w:sz w:val="28"/>
          <w:szCs w:val="28"/>
          <w:lang w:eastAsia="zh-CN"/>
        </w:rPr>
        <w:t xml:space="preserve">原件扫描件</w:t>
      </w:r>
      <w:r>
        <w:rPr>
          <w:rFonts w:hint="eastAsia" w:ascii="仿宋_GB2312" w:hAnsi="仿宋_GB2312" w:eastAsia="仿宋_GB2312" w:cs="仿宋_GB2312"/>
          <w:b/>
          <w:bCs/>
          <w:sz w:val="28"/>
          <w:szCs w:val="28"/>
        </w:rPr>
        <w:t xml:space="preserve">上传并加盖电子签章，格式见《磋商文件》附件，非必须提供）。</w:t>
      </w:r>
      <w:r/>
    </w:p>
    <w:p>
      <w:pPr>
        <w:ind w:firstLine="480"/>
        <w:keepLines w:val="0"/>
        <w:keepNext w:val="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享受政府采购支持政策的残疾人福利性单位应当同时满足以下条件：</w:t>
      </w:r>
      <w:r/>
    </w:p>
    <w:p>
      <w:pPr>
        <w:ind w:firstLine="480"/>
        <w:keepLines w:val="0"/>
        <w:keepNext w:val="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（一）安置的残疾人占本单位在职职工人数的比例不低于25%（含25%），并且安置的残疾人人数不少于10人（含10人）；</w:t>
      </w:r>
      <w:r/>
    </w:p>
    <w:p>
      <w:pPr>
        <w:ind w:firstLine="480"/>
        <w:keepLines w:val="0"/>
        <w:keepNext w:val="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（二）依法与安置的每位残疾人签订了一年以上（含一年）的劳动合同或服务协议；</w:t>
      </w:r>
      <w:r/>
    </w:p>
    <w:p>
      <w:pPr>
        <w:ind w:firstLine="480"/>
        <w:keepLines w:val="0"/>
        <w:keepNext w:val="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（三）为安置的每位残疾人按月足额缴纳了基本养老保险、基本医疗保险、失业保险、工伤保险和生育保险等社会保险费；</w:t>
      </w:r>
      <w:r/>
    </w:p>
    <w:p>
      <w:pPr>
        <w:ind w:firstLine="480"/>
        <w:keepLines w:val="0"/>
        <w:keepNext w:val="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（四）通过银行等金融机构向安置的每位残疾人，按月支付了不低于单位所在区县适用的经省级人民政府批准的月最低工资标准的工资；</w:t>
      </w:r>
      <w:r/>
    </w:p>
    <w:p>
      <w:pPr>
        <w:ind w:firstLine="480"/>
        <w:keepLines w:val="0"/>
        <w:keepNext w:val="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（五）提供本单位制造的货物、承担的工程或者服务（以下简称产品），或者提供其他残疾人福利性单位制造的货物（不包括使用非残疾人福利性单位注册商标的货物）。</w:t>
      </w:r>
      <w:r/>
    </w:p>
    <w:p>
      <w:pPr>
        <w:ind w:firstLine="480"/>
        <w:keepLines w:val="0"/>
        <w:keepNext w:val="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firstLine="480"/>
        <w:keepLines w:val="0"/>
        <w:keepNext w:val="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具体以《三部门联合发布关于促进残疾人就业政府采购政策的通知》（财库〔2017〕141号）规定为准。</w:t>
      </w:r>
      <w:r/>
    </w:p>
    <w:p>
      <w:pPr>
        <w:keepLines w:val="0"/>
        <w:keepNext w:val="0"/>
        <w:pageBreakBefore w:val="0"/>
        <w:spacing w:line="520" w:lineRule="exact"/>
        <w:widowControl w:val="off"/>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 xml:space="preserve">（</w:t>
      </w:r>
      <w:r>
        <w:rPr>
          <w:rFonts w:hint="eastAsia" w:ascii="仿宋_GB2312" w:hAnsi="仿宋_GB2312" w:eastAsia="仿宋_GB2312" w:cs="仿宋_GB2312"/>
          <w:b/>
          <w:bCs/>
          <w:sz w:val="28"/>
          <w:szCs w:val="28"/>
          <w:lang w:eastAsia="zh-CN"/>
        </w:rPr>
        <w:t xml:space="preserve">三</w:t>
      </w:r>
      <w:r>
        <w:rPr>
          <w:rFonts w:hint="eastAsia" w:ascii="仿宋_GB2312" w:hAnsi="仿宋_GB2312" w:eastAsia="仿宋_GB2312" w:cs="仿宋_GB2312"/>
          <w:b/>
          <w:bCs/>
          <w:sz w:val="28"/>
          <w:szCs w:val="28"/>
        </w:rPr>
        <w:t xml:space="preserve">）</w:t>
      </w:r>
      <w:r>
        <w:rPr>
          <w:rFonts w:hint="eastAsia" w:ascii="仿宋_GB2312" w:hAnsi="仿宋_GB2312" w:eastAsia="仿宋_GB2312" w:cs="仿宋_GB2312"/>
          <w:b/>
          <w:bCs/>
          <w:sz w:val="28"/>
          <w:szCs w:val="28"/>
          <w:lang w:eastAsia="zh-CN"/>
        </w:rPr>
        <w:t xml:space="preserve">符合条件</w:t>
      </w:r>
      <w:r>
        <w:rPr>
          <w:rFonts w:ascii="宋体" w:hAnsi="宋体"/>
          <w:b/>
          <w:bCs/>
          <w:color w:val="000000"/>
          <w:sz w:val="28"/>
          <w:szCs w:val="28"/>
        </w:rPr>
        <w:t xml:space="preserve">（必须提供，否则响应无效）</w:t>
      </w:r>
      <w:r>
        <w:rPr>
          <w:sz w:val="28"/>
          <w:szCs w:val="28"/>
        </w:rPr>
      </w:r>
      <w:r/>
    </w:p>
    <w:p>
      <w:pPr>
        <w:keepLines w:val="0"/>
        <w:keepNext w:val="0"/>
        <w:pageBreakBefore w:val="0"/>
        <w:spacing w:line="520" w:lineRule="exact"/>
        <w:widowControl w:val="off"/>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lang w:eastAsia="zh-CN"/>
        </w:rPr>
        <w:t xml:space="preserve">（</w:t>
      </w:r>
      <w:r>
        <w:rPr>
          <w:rFonts w:hint="eastAsia" w:ascii="仿宋_GB2312" w:hAnsi="仿宋_GB2312" w:eastAsia="仿宋_GB2312" w:cs="仿宋_GB2312"/>
          <w:b/>
          <w:bCs/>
          <w:sz w:val="28"/>
          <w:szCs w:val="28"/>
          <w:lang w:val="en-US" w:eastAsia="zh-CN"/>
        </w:rPr>
        <w:t xml:space="preserve">1</w:t>
      </w:r>
      <w:r>
        <w:rPr>
          <w:rFonts w:hint="eastAsia" w:ascii="仿宋_GB2312" w:hAnsi="仿宋_GB2312" w:eastAsia="仿宋_GB2312" w:cs="仿宋_GB2312"/>
          <w:b/>
          <w:bCs/>
          <w:sz w:val="28"/>
          <w:szCs w:val="28"/>
          <w:lang w:eastAsia="zh-CN"/>
        </w:rPr>
        <w:t xml:space="preserve">）</w:t>
      </w:r>
      <w:r>
        <w:rPr>
          <w:rFonts w:hint="eastAsia" w:ascii="仿宋_GB2312" w:hAnsi="仿宋_GB2312" w:eastAsia="仿宋_GB2312" w:cs="仿宋_GB2312"/>
          <w:b/>
          <w:bCs/>
          <w:sz w:val="28"/>
          <w:szCs w:val="28"/>
        </w:rPr>
        <w:t xml:space="preserve">《承诺函》（加盖电子签章，格式见《磋商文件》附件）；</w:t>
      </w:r>
      <w:r/>
    </w:p>
    <w:p>
      <w:pPr>
        <w:keepLines w:val="0"/>
        <w:keepNext w:val="0"/>
        <w:pageBreakBefore w:val="0"/>
        <w:spacing w:line="520" w:lineRule="exact"/>
        <w:widowControl w:val="off"/>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lang w:val="en-US" w:eastAsia="zh-CN"/>
        </w:rPr>
        <w:t xml:space="preserve">（2）</w:t>
      </w:r>
      <w:r>
        <w:rPr>
          <w:rFonts w:hint="eastAsia" w:ascii="仿宋_GB2312" w:hAnsi="仿宋_GB2312" w:eastAsia="仿宋_GB2312" w:cs="仿宋_GB2312"/>
          <w:b/>
          <w:bCs/>
          <w:sz w:val="28"/>
          <w:szCs w:val="28"/>
        </w:rPr>
        <w:t xml:space="preserve">《磋商报价表》（加盖电子签章，格式见《磋商文件》附件）；</w:t>
      </w:r>
      <w:r/>
    </w:p>
    <w:p>
      <w:pPr>
        <w:keepLines w:val="0"/>
        <w:keepNext w:val="0"/>
        <w:pageBreakBefore w:val="0"/>
        <w:spacing w:line="520" w:lineRule="exact"/>
        <w:widowControl w:val="off"/>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lang w:eastAsia="zh-CN"/>
        </w:rPr>
        <w:t xml:space="preserve">（</w:t>
      </w:r>
      <w:r>
        <w:rPr>
          <w:rFonts w:hint="eastAsia" w:ascii="仿宋_GB2312" w:hAnsi="仿宋_GB2312" w:eastAsia="仿宋_GB2312" w:cs="仿宋_GB2312"/>
          <w:b/>
          <w:bCs/>
          <w:sz w:val="28"/>
          <w:szCs w:val="28"/>
          <w:lang w:val="en-US" w:eastAsia="zh-CN"/>
        </w:rPr>
        <w:t xml:space="preserve">3</w:t>
      </w:r>
      <w:r>
        <w:rPr>
          <w:rFonts w:hint="eastAsia" w:ascii="仿宋_GB2312" w:hAnsi="仿宋_GB2312" w:eastAsia="仿宋_GB2312" w:cs="仿宋_GB2312"/>
          <w:b/>
          <w:bCs/>
          <w:sz w:val="28"/>
          <w:szCs w:val="28"/>
          <w:lang w:eastAsia="zh-CN"/>
        </w:rPr>
        <w:t xml:space="preserve">）</w:t>
      </w:r>
      <w:r>
        <w:rPr>
          <w:rFonts w:hint="eastAsia" w:ascii="仿宋_GB2312" w:hAnsi="仿宋_GB2312" w:eastAsia="仿宋_GB2312" w:cs="仿宋_GB2312"/>
          <w:b/>
          <w:bCs/>
          <w:sz w:val="28"/>
          <w:szCs w:val="28"/>
        </w:rPr>
        <w:t xml:space="preserve">《分项报价表》（加盖电子签章，格式见《磋商文件》附件）；</w:t>
      </w:r>
      <w:r/>
    </w:p>
    <w:p>
      <w:pPr>
        <w:keepLines w:val="0"/>
        <w:keepNext w:val="0"/>
        <w:pageBreakBefore w:val="0"/>
        <w:spacing w:line="520" w:lineRule="exact"/>
        <w:widowControl w:val="off"/>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lang w:eastAsia="zh-CN"/>
        </w:rPr>
        <w:t xml:space="preserve">（</w:t>
      </w:r>
      <w:r>
        <w:rPr>
          <w:rFonts w:hint="eastAsia" w:ascii="仿宋_GB2312" w:hAnsi="仿宋_GB2312" w:eastAsia="仿宋_GB2312" w:cs="仿宋_GB2312"/>
          <w:b/>
          <w:bCs/>
          <w:sz w:val="28"/>
          <w:szCs w:val="28"/>
          <w:lang w:val="en-US" w:eastAsia="zh-CN"/>
        </w:rPr>
        <w:t xml:space="preserve">4</w:t>
      </w:r>
      <w:r>
        <w:rPr>
          <w:rFonts w:hint="eastAsia" w:ascii="仿宋_GB2312" w:hAnsi="仿宋_GB2312" w:eastAsia="仿宋_GB2312" w:cs="仿宋_GB2312"/>
          <w:b/>
          <w:bCs/>
          <w:sz w:val="28"/>
          <w:szCs w:val="28"/>
          <w:lang w:eastAsia="zh-CN"/>
        </w:rPr>
        <w:t xml:space="preserve">）</w:t>
      </w:r>
      <w:r>
        <w:rPr>
          <w:rFonts w:hint="eastAsia" w:ascii="仿宋_GB2312" w:hAnsi="仿宋_GB2312" w:eastAsia="仿宋_GB2312" w:cs="仿宋_GB2312"/>
          <w:b/>
          <w:bCs/>
          <w:sz w:val="28"/>
          <w:szCs w:val="28"/>
        </w:rPr>
        <w:t xml:space="preserve">《法定代表人授权书》（加盖电子签章，格式见《磋商文件》附件）；</w:t>
      </w:r>
      <w:r/>
    </w:p>
    <w:p>
      <w:pPr>
        <w:keepLines w:val="0"/>
        <w:keepNext w:val="0"/>
        <w:pageBreakBefore w:val="0"/>
        <w:spacing w:line="520" w:lineRule="exact"/>
        <w:widowControl w:val="off"/>
        <w:rPr>
          <w:rFonts w:hint="eastAsia" w:ascii="仿宋_GB2312" w:hAnsi="仿宋_GB2312" w:eastAsia="仿宋_GB2312" w:cs="仿宋_GB2312"/>
          <w:b/>
          <w:bCs/>
          <w:sz w:val="28"/>
          <w:szCs w:val="28"/>
          <w:highlight w:val="none"/>
        </w:rPr>
      </w:pPr>
      <w:r>
        <w:rPr>
          <w:rFonts w:hint="eastAsia" w:ascii="仿宋_GB2312" w:hAnsi="仿宋_GB2312" w:eastAsia="仿宋_GB2312" w:cs="仿宋_GB2312"/>
          <w:b/>
          <w:bCs/>
          <w:sz w:val="28"/>
          <w:szCs w:val="28"/>
          <w:lang w:eastAsia="zh-CN"/>
        </w:rPr>
        <w:t xml:space="preserve">（</w:t>
      </w:r>
      <w:r>
        <w:rPr>
          <w:rFonts w:hint="eastAsia" w:ascii="仿宋_GB2312" w:hAnsi="仿宋_GB2312" w:eastAsia="仿宋_GB2312" w:cs="仿宋_GB2312"/>
          <w:b/>
          <w:bCs/>
          <w:sz w:val="28"/>
          <w:szCs w:val="28"/>
          <w:lang w:val="en-US" w:eastAsia="zh-CN"/>
        </w:rPr>
        <w:t xml:space="preserve">5</w:t>
      </w:r>
      <w:r>
        <w:rPr>
          <w:rFonts w:hint="eastAsia" w:ascii="仿宋_GB2312" w:hAnsi="仿宋_GB2312" w:eastAsia="仿宋_GB2312" w:cs="仿宋_GB2312"/>
          <w:b/>
          <w:bCs/>
          <w:sz w:val="28"/>
          <w:szCs w:val="28"/>
          <w:lang w:eastAsia="zh-CN"/>
        </w:rPr>
        <w:t xml:space="preserve">）《</w:t>
      </w:r>
      <w:r>
        <w:rPr>
          <w:rFonts w:hint="eastAsia" w:ascii="仿宋_GB2312" w:hAnsi="仿宋_GB2312" w:eastAsia="仿宋_GB2312" w:cs="仿宋_GB2312"/>
          <w:b/>
          <w:bCs/>
          <w:sz w:val="28"/>
          <w:szCs w:val="28"/>
        </w:rPr>
        <w:t xml:space="preserve">偏离表</w:t>
      </w:r>
      <w:r>
        <w:rPr>
          <w:rFonts w:hint="eastAsia" w:ascii="仿宋_GB2312" w:hAnsi="仿宋_GB2312" w:eastAsia="仿宋_GB2312" w:cs="仿宋_GB2312"/>
          <w:b/>
          <w:bCs/>
          <w:sz w:val="28"/>
          <w:szCs w:val="28"/>
          <w:lang w:eastAsia="zh-CN"/>
        </w:rPr>
        <w:t xml:space="preserve">》（商务）、《</w:t>
      </w:r>
      <w:r>
        <w:rPr>
          <w:rFonts w:hint="eastAsia" w:ascii="仿宋_GB2312" w:hAnsi="仿宋_GB2312" w:eastAsia="仿宋_GB2312" w:cs="仿宋_GB2312"/>
          <w:b/>
          <w:bCs/>
          <w:sz w:val="28"/>
          <w:szCs w:val="28"/>
        </w:rPr>
        <w:t xml:space="preserve">偏离表</w:t>
      </w:r>
      <w:r>
        <w:rPr>
          <w:rFonts w:hint="eastAsia" w:ascii="仿宋_GB2312" w:hAnsi="仿宋_GB2312" w:eastAsia="仿宋_GB2312" w:cs="仿宋_GB2312"/>
          <w:b/>
          <w:bCs/>
          <w:sz w:val="28"/>
          <w:szCs w:val="28"/>
          <w:lang w:eastAsia="zh-CN"/>
        </w:rPr>
        <w:t xml:space="preserve">》（技术）</w:t>
      </w:r>
      <w:r>
        <w:rPr>
          <w:rFonts w:hint="eastAsia" w:ascii="仿宋_GB2312" w:hAnsi="仿宋_GB2312" w:eastAsia="仿宋_GB2312" w:cs="仿宋_GB2312"/>
          <w:b/>
          <w:bCs/>
          <w:sz w:val="28"/>
          <w:szCs w:val="28"/>
        </w:rPr>
        <w:t xml:space="preserve">（加盖电子签章，格式见《磋商文件》附件）；</w:t>
      </w:r>
      <w:r/>
    </w:p>
    <w:p>
      <w:pPr>
        <w:keepLines w:val="0"/>
        <w:keepNext w:val="0"/>
        <w:pageBreakBefore w:val="0"/>
        <w:spacing w:line="520" w:lineRule="exact"/>
        <w:widowControl w:val="off"/>
        <w:rPr>
          <w:rFonts w:hint="eastAsia" w:ascii="仿宋_GB2312" w:hAnsi="仿宋_GB2312" w:eastAsia="仿宋_GB2312" w:cs="仿宋_GB2312"/>
          <w:b/>
          <w:bCs/>
          <w:sz w:val="28"/>
          <w:szCs w:val="28"/>
          <w:highlight w:val="none"/>
          <w:lang w:eastAsia="zh-CN"/>
        </w:rPr>
      </w:pPr>
      <w:r>
        <w:rPr>
          <w:rFonts w:hint="eastAsia" w:ascii="仿宋_GB2312" w:hAnsi="仿宋_GB2312" w:eastAsia="仿宋_GB2312" w:cs="仿宋_GB2312"/>
          <w:b/>
          <w:bCs/>
          <w:sz w:val="28"/>
          <w:szCs w:val="28"/>
          <w:lang w:eastAsia="zh-CN"/>
        </w:rPr>
        <w:t xml:space="preserve">（四）综合评审（</w:t>
      </w:r>
      <w:r>
        <w:rPr>
          <w:rFonts w:hint="eastAsia" w:ascii="仿宋_GB2312" w:hAnsi="仿宋_GB2312" w:eastAsia="仿宋_GB2312" w:cs="仿宋_GB2312"/>
          <w:b/>
          <w:bCs/>
          <w:sz w:val="28"/>
          <w:szCs w:val="28"/>
          <w:lang w:val="en-US" w:eastAsia="zh-CN"/>
        </w:rPr>
        <w:t xml:space="preserve"> 详见《磋商文件》（评分细则）</w:t>
      </w:r>
      <w:r>
        <w:rPr>
          <w:rFonts w:hint="eastAsia" w:ascii="仿宋_GB2312" w:hAnsi="仿宋_GB2312" w:eastAsia="仿宋_GB2312" w:cs="仿宋_GB2312"/>
          <w:b/>
          <w:bCs/>
          <w:sz w:val="28"/>
          <w:szCs w:val="28"/>
          <w:lang w:eastAsia="zh-CN"/>
        </w:rPr>
        <w:t xml:space="preserve">）</w:t>
      </w:r>
      <w:r>
        <w:rPr>
          <w:rFonts w:hint="eastAsia" w:ascii="仿宋_GB2312" w:hAnsi="仿宋_GB2312" w:eastAsia="仿宋_GB2312" w:cs="仿宋_GB2312"/>
          <w:b/>
          <w:bCs/>
          <w:sz w:val="28"/>
          <w:szCs w:val="28"/>
          <w:highlight w:val="none"/>
          <w:lang w:eastAsia="zh-CN"/>
        </w:rPr>
      </w:r>
      <w:r/>
    </w:p>
    <w:p>
      <w:pPr>
        <w:pStyle w:val="909"/>
        <w:spacing w:line="360" w:lineRule="auto"/>
        <w:rPr>
          <w:rFonts w:ascii="宋体" w:hAnsi="宋体"/>
          <w:b/>
          <w:bCs/>
          <w:color w:val="000000"/>
          <w:sz w:val="28"/>
          <w:szCs w:val="28"/>
          <w:highlight w:val="none"/>
        </w:rPr>
      </w:pPr>
      <w:r>
        <w:rPr>
          <w:rFonts w:ascii="宋体" w:hAnsi="宋体"/>
          <w:b/>
          <w:color w:val="000000"/>
          <w:sz w:val="28"/>
          <w:szCs w:val="28"/>
        </w:rPr>
        <w:t xml:space="preserve">（五）价格折扣文件格式</w:t>
      </w:r>
      <w:r>
        <w:rPr>
          <w:sz w:val="28"/>
          <w:szCs w:val="28"/>
        </w:rPr>
      </w:r>
      <w:r/>
    </w:p>
    <w:p>
      <w:pPr>
        <w:pStyle w:val="909"/>
        <w:ind w:firstLine="482"/>
        <w:spacing w:line="360" w:lineRule="auto"/>
        <w:rPr>
          <w:sz w:val="28"/>
          <w:szCs w:val="28"/>
        </w:rPr>
      </w:pPr>
      <w:r>
        <w:rPr>
          <w:rFonts w:ascii="宋体" w:hAnsi="宋体"/>
          <w:b/>
          <w:color w:val="000000"/>
          <w:sz w:val="28"/>
          <w:szCs w:val="28"/>
          <w:highlight w:val="none"/>
        </w:rPr>
        <w:t xml:space="preserve">1、企业报价折扣证明：</w:t>
      </w:r>
      <w:r>
        <w:rPr>
          <w:rFonts w:hint="eastAsia" w:ascii="宋体" w:hAnsi="宋体"/>
          <w:b/>
          <w:color w:val="000000"/>
          <w:sz w:val="28"/>
          <w:szCs w:val="28"/>
          <w:highlight w:val="none"/>
        </w:rPr>
        <w:t xml:space="preserve">无</w:t>
      </w:r>
      <w:r>
        <w:rPr>
          <w:rFonts w:hint="eastAsia" w:ascii="宋体" w:hAnsi="宋体"/>
          <w:b/>
          <w:color w:val="000000"/>
          <w:sz w:val="28"/>
          <w:szCs w:val="28"/>
          <w:highlight w:val="none"/>
          <w:lang w:eastAsia="zh-CN"/>
        </w:rPr>
        <w:t xml:space="preserve">。</w:t>
      </w:r>
      <w:r>
        <w:rPr>
          <w:sz w:val="28"/>
          <w:szCs w:val="28"/>
        </w:rPr>
      </w:r>
      <w:r/>
    </w:p>
    <w:p>
      <w:pPr>
        <w:pStyle w:val="909"/>
        <w:ind w:firstLine="482"/>
        <w:spacing w:line="360" w:lineRule="auto"/>
        <w:rPr>
          <w:sz w:val="28"/>
          <w:szCs w:val="28"/>
        </w:rPr>
      </w:pPr>
      <w:r>
        <w:rPr>
          <w:rFonts w:hint="eastAsia" w:ascii="宋体" w:hAnsi="宋体"/>
          <w:b/>
          <w:color w:val="000000"/>
          <w:sz w:val="28"/>
          <w:szCs w:val="28"/>
        </w:rPr>
        <w:t xml:space="preserve">本项目属于专门面向中小微企业采购的项目，评审时不再执行价格评审优惠政策。</w:t>
      </w:r>
      <w:r>
        <w:rPr>
          <w:sz w:val="28"/>
          <w:szCs w:val="28"/>
        </w:rPr>
      </w:r>
      <w:r/>
    </w:p>
    <w:p>
      <w:pPr>
        <w:pStyle w:val="909"/>
        <w:spacing w:line="360" w:lineRule="auto"/>
        <w:rPr>
          <w:sz w:val="28"/>
          <w:szCs w:val="28"/>
        </w:rPr>
      </w:pPr>
      <w:r>
        <w:rPr>
          <w:rFonts w:ascii="宋体" w:hAnsi="宋体"/>
          <w:b/>
          <w:bCs/>
          <w:color w:val="000000"/>
          <w:sz w:val="28"/>
          <w:szCs w:val="28"/>
        </w:rPr>
        <w:t xml:space="preserve">（六）提交的首次响应文件的密封、签署、盖章要求：</w:t>
      </w:r>
      <w:r>
        <w:rPr>
          <w:sz w:val="28"/>
          <w:szCs w:val="28"/>
        </w:rPr>
      </w:r>
      <w:r/>
    </w:p>
    <w:p>
      <w:pPr>
        <w:pStyle w:val="909"/>
        <w:ind w:firstLine="480"/>
        <w:spacing w:line="360" w:lineRule="auto"/>
        <w:rPr>
          <w:sz w:val="28"/>
          <w:szCs w:val="28"/>
        </w:rPr>
      </w:pPr>
      <w:r>
        <w:rPr>
          <w:rFonts w:ascii="宋体" w:hAnsi="宋体"/>
          <w:color w:val="000000"/>
          <w:sz w:val="28"/>
          <w:szCs w:val="28"/>
        </w:rPr>
        <w:t xml:space="preserve">1、密封（加密）要求：</w:t>
      </w:r>
      <w:r>
        <w:rPr>
          <w:sz w:val="28"/>
          <w:szCs w:val="28"/>
        </w:rPr>
      </w:r>
      <w:r/>
    </w:p>
    <w:p>
      <w:pPr>
        <w:pStyle w:val="909"/>
        <w:ind w:firstLine="480"/>
        <w:spacing w:line="360" w:lineRule="auto"/>
        <w:rPr>
          <w:sz w:val="28"/>
          <w:szCs w:val="28"/>
        </w:rPr>
      </w:pPr>
      <w:r>
        <w:rPr>
          <w:rFonts w:ascii="宋体" w:hAnsi="宋体"/>
          <w:sz w:val="28"/>
          <w:szCs w:val="28"/>
        </w:rPr>
        <w:t xml:space="preserve">供应商应当按照《磋商文件》和“苏采云”系统的要求编制并加密响应文件。本项目供应商须通过“苏采云”系统提供的政府采购客户端工具（使用“CA数字证书”）对其数据电文形式的响应文件加密。</w:t>
      </w:r>
      <w:r>
        <w:rPr>
          <w:sz w:val="28"/>
          <w:szCs w:val="28"/>
        </w:rPr>
      </w:r>
      <w:r/>
    </w:p>
    <w:p>
      <w:pPr>
        <w:pStyle w:val="909"/>
        <w:ind w:firstLine="480"/>
        <w:spacing w:line="360" w:lineRule="auto"/>
        <w:rPr>
          <w:sz w:val="28"/>
          <w:szCs w:val="28"/>
        </w:rPr>
      </w:pPr>
      <w:r>
        <w:rPr>
          <w:rFonts w:ascii="宋体" w:hAnsi="宋体"/>
          <w:sz w:val="28"/>
          <w:szCs w:val="28"/>
        </w:rPr>
        <w:t xml:space="preserve">2、签署要求：</w:t>
      </w:r>
      <w:r>
        <w:rPr>
          <w:rFonts w:hint="eastAsia" w:ascii="宋体" w:hAnsi="宋体"/>
          <w:b/>
          <w:bCs/>
          <w:sz w:val="28"/>
          <w:szCs w:val="28"/>
        </w:rPr>
        <w:t xml:space="preserve">特别提醒：竞争性磋商文件中如需“被授权代表签字或盖章”，供应商可打印成文档，签字或盖章后再扫描上传，最后再电子签章。</w:t>
      </w:r>
      <w:r>
        <w:rPr>
          <w:rFonts w:ascii="宋体" w:hAnsi="宋体"/>
          <w:sz w:val="28"/>
          <w:szCs w:val="28"/>
        </w:rPr>
        <w:t xml:space="preserve">见《磋商文件》第九章附件中相关格式要求。</w:t>
      </w:r>
      <w:r>
        <w:rPr>
          <w:sz w:val="28"/>
          <w:szCs w:val="28"/>
        </w:rPr>
      </w:r>
      <w:r/>
    </w:p>
    <w:p>
      <w:pPr>
        <w:pStyle w:val="909"/>
        <w:ind w:firstLine="480"/>
        <w:spacing w:line="360" w:lineRule="auto"/>
        <w:rPr>
          <w:sz w:val="28"/>
          <w:szCs w:val="28"/>
        </w:rPr>
      </w:pPr>
      <w:r>
        <w:rPr>
          <w:rFonts w:ascii="宋体" w:hAnsi="宋体"/>
          <w:sz w:val="28"/>
          <w:szCs w:val="28"/>
        </w:rPr>
        <w:t xml:space="preserve">3、盖章要求：见《磋商文件》第九章附件中相关格式要求。供应商须通过“苏采云”系统提供的政府采购客户端工具（使用“CA数字证书”）加盖电子签章。</w:t>
      </w:r>
      <w:r>
        <w:rPr>
          <w:sz w:val="28"/>
          <w:szCs w:val="28"/>
        </w:rPr>
      </w:r>
      <w:r/>
    </w:p>
    <w:p>
      <w:pPr>
        <w:pStyle w:val="909"/>
        <w:spacing w:line="360" w:lineRule="auto"/>
        <w:rPr>
          <w:sz w:val="28"/>
          <w:szCs w:val="28"/>
        </w:rPr>
      </w:pPr>
      <w:r>
        <w:rPr>
          <w:rFonts w:ascii="宋体" w:hAnsi="宋体"/>
          <w:b/>
          <w:bCs/>
          <w:sz w:val="28"/>
          <w:szCs w:val="28"/>
        </w:rPr>
        <w:t xml:space="preserve">（七）通过“苏采云”系统提交政府采购客户端工具导出加密的响应文件（后缀名为zip）。响应文件不得超过</w:t>
      </w:r>
      <w:r>
        <w:rPr>
          <w:rFonts w:hint="eastAsia" w:ascii="宋体" w:hAnsi="宋体"/>
          <w:b/>
          <w:bCs/>
          <w:sz w:val="28"/>
          <w:szCs w:val="28"/>
        </w:rPr>
        <w:t xml:space="preserve">150M</w:t>
      </w:r>
      <w:r>
        <w:rPr>
          <w:rFonts w:ascii="宋体" w:hAnsi="宋体"/>
          <w:b/>
          <w:bCs/>
          <w:sz w:val="28"/>
          <w:szCs w:val="28"/>
        </w:rPr>
        <w:t xml:space="preserve">！ </w:t>
      </w:r>
      <w:r>
        <w:rPr>
          <w:sz w:val="28"/>
          <w:szCs w:val="28"/>
        </w:rPr>
      </w:r>
      <w:r/>
    </w:p>
    <w:p>
      <w:pPr>
        <w:pStyle w:val="909"/>
        <w:ind w:firstLine="497"/>
        <w:spacing w:line="360" w:lineRule="auto"/>
        <w:rPr>
          <w:sz w:val="28"/>
          <w:szCs w:val="28"/>
        </w:rPr>
      </w:pPr>
      <w:r>
        <w:rPr>
          <w:rFonts w:ascii="宋体" w:hAnsi="宋体"/>
          <w:sz w:val="28"/>
          <w:szCs w:val="28"/>
        </w:rPr>
        <w:t xml:space="preserve">注：</w:t>
      </w:r>
      <w:r>
        <w:rPr>
          <w:sz w:val="28"/>
          <w:szCs w:val="28"/>
        </w:rPr>
      </w:r>
      <w:r/>
    </w:p>
    <w:p>
      <w:pPr>
        <w:pStyle w:val="909"/>
        <w:ind w:firstLine="497"/>
        <w:spacing w:line="360" w:lineRule="auto"/>
        <w:rPr>
          <w:sz w:val="28"/>
          <w:szCs w:val="28"/>
        </w:rPr>
      </w:pPr>
      <w:r>
        <w:rPr>
          <w:rFonts w:ascii="宋体" w:hAnsi="宋体"/>
          <w:sz w:val="28"/>
          <w:szCs w:val="28"/>
        </w:rPr>
        <w:t xml:space="preserve">1、供应商应当按照《磋商文件》的要求编制响应文件，并对其提交的响应文件的真实性、合法性承担法律责任。</w:t>
      </w:r>
      <w:r>
        <w:rPr>
          <w:sz w:val="28"/>
          <w:szCs w:val="28"/>
        </w:rPr>
      </w:r>
      <w:r/>
    </w:p>
    <w:p>
      <w:pPr>
        <w:pStyle w:val="909"/>
        <w:ind w:firstLine="480"/>
        <w:jc w:val="left"/>
        <w:spacing w:line="360" w:lineRule="auto"/>
        <w:rPr>
          <w:rFonts w:hint="eastAsia" w:ascii="宋体" w:hAnsi="宋体" w:eastAsia="宋体"/>
          <w:b/>
          <w:bCs/>
          <w:color w:val="000000"/>
          <w:szCs w:val="24"/>
          <w:highlight w:val="none"/>
        </w:rPr>
      </w:pPr>
      <w:r>
        <w:rPr>
          <w:rFonts w:ascii="宋体" w:hAnsi="宋体"/>
          <w:color w:val="000000"/>
          <w:sz w:val="28"/>
          <w:szCs w:val="28"/>
        </w:rPr>
        <w:t xml:space="preserve">2、采购人索取成交供应商的响应文件，须在双方签订政府采购合同后，由采购代理机构提供给采购人。</w:t>
      </w:r>
      <w:r>
        <w:rPr>
          <w:rFonts w:hint="eastAsia" w:ascii="宋体" w:hAnsi="宋体" w:eastAsia="宋体"/>
          <w:b/>
          <w:bCs/>
          <w:color w:val="000000"/>
          <w:sz w:val="24"/>
          <w:szCs w:val="24"/>
          <w:highlight w:val="none"/>
        </w:rPr>
      </w:r>
      <w:r/>
    </w:p>
    <w:p>
      <w:pPr>
        <w:pStyle w:val="893"/>
        <w:pageBreakBefore w:val="0"/>
        <w:spacing w:line="520" w:lineRule="exac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第四章 磋商相关说明</w:t>
      </w:r>
      <w:r/>
    </w:p>
    <w:p>
      <w:pPr>
        <w:ind w:firstLine="482"/>
        <w:pageBreakBefore w:val="0"/>
        <w:spacing w:line="520" w:lineRule="exact"/>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t xml:space="preserve">十二、评审程序：</w:t>
      </w:r>
      <w:r/>
    </w:p>
    <w:p>
      <w:pPr>
        <w:ind w:firstLine="480"/>
        <w:pageBreakBefore w:val="0"/>
        <w:spacing w:line="520" w:lineRule="exact"/>
        <w:rPr>
          <w:rFonts w:hint="eastAsia" w:ascii="仿宋_GB2312" w:hAnsi="仿宋_GB2312" w:eastAsia="仿宋_GB2312" w:cs="仿宋_GB2312"/>
          <w:b/>
          <w:bCs/>
          <w:sz w:val="28"/>
          <w:szCs w:val="28"/>
        </w:rPr>
      </w:pPr>
      <w:r>
        <w:rPr>
          <w:rFonts w:hint="eastAsia" w:ascii="仿宋_GB2312" w:hAnsi="仿宋_GB2312" w:eastAsia="仿宋_GB2312" w:cs="仿宋_GB2312"/>
          <w:sz w:val="28"/>
          <w:szCs w:val="28"/>
        </w:rPr>
        <w:t xml:space="preserve">磋商方式：本次磋商采用“苏采云”系统中的视频会议，供应商自行选择任意地点参加远程磋商会议。请供应商在磋商前等候在开标大厅，随时接听磋商小组发出的磋商视频邀请</w:t>
      </w:r>
      <w:r>
        <w:rPr>
          <w:rFonts w:hint="eastAsia" w:ascii="仿宋_GB2312" w:hAnsi="仿宋_GB2312" w:eastAsia="仿宋_GB2312" w:cs="仿宋_GB2312"/>
          <w:b/>
          <w:bCs/>
          <w:sz w:val="28"/>
          <w:szCs w:val="28"/>
        </w:rPr>
        <w:t xml:space="preserve">（所有邀请等待时间2分钟，2分钟内被邀请的供应商无响应，视同放弃磋商的权利，</w:t>
      </w:r>
      <w:r>
        <w:rPr>
          <w:rFonts w:hint="eastAsia" w:ascii="仿宋_GB2312" w:hAnsi="仿宋_GB2312" w:eastAsia="仿宋_GB2312" w:cs="仿宋_GB2312"/>
          <w:b/>
          <w:bCs/>
          <w:sz w:val="28"/>
          <w:szCs w:val="28"/>
          <w:lang w:eastAsia="zh-CN"/>
        </w:rPr>
        <w:t xml:space="preserve">由下一家进行磋商，</w:t>
      </w:r>
      <w:r>
        <w:rPr>
          <w:rFonts w:hint="eastAsia" w:ascii="仿宋_GB2312" w:hAnsi="仿宋_GB2312" w:eastAsia="仿宋_GB2312" w:cs="仿宋_GB2312"/>
          <w:b/>
          <w:bCs/>
          <w:sz w:val="28"/>
          <w:szCs w:val="28"/>
        </w:rPr>
        <w:t xml:space="preserve">不再重复邀请）</w:t>
      </w:r>
      <w:r/>
    </w:p>
    <w:p>
      <w:pPr>
        <w:ind w:firstLine="480"/>
        <w:pageBreakBefore w:val="0"/>
        <w:spacing w:line="520" w:lineRule="exact"/>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 xml:space="preserve">本项目报价采用二轮报价，投标人应凭CA数字证书以及自备的能够登录“苏采云”系统的电脑在规定时间内进行二轮报价，如未报价，视为响应无效，将不参与后续评标。</w:t>
      </w:r>
      <w:r/>
    </w:p>
    <w:p>
      <w:pPr>
        <w:ind w:firstLine="48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经磋商确定最终采购需求和提交最后报价的供应商后，由磋商小组采用综合评分法对提交最后报价的供应商的响应文件和最后报价进行综合评分。</w:t>
      </w:r>
      <w:r/>
    </w:p>
    <w:p>
      <w:pPr>
        <w:ind w:firstLine="48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磋商小组应当根据综合评分情况，按照评审得分由高到低顺序推荐成交候选供应商，并编写评审报告。评审得分相同的，按照最后报价由低到高的顺序推荐。评审得分且最后报价相同的，按照技术指标（技术方案）优劣（得分）顺序推荐。</w:t>
      </w:r>
      <w:r/>
    </w:p>
    <w:p>
      <w:pPr>
        <w:pStyle w:val="731"/>
        <w:ind w:firstLine="482"/>
        <w:pageBreakBefore w:val="0"/>
        <w:spacing w:beforeAutospacing="0" w:afterAutospacing="0" w:line="520" w:lineRule="exact"/>
        <w:widowControl/>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 xml:space="preserve">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pStyle w:val="731"/>
        <w:ind w:firstLine="562"/>
        <w:keepLines w:val="0"/>
        <w:keepNext w:val="0"/>
        <w:pageBreakBefore w:val="0"/>
        <w:spacing w:beforeAutospacing="0" w:afterAutospacing="0" w:line="520" w:lineRule="exact"/>
        <w:widowControl/>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lang w:val="en-US" w:eastAsia="zh-CN"/>
        </w:rPr>
        <w:t xml:space="preserve">根据财库[2026]2号文件，(一)评审过程中出现下列情形之一的，评审委员会应当启动异常低价投标(响应)审查程序:</w:t>
      </w:r>
      <w:r/>
    </w:p>
    <w:p>
      <w:pPr>
        <w:pStyle w:val="731"/>
        <w:ind w:firstLine="562"/>
        <w:keepLines w:val="0"/>
        <w:keepNext w:val="0"/>
        <w:pageBreakBefore w:val="0"/>
        <w:spacing w:beforeAutospacing="0" w:afterAutospacing="0" w:line="520" w:lineRule="exact"/>
        <w:widowControl/>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lang w:val="en-US" w:eastAsia="zh-CN"/>
        </w:rPr>
        <w:t xml:space="preserve">1.投标(响应)报价低于全部通过符合性审查供应商投标（响应）报价平均值50%的，即投标(响应)报价&lt;全部通过符合性审查供应商投标（响应）报价平均值×50%；</w:t>
      </w:r>
      <w:r/>
    </w:p>
    <w:p>
      <w:pPr>
        <w:pStyle w:val="731"/>
        <w:ind w:firstLine="562"/>
        <w:keepLines w:val="0"/>
        <w:keepNext w:val="0"/>
        <w:pageBreakBefore w:val="0"/>
        <w:spacing w:beforeAutospacing="0" w:afterAutospacing="0" w:line="520" w:lineRule="exact"/>
        <w:widowControl/>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lang w:val="en-US" w:eastAsia="zh-CN"/>
        </w:rPr>
        <w:t xml:space="preserve">2.投标(响应)报价低于通过符合性审的次低报价供应商投标（响应）报价的50%的，即投标（响应报价）&lt;通过符合性审的次低报价供应商投标（响应）报价×50%;</w:t>
      </w:r>
      <w:r/>
    </w:p>
    <w:p>
      <w:pPr>
        <w:pStyle w:val="731"/>
        <w:ind w:firstLine="562"/>
        <w:keepLines w:val="0"/>
        <w:keepNext w:val="0"/>
        <w:pageBreakBefore w:val="0"/>
        <w:spacing w:beforeAutospacing="0" w:afterAutospacing="0" w:line="520" w:lineRule="exact"/>
        <w:widowControl/>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lang w:val="en-US" w:eastAsia="zh-CN"/>
        </w:rPr>
        <w:t xml:space="preserve">3.投标(响应)报价低于采购项目最高限价45%的，即投标(响应)报价&lt;采购项目最高限价×45%；</w:t>
      </w:r>
      <w:r/>
    </w:p>
    <w:p>
      <w:pPr>
        <w:pStyle w:val="731"/>
        <w:ind w:firstLine="562"/>
        <w:keepLines w:val="0"/>
        <w:keepNext w:val="0"/>
        <w:pageBreakBefore w:val="0"/>
        <w:spacing w:beforeAutospacing="0" w:afterAutospacing="0" w:line="520" w:lineRule="exact"/>
        <w:widowControl/>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lang w:val="en-US" w:eastAsia="zh-CN"/>
        </w:rPr>
        <w:t xml:space="preserve">4.评审委员基于专业判断，认为供应商报价过低，有可能影响产品质量或者不能诚信履约的其他情形。</w:t>
      </w:r>
      <w:r/>
    </w:p>
    <w:p>
      <w:pPr>
        <w:pStyle w:val="731"/>
        <w:ind w:firstLine="562"/>
        <w:keepLines w:val="0"/>
        <w:keepNext w:val="0"/>
        <w:pageBreakBefore w:val="0"/>
        <w:spacing w:beforeAutospacing="0" w:afterAutospacing="0" w:line="520" w:lineRule="exact"/>
        <w:widowControl/>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731"/>
        <w:ind w:firstLine="562"/>
        <w:keepLines w:val="0"/>
        <w:keepNext w:val="0"/>
        <w:pageBreakBefore w:val="0"/>
        <w:spacing w:beforeAutospacing="0" w:afterAutospacing="0" w:line="520" w:lineRule="exact"/>
        <w:widowControl/>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731"/>
        <w:ind w:firstLine="562"/>
        <w:keepLines w:val="0"/>
        <w:keepNext w:val="0"/>
        <w:pageBreakBefore w:val="0"/>
        <w:spacing w:beforeAutospacing="0" w:afterAutospacing="0" w:line="520" w:lineRule="exact"/>
        <w:widowControl/>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资料提供便利。评审委员会借助互联网等渠道查询相关信息的，应当严格遵守评审工作纪律，不得实施影响评审公正的行为。</w:t>
      </w:r>
      <w:r/>
    </w:p>
    <w:p>
      <w:pPr>
        <w:pStyle w:val="731"/>
        <w:ind w:firstLine="562"/>
        <w:keepLines w:val="0"/>
        <w:keepNext w:val="0"/>
        <w:pageBreakBefore w:val="0"/>
        <w:spacing w:beforeAutospacing="0" w:afterAutospacing="0" w:line="520" w:lineRule="exact"/>
        <w:widowControl/>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731"/>
        <w:ind w:firstLine="562"/>
        <w:keepLines w:val="0"/>
        <w:keepNext w:val="0"/>
        <w:pageBreakBefore w:val="0"/>
        <w:spacing w:beforeAutospacing="0" w:afterAutospacing="0" w:line="520" w:lineRule="exact"/>
        <w:widowControl/>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lang w:val="en-US" w:eastAsia="zh-CN"/>
        </w:rPr>
        <w:t xml:space="preserve">(三)各级财政部门应当加强对评审专家的指导和监管，进一步压实评审专家的责任。财政部门在投诉处理，监督检查中发现评审委员会未按规定对异常低价开展审查的，依法予以纠正并追究评审专家的法律责任。</w:t>
      </w:r>
      <w:r/>
    </w:p>
    <w:p>
      <w:pPr>
        <w:pStyle w:val="731"/>
        <w:ind w:firstLine="562"/>
        <w:keepLines w:val="0"/>
        <w:keepNext w:val="0"/>
        <w:pageBreakBefore w:val="0"/>
        <w:spacing w:beforeAutospacing="0" w:afterAutospacing="0" w:line="520" w:lineRule="exact"/>
        <w:widowControl/>
        <w:rPr>
          <w:rFonts w:hint="eastAsia" w:ascii="仿宋_GB2312" w:hAnsi="仿宋_GB2312" w:eastAsia="仿宋_GB2312" w:cs="仿宋_GB2312"/>
          <w:sz w:val="28"/>
          <w:szCs w:val="28"/>
        </w:rPr>
      </w:pPr>
      <w:r>
        <w:rPr>
          <w:rFonts w:hint="eastAsia" w:ascii="仿宋_GB2312" w:hAnsi="仿宋_GB2312" w:eastAsia="仿宋_GB2312" w:cs="仿宋_GB2312"/>
          <w:b/>
          <w:bCs/>
          <w:sz w:val="28"/>
          <w:szCs w:val="28"/>
          <w:lang w:val="en-US" w:eastAsia="zh-CN"/>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及财库[2026]2号文件。</w:t>
      </w:r>
      <w:r/>
    </w:p>
    <w:p>
      <w:pPr>
        <w:pStyle w:val="887"/>
        <w:ind w:firstLine="48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b/>
          <w:sz w:val="28"/>
          <w:szCs w:val="28"/>
        </w:rPr>
        <w:t xml:space="preserve">特别说明：</w:t>
      </w:r>
      <w:r>
        <w:rPr>
          <w:rFonts w:hint="eastAsia" w:ascii="仿宋_GB2312" w:hAnsi="仿宋_GB2312" w:eastAsia="仿宋_GB2312" w:cs="仿宋_GB2312"/>
          <w:bCs/>
          <w:sz w:val="28"/>
          <w:szCs w:val="28"/>
        </w:rPr>
        <w:t xml:space="preserve">《财政部关于政府采购竞争性磋商采购方式管理暂行办法有关问题的补充通知》(财库〔2015〕124号)规定：“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p>
    <w:p>
      <w:pPr>
        <w:ind w:firstLine="482"/>
        <w:keepLines w:val="0"/>
        <w:keepNext w:val="0"/>
        <w:pageBreakBefore w:val="0"/>
        <w:spacing w:line="520" w:lineRule="exact"/>
        <w:widowControl w:val="off"/>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t xml:space="preserve">十三、评审方法和评审标准：</w:t>
      </w:r>
      <w:r/>
    </w:p>
    <w:p>
      <w:pPr>
        <w:ind w:firstLine="480"/>
        <w:keepLines w:val="0"/>
        <w:keepNext w:val="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1、评审方法：综合评分法</w:t>
      </w:r>
      <w:r/>
    </w:p>
    <w:p>
      <w:pPr>
        <w:ind w:firstLine="480"/>
        <w:keepLines w:val="0"/>
        <w:keepNext w:val="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评审标准：本项目选用综合评分法，即竞争性磋商响应文件满足竞争性磋商文件全部实质性要求，且按照评审因素的量化指标评审得分最高的供应商为成交候选人。综合评分的主要因素是：价格、技术、财务状况、信誉、业绩、服务、对磋商文件的响应程度，以及相应的比重或者权值等。详见《磋商文件》第八章附件《评分细则》。</w:t>
      </w:r>
      <w:r/>
    </w:p>
    <w:p>
      <w:pPr>
        <w:ind w:firstLine="482"/>
        <w:keepLines w:val="0"/>
        <w:keepNext w:val="0"/>
        <w:pageBreakBefore w:val="0"/>
        <w:spacing w:line="520" w:lineRule="exact"/>
        <w:widowControl w:val="off"/>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t xml:space="preserve">十四、磋商过程中可能实质性变动的内容：</w:t>
      </w:r>
      <w:r/>
    </w:p>
    <w:p>
      <w:pPr>
        <w:ind w:firstLine="480"/>
        <w:keepLines w:val="0"/>
        <w:keepNext w:val="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在磋商过程中，磋商小组可以根据《磋商文件》和磋商情况实质性变动采购需求中的技术、服务要求以及合同草案条款。</w:t>
      </w:r>
      <w:r/>
    </w:p>
    <w:p>
      <w:pPr>
        <w:ind w:firstLine="482"/>
        <w:keepLines w:val="0"/>
        <w:keepNext w:val="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b/>
          <w:bCs/>
          <w:sz w:val="28"/>
          <w:szCs w:val="28"/>
        </w:rPr>
        <w:t xml:space="preserve">十五、</w:t>
      </w:r>
      <w:r>
        <w:rPr>
          <w:rFonts w:hint="eastAsia" w:ascii="仿宋_GB2312" w:hAnsi="仿宋_GB2312" w:eastAsia="仿宋_GB2312" w:cs="仿宋_GB2312"/>
          <w:sz w:val="28"/>
          <w:szCs w:val="28"/>
        </w:rPr>
        <w:t xml:space="preserve">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893"/>
        <w:pageBreakBefore w:val="0"/>
        <w:spacing w:line="520" w:lineRule="exact"/>
        <w:widowControl w:val="off"/>
        <w:rPr>
          <w:rFonts w:hint="eastAsia" w:ascii="仿宋_GB2312" w:hAnsi="仿宋_GB2312" w:eastAsia="仿宋_GB2312" w:cs="仿宋_GB2312"/>
          <w:bCs w:val="0"/>
          <w:sz w:val="32"/>
          <w:szCs w:val="32"/>
        </w:rPr>
      </w:pPr>
      <w:r>
        <w:rPr>
          <w:rFonts w:hint="eastAsia" w:ascii="仿宋_GB2312" w:hAnsi="仿宋_GB2312" w:eastAsia="仿宋_GB2312" w:cs="仿宋_GB2312"/>
          <w:sz w:val="32"/>
          <w:szCs w:val="32"/>
        </w:rPr>
        <w:t xml:space="preserve">第五章 确定成交供应商及合同签订等</w:t>
      </w:r>
      <w:r/>
    </w:p>
    <w:p>
      <w:pPr>
        <w:ind w:firstLine="482"/>
        <w:keepLines w:val="0"/>
        <w:keepNext w:val="0"/>
        <w:pageBreakBefore w:val="0"/>
        <w:spacing w:line="520" w:lineRule="exact"/>
        <w:widowControl w:val="off"/>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t xml:space="preserve">十六、成交结果确认：</w:t>
      </w:r>
      <w:r/>
    </w:p>
    <w:p>
      <w:pPr>
        <w:ind w:firstLine="480"/>
        <w:keepLines w:val="0"/>
        <w:keepNext w:val="0"/>
        <w:pageBreakBefore w:val="0"/>
        <w:spacing w:line="52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采购代理机构在竞争性磋商结束后2个工作日内将评审报告送达采购人。采购人在收到评审报告后5个工作日内，按照评审报告中提出的成交候选人得分由高到低的排序原则确定成交供应商。采购人逾期未确定成交供应商且不提出异议的，视为确定评审报告提出的排序第一的供应商为成交供应商。成交供应商拒绝签订政府采购合同的，采购人可以按照以上原则确定其他供应商作为成交供应商并签订政府采购合同，也可以重新开展采购活动。</w:t>
      </w:r>
      <w:r/>
    </w:p>
    <w:p>
      <w:pPr>
        <w:ind w:firstLine="482"/>
        <w:keepLines w:val="0"/>
        <w:keepNext w:val="0"/>
        <w:pageBreakBefore w:val="0"/>
        <w:spacing w:line="52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
          <w:sz w:val="28"/>
          <w:szCs w:val="28"/>
        </w:rPr>
        <w:t xml:space="preserve">十七、</w:t>
      </w:r>
      <w:r>
        <w:rPr>
          <w:rFonts w:hint="eastAsia" w:ascii="仿宋_GB2312" w:hAnsi="仿宋_GB2312" w:eastAsia="仿宋_GB2312" w:cs="仿宋_GB2312"/>
          <w:bCs/>
          <w:sz w:val="28"/>
          <w:szCs w:val="28"/>
        </w:rPr>
        <w:t xml:space="preserve">采购人有权对供应商的响应文件的真实性进行核实。如供应商不能提供有效文件，将被采购人认定为具有《中华人民共和国政府采购法》第七十七条所规定的“提供虚假材料谋取中标、成交的”情形，有权取消成交供应商，同时供应商承担相应的法律责任</w:t>
      </w:r>
      <w:r/>
    </w:p>
    <w:p>
      <w:pPr>
        <w:ind w:firstLine="482"/>
        <w:keepLines w:val="0"/>
        <w:keepNext w:val="0"/>
        <w:pageBreakBefore w:val="0"/>
        <w:spacing w:line="520" w:lineRule="exact"/>
        <w:widowControl w:val="off"/>
        <w:rPr>
          <w:rFonts w:hint="eastAsia" w:ascii="仿宋_GB2312" w:hAnsi="仿宋_GB2312" w:eastAsia="仿宋_GB2312" w:cs="仿宋_GB2312"/>
          <w:bCs/>
          <w:sz w:val="28"/>
          <w:szCs w:val="28"/>
        </w:rPr>
      </w:pPr>
      <w:r>
        <w:rPr>
          <w:rFonts w:hint="eastAsia" w:ascii="仿宋_GB2312" w:hAnsi="仿宋_GB2312" w:eastAsia="仿宋_GB2312" w:cs="仿宋_GB2312"/>
          <w:b/>
          <w:sz w:val="28"/>
          <w:szCs w:val="28"/>
        </w:rPr>
        <w:t xml:space="preserve">十八、</w:t>
      </w:r>
      <w:r>
        <w:rPr>
          <w:rFonts w:hint="eastAsia" w:ascii="仿宋_GB2312" w:hAnsi="仿宋_GB2312" w:eastAsia="仿宋_GB2312" w:cs="仿宋_GB2312"/>
          <w:bCs/>
          <w:sz w:val="28"/>
          <w:szCs w:val="28"/>
        </w:rPr>
        <w:t xml:space="preserve">采购人与成交供应商应当在成交通知书发出之日起30日内，按照《磋商文件》确定的合同文本以及采购标的、规格型号、采购金额、采购数量、技术和服务要求等事项签订政府采购合同。采购人应当自政府采购合同签订之日起2个工作日内，将政府采购合同在省级以上人民政府财政部门指定的媒体上公告。</w:t>
      </w:r>
      <w:r/>
    </w:p>
    <w:p>
      <w:pPr>
        <w:ind w:firstLine="482"/>
        <w:keepLines w:val="0"/>
        <w:keepNext w:val="0"/>
        <w:pageBreakBefore w:val="0"/>
        <w:spacing w:line="520" w:lineRule="exact"/>
        <w:widowControl w:val="off"/>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t xml:space="preserve">十九、成交结果公告</w:t>
      </w:r>
      <w:r/>
    </w:p>
    <w:p>
      <w:pPr>
        <w:ind w:firstLine="480"/>
        <w:keepLines w:val="0"/>
        <w:keepNext w:val="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自在采购结果确认后，采购代理机构将在法定网站发布成交公告，将采购结果告知采购当事人，成交结果在</w:t>
      </w:r>
      <w:r>
        <w:rPr>
          <w:rFonts w:hint="eastAsia" w:ascii="仿宋_GB2312" w:hAnsi="仿宋_GB2312" w:eastAsia="仿宋_GB2312" w:cs="仿宋_GB2312"/>
          <w:b/>
          <w:sz w:val="28"/>
          <w:szCs w:val="28"/>
        </w:rPr>
        <w:t xml:space="preserve">徐州政府采购网http://czj.xz.gov.cn/Home/HomeIndex</w:t>
      </w:r>
      <w:r>
        <w:rPr>
          <w:rFonts w:hint="eastAsia" w:ascii="仿宋_GB2312" w:hAnsi="仿宋_GB2312" w:eastAsia="仿宋_GB2312" w:cs="仿宋_GB2312"/>
          <w:sz w:val="28"/>
          <w:szCs w:val="28"/>
        </w:rPr>
        <w:t xml:space="preserve">上公布。</w:t>
      </w:r>
      <w:r/>
    </w:p>
    <w:p>
      <w:pPr>
        <w:ind w:firstLine="480"/>
        <w:keepLines w:val="0"/>
        <w:keepNext w:val="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采购人：新沂市财政局（机关）</w:t>
      </w:r>
      <w:r/>
    </w:p>
    <w:p>
      <w:pPr>
        <w:ind w:firstLine="480"/>
        <w:keepLines w:val="0"/>
        <w:keepNext w:val="0"/>
        <w:pageBreakBefore w:val="0"/>
        <w:spacing w:line="520" w:lineRule="exact"/>
        <w:widowControl w:val="off"/>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rPr>
        <w:t xml:space="preserve">联系人：</w:t>
      </w:r>
      <w:r>
        <w:rPr>
          <w:rFonts w:hint="eastAsia" w:ascii="仿宋_GB2312" w:hAnsi="仿宋_GB2312" w:eastAsia="仿宋_GB2312" w:cs="仿宋_GB2312"/>
          <w:sz w:val="28"/>
          <w:szCs w:val="28"/>
          <w:lang w:eastAsia="zh-CN"/>
        </w:rPr>
        <w:t xml:space="preserve">宋港</w:t>
      </w:r>
      <w:r/>
    </w:p>
    <w:p>
      <w:pPr>
        <w:ind w:firstLine="480"/>
        <w:keepLines w:val="0"/>
        <w:keepNext w:val="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联系电话：0516-80327009</w:t>
      </w:r>
      <w:r/>
    </w:p>
    <w:p>
      <w:pPr>
        <w:ind w:firstLine="480"/>
        <w:keepLines w:val="0"/>
        <w:keepNext w:val="0"/>
        <w:pageBreakBefore w:val="0"/>
        <w:spacing w:line="520" w:lineRule="exact"/>
        <w:widowControl w:val="off"/>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lang w:eastAsia="zh-CN"/>
        </w:rPr>
        <w:t xml:space="preserve">联系地址：新沂市钟吾南路18号</w:t>
      </w:r>
      <w:r/>
    </w:p>
    <w:p>
      <w:pPr>
        <w:ind w:firstLine="480"/>
        <w:keepLines w:val="0"/>
        <w:keepNext w:val="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采购代理公司：新沂市公共资源交易中心</w:t>
      </w:r>
      <w:r/>
    </w:p>
    <w:p>
      <w:pPr>
        <w:ind w:firstLine="480"/>
        <w:keepLines w:val="0"/>
        <w:keepNext w:val="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联系人：苏雪姣</w:t>
      </w:r>
      <w:r/>
    </w:p>
    <w:p>
      <w:pPr>
        <w:ind w:firstLine="480"/>
        <w:keepLines w:val="0"/>
        <w:keepNext w:val="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电  话：0516-88610655</w:t>
      </w:r>
      <w:r/>
    </w:p>
    <w:p>
      <w:pPr>
        <w:ind w:firstLine="480"/>
        <w:keepLines w:val="0"/>
        <w:keepNext w:val="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联系地址：新沂市钟吾南路17号</w:t>
      </w:r>
      <w:r>
        <w:rPr>
          <w:rFonts w:hint="eastAsia" w:ascii="仿宋_GB2312" w:hAnsi="仿宋_GB2312" w:eastAsia="仿宋_GB2312" w:cs="仿宋_GB2312"/>
          <w:sz w:val="28"/>
          <w:szCs w:val="28"/>
          <w:lang w:eastAsia="zh-CN"/>
        </w:rPr>
        <w:t xml:space="preserve">，</w:t>
      </w:r>
      <w:r>
        <w:rPr>
          <w:rFonts w:hint="eastAsia" w:ascii="仿宋_GB2312" w:hAnsi="仿宋_GB2312" w:eastAsia="仿宋_GB2312" w:cs="仿宋_GB2312"/>
          <w:sz w:val="28"/>
          <w:szCs w:val="28"/>
        </w:rPr>
        <w:t xml:space="preserve">城投大厦4楼</w:t>
      </w:r>
      <w:r/>
    </w:p>
    <w:p>
      <w:pPr>
        <w:ind w:firstLine="480"/>
        <w:keepLines w:val="0"/>
        <w:keepNext w:val="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pStyle w:val="893"/>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32"/>
          <w:szCs w:val="32"/>
        </w:rPr>
        <w:t xml:space="preserve">第六章 磋商文件的澄清或者修改</w:t>
      </w:r>
      <w:r/>
    </w:p>
    <w:p>
      <w:pPr>
        <w:ind w:firstLine="482"/>
        <w:pageBreakBefore w:val="0"/>
        <w:spacing w:line="520" w:lineRule="exact"/>
        <w:widowControl w:val="off"/>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t xml:space="preserve">二十、《磋商文件》的澄清或者修改：</w:t>
      </w:r>
      <w:r/>
    </w:p>
    <w:p>
      <w:pPr>
        <w:ind w:firstLine="48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pStyle w:val="893"/>
        <w:pageBreakBefore w:val="0"/>
        <w:spacing w:line="520" w:lineRule="exac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第七章 询问和质疑</w:t>
      </w:r>
      <w:r/>
    </w:p>
    <w:p>
      <w:pPr>
        <w:ind w:firstLine="482"/>
        <w:pageBreakBefore w:val="0"/>
        <w:spacing w:line="520" w:lineRule="exact"/>
        <w:widowControl/>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t xml:space="preserve">二十一、询问和质疑：</w:t>
      </w:r>
      <w:r/>
    </w:p>
    <w:p>
      <w:pPr>
        <w:ind w:firstLine="480"/>
        <w:pageBreakBefore w:val="0"/>
        <w:spacing w:line="520" w:lineRule="exac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供应商对政府采购活动事项有疑问的，向采购人提出询问；供应商认为采购文件、采购过程和中标、成交结果使自己的权益受到损害的，可以在知道或者应知其权益受到损害之日起七个工作日内，以书面形式向采购代理机构和采购人提出质疑。询问和质疑由采购代理机构和采购人依法处理。</w:t>
      </w:r>
      <w:r/>
    </w:p>
    <w:p>
      <w:pPr>
        <w:ind w:firstLine="480"/>
        <w:pageBreakBefore w:val="0"/>
        <w:spacing w:line="520" w:lineRule="exac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政府采购投诉网上平台，请登陆江苏政务服务网站（http://xzxy.jszwfw.gov.cn），选择新沂市--个人服务--按部门--市财政局--政府采购投诉处理--在线办理。（注意在线办理前须注册江苏政务服务网站帐号）。</w:t>
      </w:r>
      <w:r/>
    </w:p>
    <w:p>
      <w:pPr>
        <w:ind w:firstLine="480"/>
        <w:pageBreakBefore w:val="0"/>
        <w:spacing w:line="520" w:lineRule="exac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质疑接收人：宋港  </w:t>
      </w:r>
      <w:r>
        <w:rPr>
          <w:rFonts w:hint="eastAsia" w:ascii="仿宋_GB2312" w:hAnsi="仿宋_GB2312" w:eastAsia="仿宋_GB2312" w:cs="仿宋_GB2312"/>
          <w:sz w:val="28"/>
          <w:szCs w:val="28"/>
          <w:lang w:val="en-US" w:eastAsia="zh-CN"/>
        </w:rPr>
        <w:t xml:space="preserve">   </w:t>
      </w:r>
      <w:r>
        <w:rPr>
          <w:rFonts w:hint="eastAsia" w:ascii="仿宋_GB2312" w:hAnsi="仿宋_GB2312" w:eastAsia="仿宋_GB2312" w:cs="仿宋_GB2312"/>
          <w:sz w:val="28"/>
          <w:szCs w:val="28"/>
        </w:rPr>
        <w:t xml:space="preserve">联系电话：0516-80327009</w:t>
      </w:r>
      <w:r/>
    </w:p>
    <w:p>
      <w:pPr>
        <w:ind w:firstLine="480"/>
        <w:pageBreakBefore w:val="0"/>
        <w:spacing w:line="520" w:lineRule="exac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地址：新沂市钟吾南路18号</w:t>
      </w:r>
      <w:r/>
    </w:p>
    <w:p>
      <w:pPr>
        <w:pageBreakBefore w:val="0"/>
        <w:spacing w:line="520" w:lineRule="exac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pStyle w:val="715"/>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pStyle w:val="715"/>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pStyle w:val="715"/>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pStyle w:val="715"/>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pStyle w:val="715"/>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pStyle w:val="715"/>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pStyle w:val="715"/>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pStyle w:val="715"/>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pStyle w:val="715"/>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pStyle w:val="715"/>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rPr>
          <w:rFonts w:hint="eastAsia" w:ascii="仿宋_GB2312" w:hAnsi="仿宋_GB2312" w:eastAsia="仿宋_GB2312" w:cs="仿宋_GB2312"/>
          <w:sz w:val="28"/>
          <w:szCs w:val="28"/>
        </w:rPr>
      </w:r>
      <w:r/>
    </w:p>
    <w:p>
      <w:pPr>
        <w:pStyle w:val="715"/>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pStyle w:val="715"/>
        <w:ind w:left="0" w:firstLine="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pStyle w:val="715"/>
        <w:ind w:left="0" w:firstLine="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pStyle w:val="893"/>
        <w:numPr>
          <w:ilvl w:val="0"/>
          <w:numId w:val="1"/>
        </w:numPr>
        <w:pageBreakBefore w:val="0"/>
        <w:spacing w:line="520" w:lineRule="exac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附  件</w:t>
      </w:r>
      <w:r/>
    </w:p>
    <w:p>
      <w:pPr>
        <w:spacing w:line="360" w:lineRule="auto"/>
        <w:widowControl/>
        <w:rPr>
          <w:rFonts w:hint="eastAsia"/>
        </w:rPr>
      </w:pPr>
      <w:r>
        <w:rPr>
          <w:rFonts w:hint="eastAsia" w:ascii="宋体" w:hAnsi="宋体" w:cs="宋体"/>
          <w:b/>
          <w:sz w:val="24"/>
        </w:rPr>
        <w:t xml:space="preserve">二十二、附件：附后</w:t>
      </w:r>
      <w:r/>
    </w:p>
    <w:p>
      <w:pPr>
        <w:keepLines w:val="0"/>
        <w:keepNext w:val="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1、《评分细则》</w:t>
      </w:r>
      <w:r/>
    </w:p>
    <w:p>
      <w:pPr>
        <w:keepLines w:val="0"/>
        <w:keepNext w:val="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2、《采购需求》</w:t>
      </w:r>
      <w:r/>
    </w:p>
    <w:p>
      <w:pPr>
        <w:keepLines w:val="0"/>
        <w:keepNext w:val="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3、《磋商报价表》</w:t>
      </w:r>
      <w:r/>
    </w:p>
    <w:p>
      <w:pPr>
        <w:keepLines w:val="0"/>
        <w:keepNext w:val="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val="en-US" w:eastAsia="zh-CN"/>
        </w:rPr>
        <w:t xml:space="preserve">4、</w:t>
      </w:r>
      <w:r>
        <w:rPr>
          <w:rFonts w:hint="eastAsia" w:ascii="仿宋_GB2312" w:hAnsi="仿宋_GB2312" w:eastAsia="仿宋_GB2312" w:cs="仿宋_GB2312"/>
          <w:sz w:val="28"/>
          <w:szCs w:val="28"/>
        </w:rPr>
        <w:t xml:space="preserve">《分项报价表》</w:t>
      </w:r>
      <w:r/>
    </w:p>
    <w:p>
      <w:pPr>
        <w:keepLines w:val="0"/>
        <w:keepNext w:val="0"/>
        <w:pageBreakBefore w:val="0"/>
        <w:spacing w:line="520" w:lineRule="exact"/>
        <w:widowControl w:val="off"/>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lang w:val="en-US" w:eastAsia="zh-CN"/>
        </w:rPr>
        <w:t xml:space="preserve">5</w:t>
      </w:r>
      <w:r>
        <w:rPr>
          <w:rFonts w:hint="eastAsia" w:ascii="仿宋_GB2312" w:hAnsi="仿宋_GB2312" w:eastAsia="仿宋_GB2312" w:cs="仿宋_GB2312"/>
          <w:sz w:val="28"/>
          <w:szCs w:val="28"/>
        </w:rPr>
        <w:t xml:space="preserve">、《偏离表》</w:t>
      </w:r>
      <w:r>
        <w:rPr>
          <w:rFonts w:hint="eastAsia" w:ascii="仿宋_GB2312" w:hAnsi="仿宋_GB2312" w:eastAsia="仿宋_GB2312" w:cs="仿宋_GB2312"/>
          <w:sz w:val="28"/>
          <w:szCs w:val="28"/>
          <w:lang w:eastAsia="zh-CN"/>
        </w:rPr>
        <w:t xml:space="preserve">（商务）、</w:t>
      </w:r>
      <w:r>
        <w:rPr>
          <w:rFonts w:hint="eastAsia" w:ascii="仿宋_GB2312" w:hAnsi="仿宋_GB2312" w:eastAsia="仿宋_GB2312" w:cs="仿宋_GB2312"/>
          <w:sz w:val="28"/>
          <w:szCs w:val="28"/>
        </w:rPr>
        <w:t xml:space="preserve">《偏离表》</w:t>
      </w:r>
      <w:r>
        <w:rPr>
          <w:rFonts w:hint="eastAsia" w:ascii="仿宋_GB2312" w:hAnsi="仿宋_GB2312" w:eastAsia="仿宋_GB2312" w:cs="仿宋_GB2312"/>
          <w:sz w:val="28"/>
          <w:szCs w:val="28"/>
          <w:lang w:eastAsia="zh-CN"/>
        </w:rPr>
        <w:t xml:space="preserve">（技术）</w:t>
      </w:r>
      <w:r/>
    </w:p>
    <w:p>
      <w:pPr>
        <w:keepLines w:val="0"/>
        <w:keepNext w:val="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val="en-US" w:eastAsia="zh-CN"/>
        </w:rPr>
        <w:t xml:space="preserve">6</w:t>
      </w:r>
      <w:r>
        <w:rPr>
          <w:rFonts w:hint="eastAsia" w:ascii="仿宋_GB2312" w:hAnsi="仿宋_GB2312" w:eastAsia="仿宋_GB2312" w:cs="仿宋_GB2312"/>
          <w:sz w:val="28"/>
          <w:szCs w:val="28"/>
        </w:rPr>
        <w:t xml:space="preserve">、《承诺函》</w:t>
      </w:r>
      <w:r/>
    </w:p>
    <w:p>
      <w:pPr>
        <w:keepLines w:val="0"/>
        <w:keepNext w:val="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val="en-US" w:eastAsia="zh-CN"/>
        </w:rPr>
        <w:t xml:space="preserve">7</w:t>
      </w:r>
      <w:r>
        <w:rPr>
          <w:rFonts w:hint="eastAsia" w:ascii="仿宋_GB2312" w:hAnsi="仿宋_GB2312" w:eastAsia="仿宋_GB2312" w:cs="仿宋_GB2312"/>
          <w:sz w:val="28"/>
          <w:szCs w:val="28"/>
        </w:rPr>
        <w:t xml:space="preserve">、《供应商参加政府采购活动前3年内在经营活动中没有重大违法记录的书面声明》</w:t>
      </w:r>
      <w:r/>
    </w:p>
    <w:p>
      <w:pPr>
        <w:keepLines w:val="0"/>
        <w:keepNext w:val="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val="en-US" w:eastAsia="zh-CN"/>
        </w:rPr>
        <w:t xml:space="preserve">8</w:t>
      </w:r>
      <w:r>
        <w:rPr>
          <w:rFonts w:hint="eastAsia" w:ascii="仿宋_GB2312" w:hAnsi="仿宋_GB2312" w:eastAsia="仿宋_GB2312" w:cs="仿宋_GB2312"/>
          <w:sz w:val="28"/>
          <w:szCs w:val="28"/>
        </w:rPr>
        <w:t xml:space="preserve">、《中小企业声明函》</w:t>
      </w:r>
      <w:r/>
    </w:p>
    <w:p>
      <w:pPr>
        <w:keepLines w:val="0"/>
        <w:keepNext w:val="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val="en-US" w:eastAsia="zh-CN"/>
        </w:rPr>
        <w:t xml:space="preserve">9</w:t>
      </w:r>
      <w:r>
        <w:rPr>
          <w:rFonts w:hint="eastAsia" w:ascii="仿宋_GB2312" w:hAnsi="仿宋_GB2312" w:eastAsia="仿宋_GB2312" w:cs="仿宋_GB2312"/>
          <w:sz w:val="28"/>
          <w:szCs w:val="28"/>
        </w:rPr>
        <w:t xml:space="preserve">、《残疾人福利性单位声明函》</w:t>
      </w:r>
      <w:r/>
    </w:p>
    <w:p>
      <w:pPr>
        <w:keepLines w:val="0"/>
        <w:keepNext w:val="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val="en-US" w:eastAsia="zh-CN"/>
        </w:rPr>
        <w:t xml:space="preserve">10</w:t>
      </w:r>
      <w:r>
        <w:rPr>
          <w:rFonts w:hint="eastAsia" w:ascii="仿宋_GB2312" w:hAnsi="仿宋_GB2312" w:eastAsia="仿宋_GB2312" w:cs="仿宋_GB2312"/>
          <w:sz w:val="28"/>
          <w:szCs w:val="28"/>
        </w:rPr>
        <w:t xml:space="preserve">、《方案》</w:t>
      </w:r>
      <w:r/>
    </w:p>
    <w:p>
      <w:pPr>
        <w:keepLines w:val="0"/>
        <w:keepNext w:val="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val="en-US" w:eastAsia="zh-CN"/>
        </w:rPr>
        <w:t xml:space="preserve">11</w:t>
      </w:r>
      <w:r>
        <w:rPr>
          <w:rFonts w:hint="eastAsia" w:ascii="仿宋_GB2312" w:hAnsi="仿宋_GB2312" w:eastAsia="仿宋_GB2312" w:cs="仿宋_GB2312"/>
          <w:sz w:val="28"/>
          <w:szCs w:val="28"/>
        </w:rPr>
        <w:t xml:space="preserve">、《具备履行合同所必需的设备和专业技术能力的书面声明》</w:t>
      </w:r>
      <w:r/>
    </w:p>
    <w:p>
      <w:pPr>
        <w:keepLines w:val="0"/>
        <w:keepNext w:val="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w:t>
      </w:r>
      <w:r>
        <w:rPr>
          <w:rFonts w:hint="eastAsia" w:ascii="仿宋_GB2312" w:hAnsi="仿宋_GB2312" w:eastAsia="仿宋_GB2312" w:cs="仿宋_GB2312"/>
          <w:sz w:val="28"/>
          <w:szCs w:val="28"/>
          <w:lang w:val="en-US" w:eastAsia="zh-CN"/>
        </w:rPr>
        <w:t xml:space="preserve">2</w:t>
      </w:r>
      <w:r>
        <w:rPr>
          <w:rFonts w:hint="eastAsia" w:ascii="仿宋_GB2312" w:hAnsi="仿宋_GB2312" w:eastAsia="仿宋_GB2312" w:cs="仿宋_GB2312"/>
          <w:sz w:val="28"/>
          <w:szCs w:val="28"/>
        </w:rPr>
        <w:t xml:space="preserve">、《法定代表人授权书》</w:t>
      </w:r>
      <w:r/>
    </w:p>
    <w:p>
      <w:pPr>
        <w:keepLines w:val="0"/>
        <w:keepNext w:val="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w:t>
      </w:r>
      <w:r>
        <w:rPr>
          <w:rFonts w:hint="eastAsia" w:ascii="仿宋_GB2312" w:hAnsi="仿宋_GB2312" w:eastAsia="仿宋_GB2312" w:cs="仿宋_GB2312"/>
          <w:sz w:val="28"/>
          <w:szCs w:val="28"/>
          <w:lang w:val="en-US" w:eastAsia="zh-CN"/>
        </w:rPr>
        <w:t xml:space="preserve">3</w:t>
      </w:r>
      <w:r>
        <w:rPr>
          <w:rFonts w:hint="eastAsia" w:ascii="仿宋_GB2312" w:hAnsi="仿宋_GB2312" w:eastAsia="仿宋_GB2312" w:cs="仿宋_GB2312"/>
          <w:sz w:val="28"/>
          <w:szCs w:val="28"/>
        </w:rPr>
        <w:t xml:space="preserve">、《合同草案条款》</w:t>
      </w:r>
      <w:r/>
    </w:p>
    <w:p>
      <w:pPr>
        <w:ind w:firstLine="480"/>
        <w:spacing w:line="360" w:lineRule="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firstLine="480"/>
        <w:spacing w:line="360" w:lineRule="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firstLine="480"/>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rPr>
      </w:r>
      <w:r/>
    </w:p>
    <w:p>
      <w:pPr>
        <w:numPr>
          <w:ilvl w:val="0"/>
          <w:numId w:val="0"/>
        </w:numPr>
        <w:jc w:val="both"/>
        <w:spacing w:before="240" w:after="240"/>
        <w:rPr>
          <w:rFonts w:ascii="仿宋" w:hAnsi="仿宋" w:eastAsia="仿宋" w:cs="仿宋"/>
          <w:b/>
          <w:bCs/>
          <w:color w:val="000000"/>
          <w:sz w:val="36"/>
          <w:szCs w:val="36"/>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6"/>
        </w:rPr>
      </w:r>
      <w:r>
        <w:rPr>
          <w:rFonts w:ascii="仿宋" w:hAnsi="仿宋" w:eastAsia="仿宋" w:cs="仿宋"/>
          <w:b/>
          <w:color w:val="000000"/>
          <w:sz w:val="36"/>
        </w:rPr>
      </w:r>
      <w:r/>
    </w:p>
    <w:p>
      <w:pPr>
        <w:numPr>
          <w:ilvl w:val="0"/>
          <w:numId w:val="0"/>
        </w:numPr>
        <w:jc w:val="both"/>
        <w:spacing w:before="240" w:after="240"/>
        <w:rPr>
          <w:rFonts w:ascii="仿宋" w:hAnsi="仿宋" w:eastAsia="仿宋" w:cs="仿宋"/>
          <w:b/>
          <w:bCs/>
          <w:color w:val="000000"/>
          <w:sz w:val="36"/>
          <w:szCs w:val="36"/>
        </w:rPr>
        <w:pBdr>
          <w:top w:val="none" w:color="000000" w:sz="0" w:space="0"/>
          <w:left w:val="none" w:color="000000" w:sz="0" w:space="0"/>
          <w:bottom w:val="none" w:color="000000" w:sz="0" w:space="0"/>
          <w:right w:val="none" w:color="000000" w:sz="0" w:space="0"/>
        </w:pBdr>
      </w:pPr>
      <w:r>
        <w:rPr>
          <w:rFonts w:ascii="仿宋" w:hAnsi="仿宋" w:eastAsia="仿宋" w:cs="仿宋"/>
          <w:b/>
          <w:bCs/>
          <w:color w:val="000000"/>
          <w:sz w:val="36"/>
          <w:szCs w:val="36"/>
        </w:rPr>
      </w:r>
      <w:r>
        <w:rPr>
          <w:rFonts w:ascii="仿宋" w:hAnsi="仿宋" w:eastAsia="仿宋" w:cs="仿宋"/>
          <w:b/>
          <w:bCs/>
          <w:color w:val="000000"/>
          <w:sz w:val="36"/>
          <w:szCs w:val="36"/>
        </w:rPr>
      </w:r>
      <w:r/>
    </w:p>
    <w:p>
      <w:pPr>
        <w:numPr>
          <w:ilvl w:val="0"/>
          <w:numId w:val="0"/>
        </w:numPr>
        <w:jc w:val="both"/>
        <w:spacing w:before="240" w:after="240"/>
        <w:rPr>
          <w:rFonts w:ascii="仿宋" w:hAnsi="仿宋" w:eastAsia="仿宋" w:cs="仿宋"/>
          <w:b/>
          <w:bCs/>
          <w:color w:val="000000"/>
          <w:sz w:val="36"/>
          <w:szCs w:val="36"/>
        </w:rPr>
        <w:pBdr>
          <w:top w:val="none" w:color="000000" w:sz="0" w:space="0"/>
          <w:left w:val="none" w:color="000000" w:sz="0" w:space="0"/>
          <w:bottom w:val="none" w:color="000000" w:sz="0" w:space="0"/>
          <w:right w:val="none" w:color="000000" w:sz="0" w:space="0"/>
        </w:pBdr>
      </w:pPr>
      <w:r>
        <w:rPr>
          <w:rFonts w:ascii="仿宋" w:hAnsi="仿宋" w:eastAsia="仿宋" w:cs="仿宋"/>
          <w:b/>
          <w:bCs/>
          <w:color w:val="000000"/>
          <w:sz w:val="36"/>
          <w:szCs w:val="36"/>
        </w:rPr>
      </w:r>
      <w:r>
        <w:rPr>
          <w:rFonts w:ascii="仿宋" w:hAnsi="仿宋" w:eastAsia="仿宋" w:cs="仿宋"/>
          <w:b/>
          <w:bCs/>
          <w:color w:val="000000"/>
          <w:sz w:val="36"/>
          <w:szCs w:val="36"/>
        </w:rPr>
      </w:r>
      <w:r/>
    </w:p>
    <w:p>
      <w:pPr>
        <w:numPr>
          <w:ilvl w:val="0"/>
          <w:numId w:val="0"/>
        </w:numPr>
        <w:jc w:val="both"/>
        <w:spacing w:before="240" w:after="240"/>
        <w:rPr>
          <w:rFonts w:ascii="仿宋" w:hAnsi="仿宋" w:eastAsia="仿宋" w:cs="仿宋"/>
          <w:b/>
          <w:bCs/>
          <w:color w:val="000000"/>
          <w:sz w:val="36"/>
          <w:szCs w:val="36"/>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6"/>
        </w:rPr>
      </w:r>
      <w:r/>
    </w:p>
    <w:p>
      <w:pPr>
        <w:numPr>
          <w:ilvl w:val="0"/>
          <w:numId w:val="0"/>
        </w:numPr>
        <w:ind w:firstLine="3534"/>
        <w:jc w:val="both"/>
        <w:spacing w:before="240" w:after="240"/>
        <w:rPr>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2"/>
          <w:szCs w:val="32"/>
          <w:lang w:val="en-US" w:eastAsia="zh-CN"/>
        </w:rPr>
        <w:t xml:space="preserve">1. </w:t>
      </w:r>
      <w:r>
        <w:rPr>
          <w:rFonts w:ascii="仿宋" w:hAnsi="仿宋" w:eastAsia="仿宋" w:cs="仿宋"/>
          <w:b/>
          <w:color w:val="000000"/>
          <w:sz w:val="32"/>
          <w:szCs w:val="32"/>
        </w:rPr>
        <w:t xml:space="preserve">评分细则</w:t>
      </w:r>
      <w:r/>
    </w:p>
    <w:tbl>
      <w:tblPr>
        <w:tblStyle w:val="73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26"/>
        <w:gridCol w:w="1081"/>
        <w:gridCol w:w="553"/>
        <w:gridCol w:w="3177"/>
        <w:gridCol w:w="3611"/>
      </w:tblGrid>
      <w:tr>
        <w:trPr>
          <w:trHeight w:val="40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5" w:type="dxa"/>
            <w:vAlign w:val="center"/>
            <w:textDirection w:val="lrTb"/>
            <w:noWrap w:val="false"/>
          </w:tcPr>
          <w:p>
            <w:pPr>
              <w:ind w:left="0" w:right="0" w:firstLine="28"/>
              <w:jc w:val="center"/>
              <w:spacing w:before="0" w:after="0" w:line="400" w:lineRule="atLeast"/>
              <w:rPr>
                <w:rFonts w:hint="eastAsia" w:ascii="仿宋_GB2312" w:hAnsi="仿宋_GB2312" w:eastAsia="仿宋_GB2312" w:cs="仿宋_GB2312"/>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b/>
                <w:bCs/>
                <w:color w:val="auto"/>
                <w:sz w:val="28"/>
                <w:szCs w:val="28"/>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10" w:type="dxa"/>
            <w:vAlign w:val="center"/>
            <w:textDirection w:val="lrTb"/>
            <w:noWrap w:val="false"/>
          </w:tcPr>
          <w:p>
            <w:pPr>
              <w:ind w:left="0" w:right="0" w:firstLine="28"/>
              <w:jc w:val="center"/>
              <w:spacing w:before="0" w:after="0" w:line="400" w:lineRule="atLeast"/>
              <w:rPr>
                <w:rFonts w:hint="eastAsia" w:ascii="仿宋_GB2312" w:hAnsi="仿宋_GB2312" w:eastAsia="仿宋_GB2312" w:cs="仿宋_GB2312"/>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b/>
                <w:bCs/>
                <w:color w:val="auto"/>
                <w:sz w:val="28"/>
                <w:szCs w:val="28"/>
                <w:highlight w:val="none"/>
              </w:rPr>
              <w:t xml:space="preserve">评分因素</w:t>
            </w:r>
            <w:r/>
          </w:p>
          <w:p>
            <w:pPr>
              <w:ind w:left="0" w:right="0" w:firstLine="28"/>
              <w:jc w:val="center"/>
              <w:spacing w:before="0" w:after="0" w:line="400" w:lineRule="atLeast"/>
              <w:rPr>
                <w:rFonts w:hint="eastAsia" w:ascii="仿宋_GB2312" w:hAnsi="仿宋_GB2312" w:eastAsia="仿宋_GB2312" w:cs="仿宋_GB2312"/>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b/>
                <w:bCs/>
                <w:color w:val="auto"/>
                <w:sz w:val="28"/>
                <w:szCs w:val="28"/>
                <w:highlight w:val="none"/>
              </w:rPr>
              <w:t xml:space="preserve">及权重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ind w:left="0" w:right="0" w:firstLine="28"/>
              <w:jc w:val="center"/>
              <w:spacing w:before="0" w:after="0" w:line="400" w:lineRule="atLeast"/>
              <w:rPr>
                <w:rFonts w:hint="eastAsia" w:ascii="仿宋_GB2312" w:hAnsi="仿宋_GB2312" w:eastAsia="仿宋_GB2312" w:cs="仿宋_GB2312"/>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b/>
                <w:bCs/>
                <w:color w:val="auto"/>
                <w:sz w:val="28"/>
                <w:szCs w:val="28"/>
                <w:highlight w:val="none"/>
              </w:rPr>
              <w:t xml:space="preserve">分 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314" w:type="dxa"/>
            <w:vAlign w:val="center"/>
            <w:textDirection w:val="lrTb"/>
            <w:noWrap w:val="false"/>
          </w:tcPr>
          <w:p>
            <w:pPr>
              <w:ind w:left="0" w:right="0" w:firstLine="28"/>
              <w:jc w:val="center"/>
              <w:spacing w:before="0" w:after="0" w:line="400" w:lineRule="atLeast"/>
              <w:rPr>
                <w:rFonts w:hint="eastAsia" w:ascii="仿宋_GB2312" w:hAnsi="仿宋_GB2312" w:eastAsia="仿宋_GB2312" w:cs="仿宋_GB2312"/>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b/>
                <w:bCs/>
                <w:color w:val="auto"/>
                <w:sz w:val="28"/>
                <w:szCs w:val="28"/>
                <w:highlight w:val="none"/>
              </w:rPr>
              <w:t xml:space="preserve">评分标准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768" w:type="dxa"/>
            <w:vAlign w:val="center"/>
            <w:textDirection w:val="lrTb"/>
            <w:noWrap w:val="false"/>
          </w:tcPr>
          <w:p>
            <w:pPr>
              <w:ind w:left="0" w:right="0" w:firstLine="0"/>
              <w:jc w:val="center"/>
              <w:spacing w:before="0" w:after="0" w:line="400" w:lineRule="atLeast"/>
              <w:rPr>
                <w:rFonts w:hint="eastAsia" w:ascii="仿宋_GB2312" w:hAnsi="仿宋_GB2312" w:eastAsia="仿宋_GB2312" w:cs="仿宋_GB2312"/>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b/>
                <w:bCs/>
                <w:color w:val="auto"/>
                <w:sz w:val="28"/>
                <w:szCs w:val="28"/>
                <w:highlight w:val="none"/>
              </w:rPr>
              <w:t xml:space="preserve">说    明</w:t>
            </w:r>
            <w:r/>
          </w:p>
        </w:tc>
      </w:tr>
      <w:tr>
        <w:trPr>
          <w:trHeight w:val="4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5" w:type="dxa"/>
            <w:vAlign w:val="center"/>
            <w:textDirection w:val="lrTb"/>
            <w:noWrap w:val="false"/>
          </w:tcPr>
          <w:p>
            <w:pPr>
              <w:ind w:left="0" w:right="0" w:firstLine="28"/>
              <w:jc w:val="center"/>
              <w:spacing w:before="0" w:after="0" w:line="360" w:lineRule="auto"/>
              <w:rPr>
                <w:rFonts w:hint="eastAsia" w:ascii="仿宋_GB2312" w:hAnsi="仿宋_GB2312" w:eastAsia="仿宋_GB2312" w:cs="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auto"/>
                <w:sz w:val="28"/>
                <w:szCs w:val="28"/>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0" w:type="dxa"/>
            <w:vAlign w:val="center"/>
            <w:textDirection w:val="lrTb"/>
            <w:noWrap w:val="false"/>
          </w:tcPr>
          <w:p>
            <w:pPr>
              <w:ind w:left="0" w:right="0" w:firstLine="28"/>
              <w:jc w:val="center"/>
              <w:spacing w:before="0" w:after="0" w:line="360" w:lineRule="auto"/>
              <w:rPr>
                <w:rFonts w:hint="eastAsia" w:ascii="仿宋_GB2312" w:hAnsi="仿宋_GB2312" w:eastAsia="仿宋_GB2312" w:cs="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auto"/>
                <w:sz w:val="28"/>
                <w:szCs w:val="28"/>
                <w:highlight w:val="none"/>
              </w:rPr>
              <w:t xml:space="preserve">报价10%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ind w:left="0" w:right="0" w:firstLine="28"/>
              <w:jc w:val="center"/>
              <w:spacing w:before="0" w:after="0" w:line="360" w:lineRule="auto"/>
              <w:rPr>
                <w:rFonts w:hint="eastAsia" w:ascii="仿宋_GB2312" w:hAnsi="仿宋_GB2312" w:eastAsia="仿宋_GB2312" w:cs="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auto"/>
                <w:sz w:val="28"/>
                <w:szCs w:val="28"/>
                <w:highlight w:val="none"/>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4" w:type="dxa"/>
            <w:vAlign w:val="center"/>
            <w:textDirection w:val="lrTb"/>
            <w:noWrap w:val="false"/>
          </w:tcPr>
          <w:p>
            <w:pPr>
              <w:ind w:left="0" w:right="0" w:firstLine="0"/>
              <w:jc w:val="both"/>
              <w:spacing w:before="0" w:after="0" w:line="360" w:lineRule="auto"/>
              <w:rPr>
                <w:rFonts w:hint="eastAsia" w:ascii="仿宋_GB2312" w:hAnsi="仿宋_GB2312" w:eastAsia="仿宋_GB2312" w:cs="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auto"/>
                <w:sz w:val="28"/>
                <w:szCs w:val="28"/>
                <w:highlight w:val="none"/>
              </w:rPr>
              <w:t xml:space="preserve">以本次有效的最低投标报价为基准价，投标报价得分=(基准价／投标报价)* 10*100%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68" w:type="dxa"/>
            <w:vAlign w:val="center"/>
            <w:textDirection w:val="lrTb"/>
            <w:noWrap w:val="false"/>
          </w:tcPr>
          <w:p>
            <w:pPr>
              <w:ind w:left="0" w:right="0" w:firstLine="420"/>
              <w:jc w:val="both"/>
              <w:spacing w:before="0" w:after="0" w:line="360" w:lineRule="auto"/>
              <w:rPr>
                <w:rFonts w:hint="eastAsia" w:ascii="仿宋_GB2312" w:hAnsi="仿宋_GB2312" w:eastAsia="仿宋_GB2312" w:cs="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auto"/>
                <w:sz w:val="28"/>
                <w:szCs w:val="28"/>
                <w:highlight w:val="none"/>
              </w:rPr>
              <w:t xml:space="preserve">满足采购文件要求且最后报价最低的供应商的价格为基准价，其价格分为满分10分。</w:t>
            </w:r>
            <w:r/>
          </w:p>
          <w:p>
            <w:pPr>
              <w:ind w:left="0" w:right="0" w:firstLine="420"/>
              <w:jc w:val="both"/>
              <w:spacing w:before="0" w:after="0" w:line="360" w:lineRule="auto"/>
              <w:rPr>
                <w:rFonts w:hint="eastAsia" w:ascii="仿宋_GB2312" w:hAnsi="仿宋_GB2312" w:eastAsia="仿宋_GB2312" w:cs="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auto"/>
                <w:sz w:val="28"/>
                <w:szCs w:val="28"/>
                <w:highlight w:val="none"/>
              </w:rPr>
              <w:t xml:space="preserve">其他供应商的价格分统一按照下列公式计算：</w:t>
            </w:r>
            <w:r/>
          </w:p>
          <w:p>
            <w:pPr>
              <w:ind w:left="0" w:right="0" w:firstLine="420"/>
              <w:jc w:val="both"/>
              <w:spacing w:before="0" w:after="0" w:line="360" w:lineRule="auto"/>
              <w:rPr>
                <w:rFonts w:hint="eastAsia" w:ascii="仿宋_GB2312" w:hAnsi="仿宋_GB2312" w:eastAsia="仿宋_GB2312" w:cs="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auto"/>
                <w:sz w:val="28"/>
                <w:szCs w:val="28"/>
                <w:highlight w:val="none"/>
              </w:rPr>
              <w:t xml:space="preserve">报价得分=(基准价／最后报价)×10, 小数点后保留2位。</w:t>
            </w:r>
            <w:r/>
          </w:p>
          <w:p>
            <w:pPr>
              <w:ind w:left="0" w:right="0" w:firstLine="420"/>
              <w:jc w:val="both"/>
              <w:spacing w:before="0" w:after="0" w:line="360" w:lineRule="auto"/>
              <w:rPr>
                <w:rFonts w:hint="eastAsia" w:ascii="仿宋_GB2312" w:hAnsi="仿宋_GB2312" w:eastAsia="仿宋_GB2312" w:cs="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auto"/>
                <w:sz w:val="28"/>
                <w:szCs w:val="28"/>
                <w:highlight w:val="none"/>
              </w:rPr>
              <w:t xml:space="preserve">注：①供应商的最后报价高于竞争性文件规定的最高限价的（</w:t>
            </w:r>
            <w:r>
              <w:rPr>
                <w:rFonts w:hint="eastAsia" w:ascii="仿宋_GB2312" w:hAnsi="仿宋_GB2312" w:eastAsia="仿宋_GB2312" w:cs="仿宋_GB2312"/>
                <w:b/>
                <w:bCs/>
                <w:color w:val="auto"/>
                <w:sz w:val="28"/>
                <w:szCs w:val="28"/>
                <w:highlight w:val="none"/>
              </w:rPr>
              <w:t xml:space="preserve">本项目最高限价为人民币</w:t>
            </w:r>
            <w:r>
              <w:rPr>
                <w:rFonts w:hint="eastAsia" w:ascii="仿宋_GB2312" w:hAnsi="仿宋_GB2312" w:eastAsia="仿宋_GB2312" w:cs="仿宋_GB2312"/>
                <w:b/>
                <w:bCs/>
                <w:color w:val="auto"/>
                <w:sz w:val="28"/>
                <w:szCs w:val="28"/>
                <w:highlight w:val="none"/>
                <w:lang w:val="en-US" w:eastAsia="zh-CN"/>
              </w:rPr>
              <w:t xml:space="preserve">130万元</w:t>
            </w:r>
            <w:r>
              <w:rPr>
                <w:rFonts w:hint="eastAsia" w:ascii="仿宋_GB2312" w:hAnsi="仿宋_GB2312" w:eastAsia="仿宋_GB2312" w:cs="仿宋_GB2312"/>
                <w:color w:val="auto"/>
                <w:sz w:val="28"/>
                <w:szCs w:val="28"/>
                <w:highlight w:val="none"/>
              </w:rPr>
              <w:t xml:space="preserve">），视为无效报价，其响应文件作无效响应文件处理。</w:t>
            </w:r>
            <w:r/>
          </w:p>
          <w:p>
            <w:pPr>
              <w:ind w:left="0" w:right="0" w:firstLine="420"/>
              <w:jc w:val="both"/>
              <w:spacing w:before="0" w:after="0" w:line="360" w:lineRule="auto"/>
              <w:rPr>
                <w:rFonts w:hint="eastAsia" w:ascii="仿宋_GB2312" w:hAnsi="仿宋_GB2312" w:eastAsia="仿宋_GB2312" w:cs="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auto"/>
                <w:sz w:val="28"/>
                <w:szCs w:val="28"/>
                <w:highlight w:val="none"/>
              </w:rPr>
              <w:t xml:space="preserve">②供应商的同一份报价表出现两个或两个以上不同报价的，视为无效报价，其响应文件作无效响应文件处理。</w:t>
            </w:r>
            <w:r/>
          </w:p>
          <w:p>
            <w:pPr>
              <w:ind w:left="0" w:right="0" w:firstLine="360"/>
              <w:jc w:val="both"/>
              <w:spacing w:before="0" w:after="0" w:line="360" w:lineRule="auto"/>
              <w:rPr>
                <w:rFonts w:hint="eastAsia" w:ascii="仿宋_GB2312" w:hAnsi="仿宋_GB2312" w:eastAsia="仿宋_GB2312" w:cs="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auto"/>
                <w:sz w:val="28"/>
                <w:szCs w:val="28"/>
                <w:highlight w:val="none"/>
              </w:rPr>
              <w:t xml:space="preserve">③各供应商最后报价结束后,如小组认为供应商的报价明显低于其自身成本，涉嫌恶意竞争，有可能影响产品质量和不能诚信履约的，则有权要求其在规定的期限内提供书面文件予以说明理由，并提交相关证明材料。若该供应商拒绝说明或未在规定期限内提供书面说明，或虽有书面说明但仍无法证明其报价合理性的，则小组有权取消其成交资格。</w:t>
            </w:r>
            <w:r/>
          </w:p>
        </w:tc>
      </w:tr>
      <w:tr>
        <w:trPr>
          <w:trHeight w:val="1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5" w:type="dxa"/>
            <w:vAlign w:val="center"/>
            <w:textDirection w:val="lrTb"/>
            <w:noWrap w:val="false"/>
          </w:tcPr>
          <w:p>
            <w:pPr>
              <w:ind w:left="0" w:right="0" w:firstLine="28"/>
              <w:jc w:val="center"/>
              <w:spacing w:before="0" w:after="0" w:line="360" w:lineRule="auto"/>
              <w:rPr>
                <w:rFonts w:hint="eastAsia" w:ascii="仿宋_GB2312" w:hAnsi="仿宋_GB2312" w:eastAsia="仿宋_GB2312" w:cs="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auto"/>
                <w:sz w:val="28"/>
                <w:szCs w:val="28"/>
                <w:highlight w:val="none"/>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0" w:type="dxa"/>
            <w:vAlign w:val="center"/>
            <w:textDirection w:val="lrTb"/>
            <w:noWrap w:val="false"/>
          </w:tcPr>
          <w:p>
            <w:pPr>
              <w:ind w:left="0" w:right="0" w:firstLine="0"/>
              <w:jc w:val="both"/>
              <w:spacing w:before="0" w:after="0" w:line="360" w:lineRule="auto"/>
              <w:rPr>
                <w:rFonts w:hint="eastAsia" w:ascii="仿宋_GB2312" w:hAnsi="仿宋_GB2312" w:eastAsia="仿宋_GB2312" w:cs="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auto"/>
                <w:sz w:val="28"/>
                <w:szCs w:val="28"/>
                <w:highlight w:val="none"/>
              </w:rPr>
              <w:t xml:space="preserve">供应商综合实力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ind w:left="0" w:right="0" w:firstLine="28"/>
              <w:jc w:val="center"/>
              <w:spacing w:before="0" w:after="0" w:line="360" w:lineRule="auto"/>
              <w:rPr>
                <w:rFonts w:hint="eastAsia" w:ascii="仿宋_GB2312" w:hAnsi="仿宋_GB2312" w:eastAsia="仿宋_GB2312" w:cs="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auto"/>
                <w:sz w:val="28"/>
                <w:szCs w:val="28"/>
                <w:highlight w:val="none"/>
                <w:lang w:val="en-US" w:eastAsia="zh-CN"/>
              </w:rPr>
              <w:t xml:space="preserve">10</w:t>
            </w:r>
            <w:r>
              <w:rPr>
                <w:rFonts w:hint="eastAsia" w:ascii="仿宋_GB2312" w:hAnsi="仿宋_GB2312" w:eastAsia="仿宋_GB2312" w:cs="仿宋_GB2312"/>
                <w:color w:val="auto"/>
                <w:sz w:val="28"/>
                <w:szCs w:val="28"/>
                <w:highlight w:val="none"/>
              </w:rPr>
              <w:t xml:space="preserve">分</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82" w:type="dxa"/>
            <w:vAlign w:val="center"/>
            <w:textDirection w:val="lrTb"/>
            <w:noWrap w:val="false"/>
          </w:tcPr>
          <w:p>
            <w:pPr>
              <w:ind w:left="0" w:right="0" w:firstLine="420"/>
              <w:jc w:val="both"/>
              <w:spacing w:before="0" w:after="0" w:line="360" w:lineRule="auto"/>
              <w:rPr>
                <w:rFonts w:hint="eastAsia" w:ascii="仿宋_GB2312" w:hAnsi="仿宋_GB2312" w:eastAsia="仿宋_GB2312" w:cs="仿宋_GB2312"/>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highlight w:val="none"/>
                <w:lang w:val="en-US" w:eastAsia="zh-CN"/>
              </w:rPr>
              <w:t xml:space="preserve">1</w:t>
            </w:r>
            <w:r>
              <w:rPr>
                <w:rFonts w:hint="eastAsia" w:ascii="仿宋_GB2312" w:hAnsi="仿宋_GB2312" w:eastAsia="仿宋_GB2312" w:cs="仿宋_GB2312"/>
                <w:color w:val="000000"/>
                <w:sz w:val="28"/>
                <w:szCs w:val="28"/>
                <w:highlight w:val="none"/>
              </w:rPr>
              <w:t xml:space="preserve">、投标人具有</w:t>
            </w:r>
            <w:r>
              <w:rPr>
                <w:rFonts w:hint="eastAsia" w:ascii="仿宋_GB2312" w:hAnsi="仿宋_GB2312" w:eastAsia="仿宋_GB2312" w:cs="仿宋_GB2312"/>
                <w:b/>
                <w:bCs/>
                <w:color w:val="000000"/>
                <w:sz w:val="28"/>
                <w:szCs w:val="28"/>
                <w:highlight w:val="none"/>
                <w:lang w:val="en-US" w:eastAsia="zh-CN"/>
              </w:rPr>
              <w:t xml:space="preserve">有效期内</w:t>
            </w:r>
            <w:r>
              <w:rPr>
                <w:rFonts w:hint="eastAsia" w:ascii="仿宋_GB2312" w:hAnsi="仿宋_GB2312" w:eastAsia="仿宋_GB2312" w:cs="仿宋_GB2312"/>
                <w:color w:val="000000"/>
                <w:sz w:val="28"/>
                <w:szCs w:val="28"/>
                <w:highlight w:val="none"/>
              </w:rPr>
              <w:t xml:space="preserve">ISO20000信息技术服务管理体系认证证书原件扫描件，有得</w:t>
            </w:r>
            <w:r>
              <w:rPr>
                <w:rFonts w:hint="eastAsia" w:ascii="仿宋_GB2312" w:hAnsi="仿宋_GB2312" w:eastAsia="仿宋_GB2312" w:cs="仿宋_GB2312"/>
                <w:color w:val="000000"/>
                <w:sz w:val="28"/>
                <w:szCs w:val="28"/>
                <w:highlight w:val="none"/>
                <w:lang w:val="en-US" w:eastAsia="zh-CN"/>
              </w:rPr>
              <w:t xml:space="preserve">3</w:t>
            </w:r>
            <w:r>
              <w:rPr>
                <w:rFonts w:hint="eastAsia" w:ascii="仿宋_GB2312" w:hAnsi="仿宋_GB2312" w:eastAsia="仿宋_GB2312" w:cs="仿宋_GB2312"/>
                <w:color w:val="000000"/>
                <w:sz w:val="28"/>
                <w:szCs w:val="28"/>
                <w:highlight w:val="none"/>
              </w:rPr>
              <w:t xml:space="preserve">分，没有不得分。</w:t>
            </w:r>
            <w:r/>
          </w:p>
          <w:p>
            <w:pPr>
              <w:ind w:left="0" w:right="0" w:firstLine="420"/>
              <w:jc w:val="both"/>
              <w:spacing w:before="0" w:after="0" w:line="360" w:lineRule="auto"/>
              <w:rPr>
                <w:rFonts w:hint="eastAsia" w:ascii="仿宋_GB2312" w:hAnsi="仿宋_GB2312" w:eastAsia="仿宋_GB2312" w:cs="仿宋_GB2312"/>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highlight w:val="none"/>
              </w:rPr>
              <w:t xml:space="preserve">2、投标人具有</w:t>
            </w:r>
            <w:r>
              <w:rPr>
                <w:rFonts w:hint="eastAsia" w:ascii="仿宋_GB2312" w:hAnsi="仿宋_GB2312" w:eastAsia="仿宋_GB2312" w:cs="仿宋_GB2312"/>
                <w:b/>
                <w:bCs/>
                <w:color w:val="000000"/>
                <w:sz w:val="28"/>
                <w:szCs w:val="28"/>
                <w:highlight w:val="none"/>
                <w:lang w:val="en-US" w:eastAsia="zh-CN"/>
              </w:rPr>
              <w:t xml:space="preserve">有效期内</w:t>
            </w:r>
            <w:r>
              <w:rPr>
                <w:rFonts w:hint="eastAsia" w:ascii="仿宋_GB2312" w:hAnsi="仿宋_GB2312" w:eastAsia="仿宋_GB2312" w:cs="仿宋_GB2312"/>
                <w:color w:val="000000"/>
                <w:sz w:val="28"/>
                <w:szCs w:val="28"/>
                <w:highlight w:val="none"/>
              </w:rPr>
              <w:t xml:space="preserve">ISO22301业务连续性管理体系认证证书原件扫描件，有得</w:t>
            </w:r>
            <w:r>
              <w:rPr>
                <w:rFonts w:hint="eastAsia" w:ascii="仿宋_GB2312" w:hAnsi="仿宋_GB2312" w:eastAsia="仿宋_GB2312" w:cs="仿宋_GB2312"/>
                <w:color w:val="000000"/>
                <w:sz w:val="28"/>
                <w:szCs w:val="28"/>
                <w:highlight w:val="none"/>
                <w:lang w:val="en-US" w:eastAsia="zh-CN"/>
              </w:rPr>
              <w:t xml:space="preserve">3</w:t>
            </w:r>
            <w:r>
              <w:rPr>
                <w:rFonts w:hint="eastAsia" w:ascii="仿宋_GB2312" w:hAnsi="仿宋_GB2312" w:eastAsia="仿宋_GB2312" w:cs="仿宋_GB2312"/>
                <w:color w:val="000000"/>
                <w:sz w:val="28"/>
                <w:szCs w:val="28"/>
                <w:highlight w:val="none"/>
              </w:rPr>
              <w:t xml:space="preserve">分，没有不得分。</w:t>
            </w:r>
            <w:r/>
          </w:p>
          <w:p>
            <w:pPr>
              <w:ind w:left="0" w:right="0" w:firstLine="420"/>
              <w:jc w:val="both"/>
              <w:spacing w:before="0" w:after="0" w:line="360" w:lineRule="auto"/>
              <w:rPr>
                <w:rFonts w:hint="eastAsia"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highlight w:val="none"/>
                <w:lang w:val="en-US" w:eastAsia="zh-CN"/>
              </w:rPr>
              <w:t xml:space="preserve">3</w:t>
            </w:r>
            <w:r>
              <w:rPr>
                <w:rFonts w:hint="eastAsia" w:ascii="仿宋_GB2312" w:hAnsi="仿宋_GB2312" w:eastAsia="仿宋_GB2312" w:cs="仿宋_GB2312"/>
                <w:color w:val="000000"/>
                <w:sz w:val="28"/>
                <w:szCs w:val="28"/>
                <w:highlight w:val="none"/>
              </w:rPr>
              <w:t xml:space="preserve">、供应商提供202</w:t>
            </w:r>
            <w:r>
              <w:rPr>
                <w:rFonts w:hint="eastAsia" w:ascii="仿宋_GB2312" w:hAnsi="仿宋_GB2312" w:eastAsia="仿宋_GB2312" w:cs="仿宋_GB2312"/>
                <w:color w:val="000000"/>
                <w:sz w:val="28"/>
                <w:szCs w:val="28"/>
                <w:highlight w:val="none"/>
                <w:lang w:val="en-US" w:eastAsia="zh-CN"/>
              </w:rPr>
              <w:t xml:space="preserve">4</w:t>
            </w:r>
            <w:r>
              <w:rPr>
                <w:rFonts w:hint="eastAsia" w:ascii="仿宋_GB2312" w:hAnsi="仿宋_GB2312" w:eastAsia="仿宋_GB2312" w:cs="仿宋_GB2312"/>
                <w:color w:val="000000"/>
                <w:sz w:val="28"/>
                <w:szCs w:val="28"/>
                <w:highlight w:val="none"/>
              </w:rPr>
              <w:t xml:space="preserve">年1月1日以来</w:t>
            </w:r>
            <w:r>
              <w:rPr>
                <w:rFonts w:hint="eastAsia" w:ascii="仿宋_GB2312" w:hAnsi="仿宋_GB2312" w:eastAsia="仿宋_GB2312" w:cs="仿宋_GB2312"/>
                <w:b/>
                <w:bCs/>
                <w:color w:val="000000"/>
                <w:sz w:val="28"/>
                <w:szCs w:val="28"/>
                <w:highlight w:val="none"/>
                <w:lang w:val="en-US" w:eastAsia="zh-CN"/>
              </w:rPr>
              <w:t xml:space="preserve">类似</w:t>
            </w:r>
            <w:r>
              <w:rPr>
                <w:rFonts w:hint="eastAsia" w:ascii="仿宋_GB2312" w:hAnsi="仿宋_GB2312" w:eastAsia="仿宋_GB2312" w:cs="仿宋_GB2312"/>
                <w:b/>
                <w:bCs/>
                <w:color w:val="000000"/>
                <w:sz w:val="28"/>
                <w:szCs w:val="28"/>
                <w:highlight w:val="none"/>
              </w:rPr>
              <w:t xml:space="preserve">项目案例</w:t>
            </w:r>
            <w:r>
              <w:rPr>
                <w:rFonts w:hint="eastAsia" w:ascii="仿宋_GB2312" w:hAnsi="仿宋_GB2312" w:eastAsia="仿宋_GB2312" w:cs="仿宋_GB2312"/>
                <w:b/>
                <w:bCs/>
                <w:color w:val="000000"/>
                <w:sz w:val="28"/>
                <w:szCs w:val="28"/>
                <w:highlight w:val="none"/>
                <w:lang w:val="en-US" w:eastAsia="zh-CN"/>
              </w:rPr>
              <w:t xml:space="preserve">(如：</w:t>
            </w:r>
            <w:r>
              <w:rPr>
                <w:rFonts w:hint="eastAsia" w:ascii="仿宋_GB2312" w:hAnsi="仿宋_GB2312" w:eastAsia="仿宋_GB2312" w:cs="仿宋_GB2312"/>
                <w:b/>
                <w:bCs/>
                <w:color w:val="000000"/>
                <w:sz w:val="28"/>
                <w:szCs w:val="28"/>
                <w:highlight w:val="none"/>
              </w:rPr>
              <w:t xml:space="preserve">已上线地区财政预算管理一体化系统建设实施部署合同</w:t>
            </w:r>
            <w:r>
              <w:rPr>
                <w:rFonts w:hint="eastAsia" w:ascii="仿宋_GB2312" w:hAnsi="仿宋_GB2312" w:eastAsia="仿宋_GB2312" w:cs="仿宋_GB2312"/>
                <w:b/>
                <w:bCs/>
                <w:color w:val="000000"/>
                <w:sz w:val="28"/>
                <w:szCs w:val="28"/>
                <w:highlight w:val="none"/>
                <w:lang w:val="en-US" w:eastAsia="zh-CN"/>
              </w:rPr>
              <w:t xml:space="preserve">等</w:t>
            </w:r>
            <w:r>
              <w:rPr>
                <w:rFonts w:hint="eastAsia" w:ascii="仿宋_GB2312" w:hAnsi="仿宋_GB2312" w:eastAsia="仿宋_GB2312" w:cs="仿宋_GB2312"/>
                <w:b/>
                <w:bCs/>
                <w:color w:val="000000"/>
                <w:sz w:val="28"/>
                <w:szCs w:val="28"/>
                <w:highlight w:val="none"/>
                <w:lang w:eastAsia="zh-CN"/>
              </w:rPr>
              <w:t xml:space="preserve">）</w:t>
            </w:r>
            <w:r>
              <w:rPr>
                <w:rFonts w:hint="eastAsia" w:ascii="仿宋_GB2312" w:hAnsi="仿宋_GB2312" w:eastAsia="仿宋_GB2312" w:cs="仿宋_GB2312"/>
                <w:color w:val="000000"/>
                <w:sz w:val="28"/>
                <w:szCs w:val="28"/>
                <w:highlight w:val="none"/>
              </w:rPr>
              <w:t xml:space="preserve">，每提供一个案</w:t>
            </w:r>
            <w:r>
              <w:rPr>
                <w:rFonts w:hint="eastAsia" w:ascii="仿宋_GB2312" w:hAnsi="仿宋_GB2312" w:eastAsia="仿宋_GB2312" w:cs="仿宋_GB2312"/>
                <w:color w:val="000000"/>
                <w:sz w:val="28"/>
                <w:szCs w:val="28"/>
              </w:rPr>
              <w:t xml:space="preserve">例得2分，最多可得</w:t>
            </w:r>
            <w:r>
              <w:rPr>
                <w:rFonts w:hint="eastAsia" w:ascii="仿宋_GB2312" w:hAnsi="仿宋_GB2312" w:eastAsia="仿宋_GB2312" w:cs="仿宋_GB2312"/>
                <w:color w:val="000000"/>
                <w:sz w:val="28"/>
                <w:szCs w:val="28"/>
                <w:lang w:val="en-US" w:eastAsia="zh-CN"/>
              </w:rPr>
              <w:t xml:space="preserve">4</w:t>
            </w:r>
            <w:r>
              <w:rPr>
                <w:rFonts w:hint="eastAsia" w:ascii="仿宋_GB2312" w:hAnsi="仿宋_GB2312" w:eastAsia="仿宋_GB2312" w:cs="仿宋_GB2312"/>
                <w:color w:val="000000"/>
                <w:sz w:val="28"/>
                <w:szCs w:val="28"/>
              </w:rPr>
              <w:t xml:space="preserve">分。</w:t>
            </w:r>
            <w:r/>
          </w:p>
          <w:p>
            <w:pPr>
              <w:ind w:left="0" w:right="0" w:firstLine="0"/>
              <w:jc w:val="both"/>
              <w:spacing w:before="0" w:after="0" w:line="360" w:lineRule="auto"/>
              <w:rPr>
                <w:rFonts w:hint="eastAsia" w:ascii="仿宋_GB2312" w:hAnsi="仿宋_GB2312" w:eastAsia="仿宋_GB2312" w:cs="仿宋_GB2312"/>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b/>
                <w:bCs/>
                <w:color w:val="000000"/>
                <w:sz w:val="28"/>
                <w:szCs w:val="28"/>
              </w:rPr>
              <w:t xml:space="preserve">注：供应商的响应文件中需提供</w:t>
            </w:r>
            <w:r>
              <w:rPr>
                <w:rFonts w:hint="eastAsia" w:ascii="仿宋_GB2312" w:hAnsi="仿宋_GB2312" w:eastAsia="仿宋_GB2312" w:cs="仿宋_GB2312"/>
                <w:b/>
                <w:bCs/>
                <w:color w:val="000000"/>
                <w:sz w:val="28"/>
                <w:szCs w:val="28"/>
                <w:lang w:val="en-US" w:eastAsia="zh-CN"/>
              </w:rPr>
              <w:t xml:space="preserve">合同扫描件并加盖单位公章</w:t>
            </w:r>
            <w:r>
              <w:rPr>
                <w:rFonts w:hint="eastAsia" w:ascii="仿宋_GB2312" w:hAnsi="仿宋_GB2312" w:eastAsia="仿宋_GB2312" w:cs="仿宋_GB2312"/>
                <w:b/>
                <w:bCs/>
                <w:color w:val="000000"/>
                <w:sz w:val="28"/>
                <w:szCs w:val="28"/>
              </w:rPr>
              <w:t xml:space="preserve">，否则不得分</w:t>
            </w:r>
            <w:r>
              <w:rPr>
                <w:rFonts w:hint="eastAsia" w:ascii="仿宋_GB2312" w:hAnsi="仿宋_GB2312" w:eastAsia="仿宋_GB2312" w:cs="仿宋_GB2312"/>
                <w:b/>
                <w:bCs/>
                <w:color w:val="000000"/>
                <w:sz w:val="28"/>
                <w:szCs w:val="28"/>
                <w:lang w:eastAsia="zh-CN"/>
              </w:rPr>
              <w:t xml:space="preserve">。</w:t>
            </w:r>
            <w:r/>
          </w:p>
        </w:tc>
      </w:tr>
      <w:tr>
        <w:trPr>
          <w:trHeight w:val="269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5" w:type="dxa"/>
            <w:vAlign w:val="center"/>
            <w:textDirection w:val="lrTb"/>
            <w:noWrap w:val="false"/>
          </w:tcPr>
          <w:p>
            <w:pPr>
              <w:ind w:firstLine="28"/>
              <w:jc w:val="center"/>
              <w:spacing w:line="400" w:lineRule="atLeast"/>
              <w:rPr>
                <w:rFonts w:hint="eastAsia" w:ascii="仿宋_GB2312" w:hAnsi="仿宋_GB2312" w:eastAsia="仿宋_GB2312" w:cs="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auto"/>
                <w:sz w:val="28"/>
                <w:szCs w:val="28"/>
                <w:highlight w:val="none"/>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0" w:type="dxa"/>
            <w:vAlign w:val="center"/>
            <w:textDirection w:val="lrTb"/>
            <w:noWrap w:val="false"/>
          </w:tcPr>
          <w:p>
            <w:pPr>
              <w:ind w:firstLine="28"/>
              <w:jc w:val="center"/>
              <w:spacing w:line="400" w:lineRule="atLeast"/>
              <w:rPr>
                <w:rFonts w:hint="eastAsia" w:ascii="仿宋_GB2312" w:hAnsi="仿宋_GB2312" w:eastAsia="仿宋_GB2312" w:cs="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auto"/>
                <w:sz w:val="28"/>
                <w:szCs w:val="28"/>
                <w:highlight w:val="none"/>
              </w:rPr>
              <w:t xml:space="preserve">保障方案</w:t>
            </w:r>
            <w:r/>
          </w:p>
          <w:p>
            <w:pPr>
              <w:ind w:firstLine="28"/>
              <w:jc w:val="center"/>
              <w:spacing w:line="400" w:lineRule="atLeast"/>
              <w:rPr>
                <w:rFonts w:hint="eastAsia" w:ascii="仿宋_GB2312" w:hAnsi="仿宋_GB2312" w:eastAsia="仿宋_GB2312" w:cs="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auto"/>
                <w:sz w:val="28"/>
                <w:szCs w:val="28"/>
                <w:highlight w:val="none"/>
                <w:lang w:val="en-US" w:eastAsia="zh-CN"/>
              </w:rPr>
              <w:t xml:space="preserve">20</w:t>
            </w:r>
            <w:r>
              <w:rPr>
                <w:rFonts w:hint="eastAsia" w:ascii="仿宋_GB2312" w:hAnsi="仿宋_GB2312" w:eastAsia="仿宋_GB2312" w:cs="仿宋_GB2312"/>
                <w:color w:val="auto"/>
                <w:sz w:val="28"/>
                <w:szCs w:val="28"/>
                <w:highlight w:val="none"/>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ind w:firstLine="28"/>
              <w:jc w:val="center"/>
              <w:spacing w:line="400" w:lineRule="atLeast"/>
              <w:rPr>
                <w:rFonts w:hint="eastAsia" w:ascii="仿宋_GB2312" w:hAnsi="仿宋_GB2312" w:eastAsia="仿宋_GB2312" w:cs="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auto"/>
                <w:sz w:val="28"/>
                <w:szCs w:val="28"/>
                <w:highlight w:val="none"/>
                <w:lang w:val="en-US" w:eastAsia="zh-CN"/>
              </w:rPr>
              <w:t xml:space="preserve">20</w:t>
            </w:r>
            <w:r>
              <w:rPr>
                <w:rFonts w:hint="eastAsia" w:ascii="仿宋_GB2312" w:hAnsi="仿宋_GB2312" w:eastAsia="仿宋_GB2312" w:cs="仿宋_GB2312"/>
                <w:color w:val="auto"/>
                <w:sz w:val="28"/>
                <w:szCs w:val="28"/>
                <w:highlight w:val="none"/>
              </w:rPr>
              <w:t xml:space="preserve">分</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82" w:type="dxa"/>
            <w:vAlign w:val="center"/>
            <w:textDirection w:val="lrTb"/>
            <w:noWrap w:val="false"/>
          </w:tcPr>
          <w:p>
            <w:pPr>
              <w:ind w:firstLine="562"/>
              <w:keepLines w:val="0"/>
              <w:keepNext w:val="0"/>
              <w:pageBreakBefore w:val="0"/>
              <w:spacing w:line="520" w:lineRule="exact"/>
              <w:widowControl w:val="off"/>
              <w:rPr>
                <w:rFonts w:hint="eastAsia" w:ascii="仿宋_GB2312" w:hAnsi="仿宋_GB2312" w:eastAsia="仿宋_GB2312" w:cs="仿宋_GB2312"/>
                <w:b/>
                <w:bCs/>
                <w:color w:val="auto"/>
                <w:sz w:val="28"/>
                <w:szCs w:val="28"/>
                <w:highlight w:val="none"/>
              </w:rPr>
            </w:pPr>
            <w:r>
              <w:rPr>
                <w:rFonts w:hint="eastAsia" w:ascii="仿宋_GB2312" w:hAnsi="仿宋_GB2312" w:eastAsia="仿宋_GB2312" w:cs="仿宋_GB2312"/>
                <w:b/>
                <w:bCs/>
                <w:color w:val="auto"/>
                <w:sz w:val="28"/>
                <w:szCs w:val="28"/>
                <w:highlight w:val="none"/>
                <w:lang w:val="en-US" w:eastAsia="zh-CN"/>
              </w:rPr>
              <w:t xml:space="preserve">1、</w:t>
            </w:r>
            <w:r>
              <w:rPr>
                <w:rFonts w:hint="eastAsia" w:ascii="仿宋_GB2312" w:hAnsi="仿宋_GB2312" w:eastAsia="仿宋_GB2312" w:cs="仿宋_GB2312"/>
                <w:b/>
                <w:bCs/>
                <w:color w:val="auto"/>
                <w:sz w:val="28"/>
                <w:szCs w:val="28"/>
                <w:highlight w:val="none"/>
              </w:rPr>
              <w:t xml:space="preserve">系统巡检方案。根据供应商提供的本项目系统巡检方案(包括但不限于方案详细性、全面性、针对性、合理性等内容)进行打分：</w:t>
            </w:r>
            <w:r/>
          </w:p>
          <w:p>
            <w:pPr>
              <w:ind w:firstLine="560"/>
              <w:keepLines w:val="0"/>
              <w:keepNext w:val="0"/>
              <w:pageBreakBefore w:val="0"/>
              <w:spacing w:line="52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lang w:val="en-US" w:eastAsia="zh-CN"/>
              </w:rPr>
              <w:t xml:space="preserve">（1）</w:t>
            </w:r>
            <w:r>
              <w:rPr>
                <w:rFonts w:hint="eastAsia" w:ascii="仿宋_GB2312" w:hAnsi="仿宋_GB2312" w:eastAsia="仿宋_GB2312" w:cs="仿宋_GB2312"/>
                <w:color w:val="auto"/>
                <w:sz w:val="28"/>
                <w:szCs w:val="28"/>
                <w:highlight w:val="none"/>
              </w:rPr>
              <w:t xml:space="preserve">充分理解项目需求，系统巡检完整详细、设计合理，完全满足用户需求,且方案清晰、完善，功能结构清晰规范，完全满足本项目建设要求，方案切实可行，得10分；</w:t>
            </w:r>
            <w:r/>
          </w:p>
          <w:p>
            <w:pPr>
              <w:ind w:firstLine="560"/>
              <w:keepLines w:val="0"/>
              <w:keepNext w:val="0"/>
              <w:pageBreakBefore w:val="0"/>
              <w:spacing w:line="52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lang w:eastAsia="zh-CN"/>
              </w:rPr>
              <w:t xml:space="preserve">（</w:t>
            </w:r>
            <w:r>
              <w:rPr>
                <w:rFonts w:hint="eastAsia" w:ascii="仿宋_GB2312" w:hAnsi="仿宋_GB2312" w:eastAsia="仿宋_GB2312" w:cs="仿宋_GB2312"/>
                <w:color w:val="auto"/>
                <w:sz w:val="28"/>
                <w:szCs w:val="28"/>
                <w:highlight w:val="none"/>
                <w:lang w:val="en-US" w:eastAsia="zh-CN"/>
              </w:rPr>
              <w:t xml:space="preserve">2</w:t>
            </w:r>
            <w:r>
              <w:rPr>
                <w:rFonts w:hint="eastAsia" w:ascii="仿宋_GB2312" w:hAnsi="仿宋_GB2312" w:eastAsia="仿宋_GB2312" w:cs="仿宋_GB2312"/>
                <w:color w:val="auto"/>
                <w:sz w:val="28"/>
                <w:szCs w:val="28"/>
                <w:highlight w:val="none"/>
                <w:lang w:eastAsia="zh-CN"/>
              </w:rPr>
              <w:t xml:space="preserve">）</w:t>
            </w:r>
            <w:r>
              <w:rPr>
                <w:rFonts w:hint="eastAsia" w:ascii="仿宋_GB2312" w:hAnsi="仿宋_GB2312" w:eastAsia="仿宋_GB2312" w:cs="仿宋_GB2312"/>
                <w:color w:val="auto"/>
                <w:sz w:val="28"/>
                <w:szCs w:val="28"/>
                <w:highlight w:val="none"/>
              </w:rPr>
              <w:t xml:space="preserve">项目需求理解较全面，方案基本完整、设计较合理，基本满足用户需求，方案较清晰、完善，功能结构较清晰规范，基本满足本项目建设要求，方案基本可行，得8分；</w:t>
            </w:r>
            <w:r/>
          </w:p>
          <w:p>
            <w:pPr>
              <w:ind w:firstLine="560"/>
              <w:keepLines w:val="0"/>
              <w:keepNext w:val="0"/>
              <w:pageBreakBefore w:val="0"/>
              <w:spacing w:line="52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lang w:eastAsia="zh-CN"/>
              </w:rPr>
              <w:t xml:space="preserve">（</w:t>
            </w:r>
            <w:r>
              <w:rPr>
                <w:rFonts w:hint="eastAsia" w:ascii="仿宋_GB2312" w:hAnsi="仿宋_GB2312" w:eastAsia="仿宋_GB2312" w:cs="仿宋_GB2312"/>
                <w:color w:val="auto"/>
                <w:sz w:val="28"/>
                <w:szCs w:val="28"/>
                <w:highlight w:val="none"/>
                <w:lang w:val="en-US" w:eastAsia="zh-CN"/>
              </w:rPr>
              <w:t xml:space="preserve">3</w:t>
            </w:r>
            <w:r>
              <w:rPr>
                <w:rFonts w:hint="eastAsia" w:ascii="仿宋_GB2312" w:hAnsi="仿宋_GB2312" w:eastAsia="仿宋_GB2312" w:cs="仿宋_GB2312"/>
                <w:color w:val="auto"/>
                <w:sz w:val="28"/>
                <w:szCs w:val="28"/>
                <w:highlight w:val="none"/>
                <w:lang w:eastAsia="zh-CN"/>
              </w:rPr>
              <w:t xml:space="preserve">）</w:t>
            </w:r>
            <w:r>
              <w:rPr>
                <w:rFonts w:hint="eastAsia" w:ascii="仿宋_GB2312" w:hAnsi="仿宋_GB2312" w:eastAsia="仿宋_GB2312" w:cs="仿宋_GB2312"/>
                <w:color w:val="auto"/>
                <w:sz w:val="28"/>
                <w:szCs w:val="28"/>
                <w:highlight w:val="none"/>
              </w:rPr>
              <w:t xml:space="preserve">项目需求理解一般，方案不够完整、设计合理性一般，满足用户需求情况一般，方案不够清晰、完善，基本满足本项目建设要求，功能结构一般，可行性一般，项目设计方案存在一些疏漏，得6分；</w:t>
            </w:r>
            <w:r/>
          </w:p>
          <w:p>
            <w:pPr>
              <w:ind w:firstLine="560"/>
              <w:keepLines w:val="0"/>
              <w:keepNext w:val="0"/>
              <w:pageBreakBefore w:val="0"/>
              <w:spacing w:line="52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lang w:eastAsia="zh-CN"/>
              </w:rPr>
              <w:t xml:space="preserve">（</w:t>
            </w:r>
            <w:r>
              <w:rPr>
                <w:rFonts w:hint="eastAsia" w:ascii="仿宋_GB2312" w:hAnsi="仿宋_GB2312" w:eastAsia="仿宋_GB2312" w:cs="仿宋_GB2312"/>
                <w:color w:val="auto"/>
                <w:sz w:val="28"/>
                <w:szCs w:val="28"/>
                <w:highlight w:val="none"/>
                <w:lang w:val="en-US" w:eastAsia="zh-CN"/>
              </w:rPr>
              <w:t xml:space="preserve">4</w:t>
            </w:r>
            <w:r>
              <w:rPr>
                <w:rFonts w:hint="eastAsia" w:ascii="仿宋_GB2312" w:hAnsi="仿宋_GB2312" w:eastAsia="仿宋_GB2312" w:cs="仿宋_GB2312"/>
                <w:color w:val="auto"/>
                <w:sz w:val="28"/>
                <w:szCs w:val="28"/>
                <w:highlight w:val="none"/>
                <w:lang w:eastAsia="zh-CN"/>
              </w:rPr>
              <w:t xml:space="preserve">）</w:t>
            </w:r>
            <w:r>
              <w:rPr>
                <w:rFonts w:hint="eastAsia" w:ascii="仿宋_GB2312" w:hAnsi="仿宋_GB2312" w:eastAsia="仿宋_GB2312" w:cs="仿宋_GB2312"/>
                <w:color w:val="auto"/>
                <w:sz w:val="28"/>
                <w:szCs w:val="28"/>
                <w:highlight w:val="none"/>
              </w:rPr>
              <w:t xml:space="preserve">项目需求理解差，功能设计合理性差，不满足用户需求，方案不清晰，功能结构不清楚，不能满足本项目建设要求，可行性差，或未提供设计方案的，得4分。</w:t>
            </w:r>
            <w:r/>
          </w:p>
          <w:p>
            <w:pPr>
              <w:ind w:firstLine="560"/>
              <w:keepLines w:val="0"/>
              <w:keepNext w:val="0"/>
              <w:pageBreakBefore w:val="0"/>
              <w:spacing w:line="52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lang w:eastAsia="zh-CN"/>
              </w:rPr>
              <w:t xml:space="preserve">（</w:t>
            </w:r>
            <w:r>
              <w:rPr>
                <w:rFonts w:hint="eastAsia" w:ascii="仿宋_GB2312" w:hAnsi="仿宋_GB2312" w:eastAsia="仿宋_GB2312" w:cs="仿宋_GB2312"/>
                <w:color w:val="auto"/>
                <w:sz w:val="28"/>
                <w:szCs w:val="28"/>
                <w:highlight w:val="none"/>
                <w:lang w:val="en-US" w:eastAsia="zh-CN"/>
              </w:rPr>
              <w:t xml:space="preserve">5</w:t>
            </w:r>
            <w:r>
              <w:rPr>
                <w:rFonts w:hint="eastAsia" w:ascii="仿宋_GB2312" w:hAnsi="仿宋_GB2312" w:eastAsia="仿宋_GB2312" w:cs="仿宋_GB2312"/>
                <w:color w:val="auto"/>
                <w:sz w:val="28"/>
                <w:szCs w:val="28"/>
                <w:highlight w:val="none"/>
                <w:lang w:eastAsia="zh-CN"/>
              </w:rPr>
              <w:t xml:space="preserve">）</w:t>
            </w:r>
            <w:r>
              <w:rPr>
                <w:rFonts w:hint="eastAsia" w:ascii="仿宋_GB2312" w:hAnsi="仿宋_GB2312" w:eastAsia="仿宋_GB2312" w:cs="仿宋_GB2312"/>
                <w:color w:val="auto"/>
                <w:sz w:val="28"/>
                <w:szCs w:val="28"/>
                <w:highlight w:val="none"/>
              </w:rPr>
              <w:t xml:space="preserve">未提供的</w:t>
            </w:r>
            <w:r>
              <w:rPr>
                <w:rFonts w:hint="eastAsia" w:ascii="仿宋_GB2312" w:hAnsi="仿宋_GB2312" w:eastAsia="仿宋_GB2312" w:cs="仿宋_GB2312"/>
                <w:color w:val="auto"/>
                <w:sz w:val="28"/>
                <w:szCs w:val="28"/>
                <w:highlight w:val="none"/>
                <w:lang w:eastAsia="zh-CN"/>
              </w:rPr>
              <w:t xml:space="preserve">，</w:t>
            </w:r>
            <w:r>
              <w:rPr>
                <w:rFonts w:hint="eastAsia" w:ascii="仿宋_GB2312" w:hAnsi="仿宋_GB2312" w:eastAsia="仿宋_GB2312" w:cs="仿宋_GB2312"/>
                <w:color w:val="auto"/>
                <w:sz w:val="28"/>
                <w:szCs w:val="28"/>
                <w:highlight w:val="none"/>
              </w:rPr>
              <w:t xml:space="preserve">不得分。</w:t>
            </w:r>
            <w:r/>
          </w:p>
          <w:p>
            <w:pPr>
              <w:ind w:firstLine="562"/>
              <w:keepLines w:val="0"/>
              <w:keepNext w:val="0"/>
              <w:pageBreakBefore w:val="0"/>
              <w:spacing w:line="52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b/>
                <w:bCs/>
                <w:color w:val="auto"/>
                <w:sz w:val="28"/>
                <w:szCs w:val="28"/>
                <w:highlight w:val="none"/>
                <w:lang w:val="en-US" w:eastAsia="zh-CN"/>
              </w:rPr>
              <w:t xml:space="preserve">2、</w:t>
            </w:r>
            <w:r>
              <w:rPr>
                <w:rFonts w:hint="eastAsia" w:ascii="仿宋_GB2312" w:hAnsi="仿宋_GB2312" w:eastAsia="仿宋_GB2312" w:cs="仿宋_GB2312"/>
                <w:b/>
                <w:bCs/>
                <w:color w:val="auto"/>
                <w:sz w:val="28"/>
                <w:szCs w:val="28"/>
                <w:highlight w:val="none"/>
              </w:rPr>
              <w:t xml:space="preserve">应急响应方案。根据供应商提供的本项目应急预案(包括但不限于方案详细性、全面性、针对性、合理性等内容)进行打分：</w:t>
            </w:r>
            <w:r/>
          </w:p>
          <w:p>
            <w:pPr>
              <w:pStyle w:val="713"/>
              <w:ind w:left="0" w:firstLine="560"/>
              <w:jc w:val="left"/>
              <w:keepLines w:val="0"/>
              <w:keepNext w:val="0"/>
              <w:pageBreakBefore w:val="0"/>
              <w:spacing w:before="0" w:beforeAutospacing="0" w:after="0" w:line="520" w:lineRule="exact"/>
              <w:widowControl w:val="off"/>
              <w:rPr>
                <w:rFonts w:hint="eastAsia" w:ascii="仿宋_GB2312" w:hAnsi="仿宋_GB2312" w:eastAsia="仿宋_GB2312" w:cs="仿宋_GB2312"/>
                <w:color w:val="auto"/>
                <w:sz w:val="28"/>
                <w:szCs w:val="28"/>
                <w:highlight w:val="none"/>
                <w:lang w:val="en-US" w:eastAsia="en-US" w:bidi="ar-SA"/>
              </w:rPr>
              <w:outlineLvl w:val="9"/>
            </w:pPr>
            <w:r>
              <w:rPr>
                <w:rFonts w:hint="eastAsia" w:ascii="仿宋_GB2312" w:hAnsi="仿宋_GB2312" w:eastAsia="仿宋_GB2312" w:cs="仿宋_GB2312"/>
                <w:color w:val="auto"/>
                <w:sz w:val="28"/>
                <w:szCs w:val="28"/>
                <w:highlight w:val="none"/>
                <w:lang w:val="en-US" w:eastAsia="zh-CN" w:bidi="ar-SA"/>
              </w:rPr>
              <w:t xml:space="preserve">（1）</w:t>
            </w:r>
            <w:r>
              <w:rPr>
                <w:rFonts w:hint="eastAsia" w:ascii="仿宋_GB2312" w:hAnsi="仿宋_GB2312" w:eastAsia="仿宋_GB2312" w:cs="仿宋_GB2312"/>
                <w:color w:val="auto"/>
                <w:sz w:val="28"/>
                <w:szCs w:val="28"/>
                <w:highlight w:val="none"/>
                <w:lang w:val="en-US" w:eastAsia="en-US" w:bidi="ar-SA"/>
              </w:rPr>
              <w:t xml:space="preserve">方案完善、细节清晰、专业性强、可操作性高、与用户需求贴合度高的得</w:t>
            </w:r>
            <w:r>
              <w:rPr>
                <w:rFonts w:hint="eastAsia" w:ascii="仿宋_GB2312" w:hAnsi="仿宋_GB2312" w:eastAsia="仿宋_GB2312" w:cs="仿宋_GB2312"/>
                <w:color w:val="auto"/>
                <w:sz w:val="28"/>
                <w:szCs w:val="28"/>
                <w:highlight w:val="none"/>
                <w:lang w:val="en-US" w:eastAsia="zh-CN" w:bidi="ar-SA"/>
              </w:rPr>
              <w:t xml:space="preserve">10</w:t>
            </w:r>
            <w:r>
              <w:rPr>
                <w:rFonts w:hint="eastAsia" w:ascii="仿宋_GB2312" w:hAnsi="仿宋_GB2312" w:eastAsia="仿宋_GB2312" w:cs="仿宋_GB2312"/>
                <w:color w:val="auto"/>
                <w:sz w:val="28"/>
                <w:szCs w:val="28"/>
                <w:highlight w:val="none"/>
                <w:lang w:val="en-US" w:eastAsia="en-US" w:bidi="ar-SA"/>
              </w:rPr>
              <w:t xml:space="preserve">分；</w:t>
            </w:r>
            <w:r/>
          </w:p>
          <w:p>
            <w:pPr>
              <w:pStyle w:val="713"/>
              <w:ind w:left="0" w:firstLine="560"/>
              <w:jc w:val="left"/>
              <w:keepLines w:val="0"/>
              <w:keepNext w:val="0"/>
              <w:pageBreakBefore w:val="0"/>
              <w:spacing w:before="0" w:beforeAutospacing="0" w:after="0" w:line="520" w:lineRule="exact"/>
              <w:widowControl w:val="off"/>
              <w:rPr>
                <w:rFonts w:hint="eastAsia" w:ascii="仿宋_GB2312" w:hAnsi="仿宋_GB2312" w:eastAsia="仿宋_GB2312" w:cs="仿宋_GB2312"/>
                <w:color w:val="auto"/>
                <w:sz w:val="28"/>
                <w:szCs w:val="28"/>
                <w:highlight w:val="none"/>
                <w:lang w:val="en-US" w:eastAsia="en-US" w:bidi="ar-SA"/>
              </w:rPr>
              <w:outlineLvl w:val="9"/>
            </w:pPr>
            <w:r>
              <w:rPr>
                <w:rFonts w:hint="eastAsia" w:ascii="仿宋_GB2312" w:hAnsi="仿宋_GB2312" w:eastAsia="仿宋_GB2312" w:cs="仿宋_GB2312"/>
                <w:color w:val="auto"/>
                <w:sz w:val="28"/>
                <w:szCs w:val="28"/>
                <w:highlight w:val="none"/>
                <w:lang w:val="en-US" w:eastAsia="zh-CN" w:bidi="ar-SA"/>
              </w:rPr>
              <w:t xml:space="preserve">（2）</w:t>
            </w:r>
            <w:r>
              <w:rPr>
                <w:rFonts w:hint="eastAsia" w:ascii="仿宋_GB2312" w:hAnsi="仿宋_GB2312" w:eastAsia="仿宋_GB2312" w:cs="仿宋_GB2312"/>
                <w:color w:val="auto"/>
                <w:sz w:val="28"/>
                <w:szCs w:val="28"/>
                <w:highlight w:val="none"/>
                <w:lang w:val="en-US" w:eastAsia="en-US" w:bidi="ar-SA"/>
              </w:rPr>
              <w:t xml:space="preserve">方案较完善、细节较清晰、专业性较强、可操作性较高、与用户需求贴合度较高的得</w:t>
            </w:r>
            <w:r>
              <w:rPr>
                <w:rFonts w:hint="eastAsia" w:ascii="仿宋_GB2312" w:hAnsi="仿宋_GB2312" w:eastAsia="仿宋_GB2312" w:cs="仿宋_GB2312"/>
                <w:color w:val="auto"/>
                <w:sz w:val="28"/>
                <w:szCs w:val="28"/>
                <w:highlight w:val="none"/>
                <w:lang w:val="en-US" w:eastAsia="zh-CN" w:bidi="ar-SA"/>
              </w:rPr>
              <w:t xml:space="preserve">7</w:t>
            </w:r>
            <w:r>
              <w:rPr>
                <w:rFonts w:hint="eastAsia" w:ascii="仿宋_GB2312" w:hAnsi="仿宋_GB2312" w:eastAsia="仿宋_GB2312" w:cs="仿宋_GB2312"/>
                <w:color w:val="auto"/>
                <w:sz w:val="28"/>
                <w:szCs w:val="28"/>
                <w:highlight w:val="none"/>
                <w:lang w:val="en-US" w:eastAsia="en-US" w:bidi="ar-SA"/>
              </w:rPr>
              <w:t xml:space="preserve">分；</w:t>
            </w:r>
            <w:r/>
          </w:p>
          <w:p>
            <w:pPr>
              <w:pStyle w:val="713"/>
              <w:ind w:left="0" w:firstLine="560"/>
              <w:jc w:val="left"/>
              <w:keepLines w:val="0"/>
              <w:keepNext w:val="0"/>
              <w:pageBreakBefore w:val="0"/>
              <w:spacing w:before="0" w:beforeAutospacing="0" w:after="0" w:line="520" w:lineRule="exact"/>
              <w:widowControl w:val="off"/>
              <w:rPr>
                <w:rFonts w:hint="eastAsia" w:ascii="仿宋_GB2312" w:hAnsi="仿宋_GB2312" w:eastAsia="仿宋_GB2312" w:cs="仿宋_GB2312"/>
                <w:color w:val="auto"/>
                <w:sz w:val="28"/>
                <w:szCs w:val="28"/>
                <w:highlight w:val="none"/>
                <w:lang w:val="en-US" w:eastAsia="en-US" w:bidi="ar-SA"/>
              </w:rPr>
              <w:outlineLvl w:val="9"/>
            </w:pPr>
            <w:r>
              <w:rPr>
                <w:rFonts w:hint="eastAsia" w:ascii="仿宋_GB2312" w:hAnsi="仿宋_GB2312" w:eastAsia="仿宋_GB2312" w:cs="仿宋_GB2312"/>
                <w:color w:val="auto"/>
                <w:sz w:val="28"/>
                <w:szCs w:val="28"/>
                <w:highlight w:val="none"/>
                <w:lang w:val="en-US" w:eastAsia="zh-CN" w:bidi="ar-SA"/>
              </w:rPr>
              <w:t xml:space="preserve">（3）</w:t>
            </w:r>
            <w:r>
              <w:rPr>
                <w:rFonts w:hint="eastAsia" w:ascii="仿宋_GB2312" w:hAnsi="仿宋_GB2312" w:eastAsia="仿宋_GB2312" w:cs="仿宋_GB2312"/>
                <w:color w:val="auto"/>
                <w:sz w:val="28"/>
                <w:szCs w:val="28"/>
                <w:highlight w:val="none"/>
                <w:lang w:val="en-US" w:eastAsia="en-US" w:bidi="ar-SA"/>
              </w:rPr>
              <w:t xml:space="preserve">方案不完善、细节不清晰、专业性一般、可操作性一般、与用户需求度差的得</w:t>
            </w:r>
            <w:r>
              <w:rPr>
                <w:rFonts w:hint="eastAsia" w:ascii="仿宋_GB2312" w:hAnsi="仿宋_GB2312" w:eastAsia="仿宋_GB2312" w:cs="仿宋_GB2312"/>
                <w:color w:val="auto"/>
                <w:sz w:val="28"/>
                <w:szCs w:val="28"/>
                <w:highlight w:val="none"/>
                <w:lang w:val="en-US" w:eastAsia="zh-CN" w:bidi="ar-SA"/>
              </w:rPr>
              <w:t xml:space="preserve">4</w:t>
            </w:r>
            <w:r>
              <w:rPr>
                <w:rFonts w:hint="eastAsia" w:ascii="仿宋_GB2312" w:hAnsi="仿宋_GB2312" w:eastAsia="仿宋_GB2312" w:cs="仿宋_GB2312"/>
                <w:color w:val="auto"/>
                <w:sz w:val="28"/>
                <w:szCs w:val="28"/>
                <w:highlight w:val="none"/>
                <w:lang w:val="en-US" w:eastAsia="en-US" w:bidi="ar-SA"/>
              </w:rPr>
              <w:t xml:space="preserve">分；</w:t>
            </w:r>
            <w:r/>
          </w:p>
          <w:p>
            <w:pPr>
              <w:ind w:firstLine="560"/>
              <w:keepLines w:val="0"/>
              <w:keepNext w:val="0"/>
              <w:pageBreakBefore w:val="0"/>
              <w:spacing w:line="52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lang w:eastAsia="zh-CN"/>
              </w:rPr>
              <w:t xml:space="preserve">（</w:t>
            </w:r>
            <w:r>
              <w:rPr>
                <w:rFonts w:hint="eastAsia" w:ascii="仿宋_GB2312" w:hAnsi="仿宋_GB2312" w:eastAsia="仿宋_GB2312" w:cs="仿宋_GB2312"/>
                <w:color w:val="auto"/>
                <w:sz w:val="28"/>
                <w:szCs w:val="28"/>
                <w:highlight w:val="none"/>
                <w:lang w:val="en-US" w:eastAsia="zh-CN"/>
              </w:rPr>
              <w:t xml:space="preserve">4</w:t>
            </w:r>
            <w:r>
              <w:rPr>
                <w:rFonts w:hint="eastAsia" w:ascii="仿宋_GB2312" w:hAnsi="仿宋_GB2312" w:eastAsia="仿宋_GB2312" w:cs="仿宋_GB2312"/>
                <w:color w:val="auto"/>
                <w:sz w:val="28"/>
                <w:szCs w:val="28"/>
                <w:highlight w:val="none"/>
                <w:lang w:eastAsia="zh-CN"/>
              </w:rPr>
              <w:t xml:space="preserve">）</w:t>
            </w:r>
            <w:r>
              <w:rPr>
                <w:rFonts w:hint="eastAsia" w:ascii="仿宋_GB2312" w:hAnsi="仿宋_GB2312" w:eastAsia="仿宋_GB2312" w:cs="仿宋_GB2312"/>
                <w:color w:val="auto"/>
                <w:sz w:val="28"/>
                <w:szCs w:val="28"/>
                <w:highlight w:val="none"/>
              </w:rPr>
              <w:t xml:space="preserve">未作说明的</w:t>
            </w:r>
            <w:r>
              <w:rPr>
                <w:rFonts w:hint="eastAsia" w:ascii="仿宋_GB2312" w:hAnsi="仿宋_GB2312" w:eastAsia="仿宋_GB2312" w:cs="仿宋_GB2312"/>
                <w:color w:val="auto"/>
                <w:sz w:val="28"/>
                <w:szCs w:val="28"/>
                <w:highlight w:val="none"/>
                <w:lang w:eastAsia="zh-CN"/>
              </w:rPr>
              <w:t xml:space="preserve">，</w:t>
            </w:r>
            <w:r>
              <w:rPr>
                <w:rFonts w:hint="eastAsia" w:ascii="仿宋_GB2312" w:hAnsi="仿宋_GB2312" w:eastAsia="仿宋_GB2312" w:cs="仿宋_GB2312"/>
                <w:color w:val="auto"/>
                <w:sz w:val="28"/>
                <w:szCs w:val="28"/>
                <w:highlight w:val="none"/>
              </w:rPr>
              <w:t xml:space="preserve">不得分。</w:t>
            </w:r>
            <w:r/>
          </w:p>
          <w:p>
            <w:pPr>
              <w:ind w:right="0"/>
              <w:jc w:val="both"/>
              <w:spacing w:before="0" w:after="0" w:line="400" w:lineRule="atLeast"/>
              <w:rPr>
                <w:rFonts w:hint="eastAsia" w:ascii="仿宋_GB2312" w:hAnsi="仿宋_GB2312" w:eastAsia="仿宋_GB2312" w:cs="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auto"/>
                <w:sz w:val="28"/>
                <w:szCs w:val="28"/>
                <w:highlight w:val="none"/>
              </w:rPr>
            </w:r>
            <w:r/>
          </w:p>
        </w:tc>
      </w:tr>
      <w:tr>
        <w:trPr>
          <w:trHeight w:val="9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5" w:type="dxa"/>
            <w:vAlign w:val="center"/>
            <w:textDirection w:val="lrTb"/>
            <w:noWrap w:val="false"/>
          </w:tcPr>
          <w:p>
            <w:pPr>
              <w:ind w:firstLine="28"/>
              <w:jc w:val="center"/>
              <w:spacing w:line="400" w:lineRule="atLeast"/>
              <w:rPr>
                <w:rFonts w:hint="eastAsia" w:ascii="仿宋_GB2312" w:hAnsi="仿宋_GB2312" w:eastAsia="仿宋_GB2312" w:cs="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auto"/>
                <w:sz w:val="28"/>
                <w:szCs w:val="28"/>
                <w:highlight w:val="none"/>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0" w:type="dxa"/>
            <w:vAlign w:val="center"/>
            <w:textDirection w:val="lrTb"/>
            <w:noWrap w:val="false"/>
          </w:tcPr>
          <w:p>
            <w:pPr>
              <w:ind w:firstLine="28"/>
              <w:jc w:val="center"/>
              <w:spacing w:line="400" w:lineRule="atLeast"/>
              <w:rPr>
                <w:rFonts w:hint="eastAsia" w:ascii="仿宋_GB2312" w:hAnsi="仿宋_GB2312" w:eastAsia="仿宋_GB2312" w:cs="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auto"/>
                <w:sz w:val="28"/>
                <w:szCs w:val="28"/>
                <w:highlight w:val="none"/>
              </w:rPr>
              <w:t xml:space="preserve">项目组组成人员配置</w:t>
            </w:r>
            <w:r>
              <w:rPr>
                <w:rFonts w:hint="eastAsia" w:ascii="仿宋_GB2312" w:hAnsi="仿宋_GB2312" w:eastAsia="仿宋_GB2312" w:cs="仿宋_GB2312"/>
                <w:color w:val="auto"/>
                <w:sz w:val="28"/>
                <w:szCs w:val="28"/>
                <w:highlight w:val="none"/>
                <w:lang w:val="en-US" w:eastAsia="zh-CN"/>
              </w:rPr>
              <w:t xml:space="preserve">2</w:t>
            </w:r>
            <w:r>
              <w:rPr>
                <w:rFonts w:hint="eastAsia" w:ascii="仿宋_GB2312" w:hAnsi="仿宋_GB2312" w:eastAsia="仿宋_GB2312" w:cs="仿宋_GB2312"/>
                <w:color w:val="auto"/>
                <w:sz w:val="28"/>
                <w:szCs w:val="28"/>
                <w:highlight w:val="none"/>
              </w:rPr>
              <w:t xml:space="preserve">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ind w:firstLine="28"/>
              <w:jc w:val="center"/>
              <w:spacing w:line="400" w:lineRule="atLeast"/>
              <w:rPr>
                <w:rFonts w:hint="eastAsia" w:ascii="仿宋_GB2312" w:hAnsi="仿宋_GB2312" w:eastAsia="仿宋_GB2312" w:cs="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auto"/>
                <w:sz w:val="28"/>
                <w:szCs w:val="28"/>
                <w:highlight w:val="none"/>
                <w:lang w:val="en-US" w:eastAsia="zh-CN"/>
              </w:rPr>
              <w:t xml:space="preserve">2</w:t>
            </w:r>
            <w:r>
              <w:rPr>
                <w:rFonts w:hint="eastAsia" w:ascii="仿宋_GB2312" w:hAnsi="仿宋_GB2312" w:eastAsia="仿宋_GB2312" w:cs="仿宋_GB2312"/>
                <w:color w:val="auto"/>
                <w:sz w:val="28"/>
                <w:szCs w:val="28"/>
                <w:highlight w:val="none"/>
              </w:rPr>
              <w:t xml:space="preserve">0分</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82" w:type="dxa"/>
            <w:vAlign w:val="center"/>
            <w:textDirection w:val="lrTb"/>
            <w:noWrap w:val="false"/>
          </w:tcPr>
          <w:p>
            <w:pPr>
              <w:ind w:left="0" w:right="0" w:firstLine="420"/>
              <w:jc w:val="both"/>
              <w:spacing w:before="0" w:after="0" w:line="360" w:lineRule="auto"/>
              <w:rPr>
                <w:rFonts w:hint="eastAsia" w:ascii="仿宋_GB2312" w:hAnsi="仿宋_GB2312" w:eastAsia="仿宋_GB2312" w:cs="仿宋_GB2312"/>
                <w:b w:val="0"/>
                <w:bCs w:val="0"/>
                <w:sz w:val="28"/>
                <w:szCs w:val="28"/>
                <w:highlight w:val="none"/>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b w:val="0"/>
                <w:bCs w:val="0"/>
                <w:color w:val="000000"/>
                <w:sz w:val="28"/>
                <w:szCs w:val="28"/>
                <w:highlight w:val="none"/>
              </w:rPr>
              <w:t xml:space="preserve">1、供应商拟投入本项目的项目经理</w:t>
            </w:r>
            <w:r>
              <w:rPr>
                <w:rFonts w:hint="eastAsia" w:ascii="仿宋_GB2312" w:hAnsi="仿宋_GB2312" w:eastAsia="仿宋_GB2312" w:cs="仿宋_GB2312"/>
                <w:b/>
                <w:bCs/>
                <w:color w:val="000000"/>
                <w:sz w:val="28"/>
                <w:szCs w:val="28"/>
                <w:highlight w:val="none"/>
                <w:lang w:eastAsia="zh"/>
              </w:rPr>
              <w:t xml:space="preserve">同时</w:t>
            </w:r>
            <w:r>
              <w:rPr>
                <w:rFonts w:hint="eastAsia" w:ascii="仿宋_GB2312" w:hAnsi="仿宋_GB2312" w:eastAsia="仿宋_GB2312" w:cs="仿宋_GB2312"/>
                <w:b/>
                <w:bCs/>
                <w:color w:val="000000"/>
                <w:sz w:val="28"/>
                <w:szCs w:val="28"/>
                <w:highlight w:val="none"/>
              </w:rPr>
              <w:t xml:space="preserve">具有</w:t>
            </w:r>
            <w:r>
              <w:rPr>
                <w:rFonts w:hint="eastAsia" w:ascii="仿宋_GB2312" w:hAnsi="仿宋_GB2312" w:eastAsia="仿宋_GB2312" w:cs="仿宋_GB2312"/>
                <w:b/>
                <w:bCs/>
                <w:color w:val="000000"/>
                <w:sz w:val="28"/>
                <w:szCs w:val="28"/>
                <w:highlight w:val="none"/>
                <w:lang w:val="en-US" w:eastAsia="zh-CN"/>
              </w:rPr>
              <w:t xml:space="preserve">中国电子技术标准化研究院颁发的IT服务项目经理（ITSS）证书及信息系统集成管理工程师</w:t>
            </w:r>
            <w:r>
              <w:rPr>
                <w:rFonts w:hint="eastAsia" w:ascii="仿宋_GB2312" w:hAnsi="仿宋_GB2312" w:eastAsia="仿宋_GB2312" w:cs="仿宋_GB2312"/>
                <w:b/>
                <w:bCs/>
                <w:color w:val="000000"/>
                <w:sz w:val="28"/>
                <w:szCs w:val="28"/>
                <w:highlight w:val="none"/>
                <w:rtl w:val="0"/>
                <w:lang w:val="en-US" w:eastAsia="zh-CN"/>
              </w:rPr>
              <w:t xml:space="preserve">证书</w:t>
            </w:r>
            <w:r>
              <w:rPr>
                <w:rFonts w:hint="eastAsia" w:ascii="仿宋_GB2312" w:hAnsi="仿宋_GB2312" w:eastAsia="仿宋_GB2312" w:cs="仿宋_GB2312"/>
                <w:b/>
                <w:bCs/>
                <w:color w:val="000000"/>
                <w:sz w:val="28"/>
                <w:szCs w:val="28"/>
                <w:highlight w:val="none"/>
                <w:lang w:val="en-US" w:eastAsia="zh-CN"/>
              </w:rPr>
              <w:t xml:space="preserve">（NTC）的得4分；</w:t>
            </w:r>
            <w:r/>
          </w:p>
          <w:p>
            <w:pPr>
              <w:ind w:left="0" w:right="0" w:firstLine="420"/>
              <w:jc w:val="both"/>
              <w:spacing w:before="0" w:after="0" w:line="360" w:lineRule="auto"/>
              <w:rPr>
                <w:rFonts w:hint="eastAsia" w:ascii="仿宋_GB2312" w:hAnsi="仿宋_GB2312" w:eastAsia="仿宋_GB2312" w:cs="仿宋_GB2312"/>
                <w:b/>
                <w:bCs/>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b/>
                <w:bCs/>
                <w:color w:val="000000"/>
                <w:sz w:val="28"/>
                <w:szCs w:val="28"/>
                <w:highlight w:val="none"/>
              </w:rPr>
              <w:t xml:space="preserve">注：供应商的响应文件中需提供项目经理的证书及工程师证书原件</w:t>
            </w:r>
            <w:r>
              <w:rPr>
                <w:rFonts w:hint="eastAsia" w:ascii="仿宋_GB2312" w:hAnsi="仿宋_GB2312" w:eastAsia="仿宋_GB2312" w:cs="仿宋_GB2312"/>
                <w:b/>
                <w:bCs/>
                <w:color w:val="000000"/>
                <w:sz w:val="28"/>
                <w:szCs w:val="28"/>
                <w:highlight w:val="none"/>
                <w:lang w:eastAsia="zh-CN"/>
              </w:rPr>
              <w:t xml:space="preserve">扫描件</w:t>
            </w:r>
            <w:r>
              <w:rPr>
                <w:rFonts w:hint="eastAsia" w:ascii="仿宋_GB2312" w:hAnsi="仿宋_GB2312" w:eastAsia="仿宋_GB2312" w:cs="仿宋_GB2312"/>
                <w:b/>
                <w:bCs/>
                <w:color w:val="000000"/>
                <w:sz w:val="28"/>
                <w:szCs w:val="28"/>
                <w:highlight w:val="none"/>
              </w:rPr>
              <w:t xml:space="preserve">（或复印件加盖供应商单位公章）及由供应商单位（含分公司）</w:t>
            </w:r>
            <w:r>
              <w:rPr>
                <w:rFonts w:ascii="FangSong" w:hAnsi="FangSong" w:eastAsia="FangSong" w:cs="FangSong"/>
                <w:b/>
                <w:color w:val="000000"/>
                <w:sz w:val="28"/>
              </w:rPr>
              <w:t xml:space="preserve">‌</w:t>
            </w:r>
            <w:r>
              <w:rPr>
                <w:rFonts w:ascii="FangSong" w:hAnsi="FangSong" w:eastAsia="FangSong" w:cs="FangSong"/>
                <w:b/>
                <w:color w:val="000000"/>
                <w:sz w:val="28"/>
              </w:rPr>
              <w:t xml:space="preserve">自2026年1月以来其为本单位正式员工证明材料原件（或带二维码查询的电子打印件）并加盖供应商单位公章</w:t>
            </w:r>
            <w:r>
              <w:rPr>
                <w:rFonts w:hint="eastAsia" w:ascii="仿宋_GB2312" w:hAnsi="仿宋_GB2312" w:eastAsia="仿宋_GB2312" w:cs="仿宋_GB2312"/>
                <w:b/>
                <w:bCs/>
                <w:color w:val="000000"/>
                <w:sz w:val="28"/>
                <w:szCs w:val="28"/>
                <w:highlight w:val="none"/>
                <w:lang w:eastAsia="zh-CN"/>
              </w:rPr>
              <w:t xml:space="preserve">；</w:t>
            </w:r>
            <w:r/>
          </w:p>
          <w:p>
            <w:pPr>
              <w:numPr>
                <w:ilvl w:val="0"/>
                <w:numId w:val="2"/>
              </w:numPr>
              <w:ind w:left="0" w:right="0" w:firstLine="420"/>
              <w:jc w:val="both"/>
              <w:spacing w:before="0" w:after="0" w:line="360" w:lineRule="auto"/>
              <w:rPr>
                <w:rFonts w:hint="eastAsia" w:ascii="仿宋_GB2312" w:hAnsi="仿宋_GB2312" w:eastAsia="仿宋_GB2312" w:cs="仿宋_GB2312"/>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highlight w:val="none"/>
              </w:rPr>
              <w:t xml:space="preserve">供应商拟投入本项目的</w:t>
            </w:r>
            <w:r>
              <w:rPr>
                <w:rFonts w:hint="eastAsia" w:ascii="仿宋_GB2312" w:hAnsi="仿宋_GB2312" w:eastAsia="仿宋_GB2312" w:cs="仿宋_GB2312"/>
                <w:b/>
                <w:bCs/>
                <w:color w:val="000000"/>
                <w:sz w:val="28"/>
                <w:szCs w:val="28"/>
                <w:highlight w:val="none"/>
              </w:rPr>
              <w:t xml:space="preserve">其他服务人员（项目经理除外）</w:t>
            </w:r>
            <w:r>
              <w:rPr>
                <w:rFonts w:hint="eastAsia" w:ascii="仿宋_GB2312" w:hAnsi="仿宋_GB2312" w:eastAsia="仿宋_GB2312" w:cs="仿宋_GB2312"/>
                <w:color w:val="000000"/>
                <w:sz w:val="28"/>
                <w:szCs w:val="28"/>
                <w:highlight w:val="none"/>
              </w:rPr>
              <w:t xml:space="preserve">具有</w:t>
            </w:r>
            <w:r>
              <w:rPr>
                <w:rFonts w:hint="eastAsia" w:ascii="仿宋_GB2312" w:hAnsi="仿宋_GB2312" w:eastAsia="仿宋_GB2312" w:cs="仿宋_GB2312"/>
                <w:b/>
                <w:bCs/>
                <w:color w:val="000000"/>
                <w:sz w:val="28"/>
                <w:szCs w:val="28"/>
                <w:highlight w:val="none"/>
                <w:lang w:val="en-US" w:eastAsia="zh-CN"/>
              </w:rPr>
              <w:t xml:space="preserve">类似</w:t>
            </w:r>
            <w:r>
              <w:rPr>
                <w:rFonts w:hint="eastAsia" w:ascii="仿宋_GB2312" w:hAnsi="仿宋_GB2312" w:eastAsia="仿宋_GB2312" w:cs="仿宋_GB2312"/>
                <w:b/>
                <w:bCs/>
                <w:color w:val="000000"/>
                <w:sz w:val="28"/>
                <w:szCs w:val="28"/>
                <w:highlight w:val="none"/>
              </w:rPr>
              <w:t xml:space="preserve">已上线地区财政预算管理一体化系统建设实施</w:t>
            </w:r>
            <w:r>
              <w:rPr>
                <w:rFonts w:hint="eastAsia" w:ascii="仿宋_GB2312" w:hAnsi="仿宋_GB2312" w:eastAsia="仿宋_GB2312" w:cs="仿宋_GB2312"/>
                <w:b/>
                <w:bCs/>
                <w:color w:val="000000"/>
                <w:sz w:val="28"/>
                <w:szCs w:val="28"/>
                <w:highlight w:val="none"/>
                <w:lang w:val="en-US" w:eastAsia="zh-CN"/>
              </w:rPr>
              <w:t xml:space="preserve">经验</w:t>
            </w:r>
            <w:r>
              <w:rPr>
                <w:rFonts w:hint="eastAsia" w:ascii="仿宋_GB2312" w:hAnsi="仿宋_GB2312" w:eastAsia="仿宋_GB2312" w:cs="仿宋_GB2312"/>
                <w:color w:val="000000"/>
                <w:sz w:val="28"/>
                <w:szCs w:val="28"/>
                <w:highlight w:val="none"/>
              </w:rPr>
              <w:t xml:space="preserve">，每有1人得2分，最多可得</w:t>
            </w:r>
            <w:r>
              <w:rPr>
                <w:rFonts w:hint="eastAsia" w:ascii="仿宋_GB2312" w:hAnsi="仿宋_GB2312" w:eastAsia="仿宋_GB2312" w:cs="仿宋_GB2312"/>
                <w:color w:val="000000"/>
                <w:sz w:val="28"/>
                <w:szCs w:val="28"/>
                <w:highlight w:val="none"/>
                <w:lang w:val="en-US" w:eastAsia="zh-CN"/>
              </w:rPr>
              <w:t xml:space="preserve">6</w:t>
            </w:r>
            <w:r>
              <w:rPr>
                <w:rFonts w:hint="eastAsia" w:ascii="仿宋_GB2312" w:hAnsi="仿宋_GB2312" w:eastAsia="仿宋_GB2312" w:cs="仿宋_GB2312"/>
                <w:color w:val="000000"/>
                <w:sz w:val="28"/>
                <w:szCs w:val="28"/>
                <w:highlight w:val="none"/>
              </w:rPr>
              <w:t xml:space="preserve">分</w:t>
            </w:r>
            <w:r>
              <w:rPr>
                <w:rFonts w:hint="eastAsia" w:ascii="仿宋_GB2312" w:hAnsi="仿宋_GB2312" w:eastAsia="仿宋_GB2312" w:cs="仿宋_GB2312"/>
                <w:color w:val="000000"/>
                <w:sz w:val="28"/>
                <w:szCs w:val="28"/>
                <w:highlight w:val="none"/>
                <w:lang w:eastAsia="zh-CN"/>
              </w:rPr>
              <w:t xml:space="preserve">；</w:t>
            </w:r>
            <w:r/>
          </w:p>
          <w:p>
            <w:pPr>
              <w:numPr>
                <w:ilvl w:val="0"/>
                <w:numId w:val="0"/>
              </w:numPr>
              <w:ind w:right="0" w:firstLine="361"/>
              <w:jc w:val="both"/>
              <w:spacing w:before="0" w:after="0" w:line="360" w:lineRule="auto"/>
              <w:rPr>
                <w:rFonts w:hint="eastAsia" w:ascii="仿宋_GB2312" w:hAnsi="仿宋_GB2312" w:eastAsia="仿宋_GB2312" w:cs="仿宋_GB2312"/>
                <w:b/>
                <w:bCs/>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b/>
                <w:bCs/>
                <w:color w:val="000000"/>
                <w:sz w:val="28"/>
                <w:szCs w:val="28"/>
                <w:highlight w:val="none"/>
              </w:rPr>
              <w:t xml:space="preserve">注：供应商的响应文件中需提供项目实施单位的证明材料原件</w:t>
            </w:r>
            <w:r>
              <w:rPr>
                <w:rFonts w:hint="eastAsia" w:ascii="仿宋_GB2312" w:hAnsi="仿宋_GB2312" w:eastAsia="仿宋_GB2312" w:cs="仿宋_GB2312"/>
                <w:b/>
                <w:bCs/>
                <w:color w:val="000000"/>
                <w:sz w:val="28"/>
                <w:szCs w:val="28"/>
                <w:highlight w:val="none"/>
                <w:lang w:eastAsia="zh-CN"/>
              </w:rPr>
              <w:t xml:space="preserve">扫描件</w:t>
            </w:r>
            <w:r>
              <w:rPr>
                <w:rFonts w:hint="eastAsia" w:ascii="仿宋_GB2312" w:hAnsi="仿宋_GB2312" w:eastAsia="仿宋_GB2312" w:cs="仿宋_GB2312"/>
                <w:b/>
                <w:bCs/>
                <w:color w:val="000000"/>
                <w:sz w:val="28"/>
                <w:szCs w:val="28"/>
                <w:highlight w:val="none"/>
              </w:rPr>
              <w:t xml:space="preserve">，否则不得分。</w:t>
            </w:r>
            <w:r/>
          </w:p>
          <w:p>
            <w:pPr>
              <w:numPr>
                <w:ilvl w:val="0"/>
                <w:numId w:val="2"/>
              </w:numPr>
              <w:ind w:left="0" w:right="0" w:firstLine="420"/>
              <w:jc w:val="both"/>
              <w:spacing w:before="0" w:after="0" w:line="360" w:lineRule="auto"/>
              <w:rPr>
                <w:rFonts w:hint="eastAsia" w:ascii="仿宋_GB2312" w:hAnsi="仿宋_GB2312" w:eastAsia="仿宋_GB2312" w:cs="仿宋_GB2312"/>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供应商拟投入本项目的其他服务人员（项目经理除外）具有</w:t>
            </w:r>
            <w:r>
              <w:rPr>
                <w:rFonts w:hint="eastAsia" w:ascii="仿宋_GB2312" w:hAnsi="仿宋_GB2312" w:eastAsia="仿宋_GB2312" w:cs="仿宋_GB2312"/>
                <w:b w:val="0"/>
                <w:bCs w:val="0"/>
                <w:color w:val="000000"/>
                <w:sz w:val="28"/>
                <w:szCs w:val="28"/>
              </w:rPr>
              <w:t xml:space="preserve">人力资源和社会保障部门颁发的</w:t>
            </w:r>
            <w:r>
              <w:rPr>
                <w:rFonts w:hint="eastAsia" w:ascii="仿宋_GB2312" w:hAnsi="仿宋_GB2312" w:eastAsia="仿宋_GB2312" w:cs="仿宋_GB2312"/>
                <w:b/>
                <w:bCs/>
                <w:color w:val="000000"/>
                <w:sz w:val="28"/>
                <w:szCs w:val="28"/>
                <w:lang w:val="en-US" w:eastAsia="zh-CN"/>
              </w:rPr>
              <w:t xml:space="preserve">职业资格证书三级及以上计算机网络管理员专业资格证书</w:t>
            </w:r>
            <w:r>
              <w:rPr>
                <w:rFonts w:hint="eastAsia" w:ascii="仿宋_GB2312" w:hAnsi="仿宋_GB2312" w:eastAsia="仿宋_GB2312" w:cs="仿宋_GB2312"/>
                <w:color w:val="000000"/>
                <w:sz w:val="28"/>
                <w:szCs w:val="28"/>
                <w:lang w:val="en-US" w:eastAsia="zh-CN"/>
              </w:rPr>
              <w:t xml:space="preserve">的得</w:t>
            </w:r>
            <w:r>
              <w:rPr>
                <w:rFonts w:hint="eastAsia" w:ascii="仿宋_GB2312" w:hAnsi="仿宋_GB2312" w:eastAsia="仿宋_GB2312" w:cs="仿宋_GB2312"/>
                <w:color w:val="000000"/>
                <w:sz w:val="28"/>
                <w:szCs w:val="28"/>
                <w:lang w:val="en-US" w:eastAsia="zh"/>
              </w:rPr>
              <w:t xml:space="preserve">3</w:t>
            </w:r>
            <w:r>
              <w:rPr>
                <w:rFonts w:hint="eastAsia" w:ascii="仿宋_GB2312" w:hAnsi="仿宋_GB2312" w:eastAsia="仿宋_GB2312" w:cs="仿宋_GB2312"/>
                <w:color w:val="000000"/>
                <w:sz w:val="28"/>
                <w:szCs w:val="28"/>
                <w:lang w:val="en-US" w:eastAsia="zh-CN"/>
              </w:rPr>
              <w:t xml:space="preserve">分；</w:t>
            </w:r>
            <w:r/>
          </w:p>
          <w:p>
            <w:pPr>
              <w:ind w:left="0" w:right="0" w:firstLine="381"/>
              <w:jc w:val="both"/>
              <w:spacing w:before="0" w:after="0" w:line="360" w:lineRule="auto"/>
              <w:rPr>
                <w:rFonts w:hint="eastAsia" w:ascii="仿宋_GB2312" w:hAnsi="仿宋_GB2312" w:eastAsia="仿宋_GB2312" w:cs="仿宋_GB2312"/>
                <w:b/>
                <w:bCs/>
                <w:color w:val="000000"/>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b/>
                <w:bCs/>
                <w:color w:val="000000"/>
                <w:sz w:val="28"/>
                <w:szCs w:val="28"/>
              </w:rPr>
            </w:r>
            <w:r>
              <w:rPr>
                <w:rFonts w:ascii="FangSong" w:hAnsi="FangSong" w:eastAsia="FangSong" w:cs="FangSong"/>
                <w:b/>
                <w:color w:val="000000"/>
                <w:sz w:val="28"/>
              </w:rPr>
              <w:t xml:space="preserve">注：供应商的响应文件中需提供该人员的证书原件扫描件（或复印件加盖供应商单位公章）及由供应商单位（含分公司）</w:t>
            </w:r>
            <w:r>
              <w:rPr>
                <w:rFonts w:ascii="FangSong" w:hAnsi="FangSong" w:eastAsia="FangSong" w:cs="FangSong"/>
                <w:b/>
                <w:color w:val="000000"/>
                <w:sz w:val="28"/>
                <w:u w:val="single"/>
              </w:rPr>
              <w:t xml:space="preserve">‌</w:t>
            </w:r>
            <w:r>
              <w:rPr>
                <w:rFonts w:ascii="FangSong" w:hAnsi="FangSong" w:eastAsia="FangSong" w:cs="FangSong"/>
                <w:b/>
                <w:color w:val="000000"/>
                <w:sz w:val="28"/>
              </w:rPr>
              <w:t xml:space="preserve">自2026年1月以来其为本单位正式员工证明材料原件（或带二维码查询的电子打印件）并加盖供应商单位公章</w:t>
            </w:r>
            <w:r>
              <w:rPr>
                <w:rFonts w:ascii="FangSong" w:hAnsi="FangSong" w:eastAsia="FangSong" w:cs="FangSong"/>
                <w:b/>
                <w:color w:val="000000"/>
                <w:sz w:val="28"/>
              </w:rPr>
              <w:t xml:space="preserve">；</w:t>
            </w:r>
            <w:r/>
          </w:p>
          <w:p>
            <w:pPr>
              <w:numPr>
                <w:ilvl w:val="0"/>
                <w:numId w:val="2"/>
              </w:numPr>
              <w:ind w:left="0" w:right="0" w:firstLine="420"/>
              <w:jc w:val="both"/>
              <w:spacing w:before="0" w:after="0" w:line="400" w:lineRule="atLeast"/>
              <w:rPr>
                <w:rFonts w:hint="eastAsia" w:ascii="仿宋_GB2312" w:hAnsi="仿宋_GB2312" w:eastAsia="仿宋_GB2312" w:cs="仿宋_GB2312"/>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供应商拟投入本项目的其他服务人员（项目经理除外）具有人力资源和社会保障部门颁发的</w:t>
            </w:r>
            <w:r>
              <w:rPr>
                <w:rFonts w:hint="eastAsia" w:ascii="仿宋_GB2312" w:hAnsi="仿宋_GB2312" w:eastAsia="仿宋_GB2312" w:cs="仿宋_GB2312"/>
                <w:b/>
                <w:bCs/>
                <w:color w:val="000000"/>
                <w:sz w:val="28"/>
                <w:szCs w:val="28"/>
              </w:rPr>
              <w:t xml:space="preserve">计算机技术与软件专业技术资格中级及以上</w:t>
            </w:r>
            <w:r>
              <w:rPr>
                <w:rFonts w:hint="eastAsia" w:ascii="仿宋_GB2312" w:hAnsi="仿宋_GB2312" w:eastAsia="仿宋_GB2312" w:cs="仿宋_GB2312"/>
                <w:b/>
                <w:bCs/>
                <w:color w:val="000000"/>
                <w:sz w:val="28"/>
                <w:szCs w:val="28"/>
                <w:lang w:val="en-US" w:eastAsia="zh-CN"/>
              </w:rPr>
              <w:t xml:space="preserve">网络工程师专业</w:t>
            </w:r>
            <w:r>
              <w:rPr>
                <w:rFonts w:hint="eastAsia" w:ascii="仿宋_GB2312" w:hAnsi="仿宋_GB2312" w:eastAsia="仿宋_GB2312" w:cs="仿宋_GB2312"/>
                <w:b/>
                <w:bCs/>
                <w:color w:val="000000"/>
                <w:sz w:val="28"/>
                <w:szCs w:val="28"/>
              </w:rPr>
              <w:t xml:space="preserve">证书</w:t>
            </w:r>
            <w:r>
              <w:rPr>
                <w:rFonts w:hint="eastAsia" w:ascii="仿宋_GB2312" w:hAnsi="仿宋_GB2312" w:eastAsia="仿宋_GB2312" w:cs="仿宋_GB2312"/>
                <w:color w:val="000000"/>
                <w:sz w:val="28"/>
                <w:szCs w:val="28"/>
                <w:lang w:val="en-US" w:eastAsia="zh-CN"/>
              </w:rPr>
              <w:t xml:space="preserve">的得</w:t>
            </w:r>
            <w:r>
              <w:rPr>
                <w:rFonts w:hint="eastAsia" w:ascii="仿宋_GB2312" w:hAnsi="仿宋_GB2312" w:eastAsia="仿宋_GB2312" w:cs="仿宋_GB2312"/>
                <w:color w:val="000000"/>
                <w:sz w:val="28"/>
                <w:szCs w:val="28"/>
                <w:lang w:val="en-US" w:eastAsia="zh"/>
              </w:rPr>
              <w:t xml:space="preserve">3</w:t>
            </w:r>
            <w:r>
              <w:rPr>
                <w:rFonts w:hint="eastAsia" w:ascii="仿宋_GB2312" w:hAnsi="仿宋_GB2312" w:eastAsia="仿宋_GB2312" w:cs="仿宋_GB2312"/>
                <w:color w:val="000000"/>
                <w:sz w:val="28"/>
                <w:szCs w:val="28"/>
                <w:lang w:val="en-US" w:eastAsia="zh-CN"/>
              </w:rPr>
              <w:t xml:space="preserve">分；</w:t>
            </w:r>
            <w:r/>
          </w:p>
          <w:p>
            <w:pPr>
              <w:ind w:left="0" w:right="0" w:firstLine="381"/>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注：供应商的响应文件中需提供该人员的证书原件扫描件（或复印件加盖供应商单位公章）及由供应商单位（含分公司）‌</w:t>
            </w:r>
            <w:r>
              <w:rPr>
                <w:rFonts w:ascii="FangSong" w:hAnsi="FangSong" w:eastAsia="FangSong" w:cs="FangSong"/>
                <w:b/>
                <w:color w:val="000000"/>
                <w:sz w:val="28"/>
              </w:rPr>
              <w:t xml:space="preserve">自2026年1月以来其为本单位正式员工证明材料原件（或带二维码查询的电子打印件）并加盖供应商单位公章</w:t>
            </w:r>
            <w:r>
              <w:rPr>
                <w:rFonts w:ascii="FangSong" w:hAnsi="FangSong" w:eastAsia="FangSong" w:cs="FangSong"/>
                <w:b/>
                <w:color w:val="000000"/>
                <w:sz w:val="28"/>
              </w:rPr>
              <w:t xml:space="preserve">；</w:t>
            </w:r>
            <w:r>
              <w:rPr>
                <w:sz w:val="21"/>
              </w:rPr>
            </w:r>
            <w:r/>
          </w:p>
          <w:p>
            <w:pPr>
              <w:pStyle w:val="914"/>
              <w:numPr>
                <w:ilvl w:val="0"/>
                <w:numId w:val="2"/>
              </w:numPr>
              <w:ind w:left="0" w:firstLine="420"/>
              <w:spacing w:line="360" w:lineRule="auto"/>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lang w:val="en-US" w:eastAsia="en-US" w:bidi="ar-SA"/>
              </w:rPr>
              <w:t xml:space="preserve">供应商拟投入本项目的其他服务人员（项目经理除外）具有国家信息安全测评中心颁发的</w:t>
            </w:r>
            <w:r>
              <w:rPr>
                <w:rFonts w:hint="eastAsia" w:ascii="仿宋_GB2312" w:hAnsi="仿宋_GB2312" w:eastAsia="仿宋_GB2312" w:cs="仿宋_GB2312"/>
                <w:b/>
                <w:bCs/>
                <w:color w:val="000000"/>
                <w:sz w:val="28"/>
                <w:szCs w:val="28"/>
                <w:lang w:val="en-US" w:eastAsia="en-US" w:bidi="ar-SA"/>
              </w:rPr>
              <w:t xml:space="preserve">国家信息安全水平证书（一级及以上）（NISP）</w:t>
            </w:r>
            <w:r>
              <w:rPr>
                <w:rFonts w:hint="eastAsia" w:ascii="仿宋_GB2312" w:hAnsi="仿宋_GB2312" w:eastAsia="仿宋_GB2312" w:cs="仿宋_GB2312"/>
                <w:color w:val="000000"/>
                <w:sz w:val="28"/>
                <w:szCs w:val="28"/>
                <w:lang w:val="en-US" w:eastAsia="zh-CN" w:bidi="ar-SA"/>
              </w:rPr>
              <w:t xml:space="preserve">，每有1人得2分，本项最高得4分；</w:t>
            </w:r>
            <w:r/>
          </w:p>
          <w:p>
            <w:pPr>
              <w:pStyle w:val="914"/>
              <w:numPr>
                <w:ilvl w:val="0"/>
                <w:numId w:val="0"/>
              </w:numPr>
              <w:ind w:firstLine="361"/>
              <w:spacing w:line="360" w:lineRule="auto"/>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b/>
                <w:bCs/>
                <w:color w:val="auto"/>
                <w:sz w:val="28"/>
                <w:szCs w:val="28"/>
              </w:rPr>
            </w:r>
            <w:r>
              <w:rPr>
                <w:rFonts w:ascii="FangSong" w:hAnsi="FangSong" w:eastAsia="FangSong" w:cs="FangSong"/>
                <w:b/>
                <w:color w:val="000000"/>
                <w:sz w:val="28"/>
              </w:rPr>
              <w:t xml:space="preserve">注：供应商的响应文件中需提供该人员的证书原件扫描件（或复印件加盖供应商单位公章）及由供应商单位（含分公司）‌</w:t>
            </w:r>
            <w:r>
              <w:rPr>
                <w:rFonts w:ascii="FangSong" w:hAnsi="FangSong" w:eastAsia="FangSong" w:cs="FangSong"/>
                <w:b/>
                <w:color w:val="000000"/>
                <w:sz w:val="28"/>
              </w:rPr>
              <w:t xml:space="preserve">自2026年1月以来其为本单位正式员工证明材料原件（或带二维码查询的电子打印件）并加盖供应商单位公章</w:t>
            </w:r>
            <w:r>
              <w:rPr>
                <w:rFonts w:ascii="FangSong" w:hAnsi="FangSong" w:eastAsia="FangSong" w:cs="FangSong"/>
                <w:b/>
                <w:color w:val="000000"/>
                <w:sz w:val="28"/>
              </w:rPr>
              <w:t xml:space="preserve">。</w:t>
            </w:r>
            <w:r>
              <w:rPr>
                <w:rFonts w:hint="eastAsia" w:ascii="仿宋_GB2312" w:hAnsi="仿宋_GB2312" w:eastAsia="仿宋_GB2312" w:cs="仿宋_GB2312"/>
                <w:b/>
                <w:bCs/>
                <w:color w:val="auto"/>
                <w:sz w:val="28"/>
                <w:szCs w:val="28"/>
              </w:rPr>
            </w:r>
            <w:r/>
          </w:p>
        </w:tc>
      </w:tr>
      <w:tr>
        <w:trPr>
          <w:trHeight w:val="29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5" w:type="dxa"/>
            <w:vAlign w:val="center"/>
            <w:textDirection w:val="lrTb"/>
            <w:noWrap w:val="false"/>
          </w:tcPr>
          <w:p>
            <w:pPr>
              <w:ind w:left="0" w:right="0" w:firstLine="28"/>
              <w:jc w:val="center"/>
              <w:spacing w:before="0" w:after="0" w:line="360" w:lineRule="auto"/>
              <w:rPr>
                <w:rFonts w:hint="eastAsia" w:ascii="仿宋_GB2312" w:hAnsi="仿宋_GB2312" w:eastAsia="仿宋_GB2312" w:cs="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auto"/>
                <w:sz w:val="28"/>
                <w:szCs w:val="28"/>
                <w:highlight w:val="none"/>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0" w:type="dxa"/>
            <w:vAlign w:val="center"/>
            <w:textDirection w:val="lrTb"/>
            <w:noWrap w:val="false"/>
          </w:tcPr>
          <w:p>
            <w:pPr>
              <w:ind w:left="0" w:right="0" w:firstLine="28"/>
              <w:jc w:val="center"/>
              <w:spacing w:before="0" w:after="0" w:line="360" w:lineRule="auto"/>
              <w:rPr>
                <w:rFonts w:hint="eastAsia" w:ascii="仿宋_GB2312" w:hAnsi="仿宋_GB2312" w:eastAsia="仿宋_GB2312" w:cs="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auto"/>
                <w:sz w:val="28"/>
                <w:szCs w:val="28"/>
                <w:highlight w:val="none"/>
              </w:rPr>
              <w:t xml:space="preserve">项目实施方案30%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ind w:left="0" w:right="0" w:firstLine="28"/>
              <w:jc w:val="center"/>
              <w:spacing w:before="0" w:after="0" w:line="360" w:lineRule="auto"/>
              <w:rPr>
                <w:rFonts w:hint="eastAsia" w:ascii="仿宋_GB2312" w:hAnsi="仿宋_GB2312" w:eastAsia="仿宋_GB2312" w:cs="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auto"/>
                <w:sz w:val="28"/>
                <w:szCs w:val="28"/>
                <w:highlight w:val="none"/>
              </w:rPr>
              <w:t xml:space="preserve">30分</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82" w:type="dxa"/>
            <w:vAlign w:val="center"/>
            <w:textDirection w:val="lrTb"/>
            <w:noWrap w:val="false"/>
          </w:tcPr>
          <w:p>
            <w:pPr>
              <w:ind w:left="0" w:right="0" w:firstLine="562"/>
              <w:jc w:val="both"/>
              <w:keepLines w:val="0"/>
              <w:keepNext w:val="0"/>
              <w:pageBreakBefore w:val="0"/>
              <w:spacing w:before="0" w:after="0" w:line="520" w:lineRule="exact"/>
              <w:widowControl w:val="off"/>
              <w:rPr>
                <w:rFonts w:hint="eastAsia" w:ascii="仿宋_GB2312" w:hAnsi="仿宋_GB2312" w:eastAsia="仿宋_GB2312" w:cs="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b/>
                <w:bCs/>
                <w:color w:val="auto"/>
                <w:sz w:val="28"/>
                <w:szCs w:val="28"/>
                <w:highlight w:val="none"/>
              </w:rPr>
              <w:t xml:space="preserve">1、项目实施部署方案。根据供应商提供的项目实施部署方案进行打分：</w:t>
            </w:r>
            <w:r/>
          </w:p>
          <w:p>
            <w:pPr>
              <w:pStyle w:val="713"/>
              <w:ind w:left="0" w:firstLine="560"/>
              <w:jc w:val="left"/>
              <w:keepLines w:val="0"/>
              <w:keepNext w:val="0"/>
              <w:pageBreakBefore w:val="0"/>
              <w:spacing w:before="0" w:beforeAutospacing="0" w:after="0" w:line="520" w:lineRule="exact"/>
              <w:widowControl w:val="off"/>
              <w:rPr>
                <w:rFonts w:hint="eastAsia" w:ascii="仿宋_GB2312" w:hAnsi="仿宋_GB2312" w:eastAsia="仿宋_GB2312" w:cs="仿宋_GB2312"/>
                <w:color w:val="auto"/>
                <w:sz w:val="28"/>
                <w:szCs w:val="28"/>
                <w:highlight w:val="none"/>
                <w:lang w:val="en-US" w:eastAsia="en-US" w:bidi="ar-SA"/>
              </w:rPr>
              <w:outlineLvl w:val="9"/>
            </w:pPr>
            <w:r>
              <w:rPr>
                <w:rFonts w:hint="eastAsia" w:ascii="仿宋_GB2312" w:hAnsi="仿宋_GB2312" w:eastAsia="仿宋_GB2312" w:cs="仿宋_GB2312"/>
                <w:color w:val="auto"/>
                <w:sz w:val="28"/>
                <w:szCs w:val="28"/>
                <w:highlight w:val="none"/>
                <w:lang w:val="en-US" w:eastAsia="zh-CN" w:bidi="ar-SA"/>
              </w:rPr>
              <w:t xml:space="preserve">（1）</w:t>
            </w:r>
            <w:r>
              <w:rPr>
                <w:rFonts w:hint="eastAsia" w:ascii="仿宋_GB2312" w:hAnsi="仿宋_GB2312" w:eastAsia="仿宋_GB2312" w:cs="仿宋_GB2312"/>
                <w:color w:val="auto"/>
                <w:sz w:val="28"/>
                <w:szCs w:val="28"/>
                <w:highlight w:val="none"/>
                <w:lang w:val="en-US" w:eastAsia="en-US" w:bidi="ar-SA"/>
              </w:rPr>
              <w:t xml:space="preserve">合理化建议分析到位，重点难点问题剖析深刻，解决方案切实可用得</w:t>
            </w:r>
            <w:r>
              <w:rPr>
                <w:rFonts w:hint="eastAsia" w:ascii="仿宋_GB2312" w:hAnsi="仿宋_GB2312" w:eastAsia="仿宋_GB2312" w:cs="仿宋_GB2312"/>
                <w:color w:val="auto"/>
                <w:sz w:val="28"/>
                <w:szCs w:val="28"/>
                <w:highlight w:val="none"/>
                <w:lang w:val="en-US" w:eastAsia="zh-CN" w:bidi="ar-SA"/>
              </w:rPr>
              <w:t xml:space="preserve">10</w:t>
            </w:r>
            <w:r>
              <w:rPr>
                <w:rFonts w:hint="eastAsia" w:ascii="仿宋_GB2312" w:hAnsi="仿宋_GB2312" w:eastAsia="仿宋_GB2312" w:cs="仿宋_GB2312"/>
                <w:color w:val="auto"/>
                <w:sz w:val="28"/>
                <w:szCs w:val="28"/>
                <w:highlight w:val="none"/>
                <w:lang w:val="en-US" w:eastAsia="en-US" w:bidi="ar-SA"/>
              </w:rPr>
              <w:t xml:space="preserve">分；</w:t>
            </w:r>
            <w:r/>
          </w:p>
          <w:p>
            <w:pPr>
              <w:pStyle w:val="713"/>
              <w:ind w:left="0" w:firstLine="560"/>
              <w:jc w:val="left"/>
              <w:keepLines w:val="0"/>
              <w:keepNext w:val="0"/>
              <w:pageBreakBefore w:val="0"/>
              <w:spacing w:before="0" w:beforeAutospacing="0" w:after="0" w:line="520" w:lineRule="exact"/>
              <w:widowControl w:val="off"/>
              <w:rPr>
                <w:rFonts w:hint="eastAsia" w:ascii="仿宋_GB2312" w:hAnsi="仿宋_GB2312" w:eastAsia="仿宋_GB2312" w:cs="仿宋_GB2312"/>
                <w:color w:val="auto"/>
                <w:sz w:val="28"/>
                <w:szCs w:val="28"/>
                <w:highlight w:val="none"/>
                <w:lang w:val="en-US" w:eastAsia="en-US" w:bidi="ar-SA"/>
              </w:rPr>
              <w:outlineLvl w:val="9"/>
            </w:pPr>
            <w:r>
              <w:rPr>
                <w:rFonts w:hint="eastAsia" w:ascii="仿宋_GB2312" w:hAnsi="仿宋_GB2312" w:eastAsia="仿宋_GB2312" w:cs="仿宋_GB2312"/>
                <w:color w:val="auto"/>
                <w:sz w:val="28"/>
                <w:szCs w:val="28"/>
                <w:highlight w:val="none"/>
                <w:lang w:val="en-US" w:eastAsia="zh-CN" w:bidi="ar-SA"/>
              </w:rPr>
              <w:t xml:space="preserve">（2）</w:t>
            </w:r>
            <w:r>
              <w:rPr>
                <w:rFonts w:hint="eastAsia" w:ascii="仿宋_GB2312" w:hAnsi="仿宋_GB2312" w:eastAsia="仿宋_GB2312" w:cs="仿宋_GB2312"/>
                <w:color w:val="auto"/>
                <w:sz w:val="28"/>
                <w:szCs w:val="28"/>
                <w:highlight w:val="none"/>
                <w:lang w:val="en-US" w:eastAsia="en-US" w:bidi="ar-SA"/>
              </w:rPr>
              <w:t xml:space="preserve">建议分析合理，重点难点问题理解比较清晰，解决方案较为合理得</w:t>
            </w:r>
            <w:r>
              <w:rPr>
                <w:rFonts w:hint="eastAsia" w:ascii="仿宋_GB2312" w:hAnsi="仿宋_GB2312" w:eastAsia="仿宋_GB2312" w:cs="仿宋_GB2312"/>
                <w:color w:val="auto"/>
                <w:sz w:val="28"/>
                <w:szCs w:val="28"/>
                <w:highlight w:val="none"/>
                <w:lang w:val="en-US" w:eastAsia="zh-CN" w:bidi="ar-SA"/>
              </w:rPr>
              <w:t xml:space="preserve">7</w:t>
            </w:r>
            <w:r>
              <w:rPr>
                <w:rFonts w:hint="eastAsia" w:ascii="仿宋_GB2312" w:hAnsi="仿宋_GB2312" w:eastAsia="仿宋_GB2312" w:cs="仿宋_GB2312"/>
                <w:color w:val="auto"/>
                <w:sz w:val="28"/>
                <w:szCs w:val="28"/>
                <w:highlight w:val="none"/>
                <w:lang w:val="en-US" w:eastAsia="en-US" w:bidi="ar-SA"/>
              </w:rPr>
              <w:t xml:space="preserve">分；</w:t>
            </w:r>
            <w:r/>
          </w:p>
          <w:p>
            <w:pPr>
              <w:pStyle w:val="713"/>
              <w:ind w:left="0" w:firstLine="560"/>
              <w:jc w:val="left"/>
              <w:keepLines w:val="0"/>
              <w:keepNext w:val="0"/>
              <w:pageBreakBefore w:val="0"/>
              <w:spacing w:before="0" w:beforeAutospacing="0" w:after="0" w:line="520" w:lineRule="exact"/>
              <w:widowControl w:val="off"/>
              <w:rPr>
                <w:rFonts w:hint="eastAsia" w:ascii="仿宋_GB2312" w:hAnsi="仿宋_GB2312" w:eastAsia="仿宋_GB2312" w:cs="仿宋_GB2312"/>
                <w:color w:val="auto"/>
                <w:sz w:val="28"/>
                <w:szCs w:val="28"/>
                <w:highlight w:val="none"/>
                <w:lang w:val="en-US" w:eastAsia="en-US" w:bidi="ar-SA"/>
              </w:rPr>
              <w:outlineLvl w:val="9"/>
            </w:pPr>
            <w:r>
              <w:rPr>
                <w:rFonts w:hint="eastAsia" w:ascii="仿宋_GB2312" w:hAnsi="仿宋_GB2312" w:eastAsia="仿宋_GB2312" w:cs="仿宋_GB2312"/>
                <w:color w:val="auto"/>
                <w:sz w:val="28"/>
                <w:szCs w:val="28"/>
                <w:highlight w:val="none"/>
                <w:lang w:val="en-US" w:eastAsia="zh-CN" w:bidi="ar-SA"/>
              </w:rPr>
              <w:t xml:space="preserve">（3）</w:t>
            </w:r>
            <w:r>
              <w:rPr>
                <w:rFonts w:hint="eastAsia" w:ascii="仿宋_GB2312" w:hAnsi="仿宋_GB2312" w:eastAsia="仿宋_GB2312" w:cs="仿宋_GB2312"/>
                <w:color w:val="auto"/>
                <w:sz w:val="28"/>
                <w:szCs w:val="28"/>
                <w:highlight w:val="none"/>
                <w:lang w:val="en-US" w:eastAsia="en-US" w:bidi="ar-SA"/>
              </w:rPr>
              <w:t xml:space="preserve">建议一般，方案未有实际效果得</w:t>
            </w:r>
            <w:r>
              <w:rPr>
                <w:rFonts w:hint="eastAsia" w:ascii="仿宋_GB2312" w:hAnsi="仿宋_GB2312" w:eastAsia="仿宋_GB2312" w:cs="仿宋_GB2312"/>
                <w:color w:val="auto"/>
                <w:sz w:val="28"/>
                <w:szCs w:val="28"/>
                <w:highlight w:val="none"/>
                <w:lang w:val="en-US" w:eastAsia="zh-CN" w:bidi="ar-SA"/>
              </w:rPr>
              <w:t xml:space="preserve">4</w:t>
            </w:r>
            <w:r>
              <w:rPr>
                <w:rFonts w:hint="eastAsia" w:ascii="仿宋_GB2312" w:hAnsi="仿宋_GB2312" w:eastAsia="仿宋_GB2312" w:cs="仿宋_GB2312"/>
                <w:color w:val="auto"/>
                <w:sz w:val="28"/>
                <w:szCs w:val="28"/>
                <w:highlight w:val="none"/>
                <w:lang w:val="en-US" w:eastAsia="en-US" w:bidi="ar-SA"/>
              </w:rPr>
              <w:t xml:space="preserve">分；</w:t>
            </w:r>
            <w:r/>
          </w:p>
          <w:p>
            <w:pPr>
              <w:ind w:left="0" w:right="0" w:firstLine="560"/>
              <w:jc w:val="both"/>
              <w:keepLines w:val="0"/>
              <w:keepNext w:val="0"/>
              <w:pageBreakBefore w:val="0"/>
              <w:spacing w:before="0" w:after="0" w:line="520" w:lineRule="exact"/>
              <w:widowControl w:val="off"/>
              <w:rPr>
                <w:rFonts w:hint="eastAsia" w:ascii="仿宋_GB2312" w:hAnsi="仿宋_GB2312" w:eastAsia="仿宋_GB2312" w:cs="仿宋_GB2312"/>
                <w:color w:val="auto"/>
                <w:sz w:val="28"/>
                <w:szCs w:val="28"/>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auto"/>
                <w:sz w:val="28"/>
                <w:szCs w:val="28"/>
                <w:highlight w:val="none"/>
                <w:lang w:val="en-US" w:eastAsia="zh-CN" w:bidi="ar-SA"/>
              </w:rPr>
              <w:t xml:space="preserve">（4）</w:t>
            </w:r>
            <w:r>
              <w:rPr>
                <w:rFonts w:hint="eastAsia" w:ascii="仿宋_GB2312" w:hAnsi="仿宋_GB2312" w:eastAsia="仿宋_GB2312" w:cs="仿宋_GB2312"/>
                <w:color w:val="auto"/>
                <w:sz w:val="28"/>
                <w:szCs w:val="28"/>
                <w:highlight w:val="none"/>
                <w:lang w:val="en-US" w:eastAsia="en-US" w:bidi="ar-SA"/>
              </w:rPr>
              <w:t xml:space="preserve">未提供的</w:t>
            </w:r>
            <w:r>
              <w:rPr>
                <w:rFonts w:hint="eastAsia" w:ascii="仿宋_GB2312" w:hAnsi="仿宋_GB2312" w:eastAsia="仿宋_GB2312" w:cs="仿宋_GB2312"/>
                <w:color w:val="auto"/>
                <w:sz w:val="28"/>
                <w:szCs w:val="28"/>
                <w:highlight w:val="none"/>
                <w:lang w:val="en-US" w:eastAsia="zh-CN" w:bidi="ar-SA"/>
              </w:rPr>
              <w:t xml:space="preserve">，</w:t>
            </w:r>
            <w:r>
              <w:rPr>
                <w:rFonts w:hint="eastAsia" w:ascii="仿宋_GB2312" w:hAnsi="仿宋_GB2312" w:eastAsia="仿宋_GB2312" w:cs="仿宋_GB2312"/>
                <w:color w:val="auto"/>
                <w:sz w:val="28"/>
                <w:szCs w:val="28"/>
                <w:highlight w:val="none"/>
                <w:lang w:val="en-US" w:eastAsia="en-US" w:bidi="ar-SA"/>
              </w:rPr>
              <w:t xml:space="preserve">不得分。</w:t>
            </w:r>
            <w:r/>
          </w:p>
          <w:p>
            <w:pPr>
              <w:ind w:left="0" w:right="0" w:firstLine="562"/>
              <w:jc w:val="both"/>
              <w:keepLines w:val="0"/>
              <w:keepNext w:val="0"/>
              <w:pageBreakBefore w:val="0"/>
              <w:spacing w:before="0" w:after="0" w:line="520" w:lineRule="exact"/>
              <w:widowControl w:val="off"/>
              <w:rPr>
                <w:rFonts w:hint="eastAsia" w:ascii="仿宋_GB2312" w:hAnsi="仿宋_GB2312" w:eastAsia="仿宋_GB2312" w:cs="仿宋_GB2312"/>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b/>
                <w:bCs/>
                <w:color w:val="auto"/>
                <w:sz w:val="28"/>
                <w:szCs w:val="28"/>
                <w:highlight w:val="none"/>
              </w:rPr>
              <w:t xml:space="preserve">2、售后服务方案。根据供应商提供的售后服务方案（包括但不限于服务承诺、服务体系、服务内容、方式、专业的技术服务团队及其他资源保障等内容）进行打分：</w:t>
            </w:r>
            <w:r/>
          </w:p>
          <w:p>
            <w:pPr>
              <w:pStyle w:val="713"/>
              <w:ind w:left="0" w:firstLine="560"/>
              <w:jc w:val="left"/>
              <w:keepLines w:val="0"/>
              <w:keepNext w:val="0"/>
              <w:pageBreakBefore w:val="0"/>
              <w:spacing w:before="0" w:beforeAutospacing="0" w:after="0" w:line="520" w:lineRule="exact"/>
              <w:widowControl w:val="off"/>
              <w:rPr>
                <w:rFonts w:hint="eastAsia" w:ascii="仿宋_GB2312" w:hAnsi="仿宋_GB2312" w:eastAsia="仿宋_GB2312" w:cs="仿宋_GB2312"/>
                <w:color w:val="auto"/>
                <w:sz w:val="28"/>
                <w:szCs w:val="28"/>
                <w:highlight w:val="none"/>
                <w:lang w:val="en-US" w:eastAsia="en-US" w:bidi="ar-SA"/>
              </w:rPr>
              <w:outlineLvl w:val="9"/>
            </w:pPr>
            <w:r>
              <w:rPr>
                <w:rFonts w:hint="eastAsia" w:ascii="仿宋_GB2312" w:hAnsi="仿宋_GB2312" w:eastAsia="仿宋_GB2312" w:cs="仿宋_GB2312"/>
                <w:color w:val="auto"/>
                <w:sz w:val="28"/>
                <w:szCs w:val="28"/>
                <w:highlight w:val="none"/>
                <w:lang w:val="en-US" w:eastAsia="zh-CN" w:bidi="ar-SA"/>
              </w:rPr>
              <w:t xml:space="preserve">（1）售后</w:t>
            </w:r>
            <w:r>
              <w:rPr>
                <w:rFonts w:hint="eastAsia" w:ascii="仿宋_GB2312" w:hAnsi="仿宋_GB2312" w:eastAsia="仿宋_GB2312" w:cs="仿宋_GB2312"/>
                <w:color w:val="auto"/>
                <w:sz w:val="28"/>
                <w:szCs w:val="28"/>
                <w:highlight w:val="none"/>
                <w:lang w:val="en-US" w:eastAsia="en-US" w:bidi="ar-SA"/>
              </w:rPr>
              <w:t xml:space="preserve">方案完善、细节清晰、专业性强、可操作性高、与用户需求贴合度高的得</w:t>
            </w:r>
            <w:r>
              <w:rPr>
                <w:rFonts w:hint="eastAsia" w:ascii="仿宋_GB2312" w:hAnsi="仿宋_GB2312" w:eastAsia="仿宋_GB2312" w:cs="仿宋_GB2312"/>
                <w:color w:val="auto"/>
                <w:sz w:val="28"/>
                <w:szCs w:val="28"/>
                <w:highlight w:val="none"/>
                <w:lang w:val="en-US" w:eastAsia="zh-CN" w:bidi="ar-SA"/>
              </w:rPr>
              <w:t xml:space="preserve">10</w:t>
            </w:r>
            <w:r>
              <w:rPr>
                <w:rFonts w:hint="eastAsia" w:ascii="仿宋_GB2312" w:hAnsi="仿宋_GB2312" w:eastAsia="仿宋_GB2312" w:cs="仿宋_GB2312"/>
                <w:color w:val="auto"/>
                <w:sz w:val="28"/>
                <w:szCs w:val="28"/>
                <w:highlight w:val="none"/>
                <w:lang w:val="en-US" w:eastAsia="en-US" w:bidi="ar-SA"/>
              </w:rPr>
              <w:t xml:space="preserve">分；</w:t>
            </w:r>
            <w:r/>
          </w:p>
          <w:p>
            <w:pPr>
              <w:pStyle w:val="713"/>
              <w:ind w:left="0" w:firstLine="560"/>
              <w:jc w:val="left"/>
              <w:keepLines w:val="0"/>
              <w:keepNext w:val="0"/>
              <w:pageBreakBefore w:val="0"/>
              <w:spacing w:before="0" w:beforeAutospacing="0" w:after="0" w:line="520" w:lineRule="exact"/>
              <w:widowControl w:val="off"/>
              <w:rPr>
                <w:rFonts w:hint="eastAsia" w:ascii="仿宋_GB2312" w:hAnsi="仿宋_GB2312" w:eastAsia="仿宋_GB2312" w:cs="仿宋_GB2312"/>
                <w:color w:val="auto"/>
                <w:sz w:val="28"/>
                <w:szCs w:val="28"/>
                <w:highlight w:val="none"/>
                <w:lang w:val="en-US" w:eastAsia="en-US" w:bidi="ar-SA"/>
              </w:rPr>
              <w:outlineLvl w:val="9"/>
            </w:pPr>
            <w:r>
              <w:rPr>
                <w:rFonts w:hint="eastAsia" w:ascii="仿宋_GB2312" w:hAnsi="仿宋_GB2312" w:eastAsia="仿宋_GB2312" w:cs="仿宋_GB2312"/>
                <w:color w:val="auto"/>
                <w:sz w:val="28"/>
                <w:szCs w:val="28"/>
                <w:highlight w:val="none"/>
                <w:lang w:val="en-US" w:eastAsia="zh-CN" w:bidi="ar-SA"/>
              </w:rPr>
              <w:t xml:space="preserve">（2）售后</w:t>
            </w:r>
            <w:r>
              <w:rPr>
                <w:rFonts w:hint="eastAsia" w:ascii="仿宋_GB2312" w:hAnsi="仿宋_GB2312" w:eastAsia="仿宋_GB2312" w:cs="仿宋_GB2312"/>
                <w:color w:val="auto"/>
                <w:sz w:val="28"/>
                <w:szCs w:val="28"/>
                <w:highlight w:val="none"/>
                <w:lang w:val="en-US" w:eastAsia="en-US" w:bidi="ar-SA"/>
              </w:rPr>
              <w:t xml:space="preserve">方案较完善、细节较清晰、专业性较强、可操作性较高、与用户需求贴合度较高的得</w:t>
            </w:r>
            <w:r>
              <w:rPr>
                <w:rFonts w:hint="eastAsia" w:ascii="仿宋_GB2312" w:hAnsi="仿宋_GB2312" w:eastAsia="仿宋_GB2312" w:cs="仿宋_GB2312"/>
                <w:color w:val="auto"/>
                <w:sz w:val="28"/>
                <w:szCs w:val="28"/>
                <w:highlight w:val="none"/>
                <w:lang w:val="en-US" w:eastAsia="zh-CN" w:bidi="ar-SA"/>
              </w:rPr>
              <w:t xml:space="preserve">7</w:t>
            </w:r>
            <w:r>
              <w:rPr>
                <w:rFonts w:hint="eastAsia" w:ascii="仿宋_GB2312" w:hAnsi="仿宋_GB2312" w:eastAsia="仿宋_GB2312" w:cs="仿宋_GB2312"/>
                <w:color w:val="auto"/>
                <w:sz w:val="28"/>
                <w:szCs w:val="28"/>
                <w:highlight w:val="none"/>
                <w:lang w:val="en-US" w:eastAsia="en-US" w:bidi="ar-SA"/>
              </w:rPr>
              <w:t xml:space="preserve">分；</w:t>
            </w:r>
            <w:r/>
          </w:p>
          <w:p>
            <w:pPr>
              <w:pStyle w:val="713"/>
              <w:ind w:left="0" w:firstLine="560"/>
              <w:jc w:val="left"/>
              <w:keepLines w:val="0"/>
              <w:keepNext w:val="0"/>
              <w:pageBreakBefore w:val="0"/>
              <w:spacing w:before="0" w:beforeAutospacing="0" w:after="0" w:line="520" w:lineRule="exact"/>
              <w:widowControl w:val="off"/>
              <w:rPr>
                <w:rFonts w:hint="eastAsia" w:ascii="仿宋_GB2312" w:hAnsi="仿宋_GB2312" w:eastAsia="仿宋_GB2312" w:cs="仿宋_GB2312"/>
                <w:color w:val="auto"/>
                <w:sz w:val="28"/>
                <w:szCs w:val="28"/>
                <w:highlight w:val="none"/>
                <w:lang w:val="en-US" w:eastAsia="en-US" w:bidi="ar-SA"/>
              </w:rPr>
              <w:outlineLvl w:val="9"/>
            </w:pPr>
            <w:r>
              <w:rPr>
                <w:rFonts w:hint="eastAsia" w:ascii="仿宋_GB2312" w:hAnsi="仿宋_GB2312" w:eastAsia="仿宋_GB2312" w:cs="仿宋_GB2312"/>
                <w:color w:val="auto"/>
                <w:sz w:val="28"/>
                <w:szCs w:val="28"/>
                <w:highlight w:val="none"/>
                <w:lang w:val="en-US" w:eastAsia="zh-CN" w:bidi="ar-SA"/>
              </w:rPr>
              <w:t xml:space="preserve">（3）售后</w:t>
            </w:r>
            <w:r>
              <w:rPr>
                <w:rFonts w:hint="eastAsia" w:ascii="仿宋_GB2312" w:hAnsi="仿宋_GB2312" w:eastAsia="仿宋_GB2312" w:cs="仿宋_GB2312"/>
                <w:color w:val="auto"/>
                <w:sz w:val="28"/>
                <w:szCs w:val="28"/>
                <w:highlight w:val="none"/>
                <w:lang w:val="en-US" w:eastAsia="en-US" w:bidi="ar-SA"/>
              </w:rPr>
              <w:t xml:space="preserve">方案不完善、细节不清晰、专业性一般、可操作性一般、与用户需求度差的得</w:t>
            </w:r>
            <w:r>
              <w:rPr>
                <w:rFonts w:hint="eastAsia" w:ascii="仿宋_GB2312" w:hAnsi="仿宋_GB2312" w:eastAsia="仿宋_GB2312" w:cs="仿宋_GB2312"/>
                <w:color w:val="auto"/>
                <w:sz w:val="28"/>
                <w:szCs w:val="28"/>
                <w:highlight w:val="none"/>
                <w:lang w:val="en-US" w:eastAsia="zh-CN" w:bidi="ar-SA"/>
              </w:rPr>
              <w:t xml:space="preserve">4</w:t>
            </w:r>
            <w:r>
              <w:rPr>
                <w:rFonts w:hint="eastAsia" w:ascii="仿宋_GB2312" w:hAnsi="仿宋_GB2312" w:eastAsia="仿宋_GB2312" w:cs="仿宋_GB2312"/>
                <w:color w:val="auto"/>
                <w:sz w:val="28"/>
                <w:szCs w:val="28"/>
                <w:highlight w:val="none"/>
                <w:lang w:val="en-US" w:eastAsia="en-US" w:bidi="ar-SA"/>
              </w:rPr>
              <w:t xml:space="preserve">分；</w:t>
            </w:r>
            <w:r/>
          </w:p>
          <w:p>
            <w:pPr>
              <w:ind w:left="0" w:firstLine="560"/>
              <w:keepLines w:val="0"/>
              <w:keepNext w:val="0"/>
              <w:pageBreakBefore w:val="0"/>
              <w:spacing w:line="52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lang w:eastAsia="zh-CN"/>
              </w:rPr>
              <w:t xml:space="preserve">（</w:t>
            </w:r>
            <w:r>
              <w:rPr>
                <w:rFonts w:hint="eastAsia" w:ascii="仿宋_GB2312" w:hAnsi="仿宋_GB2312" w:eastAsia="仿宋_GB2312" w:cs="仿宋_GB2312"/>
                <w:color w:val="auto"/>
                <w:sz w:val="28"/>
                <w:szCs w:val="28"/>
                <w:highlight w:val="none"/>
                <w:lang w:val="en-US" w:eastAsia="zh-CN"/>
              </w:rPr>
              <w:t xml:space="preserve">4</w:t>
            </w:r>
            <w:r>
              <w:rPr>
                <w:rFonts w:hint="eastAsia" w:ascii="仿宋_GB2312" w:hAnsi="仿宋_GB2312" w:eastAsia="仿宋_GB2312" w:cs="仿宋_GB2312"/>
                <w:color w:val="auto"/>
                <w:sz w:val="28"/>
                <w:szCs w:val="28"/>
                <w:highlight w:val="none"/>
                <w:lang w:eastAsia="zh-CN"/>
              </w:rPr>
              <w:t xml:space="preserve">）</w:t>
            </w:r>
            <w:r>
              <w:rPr>
                <w:rFonts w:hint="eastAsia" w:ascii="仿宋_GB2312" w:hAnsi="仿宋_GB2312" w:eastAsia="仿宋_GB2312" w:cs="仿宋_GB2312"/>
                <w:color w:val="auto"/>
                <w:sz w:val="28"/>
                <w:szCs w:val="28"/>
                <w:highlight w:val="none"/>
              </w:rPr>
              <w:t xml:space="preserve">未作说明的</w:t>
            </w:r>
            <w:r>
              <w:rPr>
                <w:rFonts w:hint="eastAsia" w:ascii="仿宋_GB2312" w:hAnsi="仿宋_GB2312" w:eastAsia="仿宋_GB2312" w:cs="仿宋_GB2312"/>
                <w:color w:val="auto"/>
                <w:sz w:val="28"/>
                <w:szCs w:val="28"/>
                <w:highlight w:val="none"/>
                <w:lang w:eastAsia="zh-CN"/>
              </w:rPr>
              <w:t xml:space="preserve">，</w:t>
            </w:r>
            <w:r>
              <w:rPr>
                <w:rFonts w:hint="eastAsia" w:ascii="仿宋_GB2312" w:hAnsi="仿宋_GB2312" w:eastAsia="仿宋_GB2312" w:cs="仿宋_GB2312"/>
                <w:color w:val="auto"/>
                <w:sz w:val="28"/>
                <w:szCs w:val="28"/>
                <w:highlight w:val="none"/>
              </w:rPr>
              <w:t xml:space="preserve">不得分。</w:t>
            </w:r>
            <w:r/>
          </w:p>
          <w:p>
            <w:pPr>
              <w:ind w:left="0" w:right="0" w:firstLine="562"/>
              <w:jc w:val="both"/>
              <w:keepLines w:val="0"/>
              <w:keepNext w:val="0"/>
              <w:pageBreakBefore w:val="0"/>
              <w:spacing w:before="0" w:after="0" w:line="520" w:lineRule="exact"/>
              <w:widowControl w:val="off"/>
              <w:rPr>
                <w:rFonts w:hint="eastAsia" w:ascii="仿宋_GB2312" w:hAnsi="仿宋_GB2312" w:eastAsia="仿宋_GB2312" w:cs="仿宋_GB2312"/>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b/>
                <w:bCs/>
                <w:color w:val="auto"/>
                <w:sz w:val="28"/>
                <w:szCs w:val="28"/>
                <w:highlight w:val="none"/>
                <w:lang w:val="en-US" w:eastAsia="zh-CN"/>
              </w:rPr>
              <w:t xml:space="preserve">3、</w:t>
            </w:r>
            <w:r>
              <w:rPr>
                <w:rFonts w:hint="eastAsia" w:ascii="仿宋_GB2312" w:hAnsi="仿宋_GB2312" w:eastAsia="仿宋_GB2312" w:cs="仿宋_GB2312"/>
                <w:b/>
                <w:bCs/>
                <w:color w:val="auto"/>
                <w:sz w:val="28"/>
                <w:szCs w:val="28"/>
                <w:highlight w:val="none"/>
              </w:rPr>
              <w:t xml:space="preserve">培训方案。根据供应商提供的培训方案（包括但不限于培训目标、培训计划、培训师资力量、培训课程、培训教材、培训质量保证措施等）进行打分：</w:t>
            </w:r>
            <w:r/>
          </w:p>
          <w:p>
            <w:pPr>
              <w:pStyle w:val="713"/>
              <w:ind w:left="0" w:firstLine="560"/>
              <w:jc w:val="left"/>
              <w:keepLines w:val="0"/>
              <w:keepNext w:val="0"/>
              <w:pageBreakBefore w:val="0"/>
              <w:spacing w:before="0" w:beforeAutospacing="0" w:after="0" w:line="520" w:lineRule="exact"/>
              <w:widowControl w:val="off"/>
              <w:rPr>
                <w:rFonts w:hint="eastAsia" w:ascii="仿宋_GB2312" w:hAnsi="仿宋_GB2312" w:eastAsia="仿宋_GB2312" w:cs="仿宋_GB2312"/>
                <w:color w:val="auto"/>
                <w:sz w:val="28"/>
                <w:szCs w:val="28"/>
                <w:highlight w:val="none"/>
                <w:lang w:val="en-US" w:eastAsia="en-US" w:bidi="ar-SA"/>
              </w:rPr>
              <w:outlineLvl w:val="9"/>
            </w:pPr>
            <w:r>
              <w:rPr>
                <w:rFonts w:hint="eastAsia" w:ascii="仿宋_GB2312" w:hAnsi="仿宋_GB2312" w:eastAsia="仿宋_GB2312" w:cs="仿宋_GB2312"/>
                <w:color w:val="auto"/>
                <w:sz w:val="28"/>
                <w:szCs w:val="28"/>
                <w:highlight w:val="none"/>
                <w:lang w:val="en-US" w:eastAsia="zh-CN" w:bidi="ar-SA"/>
              </w:rPr>
              <w:t xml:space="preserve">（1）培训</w:t>
            </w:r>
            <w:r>
              <w:rPr>
                <w:rFonts w:hint="eastAsia" w:ascii="仿宋_GB2312" w:hAnsi="仿宋_GB2312" w:eastAsia="仿宋_GB2312" w:cs="仿宋_GB2312"/>
                <w:color w:val="auto"/>
                <w:sz w:val="28"/>
                <w:szCs w:val="28"/>
                <w:highlight w:val="none"/>
                <w:lang w:val="en-US" w:eastAsia="en-US" w:bidi="ar-SA"/>
              </w:rPr>
              <w:t xml:space="preserve">方案完善、细节清晰、专业性强、可操作性高、与用户需求贴合度高的得</w:t>
            </w:r>
            <w:r>
              <w:rPr>
                <w:rFonts w:hint="eastAsia" w:ascii="仿宋_GB2312" w:hAnsi="仿宋_GB2312" w:eastAsia="仿宋_GB2312" w:cs="仿宋_GB2312"/>
                <w:color w:val="auto"/>
                <w:sz w:val="28"/>
                <w:szCs w:val="28"/>
                <w:highlight w:val="none"/>
                <w:lang w:val="en-US" w:eastAsia="zh-CN" w:bidi="ar-SA"/>
              </w:rPr>
              <w:t xml:space="preserve">10</w:t>
            </w:r>
            <w:r>
              <w:rPr>
                <w:rFonts w:hint="eastAsia" w:ascii="仿宋_GB2312" w:hAnsi="仿宋_GB2312" w:eastAsia="仿宋_GB2312" w:cs="仿宋_GB2312"/>
                <w:color w:val="auto"/>
                <w:sz w:val="28"/>
                <w:szCs w:val="28"/>
                <w:highlight w:val="none"/>
                <w:lang w:val="en-US" w:eastAsia="en-US" w:bidi="ar-SA"/>
              </w:rPr>
              <w:t xml:space="preserve">分；</w:t>
            </w:r>
            <w:r/>
          </w:p>
          <w:p>
            <w:pPr>
              <w:pStyle w:val="713"/>
              <w:ind w:left="0" w:firstLine="560"/>
              <w:jc w:val="left"/>
              <w:keepLines w:val="0"/>
              <w:keepNext w:val="0"/>
              <w:pageBreakBefore w:val="0"/>
              <w:spacing w:before="0" w:beforeAutospacing="0" w:after="0" w:line="520" w:lineRule="exact"/>
              <w:widowControl w:val="off"/>
              <w:rPr>
                <w:rFonts w:hint="eastAsia" w:ascii="仿宋_GB2312" w:hAnsi="仿宋_GB2312" w:eastAsia="仿宋_GB2312" w:cs="仿宋_GB2312"/>
                <w:color w:val="auto"/>
                <w:sz w:val="28"/>
                <w:szCs w:val="28"/>
                <w:highlight w:val="none"/>
                <w:lang w:val="en-US" w:eastAsia="en-US" w:bidi="ar-SA"/>
              </w:rPr>
              <w:outlineLvl w:val="9"/>
            </w:pPr>
            <w:r>
              <w:rPr>
                <w:rFonts w:hint="eastAsia" w:ascii="仿宋_GB2312" w:hAnsi="仿宋_GB2312" w:eastAsia="仿宋_GB2312" w:cs="仿宋_GB2312"/>
                <w:color w:val="auto"/>
                <w:sz w:val="28"/>
                <w:szCs w:val="28"/>
                <w:highlight w:val="none"/>
                <w:lang w:val="en-US" w:eastAsia="zh-CN" w:bidi="ar-SA"/>
              </w:rPr>
              <w:t xml:space="preserve">（2）培训</w:t>
            </w:r>
            <w:r>
              <w:rPr>
                <w:rFonts w:hint="eastAsia" w:ascii="仿宋_GB2312" w:hAnsi="仿宋_GB2312" w:eastAsia="仿宋_GB2312" w:cs="仿宋_GB2312"/>
                <w:color w:val="auto"/>
                <w:sz w:val="28"/>
                <w:szCs w:val="28"/>
                <w:highlight w:val="none"/>
                <w:lang w:val="en-US" w:eastAsia="en-US" w:bidi="ar-SA"/>
              </w:rPr>
              <w:t xml:space="preserve">方案较完善、细节较清晰、专业性较强、可操作性较高、与用户需求贴合度较高的得</w:t>
            </w:r>
            <w:r>
              <w:rPr>
                <w:rFonts w:hint="eastAsia" w:ascii="仿宋_GB2312" w:hAnsi="仿宋_GB2312" w:eastAsia="仿宋_GB2312" w:cs="仿宋_GB2312"/>
                <w:color w:val="auto"/>
                <w:sz w:val="28"/>
                <w:szCs w:val="28"/>
                <w:highlight w:val="none"/>
                <w:lang w:val="en-US" w:eastAsia="zh-CN" w:bidi="ar-SA"/>
              </w:rPr>
              <w:t xml:space="preserve">7</w:t>
            </w:r>
            <w:r>
              <w:rPr>
                <w:rFonts w:hint="eastAsia" w:ascii="仿宋_GB2312" w:hAnsi="仿宋_GB2312" w:eastAsia="仿宋_GB2312" w:cs="仿宋_GB2312"/>
                <w:color w:val="auto"/>
                <w:sz w:val="28"/>
                <w:szCs w:val="28"/>
                <w:highlight w:val="none"/>
                <w:lang w:val="en-US" w:eastAsia="en-US" w:bidi="ar-SA"/>
              </w:rPr>
              <w:t xml:space="preserve">分；</w:t>
            </w:r>
            <w:r/>
          </w:p>
          <w:p>
            <w:pPr>
              <w:pStyle w:val="713"/>
              <w:ind w:left="0" w:firstLine="560"/>
              <w:jc w:val="left"/>
              <w:keepLines w:val="0"/>
              <w:keepNext w:val="0"/>
              <w:pageBreakBefore w:val="0"/>
              <w:spacing w:before="0" w:beforeAutospacing="0" w:after="0" w:line="520" w:lineRule="exact"/>
              <w:widowControl w:val="off"/>
              <w:rPr>
                <w:rFonts w:hint="eastAsia" w:ascii="仿宋_GB2312" w:hAnsi="仿宋_GB2312" w:eastAsia="仿宋_GB2312" w:cs="仿宋_GB2312"/>
                <w:color w:val="auto"/>
                <w:sz w:val="28"/>
                <w:szCs w:val="28"/>
                <w:highlight w:val="none"/>
                <w:lang w:val="en-US" w:eastAsia="en-US" w:bidi="ar-SA"/>
              </w:rPr>
              <w:outlineLvl w:val="9"/>
            </w:pPr>
            <w:r>
              <w:rPr>
                <w:rFonts w:hint="eastAsia" w:ascii="仿宋_GB2312" w:hAnsi="仿宋_GB2312" w:eastAsia="仿宋_GB2312" w:cs="仿宋_GB2312"/>
                <w:color w:val="auto"/>
                <w:sz w:val="28"/>
                <w:szCs w:val="28"/>
                <w:highlight w:val="none"/>
                <w:lang w:val="en-US" w:eastAsia="zh-CN" w:bidi="ar-SA"/>
              </w:rPr>
              <w:t xml:space="preserve">（3）培训</w:t>
            </w:r>
            <w:r>
              <w:rPr>
                <w:rFonts w:hint="eastAsia" w:ascii="仿宋_GB2312" w:hAnsi="仿宋_GB2312" w:eastAsia="仿宋_GB2312" w:cs="仿宋_GB2312"/>
                <w:color w:val="auto"/>
                <w:sz w:val="28"/>
                <w:szCs w:val="28"/>
                <w:highlight w:val="none"/>
                <w:lang w:val="en-US" w:eastAsia="en-US" w:bidi="ar-SA"/>
              </w:rPr>
              <w:t xml:space="preserve">方案不完善、细节不清晰、专业性一般、可操作性一般、与用户需求度差的得</w:t>
            </w:r>
            <w:r>
              <w:rPr>
                <w:rFonts w:hint="eastAsia" w:ascii="仿宋_GB2312" w:hAnsi="仿宋_GB2312" w:eastAsia="仿宋_GB2312" w:cs="仿宋_GB2312"/>
                <w:color w:val="auto"/>
                <w:sz w:val="28"/>
                <w:szCs w:val="28"/>
                <w:highlight w:val="none"/>
                <w:lang w:val="en-US" w:eastAsia="zh-CN" w:bidi="ar-SA"/>
              </w:rPr>
              <w:t xml:space="preserve">4</w:t>
            </w:r>
            <w:r>
              <w:rPr>
                <w:rFonts w:hint="eastAsia" w:ascii="仿宋_GB2312" w:hAnsi="仿宋_GB2312" w:eastAsia="仿宋_GB2312" w:cs="仿宋_GB2312"/>
                <w:color w:val="auto"/>
                <w:sz w:val="28"/>
                <w:szCs w:val="28"/>
                <w:highlight w:val="none"/>
                <w:lang w:val="en-US" w:eastAsia="en-US" w:bidi="ar-SA"/>
              </w:rPr>
              <w:t xml:space="preserve">分；</w:t>
            </w:r>
            <w:r/>
          </w:p>
          <w:p>
            <w:pPr>
              <w:ind w:left="0" w:firstLine="560"/>
              <w:keepLines w:val="0"/>
              <w:keepNext w:val="0"/>
              <w:pageBreakBefore w:val="0"/>
              <w:spacing w:line="520" w:lineRule="exact"/>
              <w:widowControl w:val="off"/>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lang w:val="en-US" w:eastAsia="zh-CN" w:bidi="ar-SA"/>
              </w:rPr>
              <w:t xml:space="preserve">（4）</w:t>
            </w:r>
            <w:r>
              <w:rPr>
                <w:rFonts w:hint="eastAsia" w:ascii="仿宋_GB2312" w:hAnsi="仿宋_GB2312" w:eastAsia="仿宋_GB2312" w:cs="仿宋_GB2312"/>
                <w:color w:val="auto"/>
                <w:sz w:val="28"/>
                <w:szCs w:val="28"/>
                <w:highlight w:val="none"/>
                <w:lang w:val="en-US" w:eastAsia="en-US" w:bidi="ar-SA"/>
              </w:rPr>
              <w:t xml:space="preserve">未作说明的</w:t>
            </w:r>
            <w:r>
              <w:rPr>
                <w:rFonts w:hint="eastAsia" w:ascii="仿宋_GB2312" w:hAnsi="仿宋_GB2312" w:eastAsia="仿宋_GB2312" w:cs="仿宋_GB2312"/>
                <w:color w:val="auto"/>
                <w:sz w:val="28"/>
                <w:szCs w:val="28"/>
                <w:highlight w:val="none"/>
                <w:lang w:val="en-US" w:eastAsia="zh-CN" w:bidi="ar-SA"/>
              </w:rPr>
              <w:t xml:space="preserve">，</w:t>
            </w:r>
            <w:r>
              <w:rPr>
                <w:rFonts w:hint="eastAsia" w:ascii="仿宋_GB2312" w:hAnsi="仿宋_GB2312" w:eastAsia="仿宋_GB2312" w:cs="仿宋_GB2312"/>
                <w:color w:val="auto"/>
                <w:sz w:val="28"/>
                <w:szCs w:val="28"/>
                <w:highlight w:val="none"/>
                <w:lang w:val="en-US" w:eastAsia="en-US" w:bidi="ar-SA"/>
              </w:rPr>
              <w:t xml:space="preserve">不得分。</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5" w:type="dxa"/>
            <w:vAlign w:val="center"/>
            <w:textDirection w:val="lrTb"/>
            <w:noWrap w:val="false"/>
          </w:tcPr>
          <w:p>
            <w:pPr>
              <w:ind w:firstLine="28"/>
              <w:jc w:val="center"/>
              <w:spacing w:line="400" w:lineRule="atLeast"/>
              <w:rPr>
                <w:rFonts w:hint="eastAsia" w:ascii="仿宋_GB2312" w:hAnsi="仿宋_GB2312" w:eastAsia="仿宋_GB2312" w:cs="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auto"/>
                <w:sz w:val="28"/>
                <w:szCs w:val="28"/>
                <w:highlight w:val="none"/>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0" w:type="dxa"/>
            <w:vAlign w:val="center"/>
            <w:textDirection w:val="lrTb"/>
            <w:noWrap w:val="false"/>
          </w:tcPr>
          <w:p>
            <w:pPr>
              <w:ind w:firstLine="28"/>
              <w:jc w:val="center"/>
              <w:spacing w:line="400" w:lineRule="atLeast"/>
              <w:rPr>
                <w:rFonts w:hint="eastAsia" w:ascii="仿宋_GB2312" w:hAnsi="仿宋_GB2312" w:eastAsia="仿宋_GB2312" w:cs="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auto"/>
                <w:sz w:val="28"/>
                <w:szCs w:val="28"/>
                <w:highlight w:val="none"/>
              </w:rPr>
              <w:t xml:space="preserve">重点难点分析及解决策略</w:t>
            </w:r>
            <w:r>
              <w:rPr>
                <w:rFonts w:hint="eastAsia" w:ascii="仿宋_GB2312" w:hAnsi="仿宋_GB2312" w:eastAsia="仿宋_GB2312" w:cs="仿宋_GB2312"/>
                <w:color w:val="auto"/>
                <w:sz w:val="28"/>
                <w:szCs w:val="28"/>
                <w:highlight w:val="none"/>
                <w:lang w:val="en-US" w:eastAsia="zh-CN"/>
              </w:rPr>
              <w:t xml:space="preserve">1</w:t>
            </w:r>
            <w:r>
              <w:rPr>
                <w:rFonts w:hint="eastAsia" w:ascii="仿宋_GB2312" w:hAnsi="仿宋_GB2312" w:eastAsia="仿宋_GB2312" w:cs="仿宋_GB2312"/>
                <w:color w:val="auto"/>
                <w:sz w:val="28"/>
                <w:szCs w:val="28"/>
                <w:highlight w:val="none"/>
              </w:rPr>
              <w:t xml:space="preserve">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5" w:type="dxa"/>
            <w:vAlign w:val="center"/>
            <w:textDirection w:val="lrTb"/>
            <w:noWrap w:val="false"/>
          </w:tcPr>
          <w:p>
            <w:pPr>
              <w:ind w:firstLine="28"/>
              <w:jc w:val="center"/>
              <w:spacing w:line="400" w:lineRule="atLeast"/>
              <w:rPr>
                <w:rFonts w:hint="eastAsia" w:ascii="仿宋_GB2312" w:hAnsi="仿宋_GB2312" w:eastAsia="仿宋_GB2312" w:cs="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auto"/>
                <w:sz w:val="28"/>
                <w:szCs w:val="28"/>
                <w:highlight w:val="none"/>
                <w:lang w:val="en-US" w:eastAsia="zh-CN"/>
              </w:rPr>
              <w:t xml:space="preserve">1</w:t>
            </w:r>
            <w:r>
              <w:rPr>
                <w:rFonts w:hint="eastAsia" w:ascii="仿宋_GB2312" w:hAnsi="仿宋_GB2312" w:eastAsia="仿宋_GB2312" w:cs="仿宋_GB2312"/>
                <w:color w:val="auto"/>
                <w:sz w:val="28"/>
                <w:szCs w:val="28"/>
                <w:highlight w:val="none"/>
              </w:rPr>
              <w:t xml:space="preserve">0分</w:t>
            </w:r>
            <w:r/>
          </w:p>
        </w:tc>
        <w:tc>
          <w:tcPr>
            <w:gridSpan w:val="2"/>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82" w:type="dxa"/>
            <w:vAlign w:val="center"/>
            <w:textDirection w:val="lrTb"/>
            <w:noWrap w:val="false"/>
          </w:tcPr>
          <w:p>
            <w:pPr>
              <w:pStyle w:val="713"/>
              <w:ind w:left="0" w:firstLine="562"/>
              <w:jc w:val="left"/>
              <w:keepLines w:val="0"/>
              <w:keepNext w:val="0"/>
              <w:pageBreakBefore w:val="0"/>
              <w:spacing w:before="0" w:beforeAutospacing="0" w:after="0" w:line="520" w:lineRule="exact"/>
              <w:widowControl w:val="off"/>
              <w:rPr>
                <w:rFonts w:hint="eastAsia" w:ascii="仿宋_GB2312" w:hAnsi="仿宋_GB2312" w:eastAsia="仿宋_GB2312" w:cs="仿宋_GB2312"/>
                <w:color w:val="auto"/>
                <w:sz w:val="28"/>
                <w:szCs w:val="28"/>
                <w:highlight w:val="none"/>
                <w:lang w:val="en-US" w:eastAsia="zh-CN" w:bidi="ar-SA"/>
              </w:rPr>
              <w:outlineLvl w:val="9"/>
            </w:pPr>
            <w:r>
              <w:rPr>
                <w:rFonts w:hint="eastAsia" w:ascii="仿宋_GB2312" w:hAnsi="仿宋_GB2312" w:eastAsia="仿宋_GB2312" w:cs="仿宋_GB2312"/>
                <w:b/>
                <w:bCs/>
                <w:color w:val="auto"/>
                <w:sz w:val="28"/>
                <w:szCs w:val="28"/>
                <w:highlight w:val="none"/>
                <w:lang w:val="en-US" w:eastAsia="en-US" w:bidi="ar-SA"/>
              </w:rPr>
              <w:t xml:space="preserve">根据投标人合理化建议，包括重点难点分析并提供解决方案等综合评分</w:t>
            </w:r>
            <w:r>
              <w:rPr>
                <w:rFonts w:hint="eastAsia" w:ascii="仿宋_GB2312" w:hAnsi="仿宋_GB2312" w:eastAsia="仿宋_GB2312" w:cs="仿宋_GB2312"/>
                <w:b/>
                <w:bCs/>
                <w:color w:val="auto"/>
                <w:sz w:val="28"/>
                <w:szCs w:val="28"/>
                <w:highlight w:val="none"/>
                <w:lang w:val="en-US" w:eastAsia="zh-CN" w:bidi="ar-SA"/>
              </w:rPr>
              <w:t xml:space="preserve">：</w:t>
            </w:r>
            <w:r/>
          </w:p>
          <w:p>
            <w:pPr>
              <w:pStyle w:val="713"/>
              <w:ind w:left="0" w:firstLine="560"/>
              <w:jc w:val="left"/>
              <w:keepLines w:val="0"/>
              <w:keepNext w:val="0"/>
              <w:pageBreakBefore w:val="0"/>
              <w:spacing w:before="0" w:beforeAutospacing="0" w:after="0" w:line="520" w:lineRule="exact"/>
              <w:widowControl w:val="off"/>
              <w:rPr>
                <w:rFonts w:hint="eastAsia" w:ascii="仿宋_GB2312" w:hAnsi="仿宋_GB2312" w:eastAsia="仿宋_GB2312" w:cs="仿宋_GB2312"/>
                <w:color w:val="auto"/>
                <w:sz w:val="28"/>
                <w:szCs w:val="28"/>
                <w:highlight w:val="none"/>
                <w:lang w:val="en-US" w:eastAsia="en-US" w:bidi="ar-SA"/>
              </w:rPr>
              <w:outlineLvl w:val="9"/>
            </w:pPr>
            <w:r>
              <w:rPr>
                <w:rFonts w:hint="eastAsia" w:ascii="仿宋_GB2312" w:hAnsi="仿宋_GB2312" w:eastAsia="仿宋_GB2312" w:cs="仿宋_GB2312"/>
                <w:color w:val="auto"/>
                <w:sz w:val="28"/>
                <w:szCs w:val="28"/>
                <w:highlight w:val="none"/>
                <w:lang w:val="en-US" w:eastAsia="zh-CN" w:bidi="ar-SA"/>
              </w:rPr>
              <w:t xml:space="preserve">（1）</w:t>
            </w:r>
            <w:r>
              <w:rPr>
                <w:rFonts w:hint="eastAsia" w:ascii="仿宋_GB2312" w:hAnsi="仿宋_GB2312" w:eastAsia="仿宋_GB2312" w:cs="仿宋_GB2312"/>
                <w:color w:val="auto"/>
                <w:sz w:val="28"/>
                <w:szCs w:val="28"/>
                <w:highlight w:val="none"/>
                <w:lang w:val="en-US" w:eastAsia="en-US" w:bidi="ar-SA"/>
              </w:rPr>
              <w:t xml:space="preserve">合理化建议分析到位，重点难点问题剖析深刻，解决方案切实可用得</w:t>
            </w:r>
            <w:r>
              <w:rPr>
                <w:rFonts w:hint="eastAsia" w:ascii="仿宋_GB2312" w:hAnsi="仿宋_GB2312" w:eastAsia="仿宋_GB2312" w:cs="仿宋_GB2312"/>
                <w:color w:val="auto"/>
                <w:sz w:val="28"/>
                <w:szCs w:val="28"/>
                <w:highlight w:val="none"/>
                <w:lang w:val="en-US" w:eastAsia="zh-CN" w:bidi="ar-SA"/>
              </w:rPr>
              <w:t xml:space="preserve">10</w:t>
            </w:r>
            <w:r>
              <w:rPr>
                <w:rFonts w:hint="eastAsia" w:ascii="仿宋_GB2312" w:hAnsi="仿宋_GB2312" w:eastAsia="仿宋_GB2312" w:cs="仿宋_GB2312"/>
                <w:color w:val="auto"/>
                <w:sz w:val="28"/>
                <w:szCs w:val="28"/>
                <w:highlight w:val="none"/>
                <w:lang w:val="en-US" w:eastAsia="en-US" w:bidi="ar-SA"/>
              </w:rPr>
              <w:t xml:space="preserve">分；</w:t>
            </w:r>
            <w:r/>
          </w:p>
          <w:p>
            <w:pPr>
              <w:pStyle w:val="713"/>
              <w:ind w:left="0" w:firstLine="560"/>
              <w:jc w:val="left"/>
              <w:keepLines w:val="0"/>
              <w:keepNext w:val="0"/>
              <w:pageBreakBefore w:val="0"/>
              <w:spacing w:before="0" w:beforeAutospacing="0" w:after="0" w:line="520" w:lineRule="exact"/>
              <w:widowControl w:val="off"/>
              <w:rPr>
                <w:rFonts w:hint="eastAsia" w:ascii="仿宋_GB2312" w:hAnsi="仿宋_GB2312" w:eastAsia="仿宋_GB2312" w:cs="仿宋_GB2312"/>
                <w:color w:val="auto"/>
                <w:sz w:val="28"/>
                <w:szCs w:val="28"/>
                <w:highlight w:val="none"/>
                <w:lang w:val="en-US" w:eastAsia="en-US" w:bidi="ar-SA"/>
              </w:rPr>
              <w:outlineLvl w:val="9"/>
            </w:pPr>
            <w:r>
              <w:rPr>
                <w:rFonts w:hint="eastAsia" w:ascii="仿宋_GB2312" w:hAnsi="仿宋_GB2312" w:eastAsia="仿宋_GB2312" w:cs="仿宋_GB2312"/>
                <w:color w:val="auto"/>
                <w:sz w:val="28"/>
                <w:szCs w:val="28"/>
                <w:highlight w:val="none"/>
                <w:lang w:val="en-US" w:eastAsia="zh-CN" w:bidi="ar-SA"/>
              </w:rPr>
              <w:t xml:space="preserve">（2）</w:t>
            </w:r>
            <w:r>
              <w:rPr>
                <w:rFonts w:hint="eastAsia" w:ascii="仿宋_GB2312" w:hAnsi="仿宋_GB2312" w:eastAsia="仿宋_GB2312" w:cs="仿宋_GB2312"/>
                <w:color w:val="auto"/>
                <w:sz w:val="28"/>
                <w:szCs w:val="28"/>
                <w:highlight w:val="none"/>
                <w:lang w:val="en-US" w:eastAsia="en-US" w:bidi="ar-SA"/>
              </w:rPr>
              <w:t xml:space="preserve">建议分析合理，重点难点问题理解比较清晰，解决方案较为合理得</w:t>
            </w:r>
            <w:r>
              <w:rPr>
                <w:rFonts w:hint="eastAsia" w:ascii="仿宋_GB2312" w:hAnsi="仿宋_GB2312" w:eastAsia="仿宋_GB2312" w:cs="仿宋_GB2312"/>
                <w:color w:val="auto"/>
                <w:sz w:val="28"/>
                <w:szCs w:val="28"/>
                <w:highlight w:val="none"/>
                <w:lang w:val="en-US" w:eastAsia="zh-CN" w:bidi="ar-SA"/>
              </w:rPr>
              <w:t xml:space="preserve">7</w:t>
            </w:r>
            <w:r>
              <w:rPr>
                <w:rFonts w:hint="eastAsia" w:ascii="仿宋_GB2312" w:hAnsi="仿宋_GB2312" w:eastAsia="仿宋_GB2312" w:cs="仿宋_GB2312"/>
                <w:color w:val="auto"/>
                <w:sz w:val="28"/>
                <w:szCs w:val="28"/>
                <w:highlight w:val="none"/>
                <w:lang w:val="en-US" w:eastAsia="en-US" w:bidi="ar-SA"/>
              </w:rPr>
              <w:t xml:space="preserve">分；</w:t>
            </w:r>
            <w:r/>
          </w:p>
          <w:p>
            <w:pPr>
              <w:pStyle w:val="713"/>
              <w:ind w:left="0" w:firstLine="560"/>
              <w:jc w:val="left"/>
              <w:keepLines w:val="0"/>
              <w:keepNext w:val="0"/>
              <w:pageBreakBefore w:val="0"/>
              <w:spacing w:before="0" w:beforeAutospacing="0" w:after="0" w:line="520" w:lineRule="exact"/>
              <w:widowControl w:val="off"/>
              <w:rPr>
                <w:rFonts w:hint="eastAsia" w:ascii="仿宋_GB2312" w:hAnsi="仿宋_GB2312" w:eastAsia="仿宋_GB2312" w:cs="仿宋_GB2312"/>
                <w:color w:val="auto"/>
                <w:sz w:val="28"/>
                <w:szCs w:val="28"/>
                <w:highlight w:val="none"/>
                <w:lang w:val="en-US" w:eastAsia="en-US" w:bidi="ar-SA"/>
              </w:rPr>
              <w:outlineLvl w:val="9"/>
            </w:pPr>
            <w:r>
              <w:rPr>
                <w:rFonts w:hint="eastAsia" w:ascii="仿宋_GB2312" w:hAnsi="仿宋_GB2312" w:eastAsia="仿宋_GB2312" w:cs="仿宋_GB2312"/>
                <w:color w:val="auto"/>
                <w:sz w:val="28"/>
                <w:szCs w:val="28"/>
                <w:highlight w:val="none"/>
                <w:lang w:val="en-US" w:eastAsia="zh-CN" w:bidi="ar-SA"/>
              </w:rPr>
              <w:t xml:space="preserve">（3）</w:t>
            </w:r>
            <w:r>
              <w:rPr>
                <w:rFonts w:hint="eastAsia" w:ascii="仿宋_GB2312" w:hAnsi="仿宋_GB2312" w:eastAsia="仿宋_GB2312" w:cs="仿宋_GB2312"/>
                <w:color w:val="auto"/>
                <w:sz w:val="28"/>
                <w:szCs w:val="28"/>
                <w:highlight w:val="none"/>
                <w:lang w:val="en-US" w:eastAsia="en-US" w:bidi="ar-SA"/>
              </w:rPr>
              <w:t xml:space="preserve">建议一般，方案未有实际效果得</w:t>
            </w:r>
            <w:r>
              <w:rPr>
                <w:rFonts w:hint="eastAsia" w:ascii="仿宋_GB2312" w:hAnsi="仿宋_GB2312" w:eastAsia="仿宋_GB2312" w:cs="仿宋_GB2312"/>
                <w:color w:val="auto"/>
                <w:sz w:val="28"/>
                <w:szCs w:val="28"/>
                <w:highlight w:val="none"/>
                <w:lang w:val="en-US" w:eastAsia="zh-CN" w:bidi="ar-SA"/>
              </w:rPr>
              <w:t xml:space="preserve">4</w:t>
            </w:r>
            <w:r>
              <w:rPr>
                <w:rFonts w:hint="eastAsia" w:ascii="仿宋_GB2312" w:hAnsi="仿宋_GB2312" w:eastAsia="仿宋_GB2312" w:cs="仿宋_GB2312"/>
                <w:color w:val="auto"/>
                <w:sz w:val="28"/>
                <w:szCs w:val="28"/>
                <w:highlight w:val="none"/>
                <w:lang w:val="en-US" w:eastAsia="en-US" w:bidi="ar-SA"/>
              </w:rPr>
              <w:t xml:space="preserve">分；</w:t>
            </w:r>
            <w:r/>
          </w:p>
          <w:p>
            <w:pPr>
              <w:ind w:left="0" w:firstLine="560"/>
              <w:keepLines w:val="0"/>
              <w:keepNext w:val="0"/>
              <w:pageBreakBefore w:val="0"/>
              <w:spacing w:line="520" w:lineRule="exact"/>
              <w:widowControl w:val="off"/>
              <w:rPr>
                <w:rFonts w:hint="eastAsia" w:ascii="仿宋_GB2312" w:hAnsi="仿宋_GB2312" w:eastAsia="仿宋_GB2312" w:cs="仿宋_GB2312"/>
                <w:sz w:val="28"/>
                <w:szCs w:val="28"/>
                <w:highlight w:val="none"/>
                <w:lang w:val="en-US" w:eastAsia="en-US" w:bidi="ar-SA"/>
              </w:rPr>
            </w:pPr>
            <w:r>
              <w:rPr>
                <w:rFonts w:hint="eastAsia" w:ascii="仿宋_GB2312" w:hAnsi="仿宋_GB2312" w:eastAsia="仿宋_GB2312" w:cs="仿宋_GB2312"/>
                <w:color w:val="auto"/>
                <w:sz w:val="28"/>
                <w:szCs w:val="28"/>
                <w:highlight w:val="none"/>
                <w:lang w:val="en-US" w:eastAsia="zh-CN" w:bidi="ar-SA"/>
              </w:rPr>
              <w:t xml:space="preserve">（4）</w:t>
            </w:r>
            <w:r>
              <w:rPr>
                <w:rFonts w:hint="eastAsia" w:ascii="仿宋_GB2312" w:hAnsi="仿宋_GB2312" w:eastAsia="仿宋_GB2312" w:cs="仿宋_GB2312"/>
                <w:color w:val="auto"/>
                <w:sz w:val="28"/>
                <w:szCs w:val="28"/>
                <w:highlight w:val="none"/>
                <w:lang w:val="en-US" w:eastAsia="en-US" w:bidi="ar-SA"/>
              </w:rPr>
              <w:t xml:space="preserve">未提供的</w:t>
            </w:r>
            <w:r>
              <w:rPr>
                <w:rFonts w:hint="eastAsia" w:ascii="仿宋_GB2312" w:hAnsi="仿宋_GB2312" w:eastAsia="仿宋_GB2312" w:cs="仿宋_GB2312"/>
                <w:color w:val="auto"/>
                <w:sz w:val="28"/>
                <w:szCs w:val="28"/>
                <w:highlight w:val="none"/>
                <w:lang w:val="en-US" w:eastAsia="zh-CN" w:bidi="ar-SA"/>
              </w:rPr>
              <w:t xml:space="preserve">，</w:t>
            </w:r>
            <w:r>
              <w:rPr>
                <w:rFonts w:hint="eastAsia" w:ascii="仿宋_GB2312" w:hAnsi="仿宋_GB2312" w:eastAsia="仿宋_GB2312" w:cs="仿宋_GB2312"/>
                <w:color w:val="auto"/>
                <w:sz w:val="28"/>
                <w:szCs w:val="28"/>
                <w:highlight w:val="none"/>
                <w:lang w:val="en-US" w:eastAsia="en-US" w:bidi="ar-SA"/>
              </w:rPr>
              <w:t xml:space="preserve">不得分。</w:t>
            </w:r>
            <w:r/>
          </w:p>
        </w:tc>
      </w:tr>
    </w:tbl>
    <w:p>
      <w:pPr>
        <w:ind w:left="0" w:right="0" w:firstLine="0"/>
        <w:jc w:val="both"/>
        <w:spacing w:before="0" w:after="0"/>
        <w:pBdr>
          <w:top w:val="none" w:color="000000" w:sz="0" w:space="0"/>
          <w:left w:val="none" w:color="000000" w:sz="0" w:space="0"/>
          <w:bottom w:val="none" w:color="000000" w:sz="0" w:space="0"/>
          <w:right w:val="none" w:color="000000" w:sz="0" w:space="0"/>
        </w:pBdr>
      </w:pPr>
      <w:r/>
      <w:r/>
    </w:p>
    <w:p>
      <w:pPr>
        <w:ind w:left="0" w:right="0" w:firstLine="0"/>
        <w:spacing w:before="240" w:after="240"/>
        <w:rPr>
          <w:rFonts w:hint="eastAsia" w:ascii="仿宋_GB2312" w:hAnsi="仿宋_GB2312" w:eastAsia="仿宋_GB2312" w:cs="仿宋_GB2312"/>
          <w:b/>
          <w:bCs/>
          <w:color w:val="000000"/>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b/>
          <w:bCs/>
          <w:color w:val="000000"/>
          <w:sz w:val="28"/>
          <w:szCs w:val="28"/>
        </w:rPr>
        <w:t xml:space="preserve">注：评分结果精确到小数点后两位。</w:t>
      </w:r>
      <w:r/>
    </w:p>
    <w:p>
      <w:pPr>
        <w:pStyle w:val="715"/>
        <w:rPr>
          <w:rFonts w:hint="eastAsia" w:ascii="仿宋_GB2312" w:hAnsi="仿宋_GB2312" w:eastAsia="仿宋_GB2312" w:cs="仿宋_GB2312"/>
          <w:b/>
          <w:bCs/>
          <w:color w:val="000000"/>
          <w:sz w:val="28"/>
          <w:szCs w:val="28"/>
        </w:rPr>
      </w:pPr>
      <w:r>
        <w:rPr>
          <w:rFonts w:hint="eastAsia" w:ascii="仿宋_GB2312" w:hAnsi="仿宋_GB2312" w:eastAsia="仿宋_GB2312" w:cs="仿宋_GB2312"/>
          <w:b/>
          <w:bCs/>
          <w:color w:val="000000"/>
          <w:sz w:val="28"/>
          <w:szCs w:val="28"/>
        </w:rPr>
      </w:r>
      <w:r/>
    </w:p>
    <w:p>
      <w:pPr>
        <w:pStyle w:val="715"/>
        <w:rPr>
          <w:rFonts w:hint="eastAsia" w:ascii="仿宋_GB2312" w:hAnsi="仿宋_GB2312" w:eastAsia="仿宋_GB2312" w:cs="仿宋_GB2312"/>
          <w:b/>
          <w:bCs/>
          <w:color w:val="000000"/>
          <w:sz w:val="28"/>
          <w:szCs w:val="28"/>
        </w:rPr>
      </w:pPr>
      <w:r>
        <w:rPr>
          <w:rFonts w:hint="eastAsia" w:ascii="仿宋_GB2312" w:hAnsi="仿宋_GB2312" w:eastAsia="仿宋_GB2312" w:cs="仿宋_GB2312"/>
          <w:b/>
          <w:bCs/>
          <w:color w:val="000000"/>
          <w:sz w:val="28"/>
          <w:szCs w:val="28"/>
        </w:rPr>
      </w:r>
      <w:r/>
    </w:p>
    <w:p>
      <w:pPr>
        <w:pStyle w:val="715"/>
        <w:ind w:left="0" w:firstLine="0"/>
        <w:rPr>
          <w:rFonts w:hint="eastAsia" w:ascii="仿宋_GB2312" w:hAnsi="仿宋_GB2312" w:eastAsia="仿宋_GB2312" w:cs="仿宋_GB2312"/>
          <w:b/>
          <w:bCs/>
          <w:color w:val="000000"/>
          <w:sz w:val="28"/>
          <w:szCs w:val="28"/>
        </w:rPr>
      </w:pPr>
      <w:r>
        <w:rPr>
          <w:rFonts w:hint="eastAsia" w:ascii="仿宋_GB2312" w:hAnsi="仿宋_GB2312" w:eastAsia="仿宋_GB2312" w:cs="仿宋_GB2312"/>
          <w:b/>
          <w:bCs/>
          <w:color w:val="000000"/>
          <w:sz w:val="28"/>
          <w:szCs w:val="28"/>
        </w:rPr>
      </w:r>
      <w:r/>
    </w:p>
    <w:p>
      <w:pPr>
        <w:pStyle w:val="715"/>
        <w:rPr>
          <w:rFonts w:hint="eastAsia" w:ascii="仿宋_GB2312" w:hAnsi="仿宋_GB2312" w:eastAsia="仿宋_GB2312" w:cs="仿宋_GB2312"/>
          <w:b/>
          <w:bCs/>
          <w:color w:val="000000"/>
          <w:sz w:val="28"/>
          <w:szCs w:val="28"/>
        </w:rPr>
      </w:pPr>
      <w:r>
        <w:rPr>
          <w:rFonts w:hint="eastAsia" w:ascii="仿宋_GB2312" w:hAnsi="仿宋_GB2312" w:eastAsia="仿宋_GB2312" w:cs="仿宋_GB2312"/>
          <w:b/>
          <w:bCs/>
          <w:color w:val="000000"/>
          <w:sz w:val="28"/>
          <w:szCs w:val="28"/>
        </w:rPr>
      </w:r>
      <w:r/>
    </w:p>
    <w:p>
      <w:pPr>
        <w:numPr>
          <w:ilvl w:val="0"/>
          <w:numId w:val="3"/>
        </w:numPr>
        <w:jc w:val="center"/>
        <w:keepLines w:val="0"/>
        <w:keepNext w:val="0"/>
        <w:pageBreakBefore w:val="0"/>
        <w:spacing w:line="520" w:lineRule="exact"/>
        <w:widowControl w:val="off"/>
        <w:rPr>
          <w:rFonts w:hint="eastAsia" w:ascii="仿宋_GB2312" w:hAnsi="仿宋_GB2312" w:eastAsia="仿宋_GB2312" w:cs="仿宋_GB2312"/>
          <w:sz w:val="36"/>
          <w:szCs w:val="36"/>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b/>
          <w:color w:val="000000"/>
          <w:sz w:val="32"/>
          <w:szCs w:val="32"/>
        </w:rPr>
        <w:t xml:space="preserve">项目要求（采购需求）</w:t>
      </w:r>
      <w:r/>
    </w:p>
    <w:p>
      <w:pPr>
        <w:ind w:left="0" w:right="0" w:firstLine="560"/>
        <w:keepLines w:val="0"/>
        <w:keepNext w:val="0"/>
        <w:pageBreakBefore w:val="0"/>
        <w:spacing w:line="520" w:lineRule="exact"/>
        <w:widowControl w:val="off"/>
        <w:rPr>
          <w:rFonts w:hint="eastAsia"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28"/>
          <w:szCs w:val="28"/>
        </w:rPr>
      </w:r>
      <w:r/>
    </w:p>
    <w:p>
      <w:pPr>
        <w:numPr>
          <w:ilvl w:val="0"/>
          <w:numId w:val="4"/>
        </w:numPr>
        <w:ind w:left="0" w:right="0" w:firstLine="562"/>
        <w:keepLines w:val="0"/>
        <w:keepNext w:val="0"/>
        <w:pageBreakBefore w:val="0"/>
        <w:spacing w:line="520" w:lineRule="exact"/>
        <w:widowControl w:val="off"/>
        <w:rPr>
          <w:rFonts w:hint="eastAsia" w:ascii="仿宋_GB2312" w:hAnsi="仿宋_GB2312" w:eastAsia="仿宋_GB2312" w:cs="仿宋_GB2312"/>
          <w:b/>
          <w:color w:val="000000"/>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b/>
          <w:color w:val="000000"/>
          <w:sz w:val="28"/>
          <w:szCs w:val="28"/>
        </w:rPr>
        <w:t xml:space="preserve">说明</w:t>
      </w:r>
      <w:r/>
    </w:p>
    <w:p>
      <w:pPr>
        <w:pStyle w:val="715"/>
        <w:numPr>
          <w:ilvl w:val="0"/>
          <w:numId w:val="0"/>
        </w:numPr>
        <w:ind w:left="741" w:right="-24"/>
        <w:rPr>
          <w:rFonts w:hint="eastAsia"/>
        </w:rPr>
      </w:pPr>
      <w:r>
        <w:rPr>
          <w:rFonts w:hint="eastAsia"/>
        </w:rPr>
      </w:r>
      <w:r/>
    </w:p>
    <w:p>
      <w:pPr>
        <w:ind w:left="0" w:right="0" w:firstLine="562"/>
        <w:keepLines w:val="0"/>
        <w:keepNext w:val="0"/>
        <w:pageBreakBefore w:val="0"/>
        <w:spacing w:line="520" w:lineRule="exact"/>
        <w:widowControl w:val="off"/>
        <w:rPr>
          <w:rFonts w:hint="eastAsia" w:ascii="仿宋_GB2312" w:hAnsi="仿宋_GB2312" w:eastAsia="仿宋_GB2312" w:cs="仿宋_GB2312"/>
          <w:b/>
          <w:bCs/>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b/>
          <w:bCs/>
          <w:color w:val="000000"/>
          <w:sz w:val="28"/>
          <w:szCs w:val="28"/>
        </w:rPr>
        <w:t xml:space="preserve">1.采购人：新沂市财政局</w:t>
      </w:r>
      <w:r/>
    </w:p>
    <w:p>
      <w:pPr>
        <w:ind w:left="0" w:right="0" w:firstLine="562"/>
        <w:keepLines w:val="0"/>
        <w:keepNext w:val="0"/>
        <w:pageBreakBefore w:val="0"/>
        <w:spacing w:line="520" w:lineRule="exact"/>
        <w:widowControl w:val="off"/>
        <w:rPr>
          <w:rFonts w:hint="eastAsia" w:ascii="仿宋_GB2312" w:hAnsi="仿宋_GB2312" w:eastAsia="仿宋_GB2312" w:cs="仿宋_GB2312"/>
          <w:b/>
          <w:bCs/>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b/>
          <w:bCs/>
          <w:color w:val="000000"/>
          <w:sz w:val="28"/>
          <w:szCs w:val="28"/>
        </w:rPr>
        <w:t xml:space="preserve">2.项目名称：</w:t>
      </w:r>
      <w:r>
        <w:rPr>
          <w:rFonts w:hint="eastAsia" w:ascii="仿宋_GB2312" w:hAnsi="仿宋_GB2312" w:eastAsia="仿宋_GB2312" w:cs="仿宋_GB2312"/>
          <w:b/>
          <w:bCs/>
          <w:color w:val="000000"/>
          <w:sz w:val="28"/>
          <w:szCs w:val="28"/>
          <w:lang w:eastAsia="zh-CN"/>
        </w:rPr>
        <w:t xml:space="preserve">江苏省预算管理一体化运维项目</w:t>
      </w:r>
      <w:r/>
    </w:p>
    <w:p>
      <w:pPr>
        <w:ind w:left="0" w:right="0" w:firstLine="562"/>
        <w:keepLines w:val="0"/>
        <w:keepNext w:val="0"/>
        <w:pageBreakBefore w:val="0"/>
        <w:spacing w:line="520" w:lineRule="exact"/>
        <w:widowControl w:val="off"/>
        <w:rPr>
          <w:rFonts w:hint="eastAsia" w:ascii="仿宋_GB2312" w:hAnsi="仿宋_GB2312" w:eastAsia="仿宋_GB2312" w:cs="仿宋_GB2312"/>
          <w:b/>
          <w:bCs/>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b/>
          <w:bCs/>
          <w:color w:val="000000"/>
          <w:sz w:val="28"/>
          <w:szCs w:val="28"/>
        </w:rPr>
        <w:t xml:space="preserve">3.采购标的：</w:t>
      </w:r>
      <w:r>
        <w:rPr>
          <w:rFonts w:hint="eastAsia" w:ascii="仿宋_GB2312" w:hAnsi="仿宋_GB2312" w:eastAsia="仿宋_GB2312" w:cs="仿宋_GB2312"/>
          <w:b/>
          <w:bCs/>
          <w:color w:val="000000"/>
          <w:sz w:val="28"/>
          <w:szCs w:val="28"/>
          <w:lang w:eastAsia="zh-CN"/>
        </w:rPr>
        <w:t xml:space="preserve">江苏省预算管理一体化运维服务</w:t>
      </w:r>
      <w:r/>
    </w:p>
    <w:p>
      <w:pPr>
        <w:ind w:left="0" w:right="0" w:firstLine="560"/>
        <w:keepLines w:val="0"/>
        <w:keepNext w:val="0"/>
        <w:pageBreakBefore w:val="0"/>
        <w:spacing w:line="520" w:lineRule="exact"/>
        <w:widowControl w:val="off"/>
        <w:rPr>
          <w:rFonts w:hint="eastAsia" w:ascii="仿宋_GB2312" w:hAnsi="仿宋_GB2312" w:eastAsia="仿宋_GB2312" w:cs="仿宋_GB2312"/>
          <w:b w:val="0"/>
          <w:bCs w:val="0"/>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b w:val="0"/>
          <w:bCs w:val="0"/>
          <w:color w:val="000000"/>
          <w:sz w:val="28"/>
          <w:szCs w:val="28"/>
        </w:rPr>
        <w:t xml:space="preserve">对应的中小企业划分标准所属行业为（</w:t>
      </w:r>
      <w:r>
        <w:rPr>
          <w:rFonts w:hint="eastAsia" w:ascii="仿宋_GB2312" w:hAnsi="仿宋_GB2312" w:eastAsia="仿宋_GB2312" w:cs="仿宋_GB2312"/>
          <w:b/>
          <w:bCs/>
          <w:color w:val="000000"/>
          <w:sz w:val="28"/>
          <w:szCs w:val="28"/>
        </w:rPr>
        <w:t xml:space="preserve">软件和信息技术服务业</w:t>
      </w:r>
      <w:r>
        <w:rPr>
          <w:rFonts w:hint="eastAsia" w:ascii="仿宋_GB2312" w:hAnsi="仿宋_GB2312" w:eastAsia="仿宋_GB2312" w:cs="仿宋_GB2312"/>
          <w:b w:val="0"/>
          <w:bCs w:val="0"/>
          <w:color w:val="000000"/>
          <w:sz w:val="28"/>
          <w:szCs w:val="28"/>
        </w:rPr>
        <w:t xml:space="preserve">）。</w:t>
      </w:r>
      <w:r/>
    </w:p>
    <w:p>
      <w:pPr>
        <w:ind w:left="0" w:right="0" w:firstLine="560"/>
        <w:keepLines w:val="0"/>
        <w:keepNext w:val="0"/>
        <w:pageBreakBefore w:val="0"/>
        <w:spacing w:line="520" w:lineRule="exact"/>
        <w:widowControl w:val="off"/>
        <w:rPr>
          <w:rFonts w:hint="eastAsia" w:ascii="仿宋_GB2312" w:hAnsi="仿宋_GB2312" w:eastAsia="仿宋_GB2312" w:cs="仿宋_GB2312"/>
          <w:b w:val="0"/>
          <w:bCs w:val="0"/>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b w:val="0"/>
          <w:bCs w:val="0"/>
          <w:color w:val="000000"/>
          <w:sz w:val="28"/>
          <w:szCs w:val="28"/>
        </w:rPr>
        <w:t xml:space="preserve">注：中小企业划分标准所属行业以《</w:t>
      </w:r>
      <w:r>
        <w:rPr>
          <w:rFonts w:hint="eastAsia" w:ascii="仿宋_GB2312" w:hAnsi="仿宋_GB2312" w:eastAsia="仿宋_GB2312" w:cs="仿宋_GB2312"/>
          <w:b/>
          <w:bCs/>
          <w:color w:val="000000"/>
          <w:sz w:val="28"/>
          <w:szCs w:val="28"/>
        </w:rPr>
        <w:t xml:space="preserve">关于印发中小企业划型标准规定的通知</w:t>
      </w:r>
      <w:r>
        <w:rPr>
          <w:rFonts w:hint="eastAsia" w:ascii="仿宋_GB2312" w:hAnsi="仿宋_GB2312" w:eastAsia="仿宋_GB2312" w:cs="仿宋_GB2312"/>
          <w:b w:val="0"/>
          <w:bCs w:val="0"/>
          <w:color w:val="000000"/>
          <w:sz w:val="28"/>
          <w:szCs w:val="28"/>
        </w:rPr>
        <w:t xml:space="preserve">》（</w:t>
      </w:r>
      <w:r>
        <w:rPr>
          <w:rFonts w:hint="eastAsia" w:ascii="仿宋_GB2312" w:hAnsi="仿宋_GB2312" w:eastAsia="仿宋_GB2312" w:cs="仿宋_GB2312"/>
          <w:b/>
          <w:bCs/>
          <w:color w:val="000000"/>
          <w:sz w:val="28"/>
          <w:szCs w:val="28"/>
        </w:rPr>
        <w:t xml:space="preserve">工信部联企业[2011]300号</w:t>
      </w:r>
      <w:r>
        <w:rPr>
          <w:rFonts w:hint="eastAsia" w:ascii="仿宋_GB2312" w:hAnsi="仿宋_GB2312" w:eastAsia="仿宋_GB2312" w:cs="仿宋_GB2312"/>
          <w:b w:val="0"/>
          <w:bCs w:val="0"/>
          <w:color w:val="000000"/>
          <w:sz w:val="28"/>
          <w:szCs w:val="28"/>
        </w:rPr>
        <w:t xml:space="preserve">）的规定为准。</w:t>
      </w:r>
      <w:r/>
    </w:p>
    <w:p>
      <w:pPr>
        <w:ind w:left="0" w:right="0" w:firstLine="560"/>
        <w:keepLines w:val="0"/>
        <w:keepNext w:val="0"/>
        <w:pageBreakBefore w:val="0"/>
        <w:spacing w:line="520" w:lineRule="exact"/>
        <w:widowControl w:val="off"/>
        <w:rPr>
          <w:rFonts w:hint="eastAsia" w:ascii="仿宋_GB2312" w:hAnsi="仿宋_GB2312" w:eastAsia="仿宋_GB2312" w:cs="仿宋_GB2312"/>
          <w:b w:val="0"/>
          <w:bCs w:val="0"/>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b w:val="0"/>
          <w:bCs w:val="0"/>
          <w:color w:val="000000"/>
          <w:sz w:val="28"/>
          <w:szCs w:val="28"/>
        </w:rPr>
        <w:t xml:space="preserve">4.本项目采购的是</w:t>
      </w:r>
      <w:r>
        <w:rPr>
          <w:rFonts w:hint="eastAsia" w:ascii="仿宋_GB2312" w:hAnsi="仿宋_GB2312" w:eastAsia="仿宋_GB2312" w:cs="仿宋_GB2312"/>
          <w:b/>
          <w:bCs/>
          <w:color w:val="000000"/>
          <w:sz w:val="28"/>
          <w:szCs w:val="28"/>
        </w:rPr>
        <w:t xml:space="preserve">非进口产品</w:t>
      </w:r>
      <w:r>
        <w:rPr>
          <w:rFonts w:hint="eastAsia" w:ascii="仿宋_GB2312" w:hAnsi="仿宋_GB2312" w:eastAsia="仿宋_GB2312" w:cs="仿宋_GB2312"/>
          <w:b w:val="0"/>
          <w:bCs w:val="0"/>
          <w:color w:val="000000"/>
          <w:sz w:val="28"/>
          <w:szCs w:val="28"/>
        </w:rPr>
        <w:t xml:space="preserve">。</w:t>
      </w:r>
      <w:r/>
    </w:p>
    <w:p>
      <w:pPr>
        <w:ind w:left="0" w:right="0" w:firstLine="560"/>
        <w:keepLines w:val="0"/>
        <w:keepNext w:val="0"/>
        <w:pageBreakBefore w:val="0"/>
        <w:spacing w:line="520" w:lineRule="exact"/>
        <w:widowControl w:val="off"/>
        <w:rPr>
          <w:rFonts w:hint="eastAsia" w:ascii="仿宋_GB2312" w:hAnsi="仿宋_GB2312" w:eastAsia="仿宋_GB2312" w:cs="仿宋_GB2312"/>
          <w:b/>
          <w:bCs/>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b w:val="0"/>
          <w:bCs w:val="0"/>
          <w:color w:val="000000"/>
          <w:sz w:val="28"/>
          <w:szCs w:val="28"/>
        </w:rPr>
        <w:t xml:space="preserve">5.</w:t>
      </w:r>
      <w:r>
        <w:rPr>
          <w:rFonts w:hint="eastAsia" w:ascii="仿宋_GB2312" w:hAnsi="仿宋_GB2312" w:eastAsia="仿宋_GB2312" w:cs="仿宋_GB2312"/>
          <w:b/>
          <w:bCs/>
          <w:color w:val="000000"/>
          <w:sz w:val="28"/>
          <w:szCs w:val="28"/>
        </w:rPr>
        <w:t xml:space="preserve">此项目属于专门面向中小微企业采购的项目，供应商应为中小微企业、监狱企业、残疾人福利性单位。</w:t>
      </w:r>
      <w:r/>
    </w:p>
    <w:p>
      <w:pPr>
        <w:ind w:left="0" w:right="0" w:firstLine="560"/>
        <w:keepLines w:val="0"/>
        <w:keepNext w:val="0"/>
        <w:pageBreakBefore w:val="0"/>
        <w:spacing w:line="520" w:lineRule="exact"/>
        <w:widowControl w:val="off"/>
        <w:rPr>
          <w:rFonts w:hint="eastAsia" w:ascii="仿宋_GB2312" w:hAnsi="仿宋_GB2312" w:eastAsia="仿宋_GB2312" w:cs="仿宋_GB2312"/>
          <w:b/>
          <w:bCs/>
          <w:color w:val="000000"/>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b w:val="0"/>
          <w:bCs w:val="0"/>
          <w:color w:val="000000"/>
          <w:sz w:val="28"/>
          <w:szCs w:val="28"/>
        </w:rPr>
        <w:t xml:space="preserve">6.</w:t>
      </w:r>
      <w:r>
        <w:rPr>
          <w:rFonts w:hint="eastAsia" w:ascii="仿宋_GB2312" w:hAnsi="仿宋_GB2312" w:eastAsia="仿宋_GB2312" w:cs="仿宋_GB2312"/>
          <w:b/>
          <w:bCs/>
          <w:color w:val="000000"/>
          <w:sz w:val="28"/>
          <w:szCs w:val="28"/>
        </w:rPr>
        <w:t xml:space="preserve">本项目预算金额：139.00万元，最高限价：130.00万元，本项目不接受超过130.00万元以上报价。</w:t>
      </w:r>
      <w:r/>
    </w:p>
    <w:p>
      <w:pPr>
        <w:pStyle w:val="715"/>
        <w:rPr>
          <w:rFonts w:hint="eastAsia"/>
        </w:rPr>
      </w:pPr>
      <w:r>
        <w:rPr>
          <w:rFonts w:hint="eastAsia"/>
        </w:rPr>
      </w:r>
      <w:r/>
    </w:p>
    <w:p>
      <w:pPr>
        <w:numPr>
          <w:ilvl w:val="0"/>
          <w:numId w:val="4"/>
        </w:numPr>
        <w:ind w:left="0" w:right="0" w:firstLine="562"/>
        <w:keepLines w:val="0"/>
        <w:keepNext w:val="0"/>
        <w:pageBreakBefore w:val="0"/>
        <w:spacing w:line="520" w:lineRule="exact"/>
        <w:widowControl w:val="off"/>
        <w:rPr>
          <w:rFonts w:hint="eastAsia" w:ascii="仿宋_GB2312" w:hAnsi="仿宋_GB2312" w:eastAsia="仿宋_GB2312" w:cs="仿宋_GB2312"/>
          <w:b/>
          <w:color w:val="000000"/>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b/>
          <w:color w:val="000000"/>
          <w:sz w:val="28"/>
          <w:szCs w:val="28"/>
        </w:rPr>
        <w:t xml:space="preserve">项目背景</w:t>
      </w:r>
      <w:r/>
    </w:p>
    <w:p>
      <w:pPr>
        <w:pStyle w:val="715"/>
        <w:numPr>
          <w:ilvl w:val="0"/>
          <w:numId w:val="0"/>
        </w:numPr>
        <w:ind w:right="-24"/>
        <w:rPr>
          <w:rFonts w:hint="eastAsia"/>
        </w:rPr>
      </w:pPr>
      <w:r>
        <w:rPr>
          <w:rFonts w:hint="eastAsia"/>
        </w:rPr>
      </w:r>
      <w:r/>
    </w:p>
    <w:p>
      <w:pPr>
        <w:ind w:left="0" w:right="0" w:firstLine="560"/>
        <w:keepLines w:val="0"/>
        <w:keepNext w:val="0"/>
        <w:pageBreakBefore w:val="0"/>
        <w:spacing w:line="520" w:lineRule="exact"/>
        <w:widowControl w:val="off"/>
        <w:rPr>
          <w:rFonts w:hint="eastAsia" w:ascii="仿宋_GB2312" w:hAnsi="仿宋_GB2312" w:eastAsia="仿宋_GB2312" w:cs="仿宋_GB2312"/>
          <w:color w:val="000000"/>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2019年，财政部提出财政预算管理一体化改革目标:以建设预算编制、预算执行、决算和财务报告管理等核心业务一体化系统为基础，逐步纳入资产管理和债务管理等，形成预算管理一体化。2020年3月，财政部出台试行新的预算管理一体化业务规范和技术标准。江苏省财政厅遵循财政部的标准规范，相应制定了《江苏省预算管理一体化规范(试行)》(苏财办(2020)41号)，启动江苏省预算管理一体化系统的建设。我市根据省财政厅统一部署，新版预算</w:t>
      </w:r>
      <w:r>
        <w:rPr>
          <w:rFonts w:hint="eastAsia" w:ascii="仿宋_GB2312" w:hAnsi="仿宋_GB2312" w:eastAsia="仿宋_GB2312" w:cs="仿宋_GB2312"/>
          <w:color w:val="000000"/>
          <w:sz w:val="28"/>
          <w:szCs w:val="28"/>
        </w:rPr>
        <w:t xml:space="preserve">一体化系统自2020年10月开始实施部署，于2021年1月1日正式上线运行。2022年4月7日省财政厅下发了《2022年江苏省财政厅网络安全和信息化工作要点(苏财办〔2022〕14号)，将从以下四个方面对省预算管理一体化系统进行业务拓围:-是开发全省共性需求，二是整合财政部下发系统，三是融合专项业务系统，四是完善现有系统功能。 根据省财政厅要求，省预算管理体化系统提供给各市县区财政部门使用时，名地需配备具有技术实力的本地服务团队进行现场保障，各自维护基础数据、配置业务流程进行用户管理等。为保证省厅预算管理一</w:t>
      </w:r>
      <w:r>
        <w:rPr>
          <w:rFonts w:hint="eastAsia" w:ascii="仿宋_GB2312" w:hAnsi="仿宋_GB2312" w:eastAsia="仿宋_GB2312" w:cs="仿宋_GB2312"/>
          <w:color w:val="000000"/>
          <w:sz w:val="28"/>
          <w:szCs w:val="28"/>
        </w:rPr>
        <w:t xml:space="preserve">体化系统稳定、持续运行，以及新的业务拓展块的部署实施工作:需要从技术、管理、实施等各个方面完成好省预算管理一体化系统运行的维护支撑和业务拓展保障工作。系统运维支撑包括运营和维护的组织和人员保障、运营和维护的管理和制度保障、系统运行监测和预警、系统日常维护、系统功能完善、业务数据整理、应急故障处理等;业务拓展保障包括本地化配置部署、系统培训服务、对接联调测试等方面。为确保各项财政业务能高效稳定运行，保障财政资金安全，需由专业化本地服务团队实施省厅预算管理一体化系统的现场服务保障工作。包含市本级运维和乡镇运维。</w:t>
      </w:r>
      <w:r/>
    </w:p>
    <w:p>
      <w:pPr>
        <w:pStyle w:val="715"/>
        <w:rPr>
          <w:rFonts w:hint="eastAsia"/>
        </w:rPr>
      </w:pPr>
      <w:r>
        <w:rPr>
          <w:rFonts w:hint="eastAsia"/>
        </w:rPr>
      </w:r>
      <w:r/>
    </w:p>
    <w:p>
      <w:pPr>
        <w:numPr>
          <w:ilvl w:val="0"/>
          <w:numId w:val="4"/>
        </w:numPr>
        <w:ind w:left="0" w:right="0" w:firstLine="562"/>
        <w:keepLines w:val="0"/>
        <w:keepNext w:val="0"/>
        <w:pageBreakBefore w:val="0"/>
        <w:spacing w:line="520" w:lineRule="exact"/>
        <w:widowControl w:val="off"/>
        <w:rPr>
          <w:rFonts w:hint="eastAsia" w:ascii="仿宋_GB2312" w:hAnsi="仿宋_GB2312" w:eastAsia="仿宋_GB2312" w:cs="仿宋_GB2312"/>
          <w:b/>
          <w:color w:val="000000"/>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b/>
          <w:color w:val="000000"/>
          <w:sz w:val="28"/>
          <w:szCs w:val="28"/>
        </w:rPr>
        <w:t xml:space="preserve">项目实施时间、地点要求</w:t>
      </w:r>
      <w:r/>
    </w:p>
    <w:p>
      <w:pPr>
        <w:pStyle w:val="715"/>
        <w:numPr>
          <w:ilvl w:val="0"/>
          <w:numId w:val="0"/>
        </w:numPr>
        <w:ind w:right="-24"/>
        <w:rPr>
          <w:rFonts w:hint="eastAsia"/>
        </w:rPr>
      </w:pPr>
      <w:r>
        <w:rPr>
          <w:rFonts w:hint="eastAsia"/>
        </w:rPr>
      </w:r>
      <w:r/>
    </w:p>
    <w:p>
      <w:pPr>
        <w:ind w:left="0" w:right="0" w:firstLine="562"/>
        <w:jc w:val="both"/>
        <w:keepLines w:val="0"/>
        <w:keepNext w:val="0"/>
        <w:pageBreakBefore w:val="0"/>
        <w:spacing w:line="520" w:lineRule="exact"/>
        <w:widowControl w:val="off"/>
        <w:rPr>
          <w:rFonts w:hint="eastAsia"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b/>
          <w:bCs/>
          <w:color w:val="000000"/>
          <w:sz w:val="28"/>
          <w:szCs w:val="28"/>
        </w:rPr>
        <w:t xml:space="preserve">1.本项目服务期限为</w:t>
      </w:r>
      <w:r>
        <w:rPr>
          <w:rFonts w:hint="eastAsia" w:ascii="仿宋_GB2312" w:hAnsi="仿宋_GB2312" w:eastAsia="仿宋_GB2312" w:cs="仿宋_GB2312"/>
          <w:b/>
          <w:bCs/>
          <w:color w:val="000000"/>
          <w:sz w:val="28"/>
          <w:szCs w:val="28"/>
          <w:u w:val="single"/>
        </w:rPr>
        <w:t xml:space="preserve"> 1  </w:t>
      </w:r>
      <w:r>
        <w:rPr>
          <w:rFonts w:hint="eastAsia" w:ascii="仿宋_GB2312" w:hAnsi="仿宋_GB2312" w:eastAsia="仿宋_GB2312" w:cs="仿宋_GB2312"/>
          <w:b/>
          <w:bCs/>
          <w:color w:val="000000"/>
          <w:sz w:val="28"/>
          <w:szCs w:val="28"/>
        </w:rPr>
        <w:t xml:space="preserve">年。</w:t>
      </w:r>
      <w:r/>
    </w:p>
    <w:p>
      <w:pPr>
        <w:ind w:left="0" w:right="0" w:firstLine="560"/>
        <w:jc w:val="both"/>
        <w:keepLines w:val="0"/>
        <w:keepNext w:val="0"/>
        <w:pageBreakBefore w:val="0"/>
        <w:spacing w:line="520" w:lineRule="exact"/>
        <w:widowControl w:val="off"/>
        <w:rPr>
          <w:rFonts w:hint="eastAsia" w:ascii="仿宋_GB2312" w:hAnsi="仿宋_GB2312" w:eastAsia="仿宋_GB2312" w:cs="仿宋_GB2312"/>
          <w:color w:val="000000"/>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2.项目实施地点：采购人指定地点。</w:t>
      </w:r>
      <w:r/>
    </w:p>
    <w:p>
      <w:pPr>
        <w:pStyle w:val="715"/>
        <w:rPr>
          <w:rFonts w:hint="eastAsia"/>
        </w:rPr>
      </w:pPr>
      <w:r>
        <w:rPr>
          <w:rFonts w:hint="eastAsia"/>
        </w:rPr>
      </w:r>
      <w:r/>
    </w:p>
    <w:p>
      <w:pPr>
        <w:numPr>
          <w:ilvl w:val="0"/>
          <w:numId w:val="4"/>
        </w:numPr>
        <w:ind w:left="0" w:right="0" w:firstLine="562"/>
        <w:keepLines w:val="0"/>
        <w:keepNext w:val="0"/>
        <w:pageBreakBefore w:val="0"/>
        <w:spacing w:line="520" w:lineRule="exact"/>
        <w:widowControl w:val="off"/>
        <w:rPr>
          <w:rFonts w:hint="eastAsia" w:ascii="仿宋_GB2312" w:hAnsi="仿宋_GB2312" w:eastAsia="仿宋_GB2312" w:cs="仿宋_GB2312"/>
          <w:b/>
          <w:color w:val="000000"/>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b/>
          <w:color w:val="000000"/>
          <w:sz w:val="28"/>
          <w:szCs w:val="28"/>
        </w:rPr>
        <w:t xml:space="preserve">项目实施要求</w:t>
      </w:r>
      <w:r/>
    </w:p>
    <w:p>
      <w:pPr>
        <w:pStyle w:val="715"/>
        <w:numPr>
          <w:ilvl w:val="0"/>
          <w:numId w:val="0"/>
        </w:numPr>
        <w:ind w:right="-24"/>
        <w:rPr>
          <w:rFonts w:hint="eastAsia"/>
        </w:rPr>
      </w:pPr>
      <w:r>
        <w:rPr>
          <w:rFonts w:hint="eastAsia"/>
        </w:rPr>
      </w:r>
      <w:r/>
    </w:p>
    <w:p>
      <w:pPr>
        <w:ind w:left="0" w:right="0" w:firstLine="560"/>
        <w:jc w:val="both"/>
        <w:keepLines w:val="0"/>
        <w:keepNext w:val="0"/>
        <w:pageBreakBefore w:val="0"/>
        <w:spacing w:line="520" w:lineRule="exact"/>
        <w:widowControl w:val="off"/>
        <w:rPr>
          <w:rFonts w:hint="eastAsia"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（一）预算编制、绩效管理板块项目实施具体要求</w:t>
      </w:r>
      <w:r/>
    </w:p>
    <w:p>
      <w:pPr>
        <w:ind w:left="0" w:right="0" w:firstLine="560"/>
        <w:jc w:val="both"/>
        <w:keepLines w:val="0"/>
        <w:keepNext w:val="0"/>
        <w:pageBreakBefore w:val="0"/>
        <w:spacing w:line="520" w:lineRule="exact"/>
        <w:widowControl w:val="off"/>
        <w:rPr>
          <w:rFonts w:hint="eastAsia"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1.基础数据整理</w:t>
      </w:r>
      <w:r/>
    </w:p>
    <w:p>
      <w:pPr>
        <w:ind w:left="0" w:right="0" w:firstLine="560"/>
        <w:jc w:val="both"/>
        <w:keepLines w:val="0"/>
        <w:keepNext w:val="0"/>
        <w:pageBreakBefore w:val="0"/>
        <w:spacing w:line="520" w:lineRule="exact"/>
        <w:widowControl w:val="off"/>
        <w:rPr>
          <w:rFonts w:hint="eastAsia"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1.1基础库：依据财政部及全省业务规范，根据财政2023年预算编制要求，对现有预算编制部门业务进行梳理，确认基础库业务表单、审批流程，预算基础资料（包含单位信息、人员信息、政府采购品目、资产信息、支出标准、非税收入项目等）；</w:t>
      </w:r>
      <w:r/>
    </w:p>
    <w:p>
      <w:pPr>
        <w:ind w:left="0" w:right="0" w:firstLine="560"/>
        <w:jc w:val="both"/>
        <w:keepLines w:val="0"/>
        <w:keepNext w:val="0"/>
        <w:pageBreakBefore w:val="0"/>
        <w:spacing w:line="520" w:lineRule="exact"/>
        <w:widowControl w:val="off"/>
        <w:rPr>
          <w:rFonts w:hint="eastAsia"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1.2项目库：依据财政部及全省业务规范，根据财政2023年预算编制要求，梳理项目库所需业务要素，确认项目库建设所需业务表单、审批流程、控制规则、数据勾稽关系等，并按照管理要求和各部门的职能职责设立 运转类目录和专项资金管理目录，形成动态的项目库；</w:t>
      </w:r>
      <w:r/>
    </w:p>
    <w:p>
      <w:pPr>
        <w:ind w:left="0" w:right="0" w:firstLine="560"/>
        <w:jc w:val="both"/>
        <w:keepLines w:val="0"/>
        <w:keepNext w:val="0"/>
        <w:pageBreakBefore w:val="0"/>
        <w:spacing w:line="520" w:lineRule="exact"/>
        <w:widowControl w:val="off"/>
        <w:rPr>
          <w:rFonts w:hint="eastAsia"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1.3预算编制：依据财政部及全省业务规范，根据财政2023年预算编制要求，梳理预算编制业务所需业务要素，确认预算编制所需业务表单、预算填报表、审批流程、控制规则、数据勾稽关系审核规则、基本支出测算公式、公式与预算单位对应关系等，包括政府预算编制、部门预算编制和转移支付预算编制的需求整理；</w:t>
      </w:r>
      <w:r/>
    </w:p>
    <w:p>
      <w:pPr>
        <w:ind w:left="0" w:right="0" w:firstLine="560"/>
        <w:jc w:val="both"/>
        <w:keepLines w:val="0"/>
        <w:keepNext w:val="0"/>
        <w:pageBreakBefore w:val="0"/>
        <w:spacing w:line="520" w:lineRule="exact"/>
        <w:widowControl w:val="off"/>
        <w:rPr>
          <w:rFonts w:hint="eastAsia"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1.4绩效管理：依据财政部及全省业务规范，根据财政2023年预算编制要求，对现有预算绩效管理业务进行梳理，重点梳理绩效基础信息、项目绩效管理、部门整体绩效管理，政策绩效管理、评价和评价结果运行情况、绩效管理工作考核、绩效目标批复及公开等；</w:t>
      </w:r>
      <w:r/>
    </w:p>
    <w:p>
      <w:pPr>
        <w:ind w:left="0" w:right="0" w:firstLine="560"/>
        <w:jc w:val="both"/>
        <w:keepLines w:val="0"/>
        <w:keepNext w:val="0"/>
        <w:pageBreakBefore w:val="0"/>
        <w:spacing w:line="520" w:lineRule="exact"/>
        <w:widowControl w:val="off"/>
        <w:rPr>
          <w:rFonts w:hint="eastAsia"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1.5预算批复及公开：依据财政部及全省业务规范，结合本地实际业务需求，确认预算批复及公开内容、报表格式、取数规则及取数口径等。</w:t>
      </w:r>
      <w:r/>
    </w:p>
    <w:p>
      <w:pPr>
        <w:ind w:left="0" w:right="0" w:firstLine="560"/>
        <w:jc w:val="both"/>
        <w:keepLines w:val="0"/>
        <w:keepNext w:val="0"/>
        <w:pageBreakBefore w:val="0"/>
        <w:spacing w:line="520" w:lineRule="exact"/>
        <w:widowControl w:val="off"/>
        <w:rPr>
          <w:rFonts w:hint="eastAsia"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2.系统业务运维</w:t>
      </w:r>
      <w:r/>
    </w:p>
    <w:p>
      <w:pPr>
        <w:ind w:left="0" w:right="0" w:firstLine="560"/>
        <w:jc w:val="both"/>
        <w:keepLines w:val="0"/>
        <w:keepNext w:val="0"/>
        <w:pageBreakBefore w:val="0"/>
        <w:spacing w:line="520" w:lineRule="exact"/>
        <w:widowControl w:val="off"/>
        <w:rPr>
          <w:rFonts w:hint="eastAsia"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2.1基础库</w:t>
      </w:r>
      <w:r/>
    </w:p>
    <w:p>
      <w:pPr>
        <w:ind w:left="0" w:right="0" w:firstLine="560"/>
        <w:jc w:val="both"/>
        <w:keepLines w:val="0"/>
        <w:keepNext w:val="0"/>
        <w:pageBreakBefore w:val="0"/>
        <w:spacing w:line="520" w:lineRule="exact"/>
        <w:widowControl w:val="off"/>
        <w:rPr>
          <w:rFonts w:hint="eastAsia"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2.1.1单位新增、单位变更、办理初始化等；</w:t>
      </w:r>
      <w:r/>
    </w:p>
    <w:p>
      <w:pPr>
        <w:ind w:left="0" w:right="0" w:firstLine="560"/>
        <w:jc w:val="both"/>
        <w:keepLines w:val="0"/>
        <w:keepNext w:val="0"/>
        <w:pageBreakBefore w:val="0"/>
        <w:spacing w:line="520" w:lineRule="exact"/>
        <w:widowControl w:val="off"/>
        <w:rPr>
          <w:rFonts w:hint="eastAsia"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2.1.2系统各类人员的信息业务表单定制、业务控制规则设定、管理流程配置、页面布局调整、追加变动公式维护、追加政策（系数）设置等；</w:t>
      </w:r>
      <w:r/>
    </w:p>
    <w:p>
      <w:pPr>
        <w:ind w:left="0" w:right="0" w:firstLine="560"/>
        <w:jc w:val="both"/>
        <w:keepLines w:val="0"/>
        <w:keepNext w:val="0"/>
        <w:pageBreakBefore w:val="0"/>
        <w:spacing w:line="520" w:lineRule="exact"/>
        <w:widowControl w:val="off"/>
        <w:rPr>
          <w:rFonts w:hint="eastAsia"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2.1.3支出标准管理：公用经费定额标准修改、维护；</w:t>
      </w:r>
      <w:r/>
    </w:p>
    <w:p>
      <w:pPr>
        <w:ind w:left="0" w:right="0" w:firstLine="560"/>
        <w:jc w:val="both"/>
        <w:keepLines w:val="0"/>
        <w:keepNext w:val="0"/>
        <w:pageBreakBefore w:val="0"/>
        <w:spacing w:line="520" w:lineRule="exact"/>
        <w:widowControl w:val="off"/>
        <w:rPr>
          <w:rFonts w:hint="eastAsia"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2.1.4财政部业务规范基础数据管理：维护收支分类科目、政府采购品目、收费项目等。</w:t>
      </w:r>
      <w:r/>
    </w:p>
    <w:p>
      <w:pPr>
        <w:ind w:left="0" w:right="0" w:firstLine="560"/>
        <w:jc w:val="both"/>
        <w:keepLines w:val="0"/>
        <w:keepNext w:val="0"/>
        <w:pageBreakBefore w:val="0"/>
        <w:spacing w:line="520" w:lineRule="exact"/>
        <w:widowControl w:val="off"/>
        <w:rPr>
          <w:rFonts w:hint="eastAsia"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2.2项目库运维</w:t>
      </w:r>
      <w:r/>
    </w:p>
    <w:p>
      <w:pPr>
        <w:ind w:left="0" w:right="0" w:firstLine="560"/>
        <w:jc w:val="both"/>
        <w:keepLines w:val="0"/>
        <w:keepNext w:val="0"/>
        <w:pageBreakBefore w:val="0"/>
        <w:spacing w:line="520" w:lineRule="exact"/>
        <w:widowControl w:val="off"/>
        <w:rPr>
          <w:rFonts w:hint="eastAsia"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2.2.1人员类、运转类公用项目管理：通过测算生成人员类项目、运转类公用项目，结合本地实际业务需求细化人员类、运转类支出项目类别，根据财政提供支出政策设置基本支出公式、维护基本支出公式与单位对应关系，政策维护、维护单位-基本支出类别-支出功能科目对应关系等；</w:t>
      </w:r>
      <w:r/>
    </w:p>
    <w:p>
      <w:pPr>
        <w:ind w:left="0" w:right="0" w:firstLine="560"/>
        <w:jc w:val="both"/>
        <w:keepLines w:val="0"/>
        <w:keepNext w:val="0"/>
        <w:pageBreakBefore w:val="0"/>
        <w:spacing w:line="520" w:lineRule="exact"/>
        <w:widowControl w:val="off"/>
        <w:rPr>
          <w:rFonts w:hint="eastAsia"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2.2.2运转类其他项目管理：结合2023年预算编制要求，完成项目库信息扩展维护、包含项目信息申报界面要素扩展、项目申报附属录入报表维护、项目申报界面布局调整、各业务要素联动规则配置、业务要素与项目附表联动规则配置、项目库数据勾稽关系审核规则维护、项目库业务流程维护等；</w:t>
      </w:r>
      <w:r/>
    </w:p>
    <w:p>
      <w:pPr>
        <w:ind w:left="0" w:right="0" w:firstLine="560"/>
        <w:jc w:val="both"/>
        <w:keepLines w:val="0"/>
        <w:keepNext w:val="0"/>
        <w:pageBreakBefore w:val="0"/>
        <w:spacing w:line="520" w:lineRule="exact"/>
        <w:widowControl w:val="off"/>
        <w:rPr>
          <w:rFonts w:hint="eastAsia"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2.2.3特定目标类项目管理：结合2023年预算编制要求，完成项目库信息扩展维护、包含项目信息申报界面要素扩展、项目申报附属录入报表维护、项目申报界面布局调整、各业务要素联动规则配置、业务要素与项目附表联动规则配置、项目库数据勾稽关系审核规则维护、项目库业务流程维护等。</w:t>
      </w:r>
      <w:r/>
    </w:p>
    <w:p>
      <w:pPr>
        <w:ind w:left="0" w:right="0" w:firstLine="560"/>
        <w:jc w:val="both"/>
        <w:keepLines w:val="0"/>
        <w:keepNext w:val="0"/>
        <w:pageBreakBefore w:val="0"/>
        <w:spacing w:line="520" w:lineRule="exact"/>
        <w:widowControl w:val="off"/>
        <w:rPr>
          <w:rFonts w:hint="eastAsia"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2.3.预算编制运维</w:t>
      </w:r>
      <w:r/>
    </w:p>
    <w:p>
      <w:pPr>
        <w:ind w:left="0" w:right="0" w:firstLine="560"/>
        <w:jc w:val="both"/>
        <w:keepLines w:val="0"/>
        <w:keepNext w:val="0"/>
        <w:pageBreakBefore w:val="0"/>
        <w:spacing w:line="520" w:lineRule="exact"/>
        <w:widowControl w:val="off"/>
        <w:rPr>
          <w:rFonts w:hint="eastAsia"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2.3.1政府预算编制：一般公共预算编制（收入和支出）、政府性基金预算编制（收入和支出）、国有资本经营预算编制（收入和支出）和社会保险基金预算编制（收入和支出）四本预算编制，以及所辖市区预算数据汇总，根据本地需求完成四本预算所需录入表单维护、权限维护、取数规则维护、汇总规则维护、数据勾稽关系审核规则设置以及审批流程维护等；</w:t>
      </w:r>
      <w:r/>
    </w:p>
    <w:p>
      <w:pPr>
        <w:ind w:left="0" w:right="0" w:firstLine="560"/>
        <w:jc w:val="both"/>
        <w:keepLines w:val="0"/>
        <w:keepNext w:val="0"/>
        <w:pageBreakBefore w:val="0"/>
        <w:spacing w:line="520" w:lineRule="exact"/>
        <w:widowControl w:val="off"/>
        <w:rPr>
          <w:rFonts w:hint="eastAsia"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2.3.2部门预算编制：实现部门预算“两上两下”业务流程，包含项目选取、申报预算（收入和支出）、核定预算控制数、下达预算控制数、编制预算草案、审核汇总单位预算草案，形成部门预算草案，生成年度部门预算草案，预拨二上预算指标。根据各地需求完成各功能菜单表单维护、权限维护、审核规则定义以及审批流程维护等。</w:t>
      </w:r>
      <w:r/>
    </w:p>
    <w:p>
      <w:pPr>
        <w:ind w:left="0" w:right="0" w:firstLine="560"/>
        <w:jc w:val="both"/>
        <w:keepLines w:val="0"/>
        <w:keepNext w:val="0"/>
        <w:pageBreakBefore w:val="0"/>
        <w:spacing w:line="520" w:lineRule="exact"/>
        <w:widowControl w:val="off"/>
        <w:rPr>
          <w:rFonts w:hint="eastAsia"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2.4.绩效管理运维</w:t>
      </w:r>
      <w:r/>
    </w:p>
    <w:p>
      <w:pPr>
        <w:ind w:left="0" w:right="0" w:firstLine="560"/>
        <w:jc w:val="both"/>
        <w:keepLines w:val="0"/>
        <w:keepNext w:val="0"/>
        <w:pageBreakBefore w:val="0"/>
        <w:spacing w:line="520" w:lineRule="exact"/>
        <w:widowControl w:val="off"/>
        <w:rPr>
          <w:rFonts w:hint="eastAsia"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2.4.1绩效基础信息管理：按照本地实际业务需求，对绩效指标库、案例库、专家学者库、政策法规库和模板库的填报模板，层级分类及审核流程进行梳理维护；</w:t>
      </w:r>
      <w:r/>
    </w:p>
    <w:p>
      <w:pPr>
        <w:ind w:left="0" w:right="0" w:firstLine="560"/>
        <w:jc w:val="both"/>
        <w:keepLines w:val="0"/>
        <w:keepNext w:val="0"/>
        <w:pageBreakBefore w:val="0"/>
        <w:spacing w:line="520" w:lineRule="exact"/>
        <w:widowControl w:val="off"/>
        <w:rPr>
          <w:rFonts w:hint="eastAsia"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2.4.2绩效目标管理：按照本地管理需求，将绩效目标与项目库进行对接，同时配置流程同步及审核检验规则。将绩效目标与预算编制对接，设定绩效目标审核结果对预算编制流程规则；</w:t>
      </w:r>
      <w:r/>
    </w:p>
    <w:p>
      <w:pPr>
        <w:ind w:left="0" w:right="0" w:firstLine="560"/>
        <w:jc w:val="both"/>
        <w:keepLines w:val="0"/>
        <w:keepNext w:val="0"/>
        <w:pageBreakBefore w:val="0"/>
        <w:spacing w:line="520" w:lineRule="exact"/>
        <w:widowControl w:val="off"/>
        <w:rPr>
          <w:rFonts w:hint="eastAsia"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2.4.3绩效监控管理:按照本地管理需求，对项目监控、政策监控和部门整体监控的业务表单、审核流程、必填检验、执行系统取数规则、监控任务触发规则、监控预警规则、监控结论规则、整改任务触发规则和监控报告模板等进行维护。</w:t>
      </w:r>
      <w:r/>
    </w:p>
    <w:p>
      <w:pPr>
        <w:ind w:left="0" w:right="0" w:firstLine="560"/>
        <w:jc w:val="both"/>
        <w:keepLines w:val="0"/>
        <w:keepNext w:val="0"/>
        <w:pageBreakBefore w:val="0"/>
        <w:spacing w:line="520" w:lineRule="exact"/>
        <w:widowControl w:val="off"/>
        <w:rPr>
          <w:rFonts w:hint="eastAsia"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2.5.预算批复及公开运维</w:t>
      </w:r>
      <w:r/>
    </w:p>
    <w:p>
      <w:pPr>
        <w:ind w:left="0" w:right="0" w:firstLine="560"/>
        <w:jc w:val="both"/>
        <w:keepLines w:val="0"/>
        <w:keepNext w:val="0"/>
        <w:pageBreakBefore w:val="0"/>
        <w:spacing w:line="520" w:lineRule="exact"/>
        <w:widowControl w:val="off"/>
        <w:rPr>
          <w:rFonts w:hint="eastAsia"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2.5.1预算批复管理：初始化政府预算批准管理、部门预算批复管理、政府预算公开管理和部门预算公开管理模块（包括：部门预算公开和单位预算公开。完成部门预算公开模板、格式及校验规则配置）。</w:t>
      </w:r>
      <w:r/>
    </w:p>
    <w:p>
      <w:pPr>
        <w:ind w:left="0" w:right="0" w:firstLine="560"/>
        <w:jc w:val="both"/>
        <w:keepLines w:val="0"/>
        <w:keepNext w:val="0"/>
        <w:pageBreakBefore w:val="0"/>
        <w:spacing w:line="520" w:lineRule="exact"/>
        <w:widowControl w:val="off"/>
        <w:rPr>
          <w:rFonts w:hint="eastAsia"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2.6.系统功能完善</w:t>
      </w:r>
      <w:r/>
    </w:p>
    <w:p>
      <w:pPr>
        <w:ind w:left="0" w:right="0" w:firstLine="560"/>
        <w:jc w:val="both"/>
        <w:keepLines w:val="0"/>
        <w:keepNext w:val="0"/>
        <w:pageBreakBefore w:val="0"/>
        <w:spacing w:line="520" w:lineRule="exact"/>
        <w:widowControl w:val="off"/>
        <w:rPr>
          <w:rFonts w:hint="eastAsia"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2.6.1收集、梳理财政部门和预算单位对省系统的功能完善需求，积极与省系统开发公司对接，推进功能优化完善和部署上线；</w:t>
      </w:r>
      <w:r/>
    </w:p>
    <w:p>
      <w:pPr>
        <w:ind w:left="0" w:right="0" w:firstLine="560"/>
        <w:jc w:val="both"/>
        <w:keepLines w:val="0"/>
        <w:keepNext w:val="0"/>
        <w:pageBreakBefore w:val="0"/>
        <w:spacing w:line="520" w:lineRule="exact"/>
        <w:widowControl w:val="off"/>
        <w:rPr>
          <w:rFonts w:hint="eastAsia"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2.6.2收集、梳理省系统运行过程中发现的系统设计缺陷，积极与省系统开发公司对接，推进功能完善；</w:t>
      </w:r>
      <w:r/>
    </w:p>
    <w:p>
      <w:pPr>
        <w:ind w:left="0" w:right="0" w:firstLine="560"/>
        <w:jc w:val="both"/>
        <w:keepLines w:val="0"/>
        <w:keepNext w:val="0"/>
        <w:pageBreakBefore w:val="0"/>
        <w:spacing w:line="520" w:lineRule="exact"/>
        <w:widowControl w:val="off"/>
        <w:rPr>
          <w:rFonts w:hint="eastAsia"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2.6.3根据用户需求，配合省系统开发公司完成软件性能优化，提高系统运行效率；</w:t>
      </w:r>
      <w:r/>
    </w:p>
    <w:p>
      <w:pPr>
        <w:ind w:left="0" w:right="0" w:firstLine="560"/>
        <w:jc w:val="both"/>
        <w:keepLines w:val="0"/>
        <w:keepNext w:val="0"/>
        <w:pageBreakBefore w:val="0"/>
        <w:spacing w:line="520" w:lineRule="exact"/>
        <w:widowControl w:val="off"/>
        <w:rPr>
          <w:rFonts w:hint="eastAsia"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2.6.4密切跟进省系统的功能完善情况，预算编制模块，及时测试并部署上线，并做好用户培训工作。</w:t>
      </w:r>
      <w:r/>
    </w:p>
    <w:p>
      <w:pPr>
        <w:ind w:left="0" w:right="0" w:firstLine="560"/>
        <w:jc w:val="both"/>
        <w:keepLines w:val="0"/>
        <w:keepNext w:val="0"/>
        <w:pageBreakBefore w:val="0"/>
        <w:spacing w:line="520" w:lineRule="exact"/>
        <w:widowControl w:val="off"/>
        <w:rPr>
          <w:rFonts w:hint="eastAsia"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3.业务拓围功能的部署实施</w:t>
      </w:r>
      <w:r/>
    </w:p>
    <w:p>
      <w:pPr>
        <w:ind w:left="0" w:right="0" w:firstLine="560"/>
        <w:jc w:val="both"/>
        <w:keepLines w:val="0"/>
        <w:keepNext w:val="0"/>
        <w:pageBreakBefore w:val="0"/>
        <w:spacing w:line="520" w:lineRule="exact"/>
        <w:widowControl w:val="off"/>
        <w:rPr>
          <w:rFonts w:hint="eastAsia"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3.1全省共性需求板块的部署实施；</w:t>
      </w:r>
      <w:r/>
    </w:p>
    <w:p>
      <w:pPr>
        <w:ind w:left="0" w:right="0" w:firstLine="560"/>
        <w:jc w:val="both"/>
        <w:keepLines w:val="0"/>
        <w:keepNext w:val="0"/>
        <w:pageBreakBefore w:val="0"/>
        <w:spacing w:line="520" w:lineRule="exact"/>
        <w:widowControl w:val="off"/>
        <w:rPr>
          <w:rFonts w:hint="eastAsia"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3.2财政部下发系统整合后的部署实施；</w:t>
      </w:r>
      <w:r/>
    </w:p>
    <w:p>
      <w:pPr>
        <w:ind w:left="0" w:right="0" w:firstLine="560"/>
        <w:jc w:val="both"/>
        <w:keepLines w:val="0"/>
        <w:keepNext w:val="0"/>
        <w:pageBreakBefore w:val="0"/>
        <w:spacing w:line="520" w:lineRule="exact"/>
        <w:widowControl w:val="off"/>
        <w:rPr>
          <w:rFonts w:hint="eastAsia"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3.3专项业务系统融合后的部署实施及各类报表编制，报表定义运维根据各地财政管理及业务需要，确认报表取数规则和取数口径，提供报表定制服务。主要有财政用报表、部门用报表、单位用报表各类数据分析报表，通过报表提取系统业务数据在前台展现，供财政或部门单位分析使用。</w:t>
      </w:r>
      <w:r/>
    </w:p>
    <w:p>
      <w:pPr>
        <w:ind w:left="0" w:right="0" w:firstLine="560"/>
        <w:jc w:val="both"/>
        <w:keepLines w:val="0"/>
        <w:keepNext w:val="0"/>
        <w:pageBreakBefore w:val="0"/>
        <w:spacing w:line="520" w:lineRule="exact"/>
        <w:widowControl w:val="off"/>
        <w:rPr>
          <w:rFonts w:hint="eastAsia"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4.省系统日常维护</w:t>
      </w:r>
      <w:r/>
    </w:p>
    <w:p>
      <w:pPr>
        <w:ind w:left="0" w:right="0" w:firstLine="560"/>
        <w:jc w:val="both"/>
        <w:keepLines w:val="0"/>
        <w:keepNext w:val="0"/>
        <w:pageBreakBefore w:val="0"/>
        <w:spacing w:line="520" w:lineRule="exact"/>
        <w:widowControl w:val="off"/>
        <w:rPr>
          <w:rFonts w:hint="eastAsia"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4.1提供日常操作业务咨询，修复异常业务操作；</w:t>
      </w:r>
      <w:r/>
    </w:p>
    <w:p>
      <w:pPr>
        <w:ind w:left="0" w:right="0" w:firstLine="560"/>
        <w:jc w:val="both"/>
        <w:keepLines w:val="0"/>
        <w:keepNext w:val="0"/>
        <w:pageBreakBefore w:val="0"/>
        <w:spacing w:line="520" w:lineRule="exact"/>
        <w:widowControl w:val="off"/>
        <w:rPr>
          <w:rFonts w:hint="eastAsia"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4.2完成省系统初始化，编制查询报表，提供日常调整、配置服务，如配置系统参数、业务参数、凭单格式、打印设置、计算公式、视图、报表模板等；</w:t>
      </w:r>
      <w:r/>
    </w:p>
    <w:p>
      <w:pPr>
        <w:ind w:left="0" w:right="0" w:firstLine="560"/>
        <w:jc w:val="both"/>
        <w:keepLines w:val="0"/>
        <w:keepNext w:val="0"/>
        <w:pageBreakBefore w:val="0"/>
        <w:spacing w:line="520" w:lineRule="exact"/>
        <w:widowControl w:val="off"/>
        <w:rPr>
          <w:rFonts w:hint="eastAsia"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4.3与省系统开发公司协调省系统版本升级、打补丁，调整中间件、插件等相关设置，排除省系统运行中出现的故障等；</w:t>
      </w:r>
      <w:r/>
    </w:p>
    <w:p>
      <w:pPr>
        <w:ind w:left="0" w:right="0" w:firstLine="560"/>
        <w:jc w:val="both"/>
        <w:keepLines w:val="0"/>
        <w:keepNext w:val="0"/>
        <w:pageBreakBefore w:val="0"/>
        <w:spacing w:line="520" w:lineRule="exact"/>
        <w:widowControl w:val="off"/>
        <w:rPr>
          <w:rFonts w:hint="eastAsia"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4.4收集、整理各类故障记录，分析具体原因并协调各方改进；</w:t>
      </w:r>
      <w:r/>
    </w:p>
    <w:p>
      <w:pPr>
        <w:ind w:left="0" w:right="0" w:firstLine="560"/>
        <w:jc w:val="both"/>
        <w:keepLines w:val="0"/>
        <w:keepNext w:val="0"/>
        <w:pageBreakBefore w:val="0"/>
        <w:spacing w:line="520" w:lineRule="exact"/>
        <w:widowControl w:val="off"/>
        <w:rPr>
          <w:rFonts w:hint="eastAsia"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4.5提供省系统实施运维文档，包括且不限于用户手册、系统手册、应急预案、故障紧急处理措施等；</w:t>
      </w:r>
      <w:r/>
    </w:p>
    <w:p>
      <w:pPr>
        <w:ind w:left="0" w:right="0" w:firstLine="560"/>
        <w:jc w:val="both"/>
        <w:keepLines w:val="0"/>
        <w:keepNext w:val="0"/>
        <w:pageBreakBefore w:val="0"/>
        <w:spacing w:line="520" w:lineRule="exact"/>
        <w:widowControl w:val="off"/>
        <w:rPr>
          <w:rFonts w:hint="eastAsia"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4.6提供年度结转服务，包括年底业务数据调整、上年数据结转等。</w:t>
      </w:r>
      <w:r/>
    </w:p>
    <w:p>
      <w:pPr>
        <w:ind w:left="0" w:right="0" w:firstLine="560"/>
        <w:jc w:val="both"/>
        <w:keepLines w:val="0"/>
        <w:keepNext w:val="0"/>
        <w:pageBreakBefore w:val="0"/>
        <w:spacing w:line="520" w:lineRule="exact"/>
        <w:widowControl w:val="off"/>
        <w:rPr>
          <w:rFonts w:hint="eastAsia"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(二）执行板块项目实施具体要求</w:t>
      </w:r>
      <w:r/>
    </w:p>
    <w:p>
      <w:pPr>
        <w:ind w:left="0" w:right="0" w:firstLine="560"/>
        <w:jc w:val="both"/>
        <w:keepLines w:val="0"/>
        <w:keepNext w:val="0"/>
        <w:pageBreakBefore w:val="0"/>
        <w:spacing w:line="520" w:lineRule="exact"/>
        <w:widowControl w:val="off"/>
        <w:rPr>
          <w:rFonts w:hint="eastAsia"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1.基础数据整理</w:t>
      </w:r>
      <w:r/>
    </w:p>
    <w:p>
      <w:pPr>
        <w:ind w:left="0" w:right="0" w:firstLine="560"/>
        <w:jc w:val="both"/>
        <w:keepLines w:val="0"/>
        <w:keepNext w:val="0"/>
        <w:pageBreakBefore w:val="0"/>
        <w:spacing w:line="520" w:lineRule="exact"/>
        <w:widowControl w:val="off"/>
        <w:rPr>
          <w:rFonts w:hint="eastAsia"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1.1基础信息：依据财政部及全省业务规范，根据财政要求，对现有预算执行基础业务进行梳理，确认查询报表、审批流程，执行基础资料（包含单位信息、单位用户和财政用户信息、角色权限、政府采购品目、资金性质对应功能科目、政府经济分类对应部门经济分类等）；</w:t>
      </w:r>
      <w:r/>
    </w:p>
    <w:p>
      <w:pPr>
        <w:ind w:left="0" w:right="0" w:firstLine="560"/>
        <w:jc w:val="both"/>
        <w:keepLines w:val="0"/>
        <w:keepNext w:val="0"/>
        <w:pageBreakBefore w:val="0"/>
        <w:spacing w:line="520" w:lineRule="exact"/>
        <w:widowControl w:val="off"/>
        <w:rPr>
          <w:rFonts w:hint="eastAsia"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1.2总预算会计：依据财政部及全省业务规范，对《总预算会计》建立健全以权责发生制为基础的总会计的财务管控功能，更加全面、准确反映政府财政财务情况;对新的《总预算会计制度》进行梳理，整合预算会计和财务会计两套会计科目。（包含会计科目，过账规则、辅助核算项等）;</w:t>
      </w:r>
      <w:r/>
    </w:p>
    <w:p>
      <w:pPr>
        <w:ind w:left="0" w:right="0" w:firstLine="560"/>
        <w:jc w:val="both"/>
        <w:keepLines w:val="0"/>
        <w:keepNext w:val="0"/>
        <w:pageBreakBefore w:val="0"/>
        <w:spacing w:line="520" w:lineRule="exact"/>
        <w:widowControl w:val="off"/>
        <w:rPr>
          <w:rFonts w:hint="eastAsia"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1.3 预算指标账：依据财政部及全省业务规范，预算指标会计核算是指政府财政部门采用会计复式记账法，对预算指标管理业务或事项进行会计核算，通过对预算指标的批复、分解、下达、调整、调剂、执行和结转结余等全生命周期过程记录，反映预算指标的增减、来源及状态，规范预算管理行为，强化预算指标对支出的控制，实现预算指标全流程“顺向可控，逆向可溯”的管理目标。要对现在的审批流程，业务单据，会计科目进行需求整理及系统配置；</w:t>
      </w:r>
      <w:r/>
    </w:p>
    <w:p>
      <w:pPr>
        <w:ind w:left="0" w:right="0" w:firstLine="560"/>
        <w:jc w:val="both"/>
        <w:keepLines w:val="0"/>
        <w:keepNext w:val="0"/>
        <w:pageBreakBefore w:val="0"/>
        <w:spacing w:line="520" w:lineRule="exact"/>
        <w:widowControl w:val="off"/>
        <w:rPr>
          <w:rFonts w:hint="eastAsia"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1.4 直达资金：依据财政部及全省业务规范，为落实《财政部关于印发&lt;财政部整合下发地方应用软件工作方案&gt;的通知》根据《直达资金监控系统（原财政扶贫资金动态监控平台）地方整合实施方案》要求，直达资金监控系统（原财政扶贫资金动态监控平台）将整合到预算管理一体化系统。要对现有的业务流程、预算转指标、热点分类、报表查询、惠企利民进行需求整理和系统配置；</w:t>
      </w:r>
      <w:r/>
    </w:p>
    <w:p>
      <w:pPr>
        <w:ind w:left="0" w:right="0" w:firstLine="560"/>
        <w:jc w:val="both"/>
        <w:keepLines w:val="0"/>
        <w:keepNext w:val="0"/>
        <w:pageBreakBefore w:val="0"/>
        <w:spacing w:line="520" w:lineRule="exact"/>
        <w:widowControl w:val="off"/>
        <w:rPr>
          <w:rFonts w:hint="eastAsia"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1.5 指标结余结转：依据省厅业务要求，预算转指标和指标结转必须通过系统功能进行，以便于项目和指标跟踪；要对现有的业务流程，要素对应关系，结转方案进行需求整理和系统配置；（包含总指标、处室指标、单位指标）</w:t>
      </w:r>
      <w:r/>
    </w:p>
    <w:p>
      <w:pPr>
        <w:ind w:left="0" w:right="0" w:firstLine="560"/>
        <w:jc w:val="both"/>
        <w:keepLines w:val="0"/>
        <w:keepNext w:val="0"/>
        <w:pageBreakBefore w:val="0"/>
        <w:spacing w:line="520" w:lineRule="exact"/>
        <w:widowControl w:val="off"/>
        <w:rPr>
          <w:rFonts w:hint="eastAsia"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1.6 支付系统管理：依据财政部及全省业务规范，为进一步落实政府过紧日子要求，加强对单位资金使用监控管理。要对相关的业务流程，对应关系，监控规则进行需求整理和系统配置；（包含动态监管、三公经费、政府采购、“三保”风险预警等）</w:t>
      </w:r>
      <w:r/>
    </w:p>
    <w:p>
      <w:pPr>
        <w:ind w:left="0" w:right="0" w:firstLine="560"/>
        <w:jc w:val="both"/>
        <w:keepLines w:val="0"/>
        <w:keepNext w:val="0"/>
        <w:pageBreakBefore w:val="0"/>
        <w:spacing w:line="520" w:lineRule="exact"/>
        <w:widowControl w:val="off"/>
        <w:rPr>
          <w:rFonts w:hint="eastAsia"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2.系统业务运维</w:t>
      </w:r>
      <w:r/>
    </w:p>
    <w:p>
      <w:pPr>
        <w:ind w:left="0" w:right="0" w:firstLine="560"/>
        <w:jc w:val="both"/>
        <w:keepLines w:val="0"/>
        <w:keepNext w:val="0"/>
        <w:pageBreakBefore w:val="0"/>
        <w:spacing w:line="520" w:lineRule="exact"/>
        <w:widowControl w:val="off"/>
        <w:rPr>
          <w:rFonts w:hint="eastAsia"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2.1基础信息</w:t>
      </w:r>
      <w:r/>
    </w:p>
    <w:p>
      <w:pPr>
        <w:ind w:left="0" w:right="0" w:firstLine="560"/>
        <w:jc w:val="both"/>
        <w:keepLines w:val="0"/>
        <w:keepNext w:val="0"/>
        <w:pageBreakBefore w:val="0"/>
        <w:spacing w:line="520" w:lineRule="exact"/>
        <w:widowControl w:val="off"/>
        <w:rPr>
          <w:rFonts w:hint="eastAsia"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2.1.1单位新增、单位变更、办理初始化等；</w:t>
      </w:r>
      <w:r/>
    </w:p>
    <w:p>
      <w:pPr>
        <w:ind w:left="0" w:right="0" w:firstLine="560"/>
        <w:jc w:val="both"/>
        <w:keepLines w:val="0"/>
        <w:keepNext w:val="0"/>
        <w:pageBreakBefore w:val="0"/>
        <w:spacing w:line="520" w:lineRule="exact"/>
        <w:widowControl w:val="off"/>
        <w:rPr>
          <w:rFonts w:hint="eastAsia"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2.1.2单位用户权限调整，财政用户人员轮岗处室及权限调整；</w:t>
      </w:r>
      <w:r/>
    </w:p>
    <w:p>
      <w:pPr>
        <w:ind w:left="0" w:right="0" w:firstLine="560"/>
        <w:jc w:val="both"/>
        <w:keepLines w:val="0"/>
        <w:keepNext w:val="0"/>
        <w:pageBreakBefore w:val="0"/>
        <w:spacing w:line="520" w:lineRule="exact"/>
        <w:widowControl w:val="off"/>
        <w:rPr>
          <w:rFonts w:hint="eastAsia"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2.1.3 指标、计划、支付、政府采购流程及权限维护；</w:t>
      </w:r>
      <w:r/>
    </w:p>
    <w:p>
      <w:pPr>
        <w:ind w:left="0" w:right="0" w:firstLine="560"/>
        <w:jc w:val="both"/>
        <w:keepLines w:val="0"/>
        <w:keepNext w:val="0"/>
        <w:pageBreakBefore w:val="0"/>
        <w:spacing w:line="520" w:lineRule="exact"/>
        <w:widowControl w:val="off"/>
        <w:rPr>
          <w:rFonts w:hint="eastAsia"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2.1.4财政部业务规范基础数据管理：维护收支分类科目、政府采购品目、政府经济分类、资金性质等。</w:t>
      </w:r>
      <w:r/>
    </w:p>
    <w:p>
      <w:pPr>
        <w:ind w:left="0" w:right="0" w:firstLine="560"/>
        <w:jc w:val="both"/>
        <w:keepLines w:val="0"/>
        <w:keepNext w:val="0"/>
        <w:pageBreakBefore w:val="0"/>
        <w:spacing w:line="520" w:lineRule="exact"/>
        <w:widowControl w:val="off"/>
        <w:rPr>
          <w:rFonts w:hint="eastAsia"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2.1.5 根据财政要求，制作新的查询汇总报表并及时调整修改现在查询报表。</w:t>
      </w:r>
      <w:r/>
    </w:p>
    <w:p>
      <w:pPr>
        <w:ind w:left="0" w:right="0" w:firstLine="560"/>
        <w:jc w:val="both"/>
        <w:keepLines w:val="0"/>
        <w:keepNext w:val="0"/>
        <w:pageBreakBefore w:val="0"/>
        <w:spacing w:line="520" w:lineRule="exact"/>
        <w:widowControl w:val="off"/>
        <w:rPr>
          <w:rFonts w:hint="eastAsia"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2.2总预算会计运维</w:t>
      </w:r>
      <w:r/>
    </w:p>
    <w:p>
      <w:pPr>
        <w:ind w:left="0" w:right="0" w:firstLine="560"/>
        <w:jc w:val="both"/>
        <w:keepLines w:val="0"/>
        <w:keepNext w:val="0"/>
        <w:pageBreakBefore w:val="0"/>
        <w:spacing w:line="520" w:lineRule="exact"/>
        <w:widowControl w:val="off"/>
        <w:rPr>
          <w:rFonts w:hint="eastAsia"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2.2.1 按新的《总预算会计制度》梳理会计科目，根据需要对标准会计科目进行细化并进行系统配置。</w:t>
      </w:r>
      <w:r/>
    </w:p>
    <w:p>
      <w:pPr>
        <w:ind w:left="0" w:right="0" w:firstLine="560"/>
        <w:jc w:val="both"/>
        <w:keepLines w:val="0"/>
        <w:keepNext w:val="0"/>
        <w:pageBreakBefore w:val="0"/>
        <w:spacing w:line="520" w:lineRule="exact"/>
        <w:widowControl w:val="off"/>
        <w:rPr>
          <w:rFonts w:hint="eastAsia"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2.2.2 按财政要求，对会计科目的辅助核算项进行梳理并进行系统配置。</w:t>
      </w:r>
      <w:r/>
    </w:p>
    <w:p>
      <w:pPr>
        <w:ind w:left="0" w:right="0" w:firstLine="560"/>
        <w:jc w:val="both"/>
        <w:keepLines w:val="0"/>
        <w:keepNext w:val="0"/>
        <w:pageBreakBefore w:val="0"/>
        <w:spacing w:line="520" w:lineRule="exact"/>
        <w:widowControl w:val="off"/>
        <w:rPr>
          <w:rFonts w:hint="eastAsia"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2.2.3 按新的《总预算会计制度》梳理支付系统过账规则，按财务会计和预算会计进行细分并进行系统配置。</w:t>
      </w:r>
      <w:r/>
    </w:p>
    <w:p>
      <w:pPr>
        <w:ind w:left="0" w:right="0" w:firstLine="560"/>
        <w:jc w:val="both"/>
        <w:keepLines w:val="0"/>
        <w:keepNext w:val="0"/>
        <w:pageBreakBefore w:val="0"/>
        <w:spacing w:line="520" w:lineRule="exact"/>
        <w:widowControl w:val="off"/>
        <w:rPr>
          <w:rFonts w:hint="eastAsia"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2.3.预算指标账运维</w:t>
      </w:r>
      <w:r/>
    </w:p>
    <w:p>
      <w:pPr>
        <w:ind w:left="0" w:right="0" w:firstLine="560"/>
        <w:jc w:val="both"/>
        <w:keepLines w:val="0"/>
        <w:keepNext w:val="0"/>
        <w:pageBreakBefore w:val="0"/>
        <w:spacing w:line="520" w:lineRule="exact"/>
        <w:widowControl w:val="off"/>
        <w:rPr>
          <w:rFonts w:hint="eastAsia"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2.3.1 根据财政部需求及规范，梳理需求并整理会计科目，系统预置相关会计科目。</w:t>
      </w:r>
      <w:r/>
    </w:p>
    <w:p>
      <w:pPr>
        <w:ind w:left="0" w:right="0" w:firstLine="560"/>
        <w:jc w:val="both"/>
        <w:keepLines w:val="0"/>
        <w:keepNext w:val="0"/>
        <w:pageBreakBefore w:val="0"/>
        <w:spacing w:line="520" w:lineRule="exact"/>
        <w:widowControl w:val="off"/>
        <w:rPr>
          <w:rFonts w:hint="eastAsia"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2.3.2 根据财政部需求及规范，梳理预算指标账过账规则并在系统进行相关配置。</w:t>
      </w:r>
      <w:r/>
    </w:p>
    <w:p>
      <w:pPr>
        <w:ind w:left="0" w:right="0" w:firstLine="560"/>
        <w:jc w:val="both"/>
        <w:keepLines w:val="0"/>
        <w:keepNext w:val="0"/>
        <w:pageBreakBefore w:val="0"/>
        <w:spacing w:line="520" w:lineRule="exact"/>
        <w:widowControl w:val="off"/>
        <w:rPr>
          <w:rFonts w:hint="eastAsia"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2.3.3 根据财政部需求及规范，做好跟总预算会计的相关链接工作并对系统进行相关配置。</w:t>
      </w:r>
      <w:r/>
    </w:p>
    <w:p>
      <w:pPr>
        <w:ind w:left="0" w:right="0" w:firstLine="560"/>
        <w:jc w:val="both"/>
        <w:keepLines w:val="0"/>
        <w:keepNext w:val="0"/>
        <w:pageBreakBefore w:val="0"/>
        <w:spacing w:line="520" w:lineRule="exact"/>
        <w:widowControl w:val="off"/>
        <w:rPr>
          <w:rFonts w:hint="eastAsia"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2.4.直达资金运维</w:t>
      </w:r>
      <w:r/>
    </w:p>
    <w:p>
      <w:pPr>
        <w:ind w:left="0" w:right="0" w:firstLine="560"/>
        <w:jc w:val="both"/>
        <w:keepLines w:val="0"/>
        <w:keepNext w:val="0"/>
        <w:pageBreakBefore w:val="0"/>
        <w:spacing w:line="520" w:lineRule="exact"/>
        <w:widowControl w:val="off"/>
        <w:rPr>
          <w:rFonts w:hint="eastAsia"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2.4.1项目库：项目库系统设置开放热点分类标识。</w:t>
      </w:r>
      <w:r/>
    </w:p>
    <w:p>
      <w:pPr>
        <w:ind w:left="0" w:right="0" w:firstLine="560"/>
        <w:jc w:val="both"/>
        <w:keepLines w:val="0"/>
        <w:keepNext w:val="0"/>
        <w:pageBreakBefore w:val="0"/>
        <w:spacing w:line="520" w:lineRule="exact"/>
        <w:widowControl w:val="off"/>
        <w:rPr>
          <w:rFonts w:hint="eastAsia"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2.4.2预算转指标：根据财政部需求及规范，按财政要求把预算里面安排直达资金的打上标识转入指标系统。</w:t>
      </w:r>
      <w:r/>
    </w:p>
    <w:p>
      <w:pPr>
        <w:ind w:left="0" w:right="0" w:firstLine="560"/>
        <w:jc w:val="both"/>
        <w:keepLines w:val="0"/>
        <w:keepNext w:val="0"/>
        <w:pageBreakBefore w:val="0"/>
        <w:spacing w:line="520" w:lineRule="exact"/>
        <w:widowControl w:val="off"/>
        <w:rPr>
          <w:rFonts w:hint="eastAsia"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2.4.3惠企利民：根据财政部和省厅要求，指标要配置惠企利民的热点分类标识，支付环节要配置上传惠企利民相关明细以及流程配置。</w:t>
      </w:r>
      <w:r/>
    </w:p>
    <w:p>
      <w:pPr>
        <w:ind w:left="0" w:right="0" w:firstLine="560"/>
        <w:jc w:val="both"/>
        <w:keepLines w:val="0"/>
        <w:keepNext w:val="0"/>
        <w:pageBreakBefore w:val="0"/>
        <w:spacing w:line="520" w:lineRule="exact"/>
        <w:widowControl w:val="off"/>
        <w:rPr>
          <w:rFonts w:hint="eastAsia"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2.4.4 报表：根据财政部和省厅要求，系统要进行相关报表配置。</w:t>
      </w:r>
      <w:r/>
    </w:p>
    <w:p>
      <w:pPr>
        <w:ind w:left="0" w:right="0" w:firstLine="560"/>
        <w:jc w:val="both"/>
        <w:keepLines w:val="0"/>
        <w:keepNext w:val="0"/>
        <w:pageBreakBefore w:val="0"/>
        <w:spacing w:line="520" w:lineRule="exact"/>
        <w:widowControl w:val="off"/>
        <w:rPr>
          <w:rFonts w:hint="eastAsia"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2.5.指标结余结转运维</w:t>
      </w:r>
      <w:r/>
    </w:p>
    <w:p>
      <w:pPr>
        <w:ind w:left="0" w:right="0" w:firstLine="560"/>
        <w:jc w:val="both"/>
        <w:keepLines w:val="0"/>
        <w:keepNext w:val="0"/>
        <w:pageBreakBefore w:val="0"/>
        <w:spacing w:line="520" w:lineRule="exact"/>
        <w:widowControl w:val="off"/>
        <w:rPr>
          <w:rFonts w:hint="eastAsia"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2.5.1 指标结转：按财政要求，配置指标结余结转功能，设置对应关系进行数据结转。</w:t>
      </w:r>
      <w:r/>
    </w:p>
    <w:p>
      <w:pPr>
        <w:ind w:left="0" w:right="0" w:firstLine="560"/>
        <w:jc w:val="both"/>
        <w:keepLines w:val="0"/>
        <w:keepNext w:val="0"/>
        <w:pageBreakBefore w:val="0"/>
        <w:spacing w:line="520" w:lineRule="exact"/>
        <w:widowControl w:val="off"/>
        <w:rPr>
          <w:rFonts w:hint="eastAsia"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2.5.2 预算转指标：按财政要求，配置相关流程、设置单位及转换关系进行数据结转。</w:t>
      </w:r>
      <w:r/>
    </w:p>
    <w:p>
      <w:pPr>
        <w:ind w:left="0" w:right="0" w:firstLine="560"/>
        <w:jc w:val="both"/>
        <w:keepLines w:val="0"/>
        <w:keepNext w:val="0"/>
        <w:pageBreakBefore w:val="0"/>
        <w:spacing w:line="520" w:lineRule="exact"/>
        <w:widowControl w:val="off"/>
        <w:rPr>
          <w:rFonts w:hint="eastAsia"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2.6 支付系统运维</w:t>
      </w:r>
      <w:r/>
    </w:p>
    <w:p>
      <w:pPr>
        <w:ind w:left="0" w:right="0" w:firstLine="560"/>
        <w:jc w:val="both"/>
        <w:keepLines w:val="0"/>
        <w:keepNext w:val="0"/>
        <w:pageBreakBefore w:val="0"/>
        <w:spacing w:line="520" w:lineRule="exact"/>
        <w:widowControl w:val="off"/>
        <w:rPr>
          <w:rFonts w:hint="eastAsia"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2.6.1 按财政部和省厅要求，系统要配置相关动态监控规则。另根据地方财政需要及时维护动态监控规则。</w:t>
      </w:r>
      <w:r/>
    </w:p>
    <w:p>
      <w:pPr>
        <w:ind w:left="0" w:right="0" w:firstLine="560"/>
        <w:jc w:val="both"/>
        <w:keepLines w:val="0"/>
        <w:keepNext w:val="0"/>
        <w:pageBreakBefore w:val="0"/>
        <w:spacing w:line="520" w:lineRule="exact"/>
        <w:widowControl w:val="off"/>
        <w:rPr>
          <w:rFonts w:hint="eastAsia"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2.6.2 按财政部和省厅要求，三保标识在指标环节要配置完成。支付环节要进行风险预警相关配置并进行数据统计分析。</w:t>
      </w:r>
      <w:r/>
    </w:p>
    <w:p>
      <w:pPr>
        <w:ind w:left="0" w:right="0" w:firstLine="560"/>
        <w:jc w:val="both"/>
        <w:keepLines w:val="0"/>
        <w:keepNext w:val="0"/>
        <w:pageBreakBefore w:val="0"/>
        <w:spacing w:line="520" w:lineRule="exact"/>
        <w:widowControl w:val="off"/>
        <w:rPr>
          <w:rFonts w:hint="eastAsia"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2.6.3 按财政部和省厅要求，加强对三公经费的管理，系统增加相关监控规则维护，在指标和支付环节加以控制。</w:t>
      </w:r>
      <w:r/>
    </w:p>
    <w:p>
      <w:pPr>
        <w:ind w:left="0" w:right="0" w:firstLine="560"/>
        <w:jc w:val="both"/>
        <w:keepLines w:val="0"/>
        <w:keepNext w:val="0"/>
        <w:pageBreakBefore w:val="0"/>
        <w:spacing w:line="520" w:lineRule="exact"/>
        <w:widowControl w:val="off"/>
        <w:rPr>
          <w:rFonts w:hint="eastAsia"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2.6.4 按财政要求，梳理政府采购需求，根据需要及时调相关配置及业务流程。</w:t>
      </w:r>
      <w:r/>
    </w:p>
    <w:p>
      <w:pPr>
        <w:ind w:left="0" w:right="0" w:firstLine="560"/>
        <w:jc w:val="both"/>
        <w:keepLines w:val="0"/>
        <w:keepNext w:val="0"/>
        <w:pageBreakBefore w:val="0"/>
        <w:spacing w:line="520" w:lineRule="exact"/>
        <w:widowControl w:val="off"/>
        <w:rPr>
          <w:rFonts w:hint="eastAsia"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2.7.系统功能完善</w:t>
      </w:r>
      <w:r/>
    </w:p>
    <w:p>
      <w:pPr>
        <w:ind w:left="0" w:right="0" w:firstLine="560"/>
        <w:jc w:val="both"/>
        <w:keepLines w:val="0"/>
        <w:keepNext w:val="0"/>
        <w:pageBreakBefore w:val="0"/>
        <w:spacing w:line="520" w:lineRule="exact"/>
        <w:widowControl w:val="off"/>
        <w:rPr>
          <w:rFonts w:hint="eastAsia"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2.7.1收集、梳理财政部门和预算单位对省系统的功能完善需求，积极与省系统开发公司对接，推进功能优化完善和部署上线；</w:t>
      </w:r>
      <w:r/>
    </w:p>
    <w:p>
      <w:pPr>
        <w:ind w:left="0" w:right="0" w:firstLine="560"/>
        <w:jc w:val="both"/>
        <w:keepLines w:val="0"/>
        <w:keepNext w:val="0"/>
        <w:pageBreakBefore w:val="0"/>
        <w:spacing w:line="520" w:lineRule="exact"/>
        <w:widowControl w:val="off"/>
        <w:rPr>
          <w:rFonts w:hint="eastAsia"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2.7.2收集、梳理省系统运行过程中发现的系统设计缺陷，积极与省系统开发公司对接，推进功能完善；</w:t>
      </w:r>
      <w:r/>
    </w:p>
    <w:p>
      <w:pPr>
        <w:ind w:left="0" w:right="0" w:firstLine="560"/>
        <w:jc w:val="both"/>
        <w:keepLines w:val="0"/>
        <w:keepNext w:val="0"/>
        <w:pageBreakBefore w:val="0"/>
        <w:spacing w:line="520" w:lineRule="exact"/>
        <w:widowControl w:val="off"/>
        <w:rPr>
          <w:rFonts w:hint="eastAsia"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2.7.3根据用户需求，配合省系统开发公司完成软件性能优化，提高系统运行效率；</w:t>
      </w:r>
      <w:r/>
    </w:p>
    <w:p>
      <w:pPr>
        <w:ind w:left="0" w:right="0" w:firstLine="560"/>
        <w:jc w:val="both"/>
        <w:keepLines w:val="0"/>
        <w:keepNext w:val="0"/>
        <w:pageBreakBefore w:val="0"/>
        <w:spacing w:line="520" w:lineRule="exact"/>
        <w:widowControl w:val="off"/>
        <w:rPr>
          <w:rFonts w:hint="eastAsia"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2.7.4密切跟进省系统的功能完善情况，预算编制模块，及时测试并部署上线，并做好用户培训工作。</w:t>
      </w:r>
      <w:r/>
    </w:p>
    <w:p>
      <w:pPr>
        <w:ind w:left="0" w:right="0" w:firstLine="560"/>
        <w:jc w:val="both"/>
        <w:keepLines w:val="0"/>
        <w:keepNext w:val="0"/>
        <w:pageBreakBefore w:val="0"/>
        <w:spacing w:line="520" w:lineRule="exact"/>
        <w:widowControl w:val="off"/>
        <w:rPr>
          <w:rFonts w:hint="eastAsia"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3.业务拓围功能的部署实施</w:t>
      </w:r>
      <w:r/>
    </w:p>
    <w:p>
      <w:pPr>
        <w:ind w:left="0" w:right="0" w:firstLine="560"/>
        <w:jc w:val="both"/>
        <w:keepLines w:val="0"/>
        <w:keepNext w:val="0"/>
        <w:pageBreakBefore w:val="0"/>
        <w:spacing w:line="520" w:lineRule="exact"/>
        <w:widowControl w:val="off"/>
        <w:rPr>
          <w:rFonts w:hint="eastAsia"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3.1全省共性需求板块的部署实施；</w:t>
      </w:r>
      <w:r/>
    </w:p>
    <w:p>
      <w:pPr>
        <w:ind w:left="0" w:right="0" w:firstLine="560"/>
        <w:jc w:val="both"/>
        <w:keepLines w:val="0"/>
        <w:keepNext w:val="0"/>
        <w:pageBreakBefore w:val="0"/>
        <w:spacing w:line="520" w:lineRule="exact"/>
        <w:widowControl w:val="off"/>
        <w:rPr>
          <w:rFonts w:hint="eastAsia"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3.2财政部下发系统整合后的部署实施；</w:t>
      </w:r>
      <w:r/>
    </w:p>
    <w:p>
      <w:pPr>
        <w:ind w:left="0" w:right="0" w:firstLine="560"/>
        <w:jc w:val="both"/>
        <w:keepLines w:val="0"/>
        <w:keepNext w:val="0"/>
        <w:pageBreakBefore w:val="0"/>
        <w:spacing w:line="520" w:lineRule="exact"/>
        <w:widowControl w:val="off"/>
        <w:rPr>
          <w:rFonts w:hint="eastAsia"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3.3专项业务系统融合后的部署实施及各类报表编制，报表定义运维根据各地财政管理及业务需要，确认报表取数规则和取数口径，提供报表定制服务。主要有财政用报表、部门用报表、单位用报表各类数据分析报表，通过报表提取系统业务数据在前台展现，供财政或部门单位分析使用。</w:t>
      </w:r>
      <w:r/>
    </w:p>
    <w:p>
      <w:pPr>
        <w:ind w:left="0" w:right="0" w:firstLine="560"/>
        <w:jc w:val="both"/>
        <w:keepLines w:val="0"/>
        <w:keepNext w:val="0"/>
        <w:pageBreakBefore w:val="0"/>
        <w:spacing w:line="520" w:lineRule="exact"/>
        <w:widowControl w:val="off"/>
        <w:rPr>
          <w:rFonts w:hint="eastAsia"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4.省系统日常维护</w:t>
      </w:r>
      <w:r/>
    </w:p>
    <w:p>
      <w:pPr>
        <w:ind w:left="0" w:right="0" w:firstLine="560"/>
        <w:jc w:val="both"/>
        <w:keepLines w:val="0"/>
        <w:keepNext w:val="0"/>
        <w:pageBreakBefore w:val="0"/>
        <w:spacing w:line="520" w:lineRule="exact"/>
        <w:widowControl w:val="off"/>
        <w:rPr>
          <w:rFonts w:hint="eastAsia"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4.1提供日常操作业务咨询，修复异常业务操作；</w:t>
      </w:r>
      <w:r/>
    </w:p>
    <w:p>
      <w:pPr>
        <w:ind w:left="0" w:right="0" w:firstLine="560"/>
        <w:jc w:val="both"/>
        <w:keepLines w:val="0"/>
        <w:keepNext w:val="0"/>
        <w:pageBreakBefore w:val="0"/>
        <w:spacing w:line="520" w:lineRule="exact"/>
        <w:widowControl w:val="off"/>
        <w:rPr>
          <w:rFonts w:hint="eastAsia"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4.2完成省系统初始化，编制查询报表，提供日常调整、配置服务，如配置系统参数、业务参数、凭单格式、打印设置、计算公式、视图、报表模板等；</w:t>
      </w:r>
      <w:r/>
    </w:p>
    <w:p>
      <w:pPr>
        <w:ind w:left="0" w:right="0" w:firstLine="560"/>
        <w:jc w:val="both"/>
        <w:keepLines w:val="0"/>
        <w:keepNext w:val="0"/>
        <w:pageBreakBefore w:val="0"/>
        <w:spacing w:line="520" w:lineRule="exact"/>
        <w:widowControl w:val="off"/>
        <w:rPr>
          <w:rFonts w:hint="eastAsia"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4.3与省系统开发公司协调省系统版本升级、打补丁，调整中间件、插件等相关设置，排除省系统运行中出现的故障等；</w:t>
      </w:r>
      <w:r/>
    </w:p>
    <w:p>
      <w:pPr>
        <w:ind w:left="0" w:right="0" w:firstLine="560"/>
        <w:jc w:val="both"/>
        <w:keepLines w:val="0"/>
        <w:keepNext w:val="0"/>
        <w:pageBreakBefore w:val="0"/>
        <w:spacing w:line="520" w:lineRule="exact"/>
        <w:widowControl w:val="off"/>
        <w:rPr>
          <w:rFonts w:hint="eastAsia"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4.4收集、整理各类故障记录，分析具体原因并协调各方改进；</w:t>
      </w:r>
      <w:r/>
    </w:p>
    <w:p>
      <w:pPr>
        <w:ind w:left="0" w:right="0" w:firstLine="560"/>
        <w:jc w:val="both"/>
        <w:keepLines w:val="0"/>
        <w:keepNext w:val="0"/>
        <w:pageBreakBefore w:val="0"/>
        <w:spacing w:line="520" w:lineRule="exact"/>
        <w:widowControl w:val="off"/>
        <w:rPr>
          <w:rFonts w:hint="eastAsia"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4.5提供省系统实施运维文档，包括且不限于用户手册、系统手册、应急预案、故障紧急处理措施等；</w:t>
      </w:r>
      <w:r/>
    </w:p>
    <w:p>
      <w:pPr>
        <w:ind w:left="0" w:right="0" w:firstLine="560"/>
        <w:jc w:val="both"/>
        <w:keepLines w:val="0"/>
        <w:keepNext w:val="0"/>
        <w:pageBreakBefore w:val="0"/>
        <w:spacing w:line="520" w:lineRule="exact"/>
        <w:widowControl w:val="off"/>
        <w:rPr>
          <w:rFonts w:hint="eastAsia" w:ascii="仿宋_GB2312" w:hAnsi="仿宋_GB2312" w:eastAsia="仿宋_GB2312" w:cs="仿宋_GB2312"/>
          <w:color w:val="000000"/>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4.6提供年度结转服务，包括年底业务数据调整、上年数据结转等。</w:t>
      </w:r>
      <w:r/>
    </w:p>
    <w:p>
      <w:pPr>
        <w:numPr>
          <w:ilvl w:val="0"/>
          <w:numId w:val="5"/>
        </w:numPr>
        <w:ind w:left="0" w:right="0" w:firstLine="560"/>
        <w:jc w:val="both"/>
        <w:keepLines w:val="0"/>
        <w:keepNext w:val="0"/>
        <w:pageBreakBefore w:val="0"/>
        <w:spacing w:line="520" w:lineRule="exact"/>
        <w:widowControl w:val="off"/>
        <w:rPr>
          <w:rFonts w:hint="eastAsia" w:ascii="仿宋_GB2312" w:hAnsi="仿宋_GB2312" w:eastAsia="仿宋_GB2312" w:cs="仿宋_GB2312"/>
          <w:color w:val="000000"/>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lang w:val="en-US" w:eastAsia="zh-CN"/>
        </w:rPr>
        <w:t xml:space="preserve">乡镇板块</w:t>
      </w:r>
      <w:r>
        <w:rPr>
          <w:rFonts w:hint="eastAsia" w:ascii="仿宋_GB2312" w:hAnsi="仿宋_GB2312" w:eastAsia="仿宋_GB2312" w:cs="仿宋_GB2312"/>
          <w:color w:val="000000"/>
          <w:sz w:val="28"/>
          <w:szCs w:val="28"/>
        </w:rPr>
        <w:t xml:space="preserve">项目实施具体要求</w:t>
      </w:r>
      <w:r/>
    </w:p>
    <w:p>
      <w:pPr>
        <w:ind w:left="0" w:right="0" w:firstLine="560"/>
        <w:keepLines w:val="0"/>
        <w:keepNext w:val="0"/>
        <w:pageBreakBefore w:val="0"/>
        <w:spacing w:line="520" w:lineRule="exact"/>
        <w:widowControl w:val="off"/>
        <w:rPr>
          <w:rFonts w:hint="eastAsia" w:ascii="仿宋_GB2312" w:hAnsi="仿宋_GB2312" w:eastAsia="仿宋_GB2312" w:cs="仿宋_GB2312"/>
          <w:color w:val="000000"/>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财政预算管理一体化系统：基础信息管理模块、预算项目库模块、预算编制模块、预算执行模块。服务内容包括但不限于软件系统实施和运维服务。</w:t>
      </w:r>
      <w:r/>
    </w:p>
    <w:p>
      <w:pPr>
        <w:ind w:left="0" w:right="0" w:firstLine="560"/>
        <w:keepLines w:val="0"/>
        <w:keepNext w:val="0"/>
        <w:pageBreakBefore w:val="0"/>
        <w:spacing w:line="520" w:lineRule="exact"/>
        <w:widowControl w:val="off"/>
        <w:rPr>
          <w:rFonts w:hint="eastAsia" w:ascii="仿宋_GB2312" w:hAnsi="仿宋_GB2312" w:eastAsia="仿宋_GB2312" w:cs="仿宋_GB2312"/>
          <w:color w:val="000000"/>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乡镇一体化系统：按照省财政厅要求结合本地化服务需求，本次乡镇预算管理一体化系统实施所有模块。</w:t>
      </w:r>
      <w:r/>
    </w:p>
    <w:p>
      <w:pPr>
        <w:numPr>
          <w:ilvl w:val="0"/>
          <w:numId w:val="0"/>
        </w:numPr>
        <w:ind w:left="0" w:right="0" w:firstLine="560"/>
        <w:jc w:val="both"/>
        <w:keepLines w:val="0"/>
        <w:keepNext w:val="0"/>
        <w:pageBreakBefore w:val="0"/>
        <w:spacing w:line="520" w:lineRule="exact"/>
        <w:widowControl w:val="off"/>
        <w:rPr>
          <w:rFonts w:hint="eastAsia" w:ascii="仿宋_GB2312" w:hAnsi="仿宋_GB2312" w:eastAsia="仿宋_GB2312" w:cs="仿宋_GB2312"/>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lang w:val="en-US" w:eastAsia="zh-CN"/>
        </w:rPr>
      </w:r>
      <w:r/>
    </w:p>
    <w:p>
      <w:pPr>
        <w:ind w:left="0" w:right="0" w:firstLine="560"/>
        <w:jc w:val="both"/>
        <w:keepLines w:val="0"/>
        <w:keepNext w:val="0"/>
        <w:pageBreakBefore w:val="0"/>
        <w:spacing w:line="520" w:lineRule="exact"/>
        <w:widowControl w:val="off"/>
        <w:rPr>
          <w:rFonts w:hint="eastAsia"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  （</w:t>
      </w:r>
      <w:r>
        <w:rPr>
          <w:rFonts w:hint="eastAsia" w:ascii="仿宋_GB2312" w:hAnsi="仿宋_GB2312" w:eastAsia="仿宋_GB2312" w:cs="仿宋_GB2312"/>
          <w:color w:val="000000"/>
          <w:sz w:val="28"/>
          <w:szCs w:val="28"/>
          <w:lang w:val="en-US" w:eastAsia="zh-CN"/>
        </w:rPr>
        <w:t xml:space="preserve">四</w:t>
      </w:r>
      <w:r>
        <w:rPr>
          <w:rFonts w:hint="eastAsia" w:ascii="仿宋_GB2312" w:hAnsi="仿宋_GB2312" w:eastAsia="仿宋_GB2312" w:cs="仿宋_GB2312"/>
          <w:color w:val="000000"/>
          <w:sz w:val="28"/>
          <w:szCs w:val="28"/>
        </w:rPr>
        <w:t xml:space="preserve">）首次响应文件要求</w:t>
      </w:r>
      <w:r/>
    </w:p>
    <w:p>
      <w:pPr>
        <w:ind w:left="0" w:right="0" w:firstLine="560"/>
        <w:jc w:val="both"/>
        <w:keepLines w:val="0"/>
        <w:keepNext w:val="0"/>
        <w:pageBreakBefore w:val="0"/>
        <w:spacing w:line="520" w:lineRule="exact"/>
        <w:widowControl w:val="off"/>
        <w:rPr>
          <w:rFonts w:hint="eastAsia"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1.首次响应文件中提供《项目实施具体方案》文件；</w:t>
      </w:r>
      <w:r/>
    </w:p>
    <w:p>
      <w:pPr>
        <w:ind w:left="0" w:right="0" w:firstLine="560"/>
        <w:jc w:val="both"/>
        <w:keepLines w:val="0"/>
        <w:keepNext w:val="0"/>
        <w:pageBreakBefore w:val="0"/>
        <w:spacing w:line="520" w:lineRule="exact"/>
        <w:widowControl w:val="off"/>
        <w:rPr>
          <w:rFonts w:hint="eastAsia"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2.对照“（一）项目运维具体要求”，编制《项目实施具体方案》；</w:t>
      </w:r>
      <w:r/>
    </w:p>
    <w:p>
      <w:pPr>
        <w:ind w:left="0" w:right="0" w:firstLine="560"/>
        <w:jc w:val="both"/>
        <w:keepLines w:val="0"/>
        <w:keepNext w:val="0"/>
        <w:pageBreakBefore w:val="0"/>
        <w:spacing w:line="520" w:lineRule="exact"/>
        <w:widowControl w:val="off"/>
        <w:rPr>
          <w:rFonts w:hint="eastAsia"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3.《项目实施具体方案》包括以下内容：</w:t>
      </w:r>
      <w:r/>
    </w:p>
    <w:p>
      <w:pPr>
        <w:ind w:left="0" w:right="0" w:firstLine="560"/>
        <w:jc w:val="both"/>
        <w:keepLines w:val="0"/>
        <w:keepNext w:val="0"/>
        <w:pageBreakBefore w:val="0"/>
        <w:spacing w:line="520" w:lineRule="exact"/>
        <w:widowControl w:val="off"/>
        <w:rPr>
          <w:rFonts w:hint="eastAsia"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3.1基础数据整理方案；</w:t>
      </w:r>
      <w:r/>
    </w:p>
    <w:p>
      <w:pPr>
        <w:ind w:left="0" w:right="0" w:firstLine="560"/>
        <w:jc w:val="both"/>
        <w:keepLines w:val="0"/>
        <w:keepNext w:val="0"/>
        <w:pageBreakBefore w:val="0"/>
        <w:spacing w:line="520" w:lineRule="exact"/>
        <w:widowControl w:val="off"/>
        <w:rPr>
          <w:rFonts w:hint="eastAsia"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3.2系统业务运维方案；</w:t>
      </w:r>
      <w:r/>
    </w:p>
    <w:p>
      <w:pPr>
        <w:ind w:left="0" w:right="0" w:firstLine="560"/>
        <w:jc w:val="both"/>
        <w:keepLines w:val="0"/>
        <w:keepNext w:val="0"/>
        <w:pageBreakBefore w:val="0"/>
        <w:spacing w:line="520" w:lineRule="exact"/>
        <w:widowControl w:val="off"/>
        <w:rPr>
          <w:rFonts w:hint="eastAsia"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3.3业务拓围功能的部署实施方案；</w:t>
      </w:r>
      <w:r/>
    </w:p>
    <w:p>
      <w:pPr>
        <w:ind w:left="0" w:right="0" w:firstLine="560"/>
        <w:jc w:val="both"/>
        <w:keepLines w:val="0"/>
        <w:keepNext w:val="0"/>
        <w:pageBreakBefore w:val="0"/>
        <w:spacing w:line="520" w:lineRule="exact"/>
        <w:widowControl w:val="off"/>
        <w:rPr>
          <w:rFonts w:hint="eastAsia" w:ascii="仿宋_GB2312" w:hAnsi="仿宋_GB2312" w:eastAsia="仿宋_GB2312" w:cs="仿宋_GB2312"/>
          <w:color w:val="000000"/>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3.4省系统日常维护方案。</w:t>
      </w:r>
      <w:r/>
    </w:p>
    <w:p>
      <w:pPr>
        <w:ind w:left="0" w:right="0" w:firstLine="560"/>
        <w:jc w:val="both"/>
        <w:keepLines w:val="0"/>
        <w:keepNext w:val="0"/>
        <w:pageBreakBefore w:val="0"/>
        <w:spacing w:line="520" w:lineRule="exact"/>
        <w:widowControl w:val="off"/>
        <w:rPr>
          <w:rFonts w:hint="eastAsia" w:ascii="仿宋_GB2312" w:hAnsi="仿宋_GB2312" w:eastAsia="仿宋_GB2312" w:cs="仿宋_GB2312"/>
          <w:color w:val="000000"/>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r>
      <w:r/>
    </w:p>
    <w:p>
      <w:pPr>
        <w:ind w:left="0" w:right="0" w:firstLine="562"/>
        <w:keepLines w:val="0"/>
        <w:keepNext w:val="0"/>
        <w:pageBreakBefore w:val="0"/>
        <w:spacing w:line="520" w:lineRule="exact"/>
        <w:widowControl w:val="off"/>
        <w:rPr>
          <w:rFonts w:hint="eastAsia"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b/>
          <w:color w:val="000000"/>
          <w:sz w:val="28"/>
          <w:szCs w:val="28"/>
        </w:rPr>
        <w:t xml:space="preserve">五、系统运行保障要求</w:t>
      </w:r>
      <w:r/>
    </w:p>
    <w:p>
      <w:pPr>
        <w:ind w:left="0" w:right="0" w:firstLine="560"/>
        <w:jc w:val="both"/>
        <w:keepLines w:val="0"/>
        <w:keepNext w:val="0"/>
        <w:pageBreakBefore w:val="0"/>
        <w:spacing w:line="520" w:lineRule="exact"/>
        <w:widowControl w:val="off"/>
        <w:rPr>
          <w:rFonts w:hint="eastAsia"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  （一）系统运行保障具体要求</w:t>
      </w:r>
      <w:r/>
    </w:p>
    <w:p>
      <w:pPr>
        <w:ind w:left="0" w:right="0" w:firstLine="560"/>
        <w:jc w:val="both"/>
        <w:keepLines w:val="0"/>
        <w:keepNext w:val="0"/>
        <w:pageBreakBefore w:val="0"/>
        <w:spacing w:line="520" w:lineRule="exact"/>
        <w:widowControl w:val="off"/>
        <w:rPr>
          <w:rFonts w:hint="eastAsia"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1.系统运行测试：详细测试系统所有菜单、按钮、界面功能，确保所有功能可用且符合业务需求；</w:t>
      </w:r>
      <w:r/>
    </w:p>
    <w:p>
      <w:pPr>
        <w:ind w:left="0" w:right="0" w:firstLine="560"/>
        <w:jc w:val="both"/>
        <w:keepLines w:val="0"/>
        <w:keepNext w:val="0"/>
        <w:pageBreakBefore w:val="0"/>
        <w:spacing w:line="520" w:lineRule="exact"/>
        <w:widowControl w:val="off"/>
        <w:rPr>
          <w:rFonts w:hint="eastAsia"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2.系统权限测试：详细测试系统用户权限，确保各用户不会查看或操作到超出本岗位权限之外的业务数据；</w:t>
      </w:r>
      <w:r/>
    </w:p>
    <w:p>
      <w:pPr>
        <w:ind w:left="0" w:right="0" w:firstLine="560"/>
        <w:jc w:val="both"/>
        <w:keepLines w:val="0"/>
        <w:keepNext w:val="0"/>
        <w:pageBreakBefore w:val="0"/>
        <w:spacing w:line="520" w:lineRule="exact"/>
        <w:widowControl w:val="off"/>
        <w:rPr>
          <w:rFonts w:hint="eastAsia"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3.系统业务流程测试：测试系统各模块业务审批流程，确保数据流转审批准确无误；</w:t>
      </w:r>
      <w:r/>
    </w:p>
    <w:p>
      <w:pPr>
        <w:ind w:left="0" w:right="0" w:firstLine="560"/>
        <w:jc w:val="both"/>
        <w:keepLines w:val="0"/>
        <w:keepNext w:val="0"/>
        <w:pageBreakBefore w:val="0"/>
        <w:spacing w:line="520" w:lineRule="exact"/>
        <w:widowControl w:val="off"/>
        <w:rPr>
          <w:rFonts w:hint="eastAsia"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4.基本支出公式计算数据测试：确保系统公式计算输出数据准确无误，保障基本支出数据应有尽有，应算尽算；</w:t>
      </w:r>
      <w:r/>
    </w:p>
    <w:p>
      <w:pPr>
        <w:ind w:left="0" w:right="0" w:firstLine="560"/>
        <w:jc w:val="both"/>
        <w:keepLines w:val="0"/>
        <w:keepNext w:val="0"/>
        <w:pageBreakBefore w:val="0"/>
        <w:spacing w:line="520" w:lineRule="exact"/>
        <w:widowControl w:val="off"/>
        <w:rPr>
          <w:rFonts w:hint="eastAsia"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5.系统审核校验：对系统所设审核规则进行反例校验，确保数据勾稽关系违反审核规则时系统及时进行流程拦截或系统提示，保障预算编制数据质量，减轻人工审核工作压力；</w:t>
      </w:r>
      <w:r/>
    </w:p>
    <w:p>
      <w:pPr>
        <w:ind w:left="0" w:right="0" w:firstLine="560"/>
        <w:jc w:val="both"/>
        <w:keepLines w:val="0"/>
        <w:keepNext w:val="0"/>
        <w:pageBreakBefore w:val="0"/>
        <w:spacing w:line="520" w:lineRule="exact"/>
        <w:widowControl w:val="off"/>
        <w:rPr>
          <w:rFonts w:hint="eastAsia"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6.输出报表输出数据测试：对照用户给出需求及具体取数口径，结合前台录入业务数据，对报表输出数据进行检查测试，确保报表可用且数据准确无误；</w:t>
      </w:r>
      <w:r/>
    </w:p>
    <w:p>
      <w:pPr>
        <w:ind w:left="0" w:right="0" w:firstLine="560"/>
        <w:jc w:val="both"/>
        <w:keepLines w:val="0"/>
        <w:keepNext w:val="0"/>
        <w:pageBreakBefore w:val="0"/>
        <w:spacing w:line="520" w:lineRule="exact"/>
        <w:widowControl w:val="off"/>
        <w:rPr>
          <w:rFonts w:hint="eastAsia"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7.模拟真实业务场景进行整体测试，确保系统运行稳定、数据准确、流程无误；</w:t>
      </w:r>
      <w:r/>
    </w:p>
    <w:p>
      <w:pPr>
        <w:ind w:left="0" w:right="0" w:firstLine="560"/>
        <w:jc w:val="both"/>
        <w:keepLines w:val="0"/>
        <w:keepNext w:val="0"/>
        <w:pageBreakBefore w:val="0"/>
        <w:spacing w:line="520" w:lineRule="exact"/>
        <w:widowControl w:val="off"/>
        <w:rPr>
          <w:rFonts w:hint="eastAsia"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8.组织单位进行规模化试运行，检验系统运行稳定性及配合省厅进行压测，同时确保单位预算编制业务数据准确无误；</w:t>
      </w:r>
      <w:r/>
    </w:p>
    <w:p>
      <w:pPr>
        <w:ind w:left="0" w:right="0" w:firstLine="560"/>
        <w:jc w:val="both"/>
        <w:keepLines w:val="0"/>
        <w:keepNext w:val="0"/>
        <w:pageBreakBefore w:val="0"/>
        <w:spacing w:line="520" w:lineRule="exact"/>
        <w:widowControl w:val="off"/>
        <w:rPr>
          <w:rFonts w:hint="eastAsia"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9.本地实施手册编写：结合市本级财政部门实际业务和相关要求，编写适用于本地的实施方案及实施手册，规范实施工作流程；</w:t>
      </w:r>
      <w:r/>
    </w:p>
    <w:p>
      <w:pPr>
        <w:ind w:left="0" w:right="0" w:firstLine="560"/>
        <w:jc w:val="both"/>
        <w:keepLines w:val="0"/>
        <w:keepNext w:val="0"/>
        <w:pageBreakBefore w:val="0"/>
        <w:spacing w:line="520" w:lineRule="exact"/>
        <w:widowControl w:val="off"/>
        <w:rPr>
          <w:rFonts w:hint="eastAsia"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10.开展系统操作培训：根据财政部门要求，对财政用户，预算单位用户进行软件操作培训（包括在全省标准版本培训资料基础上进行完善、编写本地系统操作手册及培训课件、环境准备、现场培训与操作指导等相关工作）；</w:t>
      </w:r>
      <w:r/>
    </w:p>
    <w:p>
      <w:pPr>
        <w:ind w:left="0" w:right="0" w:firstLine="560"/>
        <w:jc w:val="both"/>
        <w:keepLines w:val="0"/>
        <w:keepNext w:val="0"/>
        <w:pageBreakBefore w:val="0"/>
        <w:spacing w:line="520" w:lineRule="exact"/>
        <w:widowControl w:val="off"/>
        <w:rPr>
          <w:rFonts w:hint="eastAsia"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11.为降低系统运行风险，在省系统上线或更新前需提交应急事件处理方案，用于应对系统上线或更新后的问题处理。应急事件处理方案内容包括应急处置范围，应急处置方案风险分析，应急处置验证通过和失败准则，应急处置方法，应急处置问题跟踪策略等；</w:t>
      </w:r>
      <w:r/>
    </w:p>
    <w:p>
      <w:pPr>
        <w:ind w:left="0" w:right="0" w:firstLine="560"/>
        <w:jc w:val="both"/>
        <w:keepLines w:val="0"/>
        <w:keepNext w:val="0"/>
        <w:pageBreakBefore w:val="0"/>
        <w:spacing w:line="520" w:lineRule="exact"/>
        <w:widowControl w:val="off"/>
        <w:rPr>
          <w:rFonts w:hint="eastAsia"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12.为保障业务高峰期内系统平稳运行，需根据财政业务周期性特点，加大运维保障力度，增加驻场服务，以缓解业务高峰期间的系统压力风险。</w:t>
      </w:r>
      <w:r/>
    </w:p>
    <w:p>
      <w:pPr>
        <w:ind w:left="0" w:right="0" w:firstLine="560"/>
        <w:jc w:val="both"/>
        <w:keepLines w:val="0"/>
        <w:keepNext w:val="0"/>
        <w:pageBreakBefore w:val="0"/>
        <w:spacing w:line="520" w:lineRule="exact"/>
        <w:widowControl w:val="off"/>
        <w:rPr>
          <w:rFonts w:hint="eastAsia"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（二）首次响应文件要求</w:t>
      </w:r>
      <w:r/>
    </w:p>
    <w:p>
      <w:pPr>
        <w:ind w:left="0" w:right="0" w:firstLine="560"/>
        <w:jc w:val="both"/>
        <w:keepLines w:val="0"/>
        <w:keepNext w:val="0"/>
        <w:pageBreakBefore w:val="0"/>
        <w:spacing w:line="520" w:lineRule="exact"/>
        <w:widowControl w:val="off"/>
        <w:rPr>
          <w:rFonts w:hint="eastAsia"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1.首次响应文件中提供《系统运行保障具体方案》文件；</w:t>
      </w:r>
      <w:r/>
    </w:p>
    <w:p>
      <w:pPr>
        <w:ind w:left="0" w:right="0" w:firstLine="560"/>
        <w:jc w:val="both"/>
        <w:keepLines w:val="0"/>
        <w:keepNext w:val="0"/>
        <w:pageBreakBefore w:val="0"/>
        <w:spacing w:line="520" w:lineRule="exact"/>
        <w:widowControl w:val="off"/>
        <w:rPr>
          <w:rFonts w:hint="eastAsia"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2.对照“（一）系统运行保障具体要求”，编制《系统运行保障具体方案》。</w:t>
      </w:r>
      <w:r/>
    </w:p>
    <w:p>
      <w:pPr>
        <w:ind w:left="0" w:right="0" w:firstLine="560"/>
        <w:jc w:val="both"/>
        <w:keepLines w:val="0"/>
        <w:keepNext w:val="0"/>
        <w:pageBreakBefore w:val="0"/>
        <w:spacing w:line="520" w:lineRule="exact"/>
        <w:widowControl w:val="off"/>
        <w:rPr>
          <w:rFonts w:hint="eastAsia"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 </w:t>
      </w:r>
      <w:r/>
    </w:p>
    <w:p>
      <w:pPr>
        <w:ind w:left="0" w:right="0" w:firstLine="562"/>
        <w:keepLines w:val="0"/>
        <w:keepNext w:val="0"/>
        <w:pageBreakBefore w:val="0"/>
        <w:spacing w:line="520" w:lineRule="exact"/>
        <w:widowControl w:val="off"/>
        <w:rPr>
          <w:rFonts w:hint="eastAsia"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b/>
          <w:color w:val="000000"/>
          <w:sz w:val="28"/>
          <w:szCs w:val="28"/>
        </w:rPr>
        <w:t xml:space="preserve">六、实施服务的工作要求</w:t>
      </w:r>
      <w:r/>
    </w:p>
    <w:p>
      <w:pPr>
        <w:ind w:left="0" w:right="0" w:firstLine="560"/>
        <w:jc w:val="both"/>
        <w:keepLines w:val="0"/>
        <w:keepNext w:val="0"/>
        <w:pageBreakBefore w:val="0"/>
        <w:spacing w:line="520" w:lineRule="exact"/>
        <w:widowControl w:val="off"/>
        <w:rPr>
          <w:rFonts w:hint="eastAsia"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  （一）实施服务的工作具体要求</w:t>
      </w:r>
      <w:r/>
    </w:p>
    <w:p>
      <w:pPr>
        <w:ind w:left="0" w:right="0" w:firstLine="560"/>
        <w:jc w:val="both"/>
        <w:keepLines w:val="0"/>
        <w:keepNext w:val="0"/>
        <w:pageBreakBefore w:val="0"/>
        <w:spacing w:line="520" w:lineRule="exact"/>
        <w:widowControl w:val="off"/>
        <w:rPr>
          <w:rFonts w:hint="eastAsia"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实施服务要充分考虑容错、应急、负载等要求，依托智能运维服务平台，结合严谨的测试管理，以保证系统的高可用性，实施服务模式包括现场支持、电话咨询、Email等。</w:t>
      </w:r>
      <w:r/>
    </w:p>
    <w:p>
      <w:pPr>
        <w:ind w:left="0" w:right="0" w:firstLine="560"/>
        <w:jc w:val="both"/>
        <w:keepLines w:val="0"/>
        <w:keepNext w:val="0"/>
        <w:pageBreakBefore w:val="0"/>
        <w:spacing w:line="520" w:lineRule="exact"/>
        <w:widowControl w:val="off"/>
        <w:rPr>
          <w:rFonts w:hint="eastAsia"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1.优化智能运维服务平台</w:t>
      </w:r>
      <w:r/>
    </w:p>
    <w:p>
      <w:pPr>
        <w:ind w:left="0" w:right="0" w:firstLine="560"/>
        <w:jc w:val="both"/>
        <w:keepLines w:val="0"/>
        <w:keepNext w:val="0"/>
        <w:pageBreakBefore w:val="0"/>
        <w:spacing w:line="520" w:lineRule="exact"/>
        <w:widowControl w:val="off"/>
        <w:rPr>
          <w:rFonts w:hint="eastAsia"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现有智能运维服务平台包括基于数字化、网络化、实时化的热线客服系统，基于学习型知识库的在线智能客服系统，基于工单管理的流程化、培训式和场景化的服务考核管理平台。中标人负责对现有运维服务支撑平台进行优化扩容，建立覆盖市、镇街二级用户的统一、规范、高效的运维服务体系，将服务人员能力、服务管理流程和智能服务平台有机结合，保证用户得到持续满意的服务体验；</w:t>
      </w:r>
      <w:r/>
    </w:p>
    <w:p>
      <w:pPr>
        <w:ind w:left="0" w:right="0" w:firstLine="560"/>
        <w:jc w:val="both"/>
        <w:keepLines w:val="0"/>
        <w:keepNext w:val="0"/>
        <w:pageBreakBefore w:val="0"/>
        <w:spacing w:line="520" w:lineRule="exact"/>
        <w:widowControl w:val="off"/>
        <w:rPr>
          <w:rFonts w:hint="eastAsia"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2.现场服务</w:t>
      </w:r>
      <w:r/>
    </w:p>
    <w:p>
      <w:pPr>
        <w:ind w:left="0" w:right="0" w:firstLine="560"/>
        <w:jc w:val="both"/>
        <w:keepLines w:val="0"/>
        <w:keepNext w:val="0"/>
        <w:pageBreakBefore w:val="0"/>
        <w:spacing w:line="520" w:lineRule="exact"/>
        <w:widowControl w:val="off"/>
        <w:rPr>
          <w:rFonts w:hint="eastAsia"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成交供应商负责提供服务支持小组7*8小时现场服务。因本系统在云上运行使用，成交供应商提供的服务团队需熟悉华云相关技术。服务工作包括软件使用咨询、软件异常情况处理、数据异常维护、系统缺陷修复、系统迁移、重新安装等服务。并根据采购人需要，派技术服务人员到采购人现场服务。包括软件使用咨询、软件异常情况处理、软件数据异常的维护等。现场指导采购人完成系统操作，对系统的功能操作或用户提出的其他系统问题进行现场讲解，对采购人进行系统操作培训等。</w:t>
      </w:r>
      <w:r/>
    </w:p>
    <w:p>
      <w:pPr>
        <w:ind w:left="0" w:right="0" w:firstLine="560"/>
        <w:jc w:val="both"/>
        <w:keepLines w:val="0"/>
        <w:keepNext w:val="0"/>
        <w:pageBreakBefore w:val="0"/>
        <w:spacing w:line="520" w:lineRule="exact"/>
        <w:widowControl w:val="off"/>
        <w:rPr>
          <w:rFonts w:hint="eastAsia"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3.电话服务</w:t>
      </w:r>
      <w:r/>
    </w:p>
    <w:p>
      <w:pPr>
        <w:ind w:left="0" w:right="0" w:firstLine="560"/>
        <w:jc w:val="both"/>
        <w:keepLines w:val="0"/>
        <w:keepNext w:val="0"/>
        <w:pageBreakBefore w:val="0"/>
        <w:spacing w:line="520" w:lineRule="exact"/>
        <w:widowControl w:val="off"/>
        <w:rPr>
          <w:rFonts w:hint="eastAsia"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成交供应商提供7*8小时电话服务，在日常技术支持服务中，接听采购人的热线电话，详细记录问题并解答采购人提出的问题，及时更新对应系统的运维知识库，做好问题跟踪记录。对电话服务承诺如下：</w:t>
      </w:r>
      <w:r/>
    </w:p>
    <w:p>
      <w:pPr>
        <w:ind w:left="0" w:right="0" w:firstLine="560"/>
        <w:jc w:val="both"/>
        <w:keepLines w:val="0"/>
        <w:keepNext w:val="0"/>
        <w:pageBreakBefore w:val="0"/>
        <w:spacing w:line="520" w:lineRule="exact"/>
        <w:widowControl w:val="off"/>
        <w:rPr>
          <w:rFonts w:hint="eastAsia"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3.1工作日内实时响应采购人电话；</w:t>
      </w:r>
      <w:r/>
    </w:p>
    <w:p>
      <w:pPr>
        <w:ind w:left="0" w:right="0" w:firstLine="560"/>
        <w:jc w:val="both"/>
        <w:keepLines w:val="0"/>
        <w:keepNext w:val="0"/>
        <w:pageBreakBefore w:val="0"/>
        <w:spacing w:line="520" w:lineRule="exact"/>
        <w:widowControl w:val="off"/>
        <w:rPr>
          <w:rFonts w:hint="eastAsia"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3.2非工作日30分钟内回复采购人电话。</w:t>
      </w:r>
      <w:r/>
    </w:p>
    <w:p>
      <w:pPr>
        <w:ind w:left="0" w:right="0" w:firstLine="560"/>
        <w:jc w:val="both"/>
        <w:keepLines w:val="0"/>
        <w:keepNext w:val="0"/>
        <w:pageBreakBefore w:val="0"/>
        <w:spacing w:line="520" w:lineRule="exact"/>
        <w:widowControl w:val="off"/>
        <w:rPr>
          <w:rFonts w:hint="eastAsia"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4.故障响应</w:t>
      </w:r>
      <w:r/>
    </w:p>
    <w:p>
      <w:pPr>
        <w:ind w:left="0" w:right="0" w:firstLine="560"/>
        <w:jc w:val="both"/>
        <w:keepLines w:val="0"/>
        <w:keepNext w:val="0"/>
        <w:pageBreakBefore w:val="0"/>
        <w:spacing w:line="520" w:lineRule="exact"/>
        <w:widowControl w:val="off"/>
        <w:rPr>
          <w:rFonts w:hint="eastAsia"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4.1积极与省系统开发运维团队沟通协调，对一般故障，在半小时内响应并在1小时内解决；重大故障在2小时内解决；</w:t>
      </w:r>
      <w:r/>
    </w:p>
    <w:p>
      <w:pPr>
        <w:ind w:left="0" w:right="0" w:firstLine="560"/>
        <w:jc w:val="both"/>
        <w:keepLines w:val="0"/>
        <w:keepNext w:val="0"/>
        <w:pageBreakBefore w:val="0"/>
        <w:spacing w:line="520" w:lineRule="exact"/>
        <w:widowControl w:val="off"/>
        <w:rPr>
          <w:rFonts w:hint="eastAsia"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（二）首次响应文件要求</w:t>
      </w:r>
      <w:r/>
    </w:p>
    <w:p>
      <w:pPr>
        <w:ind w:left="0" w:right="0" w:firstLine="560"/>
        <w:jc w:val="both"/>
        <w:keepLines w:val="0"/>
        <w:keepNext w:val="0"/>
        <w:pageBreakBefore w:val="0"/>
        <w:spacing w:line="520" w:lineRule="exact"/>
        <w:widowControl w:val="off"/>
        <w:rPr>
          <w:rFonts w:hint="eastAsia"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1.首次响应文件中提供《实施服务的工作具体方案》文件；</w:t>
      </w:r>
      <w:r/>
    </w:p>
    <w:p>
      <w:pPr>
        <w:ind w:left="0" w:right="0" w:firstLine="560"/>
        <w:jc w:val="both"/>
        <w:keepLines w:val="0"/>
        <w:keepNext w:val="0"/>
        <w:pageBreakBefore w:val="0"/>
        <w:spacing w:line="520" w:lineRule="exact"/>
        <w:widowControl w:val="off"/>
        <w:rPr>
          <w:rFonts w:hint="eastAsia" w:ascii="仿宋_GB2312" w:hAnsi="仿宋_GB2312" w:eastAsia="仿宋_GB2312" w:cs="仿宋_GB2312"/>
          <w:color w:val="000000"/>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2.对照“（一）施服务的工作具体要求”，编制《实施服务的工作具体方案》。</w:t>
      </w:r>
      <w:r/>
    </w:p>
    <w:p>
      <w:pPr>
        <w:pStyle w:val="715"/>
        <w:rPr>
          <w:rFonts w:hint="eastAsia"/>
        </w:rPr>
      </w:pPr>
      <w:r>
        <w:rPr>
          <w:rFonts w:hint="eastAsia"/>
        </w:rPr>
      </w:r>
      <w:r/>
    </w:p>
    <w:p>
      <w:pPr>
        <w:numPr>
          <w:ilvl w:val="0"/>
          <w:numId w:val="6"/>
        </w:numPr>
        <w:ind w:left="0" w:right="0" w:firstLine="562"/>
        <w:keepLines w:val="0"/>
        <w:keepNext w:val="0"/>
        <w:pageBreakBefore w:val="0"/>
        <w:spacing w:line="520" w:lineRule="exact"/>
        <w:widowControl w:val="off"/>
        <w:rPr>
          <w:rFonts w:hint="eastAsia" w:ascii="仿宋_GB2312" w:hAnsi="仿宋_GB2312" w:eastAsia="仿宋_GB2312" w:cs="仿宋_GB2312"/>
          <w:b/>
          <w:color w:val="000000"/>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b/>
          <w:color w:val="000000"/>
          <w:sz w:val="28"/>
          <w:szCs w:val="28"/>
        </w:rPr>
        <w:t xml:space="preserve">人员配备要求</w:t>
      </w:r>
      <w:r/>
    </w:p>
    <w:p>
      <w:pPr>
        <w:pStyle w:val="715"/>
        <w:numPr>
          <w:ilvl w:val="0"/>
          <w:numId w:val="0"/>
        </w:numPr>
        <w:ind w:left="741" w:right="-24"/>
        <w:rPr>
          <w:rFonts w:hint="eastAsia"/>
        </w:rPr>
      </w:pPr>
      <w:r>
        <w:rPr>
          <w:rFonts w:hint="eastAsia"/>
        </w:rPr>
      </w:r>
      <w:r/>
    </w:p>
    <w:p>
      <w:pPr>
        <w:ind w:left="0" w:right="0" w:firstLine="560"/>
        <w:jc w:val="both"/>
        <w:keepLines w:val="0"/>
        <w:keepNext w:val="0"/>
        <w:pageBreakBefore w:val="0"/>
        <w:spacing w:line="520" w:lineRule="exact"/>
        <w:widowControl w:val="off"/>
        <w:rPr>
          <w:rFonts w:hint="eastAsia"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（一）人员配备具体要求</w:t>
      </w:r>
      <w:r/>
    </w:p>
    <w:p>
      <w:pPr>
        <w:ind w:left="0" w:right="0" w:firstLine="560"/>
        <w:jc w:val="both"/>
        <w:keepLines w:val="0"/>
        <w:keepNext w:val="0"/>
        <w:pageBreakBefore w:val="0"/>
        <w:spacing w:line="520" w:lineRule="exact"/>
        <w:widowControl w:val="off"/>
        <w:rPr>
          <w:rFonts w:hint="eastAsia"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1.供应商必须成立专门的实施服务团队，团队人员技术能力必须经采购人认可，组成后的服务团队人员未经采购人同意不得随意更换；</w:t>
      </w:r>
      <w:r/>
    </w:p>
    <w:p>
      <w:pPr>
        <w:ind w:left="0" w:right="0" w:firstLine="560"/>
        <w:jc w:val="both"/>
        <w:keepLines w:val="0"/>
        <w:keepNext w:val="0"/>
        <w:pageBreakBefore w:val="0"/>
        <w:spacing w:line="520" w:lineRule="exact"/>
        <w:widowControl w:val="off"/>
        <w:rPr>
          <w:rFonts w:hint="eastAsia"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2.项目经理1名，有丰富的项目管理经验，精通《江苏省预算管理一体化业务规范》以及财政相关业务，同时具备较强的沟通协调和管理能力，能依据采购人要求提供合理的、高效的服务；</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3.驻场服务人员</w:t>
      </w:r>
      <w:r>
        <w:rPr>
          <w:rFonts w:ascii="FangSong" w:hAnsi="FangSong" w:eastAsia="FangSong" w:cs="FangSong"/>
          <w:b/>
          <w:bCs/>
          <w:color w:val="000000"/>
          <w:sz w:val="28"/>
          <w:highlight w:val="white"/>
          <w:u w:val="single"/>
        </w:rPr>
        <w:t xml:space="preserve">不少于2名，</w:t>
      </w:r>
      <w:r>
        <w:rPr>
          <w:rFonts w:ascii="FangSong" w:hAnsi="FangSong" w:eastAsia="FangSong" w:cs="FangSong"/>
          <w:color w:val="000000"/>
          <w:sz w:val="28"/>
        </w:rPr>
        <w:t xml:space="preserve">精通《江苏省预算管理一体化业务规范》，能及时准确的为采购人提供驻场及运维服务；</w:t>
      </w:r>
      <w:r/>
    </w:p>
    <w:p>
      <w:pPr>
        <w:ind w:left="0" w:right="0" w:firstLine="560"/>
        <w:jc w:val="both"/>
        <w:spacing w:before="0" w:after="0" w:line="519" w:lineRule="atLeast"/>
        <w:rPr>
          <w:b/>
          <w:bCs/>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b/>
          <w:bCs/>
          <w:color w:val="000000"/>
          <w:sz w:val="28"/>
          <w:highlight w:val="white"/>
        </w:rPr>
        <w:t xml:space="preserve">4、驻省厅对口支持本项目的</w:t>
      </w:r>
      <w:r>
        <w:rPr>
          <w:rFonts w:ascii="FangSong" w:hAnsi="FangSong" w:eastAsia="FangSong" w:cs="FangSong"/>
          <w:b/>
          <w:bCs/>
          <w:color w:val="000000"/>
          <w:sz w:val="28"/>
          <w:highlight w:val="white"/>
          <w:u w:val="single"/>
        </w:rPr>
        <w:t xml:space="preserve">运维人员</w:t>
      </w:r>
      <w:r>
        <w:rPr>
          <w:rFonts w:ascii="FangSong" w:hAnsi="FangSong" w:eastAsia="FangSong" w:cs="FangSong"/>
          <w:b/>
          <w:bCs/>
          <w:color w:val="000000"/>
          <w:sz w:val="28"/>
          <w:highlight w:val="white"/>
          <w:u w:val="single"/>
        </w:rPr>
        <w:t xml:space="preserve">不少于2名</w:t>
      </w:r>
      <w:r>
        <w:rPr>
          <w:rFonts w:ascii="FangSong" w:hAnsi="FangSong" w:eastAsia="FangSong" w:cs="FangSong"/>
          <w:b/>
          <w:bCs/>
          <w:color w:val="000000"/>
          <w:sz w:val="28"/>
          <w:highlight w:val="white"/>
        </w:rPr>
        <w:t xml:space="preserve">，</w:t>
      </w:r>
      <w:r>
        <w:rPr>
          <w:rFonts w:ascii="FangSong" w:hAnsi="FangSong" w:eastAsia="FangSong" w:cs="FangSong"/>
          <w:b/>
          <w:bCs/>
          <w:color w:val="auto"/>
          <w:sz w:val="28"/>
          <w:highlight w:val="yellow"/>
          <w:u w:val="single"/>
        </w:rPr>
        <w:t xml:space="preserve">精通</w:t>
      </w:r>
      <w:r>
        <w:rPr>
          <w:rFonts w:ascii="FangSong" w:hAnsi="FangSong" w:eastAsia="FangSong" w:cs="FangSong"/>
          <w:b/>
          <w:bCs/>
          <w:color w:val="000000"/>
          <w:sz w:val="28"/>
          <w:highlight w:val="white"/>
        </w:rPr>
        <w:t xml:space="preserve">江苏省财政厅一体化系统及后台开发技术和开发环境，能及时准确的为采购人提供后台技术支持服务。</w:t>
      </w:r>
      <w:r>
        <w:rPr>
          <w:b/>
          <w:bCs/>
          <w:sz w:val="21"/>
          <w:highlight w:val="white"/>
        </w:rPr>
      </w:r>
      <w:r/>
    </w:p>
    <w:p>
      <w:pPr>
        <w:ind w:left="0" w:right="0" w:firstLine="560"/>
        <w:jc w:val="both"/>
        <w:keepLines w:val="0"/>
        <w:keepNext w:val="0"/>
        <w:pageBreakBefore w:val="0"/>
        <w:spacing w:line="520" w:lineRule="exact"/>
        <w:widowControl w:val="off"/>
        <w:rPr>
          <w:rFonts w:hint="eastAsia"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4.人员变更</w:t>
      </w:r>
      <w:r/>
    </w:p>
    <w:p>
      <w:pPr>
        <w:ind w:left="0" w:right="0" w:firstLine="560"/>
        <w:jc w:val="both"/>
        <w:keepLines w:val="0"/>
        <w:keepNext w:val="0"/>
        <w:pageBreakBefore w:val="0"/>
        <w:spacing w:line="520" w:lineRule="exact"/>
        <w:widowControl w:val="off"/>
        <w:rPr>
          <w:rFonts w:hint="eastAsia"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供应商须保证项目经理和驻场服务人员的稳定。</w:t>
      </w:r>
      <w:r/>
    </w:p>
    <w:p>
      <w:pPr>
        <w:ind w:left="0" w:right="0" w:firstLine="560"/>
        <w:jc w:val="both"/>
        <w:keepLines w:val="0"/>
        <w:keepNext w:val="0"/>
        <w:pageBreakBefore w:val="0"/>
        <w:spacing w:line="520" w:lineRule="exact"/>
        <w:widowControl w:val="off"/>
        <w:rPr>
          <w:rFonts w:hint="eastAsia"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  （二）首次响应文件要求</w:t>
      </w:r>
      <w:r/>
    </w:p>
    <w:p>
      <w:pPr>
        <w:ind w:left="0" w:right="0" w:firstLine="560"/>
        <w:jc w:val="both"/>
        <w:keepLines w:val="0"/>
        <w:keepNext w:val="0"/>
        <w:pageBreakBefore w:val="0"/>
        <w:spacing w:line="520" w:lineRule="exact"/>
        <w:widowControl w:val="off"/>
        <w:rPr>
          <w:rFonts w:hint="eastAsia"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   1.首次响应文件中提供《人员配备方案》；</w:t>
      </w:r>
      <w:r/>
    </w:p>
    <w:p>
      <w:pPr>
        <w:ind w:left="0" w:right="0" w:firstLine="560"/>
        <w:jc w:val="both"/>
        <w:keepLines w:val="0"/>
        <w:keepNext w:val="0"/>
        <w:pageBreakBefore w:val="0"/>
        <w:spacing w:line="520" w:lineRule="exact"/>
        <w:widowControl w:val="off"/>
        <w:rPr>
          <w:rFonts w:hint="eastAsia"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   2.对照“(一) 人员配备具体要求”，编制《人员配备方案》；</w:t>
      </w:r>
      <w:r/>
    </w:p>
    <w:p>
      <w:pPr>
        <w:ind w:left="0" w:right="0" w:firstLine="560"/>
        <w:jc w:val="both"/>
        <w:keepLines w:val="0"/>
        <w:keepNext w:val="0"/>
        <w:pageBreakBefore w:val="0"/>
        <w:spacing w:line="520" w:lineRule="exact"/>
        <w:widowControl w:val="off"/>
        <w:rPr>
          <w:rFonts w:hint="eastAsia"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   3.《人员配备方案》包括以下内容：</w:t>
      </w:r>
      <w:r/>
    </w:p>
    <w:p>
      <w:pPr>
        <w:ind w:left="0" w:right="0" w:firstLine="560"/>
        <w:jc w:val="both"/>
        <w:keepLines w:val="0"/>
        <w:keepNext w:val="0"/>
        <w:pageBreakBefore w:val="0"/>
        <w:spacing w:line="520" w:lineRule="exact"/>
        <w:widowControl w:val="off"/>
        <w:rPr>
          <w:rFonts w:hint="eastAsia"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  </w:t>
      </w:r>
      <w:r>
        <w:rPr>
          <w:rFonts w:ascii="FangSong" w:hAnsi="FangSong" w:eastAsia="FangSong" w:cs="FangSong"/>
          <w:color w:val="000000"/>
          <w:sz w:val="28"/>
        </w:rPr>
        <w:t xml:space="preserve">（1）人员配备类别及名单，提供供应商为该人员缴纳的本项目提交</w:t>
      </w:r>
      <w:r>
        <w:rPr>
          <w:rFonts w:ascii="FangSong" w:hAnsi="FangSong" w:eastAsia="FangSong" w:cs="FangSong"/>
          <w:b/>
          <w:color w:val="000000"/>
          <w:sz w:val="28"/>
        </w:rPr>
        <w:t xml:space="preserve">‌</w:t>
      </w:r>
      <w:r>
        <w:rPr>
          <w:rFonts w:ascii="FangSong" w:hAnsi="FangSong" w:eastAsia="FangSong" w:cs="FangSong"/>
          <w:b/>
          <w:color w:val="000000"/>
          <w:sz w:val="28"/>
        </w:rPr>
        <w:t xml:space="preserve">自2026年1月以来其为本单位正式员工证明材料原件（或带二维码查询的电子打印件）并加盖供应商单位公章</w:t>
      </w:r>
      <w:r>
        <w:rPr>
          <w:rFonts w:ascii="FangSong" w:hAnsi="FangSong" w:eastAsia="FangSong" w:cs="FangSong"/>
          <w:b/>
          <w:color w:val="000000"/>
          <w:sz w:val="28"/>
        </w:rPr>
        <w:t xml:space="preserve">。</w:t>
      </w:r>
      <w:r>
        <w:rPr>
          <w:rFonts w:hint="eastAsia" w:ascii="仿宋_GB2312" w:hAnsi="仿宋_GB2312" w:eastAsia="仿宋_GB2312" w:cs="仿宋_GB2312"/>
          <w:color w:val="000000"/>
          <w:sz w:val="28"/>
          <w:szCs w:val="28"/>
        </w:rPr>
      </w:r>
      <w:r/>
    </w:p>
    <w:p>
      <w:pPr>
        <w:ind w:left="0" w:right="0" w:firstLine="560"/>
        <w:jc w:val="both"/>
        <w:keepLines w:val="0"/>
        <w:keepNext w:val="0"/>
        <w:pageBreakBefore w:val="0"/>
        <w:spacing w:line="520" w:lineRule="exact"/>
        <w:widowControl w:val="off"/>
        <w:rPr>
          <w:rFonts w:hint="eastAsia"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  （2）人员具有的相关认证证书原件的扫描件,具体要求见“1.评分细则”。</w:t>
      </w:r>
      <w:r/>
    </w:p>
    <w:p>
      <w:pPr>
        <w:ind w:left="0" w:right="0" w:firstLine="562"/>
        <w:keepLines w:val="0"/>
        <w:keepNext w:val="0"/>
        <w:pageBreakBefore w:val="0"/>
        <w:spacing w:line="520" w:lineRule="exact"/>
        <w:widowControl w:val="off"/>
        <w:rPr>
          <w:rFonts w:hint="eastAsia"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b/>
          <w:color w:val="000000"/>
          <w:sz w:val="28"/>
          <w:szCs w:val="28"/>
        </w:rPr>
        <w:t xml:space="preserve">八、验收标准（验收要求、验收标准和程序）要求</w:t>
      </w:r>
      <w:r/>
    </w:p>
    <w:p>
      <w:pPr>
        <w:ind w:left="0" w:right="0" w:firstLine="560"/>
        <w:jc w:val="both"/>
        <w:keepLines w:val="0"/>
        <w:keepNext w:val="0"/>
        <w:pageBreakBefore w:val="0"/>
        <w:spacing w:line="520" w:lineRule="exact"/>
        <w:widowControl w:val="off"/>
        <w:rPr>
          <w:rFonts w:hint="eastAsia"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见《磋商文件》附件：《合同草案条款》</w:t>
      </w:r>
      <w:r/>
    </w:p>
    <w:p>
      <w:pPr>
        <w:ind w:left="0" w:right="0" w:firstLine="562"/>
        <w:keepLines w:val="0"/>
        <w:keepNext w:val="0"/>
        <w:pageBreakBefore w:val="0"/>
        <w:spacing w:line="520" w:lineRule="exact"/>
        <w:widowControl w:val="off"/>
        <w:rPr>
          <w:rFonts w:hint="eastAsia"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b/>
          <w:color w:val="000000"/>
          <w:sz w:val="28"/>
          <w:szCs w:val="28"/>
        </w:rPr>
        <w:t xml:space="preserve">九、分包：</w:t>
      </w:r>
      <w:r>
        <w:rPr>
          <w:rFonts w:hint="eastAsia" w:ascii="仿宋_GB2312" w:hAnsi="仿宋_GB2312" w:eastAsia="仿宋_GB2312" w:cs="仿宋_GB2312"/>
          <w:color w:val="000000"/>
          <w:sz w:val="28"/>
          <w:szCs w:val="28"/>
        </w:rPr>
        <w:t xml:space="preserve">采购人不允许采用分包方式履行合同。</w:t>
      </w:r>
      <w:r/>
    </w:p>
    <w:p>
      <w:pPr>
        <w:ind w:left="0" w:right="0" w:firstLine="562"/>
        <w:keepLines w:val="0"/>
        <w:keepNext w:val="0"/>
        <w:pageBreakBefore w:val="0"/>
        <w:spacing w:line="520" w:lineRule="exact"/>
        <w:widowControl w:val="off"/>
        <w:rPr>
          <w:rFonts w:hint="eastAsia"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b/>
          <w:color w:val="000000"/>
          <w:sz w:val="28"/>
          <w:szCs w:val="28"/>
        </w:rPr>
        <w:t xml:space="preserve">十、付款方式</w:t>
      </w:r>
      <w:r/>
    </w:p>
    <w:p>
      <w:pPr>
        <w:ind w:left="0" w:firstLine="562"/>
        <w:keepLines w:val="0"/>
        <w:keepNext w:val="0"/>
        <w:pageBreakBefore w:val="0"/>
        <w:spacing w:line="520" w:lineRule="exact"/>
        <w:widowControl w:val="off"/>
        <w:rPr>
          <w:rFonts w:hint="eastAsia" w:eastAsia="仿宋_GB2312"/>
          <w:b/>
          <w:bCs/>
          <w:lang w:eastAsia="zh-CN"/>
        </w:rPr>
      </w:pPr>
      <w:r>
        <w:rPr>
          <w:rFonts w:hint="eastAsia" w:ascii="仿宋_GB2312" w:hAnsi="仿宋_GB2312" w:eastAsia="仿宋_GB2312" w:cs="仿宋_GB2312"/>
          <w:b/>
          <w:bCs/>
          <w:color w:val="000000"/>
          <w:sz w:val="28"/>
          <w:szCs w:val="28"/>
        </w:rPr>
        <w:t xml:space="preserve">签订合同后支付合同价款70%，余款验收合格后三十天内付清</w:t>
      </w:r>
      <w:r>
        <w:rPr>
          <w:rFonts w:hint="eastAsia" w:ascii="仿宋_GB2312" w:hAnsi="仿宋_GB2312" w:eastAsia="仿宋_GB2312" w:cs="仿宋_GB2312"/>
          <w:b/>
          <w:bCs/>
          <w:color w:val="000000"/>
          <w:sz w:val="28"/>
          <w:szCs w:val="28"/>
          <w:lang w:eastAsia="zh-CN"/>
        </w:rPr>
        <w:t xml:space="preserve">。</w:t>
      </w:r>
      <w:r/>
    </w:p>
    <w:p>
      <w:pPr>
        <w:ind w:right="0"/>
        <w:jc w:val="both"/>
        <w:spacing w:before="0" w:after="0"/>
        <w:pBdr>
          <w:top w:val="none" w:color="000000" w:sz="0" w:space="0"/>
          <w:left w:val="none" w:color="000000" w:sz="0" w:space="0"/>
          <w:bottom w:val="none" w:color="000000" w:sz="0" w:space="0"/>
          <w:right w:val="none" w:color="000000" w:sz="0" w:space="0"/>
        </w:pBdr>
      </w:pPr>
      <w:r/>
      <w:r/>
    </w:p>
    <w:p>
      <w:pPr>
        <w:pStyle w:val="715"/>
        <w:ind w:left="0" w:firstLine="0"/>
        <w:rPr>
          <w:rFonts w:hint="eastAsia" w:ascii="宋体" w:hAnsi="宋体" w:cs="宋体"/>
          <w:b/>
          <w:bCs/>
          <w:color w:val="000000"/>
          <w:sz w:val="32"/>
          <w:szCs w:val="32"/>
        </w:rPr>
      </w:pPr>
      <w:r>
        <w:rPr>
          <w:rFonts w:hint="eastAsia" w:ascii="宋体" w:hAnsi="宋体" w:cs="宋体"/>
          <w:b/>
          <w:bCs/>
          <w:color w:val="000000"/>
          <w:sz w:val="32"/>
          <w:szCs w:val="32"/>
        </w:rPr>
      </w:r>
      <w:r/>
    </w:p>
    <w:p>
      <w:pPr>
        <w:ind w:firstLine="2570"/>
        <w:spacing w:before="120" w:line="360" w:lineRule="auto"/>
        <w:rPr>
          <w:rStyle w:val="904"/>
          <w:rFonts w:hint="eastAsia" w:ascii="仿宋_GB2312" w:hAnsi="仿宋_GB2312" w:eastAsia="仿宋_GB2312" w:cs="仿宋_GB2312"/>
          <w:sz w:val="32"/>
          <w:szCs w:val="32"/>
        </w:rPr>
      </w:pPr>
      <w:r>
        <w:rPr>
          <w:rStyle w:val="904"/>
          <w:rFonts w:hint="eastAsia" w:ascii="仿宋_GB2312" w:hAnsi="仿宋_GB2312" w:eastAsia="仿宋_GB2312" w:cs="仿宋_GB2312"/>
          <w:sz w:val="32"/>
          <w:highlight w:val="none"/>
        </w:rPr>
      </w:r>
      <w:r>
        <w:rPr>
          <w:rStyle w:val="904"/>
          <w:rFonts w:hint="eastAsia" w:ascii="仿宋_GB2312" w:hAnsi="仿宋_GB2312" w:eastAsia="仿宋_GB2312" w:cs="仿宋_GB2312"/>
          <w:sz w:val="32"/>
          <w:highlight w:val="none"/>
        </w:rPr>
      </w:r>
      <w:r/>
    </w:p>
    <w:p>
      <w:pPr>
        <w:ind w:firstLine="2570"/>
        <w:spacing w:before="120" w:line="360" w:lineRule="auto"/>
        <w:rPr>
          <w:rStyle w:val="904"/>
          <w:rFonts w:hint="eastAsia" w:ascii="仿宋_GB2312" w:hAnsi="仿宋_GB2312" w:eastAsia="仿宋_GB2312" w:cs="仿宋_GB2312"/>
          <w:sz w:val="32"/>
          <w:szCs w:val="32"/>
          <w:highlight w:val="none"/>
        </w:rPr>
      </w:pPr>
      <w:r>
        <w:rPr>
          <w:rStyle w:val="904"/>
          <w:rFonts w:hint="eastAsia" w:ascii="仿宋_GB2312" w:hAnsi="仿宋_GB2312" w:eastAsia="仿宋_GB2312" w:cs="仿宋_GB2312"/>
          <w:sz w:val="32"/>
          <w:highlight w:val="none"/>
        </w:rPr>
      </w:r>
      <w:r>
        <w:rPr>
          <w:rStyle w:val="904"/>
          <w:rFonts w:hint="eastAsia" w:ascii="仿宋_GB2312" w:hAnsi="仿宋_GB2312" w:eastAsia="仿宋_GB2312" w:cs="仿宋_GB2312"/>
          <w:sz w:val="32"/>
          <w:highlight w:val="none"/>
        </w:rPr>
      </w:r>
      <w:r/>
    </w:p>
    <w:p>
      <w:pPr>
        <w:ind w:firstLine="2570"/>
        <w:spacing w:before="120" w:line="360" w:lineRule="auto"/>
        <w:rPr>
          <w:rStyle w:val="904"/>
          <w:rFonts w:hint="eastAsia" w:ascii="仿宋_GB2312" w:hAnsi="仿宋_GB2312" w:eastAsia="仿宋_GB2312" w:cs="仿宋_GB2312"/>
          <w:sz w:val="32"/>
          <w:szCs w:val="32"/>
          <w:highlight w:val="none"/>
        </w:rPr>
      </w:pPr>
      <w:r>
        <w:rPr>
          <w:rStyle w:val="904"/>
          <w:rFonts w:hint="eastAsia" w:ascii="仿宋_GB2312" w:hAnsi="仿宋_GB2312" w:eastAsia="仿宋_GB2312" w:cs="仿宋_GB2312"/>
          <w:sz w:val="32"/>
          <w:lang w:val="en-US" w:eastAsia="zh-CN"/>
        </w:rPr>
        <w:t xml:space="preserve">3.</w:t>
      </w:r>
      <w:r>
        <w:rPr>
          <w:rStyle w:val="904"/>
          <w:rFonts w:hint="eastAsia" w:ascii="仿宋_GB2312" w:hAnsi="仿宋_GB2312" w:eastAsia="仿宋_GB2312" w:cs="仿宋_GB2312"/>
          <w:sz w:val="32"/>
        </w:rPr>
        <w:t xml:space="preserve">（一）磋商报价表</w:t>
      </w:r>
      <w:r/>
    </w:p>
    <w:p>
      <w:pPr>
        <w:jc w:val="center"/>
        <w:spacing w:line="360" w:lineRule="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（首次报价）</w:t>
      </w:r>
      <w:r/>
    </w:p>
    <w:p>
      <w:pPr>
        <w:ind w:firstLine="480"/>
        <w:jc w:val="left"/>
        <w:spacing w:line="360" w:lineRule="auto"/>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项目名称：江苏省预算管理一体化运维项目</w:t>
      </w:r>
      <w:r/>
    </w:p>
    <w:p>
      <w:pPr>
        <w:ind w:firstLine="480"/>
        <w:spacing w:line="360" w:lineRule="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项目编号：JSZC-320381-XYZX-C2026-0004</w:t>
      </w:r>
      <w:r/>
    </w:p>
    <w:p>
      <w:pPr>
        <w:ind w:firstLine="480"/>
        <w:spacing w:line="360" w:lineRule="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货币单位：                           人民币元</w:t>
      </w:r>
      <w:r/>
    </w:p>
    <w:tbl>
      <w:tblPr>
        <w:tblStyle w:val="708"/>
        <w:tblW w:w="9590"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2155"/>
        <w:gridCol w:w="4065"/>
        <w:gridCol w:w="3370"/>
      </w:tblGrid>
      <w:tr>
        <w:trPr>
          <w:cantSplit/>
          <w:jc w:val="center"/>
          <w:trHeight w:val="631"/>
        </w:trPr>
        <w:tc>
          <w:tcPr>
            <w:tcW w:w="2155" w:type="dxa"/>
            <w:vAlign w:val="center"/>
            <w:textDirection w:val="lrTb"/>
            <w:noWrap w:val="false"/>
          </w:tcPr>
          <w:p>
            <w:pPr>
              <w:jc w:val="center"/>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t xml:space="preserve">项目名称</w:t>
            </w:r>
            <w:r/>
          </w:p>
        </w:tc>
        <w:tc>
          <w:tcPr>
            <w:tcW w:w="4065" w:type="dxa"/>
            <w:vAlign w:val="center"/>
            <w:textDirection w:val="lrTb"/>
            <w:noWrap w:val="false"/>
          </w:tcPr>
          <w:p>
            <w:pPr>
              <w:jc w:val="center"/>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t xml:space="preserve">报价（小写）</w:t>
            </w:r>
            <w:r/>
          </w:p>
        </w:tc>
        <w:tc>
          <w:tcPr>
            <w:tcW w:w="3370" w:type="dxa"/>
            <w:vAlign w:val="center"/>
            <w:textDirection w:val="lrTb"/>
            <w:noWrap w:val="false"/>
          </w:tcPr>
          <w:p>
            <w:pPr>
              <w:jc w:val="center"/>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t xml:space="preserve">备注</w:t>
            </w:r>
            <w:r/>
          </w:p>
        </w:tc>
      </w:tr>
      <w:tr>
        <w:trPr>
          <w:cantSplit/>
          <w:jc w:val="center"/>
          <w:trHeight w:val="1939"/>
        </w:trPr>
        <w:tc>
          <w:tcPr>
            <w:tcW w:w="2155" w:type="dxa"/>
            <w:vAlign w:val="center"/>
            <w:textDirection w:val="lrTb"/>
            <w:noWrap w:val="false"/>
          </w:tcPr>
          <w:p>
            <w:pPr>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江苏省预算管理一体化运维项目</w:t>
            </w:r>
            <w:r/>
          </w:p>
        </w:tc>
        <w:tc>
          <w:tcPr>
            <w:tcW w:w="4065" w:type="dxa"/>
            <w:vAlign w:val="center"/>
            <w:textDirection w:val="lrTb"/>
            <w:noWrap w:val="false"/>
          </w:tcPr>
          <w:p>
            <w:pPr>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tc>
        <w:tc>
          <w:tcPr>
            <w:tcW w:w="3370" w:type="dxa"/>
            <w:vAlign w:val="center"/>
            <w:textDirection w:val="lrTb"/>
            <w:noWrap w:val="false"/>
          </w:tcPr>
          <w:p>
            <w:pPr>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tc>
      </w:tr>
      <w:tr>
        <w:trPr>
          <w:cantSplit/>
          <w:jc w:val="center"/>
          <w:trHeight w:val="789"/>
        </w:trPr>
        <w:tc>
          <w:tcPr>
            <w:tcW w:w="2155" w:type="dxa"/>
            <w:vAlign w:val="center"/>
            <w:textDirection w:val="lrTb"/>
            <w:noWrap w:val="false"/>
          </w:tcPr>
          <w:p>
            <w:pPr>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报价（大写）：</w:t>
            </w:r>
            <w:r/>
          </w:p>
        </w:tc>
        <w:tc>
          <w:tcPr>
            <w:gridSpan w:val="2"/>
            <w:tcW w:w="7435" w:type="dxa"/>
            <w:vAlign w:val="center"/>
            <w:textDirection w:val="lrTb"/>
            <w:noWrap w:val="false"/>
          </w:tcPr>
          <w:p>
            <w:pPr>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tc>
      </w:tr>
    </w:tbl>
    <w:p>
      <w:pPr>
        <w:jc w:val="left"/>
        <w:spacing w:line="360" w:lineRule="auto"/>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供应商承诺：本报价（总价）为供应商本企业提供的服务。</w:t>
      </w:r>
      <w:r/>
    </w:p>
    <w:p>
      <w:pPr>
        <w:jc w:val="left"/>
        <w:spacing w:line="360" w:lineRule="auto"/>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报价说明：</w:t>
      </w:r>
      <w:r/>
    </w:p>
    <w:p>
      <w:pPr>
        <w:jc w:val="left"/>
        <w:spacing w:line="360" w:lineRule="auto"/>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1、报价包括完成项目的所有费用。采购人不再支付报价以外的任何费用。</w:t>
      </w:r>
      <w:r/>
    </w:p>
    <w:p>
      <w:pPr>
        <w:jc w:val="left"/>
        <w:spacing w:line="360" w:lineRule="auto"/>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2、报价以总价为准，大小写不一致以大写为准；</w:t>
      </w:r>
      <w:r/>
    </w:p>
    <w:p>
      <w:pPr>
        <w:jc w:val="left"/>
        <w:spacing w:line="360" w:lineRule="auto"/>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3、偏离说明：详见《偏离表》；</w:t>
      </w:r>
      <w:r/>
    </w:p>
    <w:p>
      <w:pPr>
        <w:jc w:val="left"/>
        <w:spacing w:line="360" w:lineRule="auto"/>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4、如最后报价未列明单价，则最后所报各项单价计算方法为：（最后总价/最初总价）*各项最初报价的单价。</w:t>
      </w:r>
      <w:r/>
    </w:p>
    <w:p>
      <w:pPr>
        <w:ind w:firstLine="480"/>
        <w:jc w:val="left"/>
        <w:spacing w:line="360" w:lineRule="auto"/>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firstLine="480"/>
        <w:jc w:val="left"/>
        <w:spacing w:line="360" w:lineRule="auto"/>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firstLine="280"/>
        <w:keepLines w:val="0"/>
        <w:keepNext w:val="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供应商：（盖单位公章）</w:t>
      </w:r>
      <w:r/>
    </w:p>
    <w:p>
      <w:pPr>
        <w:ind w:firstLine="280"/>
        <w:keepLines w:val="0"/>
        <w:keepNext w:val="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法定代表人或授权代表（签字或盖章）：  </w:t>
      </w:r>
      <w:r/>
    </w:p>
    <w:p>
      <w:pPr>
        <w:ind w:firstLine="280"/>
        <w:keepLines w:val="0"/>
        <w:keepNext w:val="0"/>
        <w:pageBreakBefore w:val="0"/>
        <w:spacing w:line="520" w:lineRule="exact"/>
        <w:widowControl w:val="off"/>
        <w:rPr>
          <w:rFonts w:hint="eastAsia" w:ascii="宋体" w:hAnsi="宋体" w:cs="宋体"/>
          <w:sz w:val="24"/>
        </w:rPr>
      </w:pPr>
      <w:r>
        <w:rPr>
          <w:rFonts w:hint="eastAsia" w:ascii="仿宋_GB2312" w:hAnsi="仿宋_GB2312" w:eastAsia="仿宋_GB2312" w:cs="仿宋_GB2312"/>
          <w:sz w:val="28"/>
          <w:szCs w:val="28"/>
        </w:rPr>
        <w:t xml:space="preserve">日期：   年    月    日</w:t>
      </w:r>
      <w:r/>
    </w:p>
    <w:p>
      <w:pPr>
        <w:pStyle w:val="906"/>
        <w:rPr>
          <w:rStyle w:val="904"/>
          <w:rFonts w:hint="eastAsia" w:ascii="仿宋_GB2312" w:hAnsi="仿宋_GB2312" w:eastAsia="仿宋_GB2312" w:cs="仿宋_GB2312"/>
          <w:b w:val="0"/>
          <w:bCs w:val="0"/>
          <w:sz w:val="32"/>
          <w:szCs w:val="32"/>
        </w:rPr>
      </w:pPr>
      <w:r>
        <w:rPr>
          <w:rStyle w:val="904"/>
          <w:rFonts w:hint="eastAsia" w:ascii="仿宋_GB2312" w:hAnsi="仿宋_GB2312" w:eastAsia="仿宋_GB2312" w:cs="仿宋_GB2312"/>
          <w:b/>
          <w:bCs/>
          <w:sz w:val="32"/>
          <w:szCs w:val="32"/>
          <w:lang w:val="en-US" w:eastAsia="zh-CN"/>
        </w:rPr>
        <w:t xml:space="preserve">4. </w:t>
      </w:r>
      <w:r>
        <w:rPr>
          <w:rStyle w:val="904"/>
          <w:rFonts w:hint="eastAsia" w:ascii="仿宋_GB2312" w:hAnsi="仿宋_GB2312" w:eastAsia="仿宋_GB2312" w:cs="仿宋_GB2312"/>
          <w:b/>
          <w:bCs/>
          <w:sz w:val="32"/>
          <w:szCs w:val="32"/>
        </w:rPr>
        <w:t xml:space="preserve">分项报价表 （格式自拟）</w:t>
      </w:r>
      <w:r/>
    </w:p>
    <w:p>
      <w:pPr>
        <w:ind w:firstLine="480"/>
        <w:jc w:val="left"/>
        <w:spacing w:line="360" w:lineRule="auto"/>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firstLine="480"/>
        <w:jc w:val="left"/>
        <w:spacing w:line="360" w:lineRule="auto"/>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项目名称：江苏省预算管理一体化运维项目</w:t>
      </w:r>
      <w:r/>
    </w:p>
    <w:p>
      <w:pPr>
        <w:ind w:firstLine="480"/>
        <w:jc w:val="left"/>
        <w:spacing w:line="360" w:lineRule="auto"/>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项目编号：JSZC-320381-XYZX-C2026-0004</w:t>
      </w:r>
      <w:r/>
    </w:p>
    <w:p>
      <w:pPr>
        <w:ind w:firstLine="480"/>
        <w:jc w:val="left"/>
        <w:spacing w:line="360" w:lineRule="auto"/>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货币单位：人民币元</w:t>
      </w:r>
      <w:r/>
    </w:p>
    <w:p>
      <w:pPr>
        <w:ind w:firstLine="480"/>
        <w:jc w:val="left"/>
        <w:spacing w:line="360" w:lineRule="auto"/>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firstLine="480"/>
        <w:jc w:val="left"/>
        <w:spacing w:line="360" w:lineRule="auto"/>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firstLine="480"/>
        <w:jc w:val="left"/>
        <w:spacing w:line="360" w:lineRule="auto"/>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firstLine="480"/>
        <w:jc w:val="left"/>
        <w:spacing w:line="360" w:lineRule="auto"/>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firstLine="480"/>
        <w:jc w:val="left"/>
        <w:spacing w:line="360" w:lineRule="auto"/>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firstLine="480"/>
        <w:jc w:val="left"/>
        <w:spacing w:line="360" w:lineRule="auto"/>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firstLine="480"/>
        <w:jc w:val="left"/>
        <w:spacing w:line="360" w:lineRule="auto"/>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firstLine="560"/>
        <w:keepLines w:val="0"/>
        <w:keepNext w:val="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供应商：（盖单位公章）</w:t>
      </w:r>
      <w:r/>
    </w:p>
    <w:p>
      <w:pPr>
        <w:ind w:firstLine="560"/>
        <w:keepLines w:val="0"/>
        <w:keepNext w:val="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法定代表人或授权代表（签字或盖章）：  </w:t>
      </w:r>
      <w:r/>
    </w:p>
    <w:p>
      <w:pPr>
        <w:ind w:firstLine="560"/>
        <w:keepLines w:val="0"/>
        <w:keepNext w:val="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日期：   年    月    日</w:t>
      </w:r>
      <w:r/>
    </w:p>
    <w:p>
      <w:pPr>
        <w:ind w:firstLine="480"/>
        <w:spacing w:line="360" w:lineRule="auto"/>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ab/>
      </w:r>
      <w:r/>
    </w:p>
    <w:p>
      <w:pPr>
        <w:ind w:firstLine="480"/>
        <w:jc w:val="left"/>
        <w:spacing w:line="360" w:lineRule="auto"/>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firstLine="480"/>
        <w:jc w:val="left"/>
        <w:spacing w:line="360" w:lineRule="auto"/>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firstLine="480"/>
        <w:jc w:val="left"/>
        <w:spacing w:line="360" w:lineRule="auto"/>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注：①如果不提供详细分项报价的，将视为没有实质性响应招标文件。</w:t>
      </w:r>
      <w:r/>
    </w:p>
    <w:p>
      <w:pPr>
        <w:ind w:firstLine="480"/>
        <w:jc w:val="left"/>
        <w:spacing w:line="360" w:lineRule="auto"/>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②投标人对以上数据的真实性负责。</w:t>
      </w:r>
      <w:r/>
    </w:p>
    <w:p>
      <w:pPr>
        <w:ind w:firstLine="480"/>
        <w:jc w:val="left"/>
        <w:spacing w:line="360" w:lineRule="auto"/>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③新沂市公共资源交易中心有权将以上内容进行公示。</w:t>
      </w:r>
      <w:r/>
    </w:p>
    <w:p>
      <w:pPr>
        <w:ind w:firstLine="480"/>
        <w:jc w:val="left"/>
        <w:spacing w:line="360" w:lineRule="auto"/>
        <w:widowControl/>
        <w:rPr>
          <w:rFonts w:hint="eastAsia" w:ascii="宋体" w:hAnsi="宋体" w:cs="宋体"/>
          <w:sz w:val="24"/>
        </w:rPr>
      </w:pPr>
      <w:r>
        <w:rPr>
          <w:rFonts w:hint="eastAsia" w:ascii="宋体" w:hAnsi="宋体" w:cs="宋体"/>
          <w:sz w:val="24"/>
        </w:rPr>
      </w:r>
      <w:r/>
    </w:p>
    <w:p>
      <w:pPr>
        <w:ind w:firstLine="480"/>
        <w:jc w:val="left"/>
        <w:spacing w:line="360" w:lineRule="auto"/>
        <w:widowControl/>
        <w:rPr>
          <w:rFonts w:hint="eastAsia" w:ascii="宋体" w:hAnsi="宋体" w:cs="宋体"/>
          <w:sz w:val="24"/>
        </w:rPr>
      </w:pPr>
      <w:r>
        <w:rPr>
          <w:rFonts w:hint="eastAsia" w:ascii="宋体" w:hAnsi="宋体" w:cs="宋体"/>
          <w:sz w:val="24"/>
        </w:rPr>
      </w:r>
      <w:r/>
    </w:p>
    <w:p>
      <w:pPr>
        <w:jc w:val="both"/>
        <w:rPr>
          <w:rStyle w:val="904"/>
          <w:rFonts w:hint="eastAsia" w:ascii="宋体" w:hAnsi="宋体" w:cs="宋体"/>
          <w:sz w:val="32"/>
          <w:szCs w:val="32"/>
          <w:highlight w:val="none"/>
        </w:rPr>
      </w:pPr>
      <w:r>
        <w:rPr>
          <w:rFonts w:hint="eastAsia" w:ascii="宋体" w:hAnsi="宋体" w:cs="宋体"/>
          <w:sz w:val="32"/>
          <w:szCs w:val="32"/>
          <w:highlight w:val="none"/>
        </w:rPr>
      </w:r>
      <w:r/>
    </w:p>
    <w:p>
      <w:pPr>
        <w:numPr>
          <w:ilvl w:val="0"/>
          <w:numId w:val="7"/>
        </w:numPr>
        <w:jc w:val="center"/>
        <w:rPr>
          <w:rStyle w:val="904"/>
          <w:rFonts w:hint="eastAsia" w:ascii="仿宋_GB2312" w:hAnsi="仿宋_GB2312" w:eastAsia="仿宋_GB2312" w:cs="仿宋_GB2312"/>
          <w:sz w:val="32"/>
          <w:szCs w:val="32"/>
          <w:highlight w:val="none"/>
        </w:rPr>
      </w:pPr>
      <w:r>
        <w:rPr>
          <w:rStyle w:val="904"/>
          <w:rFonts w:hint="eastAsia" w:ascii="仿宋_GB2312" w:hAnsi="仿宋_GB2312" w:eastAsia="仿宋_GB2312" w:cs="仿宋_GB2312"/>
          <w:sz w:val="32"/>
          <w:szCs w:val="32"/>
        </w:rPr>
        <w:t xml:space="preserve">偏离表</w:t>
      </w:r>
      <w:r>
        <w:rPr>
          <w:rStyle w:val="904"/>
          <w:rFonts w:hint="eastAsia" w:ascii="仿宋_GB2312" w:hAnsi="仿宋_GB2312" w:eastAsia="仿宋_GB2312" w:cs="仿宋_GB2312"/>
          <w:sz w:val="32"/>
          <w:szCs w:val="32"/>
          <w:lang w:eastAsia="zh-CN"/>
        </w:rPr>
        <w:t xml:space="preserve">（商务）</w:t>
      </w:r>
      <w:r/>
    </w:p>
    <w:p>
      <w:pPr>
        <w:ind w:firstLine="480"/>
        <w:spacing w:line="360" w:lineRule="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pStyle w:val="907"/>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项目编号：JSZC-320381-XYZX-C2026-0004</w:t>
      </w:r>
      <w:r/>
    </w:p>
    <w:p>
      <w:pPr>
        <w:pStyle w:val="907"/>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项目名称：江苏省预算管理一体化运维项目</w:t>
      </w:r>
      <w:r/>
    </w:p>
    <w:tbl>
      <w:tblPr>
        <w:tblStyle w:val="708"/>
        <w:tblW w:w="8928" w:type="dxa"/>
        <w:tblInd w:w="26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273"/>
        <w:gridCol w:w="1356"/>
        <w:gridCol w:w="1765"/>
        <w:gridCol w:w="1595"/>
        <w:gridCol w:w="1980"/>
      </w:tblGrid>
      <w:tr>
        <w:trPr>
          <w:trHeight w:val="414"/>
        </w:trPr>
        <w:tc>
          <w:tcPr>
            <w:tcW w:w="959" w:type="dxa"/>
            <w:vAlign w:val="center"/>
            <w:textDirection w:val="lrTb"/>
            <w:noWrap w:val="false"/>
          </w:tcPr>
          <w:p>
            <w:pPr>
              <w:jc w:val="center"/>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序号</w:t>
            </w:r>
            <w:r/>
          </w:p>
        </w:tc>
        <w:tc>
          <w:tcPr>
            <w:tcW w:w="1273" w:type="dxa"/>
            <w:vAlign w:val="center"/>
            <w:textDirection w:val="lrTb"/>
            <w:noWrap w:val="false"/>
          </w:tcPr>
          <w:p>
            <w:pPr>
              <w:jc w:val="center"/>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内容</w:t>
            </w:r>
            <w:r/>
          </w:p>
        </w:tc>
        <w:tc>
          <w:tcPr>
            <w:tcW w:w="1356" w:type="dxa"/>
            <w:vAlign w:val="center"/>
            <w:textDirection w:val="lrTb"/>
            <w:noWrap w:val="false"/>
          </w:tcPr>
          <w:p>
            <w:pPr>
              <w:jc w:val="center"/>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磋商文件要求</w:t>
            </w:r>
            <w:r/>
          </w:p>
        </w:tc>
        <w:tc>
          <w:tcPr>
            <w:tcW w:w="1765" w:type="dxa"/>
            <w:vAlign w:val="center"/>
            <w:textDirection w:val="lrTb"/>
            <w:noWrap w:val="false"/>
          </w:tcPr>
          <w:p>
            <w:pPr>
              <w:jc w:val="center"/>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供应商首次响应文件内容</w:t>
            </w:r>
            <w:r/>
          </w:p>
        </w:tc>
        <w:tc>
          <w:tcPr>
            <w:tcW w:w="1595" w:type="dxa"/>
            <w:vAlign w:val="center"/>
            <w:textDirection w:val="lrTb"/>
            <w:noWrap w:val="false"/>
          </w:tcPr>
          <w:p>
            <w:pPr>
              <w:jc w:val="center"/>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（正/负/无）偏离</w:t>
            </w:r>
            <w:r/>
          </w:p>
        </w:tc>
        <w:tc>
          <w:tcPr>
            <w:tcW w:w="1980" w:type="dxa"/>
            <w:vAlign w:val="center"/>
            <w:textDirection w:val="lrTb"/>
            <w:noWrap w:val="false"/>
          </w:tcPr>
          <w:p>
            <w:pPr>
              <w:jc w:val="center"/>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说明</w:t>
            </w:r>
            <w:r/>
          </w:p>
        </w:tc>
      </w:tr>
      <w:tr>
        <w:trPr>
          <w:trHeight w:val="794"/>
        </w:trPr>
        <w:tc>
          <w:tcPr>
            <w:tcW w:w="959" w:type="dxa"/>
            <w:textDirection w:val="lrTb"/>
            <w:noWrap w:val="false"/>
          </w:tcPr>
          <w:p>
            <w:pPr>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W w:w="1273" w:type="dxa"/>
            <w:textDirection w:val="lrTb"/>
            <w:noWrap w:val="false"/>
          </w:tcPr>
          <w:p>
            <w:pPr>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W w:w="1356" w:type="dxa"/>
            <w:textDirection w:val="lrTb"/>
            <w:noWrap w:val="false"/>
          </w:tcPr>
          <w:p>
            <w:pPr>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W w:w="1765" w:type="dxa"/>
            <w:textDirection w:val="lrTb"/>
            <w:noWrap w:val="false"/>
          </w:tcPr>
          <w:p>
            <w:pPr>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W w:w="1595" w:type="dxa"/>
            <w:textDirection w:val="lrTb"/>
            <w:noWrap w:val="false"/>
          </w:tcPr>
          <w:p>
            <w:pPr>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W w:w="1980" w:type="dxa"/>
            <w:textDirection w:val="lrTb"/>
            <w:noWrap w:val="false"/>
          </w:tcPr>
          <w:p>
            <w:pPr>
              <w:rPr>
                <w:rFonts w:hint="eastAsia" w:ascii="仿宋_GB2312" w:hAnsi="仿宋_GB2312" w:eastAsia="仿宋_GB2312" w:cs="仿宋_GB2312"/>
                <w:sz w:val="24"/>
              </w:rPr>
            </w:pPr>
            <w:r>
              <w:rPr>
                <w:rFonts w:hint="eastAsia" w:ascii="仿宋_GB2312" w:hAnsi="仿宋_GB2312" w:eastAsia="仿宋_GB2312" w:cs="仿宋_GB2312"/>
                <w:sz w:val="24"/>
              </w:rPr>
            </w:r>
            <w:r/>
          </w:p>
        </w:tc>
      </w:tr>
      <w:tr>
        <w:trPr>
          <w:trHeight w:val="794"/>
        </w:trPr>
        <w:tc>
          <w:tcPr>
            <w:tcW w:w="959" w:type="dxa"/>
            <w:textDirection w:val="lrTb"/>
            <w:noWrap w:val="false"/>
          </w:tcPr>
          <w:p>
            <w:pPr>
              <w:rPr>
                <w:rFonts w:hint="eastAsia" w:ascii="仿宋_GB2312" w:hAnsi="仿宋_GB2312" w:eastAsia="仿宋_GB2312" w:cs="仿宋_GB2312"/>
                <w:b/>
                <w:sz w:val="24"/>
              </w:rPr>
            </w:pPr>
            <w:r>
              <w:rPr>
                <w:rFonts w:hint="eastAsia" w:ascii="仿宋_GB2312" w:hAnsi="仿宋_GB2312" w:eastAsia="仿宋_GB2312" w:cs="仿宋_GB2312"/>
                <w:b/>
                <w:sz w:val="24"/>
              </w:rPr>
            </w:r>
            <w:r/>
          </w:p>
        </w:tc>
        <w:tc>
          <w:tcPr>
            <w:tcW w:w="1273" w:type="dxa"/>
            <w:textDirection w:val="lrTb"/>
            <w:noWrap w:val="false"/>
          </w:tcPr>
          <w:p>
            <w:pPr>
              <w:rPr>
                <w:rFonts w:hint="eastAsia" w:ascii="仿宋_GB2312" w:hAnsi="仿宋_GB2312" w:eastAsia="仿宋_GB2312" w:cs="仿宋_GB2312"/>
                <w:b/>
                <w:sz w:val="24"/>
              </w:rPr>
            </w:pPr>
            <w:r>
              <w:rPr>
                <w:rFonts w:hint="eastAsia" w:ascii="仿宋_GB2312" w:hAnsi="仿宋_GB2312" w:eastAsia="仿宋_GB2312" w:cs="仿宋_GB2312"/>
                <w:b/>
                <w:sz w:val="24"/>
              </w:rPr>
            </w:r>
            <w:r/>
          </w:p>
        </w:tc>
        <w:tc>
          <w:tcPr>
            <w:tcW w:w="1356" w:type="dxa"/>
            <w:textDirection w:val="lrTb"/>
            <w:noWrap w:val="false"/>
          </w:tcPr>
          <w:p>
            <w:pPr>
              <w:rPr>
                <w:rFonts w:hint="eastAsia" w:ascii="仿宋_GB2312" w:hAnsi="仿宋_GB2312" w:eastAsia="仿宋_GB2312" w:cs="仿宋_GB2312"/>
                <w:b/>
                <w:sz w:val="24"/>
              </w:rPr>
            </w:pPr>
            <w:r>
              <w:rPr>
                <w:rFonts w:hint="eastAsia" w:ascii="仿宋_GB2312" w:hAnsi="仿宋_GB2312" w:eastAsia="仿宋_GB2312" w:cs="仿宋_GB2312"/>
                <w:b/>
                <w:sz w:val="24"/>
              </w:rPr>
            </w:r>
            <w:r/>
          </w:p>
        </w:tc>
        <w:tc>
          <w:tcPr>
            <w:tcW w:w="1765" w:type="dxa"/>
            <w:textDirection w:val="lrTb"/>
            <w:noWrap w:val="false"/>
          </w:tcPr>
          <w:p>
            <w:pPr>
              <w:rPr>
                <w:rFonts w:hint="eastAsia" w:ascii="仿宋_GB2312" w:hAnsi="仿宋_GB2312" w:eastAsia="仿宋_GB2312" w:cs="仿宋_GB2312"/>
                <w:b/>
                <w:sz w:val="24"/>
              </w:rPr>
            </w:pPr>
            <w:r>
              <w:rPr>
                <w:rFonts w:hint="eastAsia" w:ascii="仿宋_GB2312" w:hAnsi="仿宋_GB2312" w:eastAsia="仿宋_GB2312" w:cs="仿宋_GB2312"/>
                <w:b/>
                <w:sz w:val="24"/>
              </w:rPr>
            </w:r>
            <w:r/>
          </w:p>
        </w:tc>
        <w:tc>
          <w:tcPr>
            <w:tcW w:w="1595" w:type="dxa"/>
            <w:textDirection w:val="lrTb"/>
            <w:noWrap w:val="false"/>
          </w:tcPr>
          <w:p>
            <w:pPr>
              <w:rPr>
                <w:rFonts w:hint="eastAsia" w:ascii="仿宋_GB2312" w:hAnsi="仿宋_GB2312" w:eastAsia="仿宋_GB2312" w:cs="仿宋_GB2312"/>
                <w:b/>
                <w:sz w:val="24"/>
              </w:rPr>
            </w:pPr>
            <w:r>
              <w:rPr>
                <w:rFonts w:hint="eastAsia" w:ascii="仿宋_GB2312" w:hAnsi="仿宋_GB2312" w:eastAsia="仿宋_GB2312" w:cs="仿宋_GB2312"/>
                <w:b/>
                <w:sz w:val="24"/>
              </w:rPr>
            </w:r>
            <w:r/>
          </w:p>
        </w:tc>
        <w:tc>
          <w:tcPr>
            <w:tcW w:w="1980" w:type="dxa"/>
            <w:textDirection w:val="lrTb"/>
            <w:noWrap w:val="false"/>
          </w:tcPr>
          <w:p>
            <w:pPr>
              <w:rPr>
                <w:rFonts w:hint="eastAsia" w:ascii="仿宋_GB2312" w:hAnsi="仿宋_GB2312" w:eastAsia="仿宋_GB2312" w:cs="仿宋_GB2312"/>
                <w:b/>
                <w:sz w:val="24"/>
              </w:rPr>
            </w:pPr>
            <w:r>
              <w:rPr>
                <w:rFonts w:hint="eastAsia" w:ascii="仿宋_GB2312" w:hAnsi="仿宋_GB2312" w:eastAsia="仿宋_GB2312" w:cs="仿宋_GB2312"/>
                <w:b/>
                <w:sz w:val="24"/>
              </w:rPr>
            </w:r>
            <w:r/>
          </w:p>
        </w:tc>
      </w:tr>
      <w:tr>
        <w:trPr>
          <w:trHeight w:val="794"/>
        </w:trPr>
        <w:tc>
          <w:tcPr>
            <w:tcW w:w="959" w:type="dxa"/>
            <w:textDirection w:val="lrTb"/>
            <w:noWrap w:val="false"/>
          </w:tcPr>
          <w:p>
            <w:pPr>
              <w:rPr>
                <w:rFonts w:hint="eastAsia" w:ascii="仿宋_GB2312" w:hAnsi="仿宋_GB2312" w:eastAsia="仿宋_GB2312" w:cs="仿宋_GB2312"/>
                <w:b/>
                <w:sz w:val="24"/>
              </w:rPr>
            </w:pPr>
            <w:r>
              <w:rPr>
                <w:rFonts w:hint="eastAsia" w:ascii="仿宋_GB2312" w:hAnsi="仿宋_GB2312" w:eastAsia="仿宋_GB2312" w:cs="仿宋_GB2312"/>
                <w:b/>
                <w:sz w:val="24"/>
              </w:rPr>
            </w:r>
            <w:r/>
          </w:p>
        </w:tc>
        <w:tc>
          <w:tcPr>
            <w:tcW w:w="1273" w:type="dxa"/>
            <w:textDirection w:val="lrTb"/>
            <w:noWrap w:val="false"/>
          </w:tcPr>
          <w:p>
            <w:pPr>
              <w:rPr>
                <w:rFonts w:hint="eastAsia" w:ascii="仿宋_GB2312" w:hAnsi="仿宋_GB2312" w:eastAsia="仿宋_GB2312" w:cs="仿宋_GB2312"/>
                <w:b/>
                <w:sz w:val="24"/>
              </w:rPr>
            </w:pPr>
            <w:r>
              <w:rPr>
                <w:rFonts w:hint="eastAsia" w:ascii="仿宋_GB2312" w:hAnsi="仿宋_GB2312" w:eastAsia="仿宋_GB2312" w:cs="仿宋_GB2312"/>
                <w:b/>
                <w:sz w:val="24"/>
              </w:rPr>
            </w:r>
            <w:r/>
          </w:p>
        </w:tc>
        <w:tc>
          <w:tcPr>
            <w:tcW w:w="1356" w:type="dxa"/>
            <w:textDirection w:val="lrTb"/>
            <w:noWrap w:val="false"/>
          </w:tcPr>
          <w:p>
            <w:pPr>
              <w:rPr>
                <w:rFonts w:hint="eastAsia" w:ascii="仿宋_GB2312" w:hAnsi="仿宋_GB2312" w:eastAsia="仿宋_GB2312" w:cs="仿宋_GB2312"/>
                <w:b/>
                <w:sz w:val="24"/>
              </w:rPr>
            </w:pPr>
            <w:r>
              <w:rPr>
                <w:rFonts w:hint="eastAsia" w:ascii="仿宋_GB2312" w:hAnsi="仿宋_GB2312" w:eastAsia="仿宋_GB2312" w:cs="仿宋_GB2312"/>
                <w:b/>
                <w:sz w:val="24"/>
              </w:rPr>
            </w:r>
            <w:r/>
          </w:p>
        </w:tc>
        <w:tc>
          <w:tcPr>
            <w:tcW w:w="1765" w:type="dxa"/>
            <w:textDirection w:val="lrTb"/>
            <w:noWrap w:val="false"/>
          </w:tcPr>
          <w:p>
            <w:pPr>
              <w:rPr>
                <w:rFonts w:hint="eastAsia" w:ascii="仿宋_GB2312" w:hAnsi="仿宋_GB2312" w:eastAsia="仿宋_GB2312" w:cs="仿宋_GB2312"/>
                <w:b/>
                <w:sz w:val="24"/>
              </w:rPr>
            </w:pPr>
            <w:r>
              <w:rPr>
                <w:rFonts w:hint="eastAsia" w:ascii="仿宋_GB2312" w:hAnsi="仿宋_GB2312" w:eastAsia="仿宋_GB2312" w:cs="仿宋_GB2312"/>
                <w:b/>
                <w:sz w:val="24"/>
              </w:rPr>
            </w:r>
            <w:r/>
          </w:p>
        </w:tc>
        <w:tc>
          <w:tcPr>
            <w:tcW w:w="1595" w:type="dxa"/>
            <w:textDirection w:val="lrTb"/>
            <w:noWrap w:val="false"/>
          </w:tcPr>
          <w:p>
            <w:pPr>
              <w:rPr>
                <w:rFonts w:hint="eastAsia" w:ascii="仿宋_GB2312" w:hAnsi="仿宋_GB2312" w:eastAsia="仿宋_GB2312" w:cs="仿宋_GB2312"/>
                <w:b/>
                <w:sz w:val="24"/>
              </w:rPr>
            </w:pPr>
            <w:r>
              <w:rPr>
                <w:rFonts w:hint="eastAsia" w:ascii="仿宋_GB2312" w:hAnsi="仿宋_GB2312" w:eastAsia="仿宋_GB2312" w:cs="仿宋_GB2312"/>
                <w:b/>
                <w:sz w:val="24"/>
              </w:rPr>
            </w:r>
            <w:r/>
          </w:p>
        </w:tc>
        <w:tc>
          <w:tcPr>
            <w:tcW w:w="1980" w:type="dxa"/>
            <w:textDirection w:val="lrTb"/>
            <w:noWrap w:val="false"/>
          </w:tcPr>
          <w:p>
            <w:pPr>
              <w:rPr>
                <w:rFonts w:hint="eastAsia" w:ascii="仿宋_GB2312" w:hAnsi="仿宋_GB2312" w:eastAsia="仿宋_GB2312" w:cs="仿宋_GB2312"/>
                <w:b/>
                <w:sz w:val="24"/>
              </w:rPr>
            </w:pPr>
            <w:r>
              <w:rPr>
                <w:rFonts w:hint="eastAsia" w:ascii="仿宋_GB2312" w:hAnsi="仿宋_GB2312" w:eastAsia="仿宋_GB2312" w:cs="仿宋_GB2312"/>
                <w:b/>
                <w:sz w:val="24"/>
              </w:rPr>
            </w:r>
            <w:r/>
          </w:p>
        </w:tc>
      </w:tr>
      <w:tr>
        <w:trPr>
          <w:trHeight w:val="794"/>
        </w:trPr>
        <w:tc>
          <w:tcPr>
            <w:tcW w:w="959" w:type="dxa"/>
            <w:textDirection w:val="lrTb"/>
            <w:noWrap w:val="false"/>
          </w:tcPr>
          <w:p>
            <w:pPr>
              <w:rPr>
                <w:rFonts w:hint="eastAsia" w:ascii="仿宋_GB2312" w:hAnsi="仿宋_GB2312" w:eastAsia="仿宋_GB2312" w:cs="仿宋_GB2312"/>
                <w:b/>
                <w:sz w:val="24"/>
              </w:rPr>
            </w:pPr>
            <w:r>
              <w:rPr>
                <w:rFonts w:hint="eastAsia" w:ascii="仿宋_GB2312" w:hAnsi="仿宋_GB2312" w:eastAsia="仿宋_GB2312" w:cs="仿宋_GB2312"/>
                <w:b/>
                <w:sz w:val="24"/>
              </w:rPr>
            </w:r>
            <w:r/>
          </w:p>
        </w:tc>
        <w:tc>
          <w:tcPr>
            <w:tcW w:w="1273" w:type="dxa"/>
            <w:textDirection w:val="lrTb"/>
            <w:noWrap w:val="false"/>
          </w:tcPr>
          <w:p>
            <w:pPr>
              <w:rPr>
                <w:rFonts w:hint="eastAsia" w:ascii="仿宋_GB2312" w:hAnsi="仿宋_GB2312" w:eastAsia="仿宋_GB2312" w:cs="仿宋_GB2312"/>
                <w:b/>
                <w:sz w:val="24"/>
              </w:rPr>
            </w:pPr>
            <w:r>
              <w:rPr>
                <w:rFonts w:hint="eastAsia" w:ascii="仿宋_GB2312" w:hAnsi="仿宋_GB2312" w:eastAsia="仿宋_GB2312" w:cs="仿宋_GB2312"/>
                <w:b/>
                <w:sz w:val="24"/>
              </w:rPr>
            </w:r>
            <w:r/>
          </w:p>
        </w:tc>
        <w:tc>
          <w:tcPr>
            <w:tcW w:w="1356" w:type="dxa"/>
            <w:textDirection w:val="lrTb"/>
            <w:noWrap w:val="false"/>
          </w:tcPr>
          <w:p>
            <w:pPr>
              <w:rPr>
                <w:rFonts w:hint="eastAsia" w:ascii="仿宋_GB2312" w:hAnsi="仿宋_GB2312" w:eastAsia="仿宋_GB2312" w:cs="仿宋_GB2312"/>
                <w:b/>
                <w:sz w:val="24"/>
              </w:rPr>
            </w:pPr>
            <w:r>
              <w:rPr>
                <w:rFonts w:hint="eastAsia" w:ascii="仿宋_GB2312" w:hAnsi="仿宋_GB2312" w:eastAsia="仿宋_GB2312" w:cs="仿宋_GB2312"/>
                <w:b/>
                <w:sz w:val="24"/>
              </w:rPr>
            </w:r>
            <w:r/>
          </w:p>
        </w:tc>
        <w:tc>
          <w:tcPr>
            <w:tcW w:w="1765" w:type="dxa"/>
            <w:textDirection w:val="lrTb"/>
            <w:noWrap w:val="false"/>
          </w:tcPr>
          <w:p>
            <w:pPr>
              <w:rPr>
                <w:rFonts w:hint="eastAsia" w:ascii="仿宋_GB2312" w:hAnsi="仿宋_GB2312" w:eastAsia="仿宋_GB2312" w:cs="仿宋_GB2312"/>
                <w:b/>
                <w:sz w:val="24"/>
              </w:rPr>
            </w:pPr>
            <w:r>
              <w:rPr>
                <w:rFonts w:hint="eastAsia" w:ascii="仿宋_GB2312" w:hAnsi="仿宋_GB2312" w:eastAsia="仿宋_GB2312" w:cs="仿宋_GB2312"/>
                <w:b/>
                <w:sz w:val="24"/>
              </w:rPr>
            </w:r>
            <w:r/>
          </w:p>
        </w:tc>
        <w:tc>
          <w:tcPr>
            <w:tcW w:w="1595" w:type="dxa"/>
            <w:textDirection w:val="lrTb"/>
            <w:noWrap w:val="false"/>
          </w:tcPr>
          <w:p>
            <w:pPr>
              <w:rPr>
                <w:rFonts w:hint="eastAsia" w:ascii="仿宋_GB2312" w:hAnsi="仿宋_GB2312" w:eastAsia="仿宋_GB2312" w:cs="仿宋_GB2312"/>
                <w:b/>
                <w:sz w:val="24"/>
              </w:rPr>
            </w:pPr>
            <w:r>
              <w:rPr>
                <w:rFonts w:hint="eastAsia" w:ascii="仿宋_GB2312" w:hAnsi="仿宋_GB2312" w:eastAsia="仿宋_GB2312" w:cs="仿宋_GB2312"/>
                <w:b/>
                <w:sz w:val="24"/>
              </w:rPr>
            </w:r>
            <w:r/>
          </w:p>
        </w:tc>
        <w:tc>
          <w:tcPr>
            <w:tcW w:w="1980" w:type="dxa"/>
            <w:textDirection w:val="lrTb"/>
            <w:noWrap w:val="false"/>
          </w:tcPr>
          <w:p>
            <w:pPr>
              <w:rPr>
                <w:rFonts w:hint="eastAsia" w:ascii="仿宋_GB2312" w:hAnsi="仿宋_GB2312" w:eastAsia="仿宋_GB2312" w:cs="仿宋_GB2312"/>
                <w:b/>
                <w:sz w:val="24"/>
              </w:rPr>
            </w:pPr>
            <w:r>
              <w:rPr>
                <w:rFonts w:hint="eastAsia" w:ascii="仿宋_GB2312" w:hAnsi="仿宋_GB2312" w:eastAsia="仿宋_GB2312" w:cs="仿宋_GB2312"/>
                <w:b/>
                <w:sz w:val="24"/>
              </w:rPr>
            </w:r>
            <w:r/>
          </w:p>
        </w:tc>
      </w:tr>
      <w:tr>
        <w:trPr>
          <w:trHeight w:val="794"/>
        </w:trPr>
        <w:tc>
          <w:tcPr>
            <w:tcW w:w="959" w:type="dxa"/>
            <w:textDirection w:val="lrTb"/>
            <w:noWrap w:val="false"/>
          </w:tcPr>
          <w:p>
            <w:pPr>
              <w:rPr>
                <w:rFonts w:hint="eastAsia" w:ascii="仿宋_GB2312" w:hAnsi="仿宋_GB2312" w:eastAsia="仿宋_GB2312" w:cs="仿宋_GB2312"/>
                <w:b/>
                <w:sz w:val="24"/>
              </w:rPr>
            </w:pPr>
            <w:r>
              <w:rPr>
                <w:rFonts w:hint="eastAsia" w:ascii="仿宋_GB2312" w:hAnsi="仿宋_GB2312" w:eastAsia="仿宋_GB2312" w:cs="仿宋_GB2312"/>
                <w:b/>
                <w:sz w:val="24"/>
              </w:rPr>
            </w:r>
            <w:r/>
          </w:p>
        </w:tc>
        <w:tc>
          <w:tcPr>
            <w:tcW w:w="1273" w:type="dxa"/>
            <w:textDirection w:val="lrTb"/>
            <w:noWrap w:val="false"/>
          </w:tcPr>
          <w:p>
            <w:pPr>
              <w:rPr>
                <w:rFonts w:hint="eastAsia" w:ascii="仿宋_GB2312" w:hAnsi="仿宋_GB2312" w:eastAsia="仿宋_GB2312" w:cs="仿宋_GB2312"/>
                <w:b/>
                <w:sz w:val="24"/>
              </w:rPr>
            </w:pPr>
            <w:r>
              <w:rPr>
                <w:rFonts w:hint="eastAsia" w:ascii="仿宋_GB2312" w:hAnsi="仿宋_GB2312" w:eastAsia="仿宋_GB2312" w:cs="仿宋_GB2312"/>
                <w:b/>
                <w:sz w:val="24"/>
              </w:rPr>
            </w:r>
            <w:r/>
          </w:p>
        </w:tc>
        <w:tc>
          <w:tcPr>
            <w:tcW w:w="1356" w:type="dxa"/>
            <w:textDirection w:val="lrTb"/>
            <w:noWrap w:val="false"/>
          </w:tcPr>
          <w:p>
            <w:pPr>
              <w:rPr>
                <w:rFonts w:hint="eastAsia" w:ascii="仿宋_GB2312" w:hAnsi="仿宋_GB2312" w:eastAsia="仿宋_GB2312" w:cs="仿宋_GB2312"/>
                <w:b/>
                <w:sz w:val="24"/>
              </w:rPr>
            </w:pPr>
            <w:r>
              <w:rPr>
                <w:rFonts w:hint="eastAsia" w:ascii="仿宋_GB2312" w:hAnsi="仿宋_GB2312" w:eastAsia="仿宋_GB2312" w:cs="仿宋_GB2312"/>
                <w:b/>
                <w:sz w:val="24"/>
              </w:rPr>
            </w:r>
            <w:r/>
          </w:p>
        </w:tc>
        <w:tc>
          <w:tcPr>
            <w:tcW w:w="1765" w:type="dxa"/>
            <w:textDirection w:val="lrTb"/>
            <w:noWrap w:val="false"/>
          </w:tcPr>
          <w:p>
            <w:pPr>
              <w:rPr>
                <w:rFonts w:hint="eastAsia" w:ascii="仿宋_GB2312" w:hAnsi="仿宋_GB2312" w:eastAsia="仿宋_GB2312" w:cs="仿宋_GB2312"/>
                <w:b/>
                <w:sz w:val="24"/>
              </w:rPr>
            </w:pPr>
            <w:r>
              <w:rPr>
                <w:rFonts w:hint="eastAsia" w:ascii="仿宋_GB2312" w:hAnsi="仿宋_GB2312" w:eastAsia="仿宋_GB2312" w:cs="仿宋_GB2312"/>
                <w:b/>
                <w:sz w:val="24"/>
              </w:rPr>
            </w:r>
            <w:r/>
          </w:p>
        </w:tc>
        <w:tc>
          <w:tcPr>
            <w:tcW w:w="1595" w:type="dxa"/>
            <w:textDirection w:val="lrTb"/>
            <w:noWrap w:val="false"/>
          </w:tcPr>
          <w:p>
            <w:pPr>
              <w:rPr>
                <w:rFonts w:hint="eastAsia" w:ascii="仿宋_GB2312" w:hAnsi="仿宋_GB2312" w:eastAsia="仿宋_GB2312" w:cs="仿宋_GB2312"/>
                <w:b/>
                <w:sz w:val="24"/>
              </w:rPr>
            </w:pPr>
            <w:r>
              <w:rPr>
                <w:rFonts w:hint="eastAsia" w:ascii="仿宋_GB2312" w:hAnsi="仿宋_GB2312" w:eastAsia="仿宋_GB2312" w:cs="仿宋_GB2312"/>
                <w:b/>
                <w:sz w:val="24"/>
              </w:rPr>
            </w:r>
            <w:r/>
          </w:p>
        </w:tc>
        <w:tc>
          <w:tcPr>
            <w:tcW w:w="1980" w:type="dxa"/>
            <w:textDirection w:val="lrTb"/>
            <w:noWrap w:val="false"/>
          </w:tcPr>
          <w:p>
            <w:pPr>
              <w:rPr>
                <w:rFonts w:hint="eastAsia" w:ascii="仿宋_GB2312" w:hAnsi="仿宋_GB2312" w:eastAsia="仿宋_GB2312" w:cs="仿宋_GB2312"/>
                <w:b/>
                <w:sz w:val="24"/>
              </w:rPr>
            </w:pPr>
            <w:r>
              <w:rPr>
                <w:rFonts w:hint="eastAsia" w:ascii="仿宋_GB2312" w:hAnsi="仿宋_GB2312" w:eastAsia="仿宋_GB2312" w:cs="仿宋_GB2312"/>
                <w:b/>
                <w:sz w:val="24"/>
              </w:rPr>
            </w:r>
            <w:r/>
          </w:p>
        </w:tc>
      </w:tr>
      <w:tr>
        <w:trPr>
          <w:trHeight w:val="794"/>
        </w:trPr>
        <w:tc>
          <w:tcPr>
            <w:tcW w:w="959" w:type="dxa"/>
            <w:textDirection w:val="lrTb"/>
            <w:noWrap w:val="false"/>
          </w:tcPr>
          <w:p>
            <w:pPr>
              <w:rPr>
                <w:rFonts w:hint="eastAsia" w:ascii="仿宋_GB2312" w:hAnsi="仿宋_GB2312" w:eastAsia="仿宋_GB2312" w:cs="仿宋_GB2312"/>
                <w:b/>
                <w:sz w:val="24"/>
              </w:rPr>
            </w:pPr>
            <w:r>
              <w:rPr>
                <w:rFonts w:hint="eastAsia" w:ascii="仿宋_GB2312" w:hAnsi="仿宋_GB2312" w:eastAsia="仿宋_GB2312" w:cs="仿宋_GB2312"/>
                <w:b/>
                <w:sz w:val="24"/>
              </w:rPr>
            </w:r>
            <w:r/>
          </w:p>
        </w:tc>
        <w:tc>
          <w:tcPr>
            <w:tcW w:w="1273" w:type="dxa"/>
            <w:textDirection w:val="lrTb"/>
            <w:noWrap w:val="false"/>
          </w:tcPr>
          <w:p>
            <w:pPr>
              <w:rPr>
                <w:rFonts w:hint="eastAsia" w:ascii="仿宋_GB2312" w:hAnsi="仿宋_GB2312" w:eastAsia="仿宋_GB2312" w:cs="仿宋_GB2312"/>
                <w:b/>
                <w:sz w:val="24"/>
              </w:rPr>
            </w:pPr>
            <w:r>
              <w:rPr>
                <w:rFonts w:hint="eastAsia" w:ascii="仿宋_GB2312" w:hAnsi="仿宋_GB2312" w:eastAsia="仿宋_GB2312" w:cs="仿宋_GB2312"/>
                <w:b/>
                <w:sz w:val="24"/>
              </w:rPr>
            </w:r>
            <w:r/>
          </w:p>
        </w:tc>
        <w:tc>
          <w:tcPr>
            <w:tcW w:w="1356" w:type="dxa"/>
            <w:textDirection w:val="lrTb"/>
            <w:noWrap w:val="false"/>
          </w:tcPr>
          <w:p>
            <w:pPr>
              <w:rPr>
                <w:rFonts w:hint="eastAsia" w:ascii="仿宋_GB2312" w:hAnsi="仿宋_GB2312" w:eastAsia="仿宋_GB2312" w:cs="仿宋_GB2312"/>
                <w:b/>
                <w:sz w:val="24"/>
              </w:rPr>
            </w:pPr>
            <w:r>
              <w:rPr>
                <w:rFonts w:hint="eastAsia" w:ascii="仿宋_GB2312" w:hAnsi="仿宋_GB2312" w:eastAsia="仿宋_GB2312" w:cs="仿宋_GB2312"/>
                <w:b/>
                <w:sz w:val="24"/>
              </w:rPr>
            </w:r>
            <w:r/>
          </w:p>
        </w:tc>
        <w:tc>
          <w:tcPr>
            <w:tcW w:w="1765" w:type="dxa"/>
            <w:textDirection w:val="lrTb"/>
            <w:noWrap w:val="false"/>
          </w:tcPr>
          <w:p>
            <w:pPr>
              <w:rPr>
                <w:rFonts w:hint="eastAsia" w:ascii="仿宋_GB2312" w:hAnsi="仿宋_GB2312" w:eastAsia="仿宋_GB2312" w:cs="仿宋_GB2312"/>
                <w:b/>
                <w:sz w:val="24"/>
              </w:rPr>
            </w:pPr>
            <w:r>
              <w:rPr>
                <w:rFonts w:hint="eastAsia" w:ascii="仿宋_GB2312" w:hAnsi="仿宋_GB2312" w:eastAsia="仿宋_GB2312" w:cs="仿宋_GB2312"/>
                <w:b/>
                <w:sz w:val="24"/>
              </w:rPr>
            </w:r>
            <w:r/>
          </w:p>
        </w:tc>
        <w:tc>
          <w:tcPr>
            <w:tcW w:w="1595" w:type="dxa"/>
            <w:textDirection w:val="lrTb"/>
            <w:noWrap w:val="false"/>
          </w:tcPr>
          <w:p>
            <w:pPr>
              <w:rPr>
                <w:rFonts w:hint="eastAsia" w:ascii="仿宋_GB2312" w:hAnsi="仿宋_GB2312" w:eastAsia="仿宋_GB2312" w:cs="仿宋_GB2312"/>
                <w:b/>
                <w:sz w:val="24"/>
              </w:rPr>
            </w:pPr>
            <w:r>
              <w:rPr>
                <w:rFonts w:hint="eastAsia" w:ascii="仿宋_GB2312" w:hAnsi="仿宋_GB2312" w:eastAsia="仿宋_GB2312" w:cs="仿宋_GB2312"/>
                <w:b/>
                <w:sz w:val="24"/>
              </w:rPr>
            </w:r>
            <w:r/>
          </w:p>
        </w:tc>
        <w:tc>
          <w:tcPr>
            <w:tcW w:w="1980" w:type="dxa"/>
            <w:textDirection w:val="lrTb"/>
            <w:noWrap w:val="false"/>
          </w:tcPr>
          <w:p>
            <w:pPr>
              <w:rPr>
                <w:rFonts w:hint="eastAsia" w:ascii="仿宋_GB2312" w:hAnsi="仿宋_GB2312" w:eastAsia="仿宋_GB2312" w:cs="仿宋_GB2312"/>
                <w:b/>
                <w:sz w:val="24"/>
              </w:rPr>
            </w:pPr>
            <w:r>
              <w:rPr>
                <w:rFonts w:hint="eastAsia" w:ascii="仿宋_GB2312" w:hAnsi="仿宋_GB2312" w:eastAsia="仿宋_GB2312" w:cs="仿宋_GB2312"/>
                <w:b/>
                <w:sz w:val="24"/>
              </w:rPr>
            </w:r>
            <w:r/>
          </w:p>
        </w:tc>
      </w:tr>
      <w:tr>
        <w:trPr>
          <w:trHeight w:val="794"/>
        </w:trPr>
        <w:tc>
          <w:tcPr>
            <w:tcW w:w="959" w:type="dxa"/>
            <w:textDirection w:val="lrTb"/>
            <w:noWrap w:val="false"/>
          </w:tcPr>
          <w:p>
            <w:pPr>
              <w:rPr>
                <w:rFonts w:hint="eastAsia" w:ascii="仿宋_GB2312" w:hAnsi="仿宋_GB2312" w:eastAsia="仿宋_GB2312" w:cs="仿宋_GB2312"/>
                <w:b/>
                <w:sz w:val="24"/>
              </w:rPr>
            </w:pPr>
            <w:r>
              <w:rPr>
                <w:rFonts w:hint="eastAsia" w:ascii="仿宋_GB2312" w:hAnsi="仿宋_GB2312" w:eastAsia="仿宋_GB2312" w:cs="仿宋_GB2312"/>
                <w:b/>
                <w:sz w:val="24"/>
              </w:rPr>
            </w:r>
            <w:r/>
          </w:p>
        </w:tc>
        <w:tc>
          <w:tcPr>
            <w:tcW w:w="1273" w:type="dxa"/>
            <w:textDirection w:val="lrTb"/>
            <w:noWrap w:val="false"/>
          </w:tcPr>
          <w:p>
            <w:pPr>
              <w:rPr>
                <w:rFonts w:hint="eastAsia" w:ascii="仿宋_GB2312" w:hAnsi="仿宋_GB2312" w:eastAsia="仿宋_GB2312" w:cs="仿宋_GB2312"/>
                <w:b/>
                <w:sz w:val="24"/>
              </w:rPr>
            </w:pPr>
            <w:r>
              <w:rPr>
                <w:rFonts w:hint="eastAsia" w:ascii="仿宋_GB2312" w:hAnsi="仿宋_GB2312" w:eastAsia="仿宋_GB2312" w:cs="仿宋_GB2312"/>
                <w:b/>
                <w:sz w:val="24"/>
              </w:rPr>
            </w:r>
            <w:r/>
          </w:p>
        </w:tc>
        <w:tc>
          <w:tcPr>
            <w:tcW w:w="1356" w:type="dxa"/>
            <w:textDirection w:val="lrTb"/>
            <w:noWrap w:val="false"/>
          </w:tcPr>
          <w:p>
            <w:pPr>
              <w:rPr>
                <w:rFonts w:hint="eastAsia" w:ascii="仿宋_GB2312" w:hAnsi="仿宋_GB2312" w:eastAsia="仿宋_GB2312" w:cs="仿宋_GB2312"/>
                <w:b/>
                <w:sz w:val="24"/>
              </w:rPr>
            </w:pPr>
            <w:r>
              <w:rPr>
                <w:rFonts w:hint="eastAsia" w:ascii="仿宋_GB2312" w:hAnsi="仿宋_GB2312" w:eastAsia="仿宋_GB2312" w:cs="仿宋_GB2312"/>
                <w:b/>
                <w:sz w:val="24"/>
              </w:rPr>
            </w:r>
            <w:r/>
          </w:p>
        </w:tc>
        <w:tc>
          <w:tcPr>
            <w:tcW w:w="1765" w:type="dxa"/>
            <w:textDirection w:val="lrTb"/>
            <w:noWrap w:val="false"/>
          </w:tcPr>
          <w:p>
            <w:pPr>
              <w:rPr>
                <w:rFonts w:hint="eastAsia" w:ascii="仿宋_GB2312" w:hAnsi="仿宋_GB2312" w:eastAsia="仿宋_GB2312" w:cs="仿宋_GB2312"/>
                <w:b/>
                <w:sz w:val="24"/>
              </w:rPr>
            </w:pPr>
            <w:r>
              <w:rPr>
                <w:rFonts w:hint="eastAsia" w:ascii="仿宋_GB2312" w:hAnsi="仿宋_GB2312" w:eastAsia="仿宋_GB2312" w:cs="仿宋_GB2312"/>
                <w:b/>
                <w:sz w:val="24"/>
              </w:rPr>
            </w:r>
            <w:r/>
          </w:p>
        </w:tc>
        <w:tc>
          <w:tcPr>
            <w:tcW w:w="1595" w:type="dxa"/>
            <w:textDirection w:val="lrTb"/>
            <w:noWrap w:val="false"/>
          </w:tcPr>
          <w:p>
            <w:pPr>
              <w:rPr>
                <w:rFonts w:hint="eastAsia" w:ascii="仿宋_GB2312" w:hAnsi="仿宋_GB2312" w:eastAsia="仿宋_GB2312" w:cs="仿宋_GB2312"/>
                <w:b/>
                <w:sz w:val="24"/>
              </w:rPr>
            </w:pPr>
            <w:r>
              <w:rPr>
                <w:rFonts w:hint="eastAsia" w:ascii="仿宋_GB2312" w:hAnsi="仿宋_GB2312" w:eastAsia="仿宋_GB2312" w:cs="仿宋_GB2312"/>
                <w:b/>
                <w:sz w:val="24"/>
              </w:rPr>
            </w:r>
            <w:r/>
          </w:p>
        </w:tc>
        <w:tc>
          <w:tcPr>
            <w:tcW w:w="1980" w:type="dxa"/>
            <w:textDirection w:val="lrTb"/>
            <w:noWrap w:val="false"/>
          </w:tcPr>
          <w:p>
            <w:pPr>
              <w:rPr>
                <w:rFonts w:hint="eastAsia" w:ascii="仿宋_GB2312" w:hAnsi="仿宋_GB2312" w:eastAsia="仿宋_GB2312" w:cs="仿宋_GB2312"/>
                <w:b/>
                <w:sz w:val="24"/>
              </w:rPr>
            </w:pPr>
            <w:r>
              <w:rPr>
                <w:rFonts w:hint="eastAsia" w:ascii="仿宋_GB2312" w:hAnsi="仿宋_GB2312" w:eastAsia="仿宋_GB2312" w:cs="仿宋_GB2312"/>
                <w:b/>
                <w:sz w:val="24"/>
              </w:rPr>
            </w:r>
            <w:r/>
          </w:p>
        </w:tc>
      </w:tr>
    </w:tbl>
    <w:p>
      <w:pPr>
        <w:ind w:firstLine="56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注：供应商递交的首次响应文件中与《磋商文件》和《磋商文件修改（澄清）》（如有）的要求有不同时，应逐条列在偏离表中，否则将认为供应商接受磋商文件的要求。</w:t>
      </w:r>
      <w:r/>
    </w:p>
    <w:p>
      <w:pPr>
        <w:jc w:val="left"/>
        <w:spacing w:line="360" w:lineRule="auto"/>
        <w:widowControl/>
        <w:rPr>
          <w:rFonts w:hint="eastAsia" w:ascii="仿宋_GB2312" w:hAnsi="仿宋_GB2312" w:eastAsia="仿宋_GB2312" w:cs="仿宋_GB2312"/>
          <w:sz w:val="24"/>
        </w:rPr>
      </w:pPr>
      <w:r>
        <w:rPr>
          <w:rFonts w:hint="eastAsia" w:ascii="仿宋_GB2312" w:hAnsi="仿宋_GB2312" w:eastAsia="仿宋_GB2312" w:cs="仿宋_GB2312"/>
          <w:sz w:val="24"/>
        </w:rPr>
      </w:r>
      <w:r/>
    </w:p>
    <w:p>
      <w:pPr>
        <w:jc w:val="left"/>
        <w:spacing w:line="360" w:lineRule="auto"/>
        <w:widowControl/>
        <w:rPr>
          <w:rFonts w:hint="eastAsia" w:ascii="仿宋_GB2312" w:hAnsi="仿宋_GB2312" w:eastAsia="仿宋_GB2312" w:cs="仿宋_GB2312"/>
          <w:sz w:val="24"/>
        </w:rPr>
      </w:pPr>
      <w:r>
        <w:rPr>
          <w:rFonts w:hint="eastAsia" w:ascii="仿宋_GB2312" w:hAnsi="仿宋_GB2312" w:eastAsia="仿宋_GB2312" w:cs="仿宋_GB2312"/>
          <w:sz w:val="24"/>
        </w:rPr>
      </w:r>
      <w:r/>
    </w:p>
    <w:p>
      <w:pPr>
        <w:jc w:val="left"/>
        <w:spacing w:line="360" w:lineRule="auto"/>
        <w:widowControl/>
        <w:rPr>
          <w:rFonts w:hint="eastAsia" w:ascii="仿宋_GB2312" w:hAnsi="仿宋_GB2312" w:eastAsia="仿宋_GB2312" w:cs="仿宋_GB2312"/>
          <w:sz w:val="24"/>
        </w:rPr>
      </w:pPr>
      <w:r>
        <w:rPr>
          <w:rFonts w:hint="eastAsia" w:ascii="仿宋_GB2312" w:hAnsi="仿宋_GB2312" w:eastAsia="仿宋_GB2312" w:cs="仿宋_GB2312"/>
          <w:sz w:val="24"/>
        </w:rPr>
      </w:r>
      <w:r/>
    </w:p>
    <w:p>
      <w:pPr>
        <w:jc w:val="left"/>
        <w:spacing w:line="360" w:lineRule="auto"/>
        <w:widowControl/>
        <w:rPr>
          <w:rFonts w:hint="eastAsia" w:ascii="仿宋_GB2312" w:hAnsi="仿宋_GB2312" w:eastAsia="仿宋_GB2312" w:cs="仿宋_GB2312"/>
          <w:sz w:val="24"/>
        </w:rPr>
      </w:pPr>
      <w:r>
        <w:rPr>
          <w:rFonts w:hint="eastAsia" w:ascii="仿宋_GB2312" w:hAnsi="仿宋_GB2312" w:eastAsia="仿宋_GB2312" w:cs="仿宋_GB2312"/>
          <w:sz w:val="24"/>
        </w:rPr>
      </w:r>
      <w:r/>
    </w:p>
    <w:p>
      <w:pPr>
        <w:ind w:firstLine="480"/>
        <w:spacing w:line="40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供应商：（盖单位公章）</w:t>
      </w:r>
      <w:r/>
    </w:p>
    <w:p>
      <w:pPr>
        <w:ind w:firstLine="480"/>
        <w:spacing w:line="40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法定代表人或授权代表（签字或盖章）：  </w:t>
      </w:r>
      <w:r/>
    </w:p>
    <w:p>
      <w:pPr>
        <w:ind w:firstLine="480"/>
        <w:spacing w:line="40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日期：   年    月    日</w:t>
      </w:r>
      <w:r/>
    </w:p>
    <w:p>
      <w:pPr>
        <w:numPr>
          <w:ilvl w:val="0"/>
          <w:numId w:val="0"/>
        </w:numPr>
        <w:jc w:val="both"/>
        <w:rPr>
          <w:rStyle w:val="904"/>
          <w:rFonts w:hint="eastAsia" w:ascii="仿宋_GB2312" w:hAnsi="仿宋_GB2312" w:eastAsia="仿宋_GB2312" w:cs="仿宋_GB2312"/>
          <w:sz w:val="32"/>
          <w:szCs w:val="32"/>
        </w:rPr>
      </w:pPr>
      <w:r>
        <w:rPr>
          <w:rFonts w:hint="eastAsia" w:ascii="仿宋_GB2312" w:hAnsi="仿宋_GB2312" w:eastAsia="仿宋_GB2312" w:cs="仿宋_GB2312"/>
          <w:sz w:val="32"/>
          <w:szCs w:val="32"/>
        </w:rPr>
      </w:r>
      <w:r/>
    </w:p>
    <w:p>
      <w:pPr>
        <w:numPr>
          <w:ilvl w:val="0"/>
          <w:numId w:val="0"/>
        </w:numPr>
        <w:jc w:val="center"/>
        <w:rPr>
          <w:rStyle w:val="904"/>
          <w:rFonts w:hint="eastAsia" w:ascii="仿宋_GB2312" w:hAnsi="仿宋_GB2312" w:eastAsia="仿宋_GB2312" w:cs="仿宋_GB2312"/>
          <w:sz w:val="32"/>
          <w:szCs w:val="32"/>
        </w:rPr>
      </w:pPr>
      <w:r>
        <w:rPr>
          <w:rFonts w:hint="eastAsia" w:ascii="仿宋_GB2312" w:hAnsi="仿宋_GB2312" w:eastAsia="仿宋_GB2312" w:cs="仿宋_GB2312"/>
          <w:sz w:val="32"/>
          <w:szCs w:val="32"/>
        </w:rPr>
      </w:r>
      <w:r/>
    </w:p>
    <w:p>
      <w:pPr>
        <w:numPr>
          <w:ilvl w:val="0"/>
          <w:numId w:val="0"/>
        </w:numPr>
        <w:jc w:val="center"/>
        <w:rPr>
          <w:rStyle w:val="904"/>
          <w:rFonts w:hint="eastAsia" w:ascii="仿宋_GB2312" w:hAnsi="仿宋_GB2312" w:eastAsia="仿宋_GB2312" w:cs="仿宋_GB2312"/>
          <w:sz w:val="32"/>
          <w:szCs w:val="32"/>
          <w:highlight w:val="none"/>
        </w:rPr>
      </w:pPr>
      <w:r>
        <w:rPr>
          <w:rStyle w:val="904"/>
          <w:rFonts w:hint="eastAsia" w:ascii="仿宋_GB2312" w:hAnsi="仿宋_GB2312" w:eastAsia="仿宋_GB2312" w:cs="仿宋_GB2312"/>
          <w:sz w:val="32"/>
          <w:szCs w:val="32"/>
        </w:rPr>
        <w:t xml:space="preserve">偏离表</w:t>
      </w:r>
      <w:r>
        <w:rPr>
          <w:rStyle w:val="904"/>
          <w:rFonts w:hint="eastAsia" w:ascii="仿宋_GB2312" w:hAnsi="仿宋_GB2312" w:eastAsia="仿宋_GB2312" w:cs="仿宋_GB2312"/>
          <w:sz w:val="32"/>
          <w:szCs w:val="32"/>
          <w:lang w:eastAsia="zh-CN"/>
        </w:rPr>
        <w:t xml:space="preserve">（技术）</w:t>
      </w:r>
      <w:r/>
    </w:p>
    <w:p>
      <w:pPr>
        <w:ind w:firstLine="480"/>
        <w:spacing w:line="360" w:lineRule="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pStyle w:val="907"/>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项目编号：JSZC-320381-XYZX-C2026-0004</w:t>
      </w:r>
      <w:r/>
    </w:p>
    <w:p>
      <w:pPr>
        <w:pStyle w:val="907"/>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项目名称：江苏省预算管理一体化运维项目</w:t>
      </w:r>
      <w:r/>
    </w:p>
    <w:tbl>
      <w:tblPr>
        <w:tblStyle w:val="708"/>
        <w:tblW w:w="8928" w:type="dxa"/>
        <w:tblInd w:w="26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273"/>
        <w:gridCol w:w="1356"/>
        <w:gridCol w:w="1765"/>
        <w:gridCol w:w="1595"/>
        <w:gridCol w:w="1980"/>
      </w:tblGrid>
      <w:tr>
        <w:trPr>
          <w:trHeight w:val="414"/>
        </w:trPr>
        <w:tc>
          <w:tcPr>
            <w:tcW w:w="959" w:type="dxa"/>
            <w:vAlign w:val="center"/>
            <w:textDirection w:val="lrTb"/>
            <w:noWrap w:val="false"/>
          </w:tcPr>
          <w:p>
            <w:pPr>
              <w:jc w:val="center"/>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序号</w:t>
            </w:r>
            <w:r/>
          </w:p>
        </w:tc>
        <w:tc>
          <w:tcPr>
            <w:tcW w:w="1273" w:type="dxa"/>
            <w:vAlign w:val="center"/>
            <w:textDirection w:val="lrTb"/>
            <w:noWrap w:val="false"/>
          </w:tcPr>
          <w:p>
            <w:pPr>
              <w:jc w:val="center"/>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内容</w:t>
            </w:r>
            <w:r/>
          </w:p>
        </w:tc>
        <w:tc>
          <w:tcPr>
            <w:tcW w:w="1356" w:type="dxa"/>
            <w:vAlign w:val="center"/>
            <w:textDirection w:val="lrTb"/>
            <w:noWrap w:val="false"/>
          </w:tcPr>
          <w:p>
            <w:pPr>
              <w:jc w:val="center"/>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磋商文件要求</w:t>
            </w:r>
            <w:r/>
          </w:p>
        </w:tc>
        <w:tc>
          <w:tcPr>
            <w:tcW w:w="1765" w:type="dxa"/>
            <w:vAlign w:val="center"/>
            <w:textDirection w:val="lrTb"/>
            <w:noWrap w:val="false"/>
          </w:tcPr>
          <w:p>
            <w:pPr>
              <w:jc w:val="center"/>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供应商首次响应文件内容</w:t>
            </w:r>
            <w:r/>
          </w:p>
        </w:tc>
        <w:tc>
          <w:tcPr>
            <w:tcW w:w="1595" w:type="dxa"/>
            <w:vAlign w:val="center"/>
            <w:textDirection w:val="lrTb"/>
            <w:noWrap w:val="false"/>
          </w:tcPr>
          <w:p>
            <w:pPr>
              <w:jc w:val="center"/>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（正/负/无）偏离</w:t>
            </w:r>
            <w:r/>
          </w:p>
        </w:tc>
        <w:tc>
          <w:tcPr>
            <w:tcW w:w="1980" w:type="dxa"/>
            <w:vAlign w:val="center"/>
            <w:textDirection w:val="lrTb"/>
            <w:noWrap w:val="false"/>
          </w:tcPr>
          <w:p>
            <w:pPr>
              <w:jc w:val="center"/>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说明</w:t>
            </w:r>
            <w:r/>
          </w:p>
        </w:tc>
      </w:tr>
      <w:tr>
        <w:trPr>
          <w:trHeight w:val="794"/>
        </w:trPr>
        <w:tc>
          <w:tcPr>
            <w:tcW w:w="959" w:type="dxa"/>
            <w:textDirection w:val="lrTb"/>
            <w:noWrap w:val="false"/>
          </w:tcPr>
          <w:p>
            <w:pPr>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W w:w="1273" w:type="dxa"/>
            <w:textDirection w:val="lrTb"/>
            <w:noWrap w:val="false"/>
          </w:tcPr>
          <w:p>
            <w:pPr>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W w:w="1356" w:type="dxa"/>
            <w:textDirection w:val="lrTb"/>
            <w:noWrap w:val="false"/>
          </w:tcPr>
          <w:p>
            <w:pPr>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W w:w="1765" w:type="dxa"/>
            <w:textDirection w:val="lrTb"/>
            <w:noWrap w:val="false"/>
          </w:tcPr>
          <w:p>
            <w:pPr>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W w:w="1595" w:type="dxa"/>
            <w:textDirection w:val="lrTb"/>
            <w:noWrap w:val="false"/>
          </w:tcPr>
          <w:p>
            <w:pPr>
              <w:rPr>
                <w:rFonts w:hint="eastAsia" w:ascii="仿宋_GB2312" w:hAnsi="仿宋_GB2312" w:eastAsia="仿宋_GB2312" w:cs="仿宋_GB2312"/>
                <w:sz w:val="24"/>
              </w:rPr>
            </w:pPr>
            <w:r>
              <w:rPr>
                <w:rFonts w:hint="eastAsia" w:ascii="仿宋_GB2312" w:hAnsi="仿宋_GB2312" w:eastAsia="仿宋_GB2312" w:cs="仿宋_GB2312"/>
                <w:sz w:val="24"/>
              </w:rPr>
            </w:r>
            <w:r/>
          </w:p>
        </w:tc>
        <w:tc>
          <w:tcPr>
            <w:tcW w:w="1980" w:type="dxa"/>
            <w:textDirection w:val="lrTb"/>
            <w:noWrap w:val="false"/>
          </w:tcPr>
          <w:p>
            <w:pPr>
              <w:rPr>
                <w:rFonts w:hint="eastAsia" w:ascii="仿宋_GB2312" w:hAnsi="仿宋_GB2312" w:eastAsia="仿宋_GB2312" w:cs="仿宋_GB2312"/>
                <w:sz w:val="24"/>
              </w:rPr>
            </w:pPr>
            <w:r>
              <w:rPr>
                <w:rFonts w:hint="eastAsia" w:ascii="仿宋_GB2312" w:hAnsi="仿宋_GB2312" w:eastAsia="仿宋_GB2312" w:cs="仿宋_GB2312"/>
                <w:sz w:val="24"/>
              </w:rPr>
            </w:r>
            <w:r/>
          </w:p>
        </w:tc>
      </w:tr>
      <w:tr>
        <w:trPr>
          <w:trHeight w:val="794"/>
        </w:trPr>
        <w:tc>
          <w:tcPr>
            <w:tcW w:w="959" w:type="dxa"/>
            <w:textDirection w:val="lrTb"/>
            <w:noWrap w:val="false"/>
          </w:tcPr>
          <w:p>
            <w:pPr>
              <w:rPr>
                <w:rFonts w:hint="eastAsia" w:ascii="仿宋_GB2312" w:hAnsi="仿宋_GB2312" w:eastAsia="仿宋_GB2312" w:cs="仿宋_GB2312"/>
                <w:b/>
                <w:sz w:val="24"/>
              </w:rPr>
            </w:pPr>
            <w:r>
              <w:rPr>
                <w:rFonts w:hint="eastAsia" w:ascii="仿宋_GB2312" w:hAnsi="仿宋_GB2312" w:eastAsia="仿宋_GB2312" w:cs="仿宋_GB2312"/>
                <w:b/>
                <w:sz w:val="24"/>
              </w:rPr>
            </w:r>
            <w:r/>
          </w:p>
        </w:tc>
        <w:tc>
          <w:tcPr>
            <w:tcW w:w="1273" w:type="dxa"/>
            <w:textDirection w:val="lrTb"/>
            <w:noWrap w:val="false"/>
          </w:tcPr>
          <w:p>
            <w:pPr>
              <w:rPr>
                <w:rFonts w:hint="eastAsia" w:ascii="仿宋_GB2312" w:hAnsi="仿宋_GB2312" w:eastAsia="仿宋_GB2312" w:cs="仿宋_GB2312"/>
                <w:b/>
                <w:sz w:val="24"/>
              </w:rPr>
            </w:pPr>
            <w:r>
              <w:rPr>
                <w:rFonts w:hint="eastAsia" w:ascii="仿宋_GB2312" w:hAnsi="仿宋_GB2312" w:eastAsia="仿宋_GB2312" w:cs="仿宋_GB2312"/>
                <w:b/>
                <w:sz w:val="24"/>
              </w:rPr>
            </w:r>
            <w:r/>
          </w:p>
        </w:tc>
        <w:tc>
          <w:tcPr>
            <w:tcW w:w="1356" w:type="dxa"/>
            <w:textDirection w:val="lrTb"/>
            <w:noWrap w:val="false"/>
          </w:tcPr>
          <w:p>
            <w:pPr>
              <w:rPr>
                <w:rFonts w:hint="eastAsia" w:ascii="仿宋_GB2312" w:hAnsi="仿宋_GB2312" w:eastAsia="仿宋_GB2312" w:cs="仿宋_GB2312"/>
                <w:b/>
                <w:sz w:val="24"/>
              </w:rPr>
            </w:pPr>
            <w:r>
              <w:rPr>
                <w:rFonts w:hint="eastAsia" w:ascii="仿宋_GB2312" w:hAnsi="仿宋_GB2312" w:eastAsia="仿宋_GB2312" w:cs="仿宋_GB2312"/>
                <w:b/>
                <w:sz w:val="24"/>
              </w:rPr>
            </w:r>
            <w:r/>
          </w:p>
        </w:tc>
        <w:tc>
          <w:tcPr>
            <w:tcW w:w="1765" w:type="dxa"/>
            <w:textDirection w:val="lrTb"/>
            <w:noWrap w:val="false"/>
          </w:tcPr>
          <w:p>
            <w:pPr>
              <w:rPr>
                <w:rFonts w:hint="eastAsia" w:ascii="仿宋_GB2312" w:hAnsi="仿宋_GB2312" w:eastAsia="仿宋_GB2312" w:cs="仿宋_GB2312"/>
                <w:b/>
                <w:sz w:val="24"/>
              </w:rPr>
            </w:pPr>
            <w:r>
              <w:rPr>
                <w:rFonts w:hint="eastAsia" w:ascii="仿宋_GB2312" w:hAnsi="仿宋_GB2312" w:eastAsia="仿宋_GB2312" w:cs="仿宋_GB2312"/>
                <w:b/>
                <w:sz w:val="24"/>
              </w:rPr>
            </w:r>
            <w:r/>
          </w:p>
        </w:tc>
        <w:tc>
          <w:tcPr>
            <w:tcW w:w="1595" w:type="dxa"/>
            <w:textDirection w:val="lrTb"/>
            <w:noWrap w:val="false"/>
          </w:tcPr>
          <w:p>
            <w:pPr>
              <w:rPr>
                <w:rFonts w:hint="eastAsia" w:ascii="仿宋_GB2312" w:hAnsi="仿宋_GB2312" w:eastAsia="仿宋_GB2312" w:cs="仿宋_GB2312"/>
                <w:b/>
                <w:sz w:val="24"/>
              </w:rPr>
            </w:pPr>
            <w:r>
              <w:rPr>
                <w:rFonts w:hint="eastAsia" w:ascii="仿宋_GB2312" w:hAnsi="仿宋_GB2312" w:eastAsia="仿宋_GB2312" w:cs="仿宋_GB2312"/>
                <w:b/>
                <w:sz w:val="24"/>
              </w:rPr>
            </w:r>
            <w:r/>
          </w:p>
        </w:tc>
        <w:tc>
          <w:tcPr>
            <w:tcW w:w="1980" w:type="dxa"/>
            <w:textDirection w:val="lrTb"/>
            <w:noWrap w:val="false"/>
          </w:tcPr>
          <w:p>
            <w:pPr>
              <w:rPr>
                <w:rFonts w:hint="eastAsia" w:ascii="仿宋_GB2312" w:hAnsi="仿宋_GB2312" w:eastAsia="仿宋_GB2312" w:cs="仿宋_GB2312"/>
                <w:b/>
                <w:sz w:val="24"/>
              </w:rPr>
            </w:pPr>
            <w:r>
              <w:rPr>
                <w:rFonts w:hint="eastAsia" w:ascii="仿宋_GB2312" w:hAnsi="仿宋_GB2312" w:eastAsia="仿宋_GB2312" w:cs="仿宋_GB2312"/>
                <w:b/>
                <w:sz w:val="24"/>
              </w:rPr>
            </w:r>
            <w:r/>
          </w:p>
        </w:tc>
      </w:tr>
      <w:tr>
        <w:trPr>
          <w:trHeight w:val="794"/>
        </w:trPr>
        <w:tc>
          <w:tcPr>
            <w:tcW w:w="959" w:type="dxa"/>
            <w:textDirection w:val="lrTb"/>
            <w:noWrap w:val="false"/>
          </w:tcPr>
          <w:p>
            <w:pPr>
              <w:rPr>
                <w:rFonts w:hint="eastAsia" w:ascii="仿宋_GB2312" w:hAnsi="仿宋_GB2312" w:eastAsia="仿宋_GB2312" w:cs="仿宋_GB2312"/>
                <w:b/>
                <w:sz w:val="24"/>
              </w:rPr>
            </w:pPr>
            <w:r>
              <w:rPr>
                <w:rFonts w:hint="eastAsia" w:ascii="仿宋_GB2312" w:hAnsi="仿宋_GB2312" w:eastAsia="仿宋_GB2312" w:cs="仿宋_GB2312"/>
                <w:b/>
                <w:sz w:val="24"/>
              </w:rPr>
            </w:r>
            <w:r/>
          </w:p>
        </w:tc>
        <w:tc>
          <w:tcPr>
            <w:tcW w:w="1273" w:type="dxa"/>
            <w:textDirection w:val="lrTb"/>
            <w:noWrap w:val="false"/>
          </w:tcPr>
          <w:p>
            <w:pPr>
              <w:rPr>
                <w:rFonts w:hint="eastAsia" w:ascii="仿宋_GB2312" w:hAnsi="仿宋_GB2312" w:eastAsia="仿宋_GB2312" w:cs="仿宋_GB2312"/>
                <w:b/>
                <w:sz w:val="24"/>
              </w:rPr>
            </w:pPr>
            <w:r>
              <w:rPr>
                <w:rFonts w:hint="eastAsia" w:ascii="仿宋_GB2312" w:hAnsi="仿宋_GB2312" w:eastAsia="仿宋_GB2312" w:cs="仿宋_GB2312"/>
                <w:b/>
                <w:sz w:val="24"/>
              </w:rPr>
            </w:r>
            <w:r/>
          </w:p>
        </w:tc>
        <w:tc>
          <w:tcPr>
            <w:tcW w:w="1356" w:type="dxa"/>
            <w:textDirection w:val="lrTb"/>
            <w:noWrap w:val="false"/>
          </w:tcPr>
          <w:p>
            <w:pPr>
              <w:rPr>
                <w:rFonts w:hint="eastAsia" w:ascii="仿宋_GB2312" w:hAnsi="仿宋_GB2312" w:eastAsia="仿宋_GB2312" w:cs="仿宋_GB2312"/>
                <w:b/>
                <w:sz w:val="24"/>
              </w:rPr>
            </w:pPr>
            <w:r>
              <w:rPr>
                <w:rFonts w:hint="eastAsia" w:ascii="仿宋_GB2312" w:hAnsi="仿宋_GB2312" w:eastAsia="仿宋_GB2312" w:cs="仿宋_GB2312"/>
                <w:b/>
                <w:sz w:val="24"/>
              </w:rPr>
            </w:r>
            <w:r/>
          </w:p>
        </w:tc>
        <w:tc>
          <w:tcPr>
            <w:tcW w:w="1765" w:type="dxa"/>
            <w:textDirection w:val="lrTb"/>
            <w:noWrap w:val="false"/>
          </w:tcPr>
          <w:p>
            <w:pPr>
              <w:rPr>
                <w:rFonts w:hint="eastAsia" w:ascii="仿宋_GB2312" w:hAnsi="仿宋_GB2312" w:eastAsia="仿宋_GB2312" w:cs="仿宋_GB2312"/>
                <w:b/>
                <w:sz w:val="24"/>
              </w:rPr>
            </w:pPr>
            <w:r>
              <w:rPr>
                <w:rFonts w:hint="eastAsia" w:ascii="仿宋_GB2312" w:hAnsi="仿宋_GB2312" w:eastAsia="仿宋_GB2312" w:cs="仿宋_GB2312"/>
                <w:b/>
                <w:sz w:val="24"/>
              </w:rPr>
            </w:r>
            <w:r/>
          </w:p>
        </w:tc>
        <w:tc>
          <w:tcPr>
            <w:tcW w:w="1595" w:type="dxa"/>
            <w:textDirection w:val="lrTb"/>
            <w:noWrap w:val="false"/>
          </w:tcPr>
          <w:p>
            <w:pPr>
              <w:rPr>
                <w:rFonts w:hint="eastAsia" w:ascii="仿宋_GB2312" w:hAnsi="仿宋_GB2312" w:eastAsia="仿宋_GB2312" w:cs="仿宋_GB2312"/>
                <w:b/>
                <w:sz w:val="24"/>
              </w:rPr>
            </w:pPr>
            <w:r>
              <w:rPr>
                <w:rFonts w:hint="eastAsia" w:ascii="仿宋_GB2312" w:hAnsi="仿宋_GB2312" w:eastAsia="仿宋_GB2312" w:cs="仿宋_GB2312"/>
                <w:b/>
                <w:sz w:val="24"/>
              </w:rPr>
            </w:r>
            <w:r/>
          </w:p>
        </w:tc>
        <w:tc>
          <w:tcPr>
            <w:tcW w:w="1980" w:type="dxa"/>
            <w:textDirection w:val="lrTb"/>
            <w:noWrap w:val="false"/>
          </w:tcPr>
          <w:p>
            <w:pPr>
              <w:rPr>
                <w:rFonts w:hint="eastAsia" w:ascii="仿宋_GB2312" w:hAnsi="仿宋_GB2312" w:eastAsia="仿宋_GB2312" w:cs="仿宋_GB2312"/>
                <w:b/>
                <w:sz w:val="24"/>
              </w:rPr>
            </w:pPr>
            <w:r>
              <w:rPr>
                <w:rFonts w:hint="eastAsia" w:ascii="仿宋_GB2312" w:hAnsi="仿宋_GB2312" w:eastAsia="仿宋_GB2312" w:cs="仿宋_GB2312"/>
                <w:b/>
                <w:sz w:val="24"/>
              </w:rPr>
            </w:r>
            <w:r/>
          </w:p>
        </w:tc>
      </w:tr>
      <w:tr>
        <w:trPr>
          <w:trHeight w:val="794"/>
        </w:trPr>
        <w:tc>
          <w:tcPr>
            <w:tcW w:w="959" w:type="dxa"/>
            <w:textDirection w:val="lrTb"/>
            <w:noWrap w:val="false"/>
          </w:tcPr>
          <w:p>
            <w:pPr>
              <w:rPr>
                <w:rFonts w:hint="eastAsia" w:ascii="仿宋_GB2312" w:hAnsi="仿宋_GB2312" w:eastAsia="仿宋_GB2312" w:cs="仿宋_GB2312"/>
                <w:b/>
                <w:sz w:val="24"/>
              </w:rPr>
            </w:pPr>
            <w:r>
              <w:rPr>
                <w:rFonts w:hint="eastAsia" w:ascii="仿宋_GB2312" w:hAnsi="仿宋_GB2312" w:eastAsia="仿宋_GB2312" w:cs="仿宋_GB2312"/>
                <w:b/>
                <w:sz w:val="24"/>
              </w:rPr>
            </w:r>
            <w:r/>
          </w:p>
        </w:tc>
        <w:tc>
          <w:tcPr>
            <w:tcW w:w="1273" w:type="dxa"/>
            <w:textDirection w:val="lrTb"/>
            <w:noWrap w:val="false"/>
          </w:tcPr>
          <w:p>
            <w:pPr>
              <w:rPr>
                <w:rFonts w:hint="eastAsia" w:ascii="仿宋_GB2312" w:hAnsi="仿宋_GB2312" w:eastAsia="仿宋_GB2312" w:cs="仿宋_GB2312"/>
                <w:b/>
                <w:sz w:val="24"/>
              </w:rPr>
            </w:pPr>
            <w:r>
              <w:rPr>
                <w:rFonts w:hint="eastAsia" w:ascii="仿宋_GB2312" w:hAnsi="仿宋_GB2312" w:eastAsia="仿宋_GB2312" w:cs="仿宋_GB2312"/>
                <w:b/>
                <w:sz w:val="24"/>
              </w:rPr>
            </w:r>
            <w:r/>
          </w:p>
        </w:tc>
        <w:tc>
          <w:tcPr>
            <w:tcW w:w="1356" w:type="dxa"/>
            <w:textDirection w:val="lrTb"/>
            <w:noWrap w:val="false"/>
          </w:tcPr>
          <w:p>
            <w:pPr>
              <w:rPr>
                <w:rFonts w:hint="eastAsia" w:ascii="仿宋_GB2312" w:hAnsi="仿宋_GB2312" w:eastAsia="仿宋_GB2312" w:cs="仿宋_GB2312"/>
                <w:b/>
                <w:sz w:val="24"/>
              </w:rPr>
            </w:pPr>
            <w:r>
              <w:rPr>
                <w:rFonts w:hint="eastAsia" w:ascii="仿宋_GB2312" w:hAnsi="仿宋_GB2312" w:eastAsia="仿宋_GB2312" w:cs="仿宋_GB2312"/>
                <w:b/>
                <w:sz w:val="24"/>
              </w:rPr>
            </w:r>
            <w:r/>
          </w:p>
        </w:tc>
        <w:tc>
          <w:tcPr>
            <w:tcW w:w="1765" w:type="dxa"/>
            <w:textDirection w:val="lrTb"/>
            <w:noWrap w:val="false"/>
          </w:tcPr>
          <w:p>
            <w:pPr>
              <w:rPr>
                <w:rFonts w:hint="eastAsia" w:ascii="仿宋_GB2312" w:hAnsi="仿宋_GB2312" w:eastAsia="仿宋_GB2312" w:cs="仿宋_GB2312"/>
                <w:b/>
                <w:sz w:val="24"/>
              </w:rPr>
            </w:pPr>
            <w:r>
              <w:rPr>
                <w:rFonts w:hint="eastAsia" w:ascii="仿宋_GB2312" w:hAnsi="仿宋_GB2312" w:eastAsia="仿宋_GB2312" w:cs="仿宋_GB2312"/>
                <w:b/>
                <w:sz w:val="24"/>
              </w:rPr>
            </w:r>
            <w:r/>
          </w:p>
        </w:tc>
        <w:tc>
          <w:tcPr>
            <w:tcW w:w="1595" w:type="dxa"/>
            <w:textDirection w:val="lrTb"/>
            <w:noWrap w:val="false"/>
          </w:tcPr>
          <w:p>
            <w:pPr>
              <w:rPr>
                <w:rFonts w:hint="eastAsia" w:ascii="仿宋_GB2312" w:hAnsi="仿宋_GB2312" w:eastAsia="仿宋_GB2312" w:cs="仿宋_GB2312"/>
                <w:b/>
                <w:sz w:val="24"/>
              </w:rPr>
            </w:pPr>
            <w:r>
              <w:rPr>
                <w:rFonts w:hint="eastAsia" w:ascii="仿宋_GB2312" w:hAnsi="仿宋_GB2312" w:eastAsia="仿宋_GB2312" w:cs="仿宋_GB2312"/>
                <w:b/>
                <w:sz w:val="24"/>
              </w:rPr>
            </w:r>
            <w:r/>
          </w:p>
        </w:tc>
        <w:tc>
          <w:tcPr>
            <w:tcW w:w="1980" w:type="dxa"/>
            <w:textDirection w:val="lrTb"/>
            <w:noWrap w:val="false"/>
          </w:tcPr>
          <w:p>
            <w:pPr>
              <w:rPr>
                <w:rFonts w:hint="eastAsia" w:ascii="仿宋_GB2312" w:hAnsi="仿宋_GB2312" w:eastAsia="仿宋_GB2312" w:cs="仿宋_GB2312"/>
                <w:b/>
                <w:sz w:val="24"/>
              </w:rPr>
            </w:pPr>
            <w:r>
              <w:rPr>
                <w:rFonts w:hint="eastAsia" w:ascii="仿宋_GB2312" w:hAnsi="仿宋_GB2312" w:eastAsia="仿宋_GB2312" w:cs="仿宋_GB2312"/>
                <w:b/>
                <w:sz w:val="24"/>
              </w:rPr>
            </w:r>
            <w:r/>
          </w:p>
        </w:tc>
      </w:tr>
      <w:tr>
        <w:trPr>
          <w:trHeight w:val="794"/>
        </w:trPr>
        <w:tc>
          <w:tcPr>
            <w:tcW w:w="959" w:type="dxa"/>
            <w:textDirection w:val="lrTb"/>
            <w:noWrap w:val="false"/>
          </w:tcPr>
          <w:p>
            <w:pPr>
              <w:rPr>
                <w:rFonts w:hint="eastAsia" w:ascii="仿宋_GB2312" w:hAnsi="仿宋_GB2312" w:eastAsia="仿宋_GB2312" w:cs="仿宋_GB2312"/>
                <w:b/>
                <w:sz w:val="24"/>
              </w:rPr>
            </w:pPr>
            <w:r>
              <w:rPr>
                <w:rFonts w:hint="eastAsia" w:ascii="仿宋_GB2312" w:hAnsi="仿宋_GB2312" w:eastAsia="仿宋_GB2312" w:cs="仿宋_GB2312"/>
                <w:b/>
                <w:sz w:val="24"/>
              </w:rPr>
            </w:r>
            <w:r/>
          </w:p>
        </w:tc>
        <w:tc>
          <w:tcPr>
            <w:tcW w:w="1273" w:type="dxa"/>
            <w:textDirection w:val="lrTb"/>
            <w:noWrap w:val="false"/>
          </w:tcPr>
          <w:p>
            <w:pPr>
              <w:rPr>
                <w:rFonts w:hint="eastAsia" w:ascii="仿宋_GB2312" w:hAnsi="仿宋_GB2312" w:eastAsia="仿宋_GB2312" w:cs="仿宋_GB2312"/>
                <w:b/>
                <w:sz w:val="24"/>
              </w:rPr>
            </w:pPr>
            <w:r>
              <w:rPr>
                <w:rFonts w:hint="eastAsia" w:ascii="仿宋_GB2312" w:hAnsi="仿宋_GB2312" w:eastAsia="仿宋_GB2312" w:cs="仿宋_GB2312"/>
                <w:b/>
                <w:sz w:val="24"/>
              </w:rPr>
            </w:r>
            <w:r/>
          </w:p>
        </w:tc>
        <w:tc>
          <w:tcPr>
            <w:tcW w:w="1356" w:type="dxa"/>
            <w:textDirection w:val="lrTb"/>
            <w:noWrap w:val="false"/>
          </w:tcPr>
          <w:p>
            <w:pPr>
              <w:rPr>
                <w:rFonts w:hint="eastAsia" w:ascii="仿宋_GB2312" w:hAnsi="仿宋_GB2312" w:eastAsia="仿宋_GB2312" w:cs="仿宋_GB2312"/>
                <w:b/>
                <w:sz w:val="24"/>
              </w:rPr>
            </w:pPr>
            <w:r>
              <w:rPr>
                <w:rFonts w:hint="eastAsia" w:ascii="仿宋_GB2312" w:hAnsi="仿宋_GB2312" w:eastAsia="仿宋_GB2312" w:cs="仿宋_GB2312"/>
                <w:b/>
                <w:sz w:val="24"/>
              </w:rPr>
            </w:r>
            <w:r/>
          </w:p>
        </w:tc>
        <w:tc>
          <w:tcPr>
            <w:tcW w:w="1765" w:type="dxa"/>
            <w:textDirection w:val="lrTb"/>
            <w:noWrap w:val="false"/>
          </w:tcPr>
          <w:p>
            <w:pPr>
              <w:rPr>
                <w:rFonts w:hint="eastAsia" w:ascii="仿宋_GB2312" w:hAnsi="仿宋_GB2312" w:eastAsia="仿宋_GB2312" w:cs="仿宋_GB2312"/>
                <w:b/>
                <w:sz w:val="24"/>
              </w:rPr>
            </w:pPr>
            <w:r>
              <w:rPr>
                <w:rFonts w:hint="eastAsia" w:ascii="仿宋_GB2312" w:hAnsi="仿宋_GB2312" w:eastAsia="仿宋_GB2312" w:cs="仿宋_GB2312"/>
                <w:b/>
                <w:sz w:val="24"/>
              </w:rPr>
            </w:r>
            <w:r/>
          </w:p>
        </w:tc>
        <w:tc>
          <w:tcPr>
            <w:tcW w:w="1595" w:type="dxa"/>
            <w:textDirection w:val="lrTb"/>
            <w:noWrap w:val="false"/>
          </w:tcPr>
          <w:p>
            <w:pPr>
              <w:rPr>
                <w:rFonts w:hint="eastAsia" w:ascii="仿宋_GB2312" w:hAnsi="仿宋_GB2312" w:eastAsia="仿宋_GB2312" w:cs="仿宋_GB2312"/>
                <w:b/>
                <w:sz w:val="24"/>
              </w:rPr>
            </w:pPr>
            <w:r>
              <w:rPr>
                <w:rFonts w:hint="eastAsia" w:ascii="仿宋_GB2312" w:hAnsi="仿宋_GB2312" w:eastAsia="仿宋_GB2312" w:cs="仿宋_GB2312"/>
                <w:b/>
                <w:sz w:val="24"/>
              </w:rPr>
            </w:r>
            <w:r/>
          </w:p>
        </w:tc>
        <w:tc>
          <w:tcPr>
            <w:tcW w:w="1980" w:type="dxa"/>
            <w:textDirection w:val="lrTb"/>
            <w:noWrap w:val="false"/>
          </w:tcPr>
          <w:p>
            <w:pPr>
              <w:rPr>
                <w:rFonts w:hint="eastAsia" w:ascii="仿宋_GB2312" w:hAnsi="仿宋_GB2312" w:eastAsia="仿宋_GB2312" w:cs="仿宋_GB2312"/>
                <w:b/>
                <w:sz w:val="24"/>
              </w:rPr>
            </w:pPr>
            <w:r>
              <w:rPr>
                <w:rFonts w:hint="eastAsia" w:ascii="仿宋_GB2312" w:hAnsi="仿宋_GB2312" w:eastAsia="仿宋_GB2312" w:cs="仿宋_GB2312"/>
                <w:b/>
                <w:sz w:val="24"/>
              </w:rPr>
            </w:r>
            <w:r/>
          </w:p>
        </w:tc>
      </w:tr>
      <w:tr>
        <w:trPr>
          <w:trHeight w:val="794"/>
        </w:trPr>
        <w:tc>
          <w:tcPr>
            <w:tcW w:w="959" w:type="dxa"/>
            <w:textDirection w:val="lrTb"/>
            <w:noWrap w:val="false"/>
          </w:tcPr>
          <w:p>
            <w:pPr>
              <w:rPr>
                <w:rFonts w:hint="eastAsia" w:ascii="仿宋_GB2312" w:hAnsi="仿宋_GB2312" w:eastAsia="仿宋_GB2312" w:cs="仿宋_GB2312"/>
                <w:b/>
                <w:sz w:val="24"/>
              </w:rPr>
            </w:pPr>
            <w:r>
              <w:rPr>
                <w:rFonts w:hint="eastAsia" w:ascii="仿宋_GB2312" w:hAnsi="仿宋_GB2312" w:eastAsia="仿宋_GB2312" w:cs="仿宋_GB2312"/>
                <w:b/>
                <w:sz w:val="24"/>
              </w:rPr>
            </w:r>
            <w:r/>
          </w:p>
        </w:tc>
        <w:tc>
          <w:tcPr>
            <w:tcW w:w="1273" w:type="dxa"/>
            <w:textDirection w:val="lrTb"/>
            <w:noWrap w:val="false"/>
          </w:tcPr>
          <w:p>
            <w:pPr>
              <w:rPr>
                <w:rFonts w:hint="eastAsia" w:ascii="仿宋_GB2312" w:hAnsi="仿宋_GB2312" w:eastAsia="仿宋_GB2312" w:cs="仿宋_GB2312"/>
                <w:b/>
                <w:sz w:val="24"/>
              </w:rPr>
            </w:pPr>
            <w:r>
              <w:rPr>
                <w:rFonts w:hint="eastAsia" w:ascii="仿宋_GB2312" w:hAnsi="仿宋_GB2312" w:eastAsia="仿宋_GB2312" w:cs="仿宋_GB2312"/>
                <w:b/>
                <w:sz w:val="24"/>
              </w:rPr>
            </w:r>
            <w:r/>
          </w:p>
        </w:tc>
        <w:tc>
          <w:tcPr>
            <w:tcW w:w="1356" w:type="dxa"/>
            <w:textDirection w:val="lrTb"/>
            <w:noWrap w:val="false"/>
          </w:tcPr>
          <w:p>
            <w:pPr>
              <w:rPr>
                <w:rFonts w:hint="eastAsia" w:ascii="仿宋_GB2312" w:hAnsi="仿宋_GB2312" w:eastAsia="仿宋_GB2312" w:cs="仿宋_GB2312"/>
                <w:b/>
                <w:sz w:val="24"/>
              </w:rPr>
            </w:pPr>
            <w:r>
              <w:rPr>
                <w:rFonts w:hint="eastAsia" w:ascii="仿宋_GB2312" w:hAnsi="仿宋_GB2312" w:eastAsia="仿宋_GB2312" w:cs="仿宋_GB2312"/>
                <w:b/>
                <w:sz w:val="24"/>
              </w:rPr>
            </w:r>
            <w:r/>
          </w:p>
        </w:tc>
        <w:tc>
          <w:tcPr>
            <w:tcW w:w="1765" w:type="dxa"/>
            <w:textDirection w:val="lrTb"/>
            <w:noWrap w:val="false"/>
          </w:tcPr>
          <w:p>
            <w:pPr>
              <w:rPr>
                <w:rFonts w:hint="eastAsia" w:ascii="仿宋_GB2312" w:hAnsi="仿宋_GB2312" w:eastAsia="仿宋_GB2312" w:cs="仿宋_GB2312"/>
                <w:b/>
                <w:sz w:val="24"/>
              </w:rPr>
            </w:pPr>
            <w:r>
              <w:rPr>
                <w:rFonts w:hint="eastAsia" w:ascii="仿宋_GB2312" w:hAnsi="仿宋_GB2312" w:eastAsia="仿宋_GB2312" w:cs="仿宋_GB2312"/>
                <w:b/>
                <w:sz w:val="24"/>
              </w:rPr>
            </w:r>
            <w:r/>
          </w:p>
        </w:tc>
        <w:tc>
          <w:tcPr>
            <w:tcW w:w="1595" w:type="dxa"/>
            <w:textDirection w:val="lrTb"/>
            <w:noWrap w:val="false"/>
          </w:tcPr>
          <w:p>
            <w:pPr>
              <w:rPr>
                <w:rFonts w:hint="eastAsia" w:ascii="仿宋_GB2312" w:hAnsi="仿宋_GB2312" w:eastAsia="仿宋_GB2312" w:cs="仿宋_GB2312"/>
                <w:b/>
                <w:sz w:val="24"/>
              </w:rPr>
            </w:pPr>
            <w:r>
              <w:rPr>
                <w:rFonts w:hint="eastAsia" w:ascii="仿宋_GB2312" w:hAnsi="仿宋_GB2312" w:eastAsia="仿宋_GB2312" w:cs="仿宋_GB2312"/>
                <w:b/>
                <w:sz w:val="24"/>
              </w:rPr>
            </w:r>
            <w:r/>
          </w:p>
        </w:tc>
        <w:tc>
          <w:tcPr>
            <w:tcW w:w="1980" w:type="dxa"/>
            <w:textDirection w:val="lrTb"/>
            <w:noWrap w:val="false"/>
          </w:tcPr>
          <w:p>
            <w:pPr>
              <w:rPr>
                <w:rFonts w:hint="eastAsia" w:ascii="仿宋_GB2312" w:hAnsi="仿宋_GB2312" w:eastAsia="仿宋_GB2312" w:cs="仿宋_GB2312"/>
                <w:b/>
                <w:sz w:val="24"/>
              </w:rPr>
            </w:pPr>
            <w:r>
              <w:rPr>
                <w:rFonts w:hint="eastAsia" w:ascii="仿宋_GB2312" w:hAnsi="仿宋_GB2312" w:eastAsia="仿宋_GB2312" w:cs="仿宋_GB2312"/>
                <w:b/>
                <w:sz w:val="24"/>
              </w:rPr>
            </w:r>
            <w:r/>
          </w:p>
        </w:tc>
      </w:tr>
      <w:tr>
        <w:trPr>
          <w:trHeight w:val="794"/>
        </w:trPr>
        <w:tc>
          <w:tcPr>
            <w:tcW w:w="959" w:type="dxa"/>
            <w:textDirection w:val="lrTb"/>
            <w:noWrap w:val="false"/>
          </w:tcPr>
          <w:p>
            <w:pPr>
              <w:rPr>
                <w:rFonts w:hint="eastAsia" w:ascii="仿宋_GB2312" w:hAnsi="仿宋_GB2312" w:eastAsia="仿宋_GB2312" w:cs="仿宋_GB2312"/>
                <w:b/>
                <w:sz w:val="24"/>
              </w:rPr>
            </w:pPr>
            <w:r>
              <w:rPr>
                <w:rFonts w:hint="eastAsia" w:ascii="仿宋_GB2312" w:hAnsi="仿宋_GB2312" w:eastAsia="仿宋_GB2312" w:cs="仿宋_GB2312"/>
                <w:b/>
                <w:sz w:val="24"/>
              </w:rPr>
            </w:r>
            <w:r/>
          </w:p>
        </w:tc>
        <w:tc>
          <w:tcPr>
            <w:tcW w:w="1273" w:type="dxa"/>
            <w:textDirection w:val="lrTb"/>
            <w:noWrap w:val="false"/>
          </w:tcPr>
          <w:p>
            <w:pPr>
              <w:rPr>
                <w:rFonts w:hint="eastAsia" w:ascii="仿宋_GB2312" w:hAnsi="仿宋_GB2312" w:eastAsia="仿宋_GB2312" w:cs="仿宋_GB2312"/>
                <w:b/>
                <w:sz w:val="24"/>
              </w:rPr>
            </w:pPr>
            <w:r>
              <w:rPr>
                <w:rFonts w:hint="eastAsia" w:ascii="仿宋_GB2312" w:hAnsi="仿宋_GB2312" w:eastAsia="仿宋_GB2312" w:cs="仿宋_GB2312"/>
                <w:b/>
                <w:sz w:val="24"/>
              </w:rPr>
            </w:r>
            <w:r/>
          </w:p>
        </w:tc>
        <w:tc>
          <w:tcPr>
            <w:tcW w:w="1356" w:type="dxa"/>
            <w:textDirection w:val="lrTb"/>
            <w:noWrap w:val="false"/>
          </w:tcPr>
          <w:p>
            <w:pPr>
              <w:rPr>
                <w:rFonts w:hint="eastAsia" w:ascii="仿宋_GB2312" w:hAnsi="仿宋_GB2312" w:eastAsia="仿宋_GB2312" w:cs="仿宋_GB2312"/>
                <w:b/>
                <w:sz w:val="24"/>
              </w:rPr>
            </w:pPr>
            <w:r>
              <w:rPr>
                <w:rFonts w:hint="eastAsia" w:ascii="仿宋_GB2312" w:hAnsi="仿宋_GB2312" w:eastAsia="仿宋_GB2312" w:cs="仿宋_GB2312"/>
                <w:b/>
                <w:sz w:val="24"/>
              </w:rPr>
            </w:r>
            <w:r/>
          </w:p>
        </w:tc>
        <w:tc>
          <w:tcPr>
            <w:tcW w:w="1765" w:type="dxa"/>
            <w:textDirection w:val="lrTb"/>
            <w:noWrap w:val="false"/>
          </w:tcPr>
          <w:p>
            <w:pPr>
              <w:rPr>
                <w:rFonts w:hint="eastAsia" w:ascii="仿宋_GB2312" w:hAnsi="仿宋_GB2312" w:eastAsia="仿宋_GB2312" w:cs="仿宋_GB2312"/>
                <w:b/>
                <w:sz w:val="24"/>
              </w:rPr>
            </w:pPr>
            <w:r>
              <w:rPr>
                <w:rFonts w:hint="eastAsia" w:ascii="仿宋_GB2312" w:hAnsi="仿宋_GB2312" w:eastAsia="仿宋_GB2312" w:cs="仿宋_GB2312"/>
                <w:b/>
                <w:sz w:val="24"/>
              </w:rPr>
            </w:r>
            <w:r/>
          </w:p>
        </w:tc>
        <w:tc>
          <w:tcPr>
            <w:tcW w:w="1595" w:type="dxa"/>
            <w:textDirection w:val="lrTb"/>
            <w:noWrap w:val="false"/>
          </w:tcPr>
          <w:p>
            <w:pPr>
              <w:rPr>
                <w:rFonts w:hint="eastAsia" w:ascii="仿宋_GB2312" w:hAnsi="仿宋_GB2312" w:eastAsia="仿宋_GB2312" w:cs="仿宋_GB2312"/>
                <w:b/>
                <w:sz w:val="24"/>
              </w:rPr>
            </w:pPr>
            <w:r>
              <w:rPr>
                <w:rFonts w:hint="eastAsia" w:ascii="仿宋_GB2312" w:hAnsi="仿宋_GB2312" w:eastAsia="仿宋_GB2312" w:cs="仿宋_GB2312"/>
                <w:b/>
                <w:sz w:val="24"/>
              </w:rPr>
            </w:r>
            <w:r/>
          </w:p>
        </w:tc>
        <w:tc>
          <w:tcPr>
            <w:tcW w:w="1980" w:type="dxa"/>
            <w:textDirection w:val="lrTb"/>
            <w:noWrap w:val="false"/>
          </w:tcPr>
          <w:p>
            <w:pPr>
              <w:rPr>
                <w:rFonts w:hint="eastAsia" w:ascii="仿宋_GB2312" w:hAnsi="仿宋_GB2312" w:eastAsia="仿宋_GB2312" w:cs="仿宋_GB2312"/>
                <w:b/>
                <w:sz w:val="24"/>
              </w:rPr>
            </w:pPr>
            <w:r>
              <w:rPr>
                <w:rFonts w:hint="eastAsia" w:ascii="仿宋_GB2312" w:hAnsi="仿宋_GB2312" w:eastAsia="仿宋_GB2312" w:cs="仿宋_GB2312"/>
                <w:b/>
                <w:sz w:val="24"/>
              </w:rPr>
            </w:r>
            <w:r/>
          </w:p>
        </w:tc>
      </w:tr>
    </w:tbl>
    <w:p>
      <w:pPr>
        <w:ind w:firstLine="56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注：供应商递交的首次响应文件中与《磋商文件》和《磋商文件修改（澄清）》（如有）的要求有不同时，应逐条列在偏离表中，否则将认为供应商接受磋商文件的要求。</w:t>
      </w:r>
      <w:r/>
    </w:p>
    <w:p>
      <w:pPr>
        <w:ind w:firstLine="56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firstLine="56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firstLine="56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jc w:val="left"/>
        <w:spacing w:line="360" w:lineRule="auto"/>
        <w:widowControl/>
        <w:rPr>
          <w:rFonts w:hint="eastAsia" w:ascii="仿宋_GB2312" w:hAnsi="仿宋_GB2312" w:eastAsia="仿宋_GB2312" w:cs="仿宋_GB2312"/>
          <w:sz w:val="24"/>
        </w:rPr>
      </w:pPr>
      <w:r>
        <w:rPr>
          <w:rFonts w:hint="eastAsia" w:ascii="仿宋_GB2312" w:hAnsi="仿宋_GB2312" w:eastAsia="仿宋_GB2312" w:cs="仿宋_GB2312"/>
          <w:sz w:val="24"/>
        </w:rPr>
      </w:r>
      <w:r/>
    </w:p>
    <w:p>
      <w:pPr>
        <w:ind w:firstLine="480"/>
        <w:spacing w:line="40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供应商：（盖单位公章）</w:t>
      </w:r>
      <w:r/>
    </w:p>
    <w:p>
      <w:pPr>
        <w:ind w:firstLine="480"/>
        <w:spacing w:line="40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法定代表人或授权代表（签字或盖章）：  </w:t>
      </w:r>
      <w:r/>
    </w:p>
    <w:p>
      <w:pPr>
        <w:ind w:firstLine="480"/>
        <w:spacing w:line="40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日期：   年    月    日</w:t>
      </w:r>
      <w:r/>
    </w:p>
    <w:p>
      <w:r/>
      <w:r/>
    </w:p>
    <w:p>
      <w:pPr>
        <w:numPr>
          <w:ilvl w:val="0"/>
          <w:numId w:val="7"/>
        </w:numPr>
        <w:ind w:left="0" w:firstLine="0"/>
        <w:jc w:val="center"/>
        <w:spacing w:line="360" w:lineRule="auto"/>
        <w:rPr>
          <w:rStyle w:val="904"/>
          <w:rFonts w:hint="eastAsia" w:ascii="仿宋_GB2312" w:hAnsi="仿宋_GB2312" w:eastAsia="仿宋_GB2312" w:cs="仿宋_GB2312"/>
          <w:sz w:val="28"/>
          <w:szCs w:val="28"/>
        </w:rPr>
      </w:pPr>
      <w:r>
        <w:rPr>
          <w:rStyle w:val="904"/>
          <w:rFonts w:hint="eastAsia" w:ascii="宋体" w:hAnsi="宋体" w:cs="宋体"/>
          <w:sz w:val="32"/>
        </w:rPr>
        <w:t xml:space="preserve">承诺函</w:t>
      </w:r>
      <w:r/>
    </w:p>
    <w:p>
      <w:pPr>
        <w:ind w:firstLine="480"/>
        <w:keepLines w:val="0"/>
        <w:keepNext w:val="0"/>
        <w:pageBreakBefore w:val="0"/>
        <w:spacing w:line="240" w:lineRule="auto"/>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致：新沂市公共资源交易中心</w:t>
      </w:r>
      <w:r/>
    </w:p>
    <w:p>
      <w:pPr>
        <w:ind w:firstLine="480"/>
        <w:keepLines w:val="0"/>
        <w:keepNext w:val="0"/>
        <w:pageBreakBefore w:val="0"/>
        <w:spacing w:line="240" w:lineRule="auto"/>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firstLine="480"/>
        <w:keepLines w:val="0"/>
        <w:keepNext w:val="0"/>
        <w:pageBreakBefore w:val="0"/>
        <w:spacing w:line="240" w:lineRule="auto"/>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根据贵方《磋商文件》（项目编号：JSZC-320381-XYZX-C2026-0004）要求，本供应商正式提交以下首次响应文件。</w:t>
      </w:r>
      <w:r/>
    </w:p>
    <w:p>
      <w:pPr>
        <w:ind w:firstLine="480"/>
        <w:keepLines w:val="0"/>
        <w:keepNext w:val="0"/>
        <w:pageBreakBefore w:val="0"/>
        <w:spacing w:line="240" w:lineRule="auto"/>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2" name="直接连接符 2"/>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noFill/>
                        <a:ln>
                          <a:solidFill>
                            <a:srgbClr val="000000"/>
                          </a:solidFill>
                          <a:miter/>
                        </a:ln>
                      </wps:spPr>
                      <wps:bodyPr rot="0">
                        <a:prstTxWarp prst="textNoShape">
                          <a:avLst/>
                        </a:prstTxWarp>
                        <a:noAutofit/>
                      </wps:bodyPr>
                    </wps:wsp>
                  </a:graphicData>
                </a:graphic>
              </wp:anchor>
            </w:drawing>
          </mc:Choice>
          <mc:Fallback>
            <w:pict>
              <v:line id="shape 1" o:spid="_x0000_s1" style="position:absolute;left:0;text-align:left;z-index:251659264;mso-wrap-distance-left:9.0pt;mso-wrap-distance-top:0.0pt;mso-wrap-distance-right:9.0pt;mso-wrap-distance-bottom:0.0pt;flip:y;visibility:visible;" from="147.0pt,1.3pt" to="147.1pt,2.6pt" filled="f" strokecolor="#000000"/>
            </w:pict>
          </mc:Fallback>
        </mc:AlternateContent>
      </w:r>
      <w:r>
        <w:rPr>
          <w:rFonts w:hint="eastAsia" w:ascii="仿宋_GB2312" w:hAnsi="仿宋_GB2312" w:eastAsia="仿宋_GB2312" w:cs="仿宋_GB2312"/>
          <w:sz w:val="28"/>
          <w:szCs w:val="28"/>
        </w:rPr>
        <w:t xml:space="preserve">（1）承诺函；</w:t>
      </w:r>
      <w:r/>
    </w:p>
    <w:p>
      <w:pPr>
        <w:ind w:firstLine="480"/>
        <w:keepLines w:val="0"/>
        <w:keepNext w:val="0"/>
        <w:pageBreakBefore w:val="0"/>
        <w:spacing w:line="240" w:lineRule="auto"/>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（2）磋商报价表；</w:t>
      </w:r>
      <w:r/>
    </w:p>
    <w:p>
      <w:pPr>
        <w:ind w:firstLine="480"/>
        <w:keepLines w:val="0"/>
        <w:keepNext w:val="0"/>
        <w:pageBreakBefore w:val="0"/>
        <w:spacing w:line="240" w:lineRule="auto"/>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（3）偏离表；</w:t>
      </w:r>
      <w:r/>
    </w:p>
    <w:p>
      <w:pPr>
        <w:ind w:firstLine="480"/>
        <w:keepLines w:val="0"/>
        <w:keepNext w:val="0"/>
        <w:pageBreakBefore w:val="0"/>
        <w:spacing w:line="240" w:lineRule="auto"/>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（4）磋商文件要求提供的其他响应文件。</w:t>
      </w:r>
      <w:r/>
    </w:p>
    <w:p>
      <w:pPr>
        <w:ind w:firstLine="480"/>
        <w:keepLines w:val="0"/>
        <w:keepNext w:val="0"/>
        <w:pageBreakBefore w:val="0"/>
        <w:spacing w:line="240" w:lineRule="auto"/>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我单位符合《中华人民共和国政府采购法》第二十二条的规定，符合本项目供应商资格要求。</w:t>
      </w:r>
      <w:r/>
    </w:p>
    <w:p>
      <w:pPr>
        <w:ind w:firstLine="480"/>
        <w:keepLines w:val="0"/>
        <w:keepNext w:val="0"/>
        <w:pageBreakBefore w:val="0"/>
        <w:spacing w:line="240" w:lineRule="auto"/>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我单位按照磋商文件的要求编制响应文件，并对其提交的响应文件的真实性、合法性承担法律责任。</w:t>
      </w:r>
      <w:r/>
    </w:p>
    <w:p>
      <w:pPr>
        <w:ind w:firstLine="480"/>
        <w:keepLines w:val="0"/>
        <w:keepNext w:val="0"/>
        <w:pageBreakBefore w:val="0"/>
        <w:spacing w:line="240" w:lineRule="auto"/>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供应商兹宣布同意如下: </w:t>
      </w:r>
      <w:r/>
    </w:p>
    <w:p>
      <w:pPr>
        <w:ind w:firstLine="480"/>
        <w:keepLines w:val="0"/>
        <w:keepNext w:val="0"/>
        <w:pageBreakBefore w:val="0"/>
        <w:spacing w:line="240" w:lineRule="auto"/>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3133725</wp:posOffset>
                </wp:positionH>
                <wp:positionV relativeFrom="paragraph">
                  <wp:posOffset>297180</wp:posOffset>
                </wp:positionV>
                <wp:extent cx="635" cy="0"/>
                <wp:effectExtent l="0" t="4445" r="0" b="5080"/>
                <wp:wrapNone/>
                <wp:docPr id="3" name="直接连接符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60288;mso-wrap-distance-left:9.0pt;mso-wrap-distance-top:0.0pt;mso-wrap-distance-right:9.0pt;mso-wrap-distance-bottom:0.0pt;visibility:visible;" from="246.8pt,23.4pt" to="246.8pt,23.4pt" filled="f" strokecolor="#000000"/>
            </w:pict>
          </mc:Fallback>
        </mc:AlternateContent>
      </w:r>
      <w:r>
        <w:rPr>
          <w:rFonts w:hint="eastAsia" w:ascii="仿宋_GB2312" w:hAnsi="仿宋_GB2312" w:eastAsia="仿宋_GB2312" w:cs="仿宋_GB2312"/>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2800350</wp:posOffset>
                </wp:positionH>
                <wp:positionV relativeFrom="paragraph">
                  <wp:posOffset>594360</wp:posOffset>
                </wp:positionV>
                <wp:extent cx="635" cy="0"/>
                <wp:effectExtent l="0" t="4445" r="0" b="5080"/>
                <wp:wrapNone/>
                <wp:docPr id="4" name="直接连接符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61312;mso-wrap-distance-left:9.0pt;mso-wrap-distance-top:0.0pt;mso-wrap-distance-right:9.0pt;mso-wrap-distance-bottom:0.0pt;visibility:visible;" from="220.5pt,46.8pt" to="220.6pt,46.8pt" filled="f" strokecolor="#000000"/>
            </w:pict>
          </mc:Fallback>
        </mc:AlternateContent>
      </w:r>
      <w:r>
        <w:rPr>
          <w:rFonts w:hint="eastAsia" w:ascii="仿宋_GB2312" w:hAnsi="仿宋_GB2312" w:eastAsia="仿宋_GB2312" w:cs="仿宋_GB2312"/>
          <w:sz w:val="28"/>
          <w:szCs w:val="28"/>
        </w:rPr>
        <w:t xml:space="preserve">一、完全承担根据《磋商文件》规定完成合同的责任和义务（如有偏离，将全部填写在偏离表中）。</w:t>
      </w:r>
      <w:r/>
    </w:p>
    <w:p>
      <w:pPr>
        <w:ind w:firstLine="480"/>
        <w:keepLines w:val="0"/>
        <w:keepNext w:val="0"/>
        <w:pageBreakBefore w:val="0"/>
        <w:spacing w:line="240" w:lineRule="auto"/>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5" name="直接连接符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62336;mso-wrap-distance-left:9.0pt;mso-wrap-distance-top:0.0pt;mso-wrap-distance-right:9.0pt;mso-wrap-distance-bottom:0.0pt;visibility:visible;" from="210.0pt,19.5pt" to="210.1pt,19.5pt" filled="f" strokecolor="#000000"/>
            </w:pict>
          </mc:Fallback>
        </mc:AlternateContent>
      </w:r>
      <w:r>
        <w:rPr>
          <w:rFonts w:hint="eastAsia" w:ascii="仿宋_GB2312" w:hAnsi="仿宋_GB2312" w:eastAsia="仿宋_GB2312" w:cs="仿宋_GB2312"/>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6" name="直接连接符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63360;mso-wrap-distance-left:9.0pt;mso-wrap-distance-top:0.0pt;mso-wrap-distance-right:9.0pt;mso-wrap-distance-bottom:0.0pt;visibility:visible;" from="210.0pt,19.5pt" to="210.1pt,19.5pt" filled="f" strokecolor="#000000"/>
            </w:pict>
          </mc:Fallback>
        </mc:AlternateContent>
      </w:r>
      <w:r>
        <w:rPr>
          <w:rFonts w:hint="eastAsia" w:ascii="仿宋_GB2312" w:hAnsi="仿宋_GB2312" w:eastAsia="仿宋_GB2312" w:cs="仿宋_GB2312"/>
          <w:sz w:val="28"/>
          <w:szCs w:val="28"/>
        </w:rPr>
        <w:t xml:space="preserve">二、保证所提供的响应文件及所有材料的真实、合法、有效，并对其负责。</w:t>
      </w:r>
      <w:r/>
    </w:p>
    <w:p>
      <w:pPr>
        <w:ind w:firstLine="480"/>
        <w:keepLines w:val="0"/>
        <w:keepNext w:val="0"/>
        <w:pageBreakBefore w:val="0"/>
        <w:spacing w:line="240" w:lineRule="auto"/>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三、已详细审核竞争性磋商文件（含竞争性磋商文件的澄清或者修改），本供应商完全理解并同意放弃对这方面不明及误解的权利。</w:t>
      </w:r>
      <w:r/>
    </w:p>
    <w:p>
      <w:pPr>
        <w:ind w:firstLine="480"/>
        <w:keepLines w:val="0"/>
        <w:keepNext w:val="0"/>
        <w:pageBreakBefore w:val="0"/>
        <w:spacing w:line="240" w:lineRule="auto"/>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四、所供服务保证符合国家有关产品质量、性能和安全标准，无权利瑕疵。</w:t>
      </w:r>
      <w:r/>
    </w:p>
    <w:p>
      <w:pPr>
        <w:pStyle w:val="710"/>
        <w:keepLines w:val="0"/>
        <w:keepNext w:val="0"/>
        <w:pageBreakBefore w:val="0"/>
        <w:spacing w:line="240" w:lineRule="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五、磋商响应文件有效期为45天。</w:t>
      </w:r>
      <w:r/>
    </w:p>
    <w:p>
      <w:pPr>
        <w:ind w:firstLine="480"/>
        <w:keepLines w:val="0"/>
        <w:keepNext w:val="0"/>
        <w:pageBreakBefore w:val="0"/>
        <w:spacing w:line="240" w:lineRule="auto"/>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六、同意向贵方提供贵方可能要求的与本次磋商采购有关的任何证据或资料。</w:t>
      </w:r>
      <w:r/>
    </w:p>
    <w:p>
      <w:pPr>
        <w:ind w:firstLine="480"/>
        <w:keepLines w:val="0"/>
        <w:keepNext w:val="0"/>
        <w:pageBreakBefore w:val="0"/>
        <w:spacing w:line="240" w:lineRule="auto"/>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七、新沂市公共资源交易中心有权将我单位本项目的《磋商报价表》予以公示，公示的方式由新沂市公共资源交易中心确定。</w:t>
      </w:r>
      <w:r/>
    </w:p>
    <w:p>
      <w:pPr>
        <w:ind w:firstLine="480"/>
        <w:keepLines w:val="0"/>
        <w:keepNext w:val="0"/>
        <w:pageBreakBefore w:val="0"/>
        <w:spacing w:line="240" w:lineRule="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八、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jc w:val="left"/>
        <w:spacing w:line="360" w:lineRule="auto"/>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firstLine="480"/>
        <w:spacing w:line="40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供应商：（盖单位公章）</w:t>
      </w:r>
      <w:r/>
    </w:p>
    <w:p>
      <w:pPr>
        <w:ind w:firstLine="480"/>
        <w:spacing w:line="40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法定代表人或授权代表（签字或盖章）：  </w:t>
      </w:r>
      <w:r/>
    </w:p>
    <w:p>
      <w:pPr>
        <w:ind w:firstLine="480"/>
        <w:spacing w:line="400" w:lineRule="exact"/>
      </w:pPr>
      <w:r>
        <w:rPr>
          <w:rFonts w:hint="eastAsia" w:ascii="仿宋_GB2312" w:hAnsi="仿宋_GB2312" w:eastAsia="仿宋_GB2312" w:cs="仿宋_GB2312"/>
          <w:sz w:val="28"/>
          <w:szCs w:val="28"/>
        </w:rPr>
        <w:t xml:space="preserve">日期：   年    月    日</w:t>
      </w:r>
      <w:r/>
    </w:p>
    <w:p>
      <w:r/>
      <w:r/>
    </w:p>
    <w:p>
      <w:pPr>
        <w:numPr>
          <w:ilvl w:val="0"/>
          <w:numId w:val="7"/>
        </w:numPr>
        <w:ind w:left="0" w:firstLine="0"/>
        <w:jc w:val="left"/>
        <w:keepLines w:val="0"/>
        <w:keepNext w:val="0"/>
        <w:pageBreakBefore w:val="0"/>
        <w:spacing w:line="520" w:lineRule="exact"/>
        <w:widowControl w:val="off"/>
        <w:rPr>
          <w:rStyle w:val="904"/>
          <w:rFonts w:hint="eastAsia" w:ascii="仿宋_GB2312" w:hAnsi="仿宋_GB2312" w:eastAsia="仿宋_GB2312" w:cs="仿宋_GB2312"/>
          <w:sz w:val="32"/>
          <w:szCs w:val="32"/>
        </w:rPr>
      </w:pPr>
      <w:r>
        <w:rPr>
          <w:rStyle w:val="904"/>
          <w:rFonts w:hint="eastAsia" w:ascii="仿宋_GB2312" w:hAnsi="仿宋_GB2312" w:eastAsia="仿宋_GB2312" w:cs="仿宋_GB2312"/>
          <w:sz w:val="32"/>
          <w:szCs w:val="32"/>
        </w:rPr>
        <w:t xml:space="preserve">供应商参加政府采购活动前3年内在经营活动中没有重大违法记录的书面声明</w:t>
      </w:r>
      <w:r/>
    </w:p>
    <w:p>
      <w:pPr>
        <w:ind w:firstLine="482"/>
        <w:keepLines w:val="0"/>
        <w:keepNext w:val="0"/>
        <w:pageBreakBefore w:val="0"/>
        <w:spacing w:line="520" w:lineRule="exact"/>
        <w:widowControl w:val="off"/>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r>
      <w:r/>
    </w:p>
    <w:p>
      <w:pPr>
        <w:ind w:firstLine="482"/>
        <w:keepLines w:val="0"/>
        <w:keepNext w:val="0"/>
        <w:pageBreakBefore w:val="0"/>
        <w:spacing w:line="520" w:lineRule="exact"/>
        <w:widowControl w:val="off"/>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r>
      <w:r/>
    </w:p>
    <w:p>
      <w:pPr>
        <w:ind w:firstLine="480"/>
        <w:keepLines w:val="0"/>
        <w:keepNext w:val="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我单位在参加</w:t>
      </w:r>
      <w:r>
        <w:rPr>
          <w:rFonts w:hint="eastAsia" w:ascii="仿宋_GB2312" w:hAnsi="仿宋_GB2312" w:eastAsia="仿宋_GB2312" w:cs="仿宋_GB2312"/>
          <w:b/>
          <w:bCs/>
          <w:sz w:val="28"/>
          <w:szCs w:val="28"/>
          <w:u w:val="single"/>
        </w:rPr>
        <w:t xml:space="preserve">江苏省预算管理一体化运维项目</w:t>
      </w:r>
      <w:r>
        <w:rPr>
          <w:rFonts w:hint="eastAsia" w:ascii="仿宋_GB2312" w:hAnsi="仿宋_GB2312" w:eastAsia="仿宋_GB2312" w:cs="仿宋_GB2312"/>
          <w:sz w:val="28"/>
          <w:szCs w:val="28"/>
        </w:rPr>
        <w:t xml:space="preserve">采购[项目编号：JSZC-320381-XYZX-C2026-0004 ]政府采购活动前3年内在经营活动中没有重大违法记录。重大违法记录是指因违法经营受到刑事处罚或者责令停产停业、吊销许可证或者执照、较大数额罚款等行政处罚。</w:t>
      </w:r>
      <w:r/>
    </w:p>
    <w:p>
      <w:pPr>
        <w:ind w:firstLine="480"/>
        <w:keepLines w:val="0"/>
        <w:keepNext w:val="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我单位对上述声明的真实性负责。如有虚假，将依法承担相应责任。</w:t>
      </w:r>
      <w:r/>
    </w:p>
    <w:p>
      <w:pPr>
        <w:ind w:firstLine="480"/>
        <w:keepLines w:val="0"/>
        <w:keepNext w:val="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w:t>
      </w:r>
      <w:r/>
    </w:p>
    <w:p>
      <w:pPr>
        <w:ind w:firstLine="480"/>
        <w:keepLines w:val="0"/>
        <w:keepNext w:val="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firstLine="480"/>
        <w:keepLines w:val="0"/>
        <w:keepNext w:val="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firstLine="480"/>
        <w:keepLines w:val="0"/>
        <w:keepNext w:val="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firstLine="480"/>
        <w:keepLines w:val="0"/>
        <w:keepNext w:val="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firstLine="480"/>
        <w:keepLines w:val="0"/>
        <w:keepNext w:val="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firstLine="480"/>
        <w:keepLines w:val="0"/>
        <w:keepNext w:val="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firstLine="480"/>
        <w:keepLines w:val="0"/>
        <w:keepNext w:val="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供应商：（盖单位公章）</w:t>
      </w:r>
      <w:r/>
    </w:p>
    <w:p>
      <w:pPr>
        <w:ind w:firstLine="480"/>
        <w:keepLines w:val="0"/>
        <w:keepNext w:val="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法定代表人或授权代表（签字或盖章）：  </w:t>
      </w:r>
      <w:r/>
    </w:p>
    <w:p>
      <w:pPr>
        <w:ind w:firstLine="480"/>
        <w:keepLines w:val="0"/>
        <w:keepNext w:val="0"/>
        <w:pageBreakBefore w:val="0"/>
        <w:spacing w:line="5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日期：   年    月    日</w:t>
      </w:r>
      <w:r/>
    </w:p>
    <w:p>
      <w:pPr>
        <w:rPr>
          <w:rFonts w:hint="eastAsia" w:ascii="仿宋_GB2312" w:hAnsi="仿宋_GB2312" w:eastAsia="仿宋_GB2312" w:cs="仿宋_GB2312"/>
        </w:rPr>
      </w:pPr>
      <w:r>
        <w:rPr>
          <w:rFonts w:hint="eastAsia" w:ascii="仿宋_GB2312" w:hAnsi="仿宋_GB2312" w:eastAsia="仿宋_GB2312" w:cs="仿宋_GB2312"/>
        </w:rPr>
      </w:r>
      <w:r/>
    </w:p>
    <w:p>
      <w:r/>
      <w:r/>
    </w:p>
    <w:p>
      <w:r/>
      <w:r/>
    </w:p>
    <w:p>
      <w:r/>
      <w:r/>
    </w:p>
    <w:p>
      <w:r/>
      <w:r/>
    </w:p>
    <w:p>
      <w:r/>
      <w:r/>
    </w:p>
    <w:p>
      <w:r/>
      <w:r/>
    </w:p>
    <w:p>
      <w:r/>
      <w:r/>
    </w:p>
    <w:p>
      <w:r/>
      <w:r/>
    </w:p>
    <w:p>
      <w:r/>
      <w:r/>
    </w:p>
    <w:p>
      <w:r/>
      <w:r/>
    </w:p>
    <w:p>
      <w:pPr>
        <w:jc w:val="both"/>
        <w:rPr>
          <w:rStyle w:val="904"/>
          <w:rFonts w:hint="eastAsia" w:ascii="宋体" w:hAnsi="宋体" w:cs="宋体"/>
          <w:sz w:val="32"/>
          <w:szCs w:val="32"/>
          <w:highlight w:val="none"/>
        </w:rPr>
      </w:pPr>
      <w:r>
        <w:rPr>
          <w:rFonts w:hint="eastAsia" w:ascii="宋体" w:hAnsi="宋体" w:cs="宋体"/>
          <w:sz w:val="32"/>
          <w:szCs w:val="32"/>
          <w:highlight w:val="none"/>
        </w:rPr>
      </w:r>
      <w:r/>
    </w:p>
    <w:p>
      <w:pPr>
        <w:numPr>
          <w:ilvl w:val="0"/>
          <w:numId w:val="7"/>
        </w:numPr>
        <w:ind w:left="0" w:firstLine="0"/>
        <w:jc w:val="center"/>
        <w:rPr>
          <w:rStyle w:val="904"/>
          <w:rFonts w:hint="eastAsia" w:ascii="仿宋_GB2312" w:hAnsi="仿宋_GB2312" w:eastAsia="仿宋_GB2312" w:cs="仿宋_GB2312"/>
          <w:sz w:val="32"/>
          <w:szCs w:val="32"/>
          <w:highlight w:val="none"/>
        </w:rPr>
      </w:pPr>
      <w:r>
        <w:rPr>
          <w:rStyle w:val="904"/>
          <w:rFonts w:hint="eastAsia" w:ascii="仿宋_GB2312" w:hAnsi="仿宋_GB2312" w:eastAsia="仿宋_GB2312" w:cs="仿宋_GB2312"/>
          <w:sz w:val="32"/>
          <w:szCs w:val="32"/>
        </w:rPr>
        <w:t xml:space="preserve">中小企业声明函</w:t>
      </w:r>
      <w:r/>
    </w:p>
    <w:p>
      <w:pPr>
        <w:numPr>
          <w:ilvl w:val="0"/>
          <w:numId w:val="0"/>
        </w:numPr>
        <w:jc w:val="both"/>
        <w:rPr>
          <w:rStyle w:val="904"/>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r>
      <w:r/>
    </w:p>
    <w:p>
      <w:pPr>
        <w:ind w:firstLine="480"/>
        <w:spacing w:before="120" w:line="40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项目名称：江苏省预算管理一体化运维项目</w:t>
      </w:r>
      <w:r/>
    </w:p>
    <w:p>
      <w:pPr>
        <w:ind w:firstLine="480"/>
        <w:spacing w:line="40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项目编号：JSZC-320381-XYZX-C2026-0004</w:t>
      </w:r>
      <w:r/>
    </w:p>
    <w:p>
      <w:pPr>
        <w:ind w:firstLine="480"/>
        <w:spacing w:before="120" w:line="40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本公司（联合体）郑重声明，根据《政府采购促进中小企业发展管理办法》（财库﹝2020﹞46 号）的规定，本公司参加</w:t>
      </w:r>
      <w:r>
        <w:rPr>
          <w:rFonts w:hint="eastAsia" w:ascii="仿宋_GB2312" w:hAnsi="仿宋_GB2312" w:eastAsia="仿宋_GB2312" w:cs="仿宋_GB2312"/>
          <w:sz w:val="28"/>
          <w:szCs w:val="28"/>
          <w:u w:val="single"/>
        </w:rPr>
        <w:t xml:space="preserve">新沂市财政局（机关）</w:t>
      </w:r>
      <w:r>
        <w:rPr>
          <w:rFonts w:hint="eastAsia" w:ascii="仿宋_GB2312" w:hAnsi="仿宋_GB2312" w:eastAsia="仿宋_GB2312" w:cs="仿宋_GB2312"/>
          <w:sz w:val="28"/>
          <w:szCs w:val="28"/>
        </w:rPr>
        <w:t xml:space="preserve">的</w:t>
      </w:r>
      <w:r>
        <w:rPr>
          <w:rFonts w:hint="eastAsia" w:ascii="仿宋_GB2312" w:hAnsi="仿宋_GB2312" w:eastAsia="仿宋_GB2312" w:cs="仿宋_GB2312"/>
          <w:sz w:val="28"/>
          <w:szCs w:val="28"/>
          <w:u w:val="single"/>
        </w:rPr>
        <w:t xml:space="preserve">江苏省预算管理一体化运维项目</w:t>
      </w:r>
      <w:r>
        <w:rPr>
          <w:rFonts w:hint="eastAsia" w:ascii="仿宋_GB2312" w:hAnsi="仿宋_GB2312" w:eastAsia="仿宋_GB2312" w:cs="仿宋_GB2312"/>
          <w:sz w:val="28"/>
          <w:szCs w:val="28"/>
        </w:rPr>
        <w:t xml:space="preserve">采购活动，服务全部由符合政策要求的中小企业承接。相关企业的具体情况如下：</w:t>
      </w:r>
      <w:r/>
    </w:p>
    <w:p>
      <w:pPr>
        <w:ind w:firstLine="480"/>
        <w:spacing w:before="120" w:line="40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1、</w:t>
      </w:r>
      <w:r>
        <w:rPr>
          <w:rFonts w:hint="eastAsia" w:ascii="仿宋_GB2312" w:hAnsi="仿宋_GB2312" w:eastAsia="仿宋_GB2312" w:cs="仿宋_GB2312"/>
          <w:sz w:val="28"/>
          <w:szCs w:val="28"/>
          <w:u w:val="single"/>
        </w:rPr>
        <w:t xml:space="preserve"> 江苏省预算管理一体化运维项目 </w:t>
      </w:r>
      <w:r>
        <w:rPr>
          <w:rFonts w:hint="eastAsia" w:ascii="仿宋_GB2312" w:hAnsi="仿宋_GB2312" w:eastAsia="仿宋_GB2312" w:cs="仿宋_GB2312"/>
          <w:sz w:val="28"/>
          <w:szCs w:val="28"/>
        </w:rPr>
        <w:t xml:space="preserve">，属于</w:t>
      </w:r>
      <w:r>
        <w:rPr>
          <w:rFonts w:hint="eastAsia" w:ascii="仿宋_GB2312" w:hAnsi="仿宋_GB2312" w:eastAsia="仿宋_GB2312" w:cs="仿宋_GB2312"/>
          <w:sz w:val="28"/>
          <w:szCs w:val="28"/>
          <w:u w:val="single"/>
        </w:rPr>
        <w:t xml:space="preserve"> 软件和信息技术服务业 </w:t>
      </w:r>
      <w:r>
        <w:rPr>
          <w:rFonts w:hint="eastAsia" w:ascii="仿宋_GB2312" w:hAnsi="仿宋_GB2312" w:eastAsia="仿宋_GB2312" w:cs="仿宋_GB2312"/>
          <w:sz w:val="28"/>
          <w:szCs w:val="28"/>
        </w:rPr>
        <w:t xml:space="preserve">；承接企业为</w:t>
      </w:r>
      <w:r>
        <w:rPr>
          <w:rFonts w:hint="eastAsia" w:ascii="仿宋_GB2312" w:hAnsi="仿宋_GB2312" w:eastAsia="仿宋_GB2312" w:cs="仿宋_GB2312"/>
          <w:sz w:val="28"/>
          <w:szCs w:val="28"/>
          <w:u w:val="single"/>
        </w:rPr>
        <w:t xml:space="preserve">（企业名称）</w:t>
      </w:r>
      <w:r>
        <w:rPr>
          <w:rFonts w:hint="eastAsia" w:ascii="仿宋_GB2312" w:hAnsi="仿宋_GB2312" w:eastAsia="仿宋_GB2312" w:cs="仿宋_GB2312"/>
          <w:sz w:val="28"/>
          <w:szCs w:val="28"/>
        </w:rPr>
        <w:t xml:space="preserve">，从业人员</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u w:val="single"/>
        </w:rPr>
        <w:tab/>
      </w:r>
      <w:r>
        <w:rPr>
          <w:rFonts w:hint="eastAsia" w:ascii="仿宋_GB2312" w:hAnsi="仿宋_GB2312" w:eastAsia="仿宋_GB2312" w:cs="仿宋_GB2312"/>
          <w:sz w:val="28"/>
          <w:szCs w:val="28"/>
        </w:rPr>
        <w:t xml:space="preserve">人，营业收入为</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u w:val="single"/>
        </w:rPr>
        <w:tab/>
      </w:r>
      <w:r>
        <w:rPr>
          <w:rFonts w:hint="eastAsia" w:ascii="仿宋_GB2312" w:hAnsi="仿宋_GB2312" w:eastAsia="仿宋_GB2312" w:cs="仿宋_GB2312"/>
          <w:sz w:val="28"/>
          <w:szCs w:val="28"/>
        </w:rPr>
        <w:t xml:space="preserve">万元，资产总额为</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u w:val="single"/>
        </w:rPr>
        <w:tab/>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万元，属于</w:t>
      </w:r>
      <w:r>
        <w:rPr>
          <w:rFonts w:hint="eastAsia" w:ascii="仿宋_GB2312" w:hAnsi="仿宋_GB2312" w:eastAsia="仿宋_GB2312" w:cs="仿宋_GB2312"/>
          <w:sz w:val="28"/>
          <w:szCs w:val="28"/>
          <w:u w:val="single"/>
        </w:rPr>
        <w:t xml:space="preserve">      （中型企业、小型企业、微型企业）</w:t>
      </w:r>
      <w:r>
        <w:rPr>
          <w:rFonts w:hint="eastAsia" w:ascii="仿宋_GB2312" w:hAnsi="仿宋_GB2312" w:eastAsia="仿宋_GB2312" w:cs="仿宋_GB2312"/>
          <w:sz w:val="28"/>
          <w:szCs w:val="28"/>
        </w:rPr>
        <w:t xml:space="preserve">；</w:t>
      </w:r>
      <w:r/>
    </w:p>
    <w:p>
      <w:pPr>
        <w:ind w:firstLine="482"/>
        <w:rPr>
          <w:rFonts w:hint="eastAsia" w:ascii="仿宋_GB2312" w:hAnsi="仿宋_GB2312" w:eastAsia="仿宋_GB2312" w:cs="仿宋_GB2312"/>
          <w:sz w:val="28"/>
          <w:szCs w:val="28"/>
        </w:rPr>
      </w:pPr>
      <w:r>
        <w:rPr>
          <w:rFonts w:hint="eastAsia" w:ascii="仿宋_GB2312" w:hAnsi="仿宋_GB2312" w:eastAsia="仿宋_GB2312" w:cs="仿宋_GB2312"/>
          <w:b/>
          <w:sz w:val="28"/>
          <w:szCs w:val="28"/>
        </w:rPr>
        <w:t xml:space="preserve">.........</w:t>
      </w:r>
      <w:r>
        <w:rPr>
          <w:rFonts w:hint="eastAsia" w:ascii="仿宋_GB2312" w:hAnsi="仿宋_GB2312" w:eastAsia="仿宋_GB2312" w:cs="仿宋_GB2312"/>
          <w:sz w:val="28"/>
          <w:szCs w:val="28"/>
        </w:rPr>
        <w:t xml:space="preserve"> </w:t>
      </w:r>
      <w:r/>
    </w:p>
    <w:p>
      <w:pPr>
        <w:ind w:firstLine="480"/>
        <w:spacing w:before="100" w:beforeAutospacing="1" w:after="100" w:afterAutospacing="1"/>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以上企业，不属于大企业的分支机构，不存在控股股东为大企业的情形，也不存在与大企业的负责人为同一人的情形。 </w:t>
      </w:r>
      <w:r/>
    </w:p>
    <w:p>
      <w:pPr>
        <w:ind w:firstLine="480"/>
        <w:spacing w:before="100" w:beforeAutospacing="1" w:after="100" w:afterAutospacing="1"/>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本企业对上述声明内容的真实性负责。如有虚假，将依法承担相应责任。 </w:t>
      </w:r>
      <w:r/>
    </w:p>
    <w:p>
      <w:pPr>
        <w:ind w:firstLine="480"/>
        <w:spacing w:before="100" w:beforeAutospacing="1" w:after="100" w:afterAutospacing="1"/>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w:t>
      </w:r>
      <w:r/>
    </w:p>
    <w:p>
      <w:pPr>
        <w:ind w:firstLine="480"/>
        <w:spacing w:before="100" w:beforeAutospacing="1" w:after="100" w:afterAutospacing="1"/>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w:t>
      </w:r>
      <w:r/>
    </w:p>
    <w:p>
      <w:pPr>
        <w:ind w:firstLine="480"/>
        <w:spacing w:line="40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供应商：（盖单位公章）</w:t>
      </w:r>
      <w:r/>
    </w:p>
    <w:p>
      <w:pPr>
        <w:ind w:firstLine="480"/>
        <w:spacing w:line="40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法定代表人或授权代表（签字或盖章）：  </w:t>
      </w:r>
      <w:r/>
    </w:p>
    <w:p>
      <w:pPr>
        <w:ind w:firstLine="480"/>
        <w:spacing w:line="400" w:lineRule="exact"/>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rPr>
        <w:t xml:space="preserve">日期：   年    月    日</w:t>
      </w:r>
      <w:r>
        <w:rPr>
          <w:rFonts w:hint="eastAsia" w:ascii="仿宋_GB2312" w:hAnsi="仿宋_GB2312" w:eastAsia="仿宋_GB2312" w:cs="仿宋_GB2312"/>
          <w:sz w:val="28"/>
          <w:szCs w:val="28"/>
        </w:rPr>
      </w:r>
      <w:r/>
    </w:p>
    <w:p>
      <w:pPr>
        <w:ind w:firstLine="480"/>
        <w:spacing w:line="40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highlight w:val="none"/>
        </w:rPr>
      </w:r>
      <w:r>
        <w:rPr>
          <w:rFonts w:hint="eastAsia" w:ascii="仿宋_GB2312" w:hAnsi="仿宋_GB2312" w:eastAsia="仿宋_GB2312" w:cs="仿宋_GB2312"/>
          <w:sz w:val="28"/>
          <w:szCs w:val="28"/>
          <w:highlight w:val="none"/>
        </w:rPr>
      </w:r>
      <w:r/>
    </w:p>
    <w:p>
      <w:pPr>
        <w:spacing w:before="100" w:beforeAutospacing="1" w:after="100" w:afterAutospacing="1"/>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说明：1、</w:t>
      </w:r>
      <w:r>
        <w:rPr>
          <w:rFonts w:hint="eastAsia" w:ascii="仿宋_GB2312" w:hAnsi="仿宋_GB2312" w:eastAsia="仿宋_GB2312" w:cs="仿宋_GB2312"/>
          <w:b/>
          <w:bCs/>
          <w:sz w:val="28"/>
          <w:szCs w:val="28"/>
        </w:rPr>
        <w:t xml:space="preserve">本项目采购的服务属于</w:t>
      </w:r>
      <w:r>
        <w:rPr>
          <w:rFonts w:hint="eastAsia" w:ascii="仿宋_GB2312" w:hAnsi="仿宋_GB2312" w:eastAsia="仿宋_GB2312" w:cs="仿宋_GB2312"/>
          <w:b/>
          <w:bCs/>
          <w:sz w:val="28"/>
          <w:szCs w:val="28"/>
          <w:u w:val="single"/>
        </w:rPr>
        <w:t xml:space="preserve"> 软件和信息技术服务业</w:t>
      </w:r>
      <w:r>
        <w:rPr>
          <w:rFonts w:hint="eastAsia" w:ascii="仿宋_GB2312" w:hAnsi="仿宋_GB2312" w:eastAsia="仿宋_GB2312" w:cs="仿宋_GB2312"/>
          <w:sz w:val="28"/>
          <w:szCs w:val="28"/>
        </w:rPr>
        <w:t xml:space="preserve">。</w:t>
      </w:r>
      <w:r/>
    </w:p>
    <w:p>
      <w:pPr>
        <w:numPr>
          <w:ilvl w:val="0"/>
          <w:numId w:val="8"/>
        </w:numPr>
        <w:spacing w:before="100" w:beforeAutospacing="1" w:after="100" w:afterAutospacing="1"/>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如提供虚假中小企业声明函的，则采购人有权取消投标、中标候选或中标资格，有权终止合同，并报政府采购监管部门。</w:t>
      </w:r>
      <w:r/>
    </w:p>
    <w:p>
      <w:pPr>
        <w:pStyle w:val="884"/>
        <w:ind w:left="0" w:firstLine="0"/>
        <w:rPr>
          <w:rFonts w:ascii="Calibri" w:hAnsi="Calibri" w:eastAsia="方正小标宋简体"/>
          <w:sz w:val="44"/>
          <w:szCs w:val="24"/>
        </w:rPr>
      </w:pPr>
      <w:r>
        <w:rPr>
          <w:rFonts w:ascii="Calibri" w:hAnsi="Calibri" w:eastAsia="方正小标宋简体"/>
          <w:sz w:val="44"/>
          <w:szCs w:val="24"/>
        </w:rPr>
      </w:r>
      <w:r/>
    </w:p>
    <w:p>
      <w:pPr>
        <w:pStyle w:val="884"/>
        <w:rPr>
          <w:rFonts w:hint="eastAsia" w:ascii="宋体" w:hAnsi="宋体" w:eastAsia="宋体" w:cs="宋体"/>
          <w:sz w:val="24"/>
        </w:rPr>
      </w:pPr>
      <w:r>
        <w:rPr>
          <w:rFonts w:hint="eastAsia" w:ascii="Calibri" w:hAnsi="Calibri" w:eastAsia="方正小标宋简体"/>
          <w:sz w:val="44"/>
          <w:szCs w:val="24"/>
        </w:rPr>
        <w:t xml:space="preserve">中小微企业规模类型自测小程序</w:t>
      </w:r>
      <w:r>
        <w:rPr>
          <w:rFonts w:hint="eastAsia" w:ascii="Calibri" w:hAnsi="Calibri" w:eastAsia="方正小标宋简体"/>
          <w:sz w:val="4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1" locked="0" layoutInCell="1" allowOverlap="1">
                <wp:simplePos x="0" y="0"/>
                <wp:positionH relativeFrom="column">
                  <wp:posOffset>1192530</wp:posOffset>
                </wp:positionH>
                <wp:positionV relativeFrom="page">
                  <wp:posOffset>2801620</wp:posOffset>
                </wp:positionV>
                <wp:extent cx="2857500" cy="5715000"/>
                <wp:effectExtent l="0" t="0" r="0" b="0"/>
                <wp:wrapTight wrapText="bothSides">
                  <wp:wrapPolygon edited="1">
                    <wp:start x="0" y="0"/>
                    <wp:lineTo x="0" y="21528"/>
                    <wp:lineTo x="21456" y="21528"/>
                    <wp:lineTo x="21456" y="0"/>
                    <wp:lineTo x="0" y="0"/>
                  </wp:wrapPolygon>
                </wp:wrapTight>
                <wp:docPr id="7" name="图片 7"/>
                <wp:cNvGraphicFramePr/>
                <a:graphic xmlns:a="http://schemas.openxmlformats.org/drawingml/2006/main">
                  <a:graphicData uri="http://schemas.openxmlformats.org/drawingml/2006/picture">
                    <pic:pic xmlns:pic="http://schemas.openxmlformats.org/drawingml/2006/picture">
                      <pic:nvPicPr>
                        <pic:cNvPr id="6" name="图片 7"/>
                        <pic:cNvPicPr/>
                        <pic:nvPr/>
                      </pic:nvPicPr>
                      <pic:blipFill>
                        <a:blip r:embed="rId12"/>
                        <a:stretch/>
                      </pic:blipFill>
                      <pic:spPr bwMode="auto">
                        <a:xfrm>
                          <a:off x="0" y="0"/>
                          <a:ext cx="2857500" cy="5715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64384;o:allowoverlap:true;o:allowincell:true;mso-position-horizontal-relative:text;margin-left:93.9pt;mso-position-horizontal:absolute;mso-position-vertical-relative:page;margin-top:220.6pt;mso-position-vertical:absolute;width:225.0pt;height:450.0pt;mso-wrap-distance-left:9.0pt;mso-wrap-distance-top:0.0pt;mso-wrap-distance-right:9.0pt;mso-wrap-distance-bottom:0.0pt;" wrapcoords="0 0 0 99667 99333 99667 99333 0 0 0" stroked="f">
                <v:path textboxrect="0,0,0,0"/>
                <w10:wrap type="tight"/>
                <v:imagedata r:id="rId12" o:title=""/>
              </v:shape>
            </w:pict>
          </mc:Fallback>
        </mc:AlternateContent>
      </w:r>
      <w:r/>
    </w:p>
    <w:p>
      <w:pPr>
        <w:pStyle w:val="884"/>
        <w:ind w:firstLine="480"/>
        <w:rPr>
          <w:rFonts w:hint="eastAsia" w:ascii="宋体" w:hAnsi="宋体" w:eastAsia="宋体" w:cs="宋体"/>
          <w:sz w:val="24"/>
        </w:rPr>
      </w:pPr>
      <w:r>
        <w:rPr>
          <w:rFonts w:hint="eastAsia" w:ascii="宋体" w:hAnsi="宋体" w:eastAsia="宋体" w:cs="宋体"/>
          <w:sz w:val="24"/>
        </w:rPr>
      </w:r>
      <w:r/>
    </w:p>
    <w:p>
      <w:pPr>
        <w:pStyle w:val="884"/>
        <w:ind w:firstLine="480"/>
        <w:rPr>
          <w:rFonts w:hint="eastAsia" w:ascii="宋体" w:hAnsi="宋体" w:eastAsia="宋体" w:cs="宋体"/>
          <w:sz w:val="24"/>
        </w:rPr>
      </w:pPr>
      <w:r>
        <w:rPr>
          <w:rFonts w:hint="eastAsia" w:ascii="宋体" w:hAnsi="宋体" w:eastAsia="宋体" w:cs="宋体"/>
          <w:sz w:val="24"/>
        </w:rPr>
      </w:r>
      <w:r/>
    </w:p>
    <w:p>
      <w:pPr>
        <w:pStyle w:val="884"/>
        <w:ind w:firstLine="480"/>
        <w:rPr>
          <w:rFonts w:hint="eastAsia" w:ascii="宋体" w:hAnsi="宋体" w:eastAsia="宋体" w:cs="宋体"/>
          <w:sz w:val="24"/>
        </w:rPr>
      </w:pPr>
      <w:r>
        <w:rPr>
          <w:rFonts w:hint="eastAsia" w:ascii="宋体" w:hAnsi="宋体" w:eastAsia="宋体" w:cs="宋体"/>
          <w:sz w:val="24"/>
        </w:rPr>
      </w:r>
      <w:r/>
    </w:p>
    <w:p>
      <w:pPr>
        <w:pStyle w:val="884"/>
        <w:ind w:firstLine="480"/>
        <w:rPr>
          <w:rFonts w:hint="eastAsia" w:ascii="宋体" w:hAnsi="宋体" w:eastAsia="宋体" w:cs="宋体"/>
          <w:sz w:val="24"/>
        </w:rPr>
      </w:pPr>
      <w:r>
        <w:rPr>
          <w:rFonts w:hint="eastAsia" w:ascii="宋体" w:hAnsi="宋体" w:eastAsia="宋体" w:cs="宋体"/>
          <w:sz w:val="24"/>
        </w:rPr>
      </w:r>
      <w:r/>
    </w:p>
    <w:p>
      <w:pPr>
        <w:pStyle w:val="884"/>
        <w:ind w:firstLine="480"/>
        <w:rPr>
          <w:rFonts w:hint="eastAsia" w:ascii="宋体" w:hAnsi="宋体" w:eastAsia="宋体" w:cs="宋体"/>
          <w:sz w:val="24"/>
        </w:rPr>
      </w:pPr>
      <w:r>
        <w:rPr>
          <w:rFonts w:hint="eastAsia" w:ascii="宋体" w:hAnsi="宋体" w:eastAsia="宋体" w:cs="宋体"/>
          <w:sz w:val="24"/>
        </w:rPr>
      </w:r>
      <w:r/>
    </w:p>
    <w:p>
      <w:pPr>
        <w:pStyle w:val="884"/>
        <w:ind w:firstLine="480"/>
        <w:rPr>
          <w:rFonts w:hint="eastAsia" w:ascii="宋体" w:hAnsi="宋体" w:eastAsia="宋体" w:cs="宋体"/>
          <w:sz w:val="24"/>
        </w:rPr>
      </w:pPr>
      <w:r>
        <w:rPr>
          <w:rFonts w:hint="eastAsia" w:ascii="宋体" w:hAnsi="宋体" w:eastAsia="宋体" w:cs="宋体"/>
          <w:sz w:val="24"/>
        </w:rPr>
      </w:r>
      <w:r/>
    </w:p>
    <w:p>
      <w:pPr>
        <w:pStyle w:val="884"/>
        <w:ind w:firstLine="480"/>
        <w:rPr>
          <w:rFonts w:hint="eastAsia" w:ascii="宋体" w:hAnsi="宋体" w:eastAsia="宋体" w:cs="宋体"/>
          <w:sz w:val="24"/>
        </w:rPr>
      </w:pPr>
      <w:r>
        <w:rPr>
          <w:rFonts w:hint="eastAsia" w:ascii="宋体" w:hAnsi="宋体" w:eastAsia="宋体" w:cs="宋体"/>
          <w:sz w:val="24"/>
        </w:rPr>
      </w:r>
      <w:r/>
    </w:p>
    <w:p>
      <w:pPr>
        <w:pStyle w:val="884"/>
        <w:ind w:firstLine="480"/>
        <w:rPr>
          <w:rFonts w:hint="eastAsia" w:ascii="宋体" w:hAnsi="宋体" w:eastAsia="宋体" w:cs="宋体"/>
          <w:sz w:val="24"/>
        </w:rPr>
      </w:pPr>
      <w:r>
        <w:rPr>
          <w:rFonts w:hint="eastAsia" w:ascii="宋体" w:hAnsi="宋体" w:eastAsia="宋体" w:cs="宋体"/>
          <w:sz w:val="24"/>
        </w:rPr>
      </w:r>
      <w:r/>
    </w:p>
    <w:p>
      <w:pPr>
        <w:pStyle w:val="884"/>
        <w:ind w:firstLine="480"/>
        <w:rPr>
          <w:rFonts w:hint="eastAsia" w:ascii="宋体" w:hAnsi="宋体" w:eastAsia="宋体" w:cs="宋体"/>
          <w:sz w:val="24"/>
        </w:rPr>
      </w:pPr>
      <w:r>
        <w:rPr>
          <w:rFonts w:hint="eastAsia" w:ascii="宋体" w:hAnsi="宋体" w:eastAsia="宋体" w:cs="宋体"/>
          <w:sz w:val="24"/>
        </w:rPr>
      </w:r>
      <w:r/>
    </w:p>
    <w:p>
      <w:pPr>
        <w:pStyle w:val="884"/>
        <w:ind w:firstLine="480"/>
        <w:rPr>
          <w:rFonts w:hint="eastAsia" w:ascii="宋体" w:hAnsi="宋体" w:eastAsia="宋体" w:cs="宋体"/>
          <w:sz w:val="24"/>
        </w:rPr>
      </w:pPr>
      <w:r>
        <w:rPr>
          <w:rFonts w:hint="eastAsia" w:ascii="宋体" w:hAnsi="宋体" w:eastAsia="宋体" w:cs="宋体"/>
          <w:sz w:val="24"/>
        </w:rPr>
      </w:r>
      <w:r/>
    </w:p>
    <w:p>
      <w:pPr>
        <w:pStyle w:val="884"/>
        <w:ind w:firstLine="480"/>
        <w:rPr>
          <w:rFonts w:hint="eastAsia" w:ascii="宋体" w:hAnsi="宋体" w:eastAsia="宋体" w:cs="宋体"/>
          <w:sz w:val="24"/>
        </w:rPr>
      </w:pPr>
      <w:r>
        <w:rPr>
          <w:rFonts w:hint="eastAsia" w:ascii="宋体" w:hAnsi="宋体" w:eastAsia="宋体" w:cs="宋体"/>
          <w:sz w:val="24"/>
        </w:rPr>
      </w:r>
      <w:r/>
    </w:p>
    <w:p>
      <w:pPr>
        <w:pStyle w:val="884"/>
        <w:ind w:firstLine="480"/>
        <w:rPr>
          <w:rFonts w:hint="eastAsia" w:ascii="宋体" w:hAnsi="宋体" w:eastAsia="宋体" w:cs="宋体"/>
          <w:sz w:val="24"/>
        </w:rPr>
      </w:pPr>
      <w:r>
        <w:rPr>
          <w:rFonts w:hint="eastAsia" w:ascii="宋体" w:hAnsi="宋体" w:eastAsia="宋体" w:cs="宋体"/>
          <w:sz w:val="24"/>
        </w:rPr>
      </w:r>
      <w:r/>
    </w:p>
    <w:p>
      <w:pPr>
        <w:pStyle w:val="884"/>
        <w:ind w:firstLine="480"/>
        <w:rPr>
          <w:rFonts w:hint="eastAsia" w:ascii="宋体" w:hAnsi="宋体" w:eastAsia="宋体" w:cs="宋体"/>
          <w:sz w:val="24"/>
        </w:rPr>
      </w:pPr>
      <w:r>
        <w:rPr>
          <w:rFonts w:hint="eastAsia" w:ascii="宋体" w:hAnsi="宋体" w:eastAsia="宋体" w:cs="宋体"/>
          <w:sz w:val="24"/>
        </w:rPr>
      </w:r>
      <w:r/>
    </w:p>
    <w:p>
      <w:pPr>
        <w:pStyle w:val="884"/>
        <w:ind w:firstLine="480"/>
        <w:rPr>
          <w:rFonts w:hint="eastAsia" w:ascii="宋体" w:hAnsi="宋体" w:eastAsia="宋体" w:cs="宋体"/>
          <w:sz w:val="24"/>
        </w:rPr>
      </w:pPr>
      <w:r>
        <w:rPr>
          <w:rFonts w:hint="eastAsia" w:ascii="宋体" w:hAnsi="宋体" w:eastAsia="宋体" w:cs="宋体"/>
          <w:sz w:val="24"/>
        </w:rPr>
      </w:r>
      <w:r/>
    </w:p>
    <w:p>
      <w:pPr>
        <w:pStyle w:val="884"/>
        <w:ind w:firstLine="480"/>
        <w:rPr>
          <w:rFonts w:hint="eastAsia" w:ascii="宋体" w:hAnsi="宋体" w:eastAsia="宋体" w:cs="宋体"/>
          <w:sz w:val="24"/>
        </w:rPr>
      </w:pPr>
      <w:r>
        <w:rPr>
          <w:rFonts w:hint="eastAsia" w:ascii="宋体" w:hAnsi="宋体" w:eastAsia="宋体" w:cs="宋体"/>
          <w:sz w:val="24"/>
        </w:rPr>
      </w:r>
      <w:r/>
    </w:p>
    <w:p>
      <w:pPr>
        <w:pStyle w:val="884"/>
        <w:ind w:firstLine="480"/>
        <w:rPr>
          <w:rFonts w:hint="eastAsia" w:ascii="宋体" w:hAnsi="宋体" w:eastAsia="宋体" w:cs="宋体"/>
          <w:sz w:val="24"/>
        </w:rPr>
      </w:pPr>
      <w:r>
        <w:rPr>
          <w:rFonts w:hint="eastAsia" w:ascii="宋体" w:hAnsi="宋体" w:eastAsia="宋体" w:cs="宋体"/>
          <w:sz w:val="24"/>
        </w:rPr>
      </w:r>
      <w:r/>
    </w:p>
    <w:p>
      <w:pPr>
        <w:pStyle w:val="884"/>
        <w:ind w:firstLine="480"/>
        <w:rPr>
          <w:rFonts w:hint="eastAsia" w:ascii="宋体" w:hAnsi="宋体" w:eastAsia="宋体" w:cs="宋体"/>
          <w:sz w:val="24"/>
        </w:rPr>
      </w:pPr>
      <w:r>
        <w:rPr>
          <w:rFonts w:hint="eastAsia" w:ascii="宋体" w:hAnsi="宋体" w:eastAsia="宋体" w:cs="宋体"/>
          <w:sz w:val="24"/>
        </w:rPr>
      </w:r>
      <w:r/>
    </w:p>
    <w:p>
      <w:pPr>
        <w:pStyle w:val="884"/>
        <w:ind w:firstLine="480"/>
        <w:rPr>
          <w:rFonts w:hint="eastAsia" w:ascii="宋体" w:hAnsi="宋体" w:eastAsia="宋体" w:cs="宋体"/>
          <w:sz w:val="24"/>
        </w:rPr>
      </w:pPr>
      <w:r>
        <w:rPr>
          <w:rFonts w:hint="eastAsia" w:ascii="宋体" w:hAnsi="宋体" w:eastAsia="宋体" w:cs="宋体"/>
          <w:sz w:val="24"/>
        </w:rPr>
      </w:r>
      <w:r/>
    </w:p>
    <w:p>
      <w:pPr>
        <w:pStyle w:val="884"/>
        <w:ind w:firstLine="480"/>
        <w:rPr>
          <w:rFonts w:hint="eastAsia" w:ascii="宋体" w:hAnsi="宋体" w:eastAsia="宋体" w:cs="宋体"/>
          <w:sz w:val="24"/>
        </w:rPr>
      </w:pPr>
      <w:r>
        <w:rPr>
          <w:rFonts w:hint="eastAsia" w:ascii="宋体" w:hAnsi="宋体" w:eastAsia="宋体" w:cs="宋体"/>
          <w:sz w:val="24"/>
        </w:rPr>
      </w:r>
      <w:r/>
    </w:p>
    <w:p>
      <w:pPr>
        <w:pStyle w:val="884"/>
        <w:ind w:firstLine="480"/>
        <w:rPr>
          <w:rFonts w:hint="eastAsia" w:ascii="宋体" w:hAnsi="宋体" w:eastAsia="宋体" w:cs="宋体"/>
          <w:sz w:val="24"/>
        </w:rPr>
      </w:pPr>
      <w:r>
        <w:rPr>
          <w:rFonts w:hint="eastAsia" w:ascii="宋体" w:hAnsi="宋体" w:eastAsia="宋体" w:cs="宋体"/>
          <w:sz w:val="24"/>
        </w:rPr>
      </w:r>
      <w:r/>
    </w:p>
    <w:p>
      <w:pPr>
        <w:pStyle w:val="884"/>
        <w:ind w:firstLine="480"/>
        <w:rPr>
          <w:rFonts w:hint="eastAsia" w:ascii="宋体" w:hAnsi="宋体" w:eastAsia="宋体" w:cs="宋体"/>
          <w:sz w:val="24"/>
        </w:rPr>
      </w:pPr>
      <w:r>
        <w:rPr>
          <w:rFonts w:hint="eastAsia" w:ascii="宋体" w:hAnsi="宋体" w:eastAsia="宋体" w:cs="宋体"/>
          <w:sz w:val="24"/>
        </w:rPr>
      </w:r>
      <w:r/>
    </w:p>
    <w:p>
      <w:pPr>
        <w:pStyle w:val="884"/>
        <w:ind w:firstLine="480"/>
        <w:rPr>
          <w:rFonts w:hint="eastAsia" w:ascii="宋体" w:hAnsi="宋体" w:eastAsia="宋体" w:cs="宋体"/>
          <w:sz w:val="24"/>
        </w:rPr>
      </w:pPr>
      <w:r>
        <w:rPr>
          <w:rFonts w:hint="eastAsia" w:ascii="宋体" w:hAnsi="宋体" w:eastAsia="宋体" w:cs="宋体"/>
          <w:sz w:val="24"/>
        </w:rPr>
      </w:r>
      <w:r/>
    </w:p>
    <w:p>
      <w:pPr>
        <w:pStyle w:val="884"/>
        <w:ind w:firstLine="480"/>
        <w:rPr>
          <w:rFonts w:hint="eastAsia" w:ascii="宋体" w:hAnsi="宋体" w:eastAsia="宋体" w:cs="宋体"/>
          <w:sz w:val="24"/>
        </w:rPr>
      </w:pPr>
      <w:r>
        <w:rPr>
          <w:rFonts w:hint="eastAsia" w:ascii="宋体" w:hAnsi="宋体" w:eastAsia="宋体" w:cs="宋体"/>
          <w:sz w:val="24"/>
        </w:rPr>
      </w:r>
      <w:r/>
    </w:p>
    <w:p>
      <w:pPr>
        <w:pStyle w:val="884"/>
        <w:ind w:firstLine="480"/>
        <w:rPr>
          <w:rFonts w:hint="eastAsia" w:ascii="宋体" w:hAnsi="宋体" w:eastAsia="宋体" w:cs="宋体"/>
          <w:sz w:val="24"/>
        </w:rPr>
      </w:pPr>
      <w:r>
        <w:rPr>
          <w:rFonts w:hint="eastAsia" w:ascii="宋体" w:hAnsi="宋体" w:eastAsia="宋体" w:cs="宋体"/>
          <w:sz w:val="24"/>
        </w:rPr>
      </w:r>
      <w:r/>
    </w:p>
    <w:p>
      <w:pPr>
        <w:pStyle w:val="884"/>
        <w:ind w:firstLine="480"/>
        <w:rPr>
          <w:rFonts w:hint="eastAsia" w:ascii="宋体" w:hAnsi="宋体" w:eastAsia="宋体" w:cs="宋体"/>
          <w:sz w:val="24"/>
        </w:rPr>
      </w:pPr>
      <w:r>
        <w:rPr>
          <w:rFonts w:hint="eastAsia" w:ascii="宋体" w:hAnsi="宋体" w:eastAsia="宋体" w:cs="宋体"/>
          <w:sz w:val="24"/>
        </w:rPr>
      </w:r>
      <w:r/>
    </w:p>
    <w:p>
      <w:pPr>
        <w:pStyle w:val="884"/>
        <w:ind w:firstLine="480"/>
        <w:rPr>
          <w:rFonts w:hint="eastAsia" w:ascii="宋体" w:hAnsi="宋体" w:eastAsia="宋体" w:cs="宋体"/>
          <w:sz w:val="24"/>
        </w:rPr>
      </w:pPr>
      <w:r>
        <w:rPr>
          <w:rFonts w:hint="eastAsia" w:ascii="宋体" w:hAnsi="宋体" w:eastAsia="宋体" w:cs="宋体"/>
          <w:sz w:val="24"/>
        </w:rPr>
      </w:r>
      <w:r/>
    </w:p>
    <w:p>
      <w:pPr>
        <w:pStyle w:val="884"/>
        <w:ind w:firstLine="480"/>
        <w:rPr>
          <w:rFonts w:hint="eastAsia" w:ascii="宋体" w:hAnsi="宋体" w:eastAsia="宋体" w:cs="宋体"/>
          <w:sz w:val="24"/>
        </w:rPr>
      </w:pPr>
      <w:r>
        <w:rPr>
          <w:rFonts w:hint="eastAsia" w:ascii="宋体" w:hAnsi="宋体" w:eastAsia="宋体" w:cs="宋体"/>
          <w:sz w:val="24"/>
        </w:rPr>
      </w:r>
      <w:r/>
    </w:p>
    <w:p>
      <w:pPr>
        <w:pStyle w:val="884"/>
        <w:ind w:firstLine="480"/>
        <w:rPr>
          <w:rFonts w:hint="eastAsia" w:ascii="宋体" w:hAnsi="宋体" w:eastAsia="宋体" w:cs="宋体"/>
          <w:sz w:val="24"/>
        </w:rPr>
      </w:pPr>
      <w:r>
        <w:rPr>
          <w:rFonts w:hint="eastAsia" w:ascii="宋体" w:hAnsi="宋体" w:eastAsia="宋体" w:cs="宋体"/>
          <w:sz w:val="24"/>
        </w:rPr>
      </w:r>
      <w:r/>
    </w:p>
    <w:p>
      <w:pPr>
        <w:rPr>
          <w:rStyle w:val="904"/>
          <w:rFonts w:hint="eastAsia" w:ascii="宋体" w:hAnsi="宋体" w:cs="宋体"/>
          <w:sz w:val="24"/>
          <w:szCs w:val="24"/>
        </w:rPr>
      </w:pPr>
      <w:r>
        <w:rPr>
          <w:rFonts w:hint="eastAsia" w:ascii="宋体" w:hAnsi="宋体" w:cs="宋体"/>
          <w:sz w:val="24"/>
          <w:szCs w:val="24"/>
        </w:rPr>
      </w:r>
      <w:r/>
    </w:p>
    <w:p>
      <w:pPr>
        <w:jc w:val="center"/>
        <w:rPr>
          <w:rStyle w:val="904"/>
          <w:rFonts w:hint="eastAsia" w:ascii="宋体" w:hAnsi="宋体" w:cs="宋体"/>
          <w:sz w:val="24"/>
          <w:szCs w:val="24"/>
        </w:rPr>
      </w:pPr>
      <w:r>
        <w:rPr>
          <w:rFonts w:hint="eastAsia" w:ascii="宋体" w:hAnsi="宋体" w:cs="宋体"/>
          <w:sz w:val="24"/>
          <w:szCs w:val="24"/>
        </w:rPr>
      </w:r>
      <w:r/>
    </w:p>
    <w:p>
      <w:pPr>
        <w:rPr>
          <w:rStyle w:val="904"/>
          <w:rFonts w:hint="eastAsia" w:ascii="宋体" w:hAnsi="宋体" w:cs="宋体"/>
          <w:sz w:val="24"/>
          <w:szCs w:val="24"/>
        </w:rPr>
      </w:pPr>
      <w:r>
        <w:rPr>
          <w:rStyle w:val="904"/>
          <w:rFonts w:hint="eastAsia" w:ascii="宋体" w:hAnsi="宋体" w:cs="宋体"/>
          <w:sz w:val="24"/>
          <w:szCs w:val="24"/>
        </w:rPr>
        <w:br w:type="page" w:clear="all"/>
      </w:r>
      <w:r/>
    </w:p>
    <w:p>
      <w:pPr>
        <w:numPr>
          <w:ilvl w:val="0"/>
          <w:numId w:val="7"/>
        </w:numPr>
        <w:ind w:left="0" w:firstLine="0"/>
        <w:jc w:val="center"/>
        <w:rPr>
          <w:rStyle w:val="904"/>
          <w:rFonts w:hint="eastAsia" w:ascii="仿宋_GB2312" w:hAnsi="仿宋_GB2312" w:eastAsia="仿宋_GB2312" w:cs="仿宋_GB2312"/>
          <w:sz w:val="32"/>
          <w:szCs w:val="32"/>
        </w:rPr>
      </w:pPr>
      <w:r>
        <w:rPr>
          <w:rStyle w:val="904"/>
          <w:rFonts w:hint="eastAsia" w:ascii="仿宋_GB2312" w:hAnsi="仿宋_GB2312" w:eastAsia="仿宋_GB2312" w:cs="仿宋_GB2312"/>
          <w:sz w:val="32"/>
          <w:szCs w:val="32"/>
        </w:rPr>
        <w:t xml:space="preserve">残疾人福利性单位声明函</w:t>
      </w:r>
      <w:r/>
    </w:p>
    <w:p>
      <w:pPr>
        <w:spacing w:line="400" w:lineRule="exact"/>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r>
      <w:r/>
    </w:p>
    <w:p>
      <w:pPr>
        <w:ind w:firstLine="480"/>
        <w:spacing w:line="40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项目名称：江苏省预算管理一体化运维项目</w:t>
      </w:r>
      <w:r/>
    </w:p>
    <w:p>
      <w:pPr>
        <w:ind w:firstLine="480"/>
        <w:spacing w:line="40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项目编号：JSZC-320381-XYZX-C2026-0004</w:t>
      </w:r>
      <w:r/>
    </w:p>
    <w:p>
      <w:pPr>
        <w:pStyle w:val="718"/>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firstLine="480"/>
        <w:spacing w:line="40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单位的</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项目采购活动提供服务，或者提供其他残疾人福利性单位制造的货物（不包括使用非残疾人福利性单位注册商标的货物）。</w:t>
      </w:r>
      <w:r/>
    </w:p>
    <w:p>
      <w:pPr>
        <w:ind w:firstLine="480"/>
        <w:spacing w:line="40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本单位对上述声明的真实性负责。如有虚假，将依法承担相应责任。</w:t>
      </w:r>
      <w:r/>
    </w:p>
    <w:p>
      <w:pPr>
        <w:ind w:firstLine="480"/>
        <w:spacing w:line="40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firstLine="480"/>
        <w:spacing w:line="40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firstLine="480"/>
        <w:spacing w:line="40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firstLine="480"/>
        <w:spacing w:line="40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供应商：（盖单位公章）</w:t>
      </w:r>
      <w:r/>
    </w:p>
    <w:p>
      <w:pPr>
        <w:ind w:firstLine="480"/>
        <w:spacing w:line="40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法定代表人或授权代表（签字或盖章）：  </w:t>
      </w:r>
      <w:r/>
    </w:p>
    <w:p>
      <w:pPr>
        <w:ind w:firstLine="480"/>
        <w:spacing w:line="40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日期：   年    月    日</w:t>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numPr>
          <w:ilvl w:val="0"/>
          <w:numId w:val="7"/>
        </w:numPr>
        <w:ind w:left="0" w:firstLine="0"/>
        <w:jc w:val="center"/>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 xml:space="preserve">方案</w:t>
      </w:r>
      <w:r/>
    </w:p>
    <w:p>
      <w:pPr>
        <w:pStyle w:val="908"/>
        <w:ind w:left="1275" w:firstLine="0"/>
        <w:jc w:val="center"/>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pStyle w:val="908"/>
        <w:ind w:left="0" w:firstLine="0"/>
        <w:jc w:val="center"/>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（包括项目实施方案等）</w:t>
      </w:r>
      <w:r/>
    </w:p>
    <w:p>
      <w:pPr>
        <w:pStyle w:val="908"/>
        <w:ind w:left="0" w:firstLine="0"/>
        <w:jc w:val="center"/>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（格式自拟）</w:t>
      </w:r>
      <w:r/>
    </w:p>
    <w:p>
      <w:pPr>
        <w:pStyle w:val="908"/>
        <w:ind w:left="1275" w:firstLine="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903"/>
        <w:ind w:right="420" w:firstLine="562"/>
        <w:spacing w:line="400" w:lineRule="exact"/>
        <w:rPr>
          <w:rStyle w:val="904"/>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lang w:val="en-US" w:eastAsia="zh-CN"/>
        </w:rPr>
        <w:t xml:space="preserve">11.</w:t>
      </w:r>
      <w:r>
        <w:rPr>
          <w:rStyle w:val="904"/>
          <w:rFonts w:hint="eastAsia" w:ascii="仿宋_GB2312" w:hAnsi="仿宋_GB2312" w:eastAsia="仿宋_GB2312" w:cs="仿宋_GB2312"/>
          <w:b/>
          <w:bCs/>
          <w:sz w:val="32"/>
          <w:szCs w:val="32"/>
        </w:rPr>
        <w:t xml:space="preserve">具备履行合同所必需的设备和专业技术能力的书面声明</w:t>
      </w:r>
      <w:r/>
    </w:p>
    <w:p>
      <w:pPr>
        <w:ind w:firstLine="480"/>
        <w:spacing w:line="40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firstLine="480"/>
        <w:spacing w:line="40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项目名称：江苏省预算管理一体化运维项目</w:t>
      </w:r>
      <w:r/>
    </w:p>
    <w:p>
      <w:pPr>
        <w:ind w:firstLine="480"/>
        <w:spacing w:line="40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项目编号：JSZC-320381-XYZX-C2026-0004</w:t>
      </w:r>
      <w:r/>
    </w:p>
    <w:p>
      <w:pPr>
        <w:ind w:firstLine="480"/>
        <w:spacing w:line="40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我单位郑重声明：我单位具备履行合同（项目名称：</w:t>
      </w:r>
      <w:r>
        <w:rPr>
          <w:rFonts w:hint="eastAsia" w:ascii="仿宋_GB2312" w:hAnsi="仿宋_GB2312" w:eastAsia="仿宋_GB2312" w:cs="仿宋_GB2312"/>
          <w:sz w:val="28"/>
          <w:szCs w:val="28"/>
          <w:u w:val="single"/>
        </w:rPr>
        <w:t xml:space="preserve">江苏省预算管理一体化运维项目</w:t>
      </w:r>
      <w:r>
        <w:rPr>
          <w:rFonts w:hint="eastAsia" w:ascii="仿宋_GB2312" w:hAnsi="仿宋_GB2312" w:eastAsia="仿宋_GB2312" w:cs="仿宋_GB2312"/>
          <w:sz w:val="28"/>
          <w:szCs w:val="28"/>
        </w:rPr>
        <w:t xml:space="preserve">，项目编号：JSZC-320381-XYZX-C2026-0004）所必需的设备和专业技术能力。</w:t>
      </w:r>
      <w:r/>
    </w:p>
    <w:p>
      <w:pPr>
        <w:ind w:firstLine="480"/>
        <w:spacing w:line="40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firstLine="480"/>
        <w:spacing w:line="40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特此声明。</w:t>
      </w:r>
      <w:r/>
    </w:p>
    <w:p>
      <w:pPr>
        <w:ind w:firstLine="480"/>
        <w:spacing w:line="40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我单位对上述声明的真实性负责。如有虚假，将依法承担相应责任。</w:t>
      </w:r>
      <w:r/>
    </w:p>
    <w:p>
      <w:pPr>
        <w:ind w:firstLine="480"/>
        <w:spacing w:line="40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firstLine="480"/>
        <w:spacing w:line="40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firstLine="480"/>
        <w:spacing w:line="40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firstLine="480"/>
        <w:spacing w:line="40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firstLine="480"/>
        <w:spacing w:line="40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firstLine="480"/>
        <w:spacing w:line="40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供应商：（盖单位公章）</w:t>
      </w:r>
      <w:r/>
    </w:p>
    <w:p>
      <w:pPr>
        <w:ind w:firstLine="480"/>
        <w:spacing w:line="40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法定代表人或授权代表（签字或盖章）：  </w:t>
      </w:r>
      <w:r/>
    </w:p>
    <w:p>
      <w:pPr>
        <w:ind w:firstLine="480"/>
        <w:spacing w:line="40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日期：   年    月    日</w:t>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909"/>
        <w:jc w:val="center"/>
        <w:spacing w:line="360" w:lineRule="auto"/>
        <w:rPr>
          <w:rStyle w:val="904"/>
          <w:rFonts w:hint="eastAsia" w:ascii="仿宋_GB2312" w:hAnsi="仿宋_GB2312" w:eastAsia="仿宋_GB2312" w:cs="仿宋_GB2312"/>
          <w:sz w:val="32"/>
          <w:szCs w:val="32"/>
        </w:rPr>
      </w:pPr>
      <w:r>
        <w:rPr>
          <w:rStyle w:val="904"/>
          <w:rFonts w:hint="eastAsia" w:ascii="仿宋_GB2312" w:hAnsi="仿宋_GB2312" w:eastAsia="仿宋_GB2312" w:cs="仿宋_GB2312"/>
          <w:sz w:val="32"/>
          <w:szCs w:val="32"/>
          <w:lang w:val="en-US" w:eastAsia="zh-CN"/>
        </w:rPr>
        <w:t xml:space="preserve">12.</w:t>
      </w:r>
      <w:r>
        <w:rPr>
          <w:rStyle w:val="904"/>
          <w:rFonts w:hint="eastAsia" w:ascii="仿宋_GB2312" w:hAnsi="仿宋_GB2312" w:eastAsia="仿宋_GB2312" w:cs="仿宋_GB2312"/>
          <w:sz w:val="32"/>
          <w:szCs w:val="32"/>
        </w:rPr>
        <w:t xml:space="preserve">法定代表人授权书格式</w:t>
      </w:r>
      <w:r/>
    </w:p>
    <w:p>
      <w:pPr>
        <w:pStyle w:val="909"/>
        <w:spacing w:line="360" w:lineRule="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pStyle w:val="909"/>
        <w:spacing w:line="360" w:lineRule="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委托人：        （公司名称）  </w:t>
      </w:r>
      <w:r/>
    </w:p>
    <w:p>
      <w:pPr>
        <w:pStyle w:val="909"/>
        <w:spacing w:line="360" w:lineRule="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地  址：</w:t>
      </w:r>
      <w:r/>
    </w:p>
    <w:p>
      <w:pPr>
        <w:pStyle w:val="909"/>
        <w:spacing w:line="360" w:lineRule="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法定代表人（负责人）：               职务：</w:t>
      </w:r>
      <w:r/>
    </w:p>
    <w:p>
      <w:pPr>
        <w:pStyle w:val="909"/>
        <w:spacing w:line="360" w:lineRule="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统一社会信用代码：</w:t>
      </w:r>
      <w:r>
        <w:rPr>
          <w:rFonts w:hint="eastAsia" w:ascii="仿宋_GB2312" w:hAnsi="仿宋_GB2312" w:eastAsia="仿宋_GB2312" w:cs="仿宋_GB2312"/>
          <w:sz w:val="28"/>
          <w:szCs w:val="28"/>
        </w:rPr>
      </w:r>
      <w:r/>
    </w:p>
    <w:p>
      <w:pPr>
        <w:pStyle w:val="909"/>
        <w:spacing w:line="360" w:lineRule="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受托人：                   性别：男（女）  </w:t>
      </w:r>
      <w:r/>
    </w:p>
    <w:p>
      <w:pPr>
        <w:pStyle w:val="909"/>
        <w:spacing w:line="360" w:lineRule="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年龄：  岁                 民族：   族</w:t>
      </w:r>
      <w:r/>
    </w:p>
    <w:p>
      <w:pPr>
        <w:pStyle w:val="909"/>
        <w:spacing w:line="360" w:lineRule="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职务：</w:t>
      </w:r>
      <w:r/>
    </w:p>
    <w:p>
      <w:pPr>
        <w:pStyle w:val="909"/>
        <w:spacing w:line="360" w:lineRule="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联系电话：</w:t>
      </w:r>
      <w:r/>
    </w:p>
    <w:p>
      <w:pPr>
        <w:pStyle w:val="909"/>
        <w:spacing w:line="360" w:lineRule="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身份证号：</w:t>
      </w:r>
      <w:r/>
    </w:p>
    <w:p>
      <w:pPr>
        <w:pStyle w:val="909"/>
        <w:ind w:firstLine="600"/>
        <w:spacing w:line="360" w:lineRule="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兹委托（       ）全权代表我企业（公司）参与（江苏省预算管理一体化运维项目）项目（项目编号：JSZC-320381-XYZX-C2026-0004）的招、投标活动及签订合同。（         ）以我企业（公司）名义所为的法律行为及签署的文件，我企业（公司）均予以认可。有关法律责任均由我企业（公司）承担。（         ）无转委托权。委托期限自    年   月   日起至  年   月    日止。</w:t>
      </w:r>
      <w:r/>
    </w:p>
    <w:p>
      <w:pPr>
        <w:pStyle w:val="909"/>
        <w:ind w:firstLine="630"/>
        <w:spacing w:line="360" w:lineRule="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特此授权委托。</w:t>
      </w:r>
      <w:r/>
    </w:p>
    <w:p>
      <w:pPr>
        <w:pStyle w:val="909"/>
        <w:ind w:firstLine="600"/>
        <w:spacing w:line="360" w:lineRule="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委托人（签字或盖章）：               受托人（签字或盖章）：</w:t>
      </w:r>
      <w:r/>
    </w:p>
    <w:p>
      <w:pPr>
        <w:pStyle w:val="909"/>
        <w:ind w:firstLine="600"/>
        <w:spacing w:line="360" w:lineRule="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法定代表人（签字或盖章）： </w:t>
      </w:r>
      <w:r/>
    </w:p>
    <w:p>
      <w:pPr>
        <w:pStyle w:val="909"/>
        <w:ind w:right="600" w:firstLine="6150"/>
        <w:spacing w:line="360" w:lineRule="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年   月   日 </w:t>
      </w:r>
      <w:r/>
    </w:p>
    <w:p>
      <w:pPr>
        <w:pStyle w:val="909"/>
        <w:spacing w:line="360" w:lineRule="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(受托人身份证复印件附后)</w:t>
      </w:r>
      <w:r/>
    </w:p>
    <w:p>
      <w:pPr>
        <w:pStyle w:val="912"/>
        <w:rPr>
          <w:rFonts w:hint="eastAsia" w:ascii="宋体" w:hAnsi="宋体" w:cs="宋体"/>
          <w:sz w:val="24"/>
          <w:szCs w:val="24"/>
        </w:rPr>
      </w:pPr>
      <w:r>
        <w:rPr>
          <w:rFonts w:hint="eastAsia" w:ascii="宋体" w:hAnsi="宋体" w:cs="宋体"/>
          <w:sz w:val="24"/>
          <w:szCs w:val="24"/>
        </w:rPr>
      </w:r>
      <w:r/>
    </w:p>
    <w:p>
      <w:pPr>
        <w:numPr>
          <w:ilvl w:val="0"/>
          <w:numId w:val="9"/>
        </w:numPr>
        <w:jc w:val="center"/>
        <w:spacing w:line="400" w:lineRule="exact"/>
        <w:widowControl/>
        <w:rPr>
          <w:rFonts w:hint="eastAsia" w:ascii="仿宋_GB2312" w:hAnsi="仿宋_GB2312" w:eastAsia="仿宋_GB2312" w:cs="仿宋_GB2312"/>
          <w:b/>
          <w:color w:val="000000"/>
          <w:sz w:val="36"/>
          <w:szCs w:val="36"/>
        </w:rPr>
      </w:pPr>
      <w:r>
        <w:rPr>
          <w:rFonts w:hint="eastAsia" w:ascii="仿宋_GB2312" w:hAnsi="仿宋_GB2312" w:eastAsia="仿宋_GB2312" w:cs="仿宋_GB2312"/>
          <w:b/>
          <w:color w:val="000000"/>
          <w:sz w:val="36"/>
          <w:szCs w:val="36"/>
        </w:rPr>
        <w:t xml:space="preserve">合同草案条款</w:t>
      </w:r>
      <w:r/>
    </w:p>
    <w:p>
      <w:pPr>
        <w:numPr>
          <w:ilvl w:val="0"/>
          <w:numId w:val="0"/>
        </w:numPr>
        <w:jc w:val="both"/>
        <w:spacing w:line="400" w:lineRule="exact"/>
        <w:widowControl/>
        <w:rPr>
          <w:rFonts w:hint="eastAsia" w:ascii="仿宋_GB2312" w:hAnsi="仿宋_GB2312" w:eastAsia="仿宋_GB2312" w:cs="仿宋_GB2312"/>
          <w:b/>
          <w:color w:val="000000"/>
          <w:sz w:val="28"/>
          <w:szCs w:val="28"/>
        </w:rPr>
      </w:pPr>
      <w:r>
        <w:rPr>
          <w:rFonts w:hint="eastAsia" w:ascii="仿宋_GB2312" w:hAnsi="仿宋_GB2312" w:eastAsia="仿宋_GB2312" w:cs="仿宋_GB2312"/>
          <w:b/>
          <w:color w:val="000000"/>
          <w:sz w:val="28"/>
          <w:szCs w:val="28"/>
        </w:rPr>
      </w:r>
      <w:r/>
    </w:p>
    <w:p>
      <w:pPr>
        <w:jc w:val="center"/>
        <w:spacing w:line="400" w:lineRule="exact"/>
        <w:widowControl/>
        <w:rPr>
          <w:rFonts w:hint="eastAsia" w:ascii="仿宋_GB2312" w:hAnsi="仿宋_GB2312" w:eastAsia="仿宋_GB2312" w:cs="仿宋_GB2312"/>
          <w:b/>
          <w:color w:val="000000"/>
          <w:sz w:val="28"/>
          <w:szCs w:val="28"/>
        </w:rPr>
      </w:pPr>
      <w:r>
        <w:rPr>
          <w:rFonts w:hint="eastAsia" w:ascii="仿宋_GB2312" w:hAnsi="仿宋_GB2312" w:eastAsia="仿宋_GB2312" w:cs="仿宋_GB2312"/>
          <w:b/>
          <w:color w:val="000000"/>
          <w:sz w:val="28"/>
          <w:szCs w:val="28"/>
        </w:rPr>
        <w:t xml:space="preserve">拟签订的合同文本</w:t>
      </w:r>
      <w:r/>
    </w:p>
    <w:p>
      <w:pPr>
        <w:contextualSpacing/>
        <w:ind w:right="-594"/>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contextualSpacing/>
        <w:ind w:right="-594"/>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甲方：                          项目名称： </w:t>
      </w:r>
      <w:r/>
    </w:p>
    <w:p>
      <w:pPr>
        <w:contextualSpacing/>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乙方：                          项目编号：</w:t>
      </w:r>
      <w:r/>
    </w:p>
    <w:p>
      <w:pPr>
        <w:contextualSpacing/>
        <w:ind w:firstLine="566"/>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w:t>
      </w:r>
      <w:r/>
    </w:p>
    <w:p>
      <w:pPr>
        <w:contextualSpacing/>
        <w:ind w:firstLine="240"/>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甲乙双方按照《中华人民共和国民法典》及其相关法律、法规的规定，本着诚信和平等自愿的原则，双方同意就以下条款签订本合同：</w:t>
      </w:r>
      <w:r/>
    </w:p>
    <w:p>
      <w:pPr>
        <w:contextualSpacing/>
        <w:ind w:firstLine="564"/>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contextualSpacing/>
        <w:ind w:firstLine="240"/>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一、项目说明</w:t>
      </w:r>
      <w:r/>
    </w:p>
    <w:p>
      <w:pPr>
        <w:pStyle w:val="913"/>
        <w:ind w:right="420"/>
        <w:spacing w:line="400" w:lineRule="exact"/>
        <w:rPr>
          <w:rFonts w:hint="eastAsia" w:ascii="仿宋_GB2312" w:hAnsi="仿宋_GB2312" w:eastAsia="仿宋_GB2312" w:cs="仿宋_GB2312"/>
          <w:color w:val="000000"/>
          <w:sz w:val="28"/>
          <w:szCs w:val="28"/>
        </w:rPr>
      </w:pPr>
      <w:r>
        <w:rPr>
          <w:rFonts w:hint="eastAsia" w:ascii="仿宋_GB2312" w:hAnsi="仿宋_GB2312" w:eastAsia="仿宋_GB2312" w:cs="仿宋_GB2312"/>
          <w:sz w:val="28"/>
          <w:szCs w:val="28"/>
        </w:rPr>
        <w:t xml:space="preserve">1.项目名称：</w:t>
      </w:r>
      <w:r>
        <w:rPr>
          <w:rFonts w:hint="eastAsia" w:ascii="仿宋_GB2312" w:hAnsi="仿宋_GB2312" w:eastAsia="仿宋_GB2312" w:cs="仿宋_GB2312"/>
          <w:color w:val="000000"/>
          <w:sz w:val="28"/>
          <w:szCs w:val="28"/>
        </w:rPr>
        <w:t xml:space="preserve">江苏省预算一体化系统运维服务项目（新沂市）</w:t>
      </w:r>
      <w:r/>
    </w:p>
    <w:p>
      <w:pPr>
        <w:contextualSpacing/>
        <w:ind w:firstLine="240"/>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2.项目目标：见《磋商文件》</w:t>
      </w:r>
      <w:r/>
    </w:p>
    <w:p>
      <w:pPr>
        <w:contextualSpacing/>
        <w:ind w:firstLine="240"/>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3.项目内容：见《磋商文件》</w:t>
      </w:r>
      <w:r/>
    </w:p>
    <w:p>
      <w:pPr>
        <w:contextualSpacing/>
        <w:ind w:firstLine="564"/>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contextualSpacing/>
        <w:ind w:firstLine="240"/>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二、合同总价</w:t>
      </w:r>
      <w:r/>
    </w:p>
    <w:p>
      <w:pPr>
        <w:contextualSpacing/>
        <w:ind w:firstLine="240"/>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合同总价：￥</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元（大写：人民币</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元整）。</w:t>
      </w:r>
      <w:r/>
    </w:p>
    <w:p>
      <w:pPr>
        <w:contextualSpacing/>
        <w:ind w:firstLine="240"/>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本合同总价已包含相应的税费等费用。</w:t>
      </w:r>
      <w:r/>
    </w:p>
    <w:p>
      <w:pPr>
        <w:contextualSpacing/>
        <w:ind w:firstLine="564"/>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contextualSpacing/>
        <w:ind w:firstLine="240"/>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三、支付</w:t>
      </w:r>
      <w:r/>
    </w:p>
    <w:p>
      <w:pPr>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firstLine="480"/>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合同约定的乙方账户：</w:t>
      </w:r>
      <w:r/>
    </w:p>
    <w:p>
      <w:pPr>
        <w:ind w:firstLine="480"/>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开户银行：</w:t>
      </w:r>
      <w:r/>
    </w:p>
    <w:p>
      <w:pPr>
        <w:contextualSpacing/>
        <w:ind w:firstLine="480"/>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银行帐号：</w:t>
      </w:r>
      <w:r/>
    </w:p>
    <w:p>
      <w:pPr>
        <w:contextualSpacing/>
        <w:jc w:val="left"/>
        <w:widowControl/>
        <w:rPr>
          <w:rFonts w:hint="eastAsia" w:ascii="仿宋_GB2312" w:hAnsi="仿宋_GB2312" w:eastAsia="仿宋_GB2312" w:cs="仿宋_GB2312"/>
          <w:color w:val="ff0000"/>
          <w:sz w:val="28"/>
          <w:szCs w:val="28"/>
        </w:rPr>
      </w:pPr>
      <w:r>
        <w:rPr>
          <w:rFonts w:hint="eastAsia" w:ascii="仿宋_GB2312" w:hAnsi="仿宋_GB2312" w:eastAsia="仿宋_GB2312" w:cs="仿宋_GB2312"/>
          <w:color w:val="ff0000"/>
          <w:sz w:val="28"/>
          <w:szCs w:val="28"/>
        </w:rPr>
      </w:r>
      <w:r/>
    </w:p>
    <w:p>
      <w:pPr>
        <w:contextualSpacing/>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四、项目实施时间及方案</w:t>
      </w:r>
      <w:r/>
    </w:p>
    <w:p>
      <w:pPr>
        <w:contextualSpacing/>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1.项目实施时间：服务期限为一年。</w:t>
      </w:r>
      <w:r/>
    </w:p>
    <w:p>
      <w:pPr>
        <w:contextualSpacing/>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2.项目实施方案其他内容见乙方响应文件。</w:t>
      </w:r>
      <w:r/>
    </w:p>
    <w:p>
      <w:pPr>
        <w:contextualSpacing/>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contextualSpacing/>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五、项目地点：采购人指定地点</w:t>
      </w:r>
      <w:r/>
    </w:p>
    <w:p>
      <w:pPr>
        <w:contextualSpacing/>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firstLine="240"/>
        <w:jc w:val="left"/>
        <w:widowControl/>
        <w:rPr>
          <w:rFonts w:hint="eastAsia" w:ascii="仿宋_GB2312" w:hAnsi="仿宋_GB2312" w:eastAsia="仿宋_GB2312" w:cs="仿宋_GB2312"/>
          <w:bCs/>
          <w:sz w:val="28"/>
          <w:szCs w:val="28"/>
          <w:lang w:val="zh-CN"/>
        </w:rPr>
      </w:pPr>
      <w:r>
        <w:rPr>
          <w:rFonts w:hint="eastAsia" w:ascii="仿宋_GB2312" w:hAnsi="仿宋_GB2312" w:eastAsia="仿宋_GB2312" w:cs="仿宋_GB2312"/>
          <w:sz w:val="28"/>
          <w:szCs w:val="28"/>
        </w:rPr>
        <w:t xml:space="preserve">六、</w:t>
      </w:r>
      <w:r>
        <w:rPr>
          <w:rFonts w:hint="eastAsia" w:ascii="仿宋_GB2312" w:hAnsi="仿宋_GB2312" w:eastAsia="仿宋_GB2312" w:cs="仿宋_GB2312"/>
          <w:bCs/>
          <w:sz w:val="28"/>
          <w:szCs w:val="28"/>
          <w:lang w:val="zh-CN"/>
        </w:rPr>
        <w:t xml:space="preserve">文档管理</w:t>
      </w:r>
      <w:r/>
    </w:p>
    <w:p>
      <w:pPr>
        <w:ind w:firstLine="360"/>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bCs/>
          <w:sz w:val="28"/>
          <w:szCs w:val="28"/>
          <w:lang w:val="zh-CN"/>
        </w:rPr>
        <w:t xml:space="preserve">1.</w:t>
      </w:r>
      <w:r>
        <w:rPr>
          <w:rFonts w:hint="eastAsia" w:ascii="仿宋_GB2312" w:hAnsi="仿宋_GB2312" w:eastAsia="仿宋_GB2312" w:cs="仿宋_GB2312"/>
          <w:sz w:val="28"/>
          <w:szCs w:val="28"/>
        </w:rPr>
        <w:t xml:space="preserve">验收时必须提供以下文档资料：所有实施的相关配置文件、《系统配置手册》、《系统实施手册》（内容主要包括合同甲方确认的规范工单）、《培训手册》（内容主要包括培训计划，培训时间、地点、培训人等要素）、《项目测试联调计划》、《测试报告》、《用户操作手册》、《系统运维问题及解答手册》等，文档必须准确、清晰、完整、可追溯，满足软件系统安装、调试、运行、维护的需要，验收合格后以电子文件及纸质形式（不少于一式三份）全部提交给采购人。</w:t>
      </w:r>
      <w:r/>
    </w:p>
    <w:p>
      <w:pPr>
        <w:ind w:firstLine="360"/>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验收时必须提供完备的江苏省预算管理一体化实施工单（格式详见附件2《江苏省预算管理一体化实施工单》），应对每项服务事项填写具体清晰的记录，按采购人的要求，收集运维服务的相关资料，并及时提供给合同甲方予以确认。</w:t>
      </w:r>
      <w:r/>
    </w:p>
    <w:p>
      <w:pPr>
        <w:ind w:firstLine="360"/>
        <w:jc w:val="left"/>
        <w:widowControl/>
        <w:rPr>
          <w:rFonts w:hint="eastAsia" w:ascii="仿宋_GB2312" w:hAnsi="仿宋_GB2312" w:eastAsia="仿宋_GB2312" w:cs="仿宋_GB2312"/>
          <w:bCs/>
          <w:sz w:val="28"/>
          <w:szCs w:val="28"/>
        </w:rPr>
      </w:pPr>
      <w:r>
        <w:rPr>
          <w:rFonts w:hint="eastAsia" w:ascii="仿宋_GB2312" w:hAnsi="仿宋_GB2312" w:eastAsia="仿宋_GB2312" w:cs="仿宋_GB2312"/>
          <w:sz w:val="28"/>
          <w:szCs w:val="28"/>
        </w:rPr>
        <w:t xml:space="preserve">3.验收时必须提供合同甲方确认的本项目实施服务人员的日常工作考勤表（格式详见附件3《日常工作考勤表》）。</w:t>
      </w:r>
      <w:r/>
    </w:p>
    <w:p>
      <w:pPr>
        <w:contextualSpacing/>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contextualSpacing/>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七、违约责任</w:t>
      </w:r>
      <w:r/>
    </w:p>
    <w:p>
      <w:pPr>
        <w:contextualSpacing/>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1. 除不可抗力外，如果乙方没有按照本合同约定的期限、地点和方式履行，那么甲方可要求乙方支付违约金，违约金按每迟延履行一日的应提供而未提供服务价格的0.5%计算，最高限额为本合同总价的</w:t>
      </w:r>
      <w:r>
        <w:rPr>
          <w:rFonts w:hint="eastAsia" w:ascii="仿宋_GB2312" w:hAnsi="仿宋_GB2312" w:eastAsia="仿宋_GB2312" w:cs="仿宋_GB2312"/>
          <w:sz w:val="28"/>
          <w:szCs w:val="28"/>
          <w:u w:val="single"/>
        </w:rPr>
        <w:t xml:space="preserve">1</w:t>
      </w:r>
      <w:r>
        <w:rPr>
          <w:rFonts w:hint="eastAsia" w:ascii="仿宋_GB2312" w:hAnsi="仿宋_GB2312" w:eastAsia="仿宋_GB2312" w:cs="仿宋_GB2312"/>
          <w:sz w:val="28"/>
          <w:szCs w:val="28"/>
        </w:rPr>
        <w:t xml:space="preserve">%；迟延履行的违约金计算数额达到前述最高限额之日起，甲方有权在要求乙方支付违约金的同时，书面通知乙方解除本合同；</w:t>
      </w:r>
      <w:r/>
    </w:p>
    <w:p>
      <w:pPr>
        <w:contextualSpacing/>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2. 除不可抗力外，如果甲方没有按照本合同约定的付款方式付款，那么乙方可要求甲方支付违约金，违约金按每迟延付款一日的应付而未付款的</w:t>
      </w:r>
      <w:r>
        <w:rPr>
          <w:rFonts w:hint="eastAsia" w:ascii="仿宋_GB2312" w:hAnsi="仿宋_GB2312" w:eastAsia="仿宋_GB2312" w:cs="仿宋_GB2312"/>
          <w:sz w:val="28"/>
          <w:szCs w:val="28"/>
          <w:u w:val="single"/>
        </w:rPr>
        <w:t xml:space="preserve">0.5</w:t>
      </w:r>
      <w:r>
        <w:rPr>
          <w:rFonts w:hint="eastAsia" w:ascii="仿宋_GB2312" w:hAnsi="仿宋_GB2312" w:eastAsia="仿宋_GB2312" w:cs="仿宋_GB2312"/>
          <w:sz w:val="28"/>
          <w:szCs w:val="28"/>
        </w:rPr>
        <w:t xml:space="preserve">%计算，最高限额为本合同总价的</w:t>
      </w:r>
      <w:r>
        <w:rPr>
          <w:rFonts w:hint="eastAsia" w:ascii="仿宋_GB2312" w:hAnsi="仿宋_GB2312" w:eastAsia="仿宋_GB2312" w:cs="仿宋_GB2312"/>
          <w:sz w:val="28"/>
          <w:szCs w:val="28"/>
          <w:u w:val="single"/>
        </w:rPr>
        <w:t xml:space="preserve">1</w:t>
      </w:r>
      <w:r>
        <w:rPr>
          <w:rFonts w:hint="eastAsia" w:ascii="仿宋_GB2312" w:hAnsi="仿宋_GB2312" w:eastAsia="仿宋_GB2312" w:cs="仿宋_GB2312"/>
          <w:sz w:val="28"/>
          <w:szCs w:val="28"/>
        </w:rPr>
        <w:t xml:space="preserve">%；迟延付款的违约金计算数额达到前述最高限额之日起，乙方有权在要求甲方支付违约金的同时，书面通知甲方解除本合同；</w:t>
      </w:r>
      <w:r/>
    </w:p>
    <w:p>
      <w:pPr>
        <w:contextualSpacing/>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3. 除不可抗力外，任何一方未能履行本合同约定的其他主要义务，经催告后在合理期限内仍未履行的，或者任何一方有其他违约行为致使不能实现合同目的的，或者任何一方有腐败行为或者欺诈行为的，对方当事人可以书面通知违约方解除本合同；</w:t>
      </w:r>
      <w:r/>
    </w:p>
    <w:p>
      <w:pPr>
        <w:contextualSpacing/>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contextualSpacing/>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5.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contextualSpacing/>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6. 如果出现政府采购监督管理部门在处理投诉事项期间，书面通知甲方暂停采购活动的情形，或者询问或质疑事项可能影响中标结果的，导致甲方中止履行合同的情形，均不视为甲方违约。</w:t>
      </w:r>
      <w:r/>
    </w:p>
    <w:p>
      <w:pPr>
        <w:contextualSpacing/>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contextualSpacing/>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八、验收标准（验收要求、验收标准和程序）要求：见合同附件1。</w:t>
      </w:r>
      <w:r/>
    </w:p>
    <w:p>
      <w:pPr>
        <w:contextualSpacing/>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contextualSpacing/>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九、合同争议的解决</w:t>
      </w:r>
      <w:r/>
    </w:p>
    <w:p>
      <w:pPr>
        <w:ind w:firstLine="480"/>
        <w:jc w:val="left"/>
        <w:spacing w:line="300" w:lineRule="exac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本合同履行过程中发生的任何争议，双方当事人均可通过和解或者调解解决；不愿和解、调解或者和解、调解不成的，可以将争议提交徐州市仲裁委员会依申请仲裁时其现行有效的仲裁规则裁决。</w:t>
      </w:r>
      <w:r/>
    </w:p>
    <w:p>
      <w:pPr>
        <w:jc w:val="left"/>
        <w:spacing w:line="300" w:lineRule="exac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jc w:val="left"/>
        <w:spacing w:line="300" w:lineRule="exac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十、不可抗力</w:t>
      </w:r>
      <w:r/>
    </w:p>
    <w:p>
      <w:pPr>
        <w:jc w:val="left"/>
        <w:spacing w:line="300" w:lineRule="exac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1.如果任何一方遭遇法律规定的不可抗力，致使合同履行受阻时，履行合同的期限应予延长，延长的期限应相当于不可抗力所影响的时间；</w:t>
      </w:r>
      <w:r/>
    </w:p>
    <w:p>
      <w:pPr>
        <w:jc w:val="left"/>
        <w:spacing w:line="300" w:lineRule="exac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2.因不可抗力致使不能实现合同目的的，当事人可以解除合同；</w:t>
      </w:r>
      <w:r/>
    </w:p>
    <w:p>
      <w:pPr>
        <w:jc w:val="left"/>
        <w:spacing w:line="300" w:lineRule="exac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3.因不可抗力致使合同有变更必要的，双方当事人应在</w:t>
      </w:r>
      <w:r>
        <w:rPr>
          <w:rFonts w:hint="eastAsia" w:ascii="仿宋_GB2312" w:hAnsi="仿宋_GB2312" w:eastAsia="仿宋_GB2312" w:cs="仿宋_GB2312"/>
          <w:sz w:val="28"/>
          <w:szCs w:val="28"/>
          <w:u w:val="single"/>
        </w:rPr>
        <w:t xml:space="preserve">5个工作日</w:t>
      </w:r>
      <w:r>
        <w:rPr>
          <w:rFonts w:hint="eastAsia" w:ascii="仿宋_GB2312" w:hAnsi="仿宋_GB2312" w:eastAsia="仿宋_GB2312" w:cs="仿宋_GB2312"/>
          <w:sz w:val="28"/>
          <w:szCs w:val="28"/>
        </w:rPr>
        <w:t xml:space="preserve">内以书面形式变更合同；</w:t>
      </w:r>
      <w:r/>
    </w:p>
    <w:p>
      <w:pPr>
        <w:jc w:val="left"/>
        <w:spacing w:line="300" w:lineRule="exac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4.受不可抗力影响的一方在不可抗力发生后，应在</w:t>
      </w:r>
      <w:r>
        <w:rPr>
          <w:rFonts w:hint="eastAsia" w:ascii="仿宋_GB2312" w:hAnsi="仿宋_GB2312" w:eastAsia="仿宋_GB2312" w:cs="仿宋_GB2312"/>
          <w:sz w:val="28"/>
          <w:szCs w:val="28"/>
          <w:u w:val="single"/>
        </w:rPr>
        <w:t xml:space="preserve">5个工作日</w:t>
      </w:r>
      <w:r>
        <w:rPr>
          <w:rFonts w:hint="eastAsia" w:ascii="仿宋_GB2312" w:hAnsi="仿宋_GB2312" w:eastAsia="仿宋_GB2312" w:cs="仿宋_GB2312"/>
          <w:sz w:val="28"/>
          <w:szCs w:val="28"/>
        </w:rPr>
        <w:t xml:space="preserve">内以书面形式通知对方当事人（含有关部门出具的证明文件）。</w:t>
      </w:r>
      <w:r/>
    </w:p>
    <w:p>
      <w:pPr>
        <w:jc w:val="left"/>
        <w:spacing w:line="300" w:lineRule="exac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jc w:val="left"/>
        <w:spacing w:line="300" w:lineRule="exac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十一、合同组成</w:t>
      </w:r>
      <w:r/>
    </w:p>
    <w:p>
      <w:pPr>
        <w:ind w:firstLine="240"/>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1．合同条款</w:t>
      </w:r>
      <w:r/>
    </w:p>
    <w:p>
      <w:pPr>
        <w:ind w:firstLine="240"/>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2．成交通知书</w:t>
      </w:r>
      <w:r/>
    </w:p>
    <w:p>
      <w:pPr>
        <w:ind w:firstLine="240"/>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3．合同附件</w:t>
      </w:r>
      <w:r/>
    </w:p>
    <w:p>
      <w:pPr>
        <w:ind w:firstLine="240"/>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4．其他文件</w:t>
      </w:r>
      <w:r/>
    </w:p>
    <w:p>
      <w:pPr>
        <w:ind w:firstLine="240"/>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firstLine="240"/>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十二、合同条案</w:t>
      </w:r>
      <w:r/>
    </w:p>
    <w:p>
      <w:pPr>
        <w:ind w:firstLine="240"/>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本合同一式</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份，具有同等法律效力，甲方</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份，乙方</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份。</w:t>
      </w:r>
      <w:r/>
    </w:p>
    <w:p>
      <w:pPr>
        <w:ind w:firstLine="240"/>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firstLine="240"/>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十三、合同生效</w:t>
      </w:r>
      <w:r/>
    </w:p>
    <w:p>
      <w:pPr>
        <w:ind w:firstLine="240"/>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本合同在下列条件全部满足后生效，生效日期以下列条件全部满足的最晚日期为准：双方加盖公章或合同专用章。</w:t>
      </w:r>
      <w:r/>
    </w:p>
    <w:p>
      <w:pPr>
        <w:ind w:firstLine="240"/>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firstLine="240"/>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十四、合同中止、终止</w:t>
      </w:r>
      <w:r/>
    </w:p>
    <w:p>
      <w:pPr>
        <w:ind w:firstLine="240"/>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1.甲乙双方不得擅自中止或者终止合同；</w:t>
      </w:r>
      <w:r/>
    </w:p>
    <w:p>
      <w:pPr>
        <w:ind w:firstLine="240"/>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2.合同继续履行将损害国家利益和社会公共利益的，甲乙双方应当中止或者终止合同。有过错的一方应当承担赔偿责任，甲乙双方都有过错的，各自承担相应的责任。</w:t>
      </w:r>
      <w:r/>
    </w:p>
    <w:p>
      <w:pPr>
        <w:ind w:firstLine="240"/>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firstLine="240"/>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十五、其他</w:t>
      </w:r>
      <w:r/>
    </w:p>
    <w:p>
      <w:pPr>
        <w:ind w:firstLine="240"/>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本合同其他未尽事宜及与采购文件有矛盾之处，以采购文件为准。</w:t>
      </w:r>
      <w:r/>
    </w:p>
    <w:p>
      <w:pPr>
        <w:ind w:firstLine="240"/>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firstLine="240"/>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按照《财政部关于做好政府采购信息公开工作的通知》（财库〔2015〕135号），甲方依据《保守国家秘密法》等法律制度规定确定本合同</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部分涉及国家秘密，该涉及国家秘密部分不公告；甲方依据《反不正当竞争法》等法律制度的规定与乙方约定本合同</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部分涉及商业秘密，该涉及商业秘密部分不公告。</w:t>
      </w:r>
      <w:r/>
    </w:p>
    <w:p>
      <w:pPr>
        <w:ind w:firstLine="240"/>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jc w:val="left"/>
        <w:spacing w:line="300" w:lineRule="exac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jc w:val="left"/>
        <w:spacing w:line="312" w:lineRule="auto"/>
        <w:widowControl/>
        <w:rPr>
          <w:rFonts w:hint="eastAsia" w:ascii="仿宋_GB2312" w:hAnsi="仿宋_GB2312" w:eastAsia="仿宋_GB2312" w:cs="仿宋_GB2312"/>
          <w:sz w:val="28"/>
          <w:szCs w:val="28"/>
          <w:lang w:val="zh-CN"/>
        </w:rPr>
      </w:pPr>
      <w:r>
        <w:rPr>
          <w:rFonts w:hint="eastAsia" w:ascii="仿宋_GB2312" w:hAnsi="仿宋_GB2312" w:eastAsia="仿宋_GB2312" w:cs="仿宋_GB2312"/>
          <w:sz w:val="28"/>
          <w:szCs w:val="28"/>
          <w:lang w:val="zh-CN"/>
        </w:rPr>
        <w:t xml:space="preserve">甲方（</w:t>
      </w:r>
      <w:r>
        <w:rPr>
          <w:rFonts w:hint="eastAsia" w:ascii="仿宋_GB2312" w:hAnsi="仿宋_GB2312" w:eastAsia="仿宋_GB2312" w:cs="仿宋_GB2312"/>
          <w:sz w:val="28"/>
          <w:szCs w:val="28"/>
        </w:rPr>
        <w:t xml:space="preserve">盖章</w:t>
      </w:r>
      <w:r>
        <w:rPr>
          <w:rFonts w:hint="eastAsia" w:ascii="仿宋_GB2312" w:hAnsi="仿宋_GB2312" w:eastAsia="仿宋_GB2312" w:cs="仿宋_GB2312"/>
          <w:sz w:val="28"/>
          <w:szCs w:val="28"/>
          <w:lang w:val="zh-CN"/>
        </w:rPr>
        <w:t xml:space="preserve">）：                            乙方（</w:t>
      </w:r>
      <w:r>
        <w:rPr>
          <w:rFonts w:hint="eastAsia" w:ascii="仿宋_GB2312" w:hAnsi="仿宋_GB2312" w:eastAsia="仿宋_GB2312" w:cs="仿宋_GB2312"/>
          <w:sz w:val="28"/>
          <w:szCs w:val="28"/>
        </w:rPr>
        <w:t xml:space="preserve">盖章</w:t>
      </w:r>
      <w:r>
        <w:rPr>
          <w:rFonts w:hint="eastAsia" w:ascii="仿宋_GB2312" w:hAnsi="仿宋_GB2312" w:eastAsia="仿宋_GB2312" w:cs="仿宋_GB2312"/>
          <w:sz w:val="28"/>
          <w:szCs w:val="28"/>
          <w:lang w:val="zh-CN"/>
        </w:rPr>
        <w:t xml:space="preserve">）：</w:t>
      </w:r>
      <w:r/>
    </w:p>
    <w:p>
      <w:pPr>
        <w:jc w:val="left"/>
        <w:spacing w:line="312" w:lineRule="auto"/>
        <w:widowControl/>
        <w:rPr>
          <w:rFonts w:hint="eastAsia" w:ascii="仿宋_GB2312" w:hAnsi="仿宋_GB2312" w:eastAsia="仿宋_GB2312" w:cs="仿宋_GB2312"/>
          <w:sz w:val="28"/>
          <w:szCs w:val="28"/>
          <w:lang w:val="zh-CN"/>
        </w:rPr>
      </w:pPr>
      <w:r>
        <w:rPr>
          <w:rFonts w:hint="eastAsia" w:ascii="仿宋_GB2312" w:hAnsi="仿宋_GB2312" w:eastAsia="仿宋_GB2312" w:cs="仿宋_GB2312"/>
          <w:sz w:val="28"/>
          <w:szCs w:val="28"/>
          <w:lang w:val="zh-CN"/>
        </w:rPr>
        <w:t xml:space="preserve">法定代表人或授权代表（签字）：            法定代表人或授权代表（签字）:</w:t>
      </w:r>
      <w:r/>
    </w:p>
    <w:p>
      <w:pPr>
        <w:jc w:val="left"/>
        <w:spacing w:line="312" w:lineRule="auto"/>
        <w:widowControl/>
        <w:rPr>
          <w:rFonts w:hint="eastAsia" w:ascii="仿宋_GB2312" w:hAnsi="仿宋_GB2312" w:eastAsia="仿宋_GB2312" w:cs="仿宋_GB2312"/>
          <w:sz w:val="28"/>
          <w:szCs w:val="28"/>
          <w:lang w:val="zh-CN"/>
        </w:rPr>
      </w:pPr>
      <w:r>
        <w:rPr>
          <w:rFonts w:hint="eastAsia" w:ascii="仿宋_GB2312" w:hAnsi="仿宋_GB2312" w:eastAsia="仿宋_GB2312" w:cs="仿宋_GB2312"/>
          <w:sz w:val="28"/>
          <w:szCs w:val="28"/>
          <w:lang w:val="zh-CN"/>
        </w:rPr>
        <w:t xml:space="preserve">联系人：                                 联系人：</w:t>
      </w:r>
      <w:r/>
    </w:p>
    <w:p>
      <w:pPr>
        <w:jc w:val="left"/>
        <w:spacing w:line="300" w:lineRule="exact"/>
        <w:widowControl/>
        <w:rPr>
          <w:rFonts w:hint="eastAsia" w:ascii="仿宋_GB2312" w:hAnsi="仿宋_GB2312" w:eastAsia="仿宋_GB2312" w:cs="仿宋_GB2312"/>
          <w:sz w:val="28"/>
          <w:szCs w:val="28"/>
          <w:lang w:val="zh-CN"/>
        </w:rPr>
      </w:pPr>
      <w:r>
        <w:rPr>
          <w:rFonts w:hint="eastAsia" w:ascii="仿宋_GB2312" w:hAnsi="仿宋_GB2312" w:eastAsia="仿宋_GB2312" w:cs="仿宋_GB2312"/>
          <w:sz w:val="28"/>
          <w:szCs w:val="28"/>
          <w:lang w:val="zh-CN"/>
        </w:rPr>
        <w:t xml:space="preserve">联系电话:                                联系电话:</w:t>
      </w:r>
      <w:r/>
    </w:p>
    <w:p>
      <w:pPr>
        <w:jc w:val="left"/>
        <w:spacing w:line="300" w:lineRule="exac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val="zh-CN"/>
        </w:rPr>
        <w:t xml:space="preserve">地址：                                   地址：</w:t>
      </w:r>
      <w:r/>
    </w:p>
    <w:p>
      <w:pPr>
        <w:jc w:val="left"/>
        <w:spacing w:line="312" w:lineRule="auto"/>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日期：                                   日期：</w:t>
      </w:r>
      <w:r/>
    </w:p>
    <w:p>
      <w:pPr>
        <w:contextualSpacing/>
        <w:jc w:val="center"/>
        <w:pageBreakBefore/>
        <w:widowControl/>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 xml:space="preserve">合同附件</w:t>
      </w:r>
      <w:r/>
    </w:p>
    <w:p>
      <w:pPr>
        <w:contextualSpacing/>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contextualSpacing/>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b/>
          <w:bCs/>
          <w:sz w:val="28"/>
          <w:szCs w:val="28"/>
        </w:rPr>
        <w:t xml:space="preserve">合同附件1：</w:t>
      </w:r>
      <w:r>
        <w:rPr>
          <w:rFonts w:hint="eastAsia" w:ascii="仿宋_GB2312" w:hAnsi="仿宋_GB2312" w:eastAsia="仿宋_GB2312" w:cs="仿宋_GB2312"/>
          <w:sz w:val="28"/>
          <w:szCs w:val="28"/>
        </w:rPr>
        <w:t xml:space="preserve">验收标准（验收要求、验收标准和程序）要求</w:t>
      </w:r>
      <w:r/>
    </w:p>
    <w:p>
      <w:pPr>
        <w:contextualSpacing/>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b/>
          <w:bCs/>
          <w:sz w:val="28"/>
          <w:szCs w:val="28"/>
        </w:rPr>
        <w:t xml:space="preserve">合同附件2：</w:t>
      </w:r>
      <w:r>
        <w:rPr>
          <w:rFonts w:hint="eastAsia" w:ascii="仿宋_GB2312" w:hAnsi="仿宋_GB2312" w:eastAsia="仿宋_GB2312" w:cs="仿宋_GB2312"/>
          <w:sz w:val="28"/>
          <w:szCs w:val="28"/>
        </w:rPr>
        <w:t xml:space="preserve">《江苏省预算管理一体化实施工单》</w:t>
      </w:r>
      <w:r/>
    </w:p>
    <w:p>
      <w:pPr>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(单位需求见磋商文件附件：2.《项目要求（采购需求）》；合同见乙方响应文件中《项目实施方案》。)</w:t>
      </w:r>
      <w:r/>
    </w:p>
    <w:p>
      <w:pPr>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b/>
          <w:bCs/>
          <w:sz w:val="28"/>
          <w:szCs w:val="28"/>
        </w:rPr>
        <w:t xml:space="preserve">合同附件3</w:t>
      </w:r>
      <w:r>
        <w:rPr>
          <w:rFonts w:hint="eastAsia" w:ascii="仿宋_GB2312" w:hAnsi="仿宋_GB2312" w:eastAsia="仿宋_GB2312" w:cs="仿宋_GB2312"/>
          <w:b/>
          <w:bCs/>
          <w:sz w:val="28"/>
          <w:szCs w:val="28"/>
          <w:lang w:eastAsia="zh-CN"/>
        </w:rPr>
        <w:t xml:space="preserve">：</w:t>
      </w:r>
      <w:r>
        <w:rPr>
          <w:rFonts w:hint="eastAsia" w:ascii="仿宋_GB2312" w:hAnsi="仿宋_GB2312" w:eastAsia="仿宋_GB2312" w:cs="仿宋_GB2312"/>
          <w:sz w:val="28"/>
          <w:szCs w:val="28"/>
        </w:rPr>
        <w:t xml:space="preserve">《日常工作考勤表》</w:t>
      </w:r>
      <w:r/>
    </w:p>
    <w:p>
      <w:pPr>
        <w:contextualSpacing/>
        <w:jc w:val="left"/>
        <w:spacing w:before="300" w:after="200"/>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left="200"/>
        <w:jc w:val="left"/>
        <w:pageBreakBefore/>
        <w:spacing w:line="500" w:lineRule="exact"/>
        <w:widowControl/>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 xml:space="preserve">合同附件1：</w:t>
      </w:r>
      <w:r/>
    </w:p>
    <w:p>
      <w:pPr>
        <w:jc w:val="center"/>
        <w:spacing w:line="500" w:lineRule="exac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contextualSpacing/>
        <w:jc w:val="center"/>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验收标准（验收要求、验收标准和程序）要求</w:t>
      </w:r>
      <w:r/>
    </w:p>
    <w:p>
      <w:pPr>
        <w:ind w:firstLine="540"/>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contextualSpacing/>
        <w:ind w:firstLine="480"/>
        <w:jc w:val="left"/>
        <w:keepLines w:val="0"/>
        <w:keepNext w:val="0"/>
        <w:pageBreakBefore w:val="0"/>
        <w:spacing w:line="400" w:lineRule="exac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一、验收标准</w:t>
      </w:r>
      <w:r/>
    </w:p>
    <w:p>
      <w:pPr>
        <w:contextualSpacing/>
        <w:ind w:firstLine="480"/>
        <w:jc w:val="left"/>
        <w:keepLines w:val="0"/>
        <w:keepNext w:val="0"/>
        <w:pageBreakBefore w:val="0"/>
        <w:spacing w:line="400" w:lineRule="exac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本项目所运维实施的软件系统必须满足甲方的所有采购需求，系统运行状态优良，由乙方提出书面验收申请。详见附件1</w:t>
      </w:r>
      <w:r/>
    </w:p>
    <w:p>
      <w:pPr>
        <w:contextualSpacing/>
        <w:jc w:val="left"/>
        <w:keepLines w:val="0"/>
        <w:keepNext w:val="0"/>
        <w:pageBreakBefore w:val="0"/>
        <w:spacing w:line="400" w:lineRule="exac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contextualSpacing/>
        <w:ind w:firstLine="480"/>
        <w:jc w:val="left"/>
        <w:keepLines w:val="0"/>
        <w:keepNext w:val="0"/>
        <w:pageBreakBefore w:val="0"/>
        <w:spacing w:line="400" w:lineRule="exac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二、验收程序</w:t>
      </w:r>
      <w:r/>
    </w:p>
    <w:p>
      <w:pPr>
        <w:contextualSpacing/>
        <w:ind w:firstLine="480"/>
        <w:jc w:val="left"/>
        <w:keepLines w:val="0"/>
        <w:keepNext w:val="0"/>
        <w:pageBreakBefore w:val="0"/>
        <w:spacing w:line="400" w:lineRule="exac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1、在项目实施运维周期结束后，乙方书面提出竣工验收申请，甲方在须在1个月内组织验收。如甲方在乙方提出验收申请后1个月内未组织验收，也未书面提出异议，视为验收通过；</w:t>
      </w:r>
      <w:r/>
    </w:p>
    <w:p>
      <w:pPr>
        <w:contextualSpacing/>
        <w:ind w:firstLine="480"/>
        <w:jc w:val="left"/>
        <w:keepLines w:val="0"/>
        <w:keepNext w:val="0"/>
        <w:pageBreakBefore w:val="0"/>
        <w:spacing w:line="400" w:lineRule="exac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2、项目的验收内容、技术规格、验收标准等验收条款，依据投标人投标文件中项目实施运维方案，乙方提供初稿，由甲乙双方共同确认；</w:t>
      </w:r>
      <w:r/>
    </w:p>
    <w:p>
      <w:pPr>
        <w:contextualSpacing/>
        <w:ind w:firstLine="480"/>
        <w:jc w:val="left"/>
        <w:keepLines w:val="0"/>
        <w:keepNext w:val="0"/>
        <w:pageBreakBefore w:val="0"/>
        <w:spacing w:line="400" w:lineRule="exac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3、验收时，乙方向甲方递交完整的项目资料，项目涉及到的的相关配置文件（内容主要包括合同甲方确认的规范工单、电话记录）等，文档必须准确、清晰、完整、可追溯，满足软件系统安装、调试、运行、维护的需要，验收合格后以电子文件及纸质形式（不少于一式三份）全部提交给采购人。提供完备的江苏省预算管理一体化实施工单（格式详见附件2《江苏省预算管理一体化实施工单》），应对每项服务事项填写具体清晰的记录，按采购人的要求，收集运维服务的相关资料，并及时提供给合同甲方予以确认。</w:t>
      </w:r>
      <w:r/>
    </w:p>
    <w:p>
      <w:pPr>
        <w:contextualSpacing/>
        <w:ind w:firstLine="480"/>
        <w:jc w:val="left"/>
        <w:keepLines w:val="0"/>
        <w:keepNext w:val="0"/>
        <w:pageBreakBefore w:val="0"/>
        <w:spacing w:line="400" w:lineRule="exac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4.验收时必须提供合同甲方确认的本项目实施服务人员的日常工作考勤表（格式详见附件3《日常工作考勤表》）。</w:t>
      </w:r>
      <w:r/>
    </w:p>
    <w:p>
      <w:pPr>
        <w:jc w:val="center"/>
        <w:spacing w:line="500" w:lineRule="exac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jc w:val="center"/>
        <w:spacing w:line="500" w:lineRule="exac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jc w:val="center"/>
        <w:spacing w:line="500" w:lineRule="exac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contextualSpacing/>
        <w:jc w:val="left"/>
        <w:spacing w:line="540" w:lineRule="exac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甲方（采购人）：（盖章）：     乙方（成交供应商）：（盖章）</w:t>
      </w:r>
      <w:r/>
    </w:p>
    <w:p>
      <w:pPr>
        <w:jc w:val="left"/>
        <w:spacing w:line="540" w:lineRule="exac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法定（授权）代表人：           法定（授权）代表人：</w:t>
      </w:r>
      <w:r/>
    </w:p>
    <w:p>
      <w:pPr>
        <w:contextualSpacing/>
        <w:jc w:val="left"/>
        <w:spacing w:line="540" w:lineRule="exac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签订日期：　 年   月   日       签订日期：  年   月   日</w:t>
      </w:r>
      <w:r/>
    </w:p>
    <w:p>
      <w:pPr>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jc w:val="left"/>
        <w:widowControl/>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 xml:space="preserve">合同附件2：</w:t>
      </w:r>
      <w:r/>
    </w:p>
    <w:p>
      <w:pPr>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tbl>
      <w:tblPr>
        <w:tblStyle w:val="708"/>
        <w:tblW w:w="7812" w:type="dxa"/>
        <w:tblInd w:w="93" w:type="dxa"/>
        <w:tblLayout w:type="fixed"/>
        <w:tblCellMar>
          <w:left w:w="108" w:type="dxa"/>
          <w:top w:w="0" w:type="dxa"/>
          <w:right w:w="108" w:type="dxa"/>
          <w:bottom w:w="0" w:type="dxa"/>
        </w:tblCellMar>
        <w:tblLook w:val="04A0" w:firstRow="1" w:lastRow="0" w:firstColumn="1" w:lastColumn="0" w:noHBand="0" w:noVBand="1"/>
      </w:tblPr>
      <w:tblGrid>
        <w:gridCol w:w="1858"/>
        <w:gridCol w:w="1418"/>
        <w:gridCol w:w="1984"/>
        <w:gridCol w:w="1335"/>
        <w:gridCol w:w="1217"/>
      </w:tblGrid>
      <w:tr>
        <w:trPr>
          <w:trHeight w:val="1005"/>
        </w:trPr>
        <w:tc>
          <w:tcPr>
            <w:gridSpan w:val="5"/>
            <w:shd w:val="clear" w:color="auto" w:fill="auto"/>
            <w:tcBorders>
              <w:top w:val="none" w:color="000000" w:sz="4" w:space="0"/>
              <w:left w:val="none" w:color="000000" w:sz="4" w:space="0"/>
              <w:bottom w:val="none" w:color="000000" w:sz="4" w:space="0"/>
              <w:right w:val="none" w:color="000000" w:sz="4" w:space="0"/>
            </w:tcBorders>
            <w:tcW w:w="7812" w:type="dxa"/>
            <w:vAlign w:val="center"/>
            <w:textDirection w:val="lrTb"/>
            <w:noWrap w:val="false"/>
          </w:tcPr>
          <w:p>
            <w:pPr>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江苏省预算管理一体化实施工单</w:t>
            </w:r>
            <w:r/>
          </w:p>
        </w:tc>
      </w:tr>
      <w:tr>
        <w:trPr>
          <w:trHeight w:val="799"/>
        </w:trPr>
        <w:tc>
          <w:tcPr>
            <w:shd w:val="clear" w:color="auto" w:fill="auto"/>
            <w:tcBorders>
              <w:top w:val="single" w:color="auto" w:sz="4" w:space="0"/>
              <w:left w:val="single" w:color="auto" w:sz="4" w:space="0"/>
              <w:bottom w:val="single" w:color="auto" w:sz="4" w:space="0"/>
              <w:right w:val="single" w:color="auto" w:sz="4" w:space="0"/>
            </w:tcBorders>
            <w:tcW w:w="1858" w:type="dxa"/>
            <w:vAlign w:val="center"/>
            <w:textDirection w:val="lrTb"/>
            <w:noWrap w:val="false"/>
          </w:tcPr>
          <w:p>
            <w:pPr>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驻点单位</w:t>
            </w:r>
            <w:r/>
          </w:p>
        </w:tc>
        <w:tc>
          <w:tcPr>
            <w:shd w:val="clear" w:color="auto" w:fill="auto"/>
            <w:tcBorders>
              <w:top w:val="single" w:color="auto" w:sz="4" w:space="0"/>
              <w:left w:val="none" w:color="000000" w:sz="4" w:space="0"/>
              <w:bottom w:val="single" w:color="auto" w:sz="4" w:space="0"/>
              <w:right w:val="single" w:color="auto" w:sz="4" w:space="0"/>
            </w:tcBorders>
            <w:tcW w:w="1418" w:type="dxa"/>
            <w:vAlign w:val="center"/>
            <w:textDirection w:val="lrTb"/>
            <w:noWrap w:val="false"/>
          </w:tcPr>
          <w:p>
            <w:pPr>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tc>
        <w:tc>
          <w:tcPr>
            <w:shd w:val="clear" w:color="auto" w:fill="auto"/>
            <w:tcBorders>
              <w:top w:val="single" w:color="auto" w:sz="4" w:space="0"/>
              <w:left w:val="none" w:color="000000" w:sz="4" w:space="0"/>
              <w:bottom w:val="single" w:color="auto" w:sz="4" w:space="0"/>
              <w:right w:val="single" w:color="auto" w:sz="4" w:space="0"/>
            </w:tcBorders>
            <w:tcW w:w="1984" w:type="dxa"/>
            <w:vAlign w:val="center"/>
            <w:textDirection w:val="lrTb"/>
            <w:noWrap w:val="false"/>
          </w:tcPr>
          <w:p>
            <w:pPr>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申请日期</w:t>
            </w:r>
            <w:r/>
          </w:p>
        </w:tc>
        <w:tc>
          <w:tcPr>
            <w:gridSpan w:val="2"/>
            <w:shd w:val="clear" w:color="auto" w:fill="auto"/>
            <w:tcBorders>
              <w:top w:val="single" w:color="auto" w:sz="4" w:space="0"/>
              <w:left w:val="none" w:color="000000" w:sz="4" w:space="0"/>
              <w:bottom w:val="single" w:color="auto" w:sz="4" w:space="0"/>
              <w:right w:val="single" w:color="000000" w:sz="4" w:space="0"/>
            </w:tcBorders>
            <w:tcW w:w="2552" w:type="dxa"/>
            <w:vAlign w:val="center"/>
            <w:textDirection w:val="lrTb"/>
            <w:noWrap w:val="false"/>
          </w:tcPr>
          <w:p>
            <w:pPr>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年    月    日</w:t>
            </w:r>
            <w:r/>
          </w:p>
        </w:tc>
      </w:tr>
      <w:tr>
        <w:trPr>
          <w:trHeight w:val="799"/>
        </w:trPr>
        <w:tc>
          <w:tcPr>
            <w:shd w:val="clear" w:color="auto" w:fill="auto"/>
            <w:tcBorders>
              <w:top w:val="none" w:color="000000" w:sz="4" w:space="0"/>
              <w:left w:val="single" w:color="auto" w:sz="4" w:space="0"/>
              <w:bottom w:val="single" w:color="auto" w:sz="4" w:space="0"/>
              <w:right w:val="single" w:color="auto" w:sz="4" w:space="0"/>
            </w:tcBorders>
            <w:tcW w:w="1858" w:type="dxa"/>
            <w:vAlign w:val="center"/>
            <w:textDirection w:val="lrTb"/>
            <w:noWrap w:val="false"/>
          </w:tcPr>
          <w:p>
            <w:pPr>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服务公司</w:t>
            </w:r>
            <w:r/>
          </w:p>
        </w:tc>
        <w:tc>
          <w:tcPr>
            <w:shd w:val="clear" w:color="auto" w:fill="auto"/>
            <w:tcBorders>
              <w:top w:val="single" w:color="auto" w:sz="4" w:space="0"/>
              <w:left w:val="none" w:color="000000" w:sz="4" w:space="0"/>
              <w:bottom w:val="single" w:color="auto" w:sz="4" w:space="0"/>
              <w:right w:val="single" w:color="000000" w:sz="4" w:space="0"/>
            </w:tcBorders>
            <w:tcW w:w="1418" w:type="dxa"/>
            <w:vAlign w:val="center"/>
            <w:textDirection w:val="lrTb"/>
            <w:noWrap w:val="false"/>
          </w:tcPr>
          <w:p>
            <w:pPr>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984" w:type="dxa"/>
            <w:vAlign w:val="center"/>
            <w:textDirection w:val="lrTb"/>
            <w:noWrap w:val="false"/>
          </w:tcPr>
          <w:p>
            <w:pPr>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技术人员</w:t>
            </w:r>
            <w:r/>
          </w:p>
        </w:tc>
        <w:tc>
          <w:tcPr>
            <w:gridSpan w:val="2"/>
            <w:shd w:val="clear" w:color="auto" w:fill="auto"/>
            <w:tcBorders>
              <w:top w:val="single" w:color="auto" w:sz="4" w:space="0"/>
              <w:left w:val="none" w:color="000000" w:sz="4" w:space="0"/>
              <w:bottom w:val="single" w:color="auto" w:sz="4" w:space="0"/>
              <w:right w:val="single" w:color="000000" w:sz="4" w:space="0"/>
            </w:tcBorders>
            <w:tcW w:w="2552" w:type="dxa"/>
            <w:vAlign w:val="center"/>
            <w:textDirection w:val="lrTb"/>
            <w:noWrap w:val="false"/>
          </w:tcPr>
          <w:p>
            <w:pPr>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w:t>
            </w:r>
            <w:r/>
          </w:p>
        </w:tc>
      </w:tr>
      <w:tr>
        <w:trPr>
          <w:trHeight w:val="3012"/>
        </w:trPr>
        <w:tc>
          <w:tcPr>
            <w:shd w:val="clear" w:color="auto" w:fill="auto"/>
            <w:tcBorders>
              <w:top w:val="none" w:color="000000" w:sz="4" w:space="0"/>
              <w:left w:val="single" w:color="auto" w:sz="4" w:space="0"/>
              <w:bottom w:val="single" w:color="auto" w:sz="4" w:space="0"/>
              <w:right w:val="single" w:color="auto" w:sz="4" w:space="0"/>
            </w:tcBorders>
            <w:tcW w:w="1858" w:type="dxa"/>
            <w:vAlign w:val="center"/>
            <w:textDirection w:val="lrTb"/>
            <w:noWrap w:val="false"/>
          </w:tcPr>
          <w:p>
            <w:pPr>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单位需求</w:t>
            </w:r>
            <w:r/>
          </w:p>
        </w:tc>
        <w:tc>
          <w:tcPr>
            <w:gridSpan w:val="4"/>
            <w:shd w:val="clear" w:color="auto" w:fill="auto"/>
            <w:tcBorders>
              <w:top w:val="single" w:color="auto" w:sz="4" w:space="0"/>
              <w:left w:val="none" w:color="000000" w:sz="4" w:space="0"/>
              <w:bottom w:val="single" w:color="auto" w:sz="4" w:space="0"/>
              <w:right w:val="single" w:color="auto" w:sz="4" w:space="0"/>
            </w:tcBorders>
            <w:tcW w:w="5954" w:type="dxa"/>
            <w:vAlign w:val="center"/>
            <w:textDirection w:val="lrTb"/>
            <w:noWrap w:val="false"/>
          </w:tcPr>
          <w:p>
            <w:pPr>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w:t>
            </w:r>
            <w:r/>
          </w:p>
        </w:tc>
      </w:tr>
      <w:tr>
        <w:trPr>
          <w:trHeight w:val="2655"/>
        </w:trPr>
        <w:tc>
          <w:tcPr>
            <w:shd w:val="clear" w:color="auto" w:fill="auto"/>
            <w:tcBorders>
              <w:top w:val="none" w:color="000000" w:sz="4" w:space="0"/>
              <w:left w:val="single" w:color="auto" w:sz="4" w:space="0"/>
              <w:bottom w:val="single" w:color="000000" w:sz="4" w:space="0"/>
              <w:right w:val="single" w:color="auto" w:sz="4" w:space="0"/>
            </w:tcBorders>
            <w:tcW w:w="1858" w:type="dxa"/>
            <w:vAlign w:val="center"/>
            <w:vMerge w:val="restart"/>
            <w:textDirection w:val="lrTb"/>
            <w:noWrap w:val="false"/>
          </w:tcPr>
          <w:p>
            <w:pPr>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服务内容</w:t>
            </w:r>
            <w:r/>
          </w:p>
        </w:tc>
        <w:tc>
          <w:tcPr>
            <w:gridSpan w:val="4"/>
            <w:shd w:val="clear" w:color="auto" w:fill="auto"/>
            <w:tcBorders>
              <w:top w:val="single" w:color="auto" w:sz="4" w:space="0"/>
              <w:left w:val="none" w:color="000000" w:sz="4" w:space="0"/>
              <w:bottom w:val="single" w:color="auto" w:sz="4" w:space="0"/>
              <w:right w:val="single" w:color="auto" w:sz="4" w:space="0"/>
            </w:tcBorders>
            <w:tcW w:w="5954" w:type="dxa"/>
            <w:vAlign w:val="center"/>
            <w:textDirection w:val="lrTb"/>
            <w:noWrap w:val="false"/>
          </w:tcPr>
          <w:p>
            <w:pPr>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w:t>
            </w:r>
            <w:r/>
          </w:p>
        </w:tc>
      </w:tr>
      <w:tr>
        <w:trPr>
          <w:trHeight w:val="1002"/>
        </w:trPr>
        <w:tc>
          <w:tcPr>
            <w:tcBorders>
              <w:top w:val="none" w:color="000000" w:sz="4" w:space="0"/>
              <w:left w:val="single" w:color="auto" w:sz="4" w:space="0"/>
              <w:bottom w:val="single" w:color="000000" w:sz="4" w:space="0"/>
              <w:right w:val="single" w:color="auto" w:sz="4" w:space="0"/>
            </w:tcBorders>
            <w:tcW w:w="1858" w:type="dxa"/>
            <w:vAlign w:val="center"/>
            <w:vMerge w:val="continue"/>
            <w:textDirection w:val="lrTb"/>
            <w:noWrap w:val="false"/>
          </w:tcPr>
          <w:p>
            <w:pPr>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tc>
        <w:tc>
          <w:tcPr>
            <w:shd w:val="clear" w:color="auto" w:fill="auto"/>
            <w:tcBorders>
              <w:top w:val="none" w:color="000000" w:sz="4" w:space="0"/>
              <w:left w:val="none" w:color="000000" w:sz="4" w:space="0"/>
              <w:bottom w:val="single" w:color="auto" w:sz="4" w:space="0"/>
              <w:right w:val="none" w:color="000000" w:sz="4" w:space="0"/>
            </w:tcBorders>
            <w:tcW w:w="1418" w:type="dxa"/>
            <w:vAlign w:val="center"/>
            <w:textDirection w:val="lrTb"/>
            <w:noWrap w:val="false"/>
          </w:tcPr>
          <w:p>
            <w:pPr>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实施标准</w:t>
            </w:r>
            <w:r/>
          </w:p>
        </w:tc>
        <w:tc>
          <w:tcPr>
            <w:gridSpan w:val="3"/>
            <w:shd w:val="clear" w:color="auto" w:fill="auto"/>
            <w:tcBorders>
              <w:top w:val="single" w:color="auto" w:sz="4" w:space="0"/>
              <w:left w:val="single" w:color="auto" w:sz="4" w:space="0"/>
              <w:bottom w:val="single" w:color="auto" w:sz="4" w:space="0"/>
              <w:right w:val="single" w:color="000000" w:sz="4" w:space="0"/>
            </w:tcBorders>
            <w:tcW w:w="4536" w:type="dxa"/>
            <w:vAlign w:val="center"/>
            <w:textDirection w:val="lrTb"/>
            <w:noWrap w:val="false"/>
          </w:tcPr>
          <w:p>
            <w:pPr>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w:t>
            </w:r>
            <w:r/>
          </w:p>
        </w:tc>
      </w:tr>
      <w:tr>
        <w:trPr>
          <w:trHeight w:val="799"/>
        </w:trPr>
        <w:tc>
          <w:tcPr>
            <w:shd w:val="clear" w:color="auto" w:fill="auto"/>
            <w:tcBorders>
              <w:top w:val="none" w:color="000000" w:sz="4" w:space="0"/>
              <w:left w:val="single" w:color="auto" w:sz="4" w:space="0"/>
              <w:bottom w:val="single" w:color="auto" w:sz="4" w:space="0"/>
              <w:right w:val="single" w:color="auto" w:sz="4" w:space="0"/>
            </w:tcBorders>
            <w:tcW w:w="1858" w:type="dxa"/>
            <w:vAlign w:val="center"/>
            <w:textDirection w:val="lrTb"/>
            <w:noWrap w:val="false"/>
          </w:tcPr>
          <w:p>
            <w:pPr>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完成时间</w:t>
            </w:r>
            <w:r/>
          </w:p>
        </w:tc>
        <w:tc>
          <w:tcPr>
            <w:shd w:val="clear" w:color="auto" w:fill="auto"/>
            <w:tcBorders>
              <w:top w:val="single" w:color="auto" w:sz="4" w:space="0"/>
              <w:left w:val="none" w:color="000000" w:sz="4" w:space="0"/>
              <w:bottom w:val="single" w:color="auto" w:sz="4" w:space="0"/>
              <w:right w:val="single" w:color="000000" w:sz="4" w:space="0"/>
            </w:tcBorders>
            <w:tcW w:w="1418" w:type="dxa"/>
            <w:vAlign w:val="center"/>
            <w:textDirection w:val="lrTb"/>
            <w:noWrap w:val="false"/>
          </w:tcPr>
          <w:p>
            <w:pPr>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年  月  日</w:t>
            </w:r>
            <w:r/>
          </w:p>
        </w:tc>
        <w:tc>
          <w:tcPr>
            <w:shd w:val="clear" w:color="auto" w:fill="auto"/>
            <w:tcBorders>
              <w:top w:val="none" w:color="000000" w:sz="4" w:space="0"/>
              <w:left w:val="none" w:color="000000" w:sz="4" w:space="0"/>
              <w:bottom w:val="single" w:color="auto" w:sz="4" w:space="0"/>
              <w:right w:val="single" w:color="auto" w:sz="4" w:space="0"/>
            </w:tcBorders>
            <w:tcW w:w="1984" w:type="dxa"/>
            <w:vAlign w:val="center"/>
            <w:textDirection w:val="lrTb"/>
            <w:noWrap w:val="false"/>
          </w:tcPr>
          <w:p>
            <w:pPr>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工作量</w:t>
            </w:r>
            <w:r/>
          </w:p>
        </w:tc>
        <w:tc>
          <w:tcPr>
            <w:gridSpan w:val="2"/>
            <w:shd w:val="clear" w:color="auto" w:fill="auto"/>
            <w:tcBorders>
              <w:top w:val="single" w:color="auto" w:sz="4" w:space="0"/>
              <w:left w:val="none" w:color="000000" w:sz="4" w:space="0"/>
              <w:bottom w:val="single" w:color="auto" w:sz="4" w:space="0"/>
              <w:right w:val="single" w:color="000000" w:sz="4" w:space="0"/>
            </w:tcBorders>
            <w:tcW w:w="2552" w:type="dxa"/>
            <w:vAlign w:val="center"/>
            <w:textDirection w:val="lrTb"/>
            <w:noWrap w:val="false"/>
          </w:tcPr>
          <w:p>
            <w:pPr>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w:t>
            </w:r>
            <w:r/>
          </w:p>
        </w:tc>
      </w:tr>
      <w:tr>
        <w:trPr>
          <w:trHeight w:val="799"/>
        </w:trPr>
        <w:tc>
          <w:tcPr>
            <w:gridSpan w:val="2"/>
            <w:shd w:val="clear" w:color="auto" w:fill="auto"/>
            <w:tcBorders>
              <w:top w:val="none" w:color="000000" w:sz="4" w:space="0"/>
              <w:left w:val="none" w:color="000000" w:sz="4" w:space="0"/>
              <w:bottom w:val="none" w:color="000000" w:sz="4" w:space="0"/>
              <w:right w:val="none" w:color="000000" w:sz="4" w:space="0"/>
            </w:tcBorders>
            <w:tcW w:w="3276" w:type="dxa"/>
            <w:vAlign w:val="bottom"/>
            <w:textDirection w:val="lrTb"/>
            <w:noWrap w:val="false"/>
          </w:tcPr>
          <w:p>
            <w:pPr>
              <w:jc w:val="left"/>
              <w:widowControl/>
              <w:rPr>
                <w:rFonts w:hint="eastAsia"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驻点单位确认</w:t>
            </w:r>
            <w:r/>
          </w:p>
        </w:tc>
        <w:tc>
          <w:tcPr>
            <w:shd w:val="clear" w:color="auto" w:fill="auto"/>
            <w:tcBorders>
              <w:top w:val="none" w:color="000000" w:sz="4" w:space="0"/>
              <w:left w:val="none" w:color="000000" w:sz="4" w:space="0"/>
              <w:bottom w:val="none" w:color="000000" w:sz="4" w:space="0"/>
              <w:right w:val="none" w:color="000000" w:sz="4" w:space="0"/>
            </w:tcBorders>
            <w:tcW w:w="1984" w:type="dxa"/>
            <w:vAlign w:val="bottom"/>
            <w:textDirection w:val="lrTb"/>
            <w:noWrap w:val="false"/>
          </w:tcPr>
          <w:p>
            <w:pPr>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tc>
        <w:tc>
          <w:tcPr>
            <w:shd w:val="clear" w:color="auto" w:fill="auto"/>
            <w:tcBorders>
              <w:top w:val="none" w:color="000000" w:sz="4" w:space="0"/>
              <w:left w:val="none" w:color="000000" w:sz="4" w:space="0"/>
              <w:bottom w:val="none" w:color="000000" w:sz="4" w:space="0"/>
              <w:right w:val="none" w:color="000000" w:sz="4" w:space="0"/>
            </w:tcBorders>
            <w:tcW w:w="1335" w:type="dxa"/>
            <w:vAlign w:val="bottom"/>
            <w:textDirection w:val="lrTb"/>
            <w:noWrap w:val="false"/>
          </w:tcPr>
          <w:p>
            <w:pPr>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tc>
        <w:tc>
          <w:tcPr>
            <w:shd w:val="clear" w:color="auto" w:fill="auto"/>
            <w:tcBorders>
              <w:top w:val="none" w:color="000000" w:sz="4" w:space="0"/>
              <w:left w:val="none" w:color="000000" w:sz="4" w:space="0"/>
              <w:bottom w:val="none" w:color="000000" w:sz="4" w:space="0"/>
              <w:right w:val="none" w:color="000000" w:sz="4" w:space="0"/>
            </w:tcBorders>
            <w:tcW w:w="1217" w:type="dxa"/>
            <w:vAlign w:val="bottom"/>
            <w:textDirection w:val="lrTb"/>
            <w:noWrap w:val="false"/>
          </w:tcPr>
          <w:p>
            <w:pPr>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tc>
      </w:tr>
    </w:tbl>
    <w:p>
      <w:pPr>
        <w:jc w:val="left"/>
        <w:widowControl/>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r>
      <w:r/>
    </w:p>
    <w:p>
      <w:pPr>
        <w:jc w:val="left"/>
        <w:widowControl/>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r>
      <w:r/>
    </w:p>
    <w:p>
      <w:pPr>
        <w:jc w:val="left"/>
        <w:widowControl/>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r>
      <w:r/>
    </w:p>
    <w:p>
      <w:pPr>
        <w:jc w:val="left"/>
        <w:widowControl/>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r>
      <w:r/>
    </w:p>
    <w:p>
      <w:pPr>
        <w:jc w:val="left"/>
        <w:widowControl/>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 xml:space="preserve">合同附件3：</w:t>
      </w:r>
      <w:r/>
    </w:p>
    <w:tbl>
      <w:tblPr>
        <w:tblStyle w:val="708"/>
        <w:tblW w:w="8698" w:type="dxa"/>
        <w:tblInd w:w="-176" w:type="dxa"/>
        <w:tblLayout w:type="fixed"/>
        <w:tblCellMar>
          <w:left w:w="108" w:type="dxa"/>
          <w:top w:w="0" w:type="dxa"/>
          <w:right w:w="108" w:type="dxa"/>
          <w:bottom w:w="0" w:type="dxa"/>
        </w:tblCellMar>
        <w:tblLook w:val="04A0" w:firstRow="1" w:lastRow="0" w:firstColumn="1" w:lastColumn="0" w:noHBand="0" w:noVBand="1"/>
      </w:tblPr>
      <w:tblGrid>
        <w:gridCol w:w="373"/>
        <w:gridCol w:w="310"/>
        <w:gridCol w:w="296"/>
        <w:gridCol w:w="260"/>
        <w:gridCol w:w="260"/>
        <w:gridCol w:w="260"/>
        <w:gridCol w:w="260"/>
        <w:gridCol w:w="261"/>
        <w:gridCol w:w="261"/>
        <w:gridCol w:w="261"/>
        <w:gridCol w:w="268"/>
        <w:gridCol w:w="268"/>
        <w:gridCol w:w="268"/>
        <w:gridCol w:w="268"/>
        <w:gridCol w:w="268"/>
        <w:gridCol w:w="268"/>
        <w:gridCol w:w="268"/>
        <w:gridCol w:w="268"/>
        <w:gridCol w:w="268"/>
        <w:gridCol w:w="268"/>
        <w:gridCol w:w="268"/>
        <w:gridCol w:w="268"/>
        <w:gridCol w:w="268"/>
        <w:gridCol w:w="268"/>
        <w:gridCol w:w="268"/>
        <w:gridCol w:w="296"/>
        <w:gridCol w:w="240"/>
        <w:gridCol w:w="268"/>
        <w:gridCol w:w="268"/>
        <w:gridCol w:w="268"/>
        <w:gridCol w:w="268"/>
        <w:gridCol w:w="268"/>
      </w:tblGrid>
      <w:tr>
        <w:trPr>
          <w:trHeight w:val="799"/>
        </w:trPr>
        <w:tc>
          <w:tcPr>
            <w:gridSpan w:val="32"/>
            <w:shd w:val="clear" w:color="auto" w:fill="auto"/>
            <w:tcBorders>
              <w:top w:val="none" w:color="000000" w:sz="4" w:space="0"/>
              <w:left w:val="none" w:color="000000" w:sz="4" w:space="0"/>
              <w:bottom w:val="none" w:color="000000" w:sz="4" w:space="0"/>
              <w:right w:val="none" w:color="000000" w:sz="4" w:space="0"/>
            </w:tcBorders>
            <w:tcW w:w="8698" w:type="dxa"/>
            <w:vAlign w:val="center"/>
            <w:textDirection w:val="lrTb"/>
            <w:noWrap w:val="false"/>
          </w:tcPr>
          <w:p>
            <w:pPr>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年月日常工作考勤表</w:t>
            </w:r>
            <w:r/>
          </w:p>
        </w:tc>
      </w:tr>
      <w:tr>
        <w:trPr>
          <w:trHeight w:val="624"/>
        </w:trPr>
        <w:tc>
          <w:tcPr>
            <w:gridSpan w:val="18"/>
            <w:shd w:val="clear" w:color="auto" w:fill="auto"/>
            <w:tcBorders>
              <w:top w:val="none" w:color="000000" w:sz="4" w:space="0"/>
              <w:left w:val="none" w:color="000000" w:sz="4" w:space="0"/>
              <w:bottom w:val="none" w:color="000000" w:sz="4" w:space="0"/>
              <w:right w:val="none" w:color="000000" w:sz="4" w:space="0"/>
            </w:tcBorders>
            <w:tcW w:w="4946" w:type="dxa"/>
            <w:vAlign w:val="center"/>
            <w:textDirection w:val="lrTb"/>
            <w:noWrap w:val="false"/>
          </w:tcPr>
          <w:p>
            <w:pPr>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单位(盖章)：                                                                         </w:t>
            </w:r>
            <w:r/>
          </w:p>
        </w:tc>
        <w:tc>
          <w:tcPr>
            <w:shd w:val="clear" w:color="auto" w:fill="auto"/>
            <w:tcBorders>
              <w:top w:val="none" w:color="000000" w:sz="4" w:space="0"/>
              <w:left w:val="none" w:color="000000" w:sz="4" w:space="0"/>
              <w:bottom w:val="none" w:color="000000" w:sz="4" w:space="0"/>
              <w:right w:val="none" w:color="000000" w:sz="4" w:space="0"/>
            </w:tcBorders>
            <w:tcW w:w="268" w:type="dxa"/>
            <w:vAlign w:val="center"/>
            <w:textDirection w:val="lrTb"/>
            <w:noWrap w:val="false"/>
          </w:tcPr>
          <w:p>
            <w:pPr>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tc>
        <w:tc>
          <w:tcPr>
            <w:shd w:val="clear" w:color="auto" w:fill="auto"/>
            <w:tcBorders>
              <w:top w:val="none" w:color="000000" w:sz="4" w:space="0"/>
              <w:left w:val="none" w:color="000000" w:sz="4" w:space="0"/>
              <w:bottom w:val="none" w:color="000000" w:sz="4" w:space="0"/>
              <w:right w:val="none" w:color="000000" w:sz="4" w:space="0"/>
            </w:tcBorders>
            <w:tcW w:w="268" w:type="dxa"/>
            <w:vAlign w:val="center"/>
            <w:textDirection w:val="lrTb"/>
            <w:noWrap w:val="false"/>
          </w:tcPr>
          <w:p>
            <w:pPr>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tc>
        <w:tc>
          <w:tcPr>
            <w:shd w:val="clear" w:color="auto" w:fill="auto"/>
            <w:tcBorders>
              <w:top w:val="none" w:color="000000" w:sz="4" w:space="0"/>
              <w:left w:val="none" w:color="000000" w:sz="4" w:space="0"/>
              <w:bottom w:val="none" w:color="000000" w:sz="4" w:space="0"/>
              <w:right w:val="none" w:color="000000" w:sz="4" w:space="0"/>
            </w:tcBorders>
            <w:tcW w:w="268" w:type="dxa"/>
            <w:vAlign w:val="center"/>
            <w:textDirection w:val="lrTb"/>
            <w:noWrap w:val="false"/>
          </w:tcPr>
          <w:p>
            <w:pPr>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tc>
        <w:tc>
          <w:tcPr>
            <w:shd w:val="clear" w:color="auto" w:fill="auto"/>
            <w:tcBorders>
              <w:top w:val="none" w:color="000000" w:sz="4" w:space="0"/>
              <w:left w:val="none" w:color="000000" w:sz="4" w:space="0"/>
              <w:bottom w:val="none" w:color="000000" w:sz="4" w:space="0"/>
              <w:right w:val="none" w:color="000000" w:sz="4" w:space="0"/>
            </w:tcBorders>
            <w:tcW w:w="268" w:type="dxa"/>
            <w:vAlign w:val="center"/>
            <w:textDirection w:val="lrTb"/>
            <w:noWrap w:val="false"/>
          </w:tcPr>
          <w:p>
            <w:pPr>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tc>
        <w:tc>
          <w:tcPr>
            <w:shd w:val="clear" w:color="auto" w:fill="auto"/>
            <w:tcBorders>
              <w:top w:val="none" w:color="000000" w:sz="4" w:space="0"/>
              <w:left w:val="none" w:color="000000" w:sz="4" w:space="0"/>
              <w:bottom w:val="none" w:color="000000" w:sz="4" w:space="0"/>
              <w:right w:val="none" w:color="000000" w:sz="4" w:space="0"/>
            </w:tcBorders>
            <w:tcW w:w="268" w:type="dxa"/>
            <w:vAlign w:val="center"/>
            <w:textDirection w:val="lrTb"/>
            <w:noWrap w:val="false"/>
          </w:tcPr>
          <w:p>
            <w:pPr>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tc>
        <w:tc>
          <w:tcPr>
            <w:shd w:val="clear" w:color="auto" w:fill="auto"/>
            <w:tcBorders>
              <w:top w:val="none" w:color="000000" w:sz="4" w:space="0"/>
              <w:left w:val="none" w:color="000000" w:sz="4" w:space="0"/>
              <w:bottom w:val="none" w:color="000000" w:sz="4" w:space="0"/>
              <w:right w:val="none" w:color="000000" w:sz="4" w:space="0"/>
            </w:tcBorders>
            <w:tcW w:w="268" w:type="dxa"/>
            <w:vAlign w:val="center"/>
            <w:textDirection w:val="lrTb"/>
            <w:noWrap w:val="false"/>
          </w:tcPr>
          <w:p>
            <w:pPr>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tc>
        <w:tc>
          <w:tcPr>
            <w:shd w:val="clear" w:color="auto" w:fill="auto"/>
            <w:tcBorders>
              <w:top w:val="none" w:color="000000" w:sz="4" w:space="0"/>
              <w:left w:val="none" w:color="000000" w:sz="4" w:space="0"/>
              <w:bottom w:val="none" w:color="000000" w:sz="4" w:space="0"/>
              <w:right w:val="none" w:color="000000" w:sz="4" w:space="0"/>
            </w:tcBorders>
            <w:tcW w:w="268" w:type="dxa"/>
            <w:vAlign w:val="center"/>
            <w:textDirection w:val="lrTb"/>
            <w:noWrap w:val="false"/>
          </w:tcPr>
          <w:p>
            <w:pPr>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tc>
        <w:tc>
          <w:tcPr>
            <w:shd w:val="clear" w:color="auto" w:fill="auto"/>
            <w:tcBorders>
              <w:top w:val="none" w:color="000000" w:sz="4" w:space="0"/>
              <w:left w:val="none" w:color="000000" w:sz="4" w:space="0"/>
              <w:bottom w:val="none" w:color="000000" w:sz="4" w:space="0"/>
              <w:right w:val="none" w:color="000000" w:sz="4" w:space="0"/>
            </w:tcBorders>
            <w:tcW w:w="296" w:type="dxa"/>
            <w:vAlign w:val="center"/>
            <w:textDirection w:val="lrTb"/>
            <w:noWrap w:val="false"/>
          </w:tcPr>
          <w:p>
            <w:pPr>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tc>
        <w:tc>
          <w:tcPr>
            <w:shd w:val="clear" w:color="auto" w:fill="auto"/>
            <w:tcBorders>
              <w:top w:val="none" w:color="000000" w:sz="4" w:space="0"/>
              <w:left w:val="none" w:color="000000" w:sz="4" w:space="0"/>
              <w:bottom w:val="none" w:color="000000" w:sz="4" w:space="0"/>
              <w:right w:val="none" w:color="000000" w:sz="4" w:space="0"/>
            </w:tcBorders>
            <w:tcW w:w="240" w:type="dxa"/>
            <w:vAlign w:val="center"/>
            <w:textDirection w:val="lrTb"/>
            <w:noWrap w:val="false"/>
          </w:tcPr>
          <w:p>
            <w:pPr>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tc>
        <w:tc>
          <w:tcPr>
            <w:shd w:val="clear" w:color="auto" w:fill="auto"/>
            <w:tcBorders>
              <w:top w:val="none" w:color="000000" w:sz="4" w:space="0"/>
              <w:left w:val="none" w:color="000000" w:sz="4" w:space="0"/>
              <w:bottom w:val="none" w:color="000000" w:sz="4" w:space="0"/>
              <w:right w:val="none" w:color="000000" w:sz="4" w:space="0"/>
            </w:tcBorders>
            <w:tcW w:w="268" w:type="dxa"/>
            <w:vAlign w:val="center"/>
            <w:textDirection w:val="lrTb"/>
            <w:noWrap w:val="false"/>
          </w:tcPr>
          <w:p>
            <w:pPr>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tc>
        <w:tc>
          <w:tcPr>
            <w:shd w:val="clear" w:color="auto" w:fill="auto"/>
            <w:tcBorders>
              <w:top w:val="none" w:color="000000" w:sz="4" w:space="0"/>
              <w:left w:val="none" w:color="000000" w:sz="4" w:space="0"/>
              <w:bottom w:val="none" w:color="000000" w:sz="4" w:space="0"/>
              <w:right w:val="none" w:color="000000" w:sz="4" w:space="0"/>
            </w:tcBorders>
            <w:tcW w:w="268" w:type="dxa"/>
            <w:vAlign w:val="center"/>
            <w:textDirection w:val="lrTb"/>
            <w:noWrap w:val="false"/>
          </w:tcPr>
          <w:p>
            <w:pPr>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tc>
        <w:tc>
          <w:tcPr>
            <w:shd w:val="clear" w:color="auto" w:fill="auto"/>
            <w:tcBorders>
              <w:top w:val="none" w:color="000000" w:sz="4" w:space="0"/>
              <w:left w:val="none" w:color="000000" w:sz="4" w:space="0"/>
              <w:bottom w:val="none" w:color="000000" w:sz="4" w:space="0"/>
              <w:right w:val="none" w:color="000000" w:sz="4" w:space="0"/>
            </w:tcBorders>
            <w:tcW w:w="268" w:type="dxa"/>
            <w:vAlign w:val="center"/>
            <w:textDirection w:val="lrTb"/>
            <w:noWrap w:val="false"/>
          </w:tcPr>
          <w:p>
            <w:pPr>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tc>
        <w:tc>
          <w:tcPr>
            <w:shd w:val="clear" w:color="auto" w:fill="auto"/>
            <w:tcBorders>
              <w:top w:val="none" w:color="000000" w:sz="4" w:space="0"/>
              <w:left w:val="none" w:color="000000" w:sz="4" w:space="0"/>
              <w:bottom w:val="none" w:color="000000" w:sz="4" w:space="0"/>
              <w:right w:val="none" w:color="000000" w:sz="4" w:space="0"/>
            </w:tcBorders>
            <w:tcW w:w="268" w:type="dxa"/>
            <w:vAlign w:val="center"/>
            <w:textDirection w:val="lrTb"/>
            <w:noWrap w:val="false"/>
          </w:tcPr>
          <w:p>
            <w:pPr>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tc>
        <w:tc>
          <w:tcPr>
            <w:shd w:val="clear" w:color="auto" w:fill="auto"/>
            <w:tcBorders>
              <w:top w:val="none" w:color="000000" w:sz="4" w:space="0"/>
              <w:left w:val="none" w:color="000000" w:sz="4" w:space="0"/>
              <w:bottom w:val="none" w:color="000000" w:sz="4" w:space="0"/>
              <w:right w:val="none" w:color="000000" w:sz="4" w:space="0"/>
            </w:tcBorders>
            <w:tcW w:w="268" w:type="dxa"/>
            <w:vAlign w:val="center"/>
            <w:textDirection w:val="lrTb"/>
            <w:noWrap w:val="false"/>
          </w:tcPr>
          <w:p>
            <w:pPr>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tc>
      </w:tr>
      <w:tr>
        <w:trPr>
          <w:trHeight w:val="450"/>
        </w:trPr>
        <w:tc>
          <w:tcPr>
            <w:shd w:val="clear" w:color="auto" w:fill="auto"/>
            <w:tcBorders>
              <w:top w:val="single" w:color="auto" w:sz="4" w:space="0"/>
              <w:left w:val="single" w:color="auto" w:sz="4" w:space="0"/>
              <w:bottom w:val="single" w:color="000000" w:sz="4" w:space="0"/>
              <w:right w:val="single" w:color="auto" w:sz="4" w:space="0"/>
            </w:tcBorders>
            <w:tcW w:w="373" w:type="dxa"/>
            <w:vAlign w:val="center"/>
            <w:vMerge w:val="restart"/>
            <w:textDirection w:val="lrTb"/>
            <w:noWrap w:val="false"/>
          </w:tcPr>
          <w:p>
            <w:pPr>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-83820</wp:posOffset>
                      </wp:positionH>
                      <wp:positionV relativeFrom="paragraph">
                        <wp:posOffset>-29210</wp:posOffset>
                      </wp:positionV>
                      <wp:extent cx="590550" cy="486410"/>
                      <wp:effectExtent l="3175" t="3810" r="15875" b="5080"/>
                      <wp:wrapNone/>
                      <wp:docPr id="8" name="直接连接符 10"/>
                      <wp:cNvGraphicFramePr/>
                      <a:graphic xmlns:a="http://schemas.openxmlformats.org/drawingml/2006/main">
                        <a:graphicData uri="http://schemas.microsoft.com/office/word/2010/wordprocessingShape">
                          <wps:wsp>
                            <wps:cNvPr id="0" name=""/>
                            <wps:cNvSpPr/>
                            <wps:spPr bwMode="auto">
                              <a:xfrm>
                                <a:off x="0" y="0"/>
                                <a:ext cx="590549" cy="486409"/>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7" o:spid="_x0000_s7" style="position:absolute;left:0;text-align:left;z-index:251665408;mso-wrap-distance-left:9.0pt;mso-wrap-distance-top:0.0pt;mso-wrap-distance-right:9.0pt;mso-wrap-distance-bottom:0.0pt;visibility:visible;" from="-6.6pt,-2.3pt" to="39.9pt,36.0pt" filled="f" strokecolor="#000000" strokeweight="0.75pt">
                      <v:stroke dashstyle="solid"/>
                    </v:line>
                  </w:pict>
                </mc:Fallback>
              </mc:AlternateContent>
            </w:r>
            <w:r>
              <w:rPr>
                <w:rFonts w:hint="eastAsia" w:ascii="仿宋_GB2312" w:hAnsi="仿宋_GB2312" w:eastAsia="仿宋_GB2312" w:cs="仿宋_GB2312"/>
                <w:sz w:val="28"/>
                <w:szCs w:val="28"/>
              </w:rPr>
              <w:t xml:space="preserve">   日期</w:t>
            </w:r>
            <w:r>
              <w:rPr>
                <w:rFonts w:hint="eastAsia" w:ascii="仿宋_GB2312" w:hAnsi="仿宋_GB2312" w:eastAsia="仿宋_GB2312" w:cs="仿宋_GB2312"/>
                <w:sz w:val="28"/>
                <w:szCs w:val="28"/>
              </w:rPr>
              <w:br/>
            </w:r>
            <w:r>
              <w:rPr>
                <w:rFonts w:hint="eastAsia" w:ascii="仿宋_GB2312" w:hAnsi="仿宋_GB2312" w:eastAsia="仿宋_GB2312" w:cs="仿宋_GB2312"/>
                <w:sz w:val="28"/>
                <w:szCs w:val="28"/>
              </w:rPr>
              <w:t xml:space="preserve">姓名</w:t>
            </w:r>
            <w:r/>
          </w:p>
        </w:tc>
        <w:tc>
          <w:tcPr>
            <w:shd w:val="clear" w:color="auto" w:fill="auto"/>
            <w:tcBorders>
              <w:top w:val="single" w:color="auto" w:sz="4" w:space="0"/>
              <w:left w:val="single" w:color="auto" w:sz="4" w:space="0"/>
              <w:bottom w:val="single" w:color="000000" w:sz="4" w:space="0"/>
              <w:right w:val="single" w:color="auto" w:sz="4" w:space="0"/>
            </w:tcBorders>
            <w:tcW w:w="310" w:type="dxa"/>
            <w:vAlign w:val="center"/>
            <w:vMerge w:val="restart"/>
            <w:textDirection w:val="lrTb"/>
            <w:noWrap w:val="false"/>
          </w:tcPr>
          <w:p>
            <w:pPr>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w:t>
            </w:r>
            <w:r/>
          </w:p>
        </w:tc>
        <w:tc>
          <w:tcPr>
            <w:shd w:val="clear" w:color="auto" w:fill="auto"/>
            <w:tcBorders>
              <w:top w:val="single" w:color="auto" w:sz="4" w:space="0"/>
              <w:left w:val="single" w:color="auto" w:sz="4" w:space="0"/>
              <w:bottom w:val="single" w:color="000000" w:sz="4" w:space="0"/>
              <w:right w:val="single" w:color="auto" w:sz="4" w:space="0"/>
            </w:tcBorders>
            <w:tcW w:w="296" w:type="dxa"/>
            <w:vAlign w:val="center"/>
            <w:vMerge w:val="restart"/>
            <w:textDirection w:val="lrTb"/>
            <w:noWrap w:val="false"/>
          </w:tcPr>
          <w:p>
            <w:pPr>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w:t>
            </w:r>
            <w:r/>
          </w:p>
        </w:tc>
        <w:tc>
          <w:tcPr>
            <w:shd w:val="clear" w:color="auto" w:fill="auto"/>
            <w:tcBorders>
              <w:top w:val="single" w:color="auto" w:sz="4" w:space="0"/>
              <w:left w:val="single" w:color="auto" w:sz="4" w:space="0"/>
              <w:bottom w:val="single" w:color="000000" w:sz="4" w:space="0"/>
              <w:right w:val="single" w:color="auto" w:sz="4" w:space="0"/>
            </w:tcBorders>
            <w:tcW w:w="260" w:type="dxa"/>
            <w:vAlign w:val="center"/>
            <w:vMerge w:val="restart"/>
            <w:textDirection w:val="lrTb"/>
            <w:noWrap w:val="false"/>
          </w:tcPr>
          <w:p>
            <w:pPr>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3</w:t>
            </w:r>
            <w:r/>
          </w:p>
        </w:tc>
        <w:tc>
          <w:tcPr>
            <w:shd w:val="clear" w:color="auto" w:fill="auto"/>
            <w:tcBorders>
              <w:top w:val="single" w:color="auto" w:sz="4" w:space="0"/>
              <w:left w:val="single" w:color="auto" w:sz="4" w:space="0"/>
              <w:bottom w:val="single" w:color="000000" w:sz="4" w:space="0"/>
              <w:right w:val="single" w:color="auto" w:sz="4" w:space="0"/>
            </w:tcBorders>
            <w:tcW w:w="260" w:type="dxa"/>
            <w:vAlign w:val="center"/>
            <w:vMerge w:val="restart"/>
            <w:textDirection w:val="lrTb"/>
            <w:noWrap w:val="false"/>
          </w:tcPr>
          <w:p>
            <w:pPr>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4</w:t>
            </w:r>
            <w:r/>
          </w:p>
        </w:tc>
        <w:tc>
          <w:tcPr>
            <w:shd w:val="clear" w:color="auto" w:fill="auto"/>
            <w:tcBorders>
              <w:top w:val="single" w:color="auto" w:sz="4" w:space="0"/>
              <w:left w:val="single" w:color="auto" w:sz="4" w:space="0"/>
              <w:bottom w:val="single" w:color="000000" w:sz="4" w:space="0"/>
              <w:right w:val="single" w:color="auto" w:sz="4" w:space="0"/>
            </w:tcBorders>
            <w:tcW w:w="260" w:type="dxa"/>
            <w:vAlign w:val="center"/>
            <w:vMerge w:val="restart"/>
            <w:textDirection w:val="lrTb"/>
            <w:noWrap w:val="false"/>
          </w:tcPr>
          <w:p>
            <w:pPr>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5</w:t>
            </w:r>
            <w:r/>
          </w:p>
        </w:tc>
        <w:tc>
          <w:tcPr>
            <w:shd w:val="clear" w:color="auto" w:fill="auto"/>
            <w:tcBorders>
              <w:top w:val="single" w:color="auto" w:sz="4" w:space="0"/>
              <w:left w:val="single" w:color="auto" w:sz="4" w:space="0"/>
              <w:bottom w:val="single" w:color="000000" w:sz="4" w:space="0"/>
              <w:right w:val="single" w:color="auto" w:sz="4" w:space="0"/>
            </w:tcBorders>
            <w:tcW w:w="260" w:type="dxa"/>
            <w:vAlign w:val="center"/>
            <w:vMerge w:val="restart"/>
            <w:textDirection w:val="lrTb"/>
            <w:noWrap w:val="false"/>
          </w:tcPr>
          <w:p>
            <w:pPr>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6</w:t>
            </w:r>
            <w:r/>
          </w:p>
        </w:tc>
        <w:tc>
          <w:tcPr>
            <w:shd w:val="clear" w:color="auto" w:fill="auto"/>
            <w:tcBorders>
              <w:top w:val="single" w:color="auto" w:sz="4" w:space="0"/>
              <w:left w:val="single" w:color="auto" w:sz="4" w:space="0"/>
              <w:bottom w:val="single" w:color="000000" w:sz="4" w:space="0"/>
              <w:right w:val="single" w:color="auto" w:sz="4" w:space="0"/>
            </w:tcBorders>
            <w:tcW w:w="261" w:type="dxa"/>
            <w:vAlign w:val="center"/>
            <w:vMerge w:val="restart"/>
            <w:textDirection w:val="lrTb"/>
            <w:noWrap w:val="false"/>
          </w:tcPr>
          <w:p>
            <w:pPr>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7</w:t>
            </w:r>
            <w:r/>
          </w:p>
        </w:tc>
        <w:tc>
          <w:tcPr>
            <w:shd w:val="clear" w:color="auto" w:fill="auto"/>
            <w:tcBorders>
              <w:top w:val="single" w:color="auto" w:sz="4" w:space="0"/>
              <w:left w:val="single" w:color="auto" w:sz="4" w:space="0"/>
              <w:bottom w:val="single" w:color="000000" w:sz="4" w:space="0"/>
              <w:right w:val="single" w:color="auto" w:sz="4" w:space="0"/>
            </w:tcBorders>
            <w:tcW w:w="261" w:type="dxa"/>
            <w:vAlign w:val="center"/>
            <w:vMerge w:val="restart"/>
            <w:textDirection w:val="lrTb"/>
            <w:noWrap w:val="false"/>
          </w:tcPr>
          <w:p>
            <w:pPr>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8</w:t>
            </w:r>
            <w:r/>
          </w:p>
        </w:tc>
        <w:tc>
          <w:tcPr>
            <w:shd w:val="clear" w:color="auto" w:fill="auto"/>
            <w:tcBorders>
              <w:top w:val="single" w:color="auto" w:sz="4" w:space="0"/>
              <w:left w:val="single" w:color="auto" w:sz="4" w:space="0"/>
              <w:bottom w:val="single" w:color="000000" w:sz="4" w:space="0"/>
              <w:right w:val="single" w:color="auto" w:sz="4" w:space="0"/>
            </w:tcBorders>
            <w:tcW w:w="261" w:type="dxa"/>
            <w:vAlign w:val="center"/>
            <w:vMerge w:val="restart"/>
            <w:textDirection w:val="lrTb"/>
            <w:noWrap w:val="false"/>
          </w:tcPr>
          <w:p>
            <w:pPr>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9</w:t>
            </w:r>
            <w:r/>
          </w:p>
        </w:tc>
        <w:tc>
          <w:tcPr>
            <w:shd w:val="clear" w:color="auto" w:fill="auto"/>
            <w:tcBorders>
              <w:top w:val="single" w:color="auto" w:sz="4" w:space="0"/>
              <w:left w:val="single" w:color="auto" w:sz="4" w:space="0"/>
              <w:bottom w:val="single" w:color="000000" w:sz="4" w:space="0"/>
              <w:right w:val="single" w:color="auto" w:sz="4" w:space="0"/>
            </w:tcBorders>
            <w:tcW w:w="268" w:type="dxa"/>
            <w:vAlign w:val="center"/>
            <w:vMerge w:val="restart"/>
            <w:textDirection w:val="lrTb"/>
            <w:noWrap w:val="false"/>
          </w:tcPr>
          <w:p>
            <w:pPr>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10</w:t>
            </w:r>
            <w:r/>
          </w:p>
        </w:tc>
        <w:tc>
          <w:tcPr>
            <w:shd w:val="clear" w:color="auto" w:fill="auto"/>
            <w:tcBorders>
              <w:top w:val="single" w:color="auto" w:sz="4" w:space="0"/>
              <w:left w:val="single" w:color="auto" w:sz="4" w:space="0"/>
              <w:bottom w:val="single" w:color="000000" w:sz="4" w:space="0"/>
              <w:right w:val="single" w:color="auto" w:sz="4" w:space="0"/>
            </w:tcBorders>
            <w:tcW w:w="268" w:type="dxa"/>
            <w:vAlign w:val="center"/>
            <w:vMerge w:val="restart"/>
            <w:textDirection w:val="lrTb"/>
            <w:noWrap w:val="false"/>
          </w:tcPr>
          <w:p>
            <w:pPr>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11</w:t>
            </w:r>
            <w:r/>
          </w:p>
        </w:tc>
        <w:tc>
          <w:tcPr>
            <w:shd w:val="clear" w:color="auto" w:fill="auto"/>
            <w:tcBorders>
              <w:top w:val="single" w:color="auto" w:sz="4" w:space="0"/>
              <w:left w:val="single" w:color="auto" w:sz="4" w:space="0"/>
              <w:bottom w:val="single" w:color="000000" w:sz="4" w:space="0"/>
              <w:right w:val="single" w:color="auto" w:sz="4" w:space="0"/>
            </w:tcBorders>
            <w:tcW w:w="268" w:type="dxa"/>
            <w:vAlign w:val="center"/>
            <w:vMerge w:val="restart"/>
            <w:textDirection w:val="lrTb"/>
            <w:noWrap w:val="false"/>
          </w:tcPr>
          <w:p>
            <w:pPr>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12</w:t>
            </w:r>
            <w:r/>
          </w:p>
        </w:tc>
        <w:tc>
          <w:tcPr>
            <w:shd w:val="clear" w:color="auto" w:fill="auto"/>
            <w:tcBorders>
              <w:top w:val="single" w:color="auto" w:sz="4" w:space="0"/>
              <w:left w:val="single" w:color="auto" w:sz="4" w:space="0"/>
              <w:bottom w:val="single" w:color="000000" w:sz="4" w:space="0"/>
              <w:right w:val="single" w:color="auto" w:sz="4" w:space="0"/>
            </w:tcBorders>
            <w:tcW w:w="268" w:type="dxa"/>
            <w:vAlign w:val="center"/>
            <w:vMerge w:val="restart"/>
            <w:textDirection w:val="lrTb"/>
            <w:noWrap w:val="false"/>
          </w:tcPr>
          <w:p>
            <w:pPr>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13</w:t>
            </w:r>
            <w:r/>
          </w:p>
        </w:tc>
        <w:tc>
          <w:tcPr>
            <w:shd w:val="clear" w:color="auto" w:fill="auto"/>
            <w:tcBorders>
              <w:top w:val="single" w:color="auto" w:sz="4" w:space="0"/>
              <w:left w:val="single" w:color="auto" w:sz="4" w:space="0"/>
              <w:bottom w:val="single" w:color="000000" w:sz="4" w:space="0"/>
              <w:right w:val="single" w:color="auto" w:sz="4" w:space="0"/>
            </w:tcBorders>
            <w:tcW w:w="268" w:type="dxa"/>
            <w:vAlign w:val="center"/>
            <w:vMerge w:val="restart"/>
            <w:textDirection w:val="lrTb"/>
            <w:noWrap w:val="false"/>
          </w:tcPr>
          <w:p>
            <w:pPr>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14</w:t>
            </w:r>
            <w:r/>
          </w:p>
        </w:tc>
        <w:tc>
          <w:tcPr>
            <w:shd w:val="clear" w:color="auto" w:fill="auto"/>
            <w:tcBorders>
              <w:top w:val="single" w:color="auto" w:sz="4" w:space="0"/>
              <w:left w:val="single" w:color="auto" w:sz="4" w:space="0"/>
              <w:bottom w:val="single" w:color="000000" w:sz="4" w:space="0"/>
              <w:right w:val="single" w:color="auto" w:sz="4" w:space="0"/>
            </w:tcBorders>
            <w:tcW w:w="268" w:type="dxa"/>
            <w:vAlign w:val="center"/>
            <w:vMerge w:val="restart"/>
            <w:textDirection w:val="lrTb"/>
            <w:noWrap w:val="false"/>
          </w:tcPr>
          <w:p>
            <w:pPr>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15</w:t>
            </w:r>
            <w:r/>
          </w:p>
        </w:tc>
        <w:tc>
          <w:tcPr>
            <w:shd w:val="clear" w:color="auto" w:fill="auto"/>
            <w:tcBorders>
              <w:top w:val="single" w:color="auto" w:sz="4" w:space="0"/>
              <w:left w:val="single" w:color="auto" w:sz="4" w:space="0"/>
              <w:bottom w:val="single" w:color="000000" w:sz="4" w:space="0"/>
              <w:right w:val="single" w:color="auto" w:sz="4" w:space="0"/>
            </w:tcBorders>
            <w:tcW w:w="268" w:type="dxa"/>
            <w:vAlign w:val="center"/>
            <w:vMerge w:val="restart"/>
            <w:textDirection w:val="lrTb"/>
            <w:noWrap w:val="false"/>
          </w:tcPr>
          <w:p>
            <w:pPr>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16</w:t>
            </w:r>
            <w:r/>
          </w:p>
        </w:tc>
        <w:tc>
          <w:tcPr>
            <w:shd w:val="clear" w:color="auto" w:fill="auto"/>
            <w:tcBorders>
              <w:top w:val="single" w:color="auto" w:sz="4" w:space="0"/>
              <w:left w:val="single" w:color="auto" w:sz="4" w:space="0"/>
              <w:bottom w:val="single" w:color="000000" w:sz="4" w:space="0"/>
              <w:right w:val="single" w:color="auto" w:sz="4" w:space="0"/>
            </w:tcBorders>
            <w:tcW w:w="268" w:type="dxa"/>
            <w:vAlign w:val="center"/>
            <w:vMerge w:val="restart"/>
            <w:textDirection w:val="lrTb"/>
            <w:noWrap w:val="false"/>
          </w:tcPr>
          <w:p>
            <w:pPr>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17</w:t>
            </w:r>
            <w:r/>
          </w:p>
        </w:tc>
        <w:tc>
          <w:tcPr>
            <w:shd w:val="clear" w:color="auto" w:fill="auto"/>
            <w:tcBorders>
              <w:top w:val="single" w:color="auto" w:sz="4" w:space="0"/>
              <w:left w:val="single" w:color="auto" w:sz="4" w:space="0"/>
              <w:bottom w:val="single" w:color="000000" w:sz="4" w:space="0"/>
              <w:right w:val="single" w:color="auto" w:sz="4" w:space="0"/>
            </w:tcBorders>
            <w:tcW w:w="268" w:type="dxa"/>
            <w:vAlign w:val="center"/>
            <w:vMerge w:val="restart"/>
            <w:textDirection w:val="lrTb"/>
            <w:noWrap w:val="false"/>
          </w:tcPr>
          <w:p>
            <w:pPr>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18</w:t>
            </w:r>
            <w:r/>
          </w:p>
        </w:tc>
        <w:tc>
          <w:tcPr>
            <w:shd w:val="clear" w:color="auto" w:fill="auto"/>
            <w:tcBorders>
              <w:top w:val="single" w:color="auto" w:sz="4" w:space="0"/>
              <w:left w:val="single" w:color="auto" w:sz="4" w:space="0"/>
              <w:bottom w:val="single" w:color="000000" w:sz="4" w:space="0"/>
              <w:right w:val="single" w:color="auto" w:sz="4" w:space="0"/>
            </w:tcBorders>
            <w:tcW w:w="268" w:type="dxa"/>
            <w:vAlign w:val="center"/>
            <w:vMerge w:val="restart"/>
            <w:textDirection w:val="lrTb"/>
            <w:noWrap w:val="false"/>
          </w:tcPr>
          <w:p>
            <w:pPr>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19</w:t>
            </w:r>
            <w:r/>
          </w:p>
        </w:tc>
        <w:tc>
          <w:tcPr>
            <w:shd w:val="clear" w:color="auto" w:fill="auto"/>
            <w:tcBorders>
              <w:top w:val="single" w:color="auto" w:sz="4" w:space="0"/>
              <w:left w:val="single" w:color="auto" w:sz="4" w:space="0"/>
              <w:bottom w:val="single" w:color="000000" w:sz="4" w:space="0"/>
              <w:right w:val="single" w:color="auto" w:sz="4" w:space="0"/>
            </w:tcBorders>
            <w:tcW w:w="268" w:type="dxa"/>
            <w:vAlign w:val="center"/>
            <w:vMerge w:val="restart"/>
            <w:textDirection w:val="lrTb"/>
            <w:noWrap w:val="false"/>
          </w:tcPr>
          <w:p>
            <w:pPr>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20</w:t>
            </w:r>
            <w:r/>
          </w:p>
        </w:tc>
        <w:tc>
          <w:tcPr>
            <w:shd w:val="clear" w:color="auto" w:fill="auto"/>
            <w:tcBorders>
              <w:top w:val="single" w:color="auto" w:sz="4" w:space="0"/>
              <w:left w:val="single" w:color="auto" w:sz="4" w:space="0"/>
              <w:bottom w:val="single" w:color="000000" w:sz="4" w:space="0"/>
              <w:right w:val="single" w:color="auto" w:sz="4" w:space="0"/>
            </w:tcBorders>
            <w:tcW w:w="268" w:type="dxa"/>
            <w:vAlign w:val="center"/>
            <w:vMerge w:val="restart"/>
            <w:textDirection w:val="lrTb"/>
            <w:noWrap w:val="false"/>
          </w:tcPr>
          <w:p>
            <w:pPr>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21</w:t>
            </w:r>
            <w:r/>
          </w:p>
        </w:tc>
        <w:tc>
          <w:tcPr>
            <w:shd w:val="clear" w:color="auto" w:fill="auto"/>
            <w:tcBorders>
              <w:top w:val="single" w:color="auto" w:sz="4" w:space="0"/>
              <w:left w:val="single" w:color="auto" w:sz="4" w:space="0"/>
              <w:bottom w:val="single" w:color="000000" w:sz="4" w:space="0"/>
              <w:right w:val="single" w:color="auto" w:sz="4" w:space="0"/>
            </w:tcBorders>
            <w:tcW w:w="268" w:type="dxa"/>
            <w:vAlign w:val="center"/>
            <w:vMerge w:val="restart"/>
            <w:textDirection w:val="lrTb"/>
            <w:noWrap w:val="false"/>
          </w:tcPr>
          <w:p>
            <w:pPr>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22</w:t>
            </w:r>
            <w:r/>
          </w:p>
        </w:tc>
        <w:tc>
          <w:tcPr>
            <w:shd w:val="clear" w:color="auto" w:fill="auto"/>
            <w:tcBorders>
              <w:top w:val="single" w:color="auto" w:sz="4" w:space="0"/>
              <w:left w:val="single" w:color="auto" w:sz="4" w:space="0"/>
              <w:bottom w:val="single" w:color="000000" w:sz="4" w:space="0"/>
              <w:right w:val="single" w:color="auto" w:sz="4" w:space="0"/>
            </w:tcBorders>
            <w:tcW w:w="268" w:type="dxa"/>
            <w:vAlign w:val="center"/>
            <w:vMerge w:val="restart"/>
            <w:textDirection w:val="lrTb"/>
            <w:noWrap w:val="false"/>
          </w:tcPr>
          <w:p>
            <w:pPr>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23</w:t>
            </w:r>
            <w:r/>
          </w:p>
        </w:tc>
        <w:tc>
          <w:tcPr>
            <w:shd w:val="clear" w:color="auto" w:fill="auto"/>
            <w:tcBorders>
              <w:top w:val="single" w:color="auto" w:sz="4" w:space="0"/>
              <w:left w:val="single" w:color="auto" w:sz="4" w:space="0"/>
              <w:bottom w:val="single" w:color="000000" w:sz="4" w:space="0"/>
              <w:right w:val="single" w:color="auto" w:sz="4" w:space="0"/>
            </w:tcBorders>
            <w:tcW w:w="268" w:type="dxa"/>
            <w:vAlign w:val="center"/>
            <w:vMerge w:val="restart"/>
            <w:textDirection w:val="lrTb"/>
            <w:noWrap w:val="false"/>
          </w:tcPr>
          <w:p>
            <w:pPr>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24</w:t>
            </w:r>
            <w:r/>
          </w:p>
        </w:tc>
        <w:tc>
          <w:tcPr>
            <w:shd w:val="clear" w:color="auto" w:fill="auto"/>
            <w:tcBorders>
              <w:top w:val="single" w:color="auto" w:sz="4" w:space="0"/>
              <w:left w:val="single" w:color="auto" w:sz="4" w:space="0"/>
              <w:bottom w:val="single" w:color="000000" w:sz="4" w:space="0"/>
              <w:right w:val="single" w:color="auto" w:sz="4" w:space="0"/>
            </w:tcBorders>
            <w:tcW w:w="296" w:type="dxa"/>
            <w:vAlign w:val="center"/>
            <w:vMerge w:val="restart"/>
            <w:textDirection w:val="lrTb"/>
            <w:noWrap w:val="false"/>
          </w:tcPr>
          <w:p>
            <w:pPr>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25</w:t>
            </w:r>
            <w:r/>
          </w:p>
        </w:tc>
        <w:tc>
          <w:tcPr>
            <w:shd w:val="clear" w:color="auto" w:fill="auto"/>
            <w:tcBorders>
              <w:top w:val="single" w:color="auto" w:sz="4" w:space="0"/>
              <w:left w:val="single" w:color="auto" w:sz="4" w:space="0"/>
              <w:bottom w:val="single" w:color="000000" w:sz="4" w:space="0"/>
              <w:right w:val="single" w:color="auto" w:sz="4" w:space="0"/>
            </w:tcBorders>
            <w:tcW w:w="240" w:type="dxa"/>
            <w:vAlign w:val="center"/>
            <w:vMerge w:val="restart"/>
            <w:textDirection w:val="lrTb"/>
            <w:noWrap w:val="false"/>
          </w:tcPr>
          <w:p>
            <w:pPr>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26</w:t>
            </w:r>
            <w:r/>
          </w:p>
        </w:tc>
        <w:tc>
          <w:tcPr>
            <w:shd w:val="clear" w:color="auto" w:fill="auto"/>
            <w:tcBorders>
              <w:top w:val="single" w:color="auto" w:sz="4" w:space="0"/>
              <w:left w:val="single" w:color="auto" w:sz="4" w:space="0"/>
              <w:bottom w:val="single" w:color="000000" w:sz="4" w:space="0"/>
              <w:right w:val="single" w:color="auto" w:sz="4" w:space="0"/>
            </w:tcBorders>
            <w:tcW w:w="268" w:type="dxa"/>
            <w:vAlign w:val="center"/>
            <w:vMerge w:val="restart"/>
            <w:textDirection w:val="lrTb"/>
            <w:noWrap w:val="false"/>
          </w:tcPr>
          <w:p>
            <w:pPr>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27</w:t>
            </w:r>
            <w:r/>
          </w:p>
        </w:tc>
        <w:tc>
          <w:tcPr>
            <w:shd w:val="clear" w:color="auto" w:fill="auto"/>
            <w:tcBorders>
              <w:top w:val="single" w:color="auto" w:sz="4" w:space="0"/>
              <w:left w:val="single" w:color="auto" w:sz="4" w:space="0"/>
              <w:bottom w:val="single" w:color="000000" w:sz="4" w:space="0"/>
              <w:right w:val="single" w:color="auto" w:sz="4" w:space="0"/>
            </w:tcBorders>
            <w:tcW w:w="268" w:type="dxa"/>
            <w:vAlign w:val="center"/>
            <w:vMerge w:val="restart"/>
            <w:textDirection w:val="lrTb"/>
            <w:noWrap w:val="false"/>
          </w:tcPr>
          <w:p>
            <w:pPr>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28</w:t>
            </w:r>
            <w:r/>
          </w:p>
        </w:tc>
        <w:tc>
          <w:tcPr>
            <w:shd w:val="clear" w:color="auto" w:fill="auto"/>
            <w:tcBorders>
              <w:top w:val="single" w:color="auto" w:sz="4" w:space="0"/>
              <w:left w:val="single" w:color="auto" w:sz="4" w:space="0"/>
              <w:bottom w:val="single" w:color="000000" w:sz="4" w:space="0"/>
              <w:right w:val="single" w:color="auto" w:sz="4" w:space="0"/>
            </w:tcBorders>
            <w:tcW w:w="268" w:type="dxa"/>
            <w:vAlign w:val="center"/>
            <w:vMerge w:val="restart"/>
            <w:textDirection w:val="lrTb"/>
            <w:noWrap w:val="false"/>
          </w:tcPr>
          <w:p>
            <w:pPr>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29</w:t>
            </w:r>
            <w:r/>
          </w:p>
        </w:tc>
        <w:tc>
          <w:tcPr>
            <w:shd w:val="clear" w:color="auto" w:fill="auto"/>
            <w:tcBorders>
              <w:top w:val="single" w:color="auto" w:sz="4" w:space="0"/>
              <w:left w:val="single" w:color="auto" w:sz="4" w:space="0"/>
              <w:bottom w:val="single" w:color="000000" w:sz="4" w:space="0"/>
              <w:right w:val="single" w:color="auto" w:sz="4" w:space="0"/>
            </w:tcBorders>
            <w:tcW w:w="268" w:type="dxa"/>
            <w:vAlign w:val="center"/>
            <w:vMerge w:val="restart"/>
            <w:textDirection w:val="lrTb"/>
            <w:noWrap w:val="false"/>
          </w:tcPr>
          <w:p>
            <w:pPr>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30</w:t>
            </w:r>
            <w:r/>
          </w:p>
        </w:tc>
        <w:tc>
          <w:tcPr>
            <w:shd w:val="clear" w:color="auto" w:fill="auto"/>
            <w:tcBorders>
              <w:top w:val="single" w:color="auto" w:sz="4" w:space="0"/>
              <w:left w:val="single" w:color="auto" w:sz="4" w:space="0"/>
              <w:bottom w:val="single" w:color="000000" w:sz="4" w:space="0"/>
              <w:right w:val="single" w:color="auto" w:sz="4" w:space="0"/>
            </w:tcBorders>
            <w:tcW w:w="268" w:type="dxa"/>
            <w:vAlign w:val="center"/>
            <w:vMerge w:val="restart"/>
            <w:textDirection w:val="lrTb"/>
            <w:noWrap w:val="false"/>
          </w:tcPr>
          <w:p>
            <w:pPr>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31</w:t>
            </w:r>
            <w:r/>
          </w:p>
        </w:tc>
      </w:tr>
      <w:tr>
        <w:trPr>
          <w:trHeight w:val="412"/>
        </w:trPr>
        <w:tc>
          <w:tcPr>
            <w:shd w:val="clear" w:color="auto" w:fill="auto"/>
            <w:tcBorders>
              <w:top w:val="none" w:color="000000" w:sz="4" w:space="0"/>
              <w:left w:val="single" w:color="auto" w:sz="4" w:space="0"/>
              <w:bottom w:val="single" w:color="auto" w:sz="4" w:space="0"/>
              <w:right w:val="single" w:color="auto" w:sz="4" w:space="0"/>
            </w:tcBorders>
            <w:tcW w:w="373" w:type="dxa"/>
            <w:vAlign w:val="center"/>
            <w:vMerge w:val="restart"/>
            <w:textDirection w:val="lrTb"/>
            <w:noWrap w:val="false"/>
          </w:tcPr>
          <w:p>
            <w:pPr>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310" w:type="dxa"/>
            <w:vAlign w:val="center"/>
            <w:vMerge w:val="restart"/>
            <w:textDirection w:val="lrTb"/>
            <w:noWrap w:val="false"/>
          </w:tcPr>
          <w:p>
            <w:pPr>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96" w:type="dxa"/>
            <w:vAlign w:val="center"/>
            <w:vMerge w:val="restart"/>
            <w:textDirection w:val="lrTb"/>
            <w:noWrap w:val="false"/>
          </w:tcPr>
          <w:p>
            <w:pPr>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60" w:type="dxa"/>
            <w:vAlign w:val="center"/>
            <w:vMerge w:val="restart"/>
            <w:textDirection w:val="lrTb"/>
            <w:noWrap w:val="false"/>
          </w:tcPr>
          <w:p>
            <w:pPr>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60" w:type="dxa"/>
            <w:vAlign w:val="center"/>
            <w:vMerge w:val="restart"/>
            <w:textDirection w:val="lrTb"/>
            <w:noWrap w:val="false"/>
          </w:tcPr>
          <w:p>
            <w:pPr>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60" w:type="dxa"/>
            <w:vAlign w:val="center"/>
            <w:vMerge w:val="restart"/>
            <w:textDirection w:val="lrTb"/>
            <w:noWrap w:val="false"/>
          </w:tcPr>
          <w:p>
            <w:pPr>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60" w:type="dxa"/>
            <w:vAlign w:val="center"/>
            <w:vMerge w:val="restart"/>
            <w:textDirection w:val="lrTb"/>
            <w:noWrap w:val="false"/>
          </w:tcPr>
          <w:p>
            <w:pPr>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61" w:type="dxa"/>
            <w:vAlign w:val="center"/>
            <w:vMerge w:val="restart"/>
            <w:textDirection w:val="lrTb"/>
            <w:noWrap w:val="false"/>
          </w:tcPr>
          <w:p>
            <w:pPr>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61" w:type="dxa"/>
            <w:vAlign w:val="center"/>
            <w:vMerge w:val="restart"/>
            <w:textDirection w:val="lrTb"/>
            <w:noWrap w:val="false"/>
          </w:tcPr>
          <w:p>
            <w:pPr>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61" w:type="dxa"/>
            <w:vAlign w:val="center"/>
            <w:vMerge w:val="restart"/>
            <w:textDirection w:val="lrTb"/>
            <w:noWrap w:val="false"/>
          </w:tcPr>
          <w:p>
            <w:pPr>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68" w:type="dxa"/>
            <w:vAlign w:val="center"/>
            <w:vMerge w:val="restart"/>
            <w:textDirection w:val="lrTb"/>
            <w:noWrap w:val="false"/>
          </w:tcPr>
          <w:p>
            <w:pPr>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68" w:type="dxa"/>
            <w:vAlign w:val="center"/>
            <w:vMerge w:val="restart"/>
            <w:textDirection w:val="lrTb"/>
            <w:noWrap w:val="false"/>
          </w:tcPr>
          <w:p>
            <w:pPr>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68" w:type="dxa"/>
            <w:vAlign w:val="center"/>
            <w:vMerge w:val="restart"/>
            <w:textDirection w:val="lrTb"/>
            <w:noWrap w:val="false"/>
          </w:tcPr>
          <w:p>
            <w:pPr>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68" w:type="dxa"/>
            <w:vAlign w:val="center"/>
            <w:vMerge w:val="restart"/>
            <w:textDirection w:val="lrTb"/>
            <w:noWrap w:val="false"/>
          </w:tcPr>
          <w:p>
            <w:pPr>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68" w:type="dxa"/>
            <w:vAlign w:val="center"/>
            <w:vMerge w:val="restart"/>
            <w:textDirection w:val="lrTb"/>
            <w:noWrap w:val="false"/>
          </w:tcPr>
          <w:p>
            <w:pPr>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68" w:type="dxa"/>
            <w:vAlign w:val="center"/>
            <w:vMerge w:val="restart"/>
            <w:textDirection w:val="lrTb"/>
            <w:noWrap w:val="false"/>
          </w:tcPr>
          <w:p>
            <w:pPr>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68" w:type="dxa"/>
            <w:vAlign w:val="center"/>
            <w:vMerge w:val="restart"/>
            <w:textDirection w:val="lrTb"/>
            <w:noWrap w:val="false"/>
          </w:tcPr>
          <w:p>
            <w:pPr>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68" w:type="dxa"/>
            <w:vAlign w:val="center"/>
            <w:vMerge w:val="restart"/>
            <w:textDirection w:val="lrTb"/>
            <w:noWrap w:val="false"/>
          </w:tcPr>
          <w:p>
            <w:pPr>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68" w:type="dxa"/>
            <w:vAlign w:val="center"/>
            <w:vMerge w:val="restart"/>
            <w:textDirection w:val="lrTb"/>
            <w:noWrap w:val="false"/>
          </w:tcPr>
          <w:p>
            <w:pPr>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68" w:type="dxa"/>
            <w:vAlign w:val="center"/>
            <w:vMerge w:val="restart"/>
            <w:textDirection w:val="lrTb"/>
            <w:noWrap w:val="false"/>
          </w:tcPr>
          <w:p>
            <w:pPr>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68" w:type="dxa"/>
            <w:vAlign w:val="center"/>
            <w:vMerge w:val="restart"/>
            <w:textDirection w:val="lrTb"/>
            <w:noWrap w:val="false"/>
          </w:tcPr>
          <w:p>
            <w:pPr>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68" w:type="dxa"/>
            <w:vAlign w:val="center"/>
            <w:vMerge w:val="restart"/>
            <w:textDirection w:val="lrTb"/>
            <w:noWrap w:val="false"/>
          </w:tcPr>
          <w:p>
            <w:pPr>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68" w:type="dxa"/>
            <w:vAlign w:val="center"/>
            <w:vMerge w:val="restart"/>
            <w:textDirection w:val="lrTb"/>
            <w:noWrap w:val="false"/>
          </w:tcPr>
          <w:p>
            <w:pPr>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68" w:type="dxa"/>
            <w:vAlign w:val="center"/>
            <w:vMerge w:val="restart"/>
            <w:textDirection w:val="lrTb"/>
            <w:noWrap w:val="false"/>
          </w:tcPr>
          <w:p>
            <w:pPr>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68" w:type="dxa"/>
            <w:vAlign w:val="center"/>
            <w:vMerge w:val="restart"/>
            <w:textDirection w:val="lrTb"/>
            <w:noWrap w:val="false"/>
          </w:tcPr>
          <w:p>
            <w:pPr>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96" w:type="dxa"/>
            <w:vAlign w:val="center"/>
            <w:vMerge w:val="restart"/>
            <w:textDirection w:val="lrTb"/>
            <w:noWrap w:val="false"/>
          </w:tcPr>
          <w:p>
            <w:pPr>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40" w:type="dxa"/>
            <w:vAlign w:val="center"/>
            <w:vMerge w:val="restart"/>
            <w:textDirection w:val="lrTb"/>
            <w:noWrap w:val="false"/>
          </w:tcPr>
          <w:p>
            <w:pPr>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68" w:type="dxa"/>
            <w:vAlign w:val="center"/>
            <w:vMerge w:val="restart"/>
            <w:textDirection w:val="lrTb"/>
            <w:noWrap w:val="false"/>
          </w:tcPr>
          <w:p>
            <w:pPr>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68" w:type="dxa"/>
            <w:vAlign w:val="center"/>
            <w:vMerge w:val="restart"/>
            <w:textDirection w:val="lrTb"/>
            <w:noWrap w:val="false"/>
          </w:tcPr>
          <w:p>
            <w:pPr>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68" w:type="dxa"/>
            <w:vAlign w:val="center"/>
            <w:vMerge w:val="restart"/>
            <w:textDirection w:val="lrTb"/>
            <w:noWrap w:val="false"/>
          </w:tcPr>
          <w:p>
            <w:pPr>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68" w:type="dxa"/>
            <w:vAlign w:val="center"/>
            <w:vMerge w:val="restart"/>
            <w:textDirection w:val="lrTb"/>
            <w:noWrap w:val="false"/>
          </w:tcPr>
          <w:p>
            <w:pPr>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68" w:type="dxa"/>
            <w:vAlign w:val="center"/>
            <w:vMerge w:val="restart"/>
            <w:textDirection w:val="lrTb"/>
            <w:noWrap w:val="false"/>
          </w:tcPr>
          <w:p>
            <w:pPr>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w:t>
            </w:r>
            <w:r/>
          </w:p>
        </w:tc>
      </w:tr>
      <w:tr>
        <w:trPr>
          <w:trHeight w:val="412"/>
        </w:trPr>
        <w:tc>
          <w:tcPr>
            <w:shd w:val="clear" w:color="auto" w:fill="auto"/>
            <w:tcBorders>
              <w:top w:val="none" w:color="000000" w:sz="4" w:space="0"/>
              <w:left w:val="single" w:color="auto" w:sz="4" w:space="0"/>
              <w:bottom w:val="single" w:color="auto" w:sz="4" w:space="0"/>
              <w:right w:val="single" w:color="auto" w:sz="4" w:space="0"/>
            </w:tcBorders>
            <w:tcW w:w="373" w:type="dxa"/>
            <w:vAlign w:val="center"/>
            <w:vMerge w:val="restart"/>
            <w:textDirection w:val="lrTb"/>
            <w:noWrap w:val="false"/>
          </w:tcPr>
          <w:p>
            <w:pPr>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310" w:type="dxa"/>
            <w:vAlign w:val="center"/>
            <w:vMerge w:val="restart"/>
            <w:textDirection w:val="lrTb"/>
            <w:noWrap w:val="false"/>
          </w:tcPr>
          <w:p>
            <w:pPr>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96" w:type="dxa"/>
            <w:vAlign w:val="center"/>
            <w:vMerge w:val="restart"/>
            <w:textDirection w:val="lrTb"/>
            <w:noWrap w:val="false"/>
          </w:tcPr>
          <w:p>
            <w:pPr>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60" w:type="dxa"/>
            <w:vAlign w:val="center"/>
            <w:vMerge w:val="restart"/>
            <w:textDirection w:val="lrTb"/>
            <w:noWrap w:val="false"/>
          </w:tcPr>
          <w:p>
            <w:pPr>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60" w:type="dxa"/>
            <w:vAlign w:val="center"/>
            <w:vMerge w:val="restart"/>
            <w:textDirection w:val="lrTb"/>
            <w:noWrap w:val="false"/>
          </w:tcPr>
          <w:p>
            <w:pPr>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60" w:type="dxa"/>
            <w:vAlign w:val="center"/>
            <w:vMerge w:val="restart"/>
            <w:textDirection w:val="lrTb"/>
            <w:noWrap w:val="false"/>
          </w:tcPr>
          <w:p>
            <w:pPr>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60" w:type="dxa"/>
            <w:vAlign w:val="center"/>
            <w:vMerge w:val="restart"/>
            <w:textDirection w:val="lrTb"/>
            <w:noWrap w:val="false"/>
          </w:tcPr>
          <w:p>
            <w:pPr>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61" w:type="dxa"/>
            <w:vAlign w:val="center"/>
            <w:vMerge w:val="restart"/>
            <w:textDirection w:val="lrTb"/>
            <w:noWrap w:val="false"/>
          </w:tcPr>
          <w:p>
            <w:pPr>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61" w:type="dxa"/>
            <w:vAlign w:val="center"/>
            <w:vMerge w:val="restart"/>
            <w:textDirection w:val="lrTb"/>
            <w:noWrap w:val="false"/>
          </w:tcPr>
          <w:p>
            <w:pPr>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61" w:type="dxa"/>
            <w:vAlign w:val="center"/>
            <w:vMerge w:val="restart"/>
            <w:textDirection w:val="lrTb"/>
            <w:noWrap w:val="false"/>
          </w:tcPr>
          <w:p>
            <w:pPr>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68" w:type="dxa"/>
            <w:vAlign w:val="center"/>
            <w:vMerge w:val="restart"/>
            <w:textDirection w:val="lrTb"/>
            <w:noWrap w:val="false"/>
          </w:tcPr>
          <w:p>
            <w:pPr>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68" w:type="dxa"/>
            <w:vAlign w:val="center"/>
            <w:vMerge w:val="restart"/>
            <w:textDirection w:val="lrTb"/>
            <w:noWrap w:val="false"/>
          </w:tcPr>
          <w:p>
            <w:pPr>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68" w:type="dxa"/>
            <w:vAlign w:val="center"/>
            <w:vMerge w:val="restart"/>
            <w:textDirection w:val="lrTb"/>
            <w:noWrap w:val="false"/>
          </w:tcPr>
          <w:p>
            <w:pPr>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68" w:type="dxa"/>
            <w:vAlign w:val="center"/>
            <w:vMerge w:val="restart"/>
            <w:textDirection w:val="lrTb"/>
            <w:noWrap w:val="false"/>
          </w:tcPr>
          <w:p>
            <w:pPr>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68" w:type="dxa"/>
            <w:vAlign w:val="center"/>
            <w:vMerge w:val="restart"/>
            <w:textDirection w:val="lrTb"/>
            <w:noWrap w:val="false"/>
          </w:tcPr>
          <w:p>
            <w:pPr>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68" w:type="dxa"/>
            <w:vAlign w:val="center"/>
            <w:vMerge w:val="restart"/>
            <w:textDirection w:val="lrTb"/>
            <w:noWrap w:val="false"/>
          </w:tcPr>
          <w:p>
            <w:pPr>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68" w:type="dxa"/>
            <w:vAlign w:val="center"/>
            <w:vMerge w:val="restart"/>
            <w:textDirection w:val="lrTb"/>
            <w:noWrap w:val="false"/>
          </w:tcPr>
          <w:p>
            <w:pPr>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68" w:type="dxa"/>
            <w:vAlign w:val="center"/>
            <w:vMerge w:val="restart"/>
            <w:textDirection w:val="lrTb"/>
            <w:noWrap w:val="false"/>
          </w:tcPr>
          <w:p>
            <w:pPr>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68" w:type="dxa"/>
            <w:vAlign w:val="center"/>
            <w:vMerge w:val="restart"/>
            <w:textDirection w:val="lrTb"/>
            <w:noWrap w:val="false"/>
          </w:tcPr>
          <w:p>
            <w:pPr>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68" w:type="dxa"/>
            <w:vAlign w:val="center"/>
            <w:vMerge w:val="restart"/>
            <w:textDirection w:val="lrTb"/>
            <w:noWrap w:val="false"/>
          </w:tcPr>
          <w:p>
            <w:pPr>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68" w:type="dxa"/>
            <w:vAlign w:val="center"/>
            <w:vMerge w:val="restart"/>
            <w:textDirection w:val="lrTb"/>
            <w:noWrap w:val="false"/>
          </w:tcPr>
          <w:p>
            <w:pPr>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68" w:type="dxa"/>
            <w:vAlign w:val="center"/>
            <w:vMerge w:val="restart"/>
            <w:textDirection w:val="lrTb"/>
            <w:noWrap w:val="false"/>
          </w:tcPr>
          <w:p>
            <w:pPr>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68" w:type="dxa"/>
            <w:vAlign w:val="center"/>
            <w:vMerge w:val="restart"/>
            <w:textDirection w:val="lrTb"/>
            <w:noWrap w:val="false"/>
          </w:tcPr>
          <w:p>
            <w:pPr>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68" w:type="dxa"/>
            <w:vAlign w:val="center"/>
            <w:vMerge w:val="restart"/>
            <w:textDirection w:val="lrTb"/>
            <w:noWrap w:val="false"/>
          </w:tcPr>
          <w:p>
            <w:pPr>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68" w:type="dxa"/>
            <w:vAlign w:val="center"/>
            <w:vMerge w:val="restart"/>
            <w:textDirection w:val="lrTb"/>
            <w:noWrap w:val="false"/>
          </w:tcPr>
          <w:p>
            <w:pPr>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96" w:type="dxa"/>
            <w:vAlign w:val="center"/>
            <w:vMerge w:val="restart"/>
            <w:textDirection w:val="lrTb"/>
            <w:noWrap w:val="false"/>
          </w:tcPr>
          <w:p>
            <w:pPr>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40" w:type="dxa"/>
            <w:vAlign w:val="center"/>
            <w:vMerge w:val="restart"/>
            <w:textDirection w:val="lrTb"/>
            <w:noWrap w:val="false"/>
          </w:tcPr>
          <w:p>
            <w:pPr>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68" w:type="dxa"/>
            <w:vAlign w:val="center"/>
            <w:vMerge w:val="restart"/>
            <w:textDirection w:val="lrTb"/>
            <w:noWrap w:val="false"/>
          </w:tcPr>
          <w:p>
            <w:pPr>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68" w:type="dxa"/>
            <w:vAlign w:val="center"/>
            <w:vMerge w:val="restart"/>
            <w:textDirection w:val="lrTb"/>
            <w:noWrap w:val="false"/>
          </w:tcPr>
          <w:p>
            <w:pPr>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68" w:type="dxa"/>
            <w:vAlign w:val="center"/>
            <w:vMerge w:val="restart"/>
            <w:textDirection w:val="lrTb"/>
            <w:noWrap w:val="false"/>
          </w:tcPr>
          <w:p>
            <w:pPr>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68" w:type="dxa"/>
            <w:vAlign w:val="center"/>
            <w:vMerge w:val="restart"/>
            <w:textDirection w:val="lrTb"/>
            <w:noWrap w:val="false"/>
          </w:tcPr>
          <w:p>
            <w:pPr>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68" w:type="dxa"/>
            <w:vAlign w:val="center"/>
            <w:vMerge w:val="restart"/>
            <w:textDirection w:val="lrTb"/>
            <w:noWrap w:val="false"/>
          </w:tcPr>
          <w:p>
            <w:pPr>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w:t>
            </w:r>
            <w:r/>
          </w:p>
        </w:tc>
      </w:tr>
      <w:tr>
        <w:trPr>
          <w:trHeight w:val="412"/>
        </w:trPr>
        <w:tc>
          <w:tcPr>
            <w:shd w:val="clear" w:color="auto" w:fill="auto"/>
            <w:tcBorders>
              <w:top w:val="none" w:color="000000" w:sz="4" w:space="0"/>
              <w:left w:val="single" w:color="auto" w:sz="4" w:space="0"/>
              <w:bottom w:val="single" w:color="auto" w:sz="4" w:space="0"/>
              <w:right w:val="single" w:color="auto" w:sz="4" w:space="0"/>
            </w:tcBorders>
            <w:tcW w:w="373" w:type="dxa"/>
            <w:vAlign w:val="center"/>
            <w:vMerge w:val="restart"/>
            <w:textDirection w:val="lrTb"/>
            <w:noWrap w:val="false"/>
          </w:tcPr>
          <w:p>
            <w:pPr>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310" w:type="dxa"/>
            <w:vAlign w:val="center"/>
            <w:vMerge w:val="restart"/>
            <w:textDirection w:val="lrTb"/>
            <w:noWrap w:val="false"/>
          </w:tcPr>
          <w:p>
            <w:pPr>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96" w:type="dxa"/>
            <w:vAlign w:val="center"/>
            <w:vMerge w:val="restart"/>
            <w:textDirection w:val="lrTb"/>
            <w:noWrap w:val="false"/>
          </w:tcPr>
          <w:p>
            <w:pPr>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60" w:type="dxa"/>
            <w:vAlign w:val="center"/>
            <w:vMerge w:val="restart"/>
            <w:textDirection w:val="lrTb"/>
            <w:noWrap w:val="false"/>
          </w:tcPr>
          <w:p>
            <w:pPr>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60" w:type="dxa"/>
            <w:vAlign w:val="center"/>
            <w:vMerge w:val="restart"/>
            <w:textDirection w:val="lrTb"/>
            <w:noWrap w:val="false"/>
          </w:tcPr>
          <w:p>
            <w:pPr>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60" w:type="dxa"/>
            <w:vAlign w:val="center"/>
            <w:vMerge w:val="restart"/>
            <w:textDirection w:val="lrTb"/>
            <w:noWrap w:val="false"/>
          </w:tcPr>
          <w:p>
            <w:pPr>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60" w:type="dxa"/>
            <w:vAlign w:val="center"/>
            <w:vMerge w:val="restart"/>
            <w:textDirection w:val="lrTb"/>
            <w:noWrap w:val="false"/>
          </w:tcPr>
          <w:p>
            <w:pPr>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61" w:type="dxa"/>
            <w:vAlign w:val="center"/>
            <w:vMerge w:val="restart"/>
            <w:textDirection w:val="lrTb"/>
            <w:noWrap w:val="false"/>
          </w:tcPr>
          <w:p>
            <w:pPr>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61" w:type="dxa"/>
            <w:vAlign w:val="center"/>
            <w:vMerge w:val="restart"/>
            <w:textDirection w:val="lrTb"/>
            <w:noWrap w:val="false"/>
          </w:tcPr>
          <w:p>
            <w:pPr>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61" w:type="dxa"/>
            <w:vAlign w:val="center"/>
            <w:vMerge w:val="restart"/>
            <w:textDirection w:val="lrTb"/>
            <w:noWrap w:val="false"/>
          </w:tcPr>
          <w:p>
            <w:pPr>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68" w:type="dxa"/>
            <w:vAlign w:val="center"/>
            <w:vMerge w:val="restart"/>
            <w:textDirection w:val="lrTb"/>
            <w:noWrap w:val="false"/>
          </w:tcPr>
          <w:p>
            <w:pPr>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68" w:type="dxa"/>
            <w:vAlign w:val="center"/>
            <w:vMerge w:val="restart"/>
            <w:textDirection w:val="lrTb"/>
            <w:noWrap w:val="false"/>
          </w:tcPr>
          <w:p>
            <w:pPr>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68" w:type="dxa"/>
            <w:vAlign w:val="center"/>
            <w:vMerge w:val="restart"/>
            <w:textDirection w:val="lrTb"/>
            <w:noWrap w:val="false"/>
          </w:tcPr>
          <w:p>
            <w:pPr>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68" w:type="dxa"/>
            <w:vAlign w:val="center"/>
            <w:vMerge w:val="restart"/>
            <w:textDirection w:val="lrTb"/>
            <w:noWrap w:val="false"/>
          </w:tcPr>
          <w:p>
            <w:pPr>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68" w:type="dxa"/>
            <w:vAlign w:val="center"/>
            <w:vMerge w:val="restart"/>
            <w:textDirection w:val="lrTb"/>
            <w:noWrap w:val="false"/>
          </w:tcPr>
          <w:p>
            <w:pPr>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68" w:type="dxa"/>
            <w:vAlign w:val="center"/>
            <w:vMerge w:val="restart"/>
            <w:textDirection w:val="lrTb"/>
            <w:noWrap w:val="false"/>
          </w:tcPr>
          <w:p>
            <w:pPr>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68" w:type="dxa"/>
            <w:vAlign w:val="center"/>
            <w:vMerge w:val="restart"/>
            <w:textDirection w:val="lrTb"/>
            <w:noWrap w:val="false"/>
          </w:tcPr>
          <w:p>
            <w:pPr>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68" w:type="dxa"/>
            <w:vAlign w:val="center"/>
            <w:vMerge w:val="restart"/>
            <w:textDirection w:val="lrTb"/>
            <w:noWrap w:val="false"/>
          </w:tcPr>
          <w:p>
            <w:pPr>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68" w:type="dxa"/>
            <w:vAlign w:val="center"/>
            <w:vMerge w:val="restart"/>
            <w:textDirection w:val="lrTb"/>
            <w:noWrap w:val="false"/>
          </w:tcPr>
          <w:p>
            <w:pPr>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68" w:type="dxa"/>
            <w:vAlign w:val="center"/>
            <w:vMerge w:val="restart"/>
            <w:textDirection w:val="lrTb"/>
            <w:noWrap w:val="false"/>
          </w:tcPr>
          <w:p>
            <w:pPr>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68" w:type="dxa"/>
            <w:vAlign w:val="center"/>
            <w:vMerge w:val="restart"/>
            <w:textDirection w:val="lrTb"/>
            <w:noWrap w:val="false"/>
          </w:tcPr>
          <w:p>
            <w:pPr>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68" w:type="dxa"/>
            <w:vAlign w:val="center"/>
            <w:vMerge w:val="restart"/>
            <w:textDirection w:val="lrTb"/>
            <w:noWrap w:val="false"/>
          </w:tcPr>
          <w:p>
            <w:pPr>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68" w:type="dxa"/>
            <w:vAlign w:val="center"/>
            <w:vMerge w:val="restart"/>
            <w:textDirection w:val="lrTb"/>
            <w:noWrap w:val="false"/>
          </w:tcPr>
          <w:p>
            <w:pPr>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68" w:type="dxa"/>
            <w:vAlign w:val="center"/>
            <w:vMerge w:val="restart"/>
            <w:textDirection w:val="lrTb"/>
            <w:noWrap w:val="false"/>
          </w:tcPr>
          <w:p>
            <w:pPr>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68" w:type="dxa"/>
            <w:vAlign w:val="center"/>
            <w:vMerge w:val="restart"/>
            <w:textDirection w:val="lrTb"/>
            <w:noWrap w:val="false"/>
          </w:tcPr>
          <w:p>
            <w:pPr>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96" w:type="dxa"/>
            <w:vAlign w:val="center"/>
            <w:vMerge w:val="restart"/>
            <w:textDirection w:val="lrTb"/>
            <w:noWrap w:val="false"/>
          </w:tcPr>
          <w:p>
            <w:pPr>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40" w:type="dxa"/>
            <w:vAlign w:val="center"/>
            <w:vMerge w:val="restart"/>
            <w:textDirection w:val="lrTb"/>
            <w:noWrap w:val="false"/>
          </w:tcPr>
          <w:p>
            <w:pPr>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68" w:type="dxa"/>
            <w:vAlign w:val="center"/>
            <w:vMerge w:val="restart"/>
            <w:textDirection w:val="lrTb"/>
            <w:noWrap w:val="false"/>
          </w:tcPr>
          <w:p>
            <w:pPr>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68" w:type="dxa"/>
            <w:vAlign w:val="center"/>
            <w:vMerge w:val="restart"/>
            <w:textDirection w:val="lrTb"/>
            <w:noWrap w:val="false"/>
          </w:tcPr>
          <w:p>
            <w:pPr>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68" w:type="dxa"/>
            <w:vAlign w:val="center"/>
            <w:vMerge w:val="restart"/>
            <w:textDirection w:val="lrTb"/>
            <w:noWrap w:val="false"/>
          </w:tcPr>
          <w:p>
            <w:pPr>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68" w:type="dxa"/>
            <w:vAlign w:val="center"/>
            <w:vMerge w:val="restart"/>
            <w:textDirection w:val="lrTb"/>
            <w:noWrap w:val="false"/>
          </w:tcPr>
          <w:p>
            <w:pPr>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68" w:type="dxa"/>
            <w:vAlign w:val="center"/>
            <w:vMerge w:val="restart"/>
            <w:textDirection w:val="lrTb"/>
            <w:noWrap w:val="false"/>
          </w:tcPr>
          <w:p>
            <w:pPr>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w:t>
            </w:r>
            <w:r/>
          </w:p>
        </w:tc>
      </w:tr>
      <w:tr>
        <w:trPr>
          <w:trHeight w:val="412"/>
        </w:trPr>
        <w:tc>
          <w:tcPr>
            <w:shd w:val="clear" w:color="auto" w:fill="auto"/>
            <w:tcBorders>
              <w:top w:val="none" w:color="000000" w:sz="4" w:space="0"/>
              <w:left w:val="single" w:color="auto" w:sz="4" w:space="0"/>
              <w:bottom w:val="single" w:color="auto" w:sz="4" w:space="0"/>
              <w:right w:val="single" w:color="auto" w:sz="4" w:space="0"/>
            </w:tcBorders>
            <w:tcW w:w="373" w:type="dxa"/>
            <w:vAlign w:val="center"/>
            <w:vMerge w:val="restart"/>
            <w:textDirection w:val="lrTb"/>
            <w:noWrap w:val="false"/>
          </w:tcPr>
          <w:p>
            <w:pPr>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310" w:type="dxa"/>
            <w:vAlign w:val="center"/>
            <w:vMerge w:val="restart"/>
            <w:textDirection w:val="lrTb"/>
            <w:noWrap w:val="false"/>
          </w:tcPr>
          <w:p>
            <w:pPr>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96" w:type="dxa"/>
            <w:vAlign w:val="center"/>
            <w:vMerge w:val="restart"/>
            <w:textDirection w:val="lrTb"/>
            <w:noWrap w:val="false"/>
          </w:tcPr>
          <w:p>
            <w:pPr>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60" w:type="dxa"/>
            <w:vAlign w:val="center"/>
            <w:vMerge w:val="restart"/>
            <w:textDirection w:val="lrTb"/>
            <w:noWrap w:val="false"/>
          </w:tcPr>
          <w:p>
            <w:pPr>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60" w:type="dxa"/>
            <w:vAlign w:val="center"/>
            <w:vMerge w:val="restart"/>
            <w:textDirection w:val="lrTb"/>
            <w:noWrap w:val="false"/>
          </w:tcPr>
          <w:p>
            <w:pPr>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60" w:type="dxa"/>
            <w:vAlign w:val="center"/>
            <w:vMerge w:val="restart"/>
            <w:textDirection w:val="lrTb"/>
            <w:noWrap w:val="false"/>
          </w:tcPr>
          <w:p>
            <w:pPr>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60" w:type="dxa"/>
            <w:vAlign w:val="center"/>
            <w:vMerge w:val="restart"/>
            <w:textDirection w:val="lrTb"/>
            <w:noWrap w:val="false"/>
          </w:tcPr>
          <w:p>
            <w:pPr>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61" w:type="dxa"/>
            <w:vAlign w:val="center"/>
            <w:vMerge w:val="restart"/>
            <w:textDirection w:val="lrTb"/>
            <w:noWrap w:val="false"/>
          </w:tcPr>
          <w:p>
            <w:pPr>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61" w:type="dxa"/>
            <w:vAlign w:val="center"/>
            <w:vMerge w:val="restart"/>
            <w:textDirection w:val="lrTb"/>
            <w:noWrap w:val="false"/>
          </w:tcPr>
          <w:p>
            <w:pPr>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61" w:type="dxa"/>
            <w:vAlign w:val="center"/>
            <w:vMerge w:val="restart"/>
            <w:textDirection w:val="lrTb"/>
            <w:noWrap w:val="false"/>
          </w:tcPr>
          <w:p>
            <w:pPr>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68" w:type="dxa"/>
            <w:vAlign w:val="center"/>
            <w:vMerge w:val="restart"/>
            <w:textDirection w:val="lrTb"/>
            <w:noWrap w:val="false"/>
          </w:tcPr>
          <w:p>
            <w:pPr>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68" w:type="dxa"/>
            <w:vAlign w:val="center"/>
            <w:vMerge w:val="restart"/>
            <w:textDirection w:val="lrTb"/>
            <w:noWrap w:val="false"/>
          </w:tcPr>
          <w:p>
            <w:pPr>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68" w:type="dxa"/>
            <w:vAlign w:val="center"/>
            <w:vMerge w:val="restart"/>
            <w:textDirection w:val="lrTb"/>
            <w:noWrap w:val="false"/>
          </w:tcPr>
          <w:p>
            <w:pPr>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68" w:type="dxa"/>
            <w:vAlign w:val="center"/>
            <w:vMerge w:val="restart"/>
            <w:textDirection w:val="lrTb"/>
            <w:noWrap w:val="false"/>
          </w:tcPr>
          <w:p>
            <w:pPr>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68" w:type="dxa"/>
            <w:vAlign w:val="center"/>
            <w:vMerge w:val="restart"/>
            <w:textDirection w:val="lrTb"/>
            <w:noWrap w:val="false"/>
          </w:tcPr>
          <w:p>
            <w:pPr>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68" w:type="dxa"/>
            <w:vAlign w:val="center"/>
            <w:vMerge w:val="restart"/>
            <w:textDirection w:val="lrTb"/>
            <w:noWrap w:val="false"/>
          </w:tcPr>
          <w:p>
            <w:pPr>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68" w:type="dxa"/>
            <w:vAlign w:val="center"/>
            <w:vMerge w:val="restart"/>
            <w:textDirection w:val="lrTb"/>
            <w:noWrap w:val="false"/>
          </w:tcPr>
          <w:p>
            <w:pPr>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68" w:type="dxa"/>
            <w:vAlign w:val="center"/>
            <w:vMerge w:val="restart"/>
            <w:textDirection w:val="lrTb"/>
            <w:noWrap w:val="false"/>
          </w:tcPr>
          <w:p>
            <w:pPr>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68" w:type="dxa"/>
            <w:vAlign w:val="center"/>
            <w:vMerge w:val="restart"/>
            <w:textDirection w:val="lrTb"/>
            <w:noWrap w:val="false"/>
          </w:tcPr>
          <w:p>
            <w:pPr>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68" w:type="dxa"/>
            <w:vAlign w:val="center"/>
            <w:vMerge w:val="restart"/>
            <w:textDirection w:val="lrTb"/>
            <w:noWrap w:val="false"/>
          </w:tcPr>
          <w:p>
            <w:pPr>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68" w:type="dxa"/>
            <w:vAlign w:val="center"/>
            <w:vMerge w:val="restart"/>
            <w:textDirection w:val="lrTb"/>
            <w:noWrap w:val="false"/>
          </w:tcPr>
          <w:p>
            <w:pPr>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68" w:type="dxa"/>
            <w:vAlign w:val="center"/>
            <w:vMerge w:val="restart"/>
            <w:textDirection w:val="lrTb"/>
            <w:noWrap w:val="false"/>
          </w:tcPr>
          <w:p>
            <w:pPr>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68" w:type="dxa"/>
            <w:vAlign w:val="center"/>
            <w:vMerge w:val="restart"/>
            <w:textDirection w:val="lrTb"/>
            <w:noWrap w:val="false"/>
          </w:tcPr>
          <w:p>
            <w:pPr>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68" w:type="dxa"/>
            <w:vAlign w:val="center"/>
            <w:vMerge w:val="restart"/>
            <w:textDirection w:val="lrTb"/>
            <w:noWrap w:val="false"/>
          </w:tcPr>
          <w:p>
            <w:pPr>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68" w:type="dxa"/>
            <w:vAlign w:val="center"/>
            <w:vMerge w:val="restart"/>
            <w:textDirection w:val="lrTb"/>
            <w:noWrap w:val="false"/>
          </w:tcPr>
          <w:p>
            <w:pPr>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96" w:type="dxa"/>
            <w:vAlign w:val="center"/>
            <w:vMerge w:val="restart"/>
            <w:textDirection w:val="lrTb"/>
            <w:noWrap w:val="false"/>
          </w:tcPr>
          <w:p>
            <w:pPr>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40" w:type="dxa"/>
            <w:vAlign w:val="center"/>
            <w:vMerge w:val="restart"/>
            <w:textDirection w:val="lrTb"/>
            <w:noWrap w:val="false"/>
          </w:tcPr>
          <w:p>
            <w:pPr>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68" w:type="dxa"/>
            <w:vAlign w:val="center"/>
            <w:vMerge w:val="restart"/>
            <w:textDirection w:val="lrTb"/>
            <w:noWrap w:val="false"/>
          </w:tcPr>
          <w:p>
            <w:pPr>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68" w:type="dxa"/>
            <w:vAlign w:val="center"/>
            <w:vMerge w:val="restart"/>
            <w:textDirection w:val="lrTb"/>
            <w:noWrap w:val="false"/>
          </w:tcPr>
          <w:p>
            <w:pPr>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68" w:type="dxa"/>
            <w:vAlign w:val="center"/>
            <w:vMerge w:val="restart"/>
            <w:textDirection w:val="lrTb"/>
            <w:noWrap w:val="false"/>
          </w:tcPr>
          <w:p>
            <w:pPr>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68" w:type="dxa"/>
            <w:vAlign w:val="center"/>
            <w:vMerge w:val="restart"/>
            <w:textDirection w:val="lrTb"/>
            <w:noWrap w:val="false"/>
          </w:tcPr>
          <w:p>
            <w:pPr>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268" w:type="dxa"/>
            <w:vAlign w:val="center"/>
            <w:vMerge w:val="restart"/>
            <w:textDirection w:val="lrTb"/>
            <w:noWrap w:val="false"/>
          </w:tcPr>
          <w:p>
            <w:pPr>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w:t>
            </w:r>
            <w:r/>
          </w:p>
        </w:tc>
      </w:tr>
      <w:tr>
        <w:trPr>
          <w:trHeight w:val="285"/>
        </w:trPr>
        <w:tc>
          <w:tcPr>
            <w:shd w:val="clear" w:color="auto" w:fill="auto"/>
            <w:tcBorders>
              <w:top w:val="none" w:color="000000" w:sz="4" w:space="0"/>
              <w:left w:val="none" w:color="000000" w:sz="4" w:space="0"/>
              <w:bottom w:val="none" w:color="000000" w:sz="4" w:space="0"/>
              <w:right w:val="none" w:color="000000" w:sz="4" w:space="0"/>
            </w:tcBorders>
            <w:tcW w:w="373" w:type="dxa"/>
            <w:vAlign w:val="center"/>
            <w:textDirection w:val="lrTb"/>
            <w:noWrap w:val="false"/>
          </w:tcPr>
          <w:p>
            <w:pPr>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tc>
        <w:tc>
          <w:tcPr>
            <w:shd w:val="clear" w:color="auto" w:fill="auto"/>
            <w:tcBorders>
              <w:top w:val="none" w:color="000000" w:sz="4" w:space="0"/>
              <w:left w:val="none" w:color="000000" w:sz="4" w:space="0"/>
              <w:bottom w:val="none" w:color="000000" w:sz="4" w:space="0"/>
              <w:right w:val="none" w:color="000000" w:sz="4" w:space="0"/>
            </w:tcBorders>
            <w:tcW w:w="310" w:type="dxa"/>
            <w:vAlign w:val="center"/>
            <w:textDirection w:val="lrTb"/>
            <w:noWrap w:val="false"/>
          </w:tcPr>
          <w:p>
            <w:pPr>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tc>
        <w:tc>
          <w:tcPr>
            <w:shd w:val="clear" w:color="auto" w:fill="auto"/>
            <w:tcBorders>
              <w:top w:val="none" w:color="000000" w:sz="4" w:space="0"/>
              <w:left w:val="none" w:color="000000" w:sz="4" w:space="0"/>
              <w:bottom w:val="none" w:color="000000" w:sz="4" w:space="0"/>
              <w:right w:val="none" w:color="000000" w:sz="4" w:space="0"/>
            </w:tcBorders>
            <w:tcW w:w="296" w:type="dxa"/>
            <w:vAlign w:val="center"/>
            <w:textDirection w:val="lrTb"/>
            <w:noWrap w:val="false"/>
          </w:tcPr>
          <w:p>
            <w:pPr>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tc>
        <w:tc>
          <w:tcPr>
            <w:shd w:val="clear" w:color="auto" w:fill="auto"/>
            <w:tcBorders>
              <w:top w:val="none" w:color="000000" w:sz="4" w:space="0"/>
              <w:left w:val="none" w:color="000000" w:sz="4" w:space="0"/>
              <w:bottom w:val="none" w:color="000000" w:sz="4" w:space="0"/>
              <w:right w:val="none" w:color="000000" w:sz="4" w:space="0"/>
            </w:tcBorders>
            <w:tcW w:w="260" w:type="dxa"/>
            <w:vAlign w:val="center"/>
            <w:textDirection w:val="lrTb"/>
            <w:noWrap w:val="false"/>
          </w:tcPr>
          <w:p>
            <w:pPr>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tc>
        <w:tc>
          <w:tcPr>
            <w:shd w:val="clear" w:color="auto" w:fill="auto"/>
            <w:tcBorders>
              <w:top w:val="none" w:color="000000" w:sz="4" w:space="0"/>
              <w:left w:val="none" w:color="000000" w:sz="4" w:space="0"/>
              <w:bottom w:val="none" w:color="000000" w:sz="4" w:space="0"/>
              <w:right w:val="none" w:color="000000" w:sz="4" w:space="0"/>
            </w:tcBorders>
            <w:tcW w:w="260" w:type="dxa"/>
            <w:vAlign w:val="center"/>
            <w:textDirection w:val="lrTb"/>
            <w:noWrap w:val="false"/>
          </w:tcPr>
          <w:p>
            <w:pPr>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tc>
        <w:tc>
          <w:tcPr>
            <w:shd w:val="clear" w:color="auto" w:fill="auto"/>
            <w:tcBorders>
              <w:top w:val="none" w:color="000000" w:sz="4" w:space="0"/>
              <w:left w:val="none" w:color="000000" w:sz="4" w:space="0"/>
              <w:bottom w:val="none" w:color="000000" w:sz="4" w:space="0"/>
              <w:right w:val="none" w:color="000000" w:sz="4" w:space="0"/>
            </w:tcBorders>
            <w:tcW w:w="260" w:type="dxa"/>
            <w:vAlign w:val="center"/>
            <w:textDirection w:val="lrTb"/>
            <w:noWrap w:val="false"/>
          </w:tcPr>
          <w:p>
            <w:pPr>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tc>
        <w:tc>
          <w:tcPr>
            <w:shd w:val="clear" w:color="auto" w:fill="auto"/>
            <w:tcBorders>
              <w:top w:val="none" w:color="000000" w:sz="4" w:space="0"/>
              <w:left w:val="none" w:color="000000" w:sz="4" w:space="0"/>
              <w:bottom w:val="none" w:color="000000" w:sz="4" w:space="0"/>
              <w:right w:val="none" w:color="000000" w:sz="4" w:space="0"/>
            </w:tcBorders>
            <w:tcW w:w="260" w:type="dxa"/>
            <w:vAlign w:val="center"/>
            <w:textDirection w:val="lrTb"/>
            <w:noWrap w:val="false"/>
          </w:tcPr>
          <w:p>
            <w:pPr>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tc>
        <w:tc>
          <w:tcPr>
            <w:shd w:val="clear" w:color="auto" w:fill="auto"/>
            <w:tcBorders>
              <w:top w:val="none" w:color="000000" w:sz="4" w:space="0"/>
              <w:left w:val="none" w:color="000000" w:sz="4" w:space="0"/>
              <w:bottom w:val="none" w:color="000000" w:sz="4" w:space="0"/>
              <w:right w:val="none" w:color="000000" w:sz="4" w:space="0"/>
            </w:tcBorders>
            <w:tcW w:w="261" w:type="dxa"/>
            <w:vAlign w:val="center"/>
            <w:textDirection w:val="lrTb"/>
            <w:noWrap w:val="false"/>
          </w:tcPr>
          <w:p>
            <w:pPr>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tc>
        <w:tc>
          <w:tcPr>
            <w:shd w:val="clear" w:color="auto" w:fill="auto"/>
            <w:tcBorders>
              <w:top w:val="none" w:color="000000" w:sz="4" w:space="0"/>
              <w:left w:val="none" w:color="000000" w:sz="4" w:space="0"/>
              <w:bottom w:val="none" w:color="000000" w:sz="4" w:space="0"/>
              <w:right w:val="none" w:color="000000" w:sz="4" w:space="0"/>
            </w:tcBorders>
            <w:tcW w:w="261" w:type="dxa"/>
            <w:vAlign w:val="center"/>
            <w:textDirection w:val="lrTb"/>
            <w:noWrap w:val="false"/>
          </w:tcPr>
          <w:p>
            <w:pPr>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tc>
        <w:tc>
          <w:tcPr>
            <w:shd w:val="clear" w:color="auto" w:fill="auto"/>
            <w:tcBorders>
              <w:top w:val="none" w:color="000000" w:sz="4" w:space="0"/>
              <w:left w:val="none" w:color="000000" w:sz="4" w:space="0"/>
              <w:bottom w:val="none" w:color="000000" w:sz="4" w:space="0"/>
              <w:right w:val="none" w:color="000000" w:sz="4" w:space="0"/>
            </w:tcBorders>
            <w:tcW w:w="261" w:type="dxa"/>
            <w:vAlign w:val="center"/>
            <w:textDirection w:val="lrTb"/>
            <w:noWrap w:val="false"/>
          </w:tcPr>
          <w:p>
            <w:pPr>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tc>
        <w:tc>
          <w:tcPr>
            <w:shd w:val="clear" w:color="auto" w:fill="auto"/>
            <w:tcBorders>
              <w:top w:val="none" w:color="000000" w:sz="4" w:space="0"/>
              <w:left w:val="none" w:color="000000" w:sz="4" w:space="0"/>
              <w:bottom w:val="none" w:color="000000" w:sz="4" w:space="0"/>
              <w:right w:val="none" w:color="000000" w:sz="4" w:space="0"/>
            </w:tcBorders>
            <w:tcW w:w="268" w:type="dxa"/>
            <w:vAlign w:val="center"/>
            <w:textDirection w:val="lrTb"/>
            <w:noWrap w:val="false"/>
          </w:tcPr>
          <w:p>
            <w:pPr>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tc>
        <w:tc>
          <w:tcPr>
            <w:shd w:val="clear" w:color="auto" w:fill="auto"/>
            <w:tcBorders>
              <w:top w:val="none" w:color="000000" w:sz="4" w:space="0"/>
              <w:left w:val="none" w:color="000000" w:sz="4" w:space="0"/>
              <w:bottom w:val="none" w:color="000000" w:sz="4" w:space="0"/>
              <w:right w:val="none" w:color="000000" w:sz="4" w:space="0"/>
            </w:tcBorders>
            <w:tcW w:w="268" w:type="dxa"/>
            <w:vAlign w:val="center"/>
            <w:textDirection w:val="lrTb"/>
            <w:noWrap w:val="false"/>
          </w:tcPr>
          <w:p>
            <w:pPr>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tc>
        <w:tc>
          <w:tcPr>
            <w:shd w:val="clear" w:color="auto" w:fill="auto"/>
            <w:tcBorders>
              <w:top w:val="none" w:color="000000" w:sz="4" w:space="0"/>
              <w:left w:val="none" w:color="000000" w:sz="4" w:space="0"/>
              <w:bottom w:val="none" w:color="000000" w:sz="4" w:space="0"/>
              <w:right w:val="none" w:color="000000" w:sz="4" w:space="0"/>
            </w:tcBorders>
            <w:tcW w:w="268" w:type="dxa"/>
            <w:vAlign w:val="center"/>
            <w:textDirection w:val="lrTb"/>
            <w:noWrap w:val="false"/>
          </w:tcPr>
          <w:p>
            <w:pPr>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tc>
        <w:tc>
          <w:tcPr>
            <w:shd w:val="clear" w:color="auto" w:fill="auto"/>
            <w:tcBorders>
              <w:top w:val="none" w:color="000000" w:sz="4" w:space="0"/>
              <w:left w:val="none" w:color="000000" w:sz="4" w:space="0"/>
              <w:bottom w:val="none" w:color="000000" w:sz="4" w:space="0"/>
              <w:right w:val="none" w:color="000000" w:sz="4" w:space="0"/>
            </w:tcBorders>
            <w:tcW w:w="268" w:type="dxa"/>
            <w:vAlign w:val="center"/>
            <w:textDirection w:val="lrTb"/>
            <w:noWrap w:val="false"/>
          </w:tcPr>
          <w:p>
            <w:pPr>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tc>
        <w:tc>
          <w:tcPr>
            <w:shd w:val="clear" w:color="auto" w:fill="auto"/>
            <w:tcBorders>
              <w:top w:val="none" w:color="000000" w:sz="4" w:space="0"/>
              <w:left w:val="none" w:color="000000" w:sz="4" w:space="0"/>
              <w:bottom w:val="none" w:color="000000" w:sz="4" w:space="0"/>
              <w:right w:val="none" w:color="000000" w:sz="4" w:space="0"/>
            </w:tcBorders>
            <w:tcW w:w="268" w:type="dxa"/>
            <w:vAlign w:val="center"/>
            <w:textDirection w:val="lrTb"/>
            <w:noWrap w:val="false"/>
          </w:tcPr>
          <w:p>
            <w:pPr>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tc>
        <w:tc>
          <w:tcPr>
            <w:shd w:val="clear" w:color="auto" w:fill="auto"/>
            <w:tcBorders>
              <w:top w:val="none" w:color="000000" w:sz="4" w:space="0"/>
              <w:left w:val="none" w:color="000000" w:sz="4" w:space="0"/>
              <w:bottom w:val="none" w:color="000000" w:sz="4" w:space="0"/>
              <w:right w:val="none" w:color="000000" w:sz="4" w:space="0"/>
            </w:tcBorders>
            <w:tcW w:w="268" w:type="dxa"/>
            <w:vAlign w:val="center"/>
            <w:textDirection w:val="lrTb"/>
            <w:noWrap w:val="false"/>
          </w:tcPr>
          <w:p>
            <w:pPr>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tc>
        <w:tc>
          <w:tcPr>
            <w:shd w:val="clear" w:color="auto" w:fill="auto"/>
            <w:tcBorders>
              <w:top w:val="none" w:color="000000" w:sz="4" w:space="0"/>
              <w:left w:val="none" w:color="000000" w:sz="4" w:space="0"/>
              <w:bottom w:val="none" w:color="000000" w:sz="4" w:space="0"/>
              <w:right w:val="none" w:color="000000" w:sz="4" w:space="0"/>
            </w:tcBorders>
            <w:tcW w:w="268" w:type="dxa"/>
            <w:vAlign w:val="center"/>
            <w:textDirection w:val="lrTb"/>
            <w:noWrap w:val="false"/>
          </w:tcPr>
          <w:p>
            <w:pPr>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tc>
        <w:tc>
          <w:tcPr>
            <w:shd w:val="clear" w:color="auto" w:fill="auto"/>
            <w:tcBorders>
              <w:top w:val="none" w:color="000000" w:sz="4" w:space="0"/>
              <w:left w:val="none" w:color="000000" w:sz="4" w:space="0"/>
              <w:bottom w:val="none" w:color="000000" w:sz="4" w:space="0"/>
              <w:right w:val="none" w:color="000000" w:sz="4" w:space="0"/>
            </w:tcBorders>
            <w:tcW w:w="268" w:type="dxa"/>
            <w:vAlign w:val="center"/>
            <w:textDirection w:val="lrTb"/>
            <w:noWrap w:val="false"/>
          </w:tcPr>
          <w:p>
            <w:pPr>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tc>
        <w:tc>
          <w:tcPr>
            <w:shd w:val="clear" w:color="auto" w:fill="auto"/>
            <w:tcBorders>
              <w:top w:val="none" w:color="000000" w:sz="4" w:space="0"/>
              <w:left w:val="none" w:color="000000" w:sz="4" w:space="0"/>
              <w:bottom w:val="none" w:color="000000" w:sz="4" w:space="0"/>
              <w:right w:val="none" w:color="000000" w:sz="4" w:space="0"/>
            </w:tcBorders>
            <w:tcW w:w="268" w:type="dxa"/>
            <w:vAlign w:val="center"/>
            <w:textDirection w:val="lrTb"/>
            <w:noWrap w:val="false"/>
          </w:tcPr>
          <w:p>
            <w:pPr>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tc>
        <w:tc>
          <w:tcPr>
            <w:shd w:val="clear" w:color="auto" w:fill="auto"/>
            <w:tcBorders>
              <w:top w:val="none" w:color="000000" w:sz="4" w:space="0"/>
              <w:left w:val="none" w:color="000000" w:sz="4" w:space="0"/>
              <w:bottom w:val="none" w:color="000000" w:sz="4" w:space="0"/>
              <w:right w:val="none" w:color="000000" w:sz="4" w:space="0"/>
            </w:tcBorders>
            <w:tcW w:w="268" w:type="dxa"/>
            <w:vAlign w:val="center"/>
            <w:textDirection w:val="lrTb"/>
            <w:noWrap w:val="false"/>
          </w:tcPr>
          <w:p>
            <w:pPr>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tc>
        <w:tc>
          <w:tcPr>
            <w:shd w:val="clear" w:color="auto" w:fill="auto"/>
            <w:tcBorders>
              <w:top w:val="none" w:color="000000" w:sz="4" w:space="0"/>
              <w:left w:val="none" w:color="000000" w:sz="4" w:space="0"/>
              <w:bottom w:val="none" w:color="000000" w:sz="4" w:space="0"/>
              <w:right w:val="none" w:color="000000" w:sz="4" w:space="0"/>
            </w:tcBorders>
            <w:tcW w:w="268" w:type="dxa"/>
            <w:vAlign w:val="center"/>
            <w:textDirection w:val="lrTb"/>
            <w:noWrap w:val="false"/>
          </w:tcPr>
          <w:p>
            <w:pPr>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tc>
        <w:tc>
          <w:tcPr>
            <w:shd w:val="clear" w:color="auto" w:fill="auto"/>
            <w:tcBorders>
              <w:top w:val="none" w:color="000000" w:sz="4" w:space="0"/>
              <w:left w:val="none" w:color="000000" w:sz="4" w:space="0"/>
              <w:bottom w:val="none" w:color="000000" w:sz="4" w:space="0"/>
              <w:right w:val="none" w:color="000000" w:sz="4" w:space="0"/>
            </w:tcBorders>
            <w:tcW w:w="268" w:type="dxa"/>
            <w:vAlign w:val="center"/>
            <w:textDirection w:val="lrTb"/>
            <w:noWrap w:val="false"/>
          </w:tcPr>
          <w:p>
            <w:pPr>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tc>
        <w:tc>
          <w:tcPr>
            <w:shd w:val="clear" w:color="auto" w:fill="auto"/>
            <w:tcBorders>
              <w:top w:val="none" w:color="000000" w:sz="4" w:space="0"/>
              <w:left w:val="none" w:color="000000" w:sz="4" w:space="0"/>
              <w:bottom w:val="none" w:color="000000" w:sz="4" w:space="0"/>
              <w:right w:val="none" w:color="000000" w:sz="4" w:space="0"/>
            </w:tcBorders>
            <w:tcW w:w="268" w:type="dxa"/>
            <w:vAlign w:val="center"/>
            <w:textDirection w:val="lrTb"/>
            <w:noWrap w:val="false"/>
          </w:tcPr>
          <w:p>
            <w:pPr>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tc>
        <w:tc>
          <w:tcPr>
            <w:shd w:val="clear" w:color="auto" w:fill="auto"/>
            <w:tcBorders>
              <w:top w:val="none" w:color="000000" w:sz="4" w:space="0"/>
              <w:left w:val="none" w:color="000000" w:sz="4" w:space="0"/>
              <w:bottom w:val="none" w:color="000000" w:sz="4" w:space="0"/>
              <w:right w:val="none" w:color="000000" w:sz="4" w:space="0"/>
            </w:tcBorders>
            <w:tcW w:w="268" w:type="dxa"/>
            <w:vAlign w:val="center"/>
            <w:textDirection w:val="lrTb"/>
            <w:noWrap w:val="false"/>
          </w:tcPr>
          <w:p>
            <w:pPr>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tc>
        <w:tc>
          <w:tcPr>
            <w:shd w:val="clear" w:color="auto" w:fill="auto"/>
            <w:tcBorders>
              <w:top w:val="none" w:color="000000" w:sz="4" w:space="0"/>
              <w:left w:val="none" w:color="000000" w:sz="4" w:space="0"/>
              <w:bottom w:val="none" w:color="000000" w:sz="4" w:space="0"/>
              <w:right w:val="none" w:color="000000" w:sz="4" w:space="0"/>
            </w:tcBorders>
            <w:tcW w:w="268" w:type="dxa"/>
            <w:vAlign w:val="center"/>
            <w:textDirection w:val="lrTb"/>
            <w:noWrap w:val="false"/>
          </w:tcPr>
          <w:p>
            <w:pPr>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tc>
        <w:tc>
          <w:tcPr>
            <w:shd w:val="clear" w:color="auto" w:fill="auto"/>
            <w:tcBorders>
              <w:top w:val="none" w:color="000000" w:sz="4" w:space="0"/>
              <w:left w:val="none" w:color="000000" w:sz="4" w:space="0"/>
              <w:bottom w:val="none" w:color="000000" w:sz="4" w:space="0"/>
              <w:right w:val="none" w:color="000000" w:sz="4" w:space="0"/>
            </w:tcBorders>
            <w:tcW w:w="296" w:type="dxa"/>
            <w:vAlign w:val="center"/>
            <w:textDirection w:val="lrTb"/>
            <w:noWrap w:val="false"/>
          </w:tcPr>
          <w:p>
            <w:pPr>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tc>
        <w:tc>
          <w:tcPr>
            <w:shd w:val="clear" w:color="auto" w:fill="auto"/>
            <w:tcBorders>
              <w:top w:val="none" w:color="000000" w:sz="4" w:space="0"/>
              <w:left w:val="none" w:color="000000" w:sz="4" w:space="0"/>
              <w:bottom w:val="none" w:color="000000" w:sz="4" w:space="0"/>
              <w:right w:val="none" w:color="000000" w:sz="4" w:space="0"/>
            </w:tcBorders>
            <w:tcW w:w="240" w:type="dxa"/>
            <w:vAlign w:val="center"/>
            <w:textDirection w:val="lrTb"/>
            <w:noWrap w:val="false"/>
          </w:tcPr>
          <w:p>
            <w:pPr>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tc>
        <w:tc>
          <w:tcPr>
            <w:shd w:val="clear" w:color="auto" w:fill="auto"/>
            <w:tcBorders>
              <w:top w:val="none" w:color="000000" w:sz="4" w:space="0"/>
              <w:left w:val="none" w:color="000000" w:sz="4" w:space="0"/>
              <w:bottom w:val="none" w:color="000000" w:sz="4" w:space="0"/>
              <w:right w:val="none" w:color="000000" w:sz="4" w:space="0"/>
            </w:tcBorders>
            <w:tcW w:w="268" w:type="dxa"/>
            <w:vAlign w:val="center"/>
            <w:textDirection w:val="lrTb"/>
            <w:noWrap w:val="false"/>
          </w:tcPr>
          <w:p>
            <w:pPr>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tc>
        <w:tc>
          <w:tcPr>
            <w:shd w:val="clear" w:color="auto" w:fill="auto"/>
            <w:tcBorders>
              <w:top w:val="none" w:color="000000" w:sz="4" w:space="0"/>
              <w:left w:val="none" w:color="000000" w:sz="4" w:space="0"/>
              <w:bottom w:val="none" w:color="000000" w:sz="4" w:space="0"/>
              <w:right w:val="none" w:color="000000" w:sz="4" w:space="0"/>
            </w:tcBorders>
            <w:tcW w:w="268" w:type="dxa"/>
            <w:vAlign w:val="center"/>
            <w:textDirection w:val="lrTb"/>
            <w:noWrap w:val="false"/>
          </w:tcPr>
          <w:p>
            <w:pPr>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tc>
        <w:tc>
          <w:tcPr>
            <w:shd w:val="clear" w:color="auto" w:fill="auto"/>
            <w:tcBorders>
              <w:top w:val="none" w:color="000000" w:sz="4" w:space="0"/>
              <w:left w:val="none" w:color="000000" w:sz="4" w:space="0"/>
              <w:bottom w:val="none" w:color="000000" w:sz="4" w:space="0"/>
              <w:right w:val="none" w:color="000000" w:sz="4" w:space="0"/>
            </w:tcBorders>
            <w:tcW w:w="268" w:type="dxa"/>
            <w:vAlign w:val="center"/>
            <w:textDirection w:val="lrTb"/>
            <w:noWrap w:val="false"/>
          </w:tcPr>
          <w:p>
            <w:pPr>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tc>
        <w:tc>
          <w:tcPr>
            <w:shd w:val="clear" w:color="auto" w:fill="auto"/>
            <w:tcBorders>
              <w:top w:val="none" w:color="000000" w:sz="4" w:space="0"/>
              <w:left w:val="none" w:color="000000" w:sz="4" w:space="0"/>
              <w:bottom w:val="none" w:color="000000" w:sz="4" w:space="0"/>
              <w:right w:val="none" w:color="000000" w:sz="4" w:space="0"/>
            </w:tcBorders>
            <w:tcW w:w="268" w:type="dxa"/>
            <w:vAlign w:val="center"/>
            <w:textDirection w:val="lrTb"/>
            <w:noWrap w:val="false"/>
          </w:tcPr>
          <w:p>
            <w:pPr>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tc>
        <w:tc>
          <w:tcPr>
            <w:shd w:val="clear" w:color="auto" w:fill="auto"/>
            <w:tcBorders>
              <w:top w:val="none" w:color="000000" w:sz="4" w:space="0"/>
              <w:left w:val="none" w:color="000000" w:sz="4" w:space="0"/>
              <w:bottom w:val="none" w:color="000000" w:sz="4" w:space="0"/>
              <w:right w:val="none" w:color="000000" w:sz="4" w:space="0"/>
            </w:tcBorders>
            <w:tcW w:w="268" w:type="dxa"/>
            <w:vAlign w:val="center"/>
            <w:textDirection w:val="lrTb"/>
            <w:noWrap w:val="false"/>
          </w:tcPr>
          <w:p>
            <w:pPr>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tc>
      </w:tr>
      <w:tr>
        <w:trPr>
          <w:trHeight w:val="1464"/>
        </w:trPr>
        <w:tc>
          <w:tcPr>
            <w:gridSpan w:val="32"/>
            <w:shd w:val="clear" w:color="auto" w:fill="auto"/>
            <w:tcBorders>
              <w:top w:val="none" w:color="000000" w:sz="4" w:space="0"/>
              <w:left w:val="none" w:color="000000" w:sz="4" w:space="0"/>
              <w:bottom w:val="none" w:color="000000" w:sz="4" w:space="0"/>
              <w:right w:val="none" w:color="000000" w:sz="4" w:space="0"/>
            </w:tcBorders>
            <w:tcW w:w="8698" w:type="dxa"/>
            <w:vAlign w:val="center"/>
            <w:textDirection w:val="lrTb"/>
            <w:noWrap w:val="false"/>
          </w:tcPr>
          <w:p>
            <w:pPr>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考勤标记：加班◆   调休♢   出勤（按时上下班）√   缺勤（迟到或早退）×   出差△   学习培训□  休假☆   事假○   病假＋     </w:t>
            </w:r>
            <w:r/>
          </w:p>
          <w:p>
            <w:pPr>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婚假▲   产假★   护理假●   探亲假</w:t>
            </w:r>
            <w:r>
              <w:rPr>
                <w:rFonts w:hint="eastAsia" w:ascii="仿宋_GB2312" w:hAnsi="仿宋_GB2312" w:eastAsia="仿宋_GB2312" w:cs="仿宋_GB2312"/>
                <w:b/>
                <w:bCs/>
                <w:sz w:val="28"/>
                <w:szCs w:val="28"/>
              </w:rPr>
              <w:t xml:space="preserve">－</w:t>
            </w:r>
            <w:r/>
          </w:p>
        </w:tc>
      </w:tr>
      <w:tr>
        <w:trPr>
          <w:trHeight w:val="858"/>
        </w:trPr>
        <w:tc>
          <w:tcPr>
            <w:gridSpan w:val="32"/>
            <w:shd w:val="clear" w:color="auto" w:fill="auto"/>
            <w:tcBorders>
              <w:top w:val="none" w:color="000000" w:sz="4" w:space="0"/>
              <w:left w:val="none" w:color="000000" w:sz="4" w:space="0"/>
              <w:bottom w:val="none" w:color="000000" w:sz="4" w:space="0"/>
              <w:right w:val="none" w:color="000000" w:sz="4" w:space="0"/>
            </w:tcBorders>
            <w:tcW w:w="8698" w:type="dxa"/>
            <w:vAlign w:val="center"/>
            <w:textDirection w:val="lrTb"/>
            <w:noWrap w:val="false"/>
          </w:tcPr>
          <w:p>
            <w:pPr>
              <w:ind w:firstLine="4200"/>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单位技术负责人签字：</w:t>
            </w:r>
            <w:r/>
          </w:p>
        </w:tc>
      </w:tr>
      <w:tr>
        <w:trPr>
          <w:trHeight w:val="1113"/>
        </w:trPr>
        <w:tc>
          <w:tcPr>
            <w:gridSpan w:val="32"/>
            <w:shd w:val="clear" w:color="auto" w:fill="auto"/>
            <w:tcBorders>
              <w:top w:val="none" w:color="000000" w:sz="4" w:space="0"/>
              <w:left w:val="none" w:color="000000" w:sz="4" w:space="0"/>
              <w:bottom w:val="none" w:color="000000" w:sz="4" w:space="0"/>
              <w:right w:val="none" w:color="000000" w:sz="4" w:space="0"/>
            </w:tcBorders>
            <w:tcW w:w="8698" w:type="dxa"/>
            <w:vAlign w:val="center"/>
            <w:textDirection w:val="lrTb"/>
            <w:noWrap w:val="false"/>
          </w:tcPr>
          <w:p>
            <w:pPr>
              <w:jc w:val="left"/>
              <w:widowControl/>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备注：每月结束后3日内交单位技术负责人签字、盖章</w:t>
            </w:r>
            <w:r/>
          </w:p>
        </w:tc>
      </w:tr>
    </w:tbl>
    <w:p>
      <w:pPr>
        <w:pStyle w:val="91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912"/>
        <w:rPr>
          <w:rFonts w:hint="eastAsia" w:ascii="宋体" w:hAnsi="宋体" w:cs="宋体"/>
          <w:sz w:val="24"/>
          <w:szCs w:val="24"/>
        </w:rPr>
      </w:pPr>
      <w:r>
        <w:rPr>
          <w:rFonts w:hint="eastAsia" w:ascii="宋体" w:hAnsi="宋体" w:cs="宋体"/>
          <w:sz w:val="24"/>
          <w:szCs w:val="24"/>
        </w:rPr>
      </w:r>
      <w:r/>
    </w:p>
    <w:p>
      <w:pPr>
        <w:pStyle w:val="912"/>
        <w:rPr>
          <w:rFonts w:hint="eastAsia" w:ascii="宋体" w:hAnsi="宋体" w:cs="宋体"/>
          <w:sz w:val="24"/>
          <w:szCs w:val="24"/>
        </w:rPr>
      </w:pPr>
      <w:r>
        <w:rPr>
          <w:rFonts w:hint="eastAsia" w:ascii="宋体" w:hAnsi="宋体" w:cs="宋体"/>
          <w:sz w:val="24"/>
          <w:szCs w:val="24"/>
        </w:rPr>
      </w:r>
      <w:r/>
    </w:p>
    <w:p>
      <w:pPr>
        <w:pStyle w:val="912"/>
        <w:rPr>
          <w:rFonts w:hint="eastAsia" w:ascii="宋体" w:hAnsi="宋体" w:cs="宋体"/>
          <w:sz w:val="24"/>
          <w:szCs w:val="24"/>
        </w:rPr>
      </w:pPr>
      <w:r>
        <w:rPr>
          <w:rFonts w:hint="eastAsia" w:ascii="宋体" w:hAnsi="宋体" w:cs="宋体"/>
          <w:sz w:val="24"/>
          <w:szCs w:val="24"/>
        </w:rPr>
      </w:r>
      <w:r/>
    </w:p>
    <w:p>
      <w:pPr>
        <w:pStyle w:val="912"/>
        <w:rPr>
          <w:rFonts w:hint="eastAsia" w:ascii="宋体" w:hAnsi="宋体" w:cs="宋体"/>
          <w:sz w:val="24"/>
          <w:szCs w:val="24"/>
        </w:rPr>
      </w:pPr>
      <w:r>
        <w:rPr>
          <w:rFonts w:hint="eastAsia" w:ascii="宋体" w:hAnsi="宋体" w:cs="宋体"/>
          <w:sz w:val="24"/>
          <w:szCs w:val="24"/>
        </w:rPr>
      </w:r>
      <w:r/>
    </w:p>
    <w:p>
      <w:pPr>
        <w:pStyle w:val="912"/>
        <w:rPr>
          <w:rFonts w:hint="eastAsia" w:ascii="宋体" w:hAnsi="宋体" w:cs="宋体"/>
          <w:sz w:val="24"/>
          <w:szCs w:val="24"/>
        </w:rPr>
      </w:pPr>
      <w:r>
        <w:rPr>
          <w:rFonts w:hint="eastAsia" w:ascii="宋体" w:hAnsi="宋体" w:cs="宋体"/>
          <w:sz w:val="24"/>
          <w:szCs w:val="24"/>
        </w:rPr>
      </w:r>
      <w:r/>
    </w:p>
    <w:p>
      <w:pPr>
        <w:pStyle w:val="912"/>
        <w:rPr>
          <w:rFonts w:hint="eastAsia" w:ascii="宋体" w:hAnsi="宋体" w:cs="宋体"/>
          <w:sz w:val="24"/>
          <w:szCs w:val="24"/>
        </w:rPr>
      </w:pPr>
      <w:r>
        <w:rPr>
          <w:rFonts w:hint="eastAsia" w:ascii="宋体" w:hAnsi="宋体" w:cs="宋体"/>
          <w:sz w:val="24"/>
          <w:szCs w:val="24"/>
        </w:rPr>
      </w:r>
      <w:r/>
    </w:p>
    <w:p>
      <w:pPr>
        <w:pStyle w:val="912"/>
        <w:rPr>
          <w:rFonts w:hint="eastAsia" w:ascii="宋体" w:hAnsi="宋体" w:cs="宋体"/>
          <w:sz w:val="24"/>
          <w:szCs w:val="24"/>
        </w:rPr>
      </w:pPr>
      <w:r>
        <w:rPr>
          <w:rFonts w:hint="eastAsia" w:ascii="宋体" w:hAnsi="宋体" w:cs="宋体"/>
          <w:sz w:val="24"/>
          <w:szCs w:val="24"/>
        </w:rPr>
      </w:r>
      <w:r/>
    </w:p>
    <w:p>
      <w:r/>
      <w:r/>
    </w:p>
    <w:sectPr>
      <w:footerReference w:type="default" r:id="rId10"/>
      <w:footnotePr/>
      <w:endnotePr/>
      <w:type w:val="nextPage"/>
      <w:pgSz w:w="11906" w:h="16838" w:orient="portrait"/>
      <w:pgMar w:top="1701" w:right="1587" w:bottom="1701" w:left="1587"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仿宋">
    <w:panose1 w:val="02010609060101010101"/>
  </w:font>
  <w:font w:name="Symbol">
    <w:panose1 w:val="05050102010706020507"/>
  </w:font>
  <w:font w:name="Wingdings">
    <w:panose1 w:val="05000000000000000000"/>
  </w:font>
  <w:font w:name="Calibri">
    <w:panose1 w:val="020F0502020204030204"/>
  </w:font>
  <w:font w:name="Cambria">
    <w:panose1 w:val="02040503050406030204"/>
  </w:font>
  <w:font w:name="仿宋_GB2312">
    <w:panose1 w:val="02010609060101010101"/>
  </w:font>
  <w:font w:name="方正小标宋简体">
    <w:panose1 w:val="020B0503020202020204"/>
  </w:font>
  <w:font w:name="Courier New">
    <w:panose1 w:val="020703090202050204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1"/>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2056765</wp:posOffset>
              </wp:positionH>
              <wp:positionV relativeFrom="paragraph">
                <wp:posOffset>-50800</wp:posOffset>
              </wp:positionV>
              <wp:extent cx="772160" cy="232410"/>
              <wp:effectExtent l="0" t="0" r="0" b="0"/>
              <wp:wrapNone/>
              <wp:docPr id="1" name="文本框 9"/>
              <wp:cNvGraphicFramePr/>
              <a:graphic xmlns:a="http://schemas.openxmlformats.org/drawingml/2006/main">
                <a:graphicData uri="http://schemas.microsoft.com/office/word/2010/wordprocessingShape">
                  <wps:wsp>
                    <wps:cNvPr id="0" name=""/>
                    <wps:cNvSpPr txBox="1"/>
                    <wps:spPr bwMode="auto">
                      <a:xfrm>
                        <a:off x="0" y="0"/>
                        <a:ext cx="772160" cy="23241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21"/>
                            <w:jc w:val="center"/>
                            <w:rPr>
                              <w:rFonts w:hint="default" w:ascii="Times New Roman" w:hAnsi="Times New Roman" w:cs="Times New Roman"/>
                              <w:sz w:val="24"/>
                              <w:szCs w:val="24"/>
                            </w:rPr>
                          </w:pPr>
                          <w:r>
                            <w:rPr>
                              <w:sz w:val="24"/>
                              <w:szCs w:val="24"/>
                            </w:rPr>
                            <w:fldChar w:fldCharType="begin"/>
                          </w:r>
                          <w:r>
                            <w:rPr>
                              <w:sz w:val="24"/>
                              <w:szCs w:val="24"/>
                            </w:rPr>
                            <w:instrText xml:space="preserve"> PAGE  \* MERGEFORMAT </w:instrText>
                          </w:r>
                          <w:r>
                            <w:rPr>
                              <w:sz w:val="24"/>
                              <w:szCs w:val="24"/>
                            </w:rPr>
                            <w:fldChar w:fldCharType="separate"/>
                          </w:r>
                          <w:r>
                            <w:rPr>
                              <w:sz w:val="24"/>
                              <w:szCs w:val="24"/>
                            </w:rPr>
                            <w:t xml:space="preserve">1</w:t>
                          </w:r>
                          <w:r>
                            <w:rPr>
                              <w:sz w:val="24"/>
                              <w:szCs w:val="24"/>
                            </w:rP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59264;o:allowoverlap:true;o:allowincell:true;mso-position-horizontal-relative:margin;margin-left:161.9pt;mso-position-horizontal:absolute;mso-position-vertical-relative:text;margin-top:-4.0pt;mso-position-vertical:absolute;width:60.8pt;height:18.3pt;mso-wrap-distance-left:9.0pt;mso-wrap-distance-top:0.0pt;mso-wrap-distance-right:9.0pt;mso-wrap-distance-bottom:0.0pt;v-text-anchor:top;visibility:visible;" filled="f" stroked="f" strokeweight="0.50pt">
              <v:textbox inset="0,0,0,0">
                <w:txbxContent>
                  <w:p>
                    <w:pPr>
                      <w:pStyle w:val="721"/>
                      <w:jc w:val="center"/>
                      <w:rPr>
                        <w:rFonts w:hint="default" w:ascii="Times New Roman" w:hAnsi="Times New Roman" w:cs="Times New Roman"/>
                        <w:sz w:val="24"/>
                        <w:szCs w:val="24"/>
                      </w:rPr>
                    </w:pPr>
                    <w:r>
                      <w:rPr>
                        <w:sz w:val="24"/>
                        <w:szCs w:val="24"/>
                      </w:rPr>
                      <w:fldChar w:fldCharType="begin"/>
                    </w:r>
                    <w:r>
                      <w:rPr>
                        <w:sz w:val="24"/>
                        <w:szCs w:val="24"/>
                      </w:rPr>
                      <w:instrText xml:space="preserve"> PAGE  \* MERGEFORMAT </w:instrText>
                    </w:r>
                    <w:r>
                      <w:rPr>
                        <w:sz w:val="24"/>
                        <w:szCs w:val="24"/>
                      </w:rPr>
                      <w:fldChar w:fldCharType="separate"/>
                    </w:r>
                    <w:r>
                      <w:rPr>
                        <w:sz w:val="24"/>
                        <w:szCs w:val="24"/>
                      </w:rPr>
                      <w:t xml:space="preserve">1</w:t>
                    </w:r>
                    <w:r>
                      <w:rPr>
                        <w:sz w:val="24"/>
                        <w:szCs w:val="24"/>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2"/>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8"/>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5"/>
      <w:numFmt w:val="decimal"/>
      <w:isLgl w:val="false"/>
      <w:suff w:val="space"/>
      <w:lvlText w:val="%1."/>
      <w:lvlJc w:val="left"/>
      <w:pPr/>
      <w:rPr>
        <w:rFonts w:hint="default"/>
        <w:b/>
        <w:bC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3"/>
  </w:num>
  <w:num w:numId="3">
    <w:abstractNumId w:val="1"/>
  </w:num>
  <w:num w:numId="4">
    <w:abstractNumId w:val="0"/>
  </w:num>
  <w:num w:numId="5">
    <w:abstractNumId w:val="2"/>
  </w:num>
  <w:num w:numId="6">
    <w:abstractNumId w:val="4"/>
  </w:num>
  <w:num w:numId="7">
    <w:abstractNumId w:val="8"/>
  </w:num>
  <w:num w:numId="8">
    <w:abstractNumId w:val="6"/>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7"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98">
    <w:name w:val="Heading 1"/>
    <w:basedOn w:val="697"/>
    <w:next w:val="697"/>
    <w:uiPriority w:val="9"/>
    <w:qFormat/>
    <w:pPr>
      <w:keepLines/>
      <w:keepNext/>
      <w:spacing w:before="480" w:after="200"/>
      <w:outlineLvl w:val="0"/>
    </w:pPr>
    <w:rPr>
      <w:rFonts w:ascii="Arial" w:hAnsi="Arial" w:eastAsia="Arial" w:cs="Arial"/>
      <w:sz w:val="40"/>
      <w:szCs w:val="40"/>
    </w:rPr>
  </w:style>
  <w:style w:type="paragraph" w:styleId="699">
    <w:name w:val="Heading 2"/>
    <w:basedOn w:val="697"/>
    <w:next w:val="697"/>
    <w:link w:val="738"/>
    <w:uiPriority w:val="9"/>
    <w:unhideWhenUsed/>
    <w:qFormat/>
    <w:pPr>
      <w:keepLines/>
      <w:keepNext/>
      <w:spacing w:before="360" w:after="200"/>
      <w:outlineLvl w:val="1"/>
    </w:pPr>
    <w:rPr>
      <w:rFonts w:ascii="Arial" w:hAnsi="Arial" w:eastAsia="Arial" w:cs="Arial"/>
      <w:sz w:val="34"/>
    </w:rPr>
  </w:style>
  <w:style w:type="paragraph" w:styleId="700">
    <w:name w:val="Heading 3"/>
    <w:basedOn w:val="697"/>
    <w:next w:val="697"/>
    <w:link w:val="739"/>
    <w:uiPriority w:val="9"/>
    <w:unhideWhenUsed/>
    <w:qFormat/>
    <w:pPr>
      <w:keepLines/>
      <w:keepNext/>
      <w:spacing w:before="320" w:after="200"/>
      <w:outlineLvl w:val="2"/>
    </w:pPr>
    <w:rPr>
      <w:rFonts w:ascii="Arial" w:hAnsi="Arial" w:eastAsia="Arial" w:cs="Arial"/>
      <w:sz w:val="30"/>
      <w:szCs w:val="30"/>
    </w:rPr>
  </w:style>
  <w:style w:type="paragraph" w:styleId="701">
    <w:name w:val="Heading 4"/>
    <w:basedOn w:val="697"/>
    <w:next w:val="697"/>
    <w:link w:val="740"/>
    <w:uiPriority w:val="9"/>
    <w:unhideWhenUsed/>
    <w:qFormat/>
    <w:pPr>
      <w:keepLines/>
      <w:keepNext/>
      <w:spacing w:before="320" w:after="200"/>
      <w:outlineLvl w:val="3"/>
    </w:pPr>
    <w:rPr>
      <w:rFonts w:ascii="Arial" w:hAnsi="Arial" w:eastAsia="Arial" w:cs="Arial"/>
      <w:b/>
      <w:bCs/>
      <w:sz w:val="26"/>
      <w:szCs w:val="26"/>
    </w:rPr>
  </w:style>
  <w:style w:type="paragraph" w:styleId="702">
    <w:name w:val="Heading 5"/>
    <w:basedOn w:val="697"/>
    <w:next w:val="697"/>
    <w:link w:val="741"/>
    <w:uiPriority w:val="9"/>
    <w:unhideWhenUsed/>
    <w:qFormat/>
    <w:pPr>
      <w:keepLines/>
      <w:keepNext/>
      <w:spacing w:before="320" w:after="200"/>
      <w:outlineLvl w:val="4"/>
    </w:pPr>
    <w:rPr>
      <w:rFonts w:ascii="Arial" w:hAnsi="Arial" w:eastAsia="Arial" w:cs="Arial"/>
      <w:b/>
      <w:bCs/>
      <w:sz w:val="24"/>
      <w:szCs w:val="24"/>
    </w:rPr>
  </w:style>
  <w:style w:type="paragraph" w:styleId="703">
    <w:name w:val="Heading 6"/>
    <w:basedOn w:val="697"/>
    <w:next w:val="697"/>
    <w:link w:val="742"/>
    <w:uiPriority w:val="9"/>
    <w:unhideWhenUsed/>
    <w:qFormat/>
    <w:pPr>
      <w:keepLines/>
      <w:keepNext/>
      <w:spacing w:before="320" w:after="200"/>
      <w:outlineLvl w:val="5"/>
    </w:pPr>
    <w:rPr>
      <w:rFonts w:ascii="Arial" w:hAnsi="Arial" w:eastAsia="Arial" w:cs="Arial"/>
      <w:b/>
      <w:bCs/>
      <w:sz w:val="22"/>
      <w:szCs w:val="22"/>
    </w:rPr>
  </w:style>
  <w:style w:type="paragraph" w:styleId="704">
    <w:name w:val="Heading 7"/>
    <w:basedOn w:val="697"/>
    <w:next w:val="697"/>
    <w:link w:val="743"/>
    <w:uiPriority w:val="9"/>
    <w:unhideWhenUsed/>
    <w:qFormat/>
    <w:pPr>
      <w:keepLines/>
      <w:keepNext/>
      <w:spacing w:before="320" w:after="200"/>
      <w:outlineLvl w:val="6"/>
    </w:pPr>
    <w:rPr>
      <w:rFonts w:ascii="Arial" w:hAnsi="Arial" w:eastAsia="Arial" w:cs="Arial"/>
      <w:b/>
      <w:bCs/>
      <w:i/>
      <w:iCs/>
      <w:sz w:val="22"/>
      <w:szCs w:val="22"/>
    </w:rPr>
  </w:style>
  <w:style w:type="paragraph" w:styleId="705">
    <w:name w:val="Heading 8"/>
    <w:basedOn w:val="697"/>
    <w:next w:val="697"/>
    <w:link w:val="744"/>
    <w:uiPriority w:val="9"/>
    <w:unhideWhenUsed/>
    <w:qFormat/>
    <w:pPr>
      <w:keepLines/>
      <w:keepNext/>
      <w:spacing w:before="320" w:after="200"/>
      <w:outlineLvl w:val="7"/>
    </w:pPr>
    <w:rPr>
      <w:rFonts w:ascii="Arial" w:hAnsi="Arial" w:eastAsia="Arial" w:cs="Arial"/>
      <w:i/>
      <w:iCs/>
      <w:sz w:val="22"/>
      <w:szCs w:val="22"/>
    </w:rPr>
  </w:style>
  <w:style w:type="paragraph" w:styleId="706">
    <w:name w:val="Heading 9"/>
    <w:basedOn w:val="697"/>
    <w:next w:val="697"/>
    <w:link w:val="745"/>
    <w:uiPriority w:val="9"/>
    <w:unhideWhenUsed/>
    <w:qFormat/>
    <w:pPr>
      <w:keepLines/>
      <w:keepNext/>
      <w:spacing w:before="320" w:after="200"/>
      <w:outlineLvl w:val="8"/>
    </w:pPr>
    <w:rPr>
      <w:rFonts w:ascii="Arial" w:hAnsi="Arial" w:eastAsia="Arial" w:cs="Arial"/>
      <w:i/>
      <w:iCs/>
      <w:sz w:val="21"/>
      <w:szCs w:val="21"/>
    </w:rPr>
  </w:style>
  <w:style w:type="character" w:styleId="707" w:default="1">
    <w:name w:val="Default Paragraph Font"/>
    <w:uiPriority w:val="1"/>
    <w:semiHidden/>
    <w:unhideWhenUsed/>
    <w:qFormat/>
  </w:style>
  <w:style w:type="table" w:styleId="708" w:default="1">
    <w:name w:val="Normal Table"/>
    <w:uiPriority w:val="99"/>
    <w:semiHidden/>
    <w:unhideWhenUsed/>
    <w:qFormat/>
    <w:tblPr>
      <w:tblCellMar>
        <w:left w:w="108" w:type="dxa"/>
        <w:top w:w="0" w:type="dxa"/>
        <w:right w:w="108" w:type="dxa"/>
        <w:bottom w:w="0" w:type="dxa"/>
      </w:tblCellMar>
    </w:tblPr>
  </w:style>
  <w:style w:type="paragraph" w:styleId="709">
    <w:name w:val="toc 7"/>
    <w:basedOn w:val="697"/>
    <w:next w:val="697"/>
    <w:uiPriority w:val="39"/>
    <w:unhideWhenUsed/>
    <w:qFormat/>
    <w:pPr>
      <w:ind w:left="1701" w:right="0" w:firstLine="0"/>
      <w:spacing w:after="57"/>
    </w:pPr>
  </w:style>
  <w:style w:type="paragraph" w:styleId="710">
    <w:name w:val="Normal Indent"/>
    <w:basedOn w:val="697"/>
    <w:next w:val="697"/>
    <w:uiPriority w:val="99"/>
    <w:unhideWhenUsed/>
    <w:qFormat/>
    <w:pPr>
      <w:ind w:firstLine="420"/>
    </w:pPr>
  </w:style>
  <w:style w:type="paragraph" w:styleId="711">
    <w:name w:val="Caption"/>
    <w:basedOn w:val="697"/>
    <w:next w:val="697"/>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12">
    <w:name w:val="Body Text"/>
    <w:basedOn w:val="697"/>
    <w:uiPriority w:val="0"/>
    <w:qFormat/>
    <w:pPr>
      <w:spacing w:after="120"/>
    </w:pPr>
  </w:style>
  <w:style w:type="paragraph" w:styleId="713">
    <w:name w:val="Body Text Indent"/>
    <w:basedOn w:val="697"/>
    <w:next w:val="714"/>
    <w:uiPriority w:val="0"/>
    <w:qFormat/>
    <w:pPr>
      <w:ind w:left="420"/>
      <w:spacing w:after="120"/>
    </w:pPr>
  </w:style>
  <w:style w:type="paragraph" w:styleId="714">
    <w:name w:val="envelope return"/>
    <w:basedOn w:val="697"/>
    <w:uiPriority w:val="99"/>
    <w:unhideWhenUsed/>
    <w:qFormat/>
    <w:rPr>
      <w:rFonts w:ascii="Arial" w:hAnsi="Arial"/>
    </w:rPr>
  </w:style>
  <w:style w:type="paragraph" w:styleId="715">
    <w:name w:val="Block Text"/>
    <w:basedOn w:val="697"/>
    <w:uiPriority w:val="0"/>
    <w:qFormat/>
    <w:pPr>
      <w:ind w:left="268" w:right="-24" w:firstLine="473"/>
    </w:pPr>
    <w:rPr>
      <w:bCs/>
    </w:rPr>
  </w:style>
  <w:style w:type="paragraph" w:styleId="716">
    <w:name w:val="toc 5"/>
    <w:basedOn w:val="697"/>
    <w:next w:val="697"/>
    <w:uiPriority w:val="39"/>
    <w:unhideWhenUsed/>
    <w:qFormat/>
    <w:pPr>
      <w:ind w:left="1134" w:right="0" w:firstLine="0"/>
      <w:spacing w:after="57"/>
    </w:pPr>
  </w:style>
  <w:style w:type="paragraph" w:styleId="717">
    <w:name w:val="toc 3"/>
    <w:basedOn w:val="697"/>
    <w:next w:val="697"/>
    <w:uiPriority w:val="39"/>
    <w:unhideWhenUsed/>
    <w:qFormat/>
    <w:pPr>
      <w:ind w:left="567" w:right="0" w:firstLine="0"/>
      <w:spacing w:after="57"/>
    </w:pPr>
  </w:style>
  <w:style w:type="paragraph" w:styleId="718">
    <w:name w:val="Plain Text"/>
    <w:basedOn w:val="697"/>
    <w:uiPriority w:val="0"/>
    <w:qFormat/>
    <w:rPr>
      <w:rFonts w:hint="eastAsia" w:ascii="宋体" w:hAnsi="Courier New" w:eastAsia="仿宋_GB2312"/>
      <w:sz w:val="30"/>
      <w:szCs w:val="20"/>
    </w:rPr>
  </w:style>
  <w:style w:type="paragraph" w:styleId="719">
    <w:name w:val="toc 8"/>
    <w:basedOn w:val="697"/>
    <w:next w:val="697"/>
    <w:uiPriority w:val="39"/>
    <w:unhideWhenUsed/>
    <w:qFormat/>
    <w:pPr>
      <w:ind w:left="1984" w:right="0" w:firstLine="0"/>
      <w:spacing w:after="57"/>
    </w:pPr>
  </w:style>
  <w:style w:type="paragraph" w:styleId="720">
    <w:name w:val="endnote text"/>
    <w:basedOn w:val="697"/>
    <w:link w:val="882"/>
    <w:uiPriority w:val="99"/>
    <w:semiHidden/>
    <w:unhideWhenUsed/>
    <w:qFormat/>
    <w:pPr>
      <w:spacing w:after="0" w:line="240" w:lineRule="auto"/>
    </w:pPr>
    <w:rPr>
      <w:sz w:val="20"/>
    </w:rPr>
  </w:style>
  <w:style w:type="paragraph" w:styleId="721">
    <w:name w:val="Footer"/>
    <w:basedOn w:val="697"/>
    <w:link w:val="755"/>
    <w:uiPriority w:val="99"/>
    <w:unhideWhenUsed/>
    <w:qFormat/>
    <w:pPr>
      <w:spacing w:after="0" w:line="240" w:lineRule="auto"/>
      <w:tabs>
        <w:tab w:val="center" w:pos="7143" w:leader="none"/>
        <w:tab w:val="right" w:pos="14287" w:leader="none"/>
      </w:tabs>
    </w:pPr>
  </w:style>
  <w:style w:type="paragraph" w:styleId="722">
    <w:name w:val="Header"/>
    <w:basedOn w:val="697"/>
    <w:link w:val="753"/>
    <w:uiPriority w:val="99"/>
    <w:unhideWhenUsed/>
    <w:qFormat/>
    <w:pPr>
      <w:spacing w:after="0" w:line="240" w:lineRule="auto"/>
      <w:tabs>
        <w:tab w:val="center" w:pos="7143" w:leader="none"/>
        <w:tab w:val="right" w:pos="14287" w:leader="none"/>
      </w:tabs>
    </w:pPr>
  </w:style>
  <w:style w:type="paragraph" w:styleId="723">
    <w:name w:val="toc 1"/>
    <w:basedOn w:val="697"/>
    <w:next w:val="697"/>
    <w:uiPriority w:val="39"/>
    <w:unhideWhenUsed/>
    <w:qFormat/>
    <w:pPr>
      <w:ind w:left="0" w:right="0" w:firstLine="0"/>
      <w:spacing w:after="57"/>
    </w:pPr>
  </w:style>
  <w:style w:type="paragraph" w:styleId="724">
    <w:name w:val="toc 4"/>
    <w:basedOn w:val="697"/>
    <w:next w:val="697"/>
    <w:uiPriority w:val="39"/>
    <w:unhideWhenUsed/>
    <w:qFormat/>
    <w:pPr>
      <w:ind w:left="850" w:right="0" w:firstLine="0"/>
      <w:spacing w:after="57"/>
    </w:pPr>
  </w:style>
  <w:style w:type="paragraph" w:styleId="725">
    <w:name w:val="Subtitle"/>
    <w:basedOn w:val="697"/>
    <w:next w:val="697"/>
    <w:link w:val="748"/>
    <w:uiPriority w:val="11"/>
    <w:qFormat/>
    <w:pPr>
      <w:spacing w:before="200" w:after="200"/>
    </w:pPr>
    <w:rPr>
      <w:sz w:val="24"/>
      <w:szCs w:val="24"/>
    </w:rPr>
  </w:style>
  <w:style w:type="paragraph" w:styleId="726">
    <w:name w:val="footnote text"/>
    <w:basedOn w:val="697"/>
    <w:link w:val="881"/>
    <w:uiPriority w:val="99"/>
    <w:semiHidden/>
    <w:unhideWhenUsed/>
    <w:qFormat/>
    <w:pPr>
      <w:spacing w:after="40" w:line="240" w:lineRule="auto"/>
    </w:pPr>
    <w:rPr>
      <w:sz w:val="18"/>
    </w:rPr>
  </w:style>
  <w:style w:type="paragraph" w:styleId="727">
    <w:name w:val="toc 6"/>
    <w:basedOn w:val="697"/>
    <w:next w:val="697"/>
    <w:uiPriority w:val="39"/>
    <w:unhideWhenUsed/>
    <w:qFormat/>
    <w:pPr>
      <w:ind w:left="1417" w:right="0" w:firstLine="0"/>
      <w:spacing w:after="57"/>
    </w:pPr>
  </w:style>
  <w:style w:type="paragraph" w:styleId="728">
    <w:name w:val="table of figures"/>
    <w:basedOn w:val="697"/>
    <w:next w:val="697"/>
    <w:uiPriority w:val="99"/>
    <w:unhideWhenUsed/>
    <w:qFormat/>
    <w:pPr>
      <w:spacing w:after="0" w:afterAutospacing="0"/>
    </w:pPr>
  </w:style>
  <w:style w:type="paragraph" w:styleId="729">
    <w:name w:val="toc 2"/>
    <w:basedOn w:val="697"/>
    <w:next w:val="697"/>
    <w:uiPriority w:val="39"/>
    <w:unhideWhenUsed/>
    <w:qFormat/>
    <w:pPr>
      <w:ind w:left="283" w:right="0" w:firstLine="0"/>
      <w:spacing w:after="57"/>
    </w:pPr>
  </w:style>
  <w:style w:type="paragraph" w:styleId="730">
    <w:name w:val="toc 9"/>
    <w:basedOn w:val="697"/>
    <w:next w:val="697"/>
    <w:uiPriority w:val="39"/>
    <w:unhideWhenUsed/>
    <w:qFormat/>
    <w:pPr>
      <w:ind w:left="2268" w:right="0" w:firstLine="0"/>
      <w:spacing w:after="57"/>
    </w:pPr>
  </w:style>
  <w:style w:type="paragraph" w:styleId="731">
    <w:name w:val="Normal (Web)"/>
    <w:basedOn w:val="697"/>
    <w:uiPriority w:val="0"/>
    <w:qFormat/>
    <w:pPr>
      <w:jc w:val="left"/>
      <w:spacing w:beforeAutospacing="1" w:afterAutospacing="1"/>
    </w:pPr>
    <w:rPr>
      <w:sz w:val="24"/>
    </w:rPr>
  </w:style>
  <w:style w:type="paragraph" w:styleId="732">
    <w:name w:val="Title"/>
    <w:basedOn w:val="697"/>
    <w:next w:val="697"/>
    <w:link w:val="747"/>
    <w:uiPriority w:val="10"/>
    <w:qFormat/>
    <w:pPr>
      <w:contextualSpacing/>
      <w:spacing w:before="300" w:after="200"/>
    </w:pPr>
    <w:rPr>
      <w:sz w:val="48"/>
      <w:szCs w:val="48"/>
    </w:rPr>
  </w:style>
  <w:style w:type="table" w:styleId="733">
    <w:name w:val="Table Grid"/>
    <w:basedOn w:val="708"/>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4">
    <w:name w:val="endnote reference"/>
    <w:basedOn w:val="707"/>
    <w:uiPriority w:val="99"/>
    <w:semiHidden/>
    <w:unhideWhenUsed/>
    <w:qFormat/>
    <w:rPr>
      <w:vertAlign w:val="superscript"/>
    </w:rPr>
  </w:style>
  <w:style w:type="character" w:styleId="735">
    <w:name w:val="Hyperlink"/>
    <w:uiPriority w:val="99"/>
    <w:unhideWhenUsed/>
    <w:qFormat/>
    <w:rPr>
      <w:color w:val="0026e5" w:themeColor="hyperlink"/>
      <w:u w:val="single"/>
      <w14:textFill>
        <w14:solidFill>
          <w14:schemeClr w14:val="hlink"/>
        </w14:solidFill>
      </w14:textFill>
    </w:rPr>
  </w:style>
  <w:style w:type="character" w:styleId="736">
    <w:name w:val="footnote reference"/>
    <w:basedOn w:val="707"/>
    <w:uiPriority w:val="99"/>
    <w:unhideWhenUsed/>
    <w:qFormat/>
    <w:rPr>
      <w:vertAlign w:val="superscript"/>
    </w:rPr>
  </w:style>
  <w:style w:type="character" w:styleId="737" w:customStyle="1">
    <w:name w:val="Heading 1 Char"/>
    <w:basedOn w:val="707"/>
    <w:uiPriority w:val="9"/>
    <w:rPr>
      <w:rFonts w:ascii="Arial" w:hAnsi="Arial" w:eastAsia="Arial" w:cs="Arial"/>
      <w:sz w:val="40"/>
      <w:szCs w:val="40"/>
    </w:rPr>
  </w:style>
  <w:style w:type="character" w:styleId="738" w:customStyle="1">
    <w:name w:val="Heading 2 Char"/>
    <w:basedOn w:val="707"/>
    <w:link w:val="699"/>
    <w:uiPriority w:val="9"/>
    <w:qFormat/>
    <w:rPr>
      <w:rFonts w:ascii="Arial" w:hAnsi="Arial" w:eastAsia="Arial" w:cs="Arial"/>
      <w:sz w:val="34"/>
    </w:rPr>
  </w:style>
  <w:style w:type="character" w:styleId="739" w:customStyle="1">
    <w:name w:val="Heading 3 Char"/>
    <w:basedOn w:val="707"/>
    <w:link w:val="700"/>
    <w:uiPriority w:val="9"/>
    <w:qFormat/>
    <w:rPr>
      <w:rFonts w:ascii="Arial" w:hAnsi="Arial" w:eastAsia="Arial" w:cs="Arial"/>
      <w:sz w:val="30"/>
      <w:szCs w:val="30"/>
    </w:rPr>
  </w:style>
  <w:style w:type="character" w:styleId="740" w:customStyle="1">
    <w:name w:val="Heading 4 Char"/>
    <w:basedOn w:val="707"/>
    <w:link w:val="701"/>
    <w:uiPriority w:val="9"/>
    <w:qFormat/>
    <w:rPr>
      <w:rFonts w:ascii="Arial" w:hAnsi="Arial" w:eastAsia="Arial" w:cs="Arial"/>
      <w:b/>
      <w:bCs/>
      <w:sz w:val="26"/>
      <w:szCs w:val="26"/>
    </w:rPr>
  </w:style>
  <w:style w:type="character" w:styleId="741" w:customStyle="1">
    <w:name w:val="Heading 5 Char"/>
    <w:basedOn w:val="707"/>
    <w:link w:val="702"/>
    <w:uiPriority w:val="9"/>
    <w:qFormat/>
    <w:rPr>
      <w:rFonts w:ascii="Arial" w:hAnsi="Arial" w:eastAsia="Arial" w:cs="Arial"/>
      <w:b/>
      <w:bCs/>
      <w:sz w:val="24"/>
      <w:szCs w:val="24"/>
    </w:rPr>
  </w:style>
  <w:style w:type="character" w:styleId="742" w:customStyle="1">
    <w:name w:val="Heading 6 Char"/>
    <w:basedOn w:val="707"/>
    <w:link w:val="703"/>
    <w:uiPriority w:val="9"/>
    <w:qFormat/>
    <w:rPr>
      <w:rFonts w:ascii="Arial" w:hAnsi="Arial" w:eastAsia="Arial" w:cs="Arial"/>
      <w:b/>
      <w:bCs/>
      <w:sz w:val="22"/>
      <w:szCs w:val="22"/>
    </w:rPr>
  </w:style>
  <w:style w:type="character" w:styleId="743" w:customStyle="1">
    <w:name w:val="Heading 7 Char"/>
    <w:basedOn w:val="707"/>
    <w:link w:val="704"/>
    <w:uiPriority w:val="9"/>
    <w:qFormat/>
    <w:rPr>
      <w:rFonts w:ascii="Arial" w:hAnsi="Arial" w:eastAsia="Arial" w:cs="Arial"/>
      <w:b/>
      <w:bCs/>
      <w:i/>
      <w:iCs/>
      <w:sz w:val="22"/>
      <w:szCs w:val="22"/>
    </w:rPr>
  </w:style>
  <w:style w:type="character" w:styleId="744" w:customStyle="1">
    <w:name w:val="Heading 8 Char"/>
    <w:basedOn w:val="707"/>
    <w:link w:val="705"/>
    <w:uiPriority w:val="9"/>
    <w:qFormat/>
    <w:rPr>
      <w:rFonts w:ascii="Arial" w:hAnsi="Arial" w:eastAsia="Arial" w:cs="Arial"/>
      <w:i/>
      <w:iCs/>
      <w:sz w:val="22"/>
      <w:szCs w:val="22"/>
    </w:rPr>
  </w:style>
  <w:style w:type="character" w:styleId="745" w:customStyle="1">
    <w:name w:val="Heading 9 Char"/>
    <w:basedOn w:val="707"/>
    <w:link w:val="706"/>
    <w:uiPriority w:val="9"/>
    <w:qFormat/>
    <w:rPr>
      <w:rFonts w:ascii="Arial" w:hAnsi="Arial" w:eastAsia="Arial" w:cs="Arial"/>
      <w:i/>
      <w:iCs/>
      <w:sz w:val="21"/>
      <w:szCs w:val="21"/>
    </w:rPr>
  </w:style>
  <w:style w:type="paragraph" w:styleId="746">
    <w:name w:val="No Spacing"/>
    <w:uiPriority w:val="1"/>
    <w:qFormat/>
    <w:pPr>
      <w:spacing w:before="0" w:after="0" w:line="240" w:lineRule="auto"/>
    </w:pPr>
    <w:rPr>
      <w:rFonts w:hint="default" w:ascii="Times New Roman" w:hAnsi="Times New Roman" w:eastAsia="宋体" w:cs="Times New Roman"/>
    </w:rPr>
  </w:style>
  <w:style w:type="character" w:styleId="747" w:customStyle="1">
    <w:name w:val="Title Char"/>
    <w:basedOn w:val="707"/>
    <w:link w:val="732"/>
    <w:uiPriority w:val="10"/>
    <w:qFormat/>
    <w:rPr>
      <w:sz w:val="48"/>
      <w:szCs w:val="48"/>
    </w:rPr>
  </w:style>
  <w:style w:type="character" w:styleId="748" w:customStyle="1">
    <w:name w:val="Subtitle Char"/>
    <w:basedOn w:val="707"/>
    <w:link w:val="725"/>
    <w:uiPriority w:val="11"/>
    <w:qFormat/>
    <w:rPr>
      <w:sz w:val="24"/>
      <w:szCs w:val="24"/>
    </w:rPr>
  </w:style>
  <w:style w:type="paragraph" w:styleId="749">
    <w:name w:val="Quote"/>
    <w:basedOn w:val="697"/>
    <w:next w:val="697"/>
    <w:link w:val="750"/>
    <w:uiPriority w:val="29"/>
    <w:qFormat/>
    <w:pPr>
      <w:ind w:left="720" w:right="720"/>
    </w:pPr>
    <w:rPr>
      <w:i/>
    </w:rPr>
  </w:style>
  <w:style w:type="character" w:styleId="750" w:customStyle="1">
    <w:name w:val="Quote Char"/>
    <w:link w:val="749"/>
    <w:uiPriority w:val="29"/>
    <w:rPr>
      <w:i/>
    </w:rPr>
  </w:style>
  <w:style w:type="paragraph" w:styleId="751">
    <w:name w:val="Intense Quote"/>
    <w:basedOn w:val="697"/>
    <w:next w:val="697"/>
    <w:link w:val="75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2" w:customStyle="1">
    <w:name w:val="Intense Quote Char"/>
    <w:link w:val="751"/>
    <w:uiPriority w:val="30"/>
    <w:qFormat/>
    <w:rPr>
      <w:i/>
    </w:rPr>
  </w:style>
  <w:style w:type="character" w:styleId="753" w:customStyle="1">
    <w:name w:val="Header Char"/>
    <w:basedOn w:val="707"/>
    <w:link w:val="722"/>
    <w:uiPriority w:val="99"/>
    <w:qFormat/>
  </w:style>
  <w:style w:type="character" w:styleId="754" w:customStyle="1">
    <w:name w:val="Footer Char"/>
    <w:basedOn w:val="707"/>
    <w:link w:val="721"/>
    <w:uiPriority w:val="99"/>
    <w:qFormat/>
  </w:style>
  <w:style w:type="character" w:styleId="755" w:customStyle="1">
    <w:name w:val="Caption Char"/>
    <w:link w:val="721"/>
    <w:uiPriority w:val="99"/>
    <w:qFormat/>
  </w:style>
  <w:style w:type="table" w:styleId="756" w:customStyle="1">
    <w:name w:val="Table Grid Light"/>
    <w:basedOn w:val="70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7" w:customStyle="1">
    <w:name w:val="Plain Table 1"/>
    <w:basedOn w:val="70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8" w:customStyle="1">
    <w:name w:val="Plain Table 2"/>
    <w:basedOn w:val="708"/>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9" w:customStyle="1">
    <w:name w:val="Plain Table 3"/>
    <w:basedOn w:val="70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0" w:customStyle="1">
    <w:name w:val="Plain Table 4"/>
    <w:basedOn w:val="70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1" w:customStyle="1">
    <w:name w:val="Plain Table 5"/>
    <w:basedOn w:val="70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2" w:customStyle="1">
    <w:name w:val="Grid Table 1 Light"/>
    <w:basedOn w:val="708"/>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3" w:customStyle="1">
    <w:name w:val="Grid Table 1 Light - Accent 1"/>
    <w:basedOn w:val="708"/>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764" w:customStyle="1">
    <w:name w:val="Grid Table 1 Light - Accent 2"/>
    <w:basedOn w:val="708"/>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765" w:customStyle="1">
    <w:name w:val="Grid Table 1 Light - Accent 3"/>
    <w:basedOn w:val="708"/>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766" w:customStyle="1">
    <w:name w:val="Grid Table 1 Light - Accent 4"/>
    <w:basedOn w:val="708"/>
    <w:uiPriority w:val="99"/>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767" w:customStyle="1">
    <w:name w:val="Grid Table 1 Light - Accent 5"/>
    <w:basedOn w:val="708"/>
    <w:uiPriority w:val="99"/>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768" w:customStyle="1">
    <w:name w:val="Grid Table 1 Light - Accent 6"/>
    <w:basedOn w:val="708"/>
    <w:uiPriority w:val="99"/>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769" w:customStyle="1">
    <w:name w:val="Grid Table 2"/>
    <w:basedOn w:val="708"/>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0" w:customStyle="1">
    <w:name w:val="Grid Table 2 - Accent 1"/>
    <w:basedOn w:val="708"/>
    <w:uiPriority w:val="99"/>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771" w:customStyle="1">
    <w:name w:val="Grid Table 2 - Accent 2"/>
    <w:basedOn w:val="708"/>
    <w:uiPriority w:val="99"/>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772" w:customStyle="1">
    <w:name w:val="Grid Table 2 - Accent 3"/>
    <w:basedOn w:val="708"/>
    <w:uiPriority w:val="99"/>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773" w:customStyle="1">
    <w:name w:val="Grid Table 2 - Accent 4"/>
    <w:basedOn w:val="708"/>
    <w:uiPriority w:val="99"/>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774" w:customStyle="1">
    <w:name w:val="Grid Table 2 - Accent 5"/>
    <w:basedOn w:val="708"/>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775" w:customStyle="1">
    <w:name w:val="Grid Table 2 - Accent 6"/>
    <w:basedOn w:val="708"/>
    <w:uiPriority w:val="99"/>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776" w:customStyle="1">
    <w:name w:val="Grid Table 3"/>
    <w:basedOn w:val="70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Grid Table 3 - Accent 1"/>
    <w:basedOn w:val="708"/>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3 - Accent 2"/>
    <w:basedOn w:val="708"/>
    <w:uiPriority w:val="99"/>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Grid Table 3 - Accent 3"/>
    <w:basedOn w:val="708"/>
    <w:uiPriority w:val="99"/>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3 - Accent 4"/>
    <w:basedOn w:val="708"/>
    <w:uiPriority w:val="99"/>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3 - Accent 5"/>
    <w:basedOn w:val="708"/>
    <w:uiPriority w:val="99"/>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3 - Accent 6"/>
    <w:basedOn w:val="708"/>
    <w:uiPriority w:val="99"/>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4"/>
    <w:basedOn w:val="708"/>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4" w:customStyle="1">
    <w:name w:val="Grid Table 4 - Accent 1"/>
    <w:basedOn w:val="708"/>
    <w:uiPriority w:val="59"/>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785" w:customStyle="1">
    <w:name w:val="Grid Table 4 - Accent 2"/>
    <w:basedOn w:val="708"/>
    <w:uiPriority w:val="59"/>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786" w:customStyle="1">
    <w:name w:val="Grid Table 4 - Accent 3"/>
    <w:basedOn w:val="708"/>
    <w:uiPriority w:val="59"/>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787" w:customStyle="1">
    <w:name w:val="Grid Table 4 - Accent 4"/>
    <w:basedOn w:val="708"/>
    <w:uiPriority w:val="59"/>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788" w:customStyle="1">
    <w:name w:val="Grid Table 4 - Accent 5"/>
    <w:basedOn w:val="708"/>
    <w:uiPriority w:val="59"/>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789" w:customStyle="1">
    <w:name w:val="Grid Table 4 - Accent 6"/>
    <w:basedOn w:val="708"/>
    <w:uiPriority w:val="59"/>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790" w:customStyle="1">
    <w:name w:val="Grid Table 5 Dark"/>
    <w:basedOn w:val="708"/>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1" w:customStyle="1">
    <w:name w:val="Grid Table 5 Dark- Accent 1"/>
    <w:basedOn w:val="70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792" w:customStyle="1">
    <w:name w:val="Grid Table 5 Dark - Accent 2"/>
    <w:basedOn w:val="70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793" w:customStyle="1">
    <w:name w:val="Grid Table 5 Dark - Accent 3"/>
    <w:basedOn w:val="708"/>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794" w:customStyle="1">
    <w:name w:val="Grid Table 5 Dark- Accent 4"/>
    <w:basedOn w:val="708"/>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795" w:customStyle="1">
    <w:name w:val="Grid Table 5 Dark - Accent 5"/>
    <w:basedOn w:val="708"/>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796" w:customStyle="1">
    <w:name w:val="Grid Table 5 Dark - Accent 6"/>
    <w:basedOn w:val="708"/>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797" w:customStyle="1">
    <w:name w:val="Grid Table 6 Colorful"/>
    <w:basedOn w:val="708"/>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8" w:customStyle="1">
    <w:name w:val="Grid Table 6 Colorful - Accent 1"/>
    <w:basedOn w:val="708"/>
    <w:uiPriority w:val="99"/>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799" w:customStyle="1">
    <w:name w:val="Grid Table 6 Colorful - Accent 2"/>
    <w:basedOn w:val="708"/>
    <w:uiPriority w:val="99"/>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800" w:customStyle="1">
    <w:name w:val="Grid Table 6 Colorful - Accent 3"/>
    <w:basedOn w:val="708"/>
    <w:uiPriority w:val="99"/>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801" w:customStyle="1">
    <w:name w:val="Grid Table 6 Colorful - Accent 4"/>
    <w:basedOn w:val="708"/>
    <w:uiPriority w:val="99"/>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802" w:customStyle="1">
    <w:name w:val="Grid Table 6 Colorful - Accent 5"/>
    <w:basedOn w:val="708"/>
    <w:uiPriority w:val="99"/>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03" w:customStyle="1">
    <w:name w:val="Grid Table 6 Colorful - Accent 6"/>
    <w:basedOn w:val="708"/>
    <w:uiPriority w:val="99"/>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04" w:customStyle="1">
    <w:name w:val="Grid Table 7 Colorful"/>
    <w:basedOn w:val="708"/>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5" w:customStyle="1">
    <w:name w:val="Grid Table 7 Colorful - Accent 1"/>
    <w:basedOn w:val="708"/>
    <w:uiPriority w:val="99"/>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06" w:customStyle="1">
    <w:name w:val="Grid Table 7 Colorful - Accent 2"/>
    <w:basedOn w:val="708"/>
    <w:uiPriority w:val="99"/>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07" w:customStyle="1">
    <w:name w:val="Grid Table 7 Colorful - Accent 3"/>
    <w:basedOn w:val="708"/>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08" w:customStyle="1">
    <w:name w:val="Grid Table 7 Colorful - Accent 4"/>
    <w:basedOn w:val="708"/>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09" w:customStyle="1">
    <w:name w:val="Grid Table 7 Colorful - Accent 5"/>
    <w:basedOn w:val="708"/>
    <w:uiPriority w:val="99"/>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10" w:customStyle="1">
    <w:name w:val="Grid Table 7 Colorful - Accent 6"/>
    <w:basedOn w:val="708"/>
    <w:uiPriority w:val="99"/>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11" w:customStyle="1">
    <w:name w:val="List Table 1 Light"/>
    <w:basedOn w:val="708"/>
    <w:uiPriority w:val="99"/>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2" w:customStyle="1">
    <w:name w:val="List Table 1 Light - Accent 1"/>
    <w:basedOn w:val="708"/>
    <w:uiPriority w:val="99"/>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13" w:customStyle="1">
    <w:name w:val="List Table 1 Light - Accent 2"/>
    <w:basedOn w:val="708"/>
    <w:uiPriority w:val="99"/>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14" w:customStyle="1">
    <w:name w:val="List Table 1 Light - Accent 3"/>
    <w:basedOn w:val="708"/>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15" w:customStyle="1">
    <w:name w:val="List Table 1 Light - Accent 4"/>
    <w:basedOn w:val="708"/>
    <w:uiPriority w:val="99"/>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16" w:customStyle="1">
    <w:name w:val="List Table 1 Light - Accent 5"/>
    <w:basedOn w:val="708"/>
    <w:uiPriority w:val="99"/>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17" w:customStyle="1">
    <w:name w:val="List Table 1 Light - Accent 6"/>
    <w:basedOn w:val="708"/>
    <w:uiPriority w:val="99"/>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18" w:customStyle="1">
    <w:name w:val="List Table 2"/>
    <w:basedOn w:val="708"/>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9" w:customStyle="1">
    <w:name w:val="List Table 2 - Accent 1"/>
    <w:basedOn w:val="708"/>
    <w:uiPriority w:val="99"/>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20" w:customStyle="1">
    <w:name w:val="List Table 2 - Accent 2"/>
    <w:basedOn w:val="708"/>
    <w:uiPriority w:val="99"/>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821" w:customStyle="1">
    <w:name w:val="List Table 2 - Accent 3"/>
    <w:basedOn w:val="708"/>
    <w:uiPriority w:val="99"/>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822" w:customStyle="1">
    <w:name w:val="List Table 2 - Accent 4"/>
    <w:basedOn w:val="708"/>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823" w:customStyle="1">
    <w:name w:val="List Table 2 - Accent 5"/>
    <w:basedOn w:val="708"/>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824" w:customStyle="1">
    <w:name w:val="List Table 2 - Accent 6"/>
    <w:basedOn w:val="708"/>
    <w:uiPriority w:val="99"/>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825" w:customStyle="1">
    <w:name w:val="List Table 3"/>
    <w:basedOn w:val="70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6" w:customStyle="1">
    <w:name w:val="List Table 3 - Accent 1"/>
    <w:basedOn w:val="708"/>
    <w:uiPriority w:val="99"/>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27" w:customStyle="1">
    <w:name w:val="List Table 3 - Accent 2"/>
    <w:basedOn w:val="708"/>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828" w:customStyle="1">
    <w:name w:val="List Table 3 - Accent 3"/>
    <w:basedOn w:val="708"/>
    <w:uiPriority w:val="99"/>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829" w:customStyle="1">
    <w:name w:val="List Table 3 - Accent 4"/>
    <w:basedOn w:val="708"/>
    <w:uiPriority w:val="99"/>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30" w:customStyle="1">
    <w:name w:val="List Table 3 - Accent 5"/>
    <w:basedOn w:val="708"/>
    <w:uiPriority w:val="99"/>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831" w:customStyle="1">
    <w:name w:val="List Table 3 - Accent 6"/>
    <w:basedOn w:val="708"/>
    <w:uiPriority w:val="99"/>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832" w:customStyle="1">
    <w:name w:val="List Table 4"/>
    <w:basedOn w:val="708"/>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3" w:customStyle="1">
    <w:name w:val="List Table 4 - Accent 1"/>
    <w:basedOn w:val="708"/>
    <w:uiPriority w:val="99"/>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34" w:customStyle="1">
    <w:name w:val="List Table 4 - Accent 2"/>
    <w:basedOn w:val="708"/>
    <w:uiPriority w:val="99"/>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835" w:customStyle="1">
    <w:name w:val="List Table 4 - Accent 3"/>
    <w:basedOn w:val="708"/>
    <w:uiPriority w:val="99"/>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836" w:customStyle="1">
    <w:name w:val="List Table 4 - Accent 4"/>
    <w:basedOn w:val="708"/>
    <w:uiPriority w:val="99"/>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837" w:customStyle="1">
    <w:name w:val="List Table 4 - Accent 5"/>
    <w:basedOn w:val="708"/>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838" w:customStyle="1">
    <w:name w:val="List Table 4 - Accent 6"/>
    <w:basedOn w:val="708"/>
    <w:uiPriority w:val="99"/>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39" w:customStyle="1">
    <w:name w:val="List Table 5 Dark"/>
    <w:basedOn w:val="708"/>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0" w:customStyle="1">
    <w:name w:val="List Table 5 Dark - Accent 1"/>
    <w:basedOn w:val="708"/>
    <w:uiPriority w:val="99"/>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1" w:customStyle="1">
    <w:name w:val="List Table 5 Dark - Accent 2"/>
    <w:basedOn w:val="708"/>
    <w:uiPriority w:val="99"/>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2" w:customStyle="1">
    <w:name w:val="List Table 5 Dark - Accent 3"/>
    <w:basedOn w:val="708"/>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3" w:customStyle="1">
    <w:name w:val="List Table 5 Dark - Accent 4"/>
    <w:basedOn w:val="708"/>
    <w:uiPriority w:val="99"/>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4" w:customStyle="1">
    <w:name w:val="List Table 5 Dark - Accent 5"/>
    <w:basedOn w:val="708"/>
    <w:uiPriority w:val="99"/>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5" w:customStyle="1">
    <w:name w:val="List Table 5 Dark - Accent 6"/>
    <w:basedOn w:val="708"/>
    <w:uiPriority w:val="99"/>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6" w:customStyle="1">
    <w:name w:val="List Table 6 Colorful"/>
    <w:basedOn w:val="708"/>
    <w:uiPriority w:val="99"/>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7" w:customStyle="1">
    <w:name w:val="List Table 6 Colorful - Accent 1"/>
    <w:basedOn w:val="708"/>
    <w:uiPriority w:val="99"/>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848" w:customStyle="1">
    <w:name w:val="List Table 6 Colorful - Accent 2"/>
    <w:basedOn w:val="708"/>
    <w:uiPriority w:val="99"/>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849" w:customStyle="1">
    <w:name w:val="List Table 6 Colorful - Accent 3"/>
    <w:basedOn w:val="708"/>
    <w:uiPriority w:val="99"/>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850" w:customStyle="1">
    <w:name w:val="List Table 6 Colorful - Accent 4"/>
    <w:basedOn w:val="708"/>
    <w:uiPriority w:val="99"/>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851" w:customStyle="1">
    <w:name w:val="List Table 6 Colorful - Accent 5"/>
    <w:basedOn w:val="708"/>
    <w:uiPriority w:val="99"/>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852" w:customStyle="1">
    <w:name w:val="List Table 6 Colorful - Accent 6"/>
    <w:basedOn w:val="708"/>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853" w:customStyle="1">
    <w:name w:val="List Table 7 Colorful"/>
    <w:basedOn w:val="708"/>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4" w:customStyle="1">
    <w:name w:val="List Table 7 Colorful - Accent 1"/>
    <w:basedOn w:val="708"/>
    <w:uiPriority w:val="99"/>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855" w:customStyle="1">
    <w:name w:val="List Table 7 Colorful - Accent 2"/>
    <w:basedOn w:val="708"/>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56" w:customStyle="1">
    <w:name w:val="List Table 7 Colorful - Accent 3"/>
    <w:basedOn w:val="708"/>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857" w:customStyle="1">
    <w:name w:val="List Table 7 Colorful - Accent 4"/>
    <w:basedOn w:val="708"/>
    <w:uiPriority w:val="99"/>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58" w:customStyle="1">
    <w:name w:val="List Table 7 Colorful - Accent 5"/>
    <w:basedOn w:val="708"/>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859" w:customStyle="1">
    <w:name w:val="List Table 7 Colorful - Accent 6"/>
    <w:basedOn w:val="708"/>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860" w:customStyle="1">
    <w:name w:val="Lined - Accent"/>
    <w:basedOn w:val="708"/>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1" w:customStyle="1">
    <w:name w:val="Lined - Accent 1"/>
    <w:basedOn w:val="70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62" w:customStyle="1">
    <w:name w:val="Lined - Accent 2"/>
    <w:basedOn w:val="708"/>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63" w:customStyle="1">
    <w:name w:val="Lined - Accent 3"/>
    <w:basedOn w:val="708"/>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64" w:customStyle="1">
    <w:name w:val="Lined - Accent 4"/>
    <w:basedOn w:val="70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65" w:customStyle="1">
    <w:name w:val="Lined - Accent 5"/>
    <w:basedOn w:val="70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66" w:customStyle="1">
    <w:name w:val="Lined - Accent 6"/>
    <w:basedOn w:val="708"/>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67" w:customStyle="1">
    <w:name w:val="Bordered &amp; Lined - Accent"/>
    <w:basedOn w:val="708"/>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8" w:customStyle="1">
    <w:name w:val="Bordered &amp; Lined - Accent 1"/>
    <w:basedOn w:val="708"/>
    <w:uiPriority w:val="99"/>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69" w:customStyle="1">
    <w:name w:val="Bordered &amp; Lined - Accent 2"/>
    <w:basedOn w:val="708"/>
    <w:uiPriority w:val="99"/>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70" w:customStyle="1">
    <w:name w:val="Bordered &amp; Lined - Accent 3"/>
    <w:basedOn w:val="708"/>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71" w:customStyle="1">
    <w:name w:val="Bordered &amp; Lined - Accent 4"/>
    <w:basedOn w:val="708"/>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72" w:customStyle="1">
    <w:name w:val="Bordered &amp; Lined - Accent 5"/>
    <w:basedOn w:val="708"/>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73" w:customStyle="1">
    <w:name w:val="Bordered &amp; Lined - Accent 6"/>
    <w:basedOn w:val="708"/>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74" w:customStyle="1">
    <w:name w:val="Bordered"/>
    <w:basedOn w:val="708"/>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5" w:customStyle="1">
    <w:name w:val="Bordered - Accent 1"/>
    <w:basedOn w:val="708"/>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876" w:customStyle="1">
    <w:name w:val="Bordered - Accent 2"/>
    <w:basedOn w:val="708"/>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877" w:customStyle="1">
    <w:name w:val="Bordered - Accent 3"/>
    <w:basedOn w:val="708"/>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878" w:customStyle="1">
    <w:name w:val="Bordered - Accent 4"/>
    <w:basedOn w:val="708"/>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879" w:customStyle="1">
    <w:name w:val="Bordered - Accent 5"/>
    <w:basedOn w:val="708"/>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880" w:customStyle="1">
    <w:name w:val="Bordered - Accent 6"/>
    <w:basedOn w:val="708"/>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881" w:customStyle="1">
    <w:name w:val="Footnote Text Char"/>
    <w:link w:val="726"/>
    <w:uiPriority w:val="99"/>
    <w:qFormat/>
    <w:rPr>
      <w:sz w:val="18"/>
    </w:rPr>
  </w:style>
  <w:style w:type="character" w:styleId="882" w:customStyle="1">
    <w:name w:val="Endnote Text Char"/>
    <w:link w:val="720"/>
    <w:uiPriority w:val="99"/>
    <w:qFormat/>
    <w:rPr>
      <w:sz w:val="20"/>
    </w:rPr>
  </w:style>
  <w:style w:type="paragraph" w:styleId="883" w:customStyle="1">
    <w:name w:val="TOC Heading"/>
    <w:uiPriority w:val="39"/>
    <w:unhideWhenUsed/>
    <w:qFormat/>
    <w:rPr>
      <w:rFonts w:hint="default" w:ascii="Times New Roman" w:hAnsi="Times New Roman" w:eastAsia="宋体" w:cs="Times New Roman"/>
    </w:rPr>
  </w:style>
  <w:style w:type="paragraph" w:styleId="884" w:customStyle="1">
    <w:name w:val="文本块1"/>
    <w:basedOn w:val="885"/>
    <w:next w:val="889"/>
    <w:uiPriority w:val="0"/>
    <w:qFormat/>
    <w:pPr>
      <w:ind w:left="256" w:right="6" w:firstLine="624"/>
    </w:pPr>
    <w:rPr>
      <w:rFonts w:eastAsia="仿宋_GB2312"/>
      <w:sz w:val="28"/>
      <w:szCs w:val="20"/>
    </w:rPr>
  </w:style>
  <w:style w:type="paragraph" w:styleId="885" w:customStyle="1">
    <w:name w:val="正文111"/>
    <w:next w:val="88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86" w:customStyle="1">
    <w:name w:val="正文文本缩进1"/>
    <w:basedOn w:val="887"/>
    <w:next w:val="888"/>
    <w:uiPriority w:val="0"/>
    <w:qFormat/>
    <w:pPr>
      <w:ind w:left="420"/>
      <w:spacing w:after="120"/>
    </w:pPr>
  </w:style>
  <w:style w:type="paragraph" w:styleId="887" w:customStyle="1">
    <w:name w:val="正文11"/>
    <w:next w:val="884"/>
    <w:uiPriority w:val="0"/>
    <w:qFormat/>
    <w:pPr>
      <w:ind w:firstLine="200"/>
      <w:jc w:val="both"/>
      <w:spacing w:line="274" w:lineRule="auto"/>
      <w:widowControl w:val="off"/>
    </w:pPr>
    <w:rPr>
      <w:rFonts w:hint="default" w:ascii="仿宋_GB2312" w:hAnsi="Times New Roman" w:eastAsia="仿宋_GB2312" w:cs="Times New Roman"/>
      <w:sz w:val="24"/>
      <w:szCs w:val="24"/>
      <w:lang w:val="en-US" w:eastAsia="zh-CN" w:bidi="ar-SA"/>
    </w:rPr>
  </w:style>
  <w:style w:type="paragraph" w:styleId="888" w:customStyle="1">
    <w:name w:val="寄信人地址1"/>
    <w:basedOn w:val="887"/>
    <w:uiPriority w:val="0"/>
    <w:qFormat/>
    <w:rPr>
      <w:rFonts w:ascii="Arial" w:hAnsi="Arial" w:eastAsia="宋体"/>
      <w:sz w:val="22"/>
      <w:szCs w:val="22"/>
    </w:rPr>
  </w:style>
  <w:style w:type="paragraph" w:styleId="889" w:customStyle="1">
    <w:name w:val="标题 41"/>
    <w:basedOn w:val="697"/>
    <w:next w:val="887"/>
    <w:uiPriority w:val="0"/>
    <w:qFormat/>
    <w:pPr>
      <w:keepLines/>
      <w:keepNext/>
      <w:spacing w:before="280" w:after="290" w:line="372" w:lineRule="auto"/>
      <w:outlineLvl w:val="3"/>
    </w:pPr>
    <w:rPr>
      <w:rFonts w:ascii="Cambria" w:hAnsi="Cambria"/>
      <w:b/>
      <w:bCs/>
      <w:sz w:val="28"/>
      <w:szCs w:val="28"/>
    </w:rPr>
  </w:style>
  <w:style w:type="paragraph" w:styleId="890" w:customStyle="1">
    <w:name w:val="正文首行缩进11"/>
    <w:basedOn w:val="891"/>
    <w:uiPriority w:val="0"/>
    <w:qFormat/>
    <w:pPr>
      <w:ind w:firstLine="420"/>
    </w:pPr>
  </w:style>
  <w:style w:type="paragraph" w:styleId="891" w:customStyle="1">
    <w:name w:val="正文文本11"/>
    <w:basedOn w:val="892"/>
    <w:next w:val="885"/>
    <w:uiPriority w:val="0"/>
    <w:qFormat/>
    <w:pPr>
      <w:spacing w:after="120"/>
    </w:pPr>
    <w:rPr>
      <w:rFonts w:ascii="Times New Roman" w:eastAsia="宋体"/>
    </w:rPr>
  </w:style>
  <w:style w:type="paragraph" w:styleId="892" w:customStyle="1">
    <w:name w:val="正文12"/>
    <w:next w:val="893"/>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893" w:customStyle="1">
    <w:name w:val="标题 21"/>
    <w:basedOn w:val="697"/>
    <w:next w:val="892"/>
    <w:link w:val="904"/>
    <w:uiPriority w:val="0"/>
    <w:qFormat/>
    <w:pPr>
      <w:jc w:val="center"/>
      <w:keepLines/>
      <w:keepNext/>
      <w:spacing w:before="260" w:after="260" w:line="416" w:lineRule="auto"/>
      <w:tabs>
        <w:tab w:val="left" w:pos="720" w:leader="none"/>
      </w:tabs>
      <w:outlineLvl w:val="1"/>
    </w:pPr>
    <w:rPr>
      <w:rFonts w:ascii="Cambria" w:hAnsi="Cambria"/>
      <w:b/>
      <w:bCs/>
      <w:sz w:val="28"/>
      <w:szCs w:val="32"/>
    </w:rPr>
  </w:style>
  <w:style w:type="paragraph" w:styleId="894" w:customStyle="1">
    <w:name w:val="正文缩进1"/>
    <w:basedOn w:val="697"/>
    <w:next w:val="887"/>
    <w:uiPriority w:val="99"/>
    <w:unhideWhenUsed/>
    <w:qFormat/>
    <w:pPr>
      <w:ind w:firstLine="420"/>
    </w:pPr>
  </w:style>
  <w:style w:type="paragraph" w:styleId="895" w:customStyle="1">
    <w:name w:val="纯文本1"/>
    <w:basedOn w:val="697"/>
    <w:uiPriority w:val="0"/>
    <w:qFormat/>
    <w:rPr>
      <w:rFonts w:ascii="宋体" w:hAnsi="Courier New"/>
      <w:szCs w:val="21"/>
    </w:rPr>
  </w:style>
  <w:style w:type="paragraph" w:styleId="896" w:customStyle="1">
    <w:name w:val="页眉1"/>
    <w:basedOn w:val="697"/>
    <w:uiPriority w:val="99"/>
    <w:qFormat/>
    <w:pPr>
      <w:jc w:val="center"/>
      <w:tabs>
        <w:tab w:val="center" w:pos="4153" w:leader="none"/>
        <w:tab w:val="right" w:pos="8306" w:leader="none"/>
      </w:tabs>
      <w:pBdr>
        <w:bottom w:val="single" w:color="000000" w:sz="6" w:space="1"/>
      </w:pBdr>
    </w:pPr>
    <w:rPr>
      <w:sz w:val="18"/>
      <w:szCs w:val="18"/>
    </w:rPr>
  </w:style>
  <w:style w:type="paragraph" w:styleId="897" w:customStyle="1">
    <w:name w:val="正文文本缩进11"/>
    <w:basedOn w:val="697"/>
    <w:next w:val="898"/>
    <w:uiPriority w:val="0"/>
    <w:qFormat/>
    <w:pPr>
      <w:ind w:left="420"/>
      <w:spacing w:after="120"/>
    </w:pPr>
  </w:style>
  <w:style w:type="paragraph" w:styleId="898" w:customStyle="1">
    <w:name w:val="正文112"/>
    <w:next w:val="89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99" w:customStyle="1">
    <w:name w:val="正文首行缩进1"/>
    <w:basedOn w:val="891"/>
    <w:next w:val="900"/>
    <w:uiPriority w:val="0"/>
    <w:qFormat/>
    <w:pPr>
      <w:ind w:firstLine="420"/>
    </w:pPr>
    <w:rPr>
      <w:szCs w:val="22"/>
    </w:rPr>
  </w:style>
  <w:style w:type="paragraph" w:styleId="900" w:customStyle="1">
    <w:name w:val="正文首行缩进 211"/>
    <w:basedOn w:val="897"/>
    <w:next w:val="898"/>
    <w:uiPriority w:val="99"/>
    <w:qFormat/>
    <w:pPr>
      <w:ind w:left="0" w:firstLine="420"/>
      <w:spacing w:after="0" w:line="360" w:lineRule="auto"/>
    </w:pPr>
    <w:rPr>
      <w:rFonts w:ascii="宋体" w:hAnsi="宋体"/>
    </w:rPr>
  </w:style>
  <w:style w:type="paragraph" w:styleId="901" w:customStyle="1">
    <w:name w:val="寄信人地址11"/>
    <w:basedOn w:val="697"/>
    <w:uiPriority w:val="99"/>
    <w:unhideWhenUsed/>
    <w:qFormat/>
    <w:rPr>
      <w:rFonts w:ascii="Arial" w:hAnsi="Arial"/>
    </w:rPr>
  </w:style>
  <w:style w:type="paragraph" w:styleId="902" w:customStyle="1">
    <w:name w:val="正文首行缩进 21"/>
    <w:basedOn w:val="886"/>
    <w:next w:val="894"/>
    <w:uiPriority w:val="0"/>
    <w:qFormat/>
    <w:pPr>
      <w:ind w:left="0" w:firstLine="420"/>
      <w:spacing w:after="0" w:line="360" w:lineRule="auto"/>
    </w:pPr>
    <w:rPr>
      <w:rFonts w:ascii="宋体" w:hAnsi="宋体" w:eastAsia="宋体"/>
      <w:sz w:val="20"/>
      <w:szCs w:val="20"/>
    </w:rPr>
  </w:style>
  <w:style w:type="paragraph" w:styleId="903" w:customStyle="1">
    <w:name w:val="列出段落"/>
    <w:basedOn w:val="697"/>
    <w:uiPriority w:val="34"/>
    <w:qFormat/>
    <w:pPr>
      <w:ind w:firstLine="420"/>
    </w:pPr>
    <w:rPr>
      <w:szCs w:val="22"/>
    </w:rPr>
  </w:style>
  <w:style w:type="character" w:styleId="904" w:customStyle="1">
    <w:name w:val="标题 2 字符"/>
    <w:link w:val="893"/>
    <w:uiPriority w:val="0"/>
    <w:qFormat/>
    <w:rPr>
      <w:rFonts w:ascii="Cambria" w:hAnsi="Cambria"/>
      <w:b/>
      <w:bCs/>
      <w:sz w:val="28"/>
      <w:szCs w:val="32"/>
    </w:rPr>
  </w:style>
  <w:style w:type="paragraph" w:styleId="905" w:customStyle="1">
    <w:name w:val="列表 21"/>
    <w:basedOn w:val="697"/>
    <w:uiPriority w:val="0"/>
    <w:qFormat/>
    <w:pPr>
      <w:ind w:left="100" w:hanging="200"/>
    </w:pPr>
  </w:style>
  <w:style w:type="paragraph" w:styleId="906" w:customStyle="1">
    <w:name w:val="标题1"/>
    <w:basedOn w:val="697"/>
    <w:next w:val="697"/>
    <w:uiPriority w:val="10"/>
    <w:qFormat/>
    <w:pPr>
      <w:jc w:val="center"/>
      <w:spacing w:before="240" w:after="60"/>
      <w:outlineLvl w:val="0"/>
    </w:pPr>
    <w:rPr>
      <w:rFonts w:ascii="Cambria" w:hAnsi="Cambria"/>
      <w:b/>
      <w:bCs/>
      <w:sz w:val="32"/>
      <w:szCs w:val="32"/>
    </w:rPr>
  </w:style>
  <w:style w:type="paragraph" w:styleId="907" w:customStyle="1">
    <w:name w:val="首行缩进"/>
    <w:basedOn w:val="697"/>
    <w:uiPriority w:val="0"/>
    <w:qFormat/>
    <w:pPr>
      <w:ind w:firstLine="480"/>
      <w:spacing w:line="360" w:lineRule="auto"/>
    </w:pPr>
    <w:rPr>
      <w:rFonts w:ascii="宋体" w:hAnsi="宋体" w:cs="宋体"/>
      <w:sz w:val="24"/>
    </w:rPr>
  </w:style>
  <w:style w:type="paragraph" w:styleId="908" w:customStyle="1">
    <w:name w:val="正文文本缩进 21"/>
    <w:basedOn w:val="697"/>
    <w:uiPriority w:val="99"/>
    <w:qFormat/>
    <w:pPr>
      <w:ind w:left="630" w:firstLine="645"/>
    </w:pPr>
    <w:rPr>
      <w:rFonts w:ascii="Arial" w:hAnsi="Arial" w:eastAsia="仿宋_GB2312" w:cs="Arial"/>
      <w:sz w:val="32"/>
      <w:szCs w:val="32"/>
    </w:rPr>
  </w:style>
  <w:style w:type="paragraph" w:styleId="909" w:customStyle="1">
    <w:name w:val="正文1"/>
    <w:basedOn w:val="887"/>
    <w:next w:val="910"/>
    <w:uiPriority w:val="0"/>
    <w:qFormat/>
  </w:style>
  <w:style w:type="paragraph" w:styleId="910" w:customStyle="1">
    <w:name w:val="目录 11"/>
    <w:basedOn w:val="898"/>
    <w:next w:val="697"/>
    <w:uiPriority w:val="39"/>
    <w:unhideWhenUsed/>
    <w:qFormat/>
    <w:pPr>
      <w:spacing w:after="57"/>
    </w:pPr>
  </w:style>
  <w:style w:type="paragraph" w:styleId="911" w:customStyle="1">
    <w:name w:val="正文文本1"/>
    <w:basedOn w:val="909"/>
    <w:next w:val="912"/>
    <w:uiPriority w:val="0"/>
    <w:qFormat/>
    <w:pPr>
      <w:spacing w:after="120"/>
    </w:pPr>
    <w:rPr>
      <w:rFonts w:ascii="Calibri" w:hAnsi="Calibri"/>
    </w:rPr>
  </w:style>
  <w:style w:type="paragraph" w:styleId="912"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paragraph" w:styleId="913">
    <w:name w:val="List Paragraph"/>
    <w:basedOn w:val="697"/>
    <w:uiPriority w:val="34"/>
    <w:qFormat/>
    <w:pPr>
      <w:contextualSpacing/>
      <w:ind w:left="720"/>
    </w:pPr>
  </w:style>
  <w:style w:type="paragraph" w:styleId="914" w:customStyle="1">
    <w:name w:val="批注文字1"/>
    <w:basedOn w:val="697"/>
    <w:uiPriority w:val="0"/>
    <w:qFormat/>
    <w:pPr>
      <w:ind w:firstLine="922"/>
      <w:spacing w:line="360" w:lineRule="auto"/>
    </w:pPr>
    <w:rPr>
      <w:rFonts w:ascii="Times New Roman" w:hAnsi="Times New Roman"/>
      <w:sz w:val="20"/>
      <w:szCs w:val="24"/>
    </w:rPr>
  </w:style>
  <w:style w:type="numbering" w:styleId="91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dc:creator>
  <cp:lastModifiedBy>苏雪姣</cp:lastModifiedBy>
  <cp:revision>13</cp:revision>
  <dcterms:created xsi:type="dcterms:W3CDTF">2025-10-24T08:34:00Z</dcterms:created>
  <dcterms:modified xsi:type="dcterms:W3CDTF">2026-05-27T08:24:31Z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F809D7D3DC254BA4870FF384DD1B5C5C_13</vt:lpwstr>
  </property>
  <property fmtid="{D5CDD505-2E9C-101B-9397-08002B2CF9AE}" pid="4" name="KSOTemplateDocerSaveRecord">
    <vt:lpwstr>eyJoZGlkIjoiZWJlMjFkNTBkMmQ1ODczZTFkYmY4ODAyYWQ1OWY4NzMiLCJ1c2VySWQiOiIzNDgyNzQyNDUifQ==</vt:lpwstr>
  </property>
</Properties>
</file>