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b/>
          <w:color w:val="auto"/>
          <w:sz w:val="52"/>
          <w:szCs w:val="52"/>
        </w:rPr>
      </w:pPr>
      <w:r/>
      <w:bookmarkStart w:id="0" w:name="_Hlk114783487"/>
      <w:r>
        <w:rPr>
          <w:rFonts w:hint="eastAsia"/>
          <w:b/>
          <w:color w:val="auto"/>
          <w:sz w:val="52"/>
          <w:szCs w:val="52"/>
        </w:rPr>
        <w:t xml:space="preserve">江苏省血吸虫病防治研究所</w:t>
      </w:r>
      <w:r/>
    </w:p>
    <w:p>
      <w:pPr>
        <w:jc w:val="center"/>
        <w:spacing w:before="100" w:after="100" w:line="360" w:lineRule="auto"/>
        <w:rPr>
          <w:rFonts w:ascii="Microsoft New Tai Lue" w:hAnsi="Microsoft New Tai Lue" w:cs="Microsoft New Tai Lue"/>
          <w:b/>
          <w:color w:val="auto"/>
          <w:sz w:val="60"/>
          <w:szCs w:val="60"/>
        </w:rPr>
      </w:pPr>
      <w:r>
        <w:rPr>
          <w:rFonts w:hint="eastAsia"/>
          <w:b/>
          <w:color w:val="auto"/>
          <w:sz w:val="52"/>
          <w:szCs w:val="52"/>
        </w:rPr>
        <w:t xml:space="preserve">智能语音视讯监测预警终端</w:t>
      </w:r>
      <w:bookmarkEnd w:id="0"/>
      <w:r/>
      <w:r/>
    </w:p>
    <w:p>
      <w:pPr>
        <w:pStyle w:val="91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6"/>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24"/>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JSZC-320000-JITC-G2026-0097</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江苏省血吸虫病防治研究所</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931"/>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二O二六年四月</w:t>
      </w:r>
      <w:r/>
    </w:p>
    <w:p>
      <w:pPr>
        <w:jc w:val="center"/>
        <w:spacing w:line="500" w:lineRule="exact"/>
        <w:rPr>
          <w:rFonts w:ascii="Microsoft New Tai Lue" w:hAnsi="Microsoft New Tai Lue" w:cs="Microsoft New Tai Lue"/>
          <w:b/>
          <w:color w:val="auto"/>
          <w:sz w:val="32"/>
          <w:szCs w:val="32"/>
        </w:rPr>
      </w:pPr>
      <w:r/>
      <w:bookmarkStart w:id="1" w:name="_Toc80264696"/>
      <w:r/>
      <w:bookmarkStart w:id="2" w:name="_Toc531620161"/>
      <w:r>
        <w:rPr>
          <w:rFonts w:ascii="Microsoft New Tai Lue" w:hAnsi="Microsoft New Tai Lue" w:cs="Microsoft New Tai Lue"/>
          <w:b/>
          <w:color w:val="auto"/>
          <w:sz w:val="32"/>
          <w:szCs w:val="32"/>
        </w:rPr>
        <w:t xml:space="preserve">目   录</w:t>
      </w:r>
      <w:r/>
    </w:p>
    <w:p>
      <w:pPr>
        <w:pStyle w:val="923"/>
        <w:ind w:right="210"/>
        <w:spacing w:line="360" w:lineRule="auto"/>
        <w:tabs>
          <w:tab w:val="right" w:pos="8834" w:leader="dot"/>
        </w:tabs>
        <w:rPr>
          <w:rFonts w:hint="eastAsia"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923"/>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939"/>
          <w:rFonts w:ascii="宋体" w:hAnsi="宋体" w:eastAsia="宋体" w:cs="Microsoft New Tai Lue"/>
          <w:color w:val="auto"/>
        </w:rPr>
        <w:t xml:space="preserve">第一章</w:t>
      </w:r>
      <w:r>
        <w:rPr>
          <w:rStyle w:val="939"/>
          <w:rFonts w:hint="eastAsia" w:ascii="宋体" w:hAnsi="宋体" w:eastAsia="宋体" w:cs="Microsoft New Tai Lue"/>
          <w:color w:val="auto"/>
        </w:rPr>
        <w:t xml:space="preserve"> </w:t>
      </w:r>
      <w:r>
        <w:rPr>
          <w:rStyle w:val="939"/>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939"/>
          <w:rFonts w:ascii="宋体" w:hAnsi="宋体" w:eastAsia="宋体" w:cs="Microsoft New Tai Lue"/>
          <w:color w:val="auto"/>
        </w:rPr>
        <w:t xml:space="preserve">第二章</w:t>
      </w:r>
      <w:r>
        <w:rPr>
          <w:rStyle w:val="939"/>
          <w:rFonts w:hint="eastAsia" w:ascii="宋体" w:hAnsi="宋体" w:eastAsia="宋体" w:cs="Microsoft New Tai Lue"/>
          <w:color w:val="auto"/>
        </w:rPr>
        <w:t xml:space="preserve"> </w:t>
      </w:r>
      <w:r>
        <w:rPr>
          <w:rStyle w:val="939"/>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5</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939"/>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939"/>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939"/>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939"/>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40</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931"/>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江苏省血吸虫病防治研究所智能语音视讯监测预警终端</w:t>
      </w:r>
      <w:r>
        <w:rPr>
          <w:rFonts w:hint="eastAsia"/>
          <w:bCs/>
          <w:color w:val="auto"/>
          <w:szCs w:val="21"/>
        </w:rPr>
        <w:t xml:space="preserve"> </w:t>
      </w:r>
      <w:r>
        <w:rPr>
          <w:rFonts w:hint="eastAsia"/>
          <w:bCs/>
          <w:color w:val="auto"/>
          <w:szCs w:val="21"/>
          <w:u w:val="single"/>
          <w:lang w:eastAsia="zh-CN"/>
        </w:rPr>
        <w:t xml:space="preserve">JSZC-320000-JITC-G2026-0097</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在“苏采云”政府采购交易系统获</w:t>
      </w:r>
      <w:r>
        <w:rPr>
          <w:rFonts w:hint="eastAsia" w:ascii="Microsoft New Tai Lue" w:hAnsi="Microsoft New Tai Lue" w:cs="Microsoft New Tai Lue"/>
          <w:color w:val="auto"/>
          <w:szCs w:val="21"/>
          <w:lang w:val="en-US" w:eastAsia="zh-CN"/>
        </w:rPr>
        <w:t xml:space="preserve">取</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月20日</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lang w:val="en-US" w:eastAsia="zh-CN"/>
        </w:rPr>
        <w:t xml:space="preserve">4</w:t>
      </w:r>
      <w:r>
        <w:rPr>
          <w:rFonts w:hint="eastAsia" w:ascii="Microsoft New Tai Lue" w:hAnsi="Microsoft New Tai Lue" w:cs="Microsoft New Tai Lue"/>
          <w:bCs/>
          <w:color w:val="auto"/>
          <w:szCs w:val="21"/>
          <w:u w:val="single"/>
        </w:rPr>
        <w:t xml:space="preserve">：0</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6347851"/>
      <w:r/>
      <w:bookmarkStart w:id="7" w:name="_Toc93909065"/>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JSZC-320000-JITC-G2026-0097</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rPr>
        <w:t xml:space="preserve">江苏省血吸虫病防治研究所智能语音视讯监测预警终端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rPr>
        <w:t xml:space="preserve">350万元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350万元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p>
    <w:tbl>
      <w:tblPr>
        <w:tblStyle w:val="902"/>
        <w:tblW w:w="47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3138"/>
        <w:gridCol w:w="1197"/>
        <w:gridCol w:w="2304"/>
        <w:gridCol w:w="1164"/>
      </w:tblGrid>
      <w:tr>
        <w:trPr>
          <w:jc w:val="center"/>
          <w:trHeight w:val="1096"/>
        </w:trPr>
        <w:tc>
          <w:tcPr>
            <w:shd w:val="clear" w:color="000000" w:fill="ffffff"/>
            <w:tcW w:w="460"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82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9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340"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677"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r>
      <w:tr>
        <w:trPr>
          <w:jc w:val="center"/>
          <w:trHeight w:val="748" w:hRule="exact"/>
        </w:trPr>
        <w:tc>
          <w:tcPr>
            <w:tcW w:w="460"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313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智能语音视讯监测预警终端</w:t>
            </w:r>
            <w:r/>
          </w:p>
        </w:tc>
        <w:tc>
          <w:tcPr>
            <w:tcW w:w="1197"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100</w:t>
            </w:r>
            <w:r/>
          </w:p>
        </w:tc>
        <w:tc>
          <w:tcPr>
            <w:shd w:val="clear" w:color="000000" w:fill="ffffff"/>
            <w:tcW w:w="1340"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67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r>
    </w:tbl>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合同签订之日起60个工作日完成设备交付、及买方验收确认，具体以采购人要求为准。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93909067"/>
      <w:r/>
      <w:bookmarkStart w:id="13" w:name="_Toc96347853"/>
      <w:r/>
      <w:bookmarkStart w:id="14" w:name="_Toc80264699"/>
      <w:r/>
      <w:bookmarkStart w:id="15" w:name="_Toc80792690"/>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2024年度或2025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个月内，至少1个月缴纳税收和社会保险的凭证，依法享受免缴、缓缴的，提供无欠税证明材料，或提供承诺）；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lang w:eastAsia="zh-CN"/>
        </w:rPr>
      </w:pPr>
      <w:r>
        <w:rPr>
          <w:rFonts w:hint="eastAsia" w:ascii="Microsoft New Tai Lue" w:hAnsi="Microsoft New Tai Lue" w:cs="Microsoft New Tai Lue"/>
          <w:bCs/>
          <w:color w:val="auto"/>
          <w:szCs w:val="21"/>
        </w:rPr>
        <w:t xml:space="preserve">（3）</w:t>
      </w:r>
      <w:r>
        <w:rPr>
          <w:rFonts w:hint="eastAsia" w:ascii="Microsoft New Tai Lue" w:hAnsi="Microsoft New Tai Lue" w:cs="Microsoft New Tai Lue"/>
          <w:bCs/>
          <w:color w:val="auto"/>
          <w:szCs w:val="21"/>
          <w:lang w:eastAsia="zh-CN"/>
        </w:rPr>
        <w:t xml:space="preserve">通过“信用中国”网站（http://www.creditchina.gov.cn）、中国政府采购网（www.ccgp.gov.cn）查询供应商在投标截止时间前的信用记录，通过以上查询渠道，供应商</w:t>
      </w:r>
      <w:r>
        <w:rPr>
          <w:rFonts w:hint="eastAsia" w:ascii="Microsoft New Tai Lue" w:hAnsi="Microsoft New Tai Lue" w:cs="Microsoft New Tai Lue"/>
          <w:bCs/>
          <w:color w:val="auto"/>
          <w:szCs w:val="21"/>
          <w:lang w:eastAsia="zh-CN"/>
        </w:rPr>
        <w:t xml:space="preserve">未</w:t>
      </w:r>
      <w:r>
        <w:rPr>
          <w:rFonts w:hint="eastAsia" w:ascii="Microsoft New Tai Lue" w:hAnsi="Microsoft New Tai Lue" w:cs="Microsoft New Tai Lue"/>
          <w:bCs/>
          <w:color w:val="auto"/>
          <w:szCs w:val="21"/>
          <w:lang w:eastAsia="zh-CN"/>
        </w:rPr>
        <w:t xml:space="preserve">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bCs/>
          <w:color w:val="auto"/>
          <w:szCs w:val="21"/>
        </w:rPr>
        <w:t xml:space="preserve">江苏省政府采购管理交易系统（苏采云）（以下简称“苏采云”）（网址：http://jszfcg.jsczt.cn/） </w:t>
      </w:r>
      <w:r/>
    </w:p>
    <w:p>
      <w:pPr>
        <w:ind w:firstLine="525"/>
        <w:spacing w:line="360" w:lineRule="auto"/>
        <w:rPr>
          <w:rFonts w:hint="eastAsia"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方式：网上下载。</w:t>
      </w:r>
      <w:r>
        <w:rPr>
          <w:rFonts w:hint="eastAsia" w:ascii="Microsoft New Tai Lue" w:hAnsi="Microsoft New Tai Lue" w:cs="Microsoft New Tai Lue"/>
          <w:bCs/>
          <w:color w:val="auto"/>
          <w:szCs w:val="21"/>
        </w:rPr>
        <w:t xml:space="preserve"> </w:t>
      </w:r>
      <w:r/>
    </w:p>
    <w:p>
      <w:pPr>
        <w:ind w:firstLine="525"/>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售价：0元。</w:t>
      </w:r>
      <w:r/>
    </w:p>
    <w:p>
      <w:pPr>
        <w:spacing w:line="360" w:lineRule="auto"/>
        <w:rPr>
          <w:rFonts w:ascii="Microsoft New Tai Lue" w:hAnsi="Microsoft New Tai Lue" w:cs="Microsoft New Tai Lue"/>
          <w:b/>
          <w:bCs/>
          <w:color w:val="auto"/>
          <w:szCs w:val="44"/>
        </w:rPr>
      </w:pPr>
      <w:r/>
      <w:bookmarkStart w:id="17" w:name="_Toc80792691"/>
      <w:r/>
      <w:bookmarkStart w:id="18" w:name="_Toc93909068"/>
      <w:r/>
      <w:bookmarkStart w:id="19" w:name="_Toc96347854"/>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月20日</w:t>
      </w:r>
      <w:r>
        <w:rPr>
          <w:rFonts w:hint="eastAsia"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u w:val="single"/>
        </w:rPr>
        <w:t xml:space="preserve">：0</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w:t>
      </w:r>
      <w:r>
        <w:rPr>
          <w:rFonts w:ascii="宋体" w:hAnsi="宋体" w:eastAsia="宋体"/>
          <w:b/>
          <w:bCs/>
          <w:color w:val="auto"/>
          <w:szCs w:val="21"/>
        </w:rPr>
        <w:t xml:space="preserve">“苏采云”网上开标大厅</w:t>
      </w:r>
      <w:r/>
    </w:p>
    <w:p>
      <w:pPr>
        <w:spacing w:line="360" w:lineRule="auto"/>
        <w:rPr>
          <w:rFonts w:ascii="Microsoft New Tai Lue" w:hAnsi="Microsoft New Tai Lue" w:cs="Microsoft New Tai Lue"/>
          <w:b/>
          <w:bCs/>
          <w:color w:val="auto"/>
          <w:szCs w:val="44"/>
        </w:rPr>
      </w:pPr>
      <w:r/>
      <w:bookmarkStart w:id="20" w:name="_Toc80792693"/>
      <w:r/>
      <w:bookmarkStart w:id="21" w:name="_Toc93909069"/>
      <w:r/>
      <w:bookmarkStart w:id="22" w:name="_Toc96347855"/>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6347856"/>
      <w:r/>
      <w:bookmarkStart w:id="24" w:name="_Toc93909070"/>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264702"/>
      <w:r/>
      <w:bookmarkStart w:id="26" w:name="_Toc80792694"/>
      <w:r/>
      <w:bookmarkStart w:id="27" w:name="_Toc96347857"/>
      <w:r/>
      <w:bookmarkStart w:id="28" w:name="_Toc93909071"/>
      <w:r>
        <w:rPr>
          <w:rFonts w:ascii="Microsoft New Tai Lue" w:hAnsi="Microsoft New Tai Lue" w:cs="Microsoft New Tai Lue"/>
          <w:color w:val="auto"/>
          <w:szCs w:val="21"/>
        </w:rPr>
        <w:t xml:space="preserve">1．</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rPr>
      </w:pPr>
      <w:r>
        <w:rPr>
          <w:rFonts w:hint="eastAsia"/>
          <w:color w:val="auto"/>
          <w:szCs w:val="21"/>
          <w:lang w:val="en-US" w:eastAsia="zh-CN"/>
        </w:rPr>
        <w:t xml:space="preserve">2</w:t>
      </w:r>
      <w:r>
        <w:rPr>
          <w:rFonts w:hint="eastAsia"/>
          <w:color w:val="auto"/>
          <w:szCs w:val="21"/>
        </w:rPr>
        <w:t xml:space="preserve">、潜在供应商访问电子招标响应交易平台的网络地址和方法：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lang w:val="en-US" w:eastAsia="zh-CN"/>
        </w:rPr>
        <w:t xml:space="preserve">3</w:t>
      </w:r>
      <w:r>
        <w:rPr>
          <w:rFonts w:hint="eastAsia"/>
          <w:color w:val="auto"/>
          <w:szCs w:val="21"/>
        </w:rPr>
        <w:t xml:space="preserve">、潜在供应商访问“苏采云”系统的网络地址和方法：“苏采云”系统的网址：http://jszfcg.jsczt.cn/。</w:t>
      </w:r>
      <w:r/>
    </w:p>
    <w:p>
      <w:pPr>
        <w:ind w:firstLine="420"/>
        <w:spacing w:line="360" w:lineRule="auto"/>
        <w:rPr>
          <w:color w:val="auto"/>
          <w:szCs w:val="21"/>
        </w:rPr>
      </w:pPr>
      <w:r>
        <w:rPr>
          <w:rFonts w:hint="eastAsia"/>
          <w:color w:val="auto"/>
          <w:szCs w:val="21"/>
          <w:lang w:val="en-US" w:eastAsia="zh-CN"/>
        </w:rPr>
        <w:t xml:space="preserve">4</w:t>
      </w:r>
      <w:r>
        <w:rPr>
          <w:rFonts w:hint="eastAsia"/>
          <w:color w:val="auto"/>
          <w:szCs w:val="21"/>
        </w:rPr>
        <w:t xml:space="preserve">、“CA数字证书”的获取：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lang w:val="en-US" w:eastAsia="zh-CN"/>
        </w:rPr>
        <w:t xml:space="preserve">5</w:t>
      </w:r>
      <w:r>
        <w:rPr>
          <w:rFonts w:hint="eastAsia"/>
          <w:color w:val="auto"/>
          <w:szCs w:val="21"/>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lang w:val="en-US" w:eastAsia="zh-CN"/>
        </w:rPr>
        <w:t xml:space="preserve">6</w:t>
      </w:r>
      <w:r>
        <w:rPr>
          <w:rFonts w:hint="eastAsia"/>
          <w:color w:val="auto"/>
          <w:szCs w:val="21"/>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lang w:val="en-US" w:eastAsia="zh-CN"/>
        </w:rPr>
        <w:t xml:space="preserve">7</w:t>
      </w:r>
      <w:r>
        <w:rPr>
          <w:rFonts w:hint="eastAsia"/>
          <w:color w:val="auto"/>
          <w:szCs w:val="21"/>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lang w:val="en-US" w:eastAsia="zh-CN"/>
        </w:rPr>
        <w:t xml:space="preserve">8</w:t>
      </w:r>
      <w:r>
        <w:rPr>
          <w:rFonts w:hint="eastAsia"/>
          <w:color w:val="auto"/>
          <w:szCs w:val="21"/>
        </w:rPr>
        <w:t xml:space="preserve">、投标文件的解密：开标当天各供应商及时登录不见面开标大厅，投标文件递交截止时间后，采购人将在系统内公布供应商名单，然后通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w:t>
      </w:r>
      <w:r>
        <w:rPr>
          <w:rFonts w:ascii="Microsoft New Tai Lue" w:hAnsi="Microsoft New Tai Lue" w:cs="Microsoft New Tai Lue"/>
          <w:color w:val="auto"/>
          <w:szCs w:val="21"/>
        </w:rPr>
        <w:t xml:space="preserve">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江苏省血吸虫病防治研究所</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江苏省无锡市梅园杨巷117号</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：宋文静</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联系方式：0510-68781026   18852461867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rPr>
          <w:rFonts w:ascii="Microsoft New Tai Lue" w:hAnsi="Microsoft New Tai Lue" w:cs="Microsoft New Tai Lue"/>
          <w:color w:val="auto"/>
          <w:szCs w:val="21"/>
        </w:rPr>
        <w:t xml:space="preserve">采购代理机构信息</w:t>
      </w:r>
      <w:bookmarkEnd w:id="29"/>
      <w:r/>
      <w:r/>
    </w:p>
    <w:p>
      <w:pPr>
        <w:ind w:firstLine="525"/>
        <w:spacing w:line="360" w:lineRule="auto"/>
        <w:rPr>
          <w:rFonts w:ascii="Microsoft New Tai Lue" w:hAnsi="Microsoft New Tai Lue" w:cs="Microsoft New Tai Lue"/>
          <w:color w:val="auto"/>
          <w:szCs w:val="21"/>
        </w:rPr>
      </w:pPr>
      <w:r/>
      <w:bookmarkStart w:id="30" w:name="_Toc71561877"/>
      <w:r/>
      <w:bookmarkStart w:id="31" w:name="_Toc80264704"/>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南京市鼓楼区郑和中路118号1</w:t>
      </w:r>
      <w:r>
        <w:rPr>
          <w:rFonts w:ascii="Microsoft New Tai Lue" w:hAnsi="Microsoft New Tai Lue" w:cs="Microsoft New Tai Lue"/>
          <w:color w:val="auto"/>
          <w:szCs w:val="21"/>
        </w:rPr>
        <w:t xml:space="preserve">3</w:t>
      </w:r>
      <w:r>
        <w:rPr>
          <w:rFonts w:hint="eastAsia" w:ascii="Microsoft New Tai Lue" w:hAnsi="Microsoft New Tai Lue" w:cs="Microsoft New Tai Lue"/>
          <w:color w:val="auto"/>
          <w:szCs w:val="21"/>
        </w:rPr>
        <w:t xml:space="preserve">楼1606室</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张慧、黄志浩</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张慧</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邮</w:t>
      </w:r>
      <w:r>
        <w:rPr>
          <w:rFonts w:hint="eastAsia" w:ascii="Microsoft New Tai Lue" w:hAnsi="Microsoft New Tai Lue" w:cs="Microsoft New Tai Lue"/>
          <w:color w:val="auto"/>
          <w:szCs w:val="21"/>
        </w:rPr>
        <w:t xml:space="preserve"> </w:t>
      </w:r>
      <w:r>
        <w:rPr>
          <w:rFonts w:ascii="Microsoft New Tai Lue" w:hAnsi="Microsoft New Tai Lue" w:cs="Microsoft New Tai Lue"/>
          <w:color w:val="auto"/>
          <w:szCs w:val="21"/>
        </w:rPr>
        <w:t xml:space="preserve">箱：</w:t>
      </w:r>
      <w:r>
        <w:rPr>
          <w:rFonts w:hint="eastAsia" w:ascii="Microsoft New Tai Lue" w:hAnsi="Microsoft New Tai Lue" w:cs="Microsoft New Tai Lue"/>
          <w:color w:val="auto"/>
          <w:szCs w:val="21"/>
        </w:rPr>
        <w:t xml:space="preserve">79279026@qq.com</w:t>
      </w:r>
      <w:r/>
    </w:p>
    <w:p>
      <w:pPr>
        <w:pStyle w:val="931"/>
        <w:numPr>
          <w:ilvl w:val="0"/>
          <w:numId w:val="2"/>
        </w:numPr>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2"/>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90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78"/>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978"/>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978"/>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978"/>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称：江苏省血吸虫病防治研究所</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址：江苏省无锡市梅园杨巷117号</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联系人：宋文静</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电 话：0510-68781026  </w:t>
            </w:r>
            <w:r/>
          </w:p>
        </w:tc>
      </w:tr>
      <w:tr>
        <w:trPr>
          <w:jc w:val="center"/>
          <w:trHeight w:val="2023"/>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址：南京市鼓楼区郑和中路118号13楼1606室</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联系人：张慧、黄志浩</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联系方式：15996219587  15252912937</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hint="eastAsia"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hint="eastAsia"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hint="eastAsia"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hint="eastAsia"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979"/>
              <w:spacing w:before="160"/>
              <w:rPr>
                <w:rFonts w:hint="eastAsia"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979"/>
              <w:spacing w:before="160"/>
              <w:rPr>
                <w:rFonts w:hint="eastAsia"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hint="eastAsia"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hint="eastAsia"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hint="eastAsia"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hint="eastAsia" w:ascii="宋体" w:hAnsi="宋体"/>
                <w:color w:val="auto"/>
                <w:szCs w:val="21"/>
              </w:rPr>
            </w:pPr>
            <w:r>
              <w:rPr>
                <w:rFonts w:ascii="宋体" w:hAnsi="宋体"/>
                <w:color w:val="auto"/>
                <w:szCs w:val="21"/>
              </w:rPr>
              <w:t xml:space="preserve">具体要求：</w:t>
            </w:r>
            <w:r/>
          </w:p>
          <w:p>
            <w:pPr>
              <w:spacing w:before="156"/>
              <w:rPr>
                <w:rFonts w:hint="eastAsia" w:ascii="宋体" w:hAnsi="宋体"/>
                <w:color w:val="auto"/>
                <w:szCs w:val="21"/>
              </w:rPr>
            </w:pPr>
            <w:r>
              <w:rPr>
                <w:rFonts w:hint="eastAsia" w:ascii="宋体" w:hAnsi="宋体"/>
                <w:color w:val="auto"/>
                <w:szCs w:val="21"/>
              </w:rPr>
              <w:t xml:space="preserve">1、可以分包履行的具体内容：_____。</w:t>
            </w:r>
            <w:r/>
          </w:p>
          <w:p>
            <w:pPr>
              <w:spacing w:before="156"/>
              <w:rPr>
                <w:rFonts w:hint="eastAsia" w:ascii="宋体" w:hAnsi="宋体"/>
                <w:color w:val="auto"/>
                <w:szCs w:val="21"/>
              </w:rPr>
            </w:pPr>
            <w:r>
              <w:rPr>
                <w:rFonts w:hint="eastAsia" w:ascii="宋体" w:hAnsi="宋体"/>
                <w:color w:val="auto"/>
                <w:szCs w:val="21"/>
              </w:rPr>
              <w:t xml:space="preserve">2、允许分包的金额：_____。</w:t>
            </w:r>
            <w:r/>
          </w:p>
          <w:p>
            <w:pPr>
              <w:spacing w:before="156"/>
              <w:rPr>
                <w:rFonts w:hint="eastAsia"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hint="eastAsia"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投标报价的其他要求：</w:t>
            </w:r>
            <w:r/>
          </w:p>
          <w:p>
            <w:pPr>
              <w:pStyle w:val="978"/>
              <w:rPr>
                <w:rFonts w:hint="eastAsia"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978"/>
              <w:rPr>
                <w:rFonts w:hint="eastAsia"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color w:val="auto"/>
              </w:rPr>
              <w:t xml:space="preserve">供应商应当按照《</w:t>
            </w:r>
            <w:r>
              <w:rPr>
                <w:rFonts w:hint="eastAsia"/>
                <w:color w:val="auto"/>
                <w:szCs w:val="21"/>
              </w:rPr>
              <w:t xml:space="preserve">详见《江苏省政府采购管理交易系统（苏采云）供应商操作手册》</w:t>
            </w:r>
            <w:r>
              <w:rPr>
                <w:rFonts w:hint="eastAsia"/>
                <w:color w:val="auto"/>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978"/>
              <w:jc w:val="left"/>
              <w:rPr>
                <w:rFonts w:hint="eastAsia"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978"/>
              <w:rPr>
                <w:rFonts w:hint="eastAsia" w:hAnsi="宋体" w:cs="Microsoft New Tai Lue"/>
                <w:bCs/>
                <w:color w:val="auto"/>
                <w:sz w:val="21"/>
              </w:rPr>
            </w:pPr>
            <w:r>
              <w:rPr>
                <w:rFonts w:ascii="Segoe UI Symbol" w:hAnsi="Segoe UI Symbol" w:cs="Segoe UI Symbol"/>
                <w:bCs/>
                <w:color w:val="auto"/>
                <w:szCs w:val="21"/>
              </w:rPr>
              <w:t xml:space="preserve">☐</w:t>
            </w: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u w:val="single"/>
              </w:rPr>
              <w:t xml:space="preserve">公告发布之日起至投标截止时间前</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978"/>
              <w:rPr>
                <w:rFonts w:hint="eastAsia"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货物类，单一产品或核心产品为：</w:t>
            </w:r>
            <w:r>
              <w:rPr>
                <w:rFonts w:hint="eastAsia"/>
                <w:bCs/>
                <w:color w:val="auto"/>
                <w:szCs w:val="21"/>
              </w:rPr>
              <w:t xml:space="preserve">智能语音视讯监测预警终端</w:t>
            </w:r>
            <w:r/>
            <w:r>
              <w:rPr>
                <w:rFonts w:hint="eastAsia" w:hAnsi="宋体" w:cs="宋体"/>
                <w:bCs/>
                <w:color w:val="auto"/>
                <w:sz w:val="21"/>
              </w:rPr>
            </w:r>
            <w:r/>
          </w:p>
          <w:p>
            <w:pPr>
              <w:pStyle w:val="978"/>
              <w:rPr>
                <w:rFonts w:hint="eastAsia"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978"/>
              <w:jc w:val="left"/>
              <w:rPr>
                <w:rFonts w:hint="eastAsia"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rPr>
            </w:pPr>
            <w:r>
              <w:rPr>
                <w:rFonts w:ascii="宋体" w:hAnsi="宋体"/>
                <w:color w:val="auto"/>
                <w:szCs w:val="21"/>
              </w:rPr>
              <w:t xml:space="preserve">供应商对采购文件的</w:t>
            </w:r>
            <w:r/>
          </w:p>
          <w:p>
            <w:pPr>
              <w:pStyle w:val="978"/>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916"/>
              <w:rPr>
                <w:rFonts w:hint="eastAsia"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916"/>
              <w:rPr>
                <w:rFonts w:hint="eastAsia"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lang w:val="en-US" w:eastAsia="zh-CN"/>
              </w:rPr>
              <w:t xml:space="preserve">79279026</w:t>
            </w:r>
            <w:r>
              <w:rPr>
                <w:rFonts w:hint="eastAsia" w:hAnsi="宋体"/>
                <w:bCs/>
                <w:color w:val="auto"/>
                <w:u w:val="single"/>
              </w:rPr>
              <w:t xml:space="preserve">@qq.com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hint="eastAsia"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916"/>
              <w:rPr>
                <w:rFonts w:hint="eastAsia" w:hAnsi="宋体"/>
                <w:color w:val="auto"/>
              </w:rPr>
            </w:pPr>
            <w:r>
              <w:rPr>
                <w:rFonts w:hint="eastAsia" w:hAnsi="宋体" w:cs="Microsoft New Tai Lue"/>
                <w:bCs/>
                <w:color w:val="auto"/>
              </w:rPr>
              <w:t xml:space="preserve">形式：规定时间内以书面形式通知采购代理机构。如采用邮件形式（盖章扫描件及WPS兼容格式文件发至</w:t>
            </w:r>
            <w:r>
              <w:rPr>
                <w:rFonts w:hint="eastAsia" w:hAnsi="宋体"/>
                <w:bCs/>
                <w:color w:val="auto"/>
                <w:u w:val="single"/>
              </w:rPr>
              <w:t xml:space="preserve"> </w:t>
            </w:r>
            <w:r>
              <w:rPr>
                <w:rFonts w:hint="eastAsia" w:hAnsi="宋体"/>
                <w:bCs/>
                <w:color w:val="auto"/>
                <w:u w:val="single"/>
                <w:lang w:eastAsia="zh-CN"/>
              </w:rPr>
              <w:t xml:space="preserve">79279026</w:t>
            </w:r>
            <w:r>
              <w:rPr>
                <w:rFonts w:hint="eastAsia" w:hAnsi="宋体"/>
                <w:bCs/>
                <w:color w:val="auto"/>
                <w:u w:val="single"/>
              </w:rPr>
              <w:t xml:space="preserve">@qq.com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916"/>
              <w:rPr>
                <w:rFonts w:hint="eastAsia"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服务费（中标服务费），招标代理服务费参照《江苏省政府采购协会文件》（苏政采协[2024]20号文）货物的</w:t>
            </w:r>
            <w:r>
              <w:rPr>
                <w:rFonts w:hint="eastAsia"/>
                <w:color w:val="auto"/>
                <w:u w:val="single"/>
              </w:rPr>
              <w:t xml:space="preserve">80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916"/>
              <w:rPr>
                <w:rFonts w:hint="eastAsia"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16"/>
              <w:rPr>
                <w:rFonts w:hint="eastAsia"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978"/>
              <w:jc w:val="center"/>
              <w:rPr>
                <w:rFonts w:hint="eastAsia"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978"/>
              <w:rPr>
                <w:rFonts w:hint="eastAsia"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978"/>
              <w:rPr>
                <w:rFonts w:hint="eastAsia"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978"/>
              <w:rPr>
                <w:rFonts w:hint="eastAsia"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978"/>
              <w:rPr>
                <w:rFonts w:hint="eastAsia"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978"/>
              <w:rPr>
                <w:rFonts w:hint="eastAsia"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78"/>
              <w:ind w:firstLine="420"/>
              <w:rPr>
                <w:rFonts w:hint="eastAsia"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916"/>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931"/>
        <w:rPr>
          <w:rFonts w:ascii="Microsoft New Tai Lue" w:hAnsi="Microsoft New Tai Lue" w:cs="Microsoft New Tai Lue"/>
          <w:color w:val="auto"/>
        </w:rPr>
      </w:pPr>
      <w:r/>
      <w:bookmarkStart w:id="33" w:name="_Toc103848526"/>
      <w:r/>
      <w:bookmarkStart w:id="34" w:name="_Toc107246213"/>
      <w:r/>
      <w:bookmarkStart w:id="35" w:name="_Toc104560837"/>
      <w:r/>
      <w:bookmarkStart w:id="36" w:name="_Toc100905199"/>
      <w:r>
        <w:rPr>
          <w:rFonts w:ascii="Microsoft New Tai Lue" w:hAnsi="Microsoft New Tai Lue" w:cs="Microsoft New Tai Lue"/>
          <w:color w:val="auto"/>
        </w:rPr>
        <w:t xml:space="preserve">投标人须知</w:t>
      </w:r>
      <w:bookmarkEnd w:id="33"/>
      <w:r/>
      <w:bookmarkEnd w:id="34"/>
      <w:r/>
      <w:bookmarkEnd w:id="35"/>
      <w:r/>
      <w:bookmarkEnd w:id="36"/>
      <w:r/>
      <w:r/>
    </w:p>
    <w:p>
      <w:pPr>
        <w:pStyle w:val="894"/>
        <w:ind w:left="210" w:right="210" w:firstLine="422"/>
        <w:spacing w:before="0" w:after="0" w:line="360" w:lineRule="auto"/>
        <w:rPr>
          <w:rFonts w:hint="eastAsia"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894"/>
        <w:ind w:left="210" w:right="210" w:firstLine="422"/>
        <w:spacing w:before="0" w:after="0" w:line="360" w:lineRule="auto"/>
        <w:rPr>
          <w:rFonts w:hint="eastAsia" w:ascii="宋体" w:hAnsi="宋体" w:cs="宋体"/>
          <w:b/>
          <w:bCs/>
          <w:color w:val="auto"/>
          <w:szCs w:val="21"/>
        </w:rPr>
      </w:pPr>
      <w:r/>
      <w:bookmarkStart w:id="40" w:name="_Toc96347862"/>
      <w:r/>
      <w:bookmarkStart w:id="41" w:name="_Toc100905201"/>
      <w:r/>
      <w:bookmarkStart w:id="42" w:name="_Toc104560839"/>
      <w:r/>
      <w:bookmarkStart w:id="43" w:name="_Toc103848528"/>
      <w:r/>
      <w:bookmarkStart w:id="44" w:name="_Toc107246215"/>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894"/>
        <w:ind w:left="210" w:right="210" w:firstLine="422"/>
        <w:spacing w:before="0" w:after="0" w:line="360" w:lineRule="auto"/>
        <w:rPr>
          <w:rFonts w:hint="eastAsia" w:ascii="宋体" w:hAnsi="宋体" w:cs="宋体"/>
          <w:b/>
          <w:bCs/>
          <w:color w:val="auto"/>
          <w:szCs w:val="21"/>
        </w:rPr>
      </w:pPr>
      <w:r/>
      <w:bookmarkStart w:id="45" w:name="_Toc100905202"/>
      <w:r/>
      <w:bookmarkStart w:id="46" w:name="_Toc96347863"/>
      <w:r/>
      <w:bookmarkStart w:id="47" w:name="_Toc107246216"/>
      <w:r/>
      <w:bookmarkStart w:id="48" w:name="_Toc103848529"/>
      <w:r/>
      <w:bookmarkStart w:id="49" w:name="_Toc104560840"/>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894"/>
        <w:ind w:left="210" w:right="210" w:firstLine="422"/>
        <w:spacing w:before="0" w:after="0" w:line="360" w:lineRule="auto"/>
        <w:rPr>
          <w:rFonts w:hint="eastAsia" w:ascii="宋体" w:hAnsi="宋体" w:cs="宋体"/>
          <w:b/>
          <w:bCs/>
          <w:color w:val="auto"/>
          <w:szCs w:val="21"/>
        </w:rPr>
      </w:pPr>
      <w:r/>
      <w:bookmarkStart w:id="50" w:name="_Toc107246217"/>
      <w:r/>
      <w:bookmarkStart w:id="51" w:name="_Toc100905203"/>
      <w:r/>
      <w:bookmarkStart w:id="52" w:name="_Toc104560841"/>
      <w:r/>
      <w:bookmarkStart w:id="53" w:name="_Toc96347864"/>
      <w:r/>
      <w:bookmarkStart w:id="54" w:name="_Toc103848530"/>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4"/>
        <w:ind w:left="210" w:right="210" w:firstLine="422"/>
        <w:spacing w:before="0" w:after="0" w:line="360" w:lineRule="auto"/>
        <w:rPr>
          <w:rFonts w:hint="eastAsia" w:ascii="宋体" w:hAnsi="宋体" w:cs="宋体"/>
          <w:b/>
          <w:bCs/>
          <w:color w:val="auto"/>
          <w:szCs w:val="21"/>
        </w:rPr>
      </w:pPr>
      <w:r/>
      <w:bookmarkStart w:id="56" w:name="_Toc103848531"/>
      <w:r/>
      <w:bookmarkStart w:id="57" w:name="_Toc104560842"/>
      <w:r/>
      <w:bookmarkStart w:id="58" w:name="_Toc107246218"/>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894"/>
        <w:ind w:left="210" w:right="210" w:firstLine="422"/>
        <w:spacing w:before="0" w:after="0" w:line="360" w:lineRule="auto"/>
        <w:rPr>
          <w:rFonts w:hint="eastAsia" w:ascii="宋体" w:hAnsi="宋体" w:cs="宋体"/>
          <w:color w:val="auto"/>
          <w:szCs w:val="21"/>
        </w:rPr>
      </w:pPr>
      <w:r/>
      <w:bookmarkStart w:id="59" w:name="_Toc100905205"/>
      <w:r/>
      <w:bookmarkStart w:id="60" w:name="_Toc107246219"/>
      <w:r/>
      <w:bookmarkStart w:id="61" w:name="_Toc96347865"/>
      <w:r/>
      <w:bookmarkStart w:id="62" w:name="_Toc104560843"/>
      <w:r/>
      <w:bookmarkStart w:id="63" w:name="_Toc103848532"/>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894"/>
        <w:ind w:left="210" w:right="210" w:firstLine="422"/>
        <w:spacing w:before="0" w:after="0" w:line="360" w:lineRule="auto"/>
        <w:rPr>
          <w:rFonts w:hint="eastAsia" w:ascii="宋体" w:hAnsi="宋体" w:cs="宋体"/>
          <w:color w:val="auto"/>
          <w:szCs w:val="21"/>
        </w:rPr>
      </w:pPr>
      <w:r/>
      <w:bookmarkStart w:id="65" w:name="_Toc100905206"/>
      <w:r/>
      <w:bookmarkStart w:id="66" w:name="_Toc104560844"/>
      <w:r/>
      <w:bookmarkStart w:id="67" w:name="_Toc103848533"/>
      <w:r/>
      <w:bookmarkStart w:id="68" w:name="_Toc96347866"/>
      <w:r/>
      <w:bookmarkStart w:id="69" w:name="_Toc107246220"/>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rPr>
      </w:pPr>
      <w:r/>
      <w:bookmarkStart w:id="70" w:name="_Toc100905207"/>
      <w:r/>
      <w:bookmarkStart w:id="7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4"/>
        <w:ind w:left="210" w:right="210" w:firstLine="422"/>
        <w:spacing w:before="0" w:after="0" w:line="360" w:lineRule="auto"/>
        <w:rPr>
          <w:rFonts w:hint="eastAsia" w:ascii="宋体" w:hAnsi="宋体" w:cs="宋体"/>
          <w:color w:val="auto"/>
          <w:szCs w:val="21"/>
        </w:rPr>
      </w:pPr>
      <w:r/>
      <w:bookmarkStart w:id="72" w:name="_Toc107246221"/>
      <w:r/>
      <w:bookmarkStart w:id="73" w:name="_Toc104560845"/>
      <w:r/>
      <w:bookmarkStart w:id="74" w:name="_Toc103848534"/>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894"/>
        <w:ind w:left="210" w:right="210" w:firstLine="422"/>
        <w:spacing w:before="0" w:after="0" w:line="360" w:lineRule="auto"/>
        <w:rPr>
          <w:rFonts w:hint="eastAsia" w:ascii="宋体" w:hAnsi="宋体" w:cs="宋体"/>
          <w:color w:val="auto"/>
          <w:szCs w:val="21"/>
        </w:rPr>
      </w:pPr>
      <w:r/>
      <w:bookmarkStart w:id="75" w:name="_Toc107246222"/>
      <w:r/>
      <w:bookmarkStart w:id="76" w:name="_Toc103848535"/>
      <w:r/>
      <w:bookmarkStart w:id="77" w:name="_Toc104560846"/>
      <w:r/>
      <w:bookmarkStart w:id="78" w:name="_Toc100905208"/>
      <w:r/>
      <w:bookmarkStart w:id="79" w:name="_Toc96347868"/>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894"/>
        <w:ind w:left="210" w:right="210" w:firstLine="422"/>
        <w:spacing w:before="0" w:after="0" w:line="360" w:lineRule="auto"/>
        <w:rPr>
          <w:rFonts w:hint="eastAsia" w:ascii="宋体" w:hAnsi="宋体" w:cs="宋体"/>
          <w:color w:val="auto"/>
          <w:szCs w:val="21"/>
        </w:rPr>
      </w:pPr>
      <w:r/>
      <w:bookmarkStart w:id="80" w:name="_Toc102117275"/>
      <w:r/>
      <w:bookmarkStart w:id="81" w:name="_Toc107246223"/>
      <w:r>
        <w:rPr>
          <w:rFonts w:hint="eastAsia" w:ascii="宋体" w:hAnsi="宋体" w:cs="宋体"/>
          <w:b/>
          <w:bCs/>
          <w:color w:val="auto"/>
          <w:szCs w:val="21"/>
        </w:rPr>
        <w:t xml:space="preserve">9.开标前答疑会</w:t>
      </w:r>
      <w:bookmarkEnd w:id="80"/>
      <w:r/>
      <w:bookmarkEnd w:id="8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894"/>
        <w:ind w:left="210" w:right="210" w:firstLine="422"/>
        <w:spacing w:before="0" w:after="0" w:line="360" w:lineRule="auto"/>
        <w:rPr>
          <w:rFonts w:hint="eastAsia" w:ascii="宋体" w:hAnsi="宋体" w:cs="宋体"/>
          <w:color w:val="auto"/>
          <w:szCs w:val="21"/>
        </w:rPr>
      </w:pPr>
      <w:r/>
      <w:bookmarkStart w:id="82" w:name="_Toc100905210"/>
      <w:r/>
      <w:bookmarkStart w:id="83" w:name="_Toc104560847"/>
      <w:r/>
      <w:bookmarkStart w:id="84" w:name="_Toc103848536"/>
      <w:r/>
      <w:bookmarkStart w:id="85" w:name="_Toc107246224"/>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894"/>
        <w:ind w:left="210" w:right="210" w:firstLine="422"/>
        <w:spacing w:before="0" w:after="0" w:line="360" w:lineRule="auto"/>
        <w:rPr>
          <w:rFonts w:hint="eastAsia" w:ascii="宋体" w:hAnsi="宋体" w:cs="宋体"/>
          <w:color w:val="auto"/>
          <w:szCs w:val="21"/>
        </w:rPr>
      </w:pPr>
      <w:r/>
      <w:bookmarkStart w:id="87" w:name="_Toc107246225"/>
      <w:r/>
      <w:bookmarkStart w:id="88" w:name="_Toc100905213"/>
      <w:r/>
      <w:bookmarkStart w:id="89" w:name="_Toc104560848"/>
      <w:r/>
      <w:bookmarkStart w:id="90" w:name="_Toc103848537"/>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4"/>
        <w:ind w:left="210" w:right="210" w:firstLine="422"/>
        <w:spacing w:before="0" w:after="0" w:line="360" w:lineRule="auto"/>
        <w:rPr>
          <w:rFonts w:hint="eastAsia" w:ascii="宋体" w:hAnsi="宋体" w:cs="宋体"/>
          <w:color w:val="auto"/>
          <w:szCs w:val="21"/>
        </w:rPr>
      </w:pPr>
      <w:r/>
      <w:bookmarkStart w:id="92" w:name="_Toc107246226"/>
      <w:r/>
      <w:bookmarkStart w:id="93" w:name="_Toc104560849"/>
      <w:r>
        <w:rPr>
          <w:rFonts w:hint="eastAsia" w:ascii="宋体" w:hAnsi="宋体" w:cs="宋体"/>
          <w:b/>
          <w:bCs/>
          <w:color w:val="auto"/>
          <w:szCs w:val="21"/>
        </w:rPr>
        <w:t xml:space="preserve">12.样品</w:t>
      </w:r>
      <w:bookmarkEnd w:id="92"/>
      <w:r/>
      <w:bookmarkEnd w:id="9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894"/>
        <w:ind w:left="210" w:right="210" w:firstLine="422"/>
        <w:spacing w:before="0" w:after="0" w:line="360" w:lineRule="auto"/>
        <w:rPr>
          <w:rFonts w:hint="eastAsia" w:ascii="宋体" w:hAnsi="宋体" w:cs="宋体"/>
          <w:color w:val="auto"/>
          <w:szCs w:val="21"/>
        </w:rPr>
      </w:pPr>
      <w:r/>
      <w:bookmarkStart w:id="94" w:name="_Toc104560850"/>
      <w:r/>
      <w:bookmarkStart w:id="95" w:name="_Toc103848538"/>
      <w:r/>
      <w:bookmarkStart w:id="96" w:name="_Toc107246227"/>
      <w:r/>
      <w:bookmarkStart w:id="97" w:name="_Toc100905214"/>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98" w:name="_Toc107246228"/>
      <w:r/>
      <w:bookmarkStart w:id="99" w:name="_Toc104560851"/>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100" w:name="_Toc107246229"/>
      <w:r/>
      <w:bookmarkStart w:id="101" w:name="_Toc104560852"/>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894"/>
        <w:ind w:left="210" w:right="210" w:firstLine="422"/>
        <w:spacing w:before="0" w:after="0" w:line="360" w:lineRule="auto"/>
        <w:rPr>
          <w:rFonts w:hint="eastAsia" w:ascii="宋体" w:hAnsi="宋体" w:cs="宋体"/>
          <w:color w:val="auto"/>
          <w:szCs w:val="21"/>
        </w:rPr>
      </w:pPr>
      <w:r/>
      <w:bookmarkStart w:id="103" w:name="_Toc96347871"/>
      <w:r/>
      <w:bookmarkStart w:id="104" w:name="_Toc103848540"/>
      <w:r/>
      <w:bookmarkStart w:id="105" w:name="_Toc100905217"/>
      <w:r/>
      <w:bookmarkStart w:id="106" w:name="_Toc104560854"/>
      <w:r/>
      <w:bookmarkStart w:id="107" w:name="_Toc107246231"/>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55"/>
        <w:ind w:firstLine="630"/>
        <w:rPr>
          <w:rFonts w:hint="eastAsia"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hint="eastAsia"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894"/>
        <w:ind w:left="210" w:right="210" w:firstLine="422"/>
        <w:spacing w:before="0" w:after="0" w:line="360" w:lineRule="auto"/>
        <w:rPr>
          <w:rFonts w:hint="eastAsia" w:ascii="宋体" w:hAnsi="宋体" w:cs="宋体"/>
          <w:color w:val="auto"/>
          <w:szCs w:val="21"/>
        </w:rPr>
      </w:pPr>
      <w:r/>
      <w:bookmarkStart w:id="109" w:name="_Toc104560855"/>
      <w:r/>
      <w:bookmarkStart w:id="110" w:name="_Toc103848541"/>
      <w:r/>
      <w:bookmarkStart w:id="111" w:name="_Toc107246232"/>
      <w:r/>
      <w:bookmarkStart w:id="112" w:name="_Toc96347873"/>
      <w:r/>
      <w:bookmarkStart w:id="113" w:name="_Toc100905218"/>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894"/>
        <w:ind w:left="210" w:right="210" w:firstLine="422"/>
        <w:spacing w:before="0" w:after="0" w:line="360" w:lineRule="auto"/>
        <w:rPr>
          <w:rFonts w:hint="eastAsia" w:ascii="宋体" w:hAnsi="宋体" w:cs="宋体"/>
          <w:color w:val="auto"/>
          <w:szCs w:val="21"/>
        </w:rPr>
      </w:pPr>
      <w:r/>
      <w:bookmarkStart w:id="115" w:name="_Toc107246233"/>
      <w:r/>
      <w:bookmarkStart w:id="116" w:name="_Toc91836558"/>
      <w:r/>
      <w:bookmarkStart w:id="117" w:name="_Toc104560856"/>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894"/>
        <w:ind w:left="210" w:right="210" w:firstLine="422"/>
        <w:spacing w:before="0" w:after="0" w:line="360" w:lineRule="auto"/>
        <w:rPr>
          <w:rFonts w:hint="eastAsia" w:ascii="宋体" w:hAnsi="宋体" w:cs="宋体"/>
          <w:color w:val="auto"/>
          <w:szCs w:val="21"/>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894"/>
        <w:ind w:left="210" w:right="210" w:firstLine="211"/>
        <w:spacing w:before="0" w:after="0" w:line="360" w:lineRule="auto"/>
        <w:rPr>
          <w:rFonts w:hint="eastAsia" w:ascii="宋体" w:hAnsi="宋体" w:cs="宋体"/>
          <w:color w:val="auto"/>
          <w:szCs w:val="21"/>
        </w:rPr>
      </w:pPr>
      <w:r/>
      <w:bookmarkStart w:id="124" w:name="_Toc107246235"/>
      <w:r/>
      <w:bookmarkStart w:id="125" w:name="_Toc104560858"/>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894"/>
        <w:ind w:left="210" w:right="210" w:firstLine="211"/>
        <w:spacing w:before="0" w:after="0" w:line="360" w:lineRule="auto"/>
        <w:rPr>
          <w:rFonts w:hint="eastAsia"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2"/>
      <w:r/>
      <w:bookmarkEnd w:id="123"/>
      <w:r/>
      <w:r/>
    </w:p>
    <w:p>
      <w:pPr>
        <w:pStyle w:val="894"/>
        <w:ind w:left="210" w:right="210" w:firstLine="211"/>
        <w:spacing w:before="0" w:after="0" w:line="360" w:lineRule="auto"/>
        <w:rPr>
          <w:rFonts w:hint="eastAsia" w:ascii="宋体" w:hAnsi="宋体" w:cs="宋体"/>
          <w:color w:val="auto"/>
          <w:szCs w:val="21"/>
        </w:rPr>
      </w:pPr>
      <w:r/>
      <w:bookmarkStart w:id="127" w:name="_Toc103848545"/>
      <w:r/>
      <w:bookmarkStart w:id="128" w:name="_Toc100905224"/>
      <w:r/>
      <w:bookmarkStart w:id="129" w:name="_Toc104560859"/>
      <w:r/>
      <w:bookmarkStart w:id="130" w:name="_Toc107246237"/>
      <w:r/>
      <w:bookmarkStart w:id="131" w:name="_Toc103848544"/>
      <w:r/>
      <w:bookmarkStart w:id="132" w:name="_Toc100905223"/>
      <w:r/>
      <w:bookmarkStart w:id="133" w:name="_Toc96347878"/>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94"/>
        <w:ind w:left="210" w:right="210" w:firstLine="211"/>
        <w:spacing w:before="0" w:after="0" w:line="360" w:lineRule="auto"/>
        <w:rPr>
          <w:rFonts w:hint="eastAsia" w:ascii="宋体" w:hAnsi="宋体" w:cs="宋体"/>
          <w:b/>
          <w:bCs/>
          <w:color w:val="auto"/>
          <w:szCs w:val="21"/>
        </w:rPr>
      </w:pPr>
      <w:r/>
      <w:bookmarkStart w:id="134" w:name="_Toc104560860"/>
      <w:r/>
      <w:bookmarkStart w:id="135" w:name="_Toc107246238"/>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rPr>
      </w:pPr>
      <w:r/>
      <w:bookmarkStart w:id="136" w:name="_Toc420657357"/>
      <w:r/>
      <w:bookmarkStart w:id="137" w:name="_Toc466452044"/>
      <w:r/>
      <w:bookmarkStart w:id="138" w:name="_Toc96347879"/>
      <w:r/>
      <w:bookmarkStart w:id="139" w:name="_Toc68159552"/>
      <w:r/>
      <w:bookmarkStart w:id="140" w:name="_Toc420487862"/>
      <w:r/>
      <w:bookmarkStart w:id="141" w:name="_Toc519241651"/>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rPr>
      </w:pPr>
      <w:r/>
      <w:bookmarkStart w:id="142" w:name="_Toc104560861"/>
      <w:r/>
      <w:bookmarkStart w:id="143" w:name="_Toc103848546"/>
      <w:r/>
      <w:bookmarkStart w:id="144" w:name="_Toc100905225"/>
      <w:r/>
      <w:bookmarkStart w:id="145" w:name="_Toc96347880"/>
      <w:r>
        <w:rPr>
          <w:rFonts w:hint="eastAsia" w:ascii="宋体" w:hAnsi="宋体" w:cs="宋体"/>
          <w:color w:val="auto"/>
          <w:szCs w:val="21"/>
        </w:rPr>
        <w:t xml:space="preserve">（1）供应商在招标文件规定的投标有效期内撤销其投标文件；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894"/>
        <w:ind w:left="210" w:right="210" w:firstLine="420"/>
        <w:spacing w:before="0" w:after="0" w:line="360" w:lineRule="auto"/>
        <w:rPr>
          <w:rFonts w:hint="eastAsia"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hint="eastAsia"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894"/>
        <w:ind w:left="210" w:right="210" w:firstLine="211"/>
        <w:spacing w:before="0" w:after="0" w:line="360" w:lineRule="auto"/>
        <w:rPr>
          <w:rFonts w:hint="eastAsia"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894"/>
        <w:ind w:left="210" w:right="210" w:firstLine="211"/>
        <w:spacing w:before="0" w:after="0" w:line="360" w:lineRule="auto"/>
        <w:rPr>
          <w:rFonts w:hint="eastAsia" w:ascii="宋体" w:hAnsi="宋体" w:cs="Microsoft New Tai Lue"/>
          <w:color w:val="auto"/>
          <w:szCs w:val="21"/>
        </w:rPr>
      </w:pPr>
      <w:r/>
      <w:bookmarkStart w:id="148" w:name="_Toc104560863"/>
      <w:r/>
      <w:bookmarkStart w:id="149" w:name="_Toc107246241"/>
      <w:r/>
      <w:bookmarkStart w:id="150" w:name="_Toc103848548"/>
      <w:r/>
      <w:bookmarkStart w:id="151" w:name="_Toc100905226"/>
      <w:r/>
      <w:bookmarkStart w:id="152" w:name="_Toc96347881"/>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100905227"/>
      <w:r/>
      <w:bookmarkStart w:id="154" w:name="_Toc50528805"/>
      <w:r/>
      <w:bookmarkStart w:id="155" w:name="_Toc11952"/>
      <w:r/>
      <w:bookmarkStart w:id="156" w:name="_Toc38931800"/>
      <w:r/>
      <w:bookmarkStart w:id="157" w:name="_Toc46939510"/>
      <w:r/>
      <w:bookmarkStart w:id="158" w:name="_Toc46219699"/>
      <w:r/>
      <w:bookmarkStart w:id="159" w:name="_Toc19963"/>
      <w:r/>
      <w:bookmarkStart w:id="160" w:name="_Toc48151397"/>
      <w:r/>
      <w:bookmarkStart w:id="161" w:name="_Toc40202948"/>
      <w:r/>
      <w:bookmarkStart w:id="162" w:name="_Toc11464"/>
      <w:r/>
      <w:bookmarkStart w:id="163" w:name="_Toc89586904"/>
      <w:r/>
      <w:bookmarkStart w:id="164" w:name="_Toc4536"/>
      <w:r/>
      <w:bookmarkStart w:id="165" w:name="_Toc91399404"/>
      <w:r/>
      <w:bookmarkStart w:id="166" w:name="_Toc97561941"/>
      <w:r/>
      <w:bookmarkStart w:id="167" w:name="_Toc469850063"/>
      <w:r/>
      <w:bookmarkStart w:id="168" w:name="_Toc103848549"/>
      <w:r/>
      <w:bookmarkStart w:id="169" w:name="_Toc51928343"/>
      <w:r/>
      <w:bookmarkStart w:id="170" w:name="_Toc96347882"/>
      <w:r/>
      <w:bookmarkStart w:id="171" w:name="_Toc38931614"/>
      <w:r/>
      <w:bookmarkStart w:id="172" w:name="_Toc46960670"/>
      <w:r/>
      <w:bookmarkStart w:id="173" w:name="_Toc5042"/>
      <w:r/>
      <w:bookmarkStart w:id="174" w:name="_Toc38933357"/>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供应商应当按照</w:t>
      </w:r>
      <w:r>
        <w:rPr>
          <w:rFonts w:hint="eastAsia"/>
          <w:color w:val="auto"/>
          <w:szCs w:val="21"/>
        </w:rPr>
        <w:t xml:space="preserve">《江苏省政府采购管理交易系统（苏采云）供应商操作手册》</w:t>
      </w:r>
      <w:r>
        <w:rPr>
          <w:rFonts w:ascii="宋体" w:hAnsi="宋体" w:cs="Microsoft New Tai Lue"/>
          <w:bCs/>
          <w:color w:val="auto"/>
          <w:szCs w:val="21"/>
        </w:rPr>
        <w:t xml:space="preserve">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894"/>
        <w:ind w:left="210" w:right="210" w:firstLine="211"/>
        <w:spacing w:before="0" w:after="0" w:line="360" w:lineRule="auto"/>
        <w:rPr>
          <w:rFonts w:hint="eastAsia" w:ascii="宋体" w:hAnsi="宋体" w:cs="宋体"/>
          <w:color w:val="auto"/>
          <w:szCs w:val="21"/>
        </w:rPr>
      </w:pPr>
      <w:r/>
      <w:bookmarkStart w:id="175" w:name="_Toc104560864"/>
      <w:r/>
      <w:bookmarkStart w:id="176" w:name="_Toc107246242"/>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hint="eastAsia"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w:t>
      </w:r>
      <w:r>
        <w:rPr>
          <w:rFonts w:hint="eastAsia"/>
          <w:color w:val="auto"/>
          <w:szCs w:val="21"/>
        </w:rPr>
        <w:t xml:space="preserve">《江苏省政府采购管理交易系统（苏采云）供应商操作手册》</w:t>
      </w:r>
      <w:r>
        <w:rPr>
          <w:rFonts w:ascii="宋体" w:hAnsi="宋体" w:cs="Microsoft New Tai Lue"/>
          <w:bCs/>
          <w:color w:val="auto"/>
          <w:szCs w:val="21"/>
          <w:lang w:val="zh-CN"/>
        </w:rPr>
        <w:t xml:space="preserve">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供应商应充分考虑网络环境、网络带宽等因素可能对投标产生的影响，如因供应商自身原因造成的电子投标文件解密不成功的，做无效投标处理。</w:t>
      </w:r>
      <w:r/>
    </w:p>
    <w:p>
      <w:pPr>
        <w:pStyle w:val="894"/>
        <w:ind w:left="210" w:right="210" w:firstLine="211"/>
        <w:spacing w:before="0" w:after="0" w:line="360" w:lineRule="auto"/>
        <w:rPr>
          <w:rFonts w:hint="eastAsia" w:ascii="宋体" w:hAnsi="宋体" w:cs="宋体"/>
          <w:color w:val="auto"/>
          <w:szCs w:val="21"/>
        </w:rPr>
      </w:pPr>
      <w:r/>
      <w:bookmarkStart w:id="178" w:name="_Toc103848550"/>
      <w:r/>
      <w:bookmarkStart w:id="179" w:name="_Toc107246243"/>
      <w:r/>
      <w:bookmarkStart w:id="180" w:name="_Toc100905228"/>
      <w:r/>
      <w:bookmarkStart w:id="181" w:name="_Toc104560865"/>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894"/>
        <w:ind w:left="0" w:right="210" w:firstLine="422"/>
        <w:spacing w:before="0" w:after="0" w:line="360" w:lineRule="auto"/>
        <w:rPr>
          <w:rFonts w:hint="eastAsia" w:ascii="宋体" w:hAnsi="宋体" w:cs="宋体"/>
          <w:color w:val="auto"/>
          <w:szCs w:val="21"/>
        </w:rPr>
      </w:pPr>
      <w:r/>
      <w:bookmarkStart w:id="182" w:name="_Toc103848551"/>
      <w:r/>
      <w:bookmarkStart w:id="183" w:name="_Toc104560866"/>
      <w:r/>
      <w:bookmarkStart w:id="184" w:name="_Toc107246244"/>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894"/>
        <w:ind w:left="210" w:right="210" w:firstLine="211"/>
        <w:spacing w:before="0" w:after="0" w:line="360" w:lineRule="auto"/>
        <w:rPr>
          <w:rFonts w:hint="eastAsia"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894"/>
        <w:ind w:left="210" w:right="210" w:firstLine="211"/>
        <w:spacing w:before="0" w:after="0" w:line="360" w:lineRule="auto"/>
        <w:rPr>
          <w:rFonts w:hint="eastAsia" w:ascii="宋体" w:hAnsi="宋体" w:cs="宋体"/>
          <w:color w:val="auto"/>
          <w:szCs w:val="21"/>
        </w:rPr>
      </w:pPr>
      <w:r/>
      <w:bookmarkStart w:id="187" w:name="_Toc103848553"/>
      <w:r/>
      <w:bookmarkStart w:id="188" w:name="_Toc107246246"/>
      <w:r/>
      <w:bookmarkStart w:id="189" w:name="_Toc100905230"/>
      <w:r/>
      <w:bookmarkStart w:id="190" w:name="_Toc104560868"/>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894"/>
        <w:ind w:left="210" w:right="210" w:firstLine="211"/>
        <w:spacing w:before="0" w:after="0" w:line="360" w:lineRule="auto"/>
        <w:rPr>
          <w:rFonts w:hint="eastAsia"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hint="eastAsia" w:ascii="宋体" w:hAnsi="宋体" w:cs="宋体"/>
          <w:bCs/>
          <w:color w:val="auto"/>
          <w:szCs w:val="21"/>
        </w:rPr>
      </w:pPr>
      <w:r/>
      <w:bookmarkStart w:id="193" w:name="_Toc104560869"/>
      <w:r/>
      <w:bookmarkStart w:id="194" w:name="_Toc103848554"/>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894"/>
        <w:ind w:left="210" w:right="210" w:firstLine="422"/>
        <w:spacing w:before="0" w:after="0" w:line="360" w:lineRule="auto"/>
        <w:rPr>
          <w:rFonts w:hint="eastAsia"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894"/>
        <w:ind w:left="210" w:right="210" w:firstLine="422"/>
        <w:spacing w:before="0" w:after="0" w:line="360" w:lineRule="auto"/>
        <w:rPr>
          <w:rFonts w:hint="eastAsia" w:ascii="宋体" w:hAnsi="宋体" w:cs="宋体"/>
          <w:color w:val="auto"/>
          <w:szCs w:val="21"/>
        </w:rPr>
      </w:pPr>
      <w:r/>
      <w:bookmarkStart w:id="196" w:name="_Toc103848555"/>
      <w:r/>
      <w:bookmarkStart w:id="197" w:name="_Toc104560870"/>
      <w:r/>
      <w:bookmarkStart w:id="198" w:name="_Toc107246249"/>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894"/>
        <w:ind w:left="210" w:right="210" w:firstLine="422"/>
        <w:spacing w:before="0" w:after="0" w:line="360" w:lineRule="auto"/>
        <w:rPr>
          <w:rFonts w:hint="eastAsia" w:ascii="宋体" w:hAnsi="宋体" w:cs="宋体"/>
          <w:color w:val="auto"/>
          <w:szCs w:val="21"/>
        </w:rPr>
      </w:pPr>
      <w:r/>
      <w:bookmarkStart w:id="199" w:name="_Toc103848556"/>
      <w:r/>
      <w:bookmarkStart w:id="200" w:name="_Toc104560871"/>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rPr>
      </w:pPr>
      <w:r/>
      <w:bookmarkStart w:id="202" w:name="_Toc104560872"/>
      <w:r/>
      <w:bookmarkStart w:id="203" w:name="_Toc107246251"/>
      <w:r/>
      <w:bookmarkStart w:id="204" w:name="_Toc103848557"/>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894"/>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894"/>
        <w:ind w:left="210" w:right="210" w:firstLine="422"/>
        <w:spacing w:before="0" w:after="0" w:line="360" w:lineRule="auto"/>
        <w:rPr>
          <w:rFonts w:hint="eastAsia"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894"/>
        <w:ind w:left="210" w:right="210" w:firstLine="422"/>
        <w:spacing w:before="0" w:after="0" w:line="360" w:lineRule="auto"/>
        <w:rPr>
          <w:rFonts w:hint="eastAsia" w:ascii="宋体" w:hAnsi="宋体" w:cs="宋体"/>
          <w:color w:val="auto"/>
          <w:szCs w:val="21"/>
        </w:rPr>
      </w:pPr>
      <w:r/>
      <w:bookmarkStart w:id="206" w:name="_Toc103848558"/>
      <w:r/>
      <w:bookmarkStart w:id="207" w:name="_Toc104560873"/>
      <w:r/>
      <w:bookmarkStart w:id="208" w:name="_Toc107246253"/>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894"/>
        <w:ind w:left="210" w:right="210" w:firstLine="422"/>
        <w:spacing w:before="0" w:after="0" w:line="360" w:lineRule="auto"/>
        <w:rPr>
          <w:rFonts w:hint="eastAsia" w:ascii="宋体" w:hAnsi="宋体" w:cs="宋体"/>
          <w:color w:val="auto"/>
          <w:szCs w:val="21"/>
        </w:rPr>
      </w:pPr>
      <w:r/>
      <w:bookmarkStart w:id="209" w:name="_Toc104560874"/>
      <w:r/>
      <w:bookmarkStart w:id="210" w:name="_Toc103848559"/>
      <w:r/>
      <w:bookmarkStart w:id="211" w:name="_Toc107246254"/>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894"/>
        <w:ind w:left="210" w:right="210" w:firstLine="422"/>
        <w:spacing w:before="0" w:after="0" w:line="360" w:lineRule="auto"/>
        <w:rPr>
          <w:rFonts w:hint="eastAsia"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894"/>
        <w:ind w:left="210" w:right="210" w:firstLine="420"/>
        <w:spacing w:before="0" w:after="0" w:line="360" w:lineRule="auto"/>
        <w:tabs>
          <w:tab w:val="left" w:pos="5882" w:leader="none"/>
        </w:tabs>
        <w:rPr>
          <w:rFonts w:hint="eastAsia" w:ascii="宋体" w:hAnsi="宋体" w:cs="宋体"/>
          <w:color w:val="auto"/>
          <w:szCs w:val="21"/>
        </w:rPr>
      </w:pPr>
      <w:r/>
      <w:bookmarkStart w:id="213" w:name="_Toc107246256"/>
      <w:r/>
      <w:bookmarkStart w:id="214" w:name="_Toc104560876"/>
      <w:r/>
      <w:bookmarkStart w:id="215" w:name="_Toc103848561"/>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894"/>
        <w:ind w:left="210" w:right="210" w:firstLine="422"/>
        <w:spacing w:before="0" w:after="0" w:line="360" w:lineRule="auto"/>
        <w:rPr>
          <w:rFonts w:hint="eastAsia"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894"/>
        <w:ind w:left="210" w:right="210" w:firstLine="422"/>
        <w:spacing w:before="0" w:after="0" w:line="360" w:lineRule="auto"/>
        <w:rPr>
          <w:rFonts w:hint="eastAsia" w:ascii="宋体" w:hAnsi="宋体" w:cs="宋体"/>
          <w:b/>
          <w:bCs/>
          <w:color w:val="auto"/>
          <w:szCs w:val="21"/>
        </w:rPr>
      </w:pPr>
      <w:r/>
      <w:bookmarkStart w:id="217" w:name="_Toc103848563"/>
      <w:r/>
      <w:bookmarkStart w:id="218" w:name="_Toc104560878"/>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lang w:val="zh-CN"/>
        </w:rPr>
      </w:pPr>
      <w:r/>
      <w:bookmarkStart w:id="220" w:name="_Toc103848564"/>
      <w:r/>
      <w:bookmarkStart w:id="221" w:name="_Toc107246259"/>
      <w:r/>
      <w:bookmarkStart w:id="222" w:name="_Toc10456087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名单将省级以上财政部门指定的媒体上公告中标结果，中标公告期为1个工作日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hint="eastAsia"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94"/>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23" w:name="_Toc104560875"/>
      <w:r/>
      <w:bookmarkStart w:id="224" w:name="_Toc103848560"/>
      <w:r>
        <w:rPr>
          <w:rFonts w:hint="eastAsia" w:ascii="宋体" w:hAnsi="宋体" w:cs="宋体"/>
          <w:color w:val="auto"/>
          <w:szCs w:val="21"/>
        </w:rPr>
        <w:t xml:space="preserve">中标通知书发出后，中标人无正当理由不得放弃中标，否则将依法承担法律责任。</w:t>
      </w:r>
      <w:r/>
    </w:p>
    <w:p>
      <w:pPr>
        <w:pStyle w:val="894"/>
        <w:ind w:left="210" w:right="210" w:firstLine="422"/>
        <w:spacing w:before="0" w:after="0" w:line="360" w:lineRule="auto"/>
        <w:rPr>
          <w:rFonts w:hint="eastAsia"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894"/>
        <w:ind w:left="210" w:right="210" w:firstLine="422"/>
        <w:spacing w:before="0" w:after="0" w:line="360" w:lineRule="auto"/>
        <w:rPr>
          <w:rFonts w:hint="eastAsia" w:ascii="宋体" w:hAnsi="宋体" w:cs="宋体"/>
          <w:color w:val="auto"/>
          <w:szCs w:val="21"/>
        </w:rPr>
      </w:pPr>
      <w:r/>
      <w:bookmarkStart w:id="226" w:name="_Toc104560880"/>
      <w:r/>
      <w:bookmarkStart w:id="227" w:name="_Toc107246261"/>
      <w:r/>
      <w:bookmarkStart w:id="228" w:name="_Toc103848565"/>
      <w:r/>
      <w:bookmarkStart w:id="229" w:name="_Toc16938553"/>
      <w:r/>
      <w:bookmarkStart w:id="230" w:name="_Toc513029237"/>
      <w:r/>
      <w:bookmarkStart w:id="231" w:name="_Toc20823309"/>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4"/>
        <w:ind w:left="210" w:right="210" w:firstLine="422"/>
        <w:spacing w:before="0" w:after="0" w:line="360" w:lineRule="auto"/>
        <w:rPr>
          <w:rFonts w:hint="eastAsia" w:ascii="宋体" w:hAnsi="宋体" w:cs="宋体"/>
          <w:color w:val="auto"/>
          <w:szCs w:val="21"/>
        </w:rPr>
      </w:pPr>
      <w:r/>
      <w:bookmarkStart w:id="232" w:name="_Toc104560881"/>
      <w:r/>
      <w:bookmarkStart w:id="233" w:name="_Toc107246262"/>
      <w:r/>
      <w:bookmarkStart w:id="234" w:name="_Toc103848567"/>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894"/>
        <w:ind w:left="210" w:right="210" w:firstLine="422"/>
        <w:spacing w:before="0" w:after="0" w:line="360" w:lineRule="auto"/>
        <w:rPr>
          <w:rFonts w:hint="eastAsia"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894"/>
        <w:ind w:left="210" w:right="210" w:firstLine="422"/>
        <w:spacing w:before="0" w:after="0" w:line="360" w:lineRule="auto"/>
        <w:rPr>
          <w:rFonts w:hint="eastAsia" w:ascii="宋体" w:hAnsi="宋体" w:cs="宋体"/>
          <w:color w:val="auto"/>
          <w:szCs w:val="21"/>
        </w:rPr>
      </w:pPr>
      <w:r/>
      <w:bookmarkStart w:id="237" w:name="_Toc104560883"/>
      <w:r/>
      <w:bookmarkStart w:id="238" w:name="_Toc107246264"/>
      <w:r/>
      <w:bookmarkStart w:id="239" w:name="_Toc102117305"/>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894"/>
        <w:ind w:left="210" w:right="210" w:firstLine="422"/>
        <w:spacing w:before="0" w:after="0" w:line="360" w:lineRule="auto"/>
        <w:rPr>
          <w:rFonts w:hint="eastAsia" w:ascii="宋体" w:hAnsi="宋体" w:cs="宋体"/>
          <w:color w:val="auto"/>
          <w:szCs w:val="21"/>
        </w:rPr>
      </w:pPr>
      <w:r/>
      <w:bookmarkStart w:id="240" w:name="_Toc107246265"/>
      <w:r/>
      <w:bookmarkStart w:id="241" w:name="_Toc104560884"/>
      <w:r/>
      <w:bookmarkStart w:id="242" w:name="_Toc102117306"/>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894"/>
        <w:ind w:left="210" w:right="210" w:firstLine="422"/>
        <w:spacing w:before="0" w:after="0" w:line="360" w:lineRule="auto"/>
        <w:rPr>
          <w:rFonts w:hint="eastAsia"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894"/>
        <w:ind w:left="210" w:right="210" w:firstLine="422"/>
        <w:spacing w:before="0" w:after="0" w:line="360" w:lineRule="auto"/>
        <w:rPr>
          <w:rFonts w:hint="eastAsia" w:ascii="宋体" w:hAnsi="宋体" w:cs="宋体"/>
          <w:color w:val="auto"/>
          <w:szCs w:val="21"/>
        </w:rPr>
      </w:pPr>
      <w:r/>
      <w:bookmarkStart w:id="244" w:name="_Toc104560886"/>
      <w:r/>
      <w:bookmarkStart w:id="245" w:name="_Toc107246267"/>
      <w:r/>
      <w:bookmarkStart w:id="246" w:name="_Toc103848572"/>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247" w:name="_Toc103848573"/>
      <w:r/>
      <w:bookmarkStart w:id="248" w:name="_Toc107246268"/>
      <w:r/>
      <w:bookmarkStart w:id="249" w:name="_Toc104560887"/>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894"/>
        <w:ind w:left="210" w:right="210" w:firstLine="422"/>
        <w:spacing w:before="0" w:after="0" w:line="360" w:lineRule="auto"/>
        <w:rPr>
          <w:rFonts w:hint="eastAsia" w:ascii="宋体" w:hAnsi="宋体" w:cs="宋体"/>
          <w:color w:val="auto"/>
          <w:szCs w:val="21"/>
        </w:rPr>
      </w:pPr>
      <w:r/>
      <w:bookmarkStart w:id="250" w:name="_Toc104560888"/>
      <w:r/>
      <w:bookmarkStart w:id="251" w:name="_Toc107246269"/>
      <w:r/>
      <w:bookmarkStart w:id="252" w:name="_Toc103848574"/>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931"/>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ind w:left="1470" w:hanging="105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项目编号：</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甲方（买方）：</w:t>
      </w:r>
      <w:r>
        <w:rPr>
          <w:rFonts w:hint="eastAsia" w:ascii="宋体" w:hAnsi="宋体"/>
          <w:color w:val="auto"/>
          <w:szCs w:val="21"/>
          <w:u w:val="single"/>
        </w:rPr>
        <w:t xml:space="preserve">江苏省血吸虫病防治研究所</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乙方（卖方）：</w:t>
      </w:r>
      <w:r>
        <w:rPr>
          <w:rFonts w:hint="eastAsia" w:ascii="宋体" w:hAnsi="宋体"/>
          <w:color w:val="auto"/>
          <w:szCs w:val="21"/>
          <w:u w:val="single"/>
        </w:rPr>
        <w:t xml:space="preserve">                         </w:t>
      </w:r>
      <w:r/>
    </w:p>
    <w:p>
      <w:pPr>
        <w:ind w:firstLine="420"/>
        <w:jc w:val="left"/>
        <w:spacing w:line="360" w:lineRule="auto"/>
        <w:rPr>
          <w:rFonts w:hint="eastAsia" w:ascii="宋体" w:hAnsi="宋体" w:cs="宋体"/>
          <w:color w:val="auto"/>
          <w:szCs w:val="21"/>
        </w:rPr>
      </w:pPr>
      <w:r>
        <w:rPr>
          <w:rFonts w:hint="eastAsia" w:ascii="宋体" w:hAnsi="宋体"/>
          <w:color w:val="auto"/>
          <w:szCs w:val="21"/>
        </w:rPr>
        <w:t xml:space="preserve">见证方：江苏省招标中心有限公司，根据《中华人民共和国政府采购法》、《中华人民共和国民法典》等法律法规的规定</w:t>
      </w:r>
      <w:r>
        <w:rPr>
          <w:rFonts w:hint="eastAsia" w:ascii="宋体" w:hAnsi="宋体" w:cs="宋体"/>
          <w:color w:val="auto"/>
          <w:szCs w:val="21"/>
        </w:rPr>
        <w:t xml:space="preserve">，甲乙双方按照江苏省招标中心有限公司关于本项目公开招标的结果签订本合同。</w:t>
      </w:r>
      <w:r/>
    </w:p>
    <w:p>
      <w:pPr>
        <w:pStyle w:val="916"/>
        <w:ind w:firstLine="422"/>
        <w:spacing w:before="120" w:after="120" w:line="360" w:lineRule="auto"/>
        <w:rPr>
          <w:rFonts w:hint="eastAsia" w:hAnsi="宋体" w:cs="宋体"/>
          <w:b/>
          <w:bCs/>
          <w:color w:val="auto"/>
        </w:rPr>
      </w:pPr>
      <w:r>
        <w:rPr>
          <w:rFonts w:hint="eastAsia" w:hAnsi="宋体" w:cs="宋体"/>
          <w:b/>
          <w:bCs/>
          <w:color w:val="auto"/>
        </w:rPr>
        <w:t xml:space="preserve">1、合同标的</w:t>
      </w:r>
      <w:r/>
    </w:p>
    <w:tbl>
      <w:tblPr>
        <w:tblStyle w:val="90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125"/>
        <w:gridCol w:w="1380"/>
        <w:gridCol w:w="1380"/>
        <w:gridCol w:w="850"/>
        <w:gridCol w:w="709"/>
        <w:gridCol w:w="709"/>
        <w:gridCol w:w="992"/>
        <w:gridCol w:w="2424"/>
      </w:tblGrid>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序号</w:t>
            </w:r>
            <w:r/>
          </w:p>
        </w:tc>
        <w:tc>
          <w:tcPr>
            <w:tcW w:w="1125"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货物名称</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品牌</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规格型号</w:t>
            </w:r>
            <w:r/>
          </w:p>
        </w:tc>
        <w:tc>
          <w:tcPr>
            <w:tcW w:w="85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数量</w:t>
            </w:r>
            <w:r/>
          </w:p>
        </w:tc>
        <w:tc>
          <w:tcPr>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单价</w:t>
            </w:r>
            <w:r/>
          </w:p>
        </w:tc>
        <w:tc>
          <w:tcPr>
            <w:tcBorders>
              <w:bottom w:val="single" w:color="auto" w:sz="4" w:space="0"/>
            </w:tcBorders>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总价</w:t>
            </w:r>
            <w:r/>
          </w:p>
        </w:tc>
        <w:tc>
          <w:tcPr>
            <w:tcW w:w="992"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免费</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质保期</w:t>
            </w:r>
            <w:r/>
          </w:p>
        </w:tc>
        <w:tc>
          <w:tcPr>
            <w:tcW w:w="2424"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交货时间</w:t>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1</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  </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详见</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招标文件</w:t>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2</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3</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cantSplit/>
          <w:jc w:val="center"/>
        </w:trPr>
        <w:tc>
          <w:tcPr>
            <w:gridSpan w:val="9"/>
            <w:tcW w:w="10199"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合同总金额：人民币（大写）                   万元整。</w:t>
            </w:r>
            <w:r/>
          </w:p>
          <w:p>
            <w:pPr>
              <w:spacing w:before="19"/>
              <w:widowControl/>
              <w:rPr>
                <w:rFonts w:hint="eastAsia" w:ascii="宋体" w:hAnsi="宋体" w:cs="宋体"/>
                <w:color w:val="auto"/>
                <w:szCs w:val="21"/>
              </w:rPr>
            </w:pPr>
            <w:r>
              <w:rPr>
                <w:rFonts w:hint="eastAsia" w:ascii="宋体" w:hAnsi="宋体" w:cs="宋体"/>
                <w:color w:val="auto"/>
                <w:szCs w:val="21"/>
              </w:rPr>
              <w:t xml:space="preserve">                      ￥：                     元整</w:t>
            </w:r>
            <w:r/>
          </w:p>
        </w:tc>
      </w:tr>
      <w:tr>
        <w:trPr>
          <w:cantSplit/>
          <w:jc w:val="center"/>
        </w:trPr>
        <w:tc>
          <w:tcPr>
            <w:gridSpan w:val="2"/>
            <w:tcW w:w="175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甲方</w:t>
            </w:r>
            <w:r/>
          </w:p>
        </w:tc>
        <w:tc>
          <w:tcPr>
            <w:gridSpan w:val="7"/>
            <w:tcW w:w="844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r>
        <w:trPr>
          <w:cantSplit/>
          <w:jc w:val="center"/>
        </w:trPr>
        <w:tc>
          <w:tcPr>
            <w:gridSpan w:val="2"/>
            <w:tcW w:w="175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乙方</w:t>
            </w:r>
            <w:r/>
          </w:p>
        </w:tc>
        <w:tc>
          <w:tcPr>
            <w:gridSpan w:val="7"/>
            <w:tcW w:w="844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bl>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具体内容等要求详见招标文件及投标文件。</w:t>
      </w:r>
      <w:r/>
    </w:p>
    <w:p>
      <w:pPr>
        <w:pStyle w:val="916"/>
        <w:ind w:firstLine="422"/>
        <w:spacing w:before="120" w:after="120" w:line="360" w:lineRule="auto"/>
        <w:rPr>
          <w:rFonts w:hint="eastAsia" w:hAnsi="宋体"/>
          <w:b/>
          <w:bCs/>
          <w:color w:val="auto"/>
        </w:rPr>
      </w:pPr>
      <w:r>
        <w:rPr>
          <w:rFonts w:hint="eastAsia" w:hAnsi="宋体"/>
          <w:b/>
          <w:bCs/>
          <w:color w:val="auto"/>
        </w:rPr>
        <w:t xml:space="preserve">2、合同总金额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2.1 本合同金额为（大写）：____________圆人民币（¥</w:t>
      </w:r>
      <w:r>
        <w:rPr>
          <w:rFonts w:hint="eastAsia" w:ascii="宋体" w:hAnsi="宋体"/>
          <w:color w:val="auto"/>
          <w:szCs w:val="21"/>
          <w:u w:val="single"/>
        </w:rPr>
        <w:t xml:space="preserve">         </w:t>
      </w:r>
      <w:r>
        <w:rPr>
          <w:rFonts w:hint="eastAsia" w:ascii="宋体" w:hAnsi="宋体"/>
          <w:color w:val="auto"/>
          <w:szCs w:val="21"/>
        </w:rPr>
        <w:t xml:space="preserve">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2.2 本合同总金额包括乙方提供的货物/服务及其他有关的为完成本项目发生的所有费用，公开招标文件中另有规定的除外。</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2.3 在公开招标文件未列明，而乙方认为履行本合同必需的费用也包含在合同总金额中。</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2.4 本合同总金额还包含乙方提供的伴随服务/售后服务费用。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公开招标采购时的价格水平做相应的调减，并据此签订补充合同；除上述情况外，本合同执行期间合同总金额不变。</w:t>
      </w:r>
      <w:r/>
    </w:p>
    <w:p>
      <w:pPr>
        <w:pStyle w:val="916"/>
        <w:ind w:firstLine="422"/>
        <w:spacing w:before="120" w:after="120" w:line="360" w:lineRule="auto"/>
        <w:rPr>
          <w:rFonts w:hint="eastAsia" w:hAnsi="宋体"/>
          <w:b/>
          <w:bCs/>
          <w:color w:val="auto"/>
        </w:rPr>
      </w:pPr>
      <w:r>
        <w:rPr>
          <w:rFonts w:hint="eastAsia" w:hAnsi="宋体"/>
          <w:b/>
          <w:bCs/>
          <w:color w:val="auto"/>
        </w:rPr>
        <w:t xml:space="preserve">3、组成本合同的有关文件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3.1 乙方应按公开招标文件规定的时间向甲方提供服务的有关技术资料。</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3.3 关于本项目政府采购的公开招标文件、投标文件以及与本次采购活动方式相适应的文件及有关附件是本合同不可分割的组成部分，这些文件包括但不限于：</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（1）投标文件；                   （2）报价文件；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（3）项目组人员表；               （4）技术参数、商务条款响应及偏离表；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（5）服务承诺；                   （6）成交通知书；</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（7）甲乙双方补充协议；           （8）...</w:t>
      </w:r>
      <w:r/>
    </w:p>
    <w:p>
      <w:pPr>
        <w:pStyle w:val="916"/>
        <w:ind w:firstLine="422"/>
        <w:spacing w:before="120" w:after="120" w:line="360" w:lineRule="auto"/>
        <w:rPr>
          <w:rFonts w:hint="eastAsia" w:hAnsi="宋体"/>
          <w:b/>
          <w:bCs/>
          <w:color w:val="auto"/>
        </w:rPr>
      </w:pPr>
      <w:r>
        <w:rPr>
          <w:rFonts w:hint="eastAsia" w:hAnsi="宋体"/>
          <w:b/>
          <w:bCs/>
          <w:color w:val="auto"/>
        </w:rPr>
        <w:t xml:space="preserve">4、知识产权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916"/>
        <w:ind w:firstLine="422"/>
        <w:spacing w:before="120" w:after="120" w:line="360" w:lineRule="auto"/>
        <w:rPr>
          <w:rFonts w:hint="eastAsia" w:hAnsi="宋体"/>
          <w:b/>
          <w:bCs/>
          <w:color w:val="auto"/>
        </w:rPr>
      </w:pPr>
      <w:r>
        <w:rPr>
          <w:rFonts w:hint="eastAsia" w:hAnsi="宋体"/>
          <w:b/>
          <w:bCs/>
          <w:color w:val="auto"/>
        </w:rPr>
        <w:t xml:space="preserve">5、产权担保</w:t>
      </w:r>
      <w:r/>
    </w:p>
    <w:p>
      <w:pPr>
        <w:ind w:firstLine="420"/>
        <w:spacing w:line="360" w:lineRule="auto"/>
        <w:rPr>
          <w:rFonts w:hint="eastAsia" w:ascii="宋体" w:hAnsi="宋体"/>
          <w:color w:val="auto"/>
          <w:szCs w:val="21"/>
        </w:rPr>
      </w:pPr>
      <w:r>
        <w:rPr>
          <w:rFonts w:hint="eastAsia" w:ascii="宋体" w:hAnsi="宋体" w:cs="宋体"/>
          <w:color w:val="auto"/>
          <w:szCs w:val="21"/>
        </w:rPr>
        <w:t xml:space="preserve">乙方保证所交付的服务和服务所涉及的物品所有权无任何抵押、查封等权利瑕疵。</w:t>
      </w:r>
      <w:r/>
    </w:p>
    <w:p>
      <w:pPr>
        <w:ind w:left="315" w:firstLine="105"/>
        <w:spacing w:before="120" w:after="120" w:line="360" w:lineRule="auto"/>
        <w:rPr>
          <w:rFonts w:hint="eastAsia" w:ascii="宋体" w:hAnsi="宋体"/>
          <w:b/>
          <w:bCs/>
          <w:color w:val="auto"/>
          <w:szCs w:val="21"/>
        </w:rPr>
      </w:pPr>
      <w:r>
        <w:rPr>
          <w:rFonts w:hint="eastAsia" w:ascii="宋体" w:hAnsi="宋体"/>
          <w:b/>
          <w:bCs/>
          <w:color w:val="auto"/>
          <w:szCs w:val="21"/>
        </w:rPr>
        <w:t xml:space="preserve">6、履约保证金</w:t>
      </w:r>
      <w:r/>
    </w:p>
    <w:p>
      <w:pPr>
        <w:pStyle w:val="916"/>
        <w:ind w:firstLine="420"/>
        <w:spacing w:before="120" w:after="120" w:line="360" w:lineRule="auto"/>
        <w:widowControl/>
        <w:rPr>
          <w:rFonts w:hint="eastAsia" w:hAnsi="宋体"/>
          <w:color w:val="auto"/>
        </w:rPr>
      </w:pPr>
      <w:r>
        <w:rPr>
          <w:rFonts w:hint="eastAsia" w:hAnsi="宋体"/>
          <w:color w:val="auto"/>
        </w:rPr>
        <w:t xml:space="preserve">6.1</w:t>
      </w:r>
      <w:r>
        <w:rPr>
          <w:rFonts w:hAnsi="宋体"/>
          <w:color w:val="auto"/>
        </w:rPr>
        <w:t xml:space="preserve">收取履约保证金的，应当在采购合同中约定履约保证金退还的方式、时间、条件和不予退还的情形，明确逾期退还履约保证金的违约责任。</w:t>
      </w:r>
      <w:r>
        <w:rPr>
          <w:rStyle w:val="941"/>
          <w:rFonts w:hint="eastAsia" w:ascii="Times New Roman" w:hAnsi="Times New Roman" w:cs="Times New Roman"/>
          <w:color w:val="auto"/>
        </w:rPr>
        <w:t xml:space="preserve">（本项目不收履约保证金）</w:t>
      </w:r>
      <w:r/>
    </w:p>
    <w:p>
      <w:pPr>
        <w:ind w:firstLine="420"/>
        <w:spacing w:before="120" w:after="120" w:line="360" w:lineRule="auto"/>
        <w:rPr>
          <w:rFonts w:hint="eastAsia" w:ascii="宋体" w:hAnsi="宋体"/>
          <w:color w:val="auto"/>
          <w:szCs w:val="21"/>
        </w:rPr>
      </w:pPr>
      <w:r>
        <w:rPr>
          <w:rFonts w:hint="eastAsia" w:ascii="宋体" w:hAnsi="宋体"/>
          <w:color w:val="auto"/>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before="120" w:after="120" w:line="360" w:lineRule="auto"/>
        <w:rPr>
          <w:rFonts w:hint="eastAsia" w:ascii="宋体" w:hAnsi="宋体"/>
          <w:color w:val="auto"/>
          <w:szCs w:val="21"/>
        </w:rPr>
      </w:pPr>
      <w:r>
        <w:rPr>
          <w:rFonts w:ascii="宋体" w:hAnsi="宋体"/>
          <w:color w:val="auto"/>
          <w:szCs w:val="21"/>
        </w:rPr>
        <w:t xml:space="preserve">6.3 履约保证金扣除甲方应得的补偿后的余额，在本合同履行结束后由甲方无息退还。</w:t>
      </w:r>
      <w:r/>
    </w:p>
    <w:p>
      <w:pPr>
        <w:pStyle w:val="916"/>
        <w:ind w:firstLine="422"/>
        <w:spacing w:before="120" w:after="120" w:line="360" w:lineRule="auto"/>
        <w:rPr>
          <w:rFonts w:hint="eastAsia" w:hAnsi="宋体"/>
          <w:b/>
          <w:bCs/>
          <w:color w:val="auto"/>
        </w:rPr>
      </w:pPr>
      <w:r>
        <w:rPr>
          <w:rFonts w:hint="eastAsia" w:hAnsi="宋体"/>
          <w:b/>
          <w:bCs/>
          <w:color w:val="auto"/>
        </w:rPr>
        <w:t xml:space="preserve">7、转包或分包</w:t>
      </w:r>
      <w:r/>
    </w:p>
    <w:p>
      <w:pPr>
        <w:ind w:firstLine="420"/>
        <w:jc w:val="left"/>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.1 本合同禁止转包，本合同范围的服务，应由乙方直接提供的，不得转让他人提供。</w:t>
      </w:r>
      <w:r/>
    </w:p>
    <w:p>
      <w:pPr>
        <w:ind w:firstLine="420"/>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2</w:t>
      </w:r>
      <w:r>
        <w:rPr>
          <w:rFonts w:ascii="宋体" w:hAnsi="宋体"/>
          <w:color w:val="auto"/>
          <w:szCs w:val="21"/>
        </w:rPr>
        <w:t xml:space="preserve"> 如有转让和未经甲方同意的分包行为，甲方有权给予终止合同。</w:t>
      </w:r>
      <w:r/>
    </w:p>
    <w:p>
      <w:pPr>
        <w:pStyle w:val="916"/>
        <w:ind w:firstLine="422"/>
        <w:spacing w:before="120" w:after="120" w:line="360" w:lineRule="auto"/>
        <w:rPr>
          <w:rFonts w:hint="eastAsia" w:hAnsi="宋体"/>
          <w:b/>
          <w:bCs/>
          <w:color w:val="auto"/>
        </w:rPr>
      </w:pPr>
      <w:r>
        <w:rPr>
          <w:rFonts w:hint="eastAsia" w:hAnsi="宋体"/>
          <w:b/>
          <w:bCs/>
          <w:color w:val="auto"/>
        </w:rPr>
        <w:t xml:space="preserve">8、维保期</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7.1 </w:t>
      </w:r>
      <w:r>
        <w:rPr>
          <w:rFonts w:hint="eastAsia" w:ascii="宋体" w:hAnsi="宋体"/>
          <w:color w:val="auto"/>
          <w:szCs w:val="21"/>
          <w:highlight w:val="cyan"/>
        </w:rPr>
        <w:t xml:space="preserve">免费维保期 </w:t>
      </w:r>
      <w:r>
        <w:rPr>
          <w:rFonts w:hint="eastAsia" w:ascii="宋体" w:hAnsi="宋体"/>
          <w:color w:val="auto"/>
          <w:szCs w:val="21"/>
          <w:highlight w:val="cyan"/>
          <w:u w:val="single"/>
        </w:rPr>
        <w:t xml:space="preserve">  1  </w:t>
      </w:r>
      <w:r>
        <w:rPr>
          <w:rFonts w:hint="eastAsia" w:ascii="宋体" w:hAnsi="宋体"/>
          <w:color w:val="auto"/>
          <w:szCs w:val="21"/>
          <w:highlight w:val="cyan"/>
        </w:rPr>
        <w:t xml:space="preserve">年。（</w:t>
      </w:r>
      <w:r>
        <w:rPr>
          <w:rFonts w:hint="eastAsia" w:ascii="宋体" w:hAnsi="宋体"/>
          <w:color w:val="auto"/>
          <w:szCs w:val="21"/>
        </w:rPr>
        <w:t xml:space="preserve">自验收合格之日起计）</w:t>
      </w:r>
      <w:r/>
    </w:p>
    <w:p>
      <w:pPr>
        <w:pStyle w:val="916"/>
        <w:ind w:firstLine="422"/>
        <w:spacing w:before="120" w:after="120" w:line="360" w:lineRule="auto"/>
        <w:rPr>
          <w:rFonts w:hint="eastAsia" w:hAnsi="宋体"/>
          <w:b/>
          <w:bCs/>
          <w:color w:val="auto"/>
        </w:rPr>
      </w:pPr>
      <w:r>
        <w:rPr>
          <w:rFonts w:hint="eastAsia" w:hAnsi="宋体"/>
          <w:b/>
          <w:bCs/>
          <w:color w:val="auto"/>
        </w:rPr>
        <w:t xml:space="preserve">9、交付期、交付方式及交付地点</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.1 交付期：_________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.2 交付方式：_________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.3 交付地点：_________</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0</w:t>
      </w:r>
      <w:r>
        <w:rPr>
          <w:rFonts w:hint="eastAsia" w:hAnsi="宋体"/>
          <w:b/>
          <w:bCs/>
          <w:color w:val="auto"/>
        </w:rPr>
        <w:t xml:space="preserve">、货款支付</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.1 本合同项下所有款项均以人民币支付。 </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.2 本合同项下的采购资金由甲方支付，付款前乙方向甲方开具发票。</w:t>
      </w:r>
      <w:r/>
    </w:p>
    <w:p>
      <w:pPr>
        <w:ind w:firstLine="420"/>
        <w:spacing w:before="120" w:after="120" w:line="360" w:lineRule="auto"/>
        <w:rPr>
          <w:rFonts w:hint="eastAsia" w:ascii="宋体" w:hAnsi="宋体" w:cs="宋体"/>
          <w:color w:val="auto"/>
          <w:szCs w:val="21"/>
        </w:rPr>
      </w:pPr>
      <w:r>
        <w:rPr>
          <w:rFonts w:hint="eastAsia" w:ascii="宋体" w:hAnsi="宋体" w:cs="宋体"/>
          <w:color w:val="auto"/>
          <w:szCs w:val="21"/>
        </w:rPr>
        <w:t xml:space="preserve">10.3 甲方付款方式：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合同签订后预付30%合同款，设备运到甲方指定现场完成安装调试后，乙方提交全部报告材料，并通过甲方组织的验收，乙方向甲方提供全部合同金额发票后30个工作日内付至合同款的90%，验收满一年后付清剩余尾款。</w:t>
      </w:r>
      <w:r/>
    </w:p>
    <w:p>
      <w:pPr>
        <w:ind w:firstLine="420"/>
        <w:spacing w:line="360" w:lineRule="auto"/>
        <w:rPr>
          <w:color w:val="auto"/>
        </w:rPr>
      </w:pPr>
      <w:r>
        <w:rPr>
          <w:rFonts w:ascii="宋体" w:hAnsi="宋体" w:cs="宋体"/>
          <w:color w:val="auto"/>
          <w:szCs w:val="21"/>
        </w:rPr>
        <w:t xml:space="preserve">10</w:t>
      </w:r>
      <w:r>
        <w:rPr>
          <w:rFonts w:hint="eastAsia" w:ascii="宋体" w:hAnsi="宋体" w:cs="宋体"/>
          <w:color w:val="auto"/>
          <w:szCs w:val="21"/>
        </w:rPr>
        <w:t xml:space="preserve">.4合同履行期限</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合同签订之日起60个工作日完成设备交付、及买方验收确认，具体以采购人要求为准。</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1</w:t>
      </w:r>
      <w:r>
        <w:rPr>
          <w:rFonts w:hint="eastAsia" w:hAnsi="宋体"/>
          <w:b/>
          <w:bCs/>
          <w:color w:val="auto"/>
        </w:rPr>
        <w:t xml:space="preserve">、税费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本合同执行中相关的一切税费均由乙方负担。</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2</w:t>
      </w:r>
      <w:r>
        <w:rPr>
          <w:rFonts w:hint="eastAsia" w:hAnsi="宋体"/>
          <w:b/>
          <w:bCs/>
          <w:color w:val="auto"/>
        </w:rPr>
        <w:t xml:space="preserve">、质量保证及售后服务</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.1 乙方应按公开招标文件规定及投标文件承诺的技术性能、技术要求、质量标准向甲方提供服务；若无特殊说明，则按国家有关部门最新颁布的标准及规范为准。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.2 乙方应保证其提供的服务是全面和规范的，并完全符合公开招标文件及投标文件。如因乙方提供的服务有瑕疵造成甲方损失的，所需费用由乙方承担。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.3 如在使用过程中发生质量问题，乙方在接到甲方通知后在_________小时内到达甲方现场。</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.4 免费维保期内，乙方应对所提供服务出现的质量及安全问题负责处理解决并承担一切费用。</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3</w:t>
      </w:r>
      <w:r>
        <w:rPr>
          <w:rFonts w:hint="eastAsia" w:hAnsi="宋体"/>
          <w:b/>
          <w:bCs/>
          <w:color w:val="auto"/>
        </w:rPr>
        <w:t xml:space="preserve">、交付和验收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.1 乙方应当在合同签订后</w:t>
      </w:r>
      <w:r>
        <w:rPr>
          <w:rFonts w:hint="eastAsia" w:ascii="宋体" w:hAnsi="宋体"/>
          <w:color w:val="auto"/>
          <w:szCs w:val="21"/>
          <w:u w:val="single"/>
        </w:rPr>
        <w:t xml:space="preserve">     </w:t>
      </w:r>
      <w:r>
        <w:rPr>
          <w:rFonts w:hint="eastAsia" w:ascii="宋体" w:hAnsi="宋体"/>
          <w:color w:val="auto"/>
          <w:szCs w:val="21"/>
        </w:rPr>
        <w:t xml:space="preserve">天内完成服务事项，公开招标文件有约定的，从其约定。</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在交付前，乙方应作出全面检查和对验收文件进行整理，并列出清单，作为甲方初验收和使用的技术条件依据，检验的结果交甲方。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.2 验收标准：按乙方投标文件的承诺，并不低于国家相关标准。</w:t>
      </w:r>
      <w:r/>
    </w:p>
    <w:p>
      <w:pPr>
        <w:ind w:firstLine="420"/>
        <w:spacing w:line="360" w:lineRule="auto"/>
        <w:rPr>
          <w:rFonts w:hint="eastAsia" w:ascii="宋体" w:hAnsi="宋体"/>
          <w:color w:val="auto"/>
          <w:szCs w:val="21"/>
        </w:rPr>
      </w:pPr>
      <w:r>
        <w:rPr>
          <w:rFonts w:hint="eastAsia" w:ascii="宋体" w:hAnsi="宋体"/>
          <w:color w:val="auto"/>
          <w:szCs w:val="21"/>
        </w:rPr>
        <w:t xml:space="preserve">对于乙方要交付的服务，甲乙双方须在</w:t>
      </w:r>
      <w:r>
        <w:rPr>
          <w:rFonts w:hint="eastAsia" w:ascii="宋体" w:hAnsi="宋体"/>
          <w:color w:val="auto"/>
          <w:szCs w:val="21"/>
          <w:u w:val="single"/>
        </w:rPr>
        <w:t xml:space="preserve">    </w:t>
      </w:r>
      <w:r>
        <w:rPr>
          <w:rFonts w:hint="eastAsia" w:ascii="宋体" w:hAnsi="宋体"/>
          <w:color w:val="auto"/>
          <w:szCs w:val="21"/>
        </w:rPr>
        <w:t xml:space="preserve">工作日内初验收，甲方对乙方提交的服务依据公开招标文件上的技术要求和国家有关质量标准进行现场初步验收，外观、说明书、包装符合公开招标文件技术要求的，给予签收，初步验收不合格的不予签收。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.3 乙方按照公开招标文件要求负责安装并培训甲方的使用操作人员，乙方在甲方使用前进行调试，调试直到符合技术要求的甲方才做最终验收。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.4 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olor w:val="auto"/>
          <w:szCs w:val="21"/>
        </w:rPr>
      </w:pPr>
      <w:r>
        <w:rPr>
          <w:rFonts w:hint="eastAsia" w:ascii="宋体" w:hAnsi="宋体"/>
          <w:color w:val="auto"/>
          <w:szCs w:val="21"/>
        </w:rPr>
        <w:t xml:space="preserve">13.5甲方收货后，通知乙方工程师到现场进行清点。甲方根据相应验收标准对货物进行检查验收以后，如果另行发现质量、技术等问题的，乙方应按照甲方的要求及时采取补足、更换或退货等处理措施，并承担由此发生的一切损失和费用，并需经省级及以上第三方检测机构（具有CNAS资质）校准合格（产生校准费用由乙方支付），其技术指标必须符合相关国际和国家标准。乙方应负责在项目验收时将系统的全部有关文件，包括但不限于产品说明书、原厂家安装手册、安装/验收报告、竣工文档、配置文档等汇集装订成册交付给甲方。</w:t>
      </w:r>
      <w:r/>
    </w:p>
    <w:p>
      <w:pPr>
        <w:ind w:firstLine="420"/>
        <w:spacing w:line="360" w:lineRule="auto"/>
        <w:rPr>
          <w:rFonts w:hint="eastAsia" w:ascii="宋体" w:hAnsi="宋体"/>
          <w:color w:val="auto"/>
          <w:szCs w:val="21"/>
          <w:u w:val="single"/>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.5 甲乙双方关于调试和验收的其他约定：</w:t>
      </w:r>
      <w:r>
        <w:rPr>
          <w:rFonts w:hint="eastAsia" w:ascii="宋体" w:hAnsi="宋体"/>
          <w:color w:val="auto"/>
          <w:szCs w:val="21"/>
          <w:u w:val="single"/>
        </w:rPr>
        <w:t xml:space="preserve">                           </w:t>
      </w:r>
      <w:r>
        <w:rPr>
          <w:rFonts w:hint="eastAsia" w:ascii="宋体" w:hAnsi="宋体"/>
          <w:color w:val="auto"/>
          <w:szCs w:val="21"/>
        </w:rPr>
        <w:t xml:space="preserve">。</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4</w:t>
      </w:r>
      <w:r>
        <w:rPr>
          <w:rFonts w:hint="eastAsia" w:hAnsi="宋体"/>
          <w:b/>
          <w:bCs/>
          <w:color w:val="auto"/>
        </w:rPr>
        <w:t xml:space="preserve">、服务包装、发运及运输</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.1 乙方应对其提供的服务所涉及物品在发运前对其进行满足运输距离、防潮、防震、防锈和防破损装卸等要求包装，以保证安全运达甲方指定地点。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.2 乙方交付时，使用说明书、检验证明书、随配附件和工具以及清单一并附于内。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.4 服务在交付甲方前发生的风险均由乙方负责。</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.5 服务在规定的交付期限内由乙方送达甲方指定的地点。</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5</w:t>
      </w:r>
      <w:r>
        <w:rPr>
          <w:rFonts w:hint="eastAsia" w:hAnsi="宋体"/>
          <w:b/>
          <w:bCs/>
          <w:color w:val="auto"/>
        </w:rPr>
        <w:t xml:space="preserve">、违约责任</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15.1 乙方违约，如果乙方没有按照合同规定提供服务，甲方应从货款中扣除相应误期赔偿费，且仍保有采取合同项下的其他补救方法的权利，赔偿费按每天赔偿迟交货物的交货价或延期服务的服务费用的万分之五（5‱）计收，直至乙方交货或提供服务为止。但误期赔偿费的最高限额不超过合同价的百分之十（10%）。一周按七天计算，不足七天按一周计算。一旦达到误期赔偿的最高限额，甲方有权终止本合同并追究乙方的违约责任即支付合同总金额30%的违约金，并承担全部损失。</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.2 乙方因逾期交付服务项目或因其他违约行为，导致甲方解除合同的，乙方应向甲方支付合同总值5%的违约金，如造成甲方损失超过违约金的，超出部分由乙方继续承担赔偿责任。</w:t>
      </w:r>
      <w:r/>
    </w:p>
    <w:p>
      <w:pPr>
        <w:ind w:firstLine="420"/>
        <w:jc w:val="left"/>
        <w:spacing w:line="360" w:lineRule="auto"/>
        <w:rPr>
          <w:rFonts w:hint="eastAsia" w:hAnsi="宋体" w:cs="宋体"/>
          <w:color w:val="auto"/>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.3 乙方所交的服务项目全部或部分品种、型号、规格、技术参数、质量不符合合同规定及公开招标文件规定标准的，乙方更换服务但逾期交付的（甲方拒绝接受的除外），按乙方逾</w:t>
      </w:r>
      <w:r>
        <w:rPr>
          <w:rFonts w:hint="eastAsia" w:hAnsi="宋体" w:cs="宋体"/>
          <w:color w:val="auto"/>
        </w:rPr>
        <w:t xml:space="preserve">期交付处理；乙方拒绝更换的，甲方可选择解除本合同或本合同的一部分，并可追究乙方的其他违约责任。</w:t>
      </w:r>
      <w:r/>
    </w:p>
    <w:p>
      <w:pPr>
        <w:pStyle w:val="916"/>
        <w:ind w:firstLine="420"/>
        <w:spacing w:before="120" w:after="120" w:line="360" w:lineRule="auto"/>
        <w:rPr>
          <w:rFonts w:hint="eastAsia" w:hAnsi="宋体"/>
          <w:color w:val="auto"/>
        </w:rPr>
      </w:pPr>
      <w:r>
        <w:rPr>
          <w:rFonts w:hint="eastAsia" w:hAnsi="宋体" w:cs="宋体"/>
          <w:color w:val="auto"/>
        </w:rPr>
        <w:t xml:space="preserve">1</w:t>
      </w:r>
      <w:r>
        <w:rPr>
          <w:rFonts w:hAnsi="宋体" w:cs="宋体"/>
          <w:color w:val="auto"/>
        </w:rPr>
        <w:t xml:space="preserve">5</w:t>
      </w:r>
      <w:r>
        <w:rPr>
          <w:rFonts w:hint="eastAsia" w:hAnsi="宋体"/>
          <w:color w:val="auto"/>
        </w:rPr>
        <w:t xml:space="preserve">.4 合同生效后，发现乙方投标属虚假承诺，或经权威部门监测提供的服务不能满足公开招标文件要求，造成合同无法继续履行的，向甲方支付不少于合同总价</w:t>
      </w:r>
      <w:r>
        <w:rPr>
          <w:rFonts w:hint="eastAsia" w:hAnsi="宋体"/>
          <w:color w:val="auto"/>
          <w:u w:val="single"/>
        </w:rPr>
        <w:t xml:space="preserve">   </w:t>
      </w:r>
      <w:r>
        <w:rPr>
          <w:rFonts w:hint="eastAsia" w:hAnsi="宋体"/>
          <w:color w:val="auto"/>
        </w:rPr>
        <w:t xml:space="preserve">%赔偿金。</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6</w:t>
      </w:r>
      <w:r>
        <w:rPr>
          <w:rFonts w:hint="eastAsia" w:hAnsi="宋体"/>
          <w:b/>
          <w:bCs/>
          <w:color w:val="auto"/>
        </w:rPr>
        <w:t xml:space="preserve">、不可抗力事件处理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.2 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hAnsi="宋体"/>
          <w:color w:val="auto"/>
        </w:rPr>
        <w:t xml:space="preserve">120天以上，双方应通过友好协商，确定是否继续履行合同。</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7</w:t>
      </w:r>
      <w:r>
        <w:rPr>
          <w:rFonts w:hint="eastAsia" w:hAnsi="宋体"/>
          <w:b/>
          <w:bCs/>
          <w:color w:val="auto"/>
        </w:rPr>
        <w:t xml:space="preserve">、争议解决</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.1 因服务的品质质量问题发生争议的，可在国家认可的质量检测机构对服务内容质量进行鉴定。服务符合标准的，鉴定费由甲方承担；服务项目不符合质量标准的，鉴定费由乙方承担。</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.2 因履行本合同引起的或与本合同有关的争议，甲、乙双方应首先通过友好协商解决；如果协商不能解决争议，甲乙双方同意采取下列两种方式的第</w:t>
      </w:r>
      <w:r>
        <w:rPr>
          <w:rFonts w:hint="eastAsia" w:hAnsi="宋体"/>
          <w:color w:val="auto"/>
          <w:u w:val="single"/>
        </w:rPr>
        <w:t xml:space="preserve">（  ）</w:t>
      </w:r>
      <w:r>
        <w:rPr>
          <w:rFonts w:hint="eastAsia" w:hAnsi="宋体"/>
          <w:color w:val="auto"/>
        </w:rPr>
        <w:t xml:space="preserve">种方式解决争议：</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（1）向甲方所在地有管辖权的人民法院提起诉讼，适用中华人民共和国法律；</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（2）向无锡市仲裁委员会按其仲裁规则申请仲裁。</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.3 若甲乙双方任何一方都没有选择解除合同的，为避免扩大损失，在诉讼或仲裁期间，双方应继续履行。</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8</w:t>
      </w:r>
      <w:r>
        <w:rPr>
          <w:rFonts w:hint="eastAsia" w:hAnsi="宋体"/>
          <w:b/>
          <w:bCs/>
          <w:color w:val="auto"/>
        </w:rPr>
        <w:t xml:space="preserve">、合同其它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.1 乙方应诚实信用，严格按照公开招标文件要求和投标承诺履行合同，不向甲方进行商业贿赂或者提供不正当利益。</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.2 合同经双方法定代表人或授权代表签字并加盖单位公章，并经江苏省招标中心有限公司见证盖章后生效。</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.3 本合同未尽事宜，遵照《民法典》有关条文执行。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.4 本合同一式五份，中文书写。甲方执三份，乙方执一份，另外一份由甲方报主管部门备案。</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甲方：                                         乙方：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地址：</w:t>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地址：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法定代表人或授权代表：                         法定代表人或授权代表：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联系电话：                                     联系电话：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开户行：                                       开户行：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银行账号：                                     银行账号：</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rPr>
          <w:rFonts w:hint="eastAsia" w:ascii="宋体" w:hAnsi="宋体"/>
          <w:color w:val="auto"/>
          <w:szCs w:val="21"/>
        </w:rPr>
      </w:pPr>
      <w:r>
        <w:rPr>
          <w:rFonts w:hint="eastAsia" w:ascii="宋体" w:hAnsi="宋体"/>
          <w:color w:val="auto"/>
          <w:szCs w:val="21"/>
        </w:rPr>
      </w:r>
      <w:r/>
    </w:p>
    <w:p>
      <w:pPr>
        <w:rPr>
          <w:rFonts w:hint="eastAsia" w:ascii="宋体" w:hAnsi="宋体"/>
          <w:b/>
          <w:color w:val="auto"/>
          <w:szCs w:val="21"/>
        </w:rPr>
      </w:pPr>
      <w:r>
        <w:rPr>
          <w:rFonts w:hint="eastAsia" w:ascii="宋体" w:hAnsi="宋体"/>
          <w:b/>
          <w:color w:val="auto"/>
          <w:szCs w:val="21"/>
        </w:rPr>
      </w:r>
      <w:r/>
    </w:p>
    <w:p>
      <w:pPr>
        <w:rPr>
          <w:rFonts w:hint="eastAsia" w:ascii="宋体" w:hAnsi="宋体"/>
          <w:b/>
          <w:color w:val="auto"/>
          <w:szCs w:val="21"/>
        </w:rPr>
      </w:pPr>
      <w:r>
        <w:rPr>
          <w:rFonts w:hint="eastAsia" w:ascii="宋体" w:hAnsi="宋体"/>
          <w:b/>
          <w:color w:val="auto"/>
          <w:szCs w:val="21"/>
        </w:rPr>
        <w:t xml:space="preserve">附：(详见附件一产品清单)</w:t>
      </w:r>
      <w:r/>
    </w:p>
    <w:p>
      <w:pPr>
        <w:ind w:firstLine="422"/>
        <w:rPr>
          <w:rFonts w:hint="eastAsia" w:ascii="宋体" w:hAnsi="宋体"/>
          <w:color w:val="auto"/>
          <w:sz w:val="24"/>
          <w:szCs w:val="21"/>
          <w:lang w:bidi="ar"/>
        </w:rPr>
      </w:pPr>
      <w:r>
        <w:rPr>
          <w:rFonts w:hint="eastAsia" w:ascii="宋体" w:hAnsi="宋体"/>
          <w:b/>
          <w:color w:val="auto"/>
          <w:szCs w:val="21"/>
        </w:rPr>
        <w:t xml:space="preserve">技术协议</w:t>
      </w:r>
      <w:r/>
    </w:p>
    <w:p>
      <w:pPr>
        <w:rPr>
          <w:rFonts w:hint="eastAsia" w:ascii="宋体" w:hAnsi="宋体"/>
          <w:color w:val="auto"/>
          <w:sz w:val="24"/>
          <w:szCs w:val="21"/>
          <w:lang w:bidi="ar"/>
        </w:rPr>
      </w:pPr>
      <w:r>
        <w:rPr>
          <w:rFonts w:hint="eastAsia" w:ascii="宋体" w:hAnsi="宋体"/>
          <w:color w:val="auto"/>
          <w:sz w:val="24"/>
          <w:szCs w:val="21"/>
          <w:lang w:bidi="ar"/>
        </w:rPr>
      </w:r>
      <w:r/>
    </w:p>
    <w:p>
      <w:pPr>
        <w:ind w:firstLine="480"/>
        <w:rPr>
          <w:rFonts w:hint="eastAsia" w:ascii="宋体" w:hAnsi="宋体"/>
          <w:color w:val="auto"/>
          <w:sz w:val="24"/>
          <w:szCs w:val="21"/>
          <w:lang w:bidi="ar"/>
        </w:rPr>
      </w:pPr>
      <w:r>
        <w:rPr>
          <w:rFonts w:hint="eastAsia" w:ascii="宋体" w:hAnsi="宋体"/>
          <w:color w:val="auto"/>
          <w:sz w:val="24"/>
          <w:szCs w:val="21"/>
          <w:lang w:bidi="ar"/>
        </w:rPr>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pStyle w:val="931"/>
        <w:spacing w:line="300" w:lineRule="auto"/>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5" w:name="_Toc107246271"/>
      <w:r/>
      <w:bookmarkStart w:id="256" w:name="_Toc91836564"/>
      <w:r>
        <w:rPr>
          <w:rFonts w:ascii="Microsoft New Tai Lue" w:hAnsi="Microsoft New Tai Lue" w:cs="Microsoft New Tai Lue"/>
          <w:color w:val="auto"/>
        </w:rPr>
        <w:t xml:space="preserve">第四章 采购需求</w:t>
      </w:r>
      <w:bookmarkEnd w:id="255"/>
      <w:r/>
      <w:bookmarkEnd w:id="256"/>
      <w:r/>
      <w:r/>
    </w:p>
    <w:p>
      <w:pPr>
        <w:spacing w:line="360" w:lineRule="auto"/>
        <w:rPr>
          <w:b/>
          <w:color w:val="auto"/>
          <w:sz w:val="24"/>
        </w:rPr>
      </w:pPr>
      <w:r/>
      <w:bookmarkStart w:id="257" w:name="_Toc107246272"/>
      <w:r/>
      <w:r/>
    </w:p>
    <w:p>
      <w:pPr>
        <w:numPr>
          <w:ilvl w:val="0"/>
          <w:numId w:val="3"/>
        </w:numPr>
        <w:spacing w:line="360" w:lineRule="auto"/>
        <w:rPr>
          <w:b/>
          <w:color w:val="auto"/>
          <w:szCs w:val="21"/>
        </w:rPr>
      </w:pPr>
      <w:r>
        <w:rPr>
          <w:b/>
          <w:color w:val="auto"/>
          <w:szCs w:val="21"/>
        </w:rPr>
        <w:t xml:space="preserve">货物需求一览表</w:t>
      </w:r>
      <w:bookmarkStart w:id="258" w:name="_Hlk76644281"/>
      <w:r/>
      <w:r/>
    </w:p>
    <w:tbl>
      <w:tblPr>
        <w:tblStyle w:val="902"/>
        <w:tblW w:w="51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3411"/>
        <w:gridCol w:w="1302"/>
        <w:gridCol w:w="2505"/>
        <w:gridCol w:w="1266"/>
        <w:gridCol w:w="805"/>
      </w:tblGrid>
      <w:tr>
        <w:trPr>
          <w:jc w:val="center"/>
          <w:trHeight w:val="1096"/>
        </w:trPr>
        <w:tc>
          <w:tcPr>
            <w:shd w:val="clear" w:color="000000" w:fill="ffffff"/>
            <w:tcW w:w="42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679"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41"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233"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623"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c>
          <w:tcPr>
            <w:shd w:val="clear" w:color="000000" w:fill="ffffff"/>
            <w:tcW w:w="39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备注</w:t>
            </w:r>
            <w:r/>
          </w:p>
        </w:tc>
      </w:tr>
      <w:tr>
        <w:trPr>
          <w:jc w:val="center"/>
          <w:trHeight w:val="748" w:hRule="exact"/>
        </w:trPr>
        <w:tc>
          <w:tcPr>
            <w:tcW w:w="42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1679"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智能语音视讯监测预警终端</w:t>
            </w:r>
            <w:r/>
          </w:p>
        </w:tc>
        <w:tc>
          <w:tcPr>
            <w:tcW w:w="641"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100台</w:t>
            </w:r>
            <w:r/>
          </w:p>
        </w:tc>
        <w:tc>
          <w:tcPr>
            <w:shd w:val="clear" w:color="000000" w:fill="ffffff"/>
            <w:tcW w:w="123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62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c>
          <w:tcPr>
            <w:shd w:val="clear" w:color="000000" w:fill="ffffff"/>
            <w:tcW w:w="39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w:t>
            </w:r>
            <w:bookmarkEnd w:id="258"/>
            <w:r/>
            <w:r/>
          </w:p>
        </w:tc>
      </w:tr>
    </w:tbl>
    <w:p>
      <w:pPr>
        <w:spacing w:line="360" w:lineRule="auto"/>
        <w:rPr>
          <w:rFonts w:hint="eastAsia" w:ascii="宋体" w:hAnsi="宋体" w:cs="宋体"/>
          <w:b/>
          <w:color w:val="auto"/>
          <w:sz w:val="24"/>
        </w:rPr>
      </w:pPr>
      <w:r>
        <w:rPr>
          <w:rFonts w:hint="eastAsia" w:ascii="宋体" w:hAnsi="宋体" w:cs="宋体"/>
          <w:b/>
          <w:color w:val="auto"/>
          <w:sz w:val="24"/>
        </w:rPr>
      </w:r>
      <w:r/>
    </w:p>
    <w:p>
      <w:pPr>
        <w:numPr>
          <w:ilvl w:val="0"/>
          <w:numId w:val="4"/>
        </w:numPr>
        <w:rPr>
          <w:rFonts w:hint="eastAsia" w:ascii="宋体" w:hAnsi="宋体" w:cs="宋体"/>
          <w:b/>
          <w:color w:val="auto"/>
          <w:szCs w:val="21"/>
        </w:rPr>
      </w:pPr>
      <w:r/>
      <w:bookmarkStart w:id="259" w:name="_Toc157760007"/>
      <w:r/>
      <w:bookmarkStart w:id="260" w:name="_Toc401661573"/>
      <w:r>
        <w:rPr>
          <w:rFonts w:hint="eastAsia" w:ascii="宋体" w:hAnsi="宋体" w:cs="宋体"/>
          <w:b/>
          <w:color w:val="auto"/>
          <w:szCs w:val="21"/>
        </w:rPr>
        <w:t xml:space="preserve">技</w:t>
      </w:r>
      <w:r>
        <w:rPr>
          <w:rFonts w:hint="eastAsia" w:ascii="宋体" w:hAnsi="宋体" w:eastAsia="宋体" w:cs="宋体"/>
          <w:b/>
          <w:color w:val="auto"/>
          <w:szCs w:val="21"/>
        </w:rPr>
        <w:t xml:space="preserve">术指标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智能监测预警终端功能包括现场高清视频采集，智能语音警示及健康教育，双向对讲，远程控制，环境信息采集等功能。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主要配置及参数</w:t>
      </w:r>
      <w:r/>
    </w:p>
    <w:tbl>
      <w:tblPr>
        <w:tblStyle w:val="902"/>
        <w:tblW w:w="9891" w:type="dxa"/>
        <w:tblInd w:w="20" w:type="dxa"/>
        <w:tblLayout w:type="fixed"/>
        <w:tblCellMar>
          <w:left w:w="0" w:type="dxa"/>
          <w:top w:w="0" w:type="dxa"/>
          <w:right w:w="0" w:type="dxa"/>
          <w:bottom w:w="0" w:type="dxa"/>
        </w:tblCellMar>
        <w:tblLook w:val="04A0" w:firstRow="1" w:lastRow="0" w:firstColumn="1" w:lastColumn="0" w:noHBand="0" w:noVBand="1"/>
      </w:tblPr>
      <w:tblGrid>
        <w:gridCol w:w="724"/>
        <w:gridCol w:w="2552"/>
        <w:gridCol w:w="6615"/>
      </w:tblGrid>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参考配置及技术参数</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小型避雷器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电压：12V；响应时间&lt;1ns；最大放电电流10KA。</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永磁风力发电机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val="false"/>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额定功率：500W；额定电压：12V；安全风速：45m/s；</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发电机：三相交流永磁发电机；</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保护系统：过速三相短路刹车。</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风光互补控制器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val="false"/>
          </w:tcPr>
          <w:p>
            <w:pPr>
              <w:ind w:right="439"/>
              <w:spacing w:line="360" w:lineRule="auto"/>
              <w:widowControl/>
              <w:rPr>
                <w:rFonts w:hint="eastAsia" w:ascii="宋体" w:hAnsi="宋体" w:cs="宋体"/>
                <w:color w:val="auto"/>
                <w:szCs w:val="21"/>
              </w:rPr>
            </w:pPr>
            <w:r>
              <w:rPr>
                <w:rFonts w:hint="eastAsia" w:ascii="宋体" w:hAnsi="宋体" w:cs="宋体"/>
                <w:color w:val="auto"/>
                <w:szCs w:val="21"/>
              </w:rPr>
              <w:t xml:space="preserve">额定电压：12V；额定功率：风机300W，光伏500W；</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峰值接入电压：80V；充电方式：PWM</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b/>
                <w:bCs/>
                <w:color w:val="auto"/>
                <w:szCs w:val="21"/>
              </w:rPr>
              <w:t xml:space="preserve">▲</w:t>
            </w:r>
            <w:r>
              <w:rPr>
                <w:rFonts w:hint="eastAsia" w:ascii="宋体" w:hAnsi="宋体" w:cs="宋体"/>
                <w:color w:val="auto"/>
                <w:szCs w:val="21"/>
              </w:rPr>
              <w:t xml:space="preserve">远程控制器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输入电压：12V；独立控制路数：8路；输出功率：2000w/路；</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工作电流：&lt;10A/路；控制方式:手机APP远程控制和电脑PC端集中控制</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太阳能板</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峰值功率：200W；峰值电压：18V；峰值电流：5.56A</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一体球机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400万像</w:t>
            </w:r>
            <w:r>
              <w:rPr>
                <w:rFonts w:hint="eastAsia" w:ascii="宋体" w:hAnsi="宋体" w:cs="宋体"/>
                <w:color w:val="auto"/>
                <w:szCs w:val="21"/>
              </w:rPr>
              <w:t xml:space="preserve">素；支持人脸抓拍、smart事件，支持轮巡人脸抓拍，场景的时间可设，越界侦测,区域入侵侦测，进入/离开区域侦测，徘徊侦测，人员聚集侦测,快速运动侦测；支持的 Micro SD/Micro SDHC/Micro SDXC卡、NAS存储；支持超低照度，0.005Lux/F1.5(彩色),0.001Lux/F1.5(黑白),0 Lux with IR；支持23倍光学变倍，16倍数字变倍；采用可见光补光50m，照射距离200m；支持定时任务、一键守望、一键巡航功能；支持SDK、软件接口和萤石接入；支持一进一出音频。</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4G路由器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输入电压:12V；主频:580MHz；无线技术:802.11b/g/n 300M MIMO技术；设备接口：WAN、LAN 10/100Mbps自适就网络接口各一；工作模式：4G接入、路由模式、AP模式；管理方式：WEB远程管理</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4G无线网络</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2年池式物联网流量卡，50G/月。</w:t>
            </w:r>
            <w:r/>
          </w:p>
        </w:tc>
      </w:tr>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9</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温度控制系统（自动）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供电电源:12V，温控范围:-40~120度；控温精度0.1度</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10</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人流量系统（自动）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供电电源：12V；显示方式：5位0.56英寸高亮数码管显示</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计数范围：0-99999PCS；计数速度：100次/秒</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雷达传感器及配件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频率：5.8GH +-75M；输入电压：12V；感应距离3-20米；</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感应角度270度；感应时间：2-120S；输入模式：MOS输出</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12</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数码语音模块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语音警示和健康教育模块，工作电压：DC12v；额定输出功率：30W/8欧；音频格式：MP3、WAV；外接接口：RS232、感应接口和12V输出接口。具备远程语音播放内容即时修改功能。</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锂电池组</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电压：12V；容量：150AH；放电电流：100A</w:t>
            </w:r>
            <w:r/>
          </w:p>
        </w:tc>
      </w:tr>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14</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八角立杆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外形:八角立杆,对角长200mm；钢板厚：4mm；长度：6米</w:t>
            </w:r>
            <w:r/>
          </w:p>
        </w:tc>
      </w:tr>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15</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预留接口</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免费预留以下接口：</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1、LED文字显示接口，具备能远程文字和语音内容修改功能；</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2、雷达水位仪数据采集接口；</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3、温、湿度、降水量气象数据采集接口；</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4、与江苏省血吸虫病防治信息管理平台对接接口。</w:t>
            </w:r>
            <w:r/>
          </w:p>
        </w:tc>
      </w:tr>
    </w:tbl>
    <w:p>
      <w:pPr>
        <w:spacing w:line="360" w:lineRule="auto"/>
        <w:rPr>
          <w:rFonts w:hint="eastAsia" w:ascii="宋体" w:hAnsi="宋体" w:cs="宋体"/>
          <w:color w:val="auto"/>
          <w:szCs w:val="21"/>
        </w:rPr>
      </w:pPr>
      <w:r>
        <w:rPr>
          <w:rFonts w:hint="eastAsia" w:ascii="仿宋" w:hAnsi="仿宋" w:eastAsia="仿宋" w:cs="仿宋"/>
          <w:color w:val="auto"/>
          <w:sz w:val="28"/>
          <w:szCs w:val="28"/>
        </w:rPr>
        <w:t xml:space="preserve"> </w:t>
      </w:r>
      <w:r>
        <w:rPr>
          <w:rFonts w:hint="eastAsia" w:ascii="宋体" w:hAnsi="宋体" w:cs="宋体"/>
          <w:b/>
          <w:color w:val="auto"/>
          <w:szCs w:val="21"/>
        </w:rPr>
        <w:t xml:space="preserve">  </w:t>
      </w:r>
      <w:bookmarkEnd w:id="259"/>
      <w:r/>
      <w:bookmarkEnd w:id="260"/>
      <w:r/>
      <w:bookmarkStart w:id="261" w:name="_Toc105770631"/>
      <w:r/>
      <w:bookmarkStart w:id="262" w:name="_Toc157760010"/>
      <w:r/>
      <w:bookmarkStart w:id="263" w:name="_Toc7861"/>
      <w:r>
        <w:rPr>
          <w:rFonts w:hint="eastAsia" w:ascii="宋体" w:hAnsi="宋体" w:cs="宋体"/>
          <w:b/>
          <w:color w:val="auto"/>
          <w:szCs w:val="21"/>
        </w:rPr>
        <w:t xml:space="preserve">三、质保和售后服务</w:t>
      </w:r>
      <w:bookmarkEnd w:id="261"/>
      <w:r/>
      <w:bookmarkEnd w:id="262"/>
      <w:r>
        <w:rPr>
          <w:rFonts w:hint="eastAsia" w:ascii="宋体" w:hAnsi="宋体" w:cs="宋体"/>
          <w:b/>
          <w:color w:val="auto"/>
          <w:szCs w:val="21"/>
        </w:rPr>
        <w:t xml:space="preserve"> </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64" w:name="_Toc107567913"/>
      <w:r/>
      <w:bookmarkEnd w:id="264"/>
      <w:r/>
      <w:bookmarkStart w:id="265" w:name="_Toc107567911"/>
      <w:r/>
      <w:bookmarkEnd w:id="265"/>
      <w:r/>
      <w:bookmarkStart w:id="266" w:name="_Toc147741477"/>
      <w:r/>
      <w:bookmarkEnd w:id="266"/>
      <w:r/>
      <w:bookmarkStart w:id="267" w:name="_Toc147741475"/>
      <w:r/>
      <w:bookmarkEnd w:id="267"/>
      <w:r/>
      <w:bookmarkStart w:id="268" w:name="_Toc157760011"/>
      <w:r>
        <w:rPr>
          <w:rFonts w:hint="eastAsia" w:ascii="宋体" w:hAnsi="宋体" w:eastAsia="宋体" w:cs="宋体"/>
          <w:b w:val="0"/>
          <w:bCs w:val="0"/>
          <w:color w:val="auto"/>
          <w:sz w:val="21"/>
          <w:szCs w:val="21"/>
        </w:rPr>
        <w:t xml:space="preserve">3.1、质量保证</w:t>
      </w:r>
      <w:bookmarkEnd w:id="268"/>
      <w:r/>
      <w:r/>
    </w:p>
    <w:p>
      <w:pPr>
        <w:ind w:firstLine="420"/>
        <w:spacing w:line="360" w:lineRule="auto"/>
        <w:rPr>
          <w:rFonts w:hint="eastAsia" w:ascii="宋体" w:hAnsi="宋体" w:cs="宋体"/>
          <w:bCs/>
          <w:color w:val="auto"/>
          <w:szCs w:val="21"/>
        </w:rPr>
      </w:pPr>
      <w:r/>
      <w:bookmarkStart w:id="269" w:name="_Toc107491761"/>
      <w:r/>
      <w:bookmarkEnd w:id="269"/>
      <w:r/>
      <w:bookmarkStart w:id="270" w:name="_Toc107491706"/>
      <w:r/>
      <w:bookmarkEnd w:id="270"/>
      <w:r/>
      <w:bookmarkStart w:id="271" w:name="_Toc107566685"/>
      <w:r/>
      <w:bookmarkEnd w:id="271"/>
      <w:r/>
      <w:bookmarkStart w:id="272" w:name="_Toc6738"/>
      <w:r/>
      <w:bookmarkStart w:id="273" w:name="_Toc105770633"/>
      <w:r>
        <w:rPr>
          <w:rFonts w:hint="eastAsia" w:ascii="宋体" w:hAnsi="宋体" w:cs="宋体"/>
          <w:bCs/>
          <w:color w:val="auto"/>
          <w:szCs w:val="21"/>
        </w:rPr>
        <w:t xml:space="preserve">质量保证期以项目安装完毕后、经甲方验收合格，签署验收报告之日起计，</w:t>
      </w:r>
      <w:r>
        <w:rPr>
          <w:rFonts w:ascii="宋体" w:hAnsi="宋体" w:cs="宋体"/>
          <w:b/>
          <w:bCs w:val="0"/>
          <w:color w:val="auto"/>
          <w:szCs w:val="21"/>
        </w:rPr>
        <w:t xml:space="preserve">质保期</w:t>
      </w:r>
      <w:r>
        <w:rPr>
          <w:rFonts w:hint="eastAsia" w:ascii="宋体" w:hAnsi="宋体" w:cs="宋体"/>
          <w:b/>
          <w:bCs w:val="0"/>
          <w:color w:val="auto"/>
          <w:szCs w:val="21"/>
        </w:rPr>
        <w:t xml:space="preserve">1</w:t>
      </w:r>
      <w:r>
        <w:rPr>
          <w:rFonts w:ascii="宋体" w:hAnsi="宋体" w:cs="宋体"/>
          <w:b/>
          <w:bCs w:val="0"/>
          <w:color w:val="auto"/>
          <w:szCs w:val="21"/>
        </w:rPr>
        <w:t xml:space="preserve">年</w:t>
      </w:r>
      <w:r>
        <w:rPr>
          <w:rFonts w:hint="eastAsia" w:ascii="宋体" w:hAnsi="宋体" w:cs="宋体"/>
          <w:b/>
          <w:bCs w:val="0"/>
          <w:color w:val="auto"/>
          <w:szCs w:val="21"/>
        </w:rPr>
        <w:t xml:space="preserve">（如卖方承诺更长的质量保证期，</w:t>
      </w:r>
      <w:r>
        <w:rPr>
          <w:rFonts w:hint="eastAsia" w:ascii="宋体" w:hAnsi="宋体" w:cs="宋体"/>
          <w:b/>
          <w:bCs w:val="0"/>
          <w:color w:val="auto"/>
          <w:szCs w:val="21"/>
          <w:lang w:val="en-US" w:eastAsia="zh-CN"/>
        </w:rPr>
        <w:t xml:space="preserve">须提供承诺函</w:t>
      </w:r>
      <w:r>
        <w:rPr>
          <w:rFonts w:hint="eastAsia" w:ascii="宋体" w:hAnsi="宋体" w:cs="宋体"/>
          <w:b/>
          <w:bCs w:val="0"/>
          <w:color w:val="auto"/>
          <w:szCs w:val="21"/>
        </w:rPr>
        <w:t xml:space="preserve">）</w:t>
      </w:r>
      <w:r>
        <w:rPr>
          <w:rFonts w:hint="eastAsia" w:ascii="宋体" w:hAnsi="宋体" w:cs="宋体"/>
          <w:bCs/>
          <w:color w:val="auto"/>
          <w:szCs w:val="21"/>
        </w:rPr>
        <w:t xml:space="preserve">；在此期间，如遇标准换版或者技术升级，在不涉及硬件更换条件下，卖方需无偿提供系统的升级服务。软件(在不涉及系统硬件变动的情况下)提供终身免费升级服务。质量保证期间任何有缺损部件免费维护，包括无法修复部件的重新更换。</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74" w:name="_Toc157760012"/>
      <w:r>
        <w:rPr>
          <w:rFonts w:hint="eastAsia" w:ascii="宋体" w:hAnsi="宋体" w:eastAsia="宋体" w:cs="宋体"/>
          <w:b w:val="0"/>
          <w:bCs w:val="0"/>
          <w:color w:val="auto"/>
          <w:sz w:val="21"/>
          <w:szCs w:val="21"/>
        </w:rPr>
        <w:t xml:space="preserve">3.2、质保期内服务</w:t>
      </w:r>
      <w:bookmarkEnd w:id="272"/>
      <w:r/>
      <w:bookmarkEnd w:id="273"/>
      <w:r/>
      <w:bookmarkEnd w:id="274"/>
      <w:r/>
      <w:r/>
    </w:p>
    <w:p>
      <w:pPr>
        <w:pStyle w:val="987"/>
        <w:rPr>
          <w:rFonts w:hint="eastAsia" w:ascii="宋体" w:hAnsi="宋体" w:cs="宋体"/>
          <w:bCs/>
          <w:color w:val="auto"/>
          <w:szCs w:val="21"/>
        </w:rPr>
      </w:pPr>
      <w:r>
        <w:rPr>
          <w:rFonts w:hint="eastAsia" w:ascii="宋体" w:hAnsi="宋体" w:cs="宋体"/>
          <w:bCs/>
          <w:color w:val="auto"/>
          <w:szCs w:val="21"/>
        </w:rPr>
        <w:t xml:space="preserve">在质量保证期内，乙方对投标设备及其附件提供免费服务和现场技术支持，包括检查保养、故障维修、软件升级等售后服务均是免费的。若由于乙方设计、制造、运输、安装及调试原因造成的零部件损坏，乙方无偿予以更换，由于甲方原因造成的零部件损坏，乙方有偿提供备件，并免费更换。</w:t>
      </w:r>
      <w:r/>
    </w:p>
    <w:p>
      <w:pPr>
        <w:pStyle w:val="987"/>
        <w:rPr>
          <w:rFonts w:hint="eastAsia" w:ascii="宋体" w:hAnsi="宋体" w:cs="宋体"/>
          <w:bCs/>
          <w:color w:val="auto"/>
          <w:szCs w:val="21"/>
        </w:rPr>
      </w:pPr>
      <w:r>
        <w:rPr>
          <w:rFonts w:hint="eastAsia" w:ascii="宋体" w:hAnsi="宋体" w:cs="宋体"/>
          <w:bCs/>
          <w:color w:val="auto"/>
          <w:szCs w:val="21"/>
        </w:rPr>
        <w:t xml:space="preserve">项目交付验收后，即启动售后服务流程，并建立用户档案。在质保期内，定期和用户沟通，了解系统运行情况，及时发现问题，并整理售后跟踪备忘录，计入用户档案。</w:t>
      </w:r>
      <w:r/>
    </w:p>
    <w:p>
      <w:pPr>
        <w:pStyle w:val="987"/>
        <w:rPr>
          <w:rFonts w:hint="eastAsia" w:ascii="宋体" w:hAnsi="宋体" w:cs="宋体"/>
          <w:bCs/>
          <w:color w:val="auto"/>
          <w:szCs w:val="21"/>
        </w:rPr>
      </w:pPr>
      <w:r>
        <w:rPr>
          <w:rFonts w:hint="eastAsia" w:ascii="宋体" w:hAnsi="宋体" w:cs="宋体"/>
          <w:bCs/>
          <w:color w:val="auto"/>
          <w:szCs w:val="21"/>
        </w:rPr>
        <w:t xml:space="preserve">提供业务支持、大型活动技术支持、远程技术支撑等相关服务。</w:t>
      </w:r>
      <w:r/>
    </w:p>
    <w:p>
      <w:pPr>
        <w:pStyle w:val="987"/>
        <w:rPr>
          <w:rFonts w:hint="eastAsia" w:ascii="宋体" w:hAnsi="宋体" w:cs="宋体"/>
          <w:bCs/>
          <w:color w:val="auto"/>
          <w:szCs w:val="21"/>
        </w:rPr>
      </w:pPr>
      <w:r>
        <w:rPr>
          <w:rFonts w:hint="eastAsia" w:ascii="宋体" w:hAnsi="宋体" w:cs="宋体"/>
          <w:bCs/>
          <w:color w:val="auto"/>
          <w:szCs w:val="21"/>
        </w:rPr>
        <w:t xml:space="preserve">对于用户提出的系统的任何问题，包括使用疑问、故障申报等，由专岗技术支持人员提供解答及解决方案，并记入售后服务档案。对重大的技术问题，乙方技术支持部门协调组织技术专家小组进行会诊，以确保系统的正常运行。</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75" w:name="_Toc157760013"/>
      <w:r>
        <w:rPr>
          <w:rFonts w:hint="eastAsia" w:ascii="宋体" w:hAnsi="宋体" w:eastAsia="宋体" w:cs="宋体"/>
          <w:b w:val="0"/>
          <w:bCs w:val="0"/>
          <w:color w:val="auto"/>
          <w:sz w:val="21"/>
          <w:szCs w:val="21"/>
        </w:rPr>
        <w:t xml:space="preserve">3.3、质保期外服务</w:t>
      </w:r>
      <w:bookmarkEnd w:id="27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乙方提供最优惠的维修价格（人工费、材料费、设备费等），在设备寿命期内，保证维修配件的供应和及时维修，维修价格保持不变（政策调整因素除外）。为非外协产品提供备品备件服务。设备故障需维修和更换时，按当时市场价且不高于此合同中同种部件的价格收取材料费，配件类只收取成本费。用户可以“购买服务”方式与投标人继续建立产品延期服务合作关系。乙方保证：对产品提供的后续技术支持和售后服务不会因“质量保证期”结束而降低质量。</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76" w:name="_Toc157760014"/>
      <w:r>
        <w:rPr>
          <w:rFonts w:hint="eastAsia" w:ascii="宋体" w:hAnsi="宋体" w:eastAsia="宋体" w:cs="宋体"/>
          <w:b w:val="0"/>
          <w:bCs w:val="0"/>
          <w:color w:val="auto"/>
          <w:sz w:val="21"/>
          <w:szCs w:val="21"/>
        </w:rPr>
        <w:t xml:space="preserve">3.4、响应时间</w:t>
      </w:r>
      <w:bookmarkEnd w:id="276"/>
      <w:r/>
      <w:r/>
    </w:p>
    <w:p>
      <w:pPr>
        <w:ind w:firstLine="480"/>
        <w:spacing w:line="360" w:lineRule="auto"/>
        <w:rPr>
          <w:rFonts w:hint="eastAsia" w:ascii="宋体" w:hAnsi="宋体" w:cs="宋体"/>
          <w:bCs/>
          <w:color w:val="auto"/>
          <w:szCs w:val="21"/>
        </w:rPr>
      </w:pPr>
      <w:r>
        <w:rPr>
          <w:rFonts w:hint="eastAsia" w:ascii="宋体" w:hAnsi="宋体" w:cs="宋体"/>
          <w:color w:val="auto"/>
          <w:szCs w:val="21"/>
        </w:rPr>
        <w:t xml:space="preserve">乙方提供</w:t>
      </w:r>
      <w:r>
        <w:rPr>
          <w:rFonts w:hint="eastAsia" w:ascii="宋体" w:hAnsi="宋体" w:cs="宋体"/>
          <w:b/>
          <w:color w:val="auto"/>
          <w:szCs w:val="21"/>
        </w:rPr>
        <w:t xml:space="preserve">7×24</w:t>
      </w:r>
      <w:r>
        <w:rPr>
          <w:rFonts w:hint="eastAsia" w:ascii="宋体" w:hAnsi="宋体" w:cs="宋体"/>
          <w:color w:val="auto"/>
          <w:szCs w:val="21"/>
        </w:rPr>
        <w:t xml:space="preserve">小时电话咨询和服务，在接到用户故障</w:t>
      </w:r>
      <w:r>
        <w:rPr>
          <w:rFonts w:hint="eastAsia" w:ascii="宋体" w:hAnsi="宋体" w:cs="宋体"/>
          <w:color w:val="auto"/>
          <w:szCs w:val="21"/>
          <w:shd w:val="clear" w:color="auto" w:fill="ffffff"/>
        </w:rPr>
        <w:t xml:space="preserve">报修时，</w:t>
      </w:r>
      <w:r>
        <w:rPr>
          <w:rFonts w:hint="eastAsia" w:ascii="宋体" w:hAnsi="宋体" w:cs="宋体"/>
          <w:b/>
          <w:color w:val="auto"/>
          <w:szCs w:val="21"/>
          <w:shd w:val="clear" w:color="auto" w:fill="ffffff"/>
        </w:rPr>
        <w:t xml:space="preserve">48</w:t>
      </w:r>
      <w:r>
        <w:rPr>
          <w:rFonts w:hint="eastAsia" w:ascii="宋体" w:hAnsi="宋体" w:cs="宋体"/>
          <w:color w:val="auto"/>
          <w:szCs w:val="21"/>
          <w:shd w:val="clear" w:color="auto" w:fill="ffffff"/>
        </w:rPr>
        <w:t xml:space="preserve">小时内给出相应解决方案，</w:t>
      </w:r>
      <w:r>
        <w:rPr>
          <w:rFonts w:hint="eastAsia" w:ascii="宋体" w:hAnsi="宋体" w:cs="宋体"/>
          <w:bCs/>
          <w:color w:val="auto"/>
          <w:szCs w:val="21"/>
        </w:rPr>
        <w:t xml:space="preserve">乙方能帮助甲方建立远程维护系统，对于电话咨询无法解决的问题，乙方工程师经采购人授权通过电话线、宽带网等方式远程登录到甲方网络系统进行的故障诊断和故障排除。</w:t>
      </w:r>
      <w:r/>
    </w:p>
    <w:p>
      <w:pPr>
        <w:ind w:firstLine="420"/>
        <w:spacing w:line="360" w:lineRule="auto"/>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若故障无法通过线上方式解决将前往用户现场处进行现场故障解决，并针对设备故障原因、处理情况做详实记录。如果设备故障在规定时间内仍无法排除的，需提供不低于故障设备规格型号档次的备用设备供采购人代替使用，直至故障设备修复，确保设备的正常使用。</w:t>
      </w:r>
      <w:bookmarkEnd w:id="263"/>
      <w:r/>
      <w:r/>
    </w:p>
    <w:p>
      <w:pPr>
        <w:pStyle w:val="894"/>
        <w:ind w:left="210" w:right="210" w:firstLine="211"/>
        <w:keepLines/>
        <w:keepNext/>
        <w:spacing w:before="0" w:after="0" w:line="360" w:lineRule="auto"/>
        <w:rPr>
          <w:rFonts w:hint="eastAsia" w:ascii="宋体" w:hAnsi="宋体" w:cs="宋体"/>
          <w:b/>
          <w:color w:val="auto"/>
          <w:szCs w:val="21"/>
        </w:rPr>
      </w:pPr>
      <w:r/>
      <w:bookmarkStart w:id="277" w:name="_Toc157760015"/>
      <w:r/>
      <w:bookmarkStart w:id="278" w:name="_Toc105770648"/>
      <w:r/>
      <w:bookmarkStart w:id="279" w:name="_Toc25030"/>
      <w:r>
        <w:rPr>
          <w:rFonts w:hint="eastAsia" w:ascii="宋体" w:hAnsi="宋体" w:cs="宋体"/>
          <w:b/>
          <w:color w:val="auto"/>
          <w:szCs w:val="21"/>
        </w:rPr>
        <w:t xml:space="preserve">四、知识产权</w:t>
      </w:r>
      <w:bookmarkEnd w:id="27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（1）所有软件有自主知识产权，终生免费升级；</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（2）乙方保证所出售的标的物没有侵犯任何第三方的知识产权和商业秘密等合法权利。</w:t>
      </w:r>
      <w:r/>
    </w:p>
    <w:p>
      <w:pPr>
        <w:pStyle w:val="894"/>
        <w:ind w:left="210" w:right="210" w:firstLine="211"/>
        <w:keepLines/>
        <w:keepNext/>
        <w:spacing w:before="0" w:after="0" w:line="360" w:lineRule="auto"/>
        <w:rPr>
          <w:rFonts w:hint="eastAsia" w:ascii="宋体" w:hAnsi="宋体" w:cs="宋体"/>
          <w:b/>
          <w:color w:val="auto"/>
          <w:szCs w:val="21"/>
        </w:rPr>
      </w:pPr>
      <w:r/>
      <w:bookmarkStart w:id="280" w:name="_Toc157760016"/>
      <w:r>
        <w:rPr>
          <w:rFonts w:hint="eastAsia" w:ascii="宋体" w:hAnsi="宋体" w:cs="宋体"/>
          <w:b/>
          <w:color w:val="auto"/>
          <w:szCs w:val="21"/>
        </w:rPr>
        <w:t xml:space="preserve">五、项目培训</w:t>
      </w:r>
      <w:bookmarkEnd w:id="278"/>
      <w:r/>
      <w:bookmarkEnd w:id="280"/>
      <w:r/>
      <w:bookmarkEnd w:id="279"/>
      <w:r/>
      <w:r/>
    </w:p>
    <w:p>
      <w:pPr>
        <w:ind w:firstLine="480"/>
        <w:spacing w:line="360" w:lineRule="auto"/>
        <w:rPr>
          <w:rFonts w:hint="eastAsia" w:ascii="宋体" w:hAnsi="宋体" w:cs="宋体"/>
          <w:bCs/>
          <w:color w:val="auto"/>
          <w:szCs w:val="21"/>
        </w:rPr>
      </w:pPr>
      <w:r/>
      <w:bookmarkStart w:id="281" w:name="_Toc363495287"/>
      <w:r/>
      <w:bookmarkStart w:id="282" w:name="_Toc105770662"/>
      <w:r>
        <w:rPr>
          <w:rFonts w:hint="eastAsia" w:ascii="宋体" w:hAnsi="宋体" w:cs="宋体"/>
          <w:bCs/>
          <w:color w:val="auto"/>
          <w:szCs w:val="21"/>
        </w:rPr>
        <w:t xml:space="preserve">产品安装的同时，由乙方技术人员免费对甲方进行技术培训，同时在后续系统运行过程中提供技术指导。</w:t>
      </w:r>
      <w:r/>
    </w:p>
    <w:p>
      <w:pPr>
        <w:pStyle w:val="894"/>
        <w:ind w:left="210" w:right="210" w:firstLine="211"/>
        <w:keepLines/>
        <w:keepNext/>
        <w:spacing w:before="0" w:after="0" w:line="360" w:lineRule="auto"/>
        <w:rPr>
          <w:rFonts w:hint="eastAsia" w:ascii="宋体" w:hAnsi="宋体" w:cs="宋体"/>
          <w:color w:val="auto"/>
          <w:szCs w:val="21"/>
        </w:rPr>
      </w:pPr>
      <w:r/>
      <w:bookmarkStart w:id="283" w:name="_Toc157760017"/>
      <w:r>
        <w:rPr>
          <w:rFonts w:hint="eastAsia" w:ascii="宋体" w:hAnsi="宋体" w:cs="宋体"/>
          <w:b/>
          <w:color w:val="auto"/>
          <w:szCs w:val="21"/>
        </w:rPr>
        <w:t xml:space="preserve">六、项目实施</w:t>
      </w:r>
      <w:bookmarkEnd w:id="281"/>
      <w:r/>
      <w:bookmarkEnd w:id="282"/>
      <w:r/>
      <w:bookmarkEnd w:id="283"/>
      <w:r/>
      <w:r/>
    </w:p>
    <w:p>
      <w:pPr>
        <w:ind w:firstLine="480"/>
        <w:spacing w:line="360" w:lineRule="auto"/>
        <w:rPr>
          <w:rFonts w:hint="eastAsia" w:ascii="宋体" w:hAnsi="宋体" w:cs="宋体"/>
          <w:bCs/>
          <w:color w:val="auto"/>
          <w:szCs w:val="21"/>
        </w:rPr>
      </w:pPr>
      <w:r>
        <w:rPr>
          <w:rFonts w:hint="eastAsia" w:ascii="Microsoft New Tai Lue" w:hAnsi="Microsoft New Tai Lue" w:cs="Microsoft New Tai Lue"/>
          <w:bCs/>
          <w:color w:val="auto"/>
          <w:szCs w:val="21"/>
        </w:rPr>
        <w:t xml:space="preserve">合同签订之日起</w:t>
      </w:r>
      <w:bookmarkStart w:id="457" w:name="_GoBack"/>
      <w:r>
        <w:rPr>
          <w:rFonts w:hint="eastAsia" w:ascii="Microsoft New Tai Lue" w:hAnsi="Microsoft New Tai Lue" w:cs="Microsoft New Tai Lue"/>
          <w:bCs/>
          <w:color w:val="auto"/>
          <w:szCs w:val="21"/>
          <w:highlight w:val="none"/>
        </w:rPr>
        <w:t xml:space="preserve">60个工作</w:t>
      </w:r>
      <w:r>
        <w:rPr>
          <w:rFonts w:hint="eastAsia" w:ascii="Microsoft New Tai Lue" w:hAnsi="Microsoft New Tai Lue" w:cs="Microsoft New Tai Lue"/>
          <w:bCs/>
          <w:color w:val="auto"/>
          <w:szCs w:val="21"/>
          <w:highlight w:val="none"/>
          <w:lang w:val="en-US" w:eastAsia="zh-CN"/>
        </w:rPr>
        <w:t xml:space="preserve">日</w:t>
      </w:r>
      <w:bookmarkEnd w:id="457"/>
      <w:r>
        <w:rPr>
          <w:rFonts w:hint="eastAsia" w:ascii="宋体" w:hAnsi="宋体" w:cs="宋体"/>
          <w:bCs/>
          <w:color w:val="auto"/>
          <w:szCs w:val="21"/>
        </w:rPr>
        <w:t xml:space="preserve">内完成货物交付及安装。</w:t>
      </w:r>
      <w:r/>
    </w:p>
    <w:p>
      <w:pPr>
        <w:ind w:firstLine="480"/>
        <w:spacing w:line="360" w:lineRule="auto"/>
        <w:rPr>
          <w:rFonts w:hint="eastAsia" w:ascii="宋体" w:hAnsi="宋体" w:cs="宋体"/>
          <w:bCs/>
          <w:color w:val="auto"/>
          <w:szCs w:val="21"/>
        </w:rPr>
      </w:pPr>
      <w:r>
        <w:rPr>
          <w:rFonts w:hint="eastAsia" w:ascii="宋体" w:hAnsi="宋体" w:cs="宋体"/>
          <w:bCs/>
          <w:color w:val="auto"/>
          <w:szCs w:val="21"/>
        </w:rPr>
        <w:t xml:space="preserve">交货及安装地点：甲方指定地点。</w:t>
      </w:r>
      <w:r/>
    </w:p>
    <w:p>
      <w:pPr>
        <w:pStyle w:val="894"/>
        <w:ind w:left="210" w:right="210" w:firstLine="211"/>
        <w:keepLines/>
        <w:keepNext/>
        <w:spacing w:before="0" w:after="0" w:line="360" w:lineRule="auto"/>
        <w:rPr>
          <w:rFonts w:hint="eastAsia" w:ascii="宋体" w:hAnsi="宋体" w:cs="宋体"/>
          <w:color w:val="auto"/>
          <w:szCs w:val="21"/>
        </w:rPr>
      </w:pPr>
      <w:r/>
      <w:bookmarkStart w:id="284" w:name="_Toc157760018"/>
      <w:r/>
      <w:bookmarkStart w:id="285" w:name="_Toc308682719"/>
      <w:r/>
      <w:bookmarkStart w:id="286" w:name="_Toc294681567"/>
      <w:r/>
      <w:bookmarkStart w:id="287" w:name="_Toc105770680"/>
      <w:r>
        <w:rPr>
          <w:rFonts w:hint="eastAsia" w:ascii="宋体" w:hAnsi="宋体" w:cs="宋体"/>
          <w:b/>
          <w:color w:val="auto"/>
          <w:szCs w:val="21"/>
        </w:rPr>
        <w:t xml:space="preserve">七、项目验收</w:t>
      </w:r>
      <w:bookmarkEnd w:id="284"/>
      <w:r/>
      <w:bookmarkEnd w:id="285"/>
      <w:r/>
      <w:bookmarkEnd w:id="286"/>
      <w:r/>
      <w:bookmarkEnd w:id="28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（1）验收地点：验收在系统安装地的现场进行。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（2）验收标准：按设计标准的最新版本要求、产品技术说明书和采购合同进行验收。</w:t>
      </w:r>
      <w:r/>
    </w:p>
    <w:p>
      <w:pPr>
        <w:ind w:firstLine="420"/>
        <w:spacing w:line="360" w:lineRule="auto"/>
        <w:rPr>
          <w:rFonts w:hint="eastAsia" w:ascii="宋体" w:hAnsi="宋体"/>
          <w:color w:val="auto"/>
          <w:szCs w:val="21"/>
        </w:rPr>
      </w:pPr>
      <w:r>
        <w:rPr>
          <w:rFonts w:hint="eastAsia" w:ascii="宋体" w:hAnsi="宋体" w:cs="宋体"/>
          <w:bCs/>
          <w:color w:val="auto"/>
          <w:szCs w:val="21"/>
        </w:rPr>
        <w:t xml:space="preserve">（3）验收方法：在仪器设备安装、测试软件调试完成后，由甲方验收，</w:t>
      </w:r>
      <w:r>
        <w:rPr>
          <w:rFonts w:hint="eastAsia" w:ascii="宋体" w:hAnsi="宋体"/>
          <w:color w:val="auto"/>
          <w:szCs w:val="21"/>
        </w:rPr>
        <w:t xml:space="preserve">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（4）如验收过程中发现设备不符合验收标准时，将被看作性能不合格，甲方有权按合同规定拒收并要求赔偿。</w:t>
      </w:r>
      <w:r/>
    </w:p>
    <w:p>
      <w:pPr>
        <w:pStyle w:val="894"/>
        <w:ind w:left="210" w:right="210" w:firstLine="211"/>
        <w:keepLines/>
        <w:keepNext/>
        <w:spacing w:before="0" w:after="0" w:line="360" w:lineRule="auto"/>
        <w:rPr>
          <w:rFonts w:hint="eastAsia" w:ascii="宋体" w:hAnsi="宋体" w:cs="宋体"/>
          <w:b/>
          <w:color w:val="auto"/>
          <w:szCs w:val="21"/>
        </w:rPr>
      </w:pPr>
      <w:r/>
      <w:bookmarkStart w:id="288" w:name="_Toc157760019"/>
      <w:r>
        <w:rPr>
          <w:rFonts w:hint="eastAsia" w:ascii="宋体" w:hAnsi="宋体" w:cs="宋体"/>
          <w:b/>
          <w:color w:val="auto"/>
          <w:szCs w:val="21"/>
        </w:rPr>
        <w:t xml:space="preserve">八、包装和装运</w:t>
      </w:r>
      <w:bookmarkEnd w:id="288"/>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w:t>
      </w:r>
      <w:r>
        <w:rPr>
          <w:rFonts w:hint="eastAsia" w:ascii="宋体" w:hAnsi="宋体" w:cs="宋体"/>
          <w:color w:val="auto"/>
          <w:szCs w:val="21"/>
        </w:rPr>
        <w:t xml:space="preserve">包装箱采用坚固的材料制造，适用长途运输、防潮、防锈、防震、防粗暴装卸，适于空运和整体吊装，并注明起吊位置，起吊重量及重心位置。</w:t>
      </w:r>
      <w:r>
        <w:rPr>
          <w:rFonts w:hint="eastAsia" w:ascii="宋体" w:hAnsi="宋体" w:cs="宋体"/>
          <w:bCs/>
          <w:color w:val="auto"/>
          <w:szCs w:val="21"/>
        </w:rPr>
        <w:t xml:space="preserve">由于不适当的包装而造成货物在运输过程中有任何损坏由乙方负责。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（2）包装足以承受整个过程中的运输、转运、装卸、储存等，充分考虑到运输途中的各种情况（如暴露于恶劣气候等）和无锡地区的气候特点。</w:t>
      </w:r>
      <w:r/>
    </w:p>
    <w:p>
      <w:pPr>
        <w:ind w:firstLine="480"/>
        <w:spacing w:line="360" w:lineRule="auto"/>
        <w:rPr>
          <w:rFonts w:hint="eastAsia" w:ascii="宋体" w:hAnsi="宋体" w:cs="宋体"/>
          <w:color w:val="auto"/>
          <w:szCs w:val="21"/>
        </w:rPr>
      </w:pPr>
      <w:r>
        <w:rPr>
          <w:rFonts w:hint="eastAsia" w:ascii="宋体" w:hAnsi="宋体" w:cs="宋体"/>
          <w:bCs/>
          <w:color w:val="auto"/>
          <w:szCs w:val="21"/>
        </w:rPr>
        <w:t xml:space="preserve">（3）包装费、运费、保险费及其他相关费用在产品总价中包括。凡因包装或标志不当导致的货物损坏或丢失，或因此引起的事故，均由乙方承担全部责任和由此发生的相关费用。</w:t>
      </w:r>
      <w:r/>
    </w:p>
    <w:p>
      <w:pPr>
        <w:rPr>
          <w:rFonts w:ascii="Microsoft New Tai Lue" w:hAnsi="Microsoft New Tai Lue" w:cs="Microsoft New Tai Lue"/>
          <w:color w:val="auto"/>
        </w:rPr>
      </w:pPr>
      <w:r>
        <w:rPr>
          <w:rFonts w:ascii="Microsoft New Tai Lue" w:hAnsi="Microsoft New Tai Lue" w:cs="Microsoft New Tai Lue"/>
          <w:color w:val="auto"/>
        </w:rPr>
      </w:r>
      <w:r/>
    </w:p>
    <w:p>
      <w:pPr>
        <w:pStyle w:val="931"/>
        <w:spacing w:line="276" w:lineRule="auto"/>
        <w:rPr>
          <w:rFonts w:ascii="Microsoft New Tai Lue" w:hAnsi="Microsoft New Tai Lue" w:cs="Microsoft New Tai Lue"/>
          <w:color w:val="auto"/>
        </w:rPr>
      </w:pPr>
      <w:r>
        <w:rPr>
          <w:rFonts w:ascii="Microsoft New Tai Lue" w:hAnsi="Microsoft New Tai Lue" w:cs="Microsoft New Tai Lue"/>
          <w:color w:val="auto"/>
        </w:rPr>
        <w:br w:type="column"/>
      </w:r>
      <w:r>
        <w:rPr>
          <w:rFonts w:ascii="Microsoft New Tai Lue" w:hAnsi="Microsoft New Tai Lue" w:cs="Microsoft New Tai Lue"/>
          <w:color w:val="auto"/>
        </w:rPr>
        <w:t xml:space="preserve">第五章 评标方法与评标标准</w:t>
      </w:r>
      <w:bookmarkEnd w:id="257"/>
      <w:r/>
      <w:r/>
    </w:p>
    <w:p>
      <w:pPr>
        <w:ind w:firstLine="420"/>
        <w:spacing w:line="300" w:lineRule="auto"/>
        <w:rPr>
          <w:rFonts w:hint="eastAsia" w:ascii="宋体" w:hAnsi="宋体" w:cs="宋体"/>
          <w:b/>
          <w:bCs/>
          <w:color w:val="auto"/>
          <w:szCs w:val="21"/>
        </w:rPr>
      </w:pPr>
      <w:r>
        <w:rPr>
          <w:rFonts w:hint="eastAsia" w:hAnsi="宋体"/>
          <w:color w:val="auto"/>
          <w:szCs w:val="21"/>
        </w:rPr>
        <w:t xml:space="preserve">本项目采用综合评分法，总分为100分，按评审后得分由高到低顺序排列，得分相同的，按投标报价由低到高顺序排列，</w:t>
      </w:r>
      <w:r>
        <w:rPr>
          <w:rFonts w:hint="eastAsia" w:ascii="宋体" w:hAnsi="宋体" w:cs="宋体"/>
          <w:color w:val="auto"/>
          <w:szCs w:val="21"/>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color w:val="auto"/>
          <w:szCs w:val="21"/>
        </w:rPr>
      </w:pPr>
      <w:r>
        <w:rPr>
          <w:rFonts w:hint="eastAsia" w:ascii="宋体" w:hAnsi="宋体" w:cs="宋体"/>
          <w:bCs/>
          <w:color w:val="auto"/>
          <w:szCs w:val="21"/>
        </w:rPr>
        <w:t xml:space="preserve">具体打分方法如下：</w:t>
      </w:r>
      <w:r/>
    </w:p>
    <w:tbl>
      <w:tblPr>
        <w:tblStyle w:val="902"/>
        <w:tblW w:w="101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059"/>
        <w:gridCol w:w="1158"/>
        <w:gridCol w:w="6574"/>
        <w:gridCol w:w="678"/>
      </w:tblGrid>
      <w:tr>
        <w:trPr>
          <w:trHeight w:val="465"/>
        </w:trPr>
        <w:tc>
          <w:tcPr>
            <w:tcW w:w="650" w:type="dxa"/>
            <w:vAlign w:val="center"/>
            <w:textDirection w:val="lrTb"/>
            <w:noWrap w:val="false"/>
          </w:tcPr>
          <w:p>
            <w:pPr>
              <w:jc w:val="center"/>
              <w:rPr>
                <w:rFonts w:hint="eastAsia" w:hAnsi="宋体"/>
                <w:color w:val="auto"/>
                <w:szCs w:val="21"/>
              </w:rPr>
            </w:pPr>
            <w:r>
              <w:rPr>
                <w:rFonts w:hint="eastAsia" w:hAnsi="宋体"/>
                <w:color w:val="auto"/>
                <w:szCs w:val="21"/>
              </w:rPr>
              <w:t xml:space="preserve">序号</w:t>
            </w:r>
            <w:r/>
          </w:p>
        </w:tc>
        <w:tc>
          <w:tcPr>
            <w:gridSpan w:val="2"/>
            <w:tcW w:w="2217" w:type="dxa"/>
            <w:vAlign w:val="center"/>
            <w:textDirection w:val="lrTb"/>
            <w:noWrap w:val="false"/>
          </w:tcPr>
          <w:p>
            <w:pPr>
              <w:jc w:val="center"/>
              <w:rPr>
                <w:rFonts w:hint="eastAsia" w:hAnsi="宋体"/>
                <w:color w:val="auto"/>
                <w:szCs w:val="21"/>
              </w:rPr>
            </w:pPr>
            <w:r>
              <w:rPr>
                <w:rFonts w:hint="eastAsia" w:hAnsi="宋体"/>
                <w:color w:val="auto"/>
                <w:szCs w:val="21"/>
              </w:rPr>
              <w:t xml:space="preserve">评分因素</w:t>
            </w:r>
            <w:r/>
          </w:p>
        </w:tc>
        <w:tc>
          <w:tcPr>
            <w:tcW w:w="6574" w:type="dxa"/>
            <w:vAlign w:val="center"/>
            <w:textDirection w:val="lrTb"/>
            <w:noWrap w:val="false"/>
          </w:tcPr>
          <w:p>
            <w:pPr>
              <w:jc w:val="center"/>
              <w:rPr>
                <w:rFonts w:hint="eastAsia" w:hAnsi="宋体"/>
                <w:color w:val="auto"/>
                <w:szCs w:val="21"/>
              </w:rPr>
            </w:pPr>
            <w:r>
              <w:rPr>
                <w:rFonts w:hint="eastAsia" w:hAnsi="宋体"/>
                <w:color w:val="auto"/>
                <w:szCs w:val="21"/>
              </w:rPr>
              <w:t xml:space="preserve">评审标准</w:t>
            </w:r>
            <w:r/>
          </w:p>
        </w:tc>
        <w:tc>
          <w:tcPr>
            <w:tcW w:w="678" w:type="dxa"/>
            <w:vAlign w:val="center"/>
            <w:textDirection w:val="lrTb"/>
            <w:noWrap w:val="false"/>
          </w:tcPr>
          <w:p>
            <w:pPr>
              <w:jc w:val="center"/>
              <w:rPr>
                <w:rFonts w:hint="eastAsia" w:hAnsi="宋体"/>
                <w:color w:val="auto"/>
                <w:szCs w:val="21"/>
              </w:rPr>
            </w:pPr>
            <w:r>
              <w:rPr>
                <w:rFonts w:hint="eastAsia" w:hAnsi="宋体"/>
                <w:color w:val="auto"/>
                <w:szCs w:val="21"/>
              </w:rPr>
              <w:t xml:space="preserve">分值</w:t>
            </w:r>
            <w:r/>
          </w:p>
        </w:tc>
      </w:tr>
      <w:tr>
        <w:trPr>
          <w:trHeight w:val="90"/>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1</w:t>
            </w:r>
            <w:r/>
          </w:p>
        </w:tc>
        <w:tc>
          <w:tcPr>
            <w:tcBorders>
              <w:right w:val="single" w:color="auto" w:sz="4" w:space="0"/>
            </w:tcBorders>
            <w:tcW w:w="1059"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Borders>
              <w:left w:val="single" w:color="auto" w:sz="4" w:space="0"/>
            </w:tcBorders>
            <w:tcW w:w="1158"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满足招标文件要求且投标价格最低的投标报价为评标基准价，其价格分为满分。其他供应商的价格分统一按照下列公式计算：</w:t>
            </w:r>
            <w:r/>
          </w:p>
          <w:p>
            <w:pPr>
              <w:rPr>
                <w:rFonts w:hint="eastAsia" w:hAnsi="宋体"/>
                <w:color w:val="auto"/>
                <w:szCs w:val="21"/>
              </w:rPr>
            </w:pPr>
            <w:r>
              <w:rPr>
                <w:rFonts w:hint="eastAsia" w:ascii="宋体" w:hAnsi="宋体"/>
                <w:color w:val="auto"/>
                <w:szCs w:val="21"/>
              </w:rPr>
              <w:t xml:space="preserve">投标报价得分=(评标基准价／投标报价)×30（得分四舍五入保留到小数点后两位）</w:t>
            </w:r>
            <w:r>
              <w:rPr>
                <w:rFonts w:hint="eastAsia" w:ascii="宋体" w:hAnsi="宋体" w:cs="宋体"/>
                <w:color w:val="auto"/>
                <w:szCs w:val="21"/>
              </w:rPr>
              <w:t xml:space="preserve">，扣完为止。</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30</w:t>
            </w:r>
            <w:r/>
          </w:p>
        </w:tc>
      </w:tr>
      <w:tr>
        <w:trPr>
          <w:trHeight w:val="161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t xml:space="preserve">2</w:t>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技术能力</w:t>
            </w:r>
            <w:r/>
          </w:p>
          <w:p>
            <w:pPr>
              <w:ind w:left="-10" w:hanging="10"/>
              <w:jc w:val="center"/>
              <w:rPr>
                <w:rFonts w:hint="eastAsia" w:hAnsi="宋体"/>
                <w:color w:val="auto"/>
                <w:szCs w:val="21"/>
              </w:rPr>
            </w:pPr>
            <w:r>
              <w:rPr>
                <w:rFonts w:hint="eastAsia" w:hAnsi="宋体"/>
                <w:color w:val="auto"/>
                <w:szCs w:val="21"/>
              </w:rPr>
              <w:t xml:space="preserve">（35分）</w:t>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技术指标</w:t>
            </w:r>
            <w:r/>
          </w:p>
          <w:p>
            <w:pPr>
              <w:ind w:left="-10" w:hanging="10"/>
              <w:jc w:val="center"/>
              <w:rPr>
                <w:rFonts w:hint="eastAsia" w:ascii="宋体" w:hAnsi="宋体"/>
                <w:color w:val="auto"/>
                <w:szCs w:val="21"/>
              </w:rPr>
            </w:pPr>
            <w:r>
              <w:rPr>
                <w:rFonts w:hint="eastAsia" w:hAnsi="宋体"/>
                <w:color w:val="auto"/>
                <w:szCs w:val="21"/>
              </w:rPr>
              <w:t xml:space="preserve">（27分）</w:t>
            </w:r>
            <w:r/>
          </w:p>
        </w:tc>
        <w:tc>
          <w:tcPr>
            <w:tcW w:w="6574" w:type="dxa"/>
            <w:textDirection w:val="lrTb"/>
            <w:noWrap w:val="false"/>
          </w:tcPr>
          <w:p>
            <w:pPr>
              <w:rPr>
                <w:rFonts w:hint="eastAsia" w:hAnsi="宋体"/>
                <w:color w:val="auto"/>
                <w:szCs w:val="21"/>
              </w:rPr>
            </w:pPr>
            <w:r>
              <w:rPr>
                <w:rFonts w:hint="eastAsia" w:hAnsi="宋体"/>
                <w:color w:val="auto"/>
                <w:szCs w:val="21"/>
              </w:rPr>
              <w:t xml:space="preserve">技术指标响应：</w:t>
            </w:r>
            <w:r/>
          </w:p>
          <w:p>
            <w:pPr>
              <w:numPr>
                <w:ilvl w:val="0"/>
                <w:numId w:val="5"/>
              </w:numPr>
              <w:rPr>
                <w:rFonts w:hint="eastAsia" w:hAnsi="宋体"/>
                <w:color w:val="auto"/>
                <w:szCs w:val="21"/>
              </w:rPr>
            </w:pPr>
            <w:r>
              <w:rPr>
                <w:rFonts w:hint="eastAsia" w:hAnsi="宋体"/>
                <w:color w:val="auto"/>
                <w:szCs w:val="21"/>
              </w:rPr>
              <w:t xml:space="preserve">根据投标文件技术指标的响应情况进行评分，</w:t>
            </w:r>
            <w:r>
              <w:rPr>
                <w:rFonts w:hint="eastAsia" w:ascii="宋体" w:hAnsi="宋体" w:cs="宋体"/>
                <w:color w:val="auto"/>
                <w:szCs w:val="21"/>
              </w:rPr>
              <w:t xml:space="preserve">完全</w:t>
            </w:r>
            <w:r>
              <w:rPr>
                <w:rFonts w:hint="eastAsia" w:hAnsi="宋体"/>
                <w:color w:val="auto"/>
                <w:szCs w:val="21"/>
              </w:rPr>
              <w:t xml:space="preserve">满足招标文件技术指标要求的得</w:t>
            </w:r>
            <w:r>
              <w:rPr>
                <w:rFonts w:hint="eastAsia" w:ascii="宋体" w:hAnsi="宋体" w:cs="宋体"/>
                <w:color w:val="auto"/>
                <w:szCs w:val="21"/>
              </w:rPr>
              <w:t xml:space="preserve">满分</w:t>
            </w:r>
            <w:r>
              <w:rPr>
                <w:rFonts w:hint="eastAsia" w:hAnsi="宋体"/>
                <w:color w:val="auto"/>
                <w:szCs w:val="21"/>
              </w:rPr>
              <w:t xml:space="preserve">27分； </w:t>
            </w:r>
            <w:r/>
          </w:p>
          <w:p>
            <w:pPr>
              <w:rPr>
                <w:rFonts w:hint="eastAsia" w:hAnsi="宋体"/>
                <w:color w:val="auto"/>
                <w:szCs w:val="21"/>
              </w:rPr>
            </w:pPr>
            <w:r>
              <w:rPr>
                <w:rFonts w:hint="eastAsia" w:hAnsi="宋体"/>
                <w:color w:val="auto"/>
                <w:szCs w:val="21"/>
              </w:rPr>
              <w:t xml:space="preserve">(2) 标注“</w:t>
            </w:r>
            <w:r>
              <w:rPr>
                <w:rFonts w:hint="eastAsia" w:ascii="宋体" w:hAnsi="宋体"/>
                <w:color w:val="auto"/>
                <w:szCs w:val="21"/>
              </w:rPr>
              <w:t xml:space="preserve">▲</w:t>
            </w:r>
            <w:r>
              <w:rPr>
                <w:rFonts w:hint="eastAsia" w:hAnsi="宋体"/>
                <w:color w:val="auto"/>
                <w:szCs w:val="21"/>
              </w:rPr>
              <w:t xml:space="preserve">”的为重要技术指标，正偏离不加分，每有一项负偏离扣</w:t>
            </w:r>
            <w:r>
              <w:rPr>
                <w:rFonts w:hint="eastAsia" w:hAnsi="宋体"/>
                <w:color w:val="auto"/>
                <w:szCs w:val="21"/>
                <w:lang w:val="en-US" w:eastAsia="zh-CN"/>
              </w:rPr>
              <w:t xml:space="preserve">3</w:t>
            </w:r>
            <w:r>
              <w:rPr>
                <w:rFonts w:hint="eastAsia" w:hAnsi="宋体"/>
                <w:color w:val="auto"/>
                <w:szCs w:val="21"/>
              </w:rPr>
              <w:t xml:space="preserve">分</w:t>
            </w:r>
            <w:r>
              <w:rPr>
                <w:rFonts w:hint="eastAsia" w:ascii="宋体" w:hAnsi="宋体" w:cs="宋体"/>
                <w:color w:val="auto"/>
                <w:szCs w:val="21"/>
              </w:rPr>
              <w:t xml:space="preserve">，扣完为止</w:t>
            </w:r>
            <w:r>
              <w:rPr>
                <w:rFonts w:hint="eastAsia" w:hAnsi="宋体"/>
                <w:color w:val="auto"/>
                <w:szCs w:val="21"/>
              </w:rPr>
              <w:t xml:space="preserve">；</w:t>
            </w:r>
            <w:r/>
          </w:p>
          <w:p>
            <w:pPr>
              <w:rPr>
                <w:rFonts w:hint="eastAsia" w:hAnsi="宋体"/>
                <w:color w:val="auto"/>
                <w:szCs w:val="21"/>
              </w:rPr>
            </w:pPr>
            <w:r>
              <w:rPr>
                <w:rFonts w:hint="eastAsia" w:hAnsi="宋体"/>
                <w:color w:val="auto"/>
                <w:szCs w:val="21"/>
              </w:rPr>
              <w:t xml:space="preserve">(3) 无标记的指标是一般技术条款，正偏离不加分，负偏离每条减</w:t>
            </w:r>
            <w:r>
              <w:rPr>
                <w:rFonts w:hint="eastAsia" w:hAnsi="宋体"/>
                <w:color w:val="auto"/>
                <w:szCs w:val="21"/>
                <w:lang w:val="en-US" w:eastAsia="zh-CN"/>
              </w:rPr>
              <w:t xml:space="preserve">1</w:t>
            </w:r>
            <w:r>
              <w:rPr>
                <w:rFonts w:hint="eastAsia" w:hAnsi="宋体"/>
                <w:color w:val="auto"/>
                <w:szCs w:val="21"/>
              </w:rPr>
              <w:t xml:space="preserve">分</w:t>
            </w:r>
            <w:r>
              <w:rPr>
                <w:rFonts w:hint="eastAsia" w:ascii="宋体" w:hAnsi="宋体" w:cs="宋体"/>
                <w:color w:val="auto"/>
                <w:szCs w:val="21"/>
              </w:rPr>
              <w:t xml:space="preserve">，扣完为止。</w:t>
            </w:r>
            <w:r>
              <w:rPr>
                <w:rFonts w:hint="eastAsia" w:hAnsi="宋体"/>
                <w:color w:val="auto"/>
                <w:szCs w:val="21"/>
              </w:rPr>
              <w:t xml:space="preserve">； </w:t>
            </w:r>
            <w:r/>
          </w:p>
          <w:p>
            <w:pPr>
              <w:rPr>
                <w:rFonts w:hint="eastAsia" w:hAnsi="宋体"/>
                <w:color w:val="auto"/>
                <w:szCs w:val="21"/>
              </w:rPr>
            </w:pPr>
            <w:r>
              <w:rPr>
                <w:rFonts w:hint="eastAsia" w:hAnsi="宋体"/>
                <w:color w:val="auto"/>
                <w:szCs w:val="21"/>
              </w:rPr>
              <w:t xml:space="preserve">(</w:t>
            </w:r>
            <w:r>
              <w:rPr>
                <w:rFonts w:hint="eastAsia" w:hAnsi="宋体"/>
                <w:color w:val="auto"/>
                <w:szCs w:val="21"/>
                <w:lang w:val="en-US" w:eastAsia="zh-CN"/>
              </w:rPr>
              <w:t xml:space="preserve">4</w:t>
            </w:r>
            <w:r>
              <w:rPr>
                <w:rFonts w:hint="eastAsia" w:hAnsi="宋体"/>
                <w:color w:val="auto"/>
                <w:szCs w:val="21"/>
              </w:rPr>
              <w:t xml:space="preserve">) 凡标有最低一级序号的指标项即为一项技术条款，无论是否隶属于上一级编号；</w:t>
            </w:r>
            <w:r/>
          </w:p>
          <w:p>
            <w:pPr>
              <w:rPr>
                <w:rFonts w:hint="eastAsia" w:ascii="宋体" w:hAnsi="宋体"/>
                <w:color w:val="auto"/>
                <w:szCs w:val="21"/>
              </w:rPr>
            </w:pPr>
            <w:r>
              <w:rPr>
                <w:rFonts w:hint="eastAsia" w:ascii="宋体" w:hAnsi="宋体"/>
                <w:color w:val="auto"/>
                <w:szCs w:val="21"/>
              </w:rPr>
              <w:t xml:space="preserve">带"</w:t>
            </w:r>
            <w:r>
              <w:rPr>
                <w:rFonts w:hint="eastAsia" w:ascii="宋体" w:hAnsi="宋体" w:cs="宋体"/>
                <w:color w:val="auto"/>
                <w:szCs w:val="21"/>
              </w:rPr>
              <w:t xml:space="preserve">★</w:t>
            </w:r>
            <w:r>
              <w:rPr>
                <w:rFonts w:hint="eastAsia" w:ascii="宋体" w:hAnsi="宋体"/>
                <w:color w:val="auto"/>
                <w:szCs w:val="21"/>
              </w:rPr>
              <w:t xml:space="preserve">"号的条款为实质性指标，"</w:t>
            </w:r>
            <w:r>
              <w:rPr>
                <w:rFonts w:hint="eastAsia" w:ascii="宋体" w:hAnsi="宋体"/>
                <w:color w:val="auto"/>
                <w:szCs w:val="21"/>
              </w:rPr>
              <w:t xml:space="preserve">▲</w:t>
            </w:r>
            <w:r>
              <w:rPr>
                <w:rFonts w:hint="eastAsia" w:ascii="宋体" w:hAnsi="宋体"/>
                <w:color w:val="auto"/>
                <w:szCs w:val="21"/>
              </w:rPr>
              <w:t xml:space="preserve">"号的条款为重要技术指标。对带"</w:t>
            </w:r>
            <w:r>
              <w:rPr>
                <w:rFonts w:hint="eastAsia" w:ascii="宋体" w:hAnsi="宋体" w:cs="宋体"/>
                <w:color w:val="auto"/>
                <w:szCs w:val="21"/>
              </w:rPr>
              <w:t xml:space="preserve">★</w:t>
            </w:r>
            <w:r>
              <w:rPr>
                <w:rFonts w:hint="eastAsia" w:ascii="宋体" w:hAnsi="宋体"/>
                <w:color w:val="auto"/>
                <w:szCs w:val="21"/>
              </w:rPr>
              <w:t xml:space="preserve">"和"</w:t>
            </w:r>
            <w:r>
              <w:rPr>
                <w:rFonts w:hint="eastAsia" w:ascii="宋体" w:hAnsi="宋体"/>
                <w:color w:val="auto"/>
                <w:szCs w:val="21"/>
              </w:rPr>
              <w:t xml:space="preserve">▲</w:t>
            </w:r>
            <w:r>
              <w:rPr>
                <w:rFonts w:hint="eastAsia" w:ascii="宋体" w:hAnsi="宋体"/>
                <w:color w:val="auto"/>
                <w:szCs w:val="21"/>
              </w:rPr>
              <w:t xml:space="preserve">"的技术指标必须在投标文件中提供技术支持资料。（</w:t>
            </w:r>
            <w:r>
              <w:rPr>
                <w:rFonts w:hint="eastAsia" w:ascii="宋体" w:hAnsi="宋体" w:cs="宋体"/>
                <w:b/>
                <w:color w:val="auto"/>
                <w:szCs w:val="21"/>
              </w:rPr>
              <w:t xml:space="preserve">需提供检测报告或产品说明书或制造商官网产品截图或制造商对外公开发布的产品宣传页或制造商加盖公章的技术参数等技术支持文件加以佐证。需要承诺的，需提供承诺书原件。</w:t>
            </w:r>
            <w:r>
              <w:rPr>
                <w:rFonts w:hint="eastAsia" w:ascii="宋体" w:hAnsi="宋体"/>
                <w:color w:val="auto"/>
                <w:szCs w:val="21"/>
              </w:rPr>
              <w:t xml:space="preserve">）未提供技术支持资料的，评标时不予认可</w:t>
            </w:r>
            <w:r/>
          </w:p>
        </w:tc>
        <w:tc>
          <w:tcPr>
            <w:tcW w:w="678" w:type="dxa"/>
            <w:textDirection w:val="lrTb"/>
            <w:noWrap w:val="false"/>
          </w:tcPr>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jc w:val="center"/>
              <w:rPr>
                <w:rFonts w:hint="eastAsia" w:hAnsi="宋体"/>
                <w:color w:val="auto"/>
                <w:szCs w:val="21"/>
              </w:rPr>
            </w:pPr>
            <w:r>
              <w:rPr>
                <w:rFonts w:hint="eastAsia" w:hAnsi="宋体"/>
                <w:color w:val="auto"/>
                <w:szCs w:val="21"/>
              </w:rPr>
              <w:t xml:space="preserve">27</w:t>
            </w:r>
            <w:r/>
          </w:p>
        </w:tc>
      </w:tr>
      <w:tr>
        <w:trPr>
          <w:trHeight w:val="1185"/>
        </w:trPr>
        <w:tc>
          <w:tcPr>
            <w:tcBorders>
              <w:top w:val="none" w:color="000000" w:sz="4" w:space="0"/>
            </w:tcBorders>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Borders>
              <w:top w:val="none" w:color="000000" w:sz="4" w:space="0"/>
            </w:tcBorders>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性能及品质</w:t>
            </w:r>
            <w:r/>
          </w:p>
          <w:p>
            <w:pPr>
              <w:ind w:left="-10" w:hanging="10"/>
              <w:jc w:val="center"/>
              <w:rPr>
                <w:rFonts w:hint="eastAsia" w:ascii="宋体" w:hAnsi="宋体"/>
                <w:color w:val="auto"/>
                <w:szCs w:val="21"/>
              </w:rPr>
            </w:pPr>
            <w:r>
              <w:rPr>
                <w:rFonts w:hint="eastAsia" w:hAnsi="宋体"/>
                <w:color w:val="auto"/>
                <w:szCs w:val="21"/>
              </w:rPr>
              <w:t xml:space="preserve">（8分）</w:t>
            </w:r>
            <w:r/>
          </w:p>
        </w:tc>
        <w:tc>
          <w:tcPr>
            <w:tcW w:w="6574" w:type="dxa"/>
            <w:textDirection w:val="lrTb"/>
            <w:noWrap w:val="false"/>
          </w:tcPr>
          <w:p>
            <w:pPr>
              <w:rPr>
                <w:rFonts w:hint="eastAsia" w:ascii="宋体" w:hAnsi="宋体"/>
                <w:color w:val="auto"/>
                <w:szCs w:val="21"/>
              </w:rPr>
            </w:pPr>
            <w:r>
              <w:rPr>
                <w:rFonts w:hint="eastAsia" w:hAnsi="宋体"/>
                <w:color w:val="auto"/>
                <w:szCs w:val="21"/>
              </w:rPr>
              <w:t xml:space="preserve">投标产品的</w:t>
            </w:r>
            <w:r>
              <w:rPr>
                <w:rFonts w:hint="eastAsia" w:ascii="宋体" w:hAnsi="宋体"/>
                <w:color w:val="auto"/>
                <w:szCs w:val="21"/>
              </w:rPr>
              <w:t xml:space="preserve">性能稳定性、质量可靠性、技术先进性等方面综合评审：</w:t>
            </w:r>
            <w:r/>
          </w:p>
          <w:p>
            <w:pPr>
              <w:rPr>
                <w:rFonts w:hint="eastAsia" w:ascii="宋体" w:hAnsi="宋体"/>
                <w:color w:val="auto"/>
                <w:szCs w:val="21"/>
              </w:rPr>
            </w:pPr>
            <w:r>
              <w:rPr>
                <w:rFonts w:hint="eastAsia" w:ascii="宋体" w:hAnsi="宋体"/>
                <w:color w:val="auto"/>
                <w:szCs w:val="21"/>
              </w:rPr>
              <w:t xml:space="preserve">投标产品性能稳定、质量可靠、技术先进的，得8分；</w:t>
            </w:r>
            <w:r/>
          </w:p>
          <w:p>
            <w:pPr>
              <w:rPr>
                <w:rFonts w:hint="eastAsia" w:ascii="宋体" w:hAnsi="宋体"/>
                <w:color w:val="auto"/>
                <w:szCs w:val="21"/>
              </w:rPr>
            </w:pPr>
            <w:r>
              <w:rPr>
                <w:rFonts w:hint="eastAsia" w:ascii="宋体" w:hAnsi="宋体"/>
                <w:color w:val="auto"/>
                <w:szCs w:val="21"/>
              </w:rPr>
              <w:t xml:space="preserve">性能稳定性、质量可靠性较高、技术较先进的，得5分；</w:t>
            </w:r>
            <w:r/>
          </w:p>
          <w:p>
            <w:pPr>
              <w:rPr>
                <w:rFonts w:hint="eastAsia" w:ascii="宋体" w:hAnsi="宋体"/>
                <w:color w:val="auto"/>
                <w:szCs w:val="21"/>
              </w:rPr>
            </w:pPr>
            <w:r>
              <w:rPr>
                <w:rFonts w:hint="eastAsia" w:ascii="宋体" w:hAnsi="宋体"/>
                <w:color w:val="auto"/>
                <w:szCs w:val="21"/>
              </w:rPr>
              <w:t xml:space="preserve">性能稳定性、质量可靠性一般、技术先进性一般的，得2分；</w:t>
            </w:r>
            <w:r/>
          </w:p>
          <w:p>
            <w:pPr>
              <w:rPr>
                <w:rFonts w:hint="eastAsia" w:hAnsi="宋体"/>
                <w:color w:val="auto"/>
                <w:szCs w:val="21"/>
              </w:rPr>
            </w:pPr>
            <w:r>
              <w:rPr>
                <w:rFonts w:hint="eastAsia" w:ascii="宋体" w:hAnsi="宋体"/>
                <w:color w:val="auto"/>
                <w:szCs w:val="21"/>
              </w:rPr>
              <w:t xml:space="preserve">性能稳定性差、质量可靠性低或技术落后的，得1分。</w:t>
            </w:r>
            <w:r/>
          </w:p>
        </w:tc>
        <w:tc>
          <w:tcPr>
            <w:tcW w:w="678" w:type="dxa"/>
            <w:textDirection w:val="lrTb"/>
            <w:noWrap w:val="false"/>
          </w:tcPr>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jc w:val="center"/>
              <w:rPr>
                <w:rFonts w:hint="eastAsia" w:hAnsi="宋体" w:eastAsia="宋体"/>
                <w:color w:val="auto"/>
                <w:szCs w:val="21"/>
                <w:lang w:eastAsia="zh-CN"/>
              </w:rPr>
            </w:pPr>
            <w:r>
              <w:rPr>
                <w:rFonts w:hint="eastAsia" w:hAnsi="宋体"/>
                <w:color w:val="auto"/>
                <w:szCs w:val="21"/>
                <w:lang w:val="en-US" w:eastAsia="zh-CN"/>
              </w:rPr>
              <w:t xml:space="preserve">8</w:t>
            </w:r>
            <w:r/>
          </w:p>
        </w:tc>
      </w:tr>
      <w:tr>
        <w:trPr>
          <w:trHeight w:val="9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t xml:space="preserve">3</w:t>
            </w:r>
            <w:r/>
          </w:p>
          <w:p>
            <w:pPr>
              <w:ind w:left="218"/>
              <w:rPr>
                <w:rFonts w:hint="eastAsia" w:hAnsi="宋体"/>
                <w:color w:val="auto"/>
                <w:szCs w:val="21"/>
              </w:rPr>
            </w:pPr>
            <w:r>
              <w:rPr>
                <w:rFonts w:hint="eastAsia" w:hAnsi="宋体"/>
                <w:color w:val="auto"/>
                <w:szCs w:val="21"/>
              </w:rPr>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服务</w:t>
            </w:r>
            <w:r/>
          </w:p>
          <w:p>
            <w:pPr>
              <w:ind w:left="-10" w:hanging="10"/>
              <w:jc w:val="center"/>
              <w:rPr>
                <w:rFonts w:hint="eastAsia" w:hAnsi="宋体"/>
                <w:color w:val="auto"/>
                <w:szCs w:val="21"/>
              </w:rPr>
            </w:pPr>
            <w:r>
              <w:rPr>
                <w:rFonts w:hint="eastAsia" w:hAnsi="宋体"/>
                <w:color w:val="auto"/>
                <w:szCs w:val="21"/>
              </w:rPr>
              <w:t xml:space="preserve">（2</w:t>
            </w:r>
            <w:r>
              <w:rPr>
                <w:rFonts w:hint="eastAsia" w:hAnsi="宋体"/>
                <w:color w:val="auto"/>
                <w:szCs w:val="21"/>
                <w:lang w:val="en-US" w:eastAsia="zh-CN"/>
              </w:rPr>
              <w:t xml:space="preserve">6</w:t>
            </w:r>
            <w:r>
              <w:rPr>
                <w:rFonts w:hint="eastAsia" w:hAnsi="宋体"/>
                <w:color w:val="auto"/>
                <w:szCs w:val="21"/>
              </w:rPr>
              <w:t xml:space="preserve">分）</w:t>
            </w:r>
            <w:r/>
          </w:p>
        </w:tc>
        <w:tc>
          <w:tcPr>
            <w:tcW w:w="1158" w:type="dxa"/>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免费质保期</w:t>
            </w:r>
            <w:r/>
          </w:p>
          <w:p>
            <w:pPr>
              <w:ind w:left="-10" w:hanging="10"/>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rPr>
                <w:rFonts w:hint="eastAsia" w:hAnsi="宋体"/>
                <w:color w:val="auto"/>
                <w:szCs w:val="21"/>
              </w:rPr>
            </w:pPr>
            <w:r>
              <w:rPr>
                <w:rFonts w:hint="eastAsia" w:ascii="宋体" w:hAnsi="宋体"/>
                <w:color w:val="auto"/>
                <w:szCs w:val="21"/>
              </w:rPr>
              <w:t xml:space="preserve">满足招标文件要求的，不得分；每延长半年加1分，最多加6分。</w:t>
            </w:r>
            <w:r>
              <w:rPr>
                <w:rFonts w:hint="eastAsia" w:hAnsi="宋体"/>
                <w:color w:val="auto"/>
                <w:szCs w:val="21"/>
              </w:rPr>
              <w:t xml:space="preserve">未响应的不得分。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90"/>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t xml:space="preserve">s</w:t>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ind w:left="-10" w:hanging="10"/>
              <w:jc w:val="center"/>
              <w:rPr>
                <w:rFonts w:hint="eastAsia" w:ascii="宋体" w:hAnsi="宋体"/>
                <w:color w:val="auto"/>
                <w:szCs w:val="21"/>
              </w:rPr>
            </w:pPr>
            <w:r>
              <w:rPr>
                <w:rFonts w:ascii="宋体" w:hAnsi="宋体"/>
                <w:color w:val="auto"/>
                <w:szCs w:val="21"/>
              </w:rPr>
              <w:t xml:space="preserve">培训方案</w:t>
            </w:r>
            <w:r/>
          </w:p>
          <w:p>
            <w:pPr>
              <w:ind w:left="-10" w:hanging="10"/>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pStyle w:val="985"/>
              <w:jc w:val="both"/>
              <w:rPr>
                <w:rFonts w:hint="eastAsia" w:ascii="宋体" w:hAnsi="宋体" w:eastAsia="宋体"/>
                <w:color w:val="auto"/>
                <w:sz w:val="21"/>
                <w:szCs w:val="21"/>
              </w:rPr>
            </w:pPr>
            <w:r>
              <w:rPr>
                <w:rFonts w:ascii="宋体" w:hAnsi="宋体" w:eastAsia="宋体"/>
                <w:color w:val="auto"/>
                <w:sz w:val="21"/>
                <w:szCs w:val="21"/>
              </w:rPr>
              <w:t xml:space="preserve">根据培训方案（包括但不限于使用操作、常规检查、保养内容、日常使用注意事项等方面）和培训技术进行评分</w:t>
            </w:r>
            <w:r>
              <w:rPr>
                <w:rFonts w:hint="eastAsia" w:ascii="宋体" w:hAnsi="宋体" w:eastAsia="宋体"/>
                <w:color w:val="auto"/>
                <w:sz w:val="21"/>
                <w:szCs w:val="21"/>
              </w:rPr>
              <w:t xml:space="preserve">：</w:t>
            </w:r>
            <w:r/>
          </w:p>
          <w:p>
            <w:pPr>
              <w:pStyle w:val="985"/>
              <w:jc w:val="both"/>
              <w:rPr>
                <w:rFonts w:hint="eastAsia" w:ascii="宋体" w:hAnsi="宋体" w:eastAsia="宋体"/>
                <w:color w:val="auto"/>
                <w:sz w:val="21"/>
                <w:szCs w:val="21"/>
              </w:rPr>
            </w:pPr>
            <w:r>
              <w:rPr>
                <w:rFonts w:ascii="宋体" w:hAnsi="宋体" w:eastAsia="宋体"/>
                <w:color w:val="auto"/>
                <w:sz w:val="21"/>
                <w:szCs w:val="21"/>
              </w:rPr>
              <w:t xml:space="preserve">培训方案切合实际，使用操作明确、常规检查完备科学合理、保养内容、日常使用及注意事项方便可行的得</w:t>
            </w:r>
            <w:r>
              <w:rPr>
                <w:rFonts w:hint="eastAsia" w:ascii="宋体" w:hAnsi="宋体" w:eastAsia="宋体"/>
                <w:color w:val="auto"/>
                <w:sz w:val="21"/>
                <w:szCs w:val="21"/>
              </w:rPr>
              <w:t xml:space="preserve">6</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5"/>
              <w:jc w:val="both"/>
              <w:rPr>
                <w:rFonts w:hint="eastAsia" w:ascii="宋体" w:hAnsi="宋体" w:eastAsia="宋体"/>
                <w:color w:val="auto"/>
                <w:sz w:val="21"/>
                <w:szCs w:val="21"/>
              </w:rPr>
            </w:pPr>
            <w:r>
              <w:rPr>
                <w:rFonts w:ascii="宋体" w:hAnsi="宋体" w:eastAsia="宋体"/>
                <w:color w:val="auto"/>
                <w:sz w:val="21"/>
                <w:szCs w:val="21"/>
              </w:rPr>
              <w:t xml:space="preserve">培训方案较好，使用操作、常规检查、保养内容、日常使用注意事项可行的得</w:t>
            </w:r>
            <w:r>
              <w:rPr>
                <w:rFonts w:hint="eastAsia" w:ascii="宋体" w:hAnsi="宋体" w:eastAsia="宋体"/>
                <w:color w:val="auto"/>
                <w:sz w:val="21"/>
                <w:szCs w:val="21"/>
              </w:rPr>
              <w:t xml:space="preserve">3</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5"/>
              <w:jc w:val="both"/>
              <w:rPr>
                <w:rFonts w:hint="eastAsia" w:ascii="宋体" w:hAnsi="宋体" w:eastAsia="宋体"/>
                <w:color w:val="auto"/>
                <w:sz w:val="21"/>
                <w:szCs w:val="21"/>
              </w:rPr>
            </w:pPr>
            <w:r>
              <w:rPr>
                <w:rFonts w:ascii="宋体" w:hAnsi="宋体" w:eastAsia="宋体"/>
                <w:color w:val="auto"/>
                <w:sz w:val="21"/>
                <w:szCs w:val="21"/>
              </w:rPr>
              <w:t xml:space="preserve">培训方案一般、针对性不足的得1分；</w:t>
            </w:r>
            <w:r/>
          </w:p>
          <w:p>
            <w:pPr>
              <w:pStyle w:val="985"/>
              <w:jc w:val="both"/>
              <w:rPr>
                <w:rFonts w:hint="eastAsia" w:ascii="Times New Roman" w:hAnsi="宋体" w:eastAsia="宋体"/>
                <w:color w:val="auto"/>
                <w:sz w:val="21"/>
                <w:szCs w:val="21"/>
              </w:rPr>
            </w:pPr>
            <w:r>
              <w:rPr>
                <w:rFonts w:ascii="宋体" w:hAnsi="宋体" w:eastAsia="宋体"/>
                <w:color w:val="auto"/>
                <w:sz w:val="21"/>
                <w:szCs w:val="21"/>
              </w:rPr>
              <w:t xml:space="preserve">未提供的不得分。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408"/>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restart"/>
            <w:textDirection w:val="lrTb"/>
            <w:noWrap w:val="false"/>
          </w:tcPr>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t xml:space="preserve">售后服务方案</w:t>
            </w:r>
            <w:r/>
          </w:p>
          <w:p>
            <w:pPr>
              <w:ind w:left="-10" w:hanging="10"/>
              <w:jc w:val="center"/>
              <w:rPr>
                <w:rFonts w:hint="eastAsia" w:ascii="宋体" w:hAnsi="宋体"/>
                <w:color w:val="auto"/>
                <w:szCs w:val="21"/>
              </w:rPr>
            </w:pPr>
            <w:r>
              <w:rPr>
                <w:rFonts w:hint="eastAsia" w:hAnsi="宋体"/>
                <w:color w:val="auto"/>
                <w:szCs w:val="21"/>
              </w:rPr>
              <w:t xml:space="preserve">（14分）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w:t>
            </w:r>
            <w:r>
              <w:rPr>
                <w:rFonts w:hint="eastAsia" w:ascii="宋体" w:hAnsi="宋体" w:cs="宋体"/>
                <w:bCs/>
                <w:color w:val="auto"/>
                <w:lang w:bidi="ar"/>
              </w:rPr>
              <w:t xml:space="preserve">售后服务方案：江苏省内售后服务网点数量、服务内容、服务承诺、</w:t>
            </w:r>
            <w:r>
              <w:rPr>
                <w:rFonts w:hint="eastAsia" w:ascii="宋体" w:hAnsi="宋体"/>
                <w:color w:val="auto"/>
                <w:szCs w:val="21"/>
              </w:rPr>
              <w:t xml:space="preserve">产品故障解决方案及响应时间、处理速度、定期巡检以及技术支持、软件升级等评分：</w:t>
            </w:r>
            <w:r/>
          </w:p>
          <w:p>
            <w:pPr>
              <w:rPr>
                <w:rFonts w:hint="eastAsia" w:ascii="宋体" w:hAnsi="宋体"/>
                <w:color w:val="auto"/>
                <w:szCs w:val="21"/>
              </w:rPr>
            </w:pPr>
            <w:r>
              <w:rPr>
                <w:rFonts w:hint="eastAsia" w:ascii="宋体" w:hAnsi="宋体"/>
                <w:color w:val="auto"/>
                <w:szCs w:val="21"/>
              </w:rPr>
              <w:t xml:space="preserve">完整完善且完全满足项目需求的得8分；</w:t>
            </w:r>
            <w:r/>
          </w:p>
          <w:p>
            <w:pPr>
              <w:rPr>
                <w:rFonts w:hint="eastAsia" w:ascii="宋体" w:hAnsi="宋体"/>
                <w:color w:val="auto"/>
                <w:szCs w:val="21"/>
              </w:rPr>
            </w:pPr>
            <w:r>
              <w:rPr>
                <w:rFonts w:hint="eastAsia" w:ascii="宋体" w:hAnsi="宋体"/>
                <w:color w:val="auto"/>
                <w:szCs w:val="21"/>
              </w:rPr>
              <w:t xml:space="preserve">基本满足项目需求、略有欠缺需要完善的得5分；</w:t>
            </w:r>
            <w:r/>
          </w:p>
          <w:p>
            <w:pPr>
              <w:rPr>
                <w:rFonts w:hint="eastAsia" w:ascii="宋体" w:hAnsi="宋体"/>
                <w:color w:val="auto"/>
                <w:szCs w:val="21"/>
              </w:rPr>
            </w:pPr>
            <w:r>
              <w:rPr>
                <w:rFonts w:hint="eastAsia" w:ascii="宋体" w:hAnsi="宋体"/>
                <w:color w:val="auto"/>
                <w:szCs w:val="21"/>
              </w:rPr>
              <w:t xml:space="preserve">完整可行性差、不能较好满足项目需求的得2分；</w:t>
            </w:r>
            <w:r/>
          </w:p>
          <w:p>
            <w:pPr>
              <w:rPr>
                <w:rFonts w:hint="eastAsia" w:ascii="宋体" w:hAnsi="宋体"/>
                <w:color w:val="auto"/>
                <w:szCs w:val="21"/>
              </w:rPr>
            </w:pPr>
            <w:r>
              <w:rPr>
                <w:rFonts w:hint="eastAsia" w:ascii="宋体" w:hAnsi="宋体"/>
                <w:color w:val="auto"/>
                <w:szCs w:val="21"/>
              </w:rPr>
              <w:t xml:space="preserve">不提供不得分。 </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8</w:t>
            </w:r>
            <w:r/>
          </w:p>
        </w:tc>
      </w:tr>
      <w:tr>
        <w:trPr>
          <w:trHeight w:val="383"/>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6574"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根据保修期结束后维修价格、配件及耗材价格等服务收费以及提供的优惠情况评分：</w:t>
            </w:r>
            <w:r/>
          </w:p>
          <w:p>
            <w:pPr>
              <w:jc w:val="left"/>
              <w:rPr>
                <w:rFonts w:hint="eastAsia" w:ascii="宋体" w:hAnsi="宋体"/>
                <w:color w:val="auto"/>
                <w:szCs w:val="21"/>
              </w:rPr>
            </w:pPr>
            <w:r>
              <w:rPr>
                <w:rFonts w:hint="eastAsia" w:ascii="宋体" w:hAnsi="宋体"/>
                <w:color w:val="auto"/>
                <w:szCs w:val="21"/>
              </w:rPr>
              <w:t xml:space="preserve">完整完善且完全满足项目需求的得6分；</w:t>
            </w:r>
            <w:r/>
          </w:p>
          <w:p>
            <w:pPr>
              <w:jc w:val="left"/>
              <w:rPr>
                <w:rFonts w:hint="eastAsia" w:ascii="宋体" w:hAnsi="宋体"/>
                <w:color w:val="auto"/>
                <w:szCs w:val="21"/>
              </w:rPr>
            </w:pPr>
            <w:r>
              <w:rPr>
                <w:rFonts w:hint="eastAsia" w:ascii="宋体" w:hAnsi="宋体"/>
                <w:color w:val="auto"/>
                <w:szCs w:val="21"/>
              </w:rPr>
              <w:t xml:space="preserve">基本满足项目需求、略有欠缺需要完善的得3分；</w:t>
            </w:r>
            <w:r/>
          </w:p>
          <w:p>
            <w:pPr>
              <w:jc w:val="left"/>
              <w:rPr>
                <w:rFonts w:hint="eastAsia" w:ascii="宋体" w:hAnsi="宋体"/>
                <w:color w:val="auto"/>
                <w:szCs w:val="21"/>
              </w:rPr>
            </w:pPr>
            <w:r>
              <w:rPr>
                <w:rFonts w:hint="eastAsia" w:ascii="宋体" w:hAnsi="宋体"/>
                <w:color w:val="auto"/>
                <w:szCs w:val="21"/>
              </w:rPr>
              <w:t xml:space="preserve">完整可行性差、不能较好满足项目需求的得1分；</w:t>
            </w:r>
            <w:r/>
          </w:p>
          <w:p>
            <w:pPr>
              <w:jc w:val="left"/>
              <w:rPr>
                <w:rFonts w:hint="eastAsia" w:hAnsi="宋体"/>
                <w:color w:val="auto"/>
                <w:szCs w:val="21"/>
              </w:rPr>
            </w:pPr>
            <w:r>
              <w:rPr>
                <w:rFonts w:hint="eastAsia" w:ascii="宋体" w:hAnsi="宋体"/>
                <w:color w:val="auto"/>
                <w:szCs w:val="21"/>
              </w:rPr>
              <w:t xml:space="preserve">不提供不得分。 </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936"/>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4</w:t>
            </w:r>
            <w:r/>
          </w:p>
        </w:tc>
        <w:tc>
          <w:tcPr>
            <w:tcBorders>
              <w:right w:val="single" w:color="auto" w:sz="4" w:space="0"/>
            </w:tcBorders>
            <w:tcW w:w="1059"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商务</w:t>
            </w:r>
            <w:r/>
          </w:p>
          <w:p>
            <w:pPr>
              <w:jc w:val="center"/>
              <w:rPr>
                <w:rFonts w:hint="eastAsia" w:ascii="宋体" w:hAnsi="宋体"/>
                <w:color w:val="auto"/>
                <w:szCs w:val="21"/>
              </w:rPr>
            </w:pPr>
            <w:r>
              <w:rPr>
                <w:rFonts w:hint="eastAsia" w:hAnsi="宋体"/>
                <w:color w:val="auto"/>
                <w:szCs w:val="21"/>
              </w:rPr>
              <w:t xml:space="preserve">（9分）</w:t>
            </w:r>
            <w:r/>
          </w:p>
        </w:tc>
        <w:tc>
          <w:tcPr>
            <w:tcBorders>
              <w:left w:val="single" w:color="auto" w:sz="4" w:space="0"/>
            </w:tcBorders>
            <w:tcW w:w="115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业绩</w:t>
            </w:r>
            <w:r/>
          </w:p>
          <w:p>
            <w:pPr>
              <w:jc w:val="center"/>
              <w:rPr>
                <w:rFonts w:hint="eastAsia" w:ascii="宋体" w:hAnsi="宋体"/>
                <w:color w:val="auto"/>
                <w:szCs w:val="21"/>
              </w:rPr>
            </w:pPr>
            <w:r>
              <w:rPr>
                <w:rFonts w:hint="eastAsia" w:hAnsi="宋体"/>
                <w:color w:val="auto"/>
                <w:szCs w:val="21"/>
              </w:rPr>
              <w:t xml:space="preserve">（9分）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供应商2023年1月1日（含）至今实施过的类似项目业绩（至少含与核心产品类似产品，单一产品指与单一产品类似产品）（以合同签订时间为准，提供合同复印件），每提供一个有效业绩得3分，最高得9分。</w:t>
            </w:r>
            <w:r/>
          </w:p>
        </w:tc>
        <w:tc>
          <w:tcPr>
            <w:tcW w:w="67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9</w:t>
            </w:r>
            <w:r/>
          </w:p>
        </w:tc>
      </w:tr>
    </w:tbl>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w:t>
      </w:r>
      <w:r/>
    </w:p>
    <w:p>
      <w:pPr>
        <w:ind w:firstLine="420"/>
        <w:spacing w:line="300" w:lineRule="auto"/>
        <w:tabs>
          <w:tab w:val="left" w:pos="1080" w:leader="none"/>
          <w:tab w:val="left" w:pos="1589" w:leader="none"/>
        </w:tabs>
        <w:rPr>
          <w:rFonts w:hint="eastAsia" w:ascii="宋体" w:hAnsi="宋体" w:cs="宋体"/>
          <w:color w:val="auto"/>
          <w:szCs w:val="21"/>
        </w:rPr>
      </w:pPr>
      <w:r/>
      <w:bookmarkStart w:id="289"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90" w:name="_Toc107246273"/>
      <w:r>
        <w:rPr>
          <w:rStyle w:val="944"/>
          <w:color w:val="auto"/>
        </w:rPr>
        <w:t xml:space="preserve">第六章 </w:t>
      </w:r>
      <w:bookmarkEnd w:id="289"/>
      <w:r>
        <w:rPr>
          <w:rStyle w:val="944"/>
          <w:rFonts w:hint="eastAsia"/>
          <w:color w:val="auto"/>
        </w:rPr>
        <w:t xml:space="preserve">投标文件格式</w:t>
      </w:r>
      <w:bookmarkEnd w:id="290"/>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974"/>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91"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916"/>
        <w:jc w:val="center"/>
        <w:rPr>
          <w:rFonts w:ascii="Microsoft New Tai Lue" w:hAnsi="Microsoft New Tai Lue" w:cs="Microsoft New Tai Lue"/>
          <w:b/>
          <w:color w:val="auto"/>
          <w:sz w:val="84"/>
          <w:szCs w:val="84"/>
        </w:rPr>
      </w:pPr>
      <w:r/>
      <w:bookmarkStart w:id="292" w:name="_Toc100905255"/>
      <w:r>
        <w:rPr>
          <w:rFonts w:ascii="Microsoft New Tai Lue" w:hAnsi="Microsoft New Tai Lue" w:cs="Microsoft New Tai Lue"/>
          <w:b/>
          <w:color w:val="auto"/>
          <w:sz w:val="84"/>
          <w:szCs w:val="84"/>
        </w:rPr>
        <w:t xml:space="preserve">投 标 文 件</w:t>
      </w:r>
      <w:bookmarkEnd w:id="292"/>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91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916"/>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91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91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91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93" w:name="_Toc113285635"/>
      <w:r/>
      <w:bookmarkStart w:id="294" w:name="_Toc27578"/>
      <w:r/>
      <w:bookmarkStart w:id="295" w:name="_Toc114845418"/>
      <w:r/>
      <w:bookmarkStart w:id="296" w:name="_Toc50528847"/>
      <w:r/>
      <w:bookmarkStart w:id="297" w:name="_Toc40202978"/>
      <w:r/>
      <w:bookmarkStart w:id="298" w:name="_Toc48151457"/>
      <w:r/>
      <w:bookmarkStart w:id="299" w:name="_Toc38933385"/>
      <w:r/>
      <w:bookmarkStart w:id="300" w:name="_Toc38931828"/>
      <w:r/>
      <w:bookmarkStart w:id="301" w:name="_Toc35553014"/>
      <w:r/>
      <w:bookmarkStart w:id="302" w:name="_Toc46939555"/>
      <w:r/>
      <w:bookmarkStart w:id="303" w:name="_Toc24150"/>
      <w:r/>
      <w:bookmarkStart w:id="304" w:name="_Toc46960714"/>
      <w:r/>
      <w:bookmarkStart w:id="305" w:name="_Toc38931642"/>
      <w:r/>
      <w:bookmarkStart w:id="306" w:name="_Toc112660675"/>
      <w:r/>
      <w:bookmarkStart w:id="307" w:name="_Toc51928380"/>
      <w:r/>
      <w:bookmarkStart w:id="308" w:name="_Toc32274"/>
      <w:r/>
      <w:bookmarkStart w:id="309" w:name="_Toc46219744"/>
      <w:r/>
      <w:bookmarkStart w:id="310" w:name="_Toc19433"/>
      <w:r/>
      <w:bookmarkStart w:id="311" w:name="_Toc112660571"/>
      <w:r/>
      <w:bookmarkStart w:id="312" w:name="_Toc113285517"/>
      <w:r>
        <w:rPr>
          <w:rFonts w:hint="eastAsia" w:ascii="Microsoft New Tai Lue" w:hAnsi="Microsoft New Tai Lue" w:cs="Microsoft New Tai Lue"/>
          <w:b/>
          <w:bCs/>
          <w:color w:val="auto"/>
          <w:sz w:val="32"/>
          <w:szCs w:val="32"/>
        </w:rPr>
        <w:t xml:space="preserve">资格及符合性审查索引表</w:t>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902"/>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按照招标文件规定提交投标保证金的（如有）</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916"/>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投标人按第三章照评标办法 综合评估法评标细则所列评分内容，列出投标文件对应响应内容的页码</w:t>
      </w:r>
      <w:r/>
    </w:p>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902"/>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91"/>
      <w:r/>
      <w:r/>
    </w:p>
    <w:p>
      <w:pPr>
        <w:pStyle w:val="931"/>
        <w:numPr>
          <w:ilvl w:val="0"/>
          <w:numId w:val="6"/>
        </w:numPr>
        <w:spacing w:before="0" w:line="280" w:lineRule="exact"/>
        <w:rPr>
          <w:rFonts w:ascii="Microsoft New Tai Lue" w:hAnsi="Microsoft New Tai Lue" w:cs="Microsoft New Tai Lue"/>
          <w:color w:val="auto"/>
          <w:sz w:val="28"/>
          <w:szCs w:val="24"/>
        </w:rPr>
      </w:pPr>
      <w:r/>
      <w:bookmarkStart w:id="313" w:name="_Toc104560897"/>
      <w:r/>
      <w:bookmarkStart w:id="314" w:name="_Toc107246274"/>
      <w:r/>
      <w:bookmarkStart w:id="315" w:name="_Toc103848582"/>
      <w:r/>
      <w:bookmarkStart w:id="31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313"/>
      <w:r/>
      <w:bookmarkEnd w:id="314"/>
      <w:r/>
      <w:bookmarkEnd w:id="315"/>
      <w:r/>
      <w:r/>
    </w:p>
    <w:p>
      <w:pPr>
        <w:rPr>
          <w:color w:val="auto"/>
        </w:rPr>
      </w:pPr>
      <w:r>
        <w:rPr>
          <w:color w:val="auto"/>
        </w:rPr>
      </w:r>
      <w:r/>
    </w:p>
    <w:p>
      <w:pPr>
        <w:pStyle w:val="931"/>
        <w:spacing w:before="0" w:line="280" w:lineRule="exact"/>
        <w:rPr>
          <w:rFonts w:ascii="Microsoft New Tai Lue" w:hAnsi="Microsoft New Tai Lue" w:cs="Microsoft New Tai Lue"/>
          <w:color w:val="auto"/>
          <w:sz w:val="28"/>
          <w:szCs w:val="24"/>
        </w:rPr>
      </w:pPr>
      <w:r/>
      <w:bookmarkStart w:id="31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316"/>
      <w:r/>
      <w:bookmarkEnd w:id="317"/>
      <w:r/>
      <w:r/>
    </w:p>
    <w:p>
      <w:pPr>
        <w:ind w:firstLine="420"/>
        <w:spacing w:before="156" w:line="360" w:lineRule="exact"/>
        <w:rPr>
          <w:color w:val="auto"/>
          <w:szCs w:val="21"/>
        </w:rPr>
      </w:pPr>
      <w:r/>
      <w:bookmarkStart w:id="318" w:name="_Toc103848580"/>
      <w:r/>
      <w:bookmarkStart w:id="319"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929"/>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929"/>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开标</w:t>
      </w:r>
      <w:r>
        <w:rPr>
          <w:rFonts w:ascii="Times New Roman" w:hAnsi="Times New Roman"/>
          <w:color w:val="auto"/>
        </w:rPr>
        <w:t xml:space="preserve">一览表（含分项报价表，如有）</w:t>
      </w:r>
      <w:r>
        <w:rPr>
          <w:rFonts w:ascii="Times New Roman" w:hAnsi="Times New Roman"/>
          <w:color w:val="auto"/>
          <w:u w:val="single"/>
        </w:rPr>
        <w:t xml:space="preserve">    </w:t>
      </w:r>
      <w:r>
        <w:rPr>
          <w:rFonts w:ascii="Times New Roman" w:hAnsi="Times New Roman"/>
          <w:color w:val="auto"/>
        </w:rPr>
        <w:t xml:space="preserve">份。</w:t>
      </w:r>
      <w:r/>
    </w:p>
    <w:p>
      <w:pPr>
        <w:pStyle w:val="929"/>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929"/>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保证金将不予退还。</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9"/>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929"/>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929"/>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1"/>
        <w:spacing w:before="0"/>
        <w:rPr>
          <w:rFonts w:ascii="Microsoft New Tai Lue" w:hAnsi="Microsoft New Tai Lue" w:cs="Microsoft New Tai Lue"/>
          <w:bCs w:val="0"/>
          <w:color w:val="auto"/>
          <w:sz w:val="24"/>
          <w:szCs w:val="24"/>
        </w:rPr>
      </w:pPr>
      <w:r>
        <w:rPr>
          <w:bCs w:val="0"/>
          <w:color w:val="auto"/>
        </w:rPr>
        <w:br w:type="page" w:clear="all"/>
      </w:r>
      <w:bookmarkStart w:id="320" w:name="_Toc104560898"/>
      <w:r/>
      <w:bookmarkStart w:id="321" w:name="_Toc103848583"/>
      <w:r/>
      <w:bookmarkStart w:id="322" w:name="_Toc107246276"/>
      <w:r>
        <w:rPr>
          <w:rFonts w:ascii="Microsoft New Tai Lue" w:hAnsi="Microsoft New Tai Lue" w:cs="Microsoft New Tai Lue"/>
          <w:bCs w:val="0"/>
          <w:color w:val="auto"/>
          <w:sz w:val="24"/>
          <w:szCs w:val="24"/>
        </w:rPr>
        <w:t xml:space="preserve">（2）</w:t>
      </w:r>
      <w:bookmarkEnd w:id="320"/>
      <w:r/>
      <w:bookmarkEnd w:id="321"/>
      <w:r>
        <w:rPr>
          <w:rFonts w:hint="eastAsia" w:ascii="Microsoft New Tai Lue" w:hAnsi="Microsoft New Tai Lue" w:cs="Microsoft New Tai Lue"/>
          <w:bCs w:val="0"/>
          <w:color w:val="auto"/>
          <w:sz w:val="24"/>
          <w:szCs w:val="24"/>
        </w:rPr>
        <w:t xml:space="preserve">法定代表人（单位负责人）身份证明</w:t>
      </w:r>
      <w:bookmarkEnd w:id="322"/>
      <w:r/>
      <w:r/>
    </w:p>
    <w:p>
      <w:pPr>
        <w:pStyle w:val="91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0"/>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910"/>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910"/>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910"/>
        <w:ind w:firstLine="420"/>
        <w:spacing w:before="170"/>
        <w:rPr>
          <w:color w:val="auto"/>
        </w:rPr>
      </w:pPr>
      <w:r>
        <w:rPr>
          <w:color w:val="auto"/>
        </w:rPr>
        <w:t xml:space="preserve">特此证明。</w:t>
      </w:r>
      <w:r/>
    </w:p>
    <w:p>
      <w:pPr>
        <w:pStyle w:val="910"/>
        <w:ind w:left="1260"/>
        <w:rPr>
          <w:color w:val="auto"/>
          <w:sz w:val="20"/>
        </w:rPr>
      </w:pPr>
      <w:r>
        <w:rPr>
          <w:color w:val="auto"/>
          <w:sz w:val="20"/>
        </w:rPr>
      </w:r>
      <w:r/>
    </w:p>
    <w:p>
      <w:pPr>
        <w:pStyle w:val="910"/>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90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0"/>
              <w:jc w:val="center"/>
              <w:rPr>
                <w:i/>
                <w:color w:val="auto"/>
                <w:sz w:val="20"/>
              </w:rPr>
            </w:pPr>
            <w:r>
              <w:rPr>
                <w:i/>
                <w:color w:val="auto"/>
                <w:sz w:val="24"/>
              </w:rPr>
              <w:t xml:space="preserve">身份证正面</w:t>
            </w:r>
            <w:r/>
          </w:p>
        </w:tc>
      </w:tr>
    </w:tbl>
    <w:p>
      <w:pPr>
        <w:pStyle w:val="910"/>
        <w:ind w:left="1260"/>
        <w:rPr>
          <w:color w:val="auto"/>
          <w:sz w:val="20"/>
        </w:rPr>
      </w:pPr>
      <w:r>
        <w:rPr>
          <w:color w:val="auto"/>
          <w:sz w:val="20"/>
        </w:rPr>
      </w:r>
      <w:r/>
    </w:p>
    <w:tbl>
      <w:tblPr>
        <w:tblStyle w:val="90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0"/>
              <w:jc w:val="center"/>
              <w:rPr>
                <w:color w:val="auto"/>
                <w:sz w:val="20"/>
              </w:rPr>
            </w:pPr>
            <w:r>
              <w:rPr>
                <w:i/>
                <w:color w:val="auto"/>
                <w:sz w:val="24"/>
              </w:rPr>
              <w:t xml:space="preserve">身份证反面</w:t>
            </w:r>
            <w:r/>
          </w:p>
        </w:tc>
      </w:tr>
    </w:tbl>
    <w:p>
      <w:pPr>
        <w:pStyle w:val="910"/>
        <w:rPr>
          <w:color w:val="auto"/>
          <w:sz w:val="20"/>
        </w:rPr>
      </w:pPr>
      <w:r>
        <w:rPr>
          <w:color w:val="auto"/>
          <w:sz w:val="20"/>
        </w:rPr>
      </w:r>
      <w:r/>
    </w:p>
    <w:p>
      <w:pPr>
        <w:pStyle w:val="910"/>
        <w:rPr>
          <w:color w:val="auto"/>
          <w:sz w:val="20"/>
        </w:rPr>
      </w:pPr>
      <w:r>
        <w:rPr>
          <w:color w:val="auto"/>
          <w:sz w:val="20"/>
        </w:rPr>
      </w:r>
      <w:r/>
    </w:p>
    <w:p>
      <w:pPr>
        <w:pStyle w:val="910"/>
        <w:ind w:left="1260"/>
        <w:rPr>
          <w:color w:val="auto"/>
          <w:sz w:val="20"/>
        </w:rPr>
      </w:pPr>
      <w:r>
        <w:rPr>
          <w:color w:val="auto"/>
          <w:sz w:val="20"/>
        </w:rPr>
      </w:r>
      <w:r/>
    </w:p>
    <w:p>
      <w:pPr>
        <w:pStyle w:val="910"/>
        <w:ind w:left="1260"/>
        <w:spacing w:before="1"/>
        <w:rPr>
          <w:color w:val="auto"/>
          <w:sz w:val="22"/>
        </w:rPr>
      </w:pPr>
      <w:r>
        <w:rPr>
          <w:color w:val="auto"/>
          <w:sz w:val="22"/>
        </w:rPr>
      </w:r>
      <w:r/>
    </w:p>
    <w:p>
      <w:pPr>
        <w:pStyle w:val="910"/>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1"/>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323" w:name="_Toc104560899"/>
      <w:r/>
      <w:bookmarkStart w:id="324" w:name="_Toc103848584"/>
      <w:r/>
      <w:bookmarkStart w:id="325" w:name="_Toc107246277"/>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323"/>
      <w:r/>
      <w:bookmarkEnd w:id="324"/>
      <w:r/>
      <w:bookmarkEnd w:id="32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929"/>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929"/>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929"/>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90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90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929"/>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929"/>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929"/>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326" w:name="_Toc107246279"/>
      <w:r/>
      <w:bookmarkStart w:id="327" w:name="_Toc104560895"/>
      <w:r/>
      <w:r/>
    </w:p>
    <w:p>
      <w:pPr>
        <w:pStyle w:val="931"/>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318"/>
      <w:r/>
      <w:bookmarkEnd w:id="326"/>
      <w:r/>
      <w:bookmarkEnd w:id="327"/>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328" w:name="_Toc103848581"/>
      <w:r/>
      <w:r/>
    </w:p>
    <w:tbl>
      <w:tblPr>
        <w:tblStyle w:val="90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1"/>
        <w:spacing w:line="240" w:lineRule="atLeast"/>
        <w:rPr>
          <w:rFonts w:ascii="Microsoft New Tai Lue" w:hAnsi="Microsoft New Tai Lue" w:cs="Microsoft New Tai Lue"/>
          <w:bCs w:val="0"/>
          <w:color w:val="auto"/>
          <w:sz w:val="24"/>
          <w:szCs w:val="24"/>
        </w:rPr>
      </w:pPr>
      <w:r/>
      <w:bookmarkStart w:id="329" w:name="_Toc104560896"/>
      <w:r>
        <w:rPr>
          <w:rFonts w:ascii="Microsoft New Tai Lue" w:hAnsi="Microsoft New Tai Lue" w:cs="Microsoft New Tai Lue"/>
          <w:bCs w:val="0"/>
          <w:color w:val="auto"/>
          <w:sz w:val="24"/>
          <w:szCs w:val="24"/>
        </w:rPr>
        <w:br w:type="page" w:clear="all"/>
      </w:r>
      <w:bookmarkStart w:id="330" w:name="_Toc107246280"/>
      <w:r>
        <w:rPr>
          <w:rFonts w:ascii="Microsoft New Tai Lue" w:hAnsi="Microsoft New Tai Lue" w:cs="Microsoft New Tai Lue"/>
          <w:bCs w:val="0"/>
          <w:color w:val="auto"/>
          <w:sz w:val="24"/>
          <w:szCs w:val="24"/>
        </w:rPr>
        <w:t xml:space="preserve">（5）分项报价表</w:t>
      </w:r>
      <w:bookmarkEnd w:id="328"/>
      <w:r/>
      <w:bookmarkEnd w:id="329"/>
      <w:r/>
      <w:bookmarkEnd w:id="330"/>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902"/>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1"/>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31" w:name="_Toc104560901"/>
      <w:r/>
      <w:bookmarkStart w:id="332" w:name="_Toc103848586"/>
      <w:r/>
      <w:bookmarkStart w:id="333" w:name="_Toc107246281"/>
      <w:r/>
      <w:bookmarkStart w:id="334" w:name="_Toc102117319"/>
      <w:r>
        <w:rPr>
          <w:rFonts w:ascii="Microsoft New Tai Lue" w:hAnsi="Microsoft New Tai Lue" w:cs="Microsoft New Tai Lue"/>
          <w:bCs w:val="0"/>
          <w:color w:val="auto"/>
          <w:sz w:val="24"/>
          <w:szCs w:val="24"/>
        </w:rPr>
        <w:t xml:space="preserve">（6）商务条款偏离表</w:t>
      </w:r>
      <w:bookmarkEnd w:id="331"/>
      <w:r/>
      <w:bookmarkEnd w:id="332"/>
      <w:r/>
      <w:bookmarkEnd w:id="333"/>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55"/>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90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955"/>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29"/>
        <w:spacing w:line="360" w:lineRule="exact"/>
        <w:rPr>
          <w:rFonts w:ascii="Times New Roman" w:hAnsi="Times New Roman"/>
          <w:b/>
          <w:bCs/>
          <w:color w:val="auto"/>
        </w:rPr>
      </w:pPr>
      <w:r>
        <w:rPr>
          <w:rFonts w:ascii="Times New Roman" w:hAnsi="Times New Roman"/>
          <w:b/>
          <w:bCs/>
          <w:color w:val="auto"/>
        </w:rPr>
        <w:t xml:space="preserve">注：</w:t>
      </w:r>
      <w:r/>
    </w:p>
    <w:p>
      <w:pPr>
        <w:pStyle w:val="929"/>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929"/>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929"/>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929"/>
        <w:spacing w:line="360" w:lineRule="exact"/>
        <w:rPr>
          <w:color w:val="auto"/>
        </w:rPr>
      </w:pPr>
      <w:r>
        <w:rPr>
          <w:rFonts w:hint="eastAsia" w:ascii="Times New Roman" w:hAnsi="Times New Roman"/>
          <w:b/>
          <w:bCs/>
          <w:color w:val="auto"/>
        </w:rPr>
        <w:t xml:space="preserve">4. 如投标人将此表空白，视为投标人无任何偏离。</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35" w:name="_Toc103848587"/>
      <w:r/>
      <w:bookmarkStart w:id="336" w:name="_Toc104560902"/>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1"/>
        <w:spacing w:line="300" w:lineRule="auto"/>
        <w:rPr>
          <w:rFonts w:ascii="Microsoft New Tai Lue" w:hAnsi="Microsoft New Tai Lue" w:cs="Microsoft New Tai Lue"/>
          <w:color w:val="auto"/>
        </w:rPr>
      </w:pPr>
      <w:r/>
      <w:bookmarkStart w:id="337" w:name="_Toc107246282"/>
      <w:r>
        <w:rPr>
          <w:rFonts w:ascii="Microsoft New Tai Lue" w:hAnsi="Microsoft New Tai Lue" w:cs="Microsoft New Tai Lue"/>
          <w:bCs w:val="0"/>
          <w:color w:val="auto"/>
          <w:sz w:val="24"/>
          <w:szCs w:val="24"/>
        </w:rPr>
        <w:t xml:space="preserve">（7）投标人具备投标资格的证明文件</w:t>
      </w:r>
      <w:bookmarkEnd w:id="335"/>
      <w:r/>
      <w:bookmarkEnd w:id="336"/>
      <w:r/>
      <w:bookmarkEnd w:id="337"/>
      <w:r>
        <w:rPr>
          <w:rFonts w:hint="eastAsia" w:ascii="Microsoft New Tai Lue" w:hAnsi="Microsoft New Tai Lue" w:cs="Microsoft New Tai Lue"/>
          <w:bCs w:val="0"/>
          <w:color w:val="auto"/>
          <w:sz w:val="24"/>
          <w:szCs w:val="24"/>
        </w:rPr>
        <w:t xml:space="preserve">（以下资格要求如有出入以公告为准）</w:t>
      </w:r>
      <w:r/>
    </w:p>
    <w:p>
      <w:pPr>
        <w:pStyle w:val="931"/>
        <w:spacing w:line="300" w:lineRule="auto"/>
        <w:rPr>
          <w:rFonts w:ascii="Microsoft New Tai Lue" w:hAnsi="Microsoft New Tai Lue" w:cs="Microsoft New Tai Lue"/>
          <w:bCs w:val="0"/>
          <w:color w:val="auto"/>
          <w:sz w:val="24"/>
          <w:szCs w:val="24"/>
        </w:rPr>
      </w:pPr>
      <w:r/>
      <w:bookmarkStart w:id="338" w:name="_Toc103848588"/>
      <w:r/>
      <w:bookmarkStart w:id="339" w:name="_Toc107246283"/>
      <w:r/>
      <w:bookmarkStart w:id="340" w:name="_Toc104560903"/>
      <w:r>
        <w:rPr>
          <w:rFonts w:ascii="Microsoft New Tai Lue" w:hAnsi="Microsoft New Tai Lue" w:cs="Microsoft New Tai Lue"/>
          <w:bCs w:val="0"/>
          <w:color w:val="auto"/>
          <w:sz w:val="24"/>
          <w:szCs w:val="24"/>
        </w:rPr>
        <w:t xml:space="preserve">（7-1-1）营业执照复印件</w:t>
      </w:r>
      <w:bookmarkEnd w:id="334"/>
      <w:r>
        <w:rPr>
          <w:rFonts w:ascii="Microsoft New Tai Lue" w:hAnsi="Microsoft New Tai Lue" w:cs="Microsoft New Tai Lue"/>
          <w:bCs w:val="0"/>
          <w:color w:val="auto"/>
          <w:sz w:val="24"/>
          <w:szCs w:val="24"/>
        </w:rPr>
        <w:t xml:space="preserve">或自然人的身份证明复印件</w:t>
      </w:r>
      <w:bookmarkEnd w:id="338"/>
      <w:r/>
      <w:bookmarkEnd w:id="339"/>
      <w:r/>
      <w:bookmarkEnd w:id="340"/>
      <w:r/>
      <w:r/>
    </w:p>
    <w:p>
      <w:pPr>
        <w:spacing w:line="300" w:lineRule="auto"/>
        <w:rPr>
          <w:rFonts w:ascii="Microsoft New Tai Lue" w:hAnsi="Microsoft New Tai Lue" w:cs="Microsoft New Tai Lue"/>
          <w:b/>
          <w:bCs/>
          <w:color w:val="auto"/>
        </w:rPr>
      </w:pPr>
      <w:r/>
      <w:bookmarkStart w:id="341"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41"/>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eastAsia="黑体" w:cs="Microsoft New Tai Lue"/>
          <w:b w:val="0"/>
          <w:color w:val="auto"/>
        </w:rPr>
      </w:pPr>
      <w:r/>
      <w:bookmarkStart w:id="342" w:name="_Toc103848589"/>
      <w:r/>
      <w:bookmarkStart w:id="343" w:name="_Toc102117320"/>
      <w:r/>
      <w:bookmarkStart w:id="344" w:name="_Toc104560904"/>
      <w:r/>
      <w:bookmarkStart w:id="345" w:name="_Toc107246284"/>
      <w:r>
        <w:rPr>
          <w:rFonts w:ascii="Microsoft New Tai Lue" w:hAnsi="Microsoft New Tai Lue" w:cs="Microsoft New Tai Lue"/>
          <w:bCs w:val="0"/>
          <w:color w:val="auto"/>
          <w:sz w:val="24"/>
          <w:szCs w:val="24"/>
        </w:rPr>
        <w:t xml:space="preserve">（7-1-2）工商变更登记文件（如需）</w:t>
      </w:r>
      <w:bookmarkEnd w:id="342"/>
      <w:r/>
      <w:bookmarkEnd w:id="343"/>
      <w:r/>
      <w:bookmarkEnd w:id="344"/>
      <w:r/>
      <w:bookmarkEnd w:id="34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cs="Microsoft New Tai Lue"/>
          <w:bCs w:val="0"/>
          <w:color w:val="auto"/>
          <w:sz w:val="24"/>
          <w:szCs w:val="24"/>
        </w:rPr>
      </w:pPr>
      <w:r/>
      <w:bookmarkStart w:id="346" w:name="_Toc104560905"/>
      <w:r/>
      <w:bookmarkStart w:id="347" w:name="_Toc103848590"/>
      <w:r/>
      <w:bookmarkStart w:id="348" w:name="_Toc107246285"/>
      <w:r/>
      <w:bookmarkStart w:id="349" w:name="_Toc102117321"/>
      <w:r>
        <w:rPr>
          <w:rFonts w:ascii="Microsoft New Tai Lue" w:hAnsi="Microsoft New Tai Lue" w:cs="Microsoft New Tai Lue"/>
          <w:bCs w:val="0"/>
          <w:color w:val="auto"/>
          <w:sz w:val="24"/>
          <w:szCs w:val="24"/>
        </w:rPr>
        <w:t xml:space="preserve">（7-2）财务报表</w:t>
      </w:r>
      <w:bookmarkEnd w:id="346"/>
      <w:r/>
      <w:bookmarkEnd w:id="347"/>
      <w:r/>
      <w:bookmarkEnd w:id="348"/>
      <w:r/>
      <w:bookmarkEnd w:id="349"/>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jc w:val="left"/>
        <w:spacing w:line="300" w:lineRule="auto"/>
        <w:rPr>
          <w:rFonts w:ascii="Microsoft New Tai Lue" w:hAnsi="Microsoft New Tai Lue" w:cs="Microsoft New Tai Lue"/>
          <w:color w:val="auto"/>
        </w:rPr>
      </w:pPr>
      <w:r/>
      <w:bookmarkStart w:id="350" w:name="_Toc107246286"/>
      <w:r/>
      <w:bookmarkStart w:id="351" w:name="_Toc102117322"/>
      <w:r/>
      <w:bookmarkStart w:id="352" w:name="_Toc103848593"/>
      <w:r/>
      <w:bookmarkStart w:id="353" w:name="_Toc104560908"/>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50"/>
      <w:r/>
      <w:bookmarkEnd w:id="351"/>
      <w:r/>
      <w:bookmarkEnd w:id="352"/>
      <w:r/>
      <w:bookmarkEnd w:id="353"/>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eastAsia="黑体" w:cs="Microsoft New Tai Lue"/>
          <w:b w:val="0"/>
          <w:color w:val="auto"/>
        </w:rPr>
      </w:pPr>
      <w:r/>
      <w:bookmarkStart w:id="354" w:name="_Toc107246287"/>
      <w:r/>
      <w:bookmarkStart w:id="355" w:name="_Toc103848591"/>
      <w:r/>
      <w:bookmarkStart w:id="356" w:name="_Toc102117323"/>
      <w:r/>
      <w:bookmarkStart w:id="357" w:name="_Toc104560906"/>
      <w:r>
        <w:rPr>
          <w:rFonts w:ascii="Microsoft New Tai Lue" w:hAnsi="Microsoft New Tai Lue" w:cs="Microsoft New Tai Lue"/>
          <w:bCs w:val="0"/>
          <w:color w:val="auto"/>
          <w:sz w:val="24"/>
          <w:szCs w:val="24"/>
        </w:rPr>
        <w:t xml:space="preserve">（7-4）依法缴纳税收的相关材料</w:t>
      </w:r>
      <w:bookmarkEnd w:id="354"/>
      <w:r/>
      <w:bookmarkEnd w:id="355"/>
      <w:r/>
      <w:bookmarkEnd w:id="356"/>
      <w:r/>
      <w:bookmarkEnd w:id="357"/>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cs="Microsoft New Tai Lue"/>
          <w:bCs w:val="0"/>
          <w:color w:val="auto"/>
          <w:sz w:val="24"/>
          <w:szCs w:val="24"/>
        </w:rPr>
      </w:pPr>
      <w:r/>
      <w:bookmarkStart w:id="358" w:name="_Toc104560907"/>
      <w:r/>
      <w:bookmarkStart w:id="359" w:name="_Toc102117324"/>
      <w:r/>
      <w:bookmarkStart w:id="360" w:name="_Toc103848592"/>
      <w:r/>
      <w:bookmarkStart w:id="361" w:name="_Toc107246288"/>
      <w:r>
        <w:rPr>
          <w:rFonts w:ascii="Microsoft New Tai Lue" w:hAnsi="Microsoft New Tai Lue" w:cs="Microsoft New Tai Lue"/>
          <w:bCs w:val="0"/>
          <w:color w:val="auto"/>
          <w:sz w:val="24"/>
          <w:szCs w:val="24"/>
        </w:rPr>
        <w:t xml:space="preserve">（7-5）依法缴纳社会保障资金的相关材料</w:t>
      </w:r>
      <w:bookmarkEnd w:id="358"/>
      <w:r/>
      <w:bookmarkEnd w:id="359"/>
      <w:r/>
      <w:bookmarkEnd w:id="360"/>
      <w:r/>
      <w:bookmarkEnd w:id="361"/>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cs="Microsoft New Tai Lue"/>
          <w:b w:val="0"/>
          <w:bCs w:val="0"/>
          <w:color w:val="auto"/>
        </w:rPr>
      </w:pPr>
      <w:r/>
      <w:bookmarkStart w:id="362" w:name="_Toc107246289"/>
      <w:r/>
      <w:bookmarkStart w:id="363" w:name="_Toc102117325"/>
      <w:r/>
      <w:bookmarkStart w:id="364" w:name="_Toc104560909"/>
      <w:r/>
      <w:bookmarkStart w:id="365" w:name="_Toc103848594"/>
      <w:r>
        <w:rPr>
          <w:rFonts w:ascii="Microsoft New Tai Lue" w:hAnsi="Microsoft New Tai Lue" w:cs="Microsoft New Tai Lue"/>
          <w:bCs w:val="0"/>
          <w:color w:val="auto"/>
          <w:sz w:val="24"/>
          <w:szCs w:val="24"/>
        </w:rPr>
        <w:t xml:space="preserve">（7-6）没有重大违法记录的书面声明</w:t>
      </w:r>
      <w:bookmarkEnd w:id="362"/>
      <w:r/>
      <w:bookmarkEnd w:id="363"/>
      <w:r/>
      <w:bookmarkEnd w:id="364"/>
      <w:r/>
      <w:bookmarkEnd w:id="36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Times New Roman" w:hAnsi="Times New Roman"/>
          <w:b w:val="0"/>
          <w:color w:val="auto"/>
          <w:sz w:val="24"/>
          <w:szCs w:val="24"/>
        </w:rPr>
      </w:pPr>
      <w:r/>
      <w:bookmarkStart w:id="366" w:name="_Toc104560910"/>
      <w:r/>
      <w:bookmarkStart w:id="367" w:name="_Toc10724629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66"/>
      <w:r/>
      <w:bookmarkEnd w:id="367"/>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本单位郑重承诺，我单位无以下情形：</w:t>
      </w:r>
      <w:r/>
    </w:p>
    <w:p>
      <w:pPr>
        <w:pStyle w:val="955"/>
        <w:ind w:firstLine="420"/>
        <w:spacing w:line="300" w:lineRule="auto"/>
        <w:rPr>
          <w:rFonts w:hint="eastAsia"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55"/>
        <w:ind w:firstLine="420"/>
        <w:spacing w:line="300" w:lineRule="auto"/>
        <w:rPr>
          <w:rFonts w:hint="eastAsia"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55"/>
        <w:ind w:firstLine="420"/>
        <w:spacing w:line="300" w:lineRule="auto"/>
        <w:rPr>
          <w:rFonts w:hint="eastAsia"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55"/>
        <w:ind w:firstLine="420"/>
        <w:spacing w:line="300" w:lineRule="auto"/>
        <w:rPr>
          <w:rFonts w:hint="eastAsia"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55"/>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68" w:name="_Toc102117326"/>
      <w:r/>
      <w:bookmarkStart w:id="369"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before="0" w:line="300" w:lineRule="auto"/>
        <w:rPr>
          <w:rFonts w:ascii="Microsoft New Tai Lue" w:hAnsi="Microsoft New Tai Lue" w:cs="Microsoft New Tai Lue"/>
          <w:bCs w:val="0"/>
          <w:color w:val="auto"/>
          <w:sz w:val="24"/>
          <w:szCs w:val="24"/>
        </w:rPr>
      </w:pPr>
      <w:r/>
      <w:bookmarkStart w:id="370" w:name="_Toc104560911"/>
      <w:r/>
      <w:bookmarkStart w:id="371" w:name="_Toc107246291"/>
      <w:r>
        <w:rPr>
          <w:rFonts w:ascii="Microsoft New Tai Lue" w:hAnsi="Microsoft New Tai Lue" w:cs="Microsoft New Tai Lue"/>
          <w:bCs w:val="0"/>
          <w:color w:val="auto"/>
          <w:sz w:val="24"/>
          <w:szCs w:val="24"/>
        </w:rPr>
        <w:t xml:space="preserve">（7-8）</w:t>
      </w:r>
      <w:bookmarkEnd w:id="368"/>
      <w:r>
        <w:rPr>
          <w:rFonts w:ascii="Microsoft New Tai Lue" w:hAnsi="Microsoft New Tai Lue" w:cs="Microsoft New Tai Lue"/>
          <w:bCs w:val="0"/>
          <w:color w:val="auto"/>
          <w:sz w:val="24"/>
          <w:szCs w:val="24"/>
        </w:rPr>
        <w:t xml:space="preserve">招标文件要求的其它实质性资格资信证明文件</w:t>
      </w:r>
      <w:bookmarkEnd w:id="370"/>
      <w:r/>
      <w:bookmarkEnd w:id="371"/>
      <w:r/>
      <w:r/>
    </w:p>
    <w:p>
      <w:pPr>
        <w:pStyle w:val="913"/>
        <w:ind w:left="0"/>
        <w:spacing w:line="300" w:lineRule="auto"/>
        <w:rPr>
          <w:color w:val="auto"/>
        </w:rPr>
      </w:pPr>
      <w:r>
        <w:rPr>
          <w:color w:val="auto"/>
        </w:rPr>
      </w:r>
      <w:r/>
    </w:p>
    <w:p>
      <w:pPr>
        <w:pStyle w:val="931"/>
        <w:spacing w:before="0"/>
        <w:rPr>
          <w:rFonts w:ascii="Microsoft New Tai Lue" w:hAnsi="Microsoft New Tai Lue" w:cs="Microsoft New Tai Lue"/>
          <w:color w:val="auto"/>
          <w:szCs w:val="24"/>
        </w:rPr>
      </w:pPr>
      <w:r/>
      <w:bookmarkStart w:id="372" w:name="_Toc107246292"/>
      <w:r>
        <w:rPr>
          <w:rFonts w:ascii="Microsoft New Tai Lue" w:hAnsi="Microsoft New Tai Lue" w:cs="Microsoft New Tai Lue"/>
          <w:color w:val="auto"/>
          <w:szCs w:val="24"/>
        </w:rPr>
        <w:br w:type="page" w:clear="all"/>
      </w:r>
      <w:bookmarkEnd w:id="372"/>
      <w:r>
        <w:rPr>
          <w:rFonts w:hint="eastAsia" w:ascii="Microsoft New Tai Lue" w:hAnsi="Microsoft New Tai Lue" w:cs="Microsoft New Tai Lue"/>
          <w:bCs w:val="0"/>
          <w:color w:val="auto"/>
          <w:sz w:val="24"/>
          <w:szCs w:val="24"/>
          <w:lang w:eastAsia="zh-CN"/>
        </w:rPr>
        <w:t xml:space="preserve">（</w:t>
      </w:r>
      <w:r>
        <w:rPr>
          <w:rFonts w:hint="eastAsia" w:ascii="Microsoft New Tai Lue" w:hAnsi="Microsoft New Tai Lue" w:cs="Microsoft New Tai Lue"/>
          <w:bCs w:val="0"/>
          <w:color w:val="auto"/>
          <w:sz w:val="24"/>
          <w:szCs w:val="24"/>
          <w:lang w:val="en-US" w:eastAsia="zh-CN"/>
        </w:rPr>
        <w:t xml:space="preserve">8）</w:t>
      </w:r>
      <w:r>
        <w:rPr>
          <w:rFonts w:hint="eastAsia" w:ascii="Microsoft New Tai Lue" w:hAnsi="Microsoft New Tai Lue" w:cs="Microsoft New Tai Lue"/>
          <w:bCs w:val="0"/>
          <w:color w:val="auto"/>
          <w:sz w:val="24"/>
          <w:szCs w:val="24"/>
        </w:rPr>
        <w:t xml:space="preserve">《承诺书》（如需，格式自拟）</w:t>
      </w:r>
      <w:r/>
    </w:p>
    <w:p>
      <w:pPr>
        <w:ind w:left="703"/>
        <w:rPr>
          <w:color w:val="auto"/>
        </w:rPr>
      </w:pPr>
      <w:r>
        <w:rPr>
          <w:color w:val="auto"/>
        </w:rPr>
      </w:r>
      <w:r/>
    </w:p>
    <w:p>
      <w:pPr>
        <w:rPr>
          <w:rFonts w:hint="eastAsia" w:ascii="宋体" w:hAnsi="宋体"/>
          <w:color w:val="auto"/>
          <w:sz w:val="24"/>
          <w:szCs w:val="24"/>
        </w:rPr>
      </w:pPr>
      <w:r>
        <w:rPr>
          <w:rFonts w:hint="eastAsia" w:ascii="宋体" w:hAnsi="宋体"/>
          <w:color w:val="auto"/>
          <w:sz w:val="24"/>
          <w:szCs w:val="24"/>
        </w:rPr>
        <w:br w:type="page" w:clear="all"/>
      </w:r>
      <w:r/>
    </w:p>
    <w:p>
      <w:pPr>
        <w:pStyle w:val="931"/>
        <w:jc w:val="left"/>
        <w:spacing w:before="120" w:after="120" w:line="440" w:lineRule="exact"/>
        <w:tabs>
          <w:tab w:val="left" w:pos="588" w:leader="none"/>
        </w:tabs>
        <w:rPr>
          <w:rFonts w:hint="eastAsia" w:ascii="宋体" w:hAnsi="宋体"/>
          <w:color w:val="auto"/>
          <w:sz w:val="24"/>
          <w:szCs w:val="24"/>
        </w:rPr>
      </w:pPr>
      <w:r>
        <w:rPr>
          <w:rFonts w:hint="eastAsia" w:ascii="宋体" w:hAnsi="宋体"/>
          <w:color w:val="auto"/>
          <w:sz w:val="24"/>
          <w:szCs w:val="24"/>
        </w:rPr>
        <w:t xml:space="preserve">投标人关联关系单位披露表</w:t>
      </w:r>
      <w:r/>
    </w:p>
    <w:p>
      <w:pPr>
        <w:pStyle w:val="942"/>
        <w:rPr>
          <w:rFonts w:hint="eastAsia"/>
          <w:color w:val="auto"/>
        </w:rPr>
      </w:pPr>
      <w:r>
        <w:rPr>
          <w:rFonts w:hint="eastAsia"/>
          <w:color w:val="auto"/>
        </w:rPr>
      </w:r>
      <w:r/>
    </w:p>
    <w:p>
      <w:pPr>
        <w:jc w:val="center"/>
        <w:rPr>
          <w:rFonts w:hint="eastAsia" w:ascii="宋体" w:hAnsi="宋体"/>
          <w:b/>
          <w:color w:val="auto"/>
          <w:sz w:val="24"/>
          <w:szCs w:val="21"/>
        </w:rPr>
      </w:pPr>
      <w:r/>
      <w:bookmarkStart w:id="373" w:name="_Toc112660586"/>
      <w:r/>
      <w:bookmarkStart w:id="374" w:name="_Toc19238"/>
      <w:r/>
      <w:bookmarkStart w:id="375" w:name="_Toc113285650"/>
      <w:r/>
      <w:bookmarkStart w:id="376" w:name="_Toc8345"/>
      <w:r/>
      <w:bookmarkStart w:id="377" w:name="_Toc113285532"/>
      <w:r/>
      <w:bookmarkStart w:id="378" w:name="_Toc112144148"/>
      <w:r/>
      <w:bookmarkStart w:id="379" w:name="_Toc112660690"/>
      <w:r/>
      <w:bookmarkStart w:id="380" w:name="_Toc1816"/>
      <w:r/>
      <w:bookmarkStart w:id="381" w:name="_Toc27138"/>
      <w:r/>
      <w:bookmarkStart w:id="382" w:name="_Toc112164761"/>
      <w:r/>
      <w:bookmarkStart w:id="383" w:name="_Toc112164878"/>
      <w:r>
        <w:rPr>
          <w:rFonts w:hint="eastAsia" w:ascii="宋体" w:hAnsi="宋体"/>
          <w:b/>
          <w:color w:val="auto"/>
          <w:sz w:val="24"/>
          <w:szCs w:val="21"/>
        </w:rPr>
        <w:t xml:space="preserve">投标人关联关系单位披露表</w:t>
      </w:r>
      <w:bookmarkEnd w:id="373"/>
      <w:r/>
      <w:bookmarkEnd w:id="374"/>
      <w:r/>
      <w:bookmarkEnd w:id="375"/>
      <w:r/>
      <w:bookmarkEnd w:id="376"/>
      <w:r/>
      <w:bookmarkEnd w:id="377"/>
      <w:r/>
      <w:bookmarkEnd w:id="378"/>
      <w:r/>
      <w:bookmarkEnd w:id="379"/>
      <w:r/>
      <w:bookmarkEnd w:id="380"/>
      <w:r/>
      <w:bookmarkEnd w:id="381"/>
      <w:r/>
      <w:bookmarkEnd w:id="382"/>
      <w:r/>
      <w:bookmarkEnd w:id="383"/>
      <w:r/>
      <w:r/>
    </w:p>
    <w:tbl>
      <w:tblPr>
        <w:tblStyle w:val="90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w:t>
            </w:r>
            <w:r/>
          </w:p>
          <w:p>
            <w:pPr>
              <w:jc w:val="center"/>
              <w:rPr>
                <w:rFonts w:hint="eastAsia"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hint="eastAsia"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r>
    </w:tbl>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spacing w:line="600" w:lineRule="auto"/>
        <w:rPr>
          <w:rFonts w:hint="eastAsia"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hint="eastAsia" w:ascii="宋体" w:hAnsi="宋体"/>
          <w:color w:val="auto"/>
          <w:szCs w:val="21"/>
          <w:u w:val="single"/>
        </w:rPr>
      </w:pPr>
      <w:r>
        <w:rPr>
          <w:rFonts w:hint="eastAsia" w:ascii="宋体" w:hAnsi="宋体"/>
          <w:color w:val="auto"/>
          <w:szCs w:val="21"/>
          <w:u w:val="single"/>
        </w:rPr>
      </w:r>
      <w:r/>
    </w:p>
    <w:p>
      <w:pPr>
        <w:jc w:val="left"/>
        <w:spacing w:line="600" w:lineRule="auto"/>
        <w:rPr>
          <w:rFonts w:hint="eastAsia"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93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4" w:name="_Toc104560912"/>
      <w:r/>
      <w:bookmarkStart w:id="385" w:name="_Toc107246293"/>
      <w:r>
        <w:rPr>
          <w:rFonts w:ascii="Microsoft New Tai Lue" w:hAnsi="Microsoft New Tai Lue" w:cs="Microsoft New Tai Lue"/>
          <w:bCs w:val="0"/>
          <w:color w:val="auto"/>
          <w:sz w:val="24"/>
          <w:szCs w:val="24"/>
        </w:rPr>
        <w:t xml:space="preserve">（9）投标保证金（如需）</w:t>
      </w:r>
      <w:bookmarkEnd w:id="369"/>
      <w:r/>
      <w:bookmarkEnd w:id="384"/>
      <w:r/>
      <w:bookmarkEnd w:id="385"/>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90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90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90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948"/>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948"/>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929"/>
        <w:spacing w:line="360" w:lineRule="exact"/>
        <w:rPr>
          <w:rFonts w:ascii="Times New Roman" w:hAnsi="Times New Roman"/>
          <w:b/>
          <w:bCs/>
          <w:color w:val="auto"/>
        </w:rPr>
      </w:pPr>
      <w:r>
        <w:rPr>
          <w:rFonts w:ascii="Times New Roman" w:hAnsi="Times New Roman"/>
          <w:b/>
          <w:bCs/>
          <w:color w:val="auto"/>
        </w:rPr>
        <w:t xml:space="preserve">注：</w:t>
      </w:r>
      <w:r/>
    </w:p>
    <w:p>
      <w:pPr>
        <w:pStyle w:val="929"/>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931"/>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86" w:name="_Toc102117332"/>
      <w:r/>
      <w:bookmarkStart w:id="387" w:name="_Toc104560913"/>
      <w:r/>
      <w:bookmarkStart w:id="388" w:name="_Toc107246294"/>
      <w:r/>
      <w:bookmarkStart w:id="389" w:name="_Toc103848597"/>
      <w:r>
        <w:rPr>
          <w:rFonts w:ascii="Microsoft New Tai Lue" w:hAnsi="Microsoft New Tai Lue" w:cs="Microsoft New Tai Lue"/>
          <w:color w:val="auto"/>
          <w:sz w:val="24"/>
          <w:szCs w:val="24"/>
        </w:rPr>
        <w:t xml:space="preserve">（10）联合体协议书</w:t>
      </w:r>
      <w:bookmarkEnd w:id="386"/>
      <w:r/>
      <w:bookmarkEnd w:id="387"/>
      <w:r/>
      <w:bookmarkEnd w:id="388"/>
      <w:r/>
      <w:bookmarkEnd w:id="389"/>
      <w:r>
        <w:rPr>
          <w:rFonts w:hint="eastAsia" w:ascii="Microsoft New Tai Lue" w:hAnsi="Microsoft New Tai Lue" w:cs="Microsoft New Tai Lue"/>
          <w:color w:val="auto"/>
          <w:sz w:val="24"/>
          <w:szCs w:val="24"/>
        </w:rPr>
        <w:t xml:space="preserve">（本项目不适用）</w:t>
      </w:r>
      <w:r/>
    </w:p>
    <w:p>
      <w:pPr>
        <w:ind w:firstLine="420"/>
        <w:spacing w:line="276" w:lineRule="auto"/>
        <w:rPr>
          <w:rFonts w:hint="eastAsia"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hint="eastAsia"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910"/>
        <w:ind w:right="694" w:firstLine="420"/>
        <w:spacing w:before="71" w:line="276" w:lineRule="auto"/>
        <w:rPr>
          <w:rFonts w:hint="eastAsia"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910"/>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910"/>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910"/>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0"/>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10"/>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jc w:val="center"/>
        <w:rPr>
          <w:rFonts w:hint="eastAsia" w:ascii="仿宋_GB2312" w:hAnsi="仿宋" w:eastAsia="仿宋_GB2312" w:cs="仿宋_GB2312"/>
          <w:b w:val="0"/>
          <w:color w:val="auto"/>
        </w:rPr>
      </w:pPr>
      <w:r>
        <w:rPr>
          <w:color w:val="auto"/>
        </w:rPr>
        <w:br w:type="page" w:clear="all"/>
      </w:r>
      <w:bookmarkStart w:id="390" w:name="_Toc107246295"/>
      <w:r/>
      <w:bookmarkStart w:id="391" w:name="_Toc104560914"/>
      <w:r/>
      <w:bookmarkStart w:id="392" w:name="_Toc96347919"/>
      <w:r/>
      <w:bookmarkStart w:id="393" w:name="_Toc103848598"/>
      <w:r/>
      <w:bookmarkStart w:id="394" w:name="_Toc102117330"/>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90"/>
      <w:r/>
      <w:bookmarkEnd w:id="391"/>
      <w:r/>
      <w:bookmarkEnd w:id="392"/>
      <w:r/>
      <w:r/>
    </w:p>
    <w:p>
      <w:pPr>
        <w:ind w:firstLine="576"/>
        <w:spacing w:line="300" w:lineRule="auto"/>
        <w:rPr>
          <w:rFonts w:hint="eastAsia" w:ascii="宋体" w:hAnsi="宋体" w:cs="仿宋_GB2312"/>
          <w:color w:val="auto"/>
          <w:szCs w:val="21"/>
        </w:rPr>
      </w:pPr>
      <w:r>
        <w:rPr>
          <w:rFonts w:hint="eastAsia" w:ascii="宋体" w:hAnsi="宋体" w:cs="仿宋_GB2312"/>
          <w:color w:val="auto"/>
          <w:szCs w:val="21"/>
        </w:rPr>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hint="eastAsia" w:ascii="宋体" w:hAnsi="宋体"/>
          <w:color w:val="auto"/>
          <w:szCs w:val="21"/>
        </w:rPr>
      </w:pPr>
      <w:r>
        <w:rPr>
          <w:rFonts w:hint="eastAsia" w:ascii="宋体" w:hAnsi="宋体"/>
          <w:color w:val="auto"/>
          <w:szCs w:val="21"/>
        </w:rPr>
        <w:t xml:space="preserve">……</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hint="eastAsia" w:ascii="宋体" w:hAnsi="宋体"/>
          <w:color w:val="auto"/>
          <w:szCs w:val="21"/>
          <w:u w:val="single"/>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hint="eastAsia"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hint="eastAsia" w:ascii="宋体" w:hAnsi="宋体" w:cs="仿宋_GB2312"/>
          <w:color w:val="auto"/>
          <w:szCs w:val="21"/>
          <w:lang w:val="zh-CN"/>
        </w:rPr>
      </w:pPr>
      <w:r>
        <w:rPr>
          <w:rFonts w:ascii="宋体" w:hAnsi="宋体" w:cs="仿宋_GB2312"/>
          <w:color w:val="auto"/>
          <w:szCs w:val="21"/>
          <w:lang w:val="zh-CN"/>
        </w:rPr>
        <w:t xml:space="preserve"> </w:t>
      </w:r>
      <w:r/>
    </w:p>
    <w:p>
      <w:pPr>
        <w:pStyle w:val="955"/>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hint="eastAsia"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jc w:val="center"/>
        <w:rPr>
          <w:rFonts w:ascii="Microsoft New Tai Lue" w:hAnsi="Microsoft New Tai Lue" w:cs="Microsoft New Tai Lue"/>
          <w:b w:val="0"/>
          <w:color w:val="auto"/>
          <w:szCs w:val="24"/>
        </w:rPr>
      </w:pPr>
      <w:r>
        <w:rPr>
          <w:color w:val="auto"/>
        </w:rPr>
        <w:br w:type="page" w:clear="all"/>
      </w:r>
      <w:bookmarkStart w:id="395" w:name="_Toc104560915"/>
      <w:r/>
      <w:bookmarkStart w:id="396" w:name="_Toc107246296"/>
      <w:r>
        <w:rPr>
          <w:rFonts w:ascii="Microsoft New Tai Lue" w:hAnsi="Microsoft New Tai Lue" w:cs="Microsoft New Tai Lue"/>
          <w:color w:val="auto"/>
          <w:szCs w:val="24"/>
        </w:rPr>
        <w:t xml:space="preserve">（12）公章授权书（如需）</w:t>
      </w:r>
      <w:bookmarkEnd w:id="393"/>
      <w:r/>
      <w:bookmarkEnd w:id="394"/>
      <w:r/>
      <w:bookmarkEnd w:id="395"/>
      <w:r/>
      <w:bookmarkEnd w:id="396"/>
      <w:r/>
      <w:r/>
    </w:p>
    <w:p>
      <w:pPr>
        <w:pStyle w:val="955"/>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955"/>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955"/>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955"/>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hint="eastAsia" w:ascii="宋体" w:hAnsi="宋体"/>
          <w:color w:val="auto"/>
        </w:rPr>
      </w:pPr>
      <w:r>
        <w:rPr>
          <w:color w:val="auto"/>
        </w:rPr>
        <w:br w:type="page" w:clear="all"/>
      </w:r>
      <w:r/>
    </w:p>
    <w:p>
      <w:pPr>
        <w:pStyle w:val="913"/>
        <w:ind w:left="0"/>
        <w:rPr>
          <w:color w:val="auto"/>
        </w:rPr>
      </w:pPr>
      <w:r>
        <w:rPr>
          <w:color w:val="auto"/>
        </w:rPr>
      </w:r>
      <w:r/>
    </w:p>
    <w:p>
      <w:pPr>
        <w:pStyle w:val="931"/>
        <w:rPr>
          <w:rFonts w:ascii="Microsoft New Tai Lue" w:hAnsi="Microsoft New Tai Lue" w:cs="Microsoft New Tai Lue"/>
          <w:color w:val="auto"/>
          <w:sz w:val="24"/>
          <w:szCs w:val="24"/>
        </w:rPr>
      </w:pPr>
      <w:r/>
      <w:bookmarkStart w:id="397" w:name="_Toc104560916"/>
      <w:r/>
      <w:bookmarkStart w:id="398" w:name="_Toc103848599"/>
      <w:r/>
      <w:bookmarkStart w:id="399" w:name="_Toc107246299"/>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97"/>
      <w:r/>
      <w:bookmarkEnd w:id="398"/>
      <w:r/>
      <w:bookmarkEnd w:id="399"/>
      <w:r/>
      <w:r/>
    </w:p>
    <w:p>
      <w:pPr>
        <w:pStyle w:val="931"/>
        <w:spacing w:before="0"/>
        <w:rPr>
          <w:rFonts w:hint="eastAsia"/>
          <w:color w:val="auto"/>
        </w:rPr>
      </w:pPr>
      <w:r/>
      <w:bookmarkStart w:id="400" w:name="_Toc107246300"/>
      <w:r/>
      <w:bookmarkStart w:id="401" w:name="_Toc103848600"/>
      <w:r/>
      <w:bookmarkStart w:id="402" w:name="_Toc104560917"/>
      <w:r>
        <w:rPr>
          <w:rFonts w:ascii="Microsoft New Tai Lue" w:hAnsi="Microsoft New Tai Lue" w:cs="Microsoft New Tai Lue"/>
          <w:bCs w:val="0"/>
          <w:color w:val="auto"/>
          <w:sz w:val="24"/>
          <w:szCs w:val="24"/>
        </w:rPr>
        <w:t xml:space="preserve">（1）技术方案或服务方案</w:t>
      </w:r>
      <w:bookmarkEnd w:id="400"/>
      <w:r/>
      <w:bookmarkEnd w:id="401"/>
      <w:r/>
      <w:bookmarkEnd w:id="402"/>
      <w:r>
        <w:rPr>
          <w:color w:val="auto"/>
        </w:rPr>
        <w:t xml:space="preserve"> </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before="0"/>
        <w:rPr>
          <w:rFonts w:ascii="Microsoft New Tai Lue" w:hAnsi="Microsoft New Tai Lue" w:cs="Microsoft New Tai Lue"/>
          <w:bCs w:val="0"/>
          <w:color w:val="auto"/>
          <w:sz w:val="24"/>
          <w:szCs w:val="24"/>
        </w:rPr>
      </w:pPr>
      <w:r/>
      <w:bookmarkStart w:id="403" w:name="_Toc107246301"/>
      <w:r/>
      <w:bookmarkStart w:id="404" w:name="_Toc103848601"/>
      <w:r/>
      <w:bookmarkStart w:id="405" w:name="_Toc104560918"/>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403"/>
      <w:r/>
      <w:bookmarkEnd w:id="404"/>
      <w:r/>
      <w:bookmarkEnd w:id="405"/>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29"/>
        <w:spacing w:line="300" w:lineRule="auto"/>
        <w:rPr>
          <w:rFonts w:ascii="Times New Roman" w:hAnsi="Times New Roman"/>
          <w:b/>
          <w:bCs/>
          <w:color w:val="auto"/>
        </w:rPr>
      </w:pPr>
      <w:r>
        <w:rPr>
          <w:rFonts w:ascii="Times New Roman" w:hAnsi="Times New Roman"/>
          <w:b/>
          <w:bCs/>
          <w:color w:val="auto"/>
        </w:rPr>
        <w:t xml:space="preserve">注：</w:t>
      </w:r>
      <w:r/>
    </w:p>
    <w:p>
      <w:pPr>
        <w:pStyle w:val="929"/>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929"/>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929"/>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55"/>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55"/>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3"/>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406" w:name="_Toc108109561"/>
      <w:r>
        <w:rPr>
          <w:rFonts w:ascii="Microsoft New Tai Lue" w:hAnsi="Microsoft New Tai Lue" w:cs="Microsoft New Tai Lue"/>
          <w:color w:val="auto"/>
          <w:sz w:val="24"/>
        </w:rPr>
        <w:br w:type="page" w:clear="all"/>
      </w:r>
      <w:r/>
    </w:p>
    <w:p>
      <w:pPr>
        <w:pStyle w:val="896"/>
        <w:jc w:val="center"/>
        <w:keepLines w:val="0"/>
        <w:keepNext w:val="0"/>
        <w:spacing w:line="400" w:lineRule="exact"/>
        <w:rPr>
          <w:rFonts w:hint="eastAsia"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406"/>
      <w:r/>
      <w:r/>
    </w:p>
    <w:p>
      <w:pPr>
        <w:pStyle w:val="955"/>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955"/>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931"/>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407" w:name="_Toc103848602"/>
      <w:r/>
      <w:bookmarkStart w:id="408" w:name="_Toc104560919"/>
      <w:r/>
      <w:bookmarkStart w:id="409" w:name="_Toc107246302"/>
      <w:r>
        <w:rPr>
          <w:rFonts w:ascii="Microsoft New Tai Lue" w:hAnsi="Microsoft New Tai Lue" w:cs="Microsoft New Tai Lue"/>
          <w:bCs w:val="0"/>
          <w:color w:val="auto"/>
          <w:sz w:val="24"/>
          <w:szCs w:val="24"/>
        </w:rPr>
        <w:t xml:space="preserve">（3）投标人承诺</w:t>
      </w:r>
      <w:bookmarkEnd w:id="407"/>
      <w:r/>
      <w:bookmarkEnd w:id="408"/>
      <w:r>
        <w:rPr>
          <w:rFonts w:hint="eastAsia" w:ascii="Microsoft New Tai Lue" w:hAnsi="Microsoft New Tai Lue" w:cs="Microsoft New Tai Lue"/>
          <w:bCs w:val="0"/>
          <w:color w:val="auto"/>
          <w:sz w:val="24"/>
          <w:szCs w:val="24"/>
        </w:rPr>
        <w:t xml:space="preserve">书（如需）</w:t>
      </w:r>
      <w:bookmarkEnd w:id="409"/>
      <w:r/>
      <w:r/>
    </w:p>
    <w:p>
      <w:pPr>
        <w:rPr>
          <w:color w:val="auto"/>
        </w:rPr>
      </w:pPr>
      <w:r>
        <w:rPr>
          <w:color w:val="auto"/>
        </w:rPr>
      </w:r>
      <w:r/>
    </w:p>
    <w:p>
      <w:pPr>
        <w:pStyle w:val="913"/>
        <w:ind w:left="1260"/>
        <w:spacing w:line="360" w:lineRule="auto"/>
        <w:rPr>
          <w:color w:val="auto"/>
        </w:rPr>
      </w:pPr>
      <w:r>
        <w:rPr>
          <w:color w:val="auto"/>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w:t>
      </w:r>
      <w:r/>
    </w:p>
    <w:p>
      <w:pPr>
        <w:pStyle w:val="913"/>
        <w:ind w:left="0"/>
        <w:rPr>
          <w:color w:val="auto"/>
          <w:sz w:val="21"/>
          <w:szCs w:val="21"/>
        </w:rPr>
      </w:pPr>
      <w:r>
        <w:rPr>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913"/>
        <w:ind w:left="1260"/>
        <w:rPr>
          <w:color w:val="auto"/>
        </w:rPr>
      </w:pPr>
      <w:r>
        <w:rPr>
          <w:color w:val="auto"/>
        </w:rPr>
      </w:r>
      <w:r/>
    </w:p>
    <w:p>
      <w:pPr>
        <w:pStyle w:val="913"/>
        <w:ind w:left="1260"/>
        <w:rPr>
          <w:color w:val="auto"/>
        </w:rPr>
      </w:pPr>
      <w:r>
        <w:rPr>
          <w:color w:val="auto"/>
        </w:rPr>
      </w:r>
      <w:r/>
    </w:p>
    <w:p>
      <w:pPr>
        <w:pStyle w:val="93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410" w:name="_Toc103848603"/>
      <w:r/>
      <w:bookmarkStart w:id="411" w:name="_Toc104560920"/>
      <w:r/>
      <w:bookmarkStart w:id="412" w:name="_Toc107246303"/>
      <w:r>
        <w:rPr>
          <w:rFonts w:ascii="Microsoft New Tai Lue" w:hAnsi="Microsoft New Tai Lue" w:cs="Microsoft New Tai Lue"/>
          <w:bCs w:val="0"/>
          <w:color w:val="auto"/>
          <w:sz w:val="24"/>
          <w:szCs w:val="24"/>
        </w:rPr>
        <w:t xml:space="preserve">（4）用于本项目人员简历表</w:t>
      </w:r>
      <w:bookmarkEnd w:id="410"/>
      <w:r/>
      <w:bookmarkEnd w:id="411"/>
      <w:r>
        <w:rPr>
          <w:rFonts w:hint="eastAsia" w:ascii="Microsoft New Tai Lue" w:hAnsi="Microsoft New Tai Lue" w:cs="Microsoft New Tai Lue"/>
          <w:bCs w:val="0"/>
          <w:color w:val="auto"/>
          <w:sz w:val="24"/>
          <w:szCs w:val="24"/>
        </w:rPr>
        <w:t xml:space="preserve">（如需）</w:t>
      </w:r>
      <w:bookmarkEnd w:id="412"/>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55"/>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55"/>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55"/>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before="0"/>
        <w:rPr>
          <w:rFonts w:ascii="Microsoft New Tai Lue" w:hAnsi="Microsoft New Tai Lue" w:cs="Microsoft New Tai Lue"/>
          <w:color w:val="auto"/>
        </w:rPr>
      </w:pPr>
      <w:r/>
      <w:bookmarkStart w:id="413" w:name="_Toc104560921"/>
      <w:r/>
      <w:bookmarkStart w:id="414" w:name="_Toc103848604"/>
      <w:r/>
      <w:bookmarkStart w:id="415" w:name="_Toc107246304"/>
      <w:r>
        <w:rPr>
          <w:rFonts w:ascii="Microsoft New Tai Lue" w:hAnsi="Microsoft New Tai Lue" w:cs="Microsoft New Tai Lue"/>
          <w:bCs w:val="0"/>
          <w:color w:val="auto"/>
          <w:sz w:val="24"/>
          <w:szCs w:val="24"/>
        </w:rPr>
        <w:t xml:space="preserve">（5）投标标的物符合招标文件规定的证明文件</w:t>
      </w:r>
      <w:bookmarkEnd w:id="413"/>
      <w:r/>
      <w:bookmarkEnd w:id="414"/>
      <w:r>
        <w:rPr>
          <w:rFonts w:hint="eastAsia" w:ascii="Microsoft New Tai Lue" w:hAnsi="Microsoft New Tai Lue" w:cs="Microsoft New Tai Lue"/>
          <w:bCs w:val="0"/>
          <w:color w:val="auto"/>
          <w:sz w:val="24"/>
          <w:szCs w:val="24"/>
        </w:rPr>
        <w:t xml:space="preserve">（如需）</w:t>
      </w:r>
      <w:bookmarkEnd w:id="415"/>
      <w:r/>
      <w:r/>
    </w:p>
    <w:p>
      <w:pPr>
        <w:pStyle w:val="955"/>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r/>
    </w:p>
    <w:p>
      <w:pPr>
        <w:rPr>
          <w:rFonts w:ascii="Microsoft New Tai Lue" w:hAnsi="Microsoft New Tai Lue" w:cs="Microsoft New Tai Lue"/>
          <w:b/>
          <w:color w:val="auto"/>
        </w:rPr>
      </w:pPr>
      <w:r>
        <w:rPr>
          <w:rFonts w:ascii="Microsoft New Tai Lue" w:hAnsi="Microsoft New Tai Lue" w:cs="Microsoft New Tai Lue"/>
          <w:b/>
          <w:color w:val="auto"/>
        </w:rPr>
      </w:r>
      <w:bookmarkEnd w:id="319"/>
      <w:r/>
      <w:r/>
    </w:p>
    <w:p>
      <w:pPr>
        <w:pStyle w:val="931"/>
        <w:rPr>
          <w:rFonts w:ascii="Microsoft New Tai Lue" w:hAnsi="Microsoft New Tai Lue" w:cs="Microsoft New Tai Lue"/>
          <w:color w:val="auto"/>
        </w:rPr>
      </w:pPr>
      <w:r/>
      <w:bookmarkStart w:id="416" w:name="_Toc96347904"/>
      <w:r>
        <w:rPr>
          <w:rFonts w:ascii="Microsoft New Tai Lue" w:hAnsi="Microsoft New Tai Lue" w:cs="Microsoft New Tai Lue"/>
          <w:color w:val="auto"/>
        </w:rPr>
        <w:br w:type="page" w:clear="all"/>
      </w:r>
      <w:bookmarkStart w:id="417" w:name="_Toc104560922"/>
      <w:r/>
      <w:bookmarkStart w:id="418" w:name="_Toc107246305"/>
      <w:r/>
      <w:bookmarkStart w:id="419" w:name="_Toc103848605"/>
      <w:r/>
      <w:bookmarkStart w:id="420"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417"/>
      <w:r/>
      <w:bookmarkEnd w:id="418"/>
      <w:r/>
      <w:bookmarkEnd w:id="419"/>
      <w:r/>
      <w:r/>
    </w:p>
    <w:p>
      <w:pPr>
        <w:pStyle w:val="931"/>
        <w:spacing w:before="0" w:line="300" w:lineRule="auto"/>
        <w:rPr>
          <w:rFonts w:ascii="Microsoft New Tai Lue" w:hAnsi="Microsoft New Tai Lue" w:cs="Microsoft New Tai Lue"/>
          <w:bCs w:val="0"/>
          <w:color w:val="auto"/>
          <w:sz w:val="24"/>
          <w:szCs w:val="24"/>
        </w:rPr>
      </w:pPr>
      <w:r/>
      <w:bookmarkStart w:id="421" w:name="_Toc107246306"/>
      <w:r/>
      <w:bookmarkStart w:id="422" w:name="_Toc104560923"/>
      <w:r/>
      <w:bookmarkStart w:id="423" w:name="_Toc103848606"/>
      <w:r>
        <w:rPr>
          <w:rFonts w:ascii="Microsoft New Tai Lue" w:hAnsi="Microsoft New Tai Lue" w:cs="Microsoft New Tai Lue"/>
          <w:bCs w:val="0"/>
          <w:color w:val="auto"/>
          <w:sz w:val="24"/>
          <w:szCs w:val="24"/>
        </w:rPr>
        <w:t xml:space="preserve">（1）提供符合政府采购政策的证明材料</w:t>
      </w:r>
      <w:bookmarkEnd w:id="420"/>
      <w:r/>
      <w:bookmarkEnd w:id="421"/>
      <w:r/>
      <w:bookmarkEnd w:id="422"/>
      <w:r/>
      <w:bookmarkEnd w:id="423"/>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955"/>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7"/>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auto"/>
          <w:szCs w:val="21"/>
        </w:rPr>
        <w:br w:type="page" w:clear="all"/>
      </w:r>
      <w:bookmarkEnd w:id="416"/>
      <w:r/>
      <w:r/>
    </w:p>
    <w:p>
      <w:pPr>
        <w:pStyle w:val="916"/>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938"/>
          <w:rFonts w:hint="eastAsia"/>
          <w:b/>
          <w:color w:val="auto"/>
          <w:sz w:val="21"/>
          <w:szCs w:val="21"/>
        </w:rPr>
        <w:t xml:space="preserve">（产品名称1）</w:t>
      </w:r>
      <w:r>
        <w:rPr>
          <w:rStyle w:val="938"/>
          <w:rFonts w:hint="eastAsia"/>
          <w:b/>
          <w:color w:val="auto"/>
          <w:sz w:val="21"/>
          <w:szCs w:val="21"/>
          <w:vertAlign w:val="superscript"/>
        </w:rPr>
        <w:t xml:space="preserve">1</w:t>
      </w:r>
      <w:r>
        <w:rPr>
          <w:rFonts w:hint="eastAsia"/>
          <w:b/>
          <w:color w:val="auto"/>
          <w:sz w:val="21"/>
          <w:szCs w:val="21"/>
        </w:rPr>
        <w:t xml:space="preserve">，生产厂为</w:t>
      </w:r>
      <w:r>
        <w:rPr>
          <w:rStyle w:val="938"/>
          <w:rFonts w:hint="eastAsia"/>
          <w:b/>
          <w:color w:val="auto"/>
          <w:sz w:val="21"/>
          <w:szCs w:val="21"/>
        </w:rPr>
        <w:t xml:space="preserve">（厂名）</w:t>
      </w:r>
      <w:r>
        <w:rPr>
          <w:rStyle w:val="938"/>
          <w:rFonts w:hint="eastAsia"/>
          <w:b/>
          <w:color w:val="auto"/>
          <w:sz w:val="21"/>
          <w:szCs w:val="21"/>
          <w:vertAlign w:val="superscript"/>
        </w:rPr>
        <w:t xml:space="preserve">2</w:t>
      </w:r>
      <w:r>
        <w:rPr>
          <w:rFonts w:hint="eastAsia"/>
          <w:b/>
          <w:color w:val="auto"/>
          <w:sz w:val="21"/>
          <w:szCs w:val="21"/>
        </w:rPr>
        <w:t xml:space="preserve">，厂址为</w:t>
      </w:r>
      <w:r>
        <w:rPr>
          <w:rStyle w:val="938"/>
          <w:rFonts w:hint="eastAsia"/>
          <w:b/>
          <w:color w:val="auto"/>
          <w:sz w:val="21"/>
          <w:szCs w:val="21"/>
        </w:rPr>
        <w:t xml:space="preserve">（生产厂址）</w:t>
      </w:r>
      <w:r>
        <w:rPr>
          <w:rFonts w:hint="eastAsia"/>
          <w:b/>
          <w:color w:val="auto"/>
          <w:sz w:val="21"/>
          <w:szCs w:val="21"/>
        </w:rPr>
        <w:t xml:space="preserve">。</w:t>
      </w:r>
      <w:r>
        <w:rPr>
          <w:rStyle w:val="938"/>
          <w:rFonts w:hint="eastAsia"/>
          <w:b/>
          <w:color w:val="auto"/>
          <w:sz w:val="21"/>
          <w:szCs w:val="21"/>
        </w:rPr>
        <w:t xml:space="preserve">（产品名称1）</w:t>
      </w:r>
      <w:r>
        <w:rPr>
          <w:rFonts w:hint="eastAsia"/>
          <w:b/>
          <w:color w:val="auto"/>
          <w:sz w:val="21"/>
          <w:szCs w:val="21"/>
        </w:rPr>
        <w:t xml:space="preserve">的中国境内生产的组件成本占比≥</w:t>
      </w:r>
      <w:r>
        <w:rPr>
          <w:rStyle w:val="938"/>
          <w:rFonts w:hint="eastAsia"/>
          <w:b/>
          <w:color w:val="auto"/>
          <w:sz w:val="21"/>
          <w:szCs w:val="21"/>
        </w:rPr>
        <w:t xml:space="preserve">（规定比例）</w:t>
      </w:r>
      <w:r>
        <w:rPr>
          <w:rStyle w:val="938"/>
          <w:rFonts w:hint="eastAsia"/>
          <w:b/>
          <w:color w:val="auto"/>
          <w:sz w:val="21"/>
          <w:szCs w:val="21"/>
          <w:vertAlign w:val="superscript"/>
        </w:rPr>
        <w:t xml:space="preserve">3</w:t>
      </w:r>
      <w:r>
        <w:rPr>
          <w:rFonts w:hint="eastAsia"/>
          <w:b/>
          <w:color w:val="auto"/>
          <w:sz w:val="21"/>
          <w:szCs w:val="21"/>
        </w:rPr>
        <w:t xml:space="preserve">。</w:t>
      </w:r>
      <w:r>
        <w:rPr>
          <w:rStyle w:val="938"/>
          <w:rFonts w:hint="eastAsia"/>
          <w:b/>
          <w:color w:val="auto"/>
          <w:sz w:val="21"/>
          <w:szCs w:val="21"/>
        </w:rPr>
        <w:t xml:space="preserve">（产品名称1）</w:t>
      </w:r>
      <w:r>
        <w:rPr>
          <w:rFonts w:hint="eastAsia"/>
          <w:b/>
          <w:color w:val="auto"/>
          <w:sz w:val="21"/>
          <w:szCs w:val="21"/>
        </w:rPr>
        <w:t xml:space="preserve">的</w:t>
      </w:r>
      <w:r>
        <w:rPr>
          <w:rStyle w:val="938"/>
          <w:rFonts w:hint="eastAsia"/>
          <w:b/>
          <w:color w:val="auto"/>
          <w:sz w:val="21"/>
          <w:szCs w:val="21"/>
        </w:rPr>
        <w:t xml:space="preserve">（关键组件）</w:t>
      </w:r>
      <w:r>
        <w:rPr>
          <w:rStyle w:val="938"/>
          <w:rFonts w:hint="eastAsia"/>
          <w:b/>
          <w:color w:val="auto"/>
          <w:sz w:val="21"/>
          <w:szCs w:val="21"/>
          <w:vertAlign w:val="superscript"/>
        </w:rPr>
        <w:t xml:space="preserve">4</w:t>
      </w:r>
      <w:r>
        <w:rPr>
          <w:rFonts w:hint="eastAsia"/>
          <w:b/>
          <w:color w:val="auto"/>
          <w:sz w:val="21"/>
          <w:szCs w:val="21"/>
        </w:rPr>
        <w:t xml:space="preserve">在中国境内生产。</w:t>
      </w:r>
      <w:r>
        <w:rPr>
          <w:rStyle w:val="938"/>
          <w:rFonts w:hint="eastAsia"/>
          <w:b/>
          <w:color w:val="auto"/>
          <w:sz w:val="21"/>
          <w:szCs w:val="21"/>
        </w:rPr>
        <w:t xml:space="preserve">（产品名称1）</w:t>
      </w:r>
      <w:r>
        <w:rPr>
          <w:rFonts w:hint="eastAsia"/>
          <w:b/>
          <w:color w:val="auto"/>
          <w:sz w:val="21"/>
          <w:szCs w:val="21"/>
        </w:rPr>
        <w:t xml:space="preserve">的</w:t>
      </w:r>
      <w:r>
        <w:rPr>
          <w:rStyle w:val="938"/>
          <w:rFonts w:hint="eastAsia"/>
          <w:b/>
          <w:color w:val="auto"/>
          <w:sz w:val="21"/>
          <w:szCs w:val="21"/>
        </w:rPr>
        <w:t xml:space="preserve">（关键工序）</w:t>
      </w:r>
      <w:r>
        <w:rPr>
          <w:rStyle w:val="938"/>
          <w:rFonts w:hint="eastAsia"/>
          <w:b/>
          <w:color w:val="auto"/>
          <w:sz w:val="21"/>
          <w:szCs w:val="21"/>
          <w:vertAlign w:val="superscript"/>
        </w:rPr>
        <w:t xml:space="preserve">5</w:t>
      </w:r>
      <w:r>
        <w:rPr>
          <w:rFonts w:hint="eastAsia"/>
          <w:b/>
          <w:color w:val="auto"/>
          <w:sz w:val="21"/>
          <w:szCs w:val="21"/>
        </w:rPr>
        <w:t xml:space="preserve">在中国境内完成。</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938"/>
          <w:rFonts w:hint="eastAsia"/>
          <w:b/>
          <w:color w:val="auto"/>
          <w:sz w:val="21"/>
          <w:szCs w:val="21"/>
        </w:rPr>
        <w:t xml:space="preserve">（产品名称2）</w:t>
      </w:r>
      <w:r>
        <w:rPr>
          <w:rFonts w:hint="eastAsia"/>
          <w:b/>
          <w:color w:val="auto"/>
          <w:sz w:val="21"/>
          <w:szCs w:val="21"/>
        </w:rPr>
        <w:t xml:space="preserve">，生产厂为</w:t>
      </w:r>
      <w:r>
        <w:rPr>
          <w:rStyle w:val="938"/>
          <w:rFonts w:hint="eastAsia"/>
          <w:b/>
          <w:color w:val="auto"/>
          <w:sz w:val="21"/>
          <w:szCs w:val="21"/>
        </w:rPr>
        <w:t xml:space="preserve">（厂名）</w:t>
      </w:r>
      <w:r>
        <w:rPr>
          <w:rFonts w:hint="eastAsia"/>
          <w:b/>
          <w:color w:val="auto"/>
          <w:sz w:val="21"/>
          <w:szCs w:val="21"/>
        </w:rPr>
        <w:t xml:space="preserve">，厂址为</w:t>
      </w:r>
      <w:r>
        <w:rPr>
          <w:rStyle w:val="938"/>
          <w:rFonts w:hint="eastAsia"/>
          <w:b/>
          <w:color w:val="auto"/>
          <w:sz w:val="21"/>
          <w:szCs w:val="21"/>
        </w:rPr>
        <w:t xml:space="preserve">（生产厂址）</w:t>
      </w:r>
      <w:r>
        <w:rPr>
          <w:rFonts w:hint="eastAsia"/>
          <w:b/>
          <w:color w:val="auto"/>
          <w:sz w:val="21"/>
          <w:szCs w:val="21"/>
        </w:rPr>
        <w:t xml:space="preserve">。</w:t>
      </w:r>
      <w:r>
        <w:rPr>
          <w:rStyle w:val="938"/>
          <w:rFonts w:hint="eastAsia"/>
          <w:b/>
          <w:color w:val="auto"/>
          <w:sz w:val="21"/>
          <w:szCs w:val="21"/>
        </w:rPr>
        <w:t xml:space="preserve">（产品名称2）</w:t>
      </w:r>
      <w:r>
        <w:rPr>
          <w:rFonts w:hint="eastAsia"/>
          <w:b/>
          <w:color w:val="auto"/>
          <w:sz w:val="21"/>
          <w:szCs w:val="21"/>
        </w:rPr>
        <w:t xml:space="preserve">的中国境内生产的组件成本占比≥</w:t>
      </w:r>
      <w:r>
        <w:rPr>
          <w:rStyle w:val="938"/>
          <w:rFonts w:hint="eastAsia"/>
          <w:b/>
          <w:color w:val="auto"/>
          <w:sz w:val="21"/>
          <w:szCs w:val="21"/>
        </w:rPr>
        <w:t xml:space="preserve">（规定比例）</w:t>
      </w:r>
      <w:r>
        <w:rPr>
          <w:rFonts w:hint="eastAsia"/>
          <w:b/>
          <w:color w:val="auto"/>
          <w:sz w:val="21"/>
          <w:szCs w:val="21"/>
        </w:rPr>
        <w:t xml:space="preserve">。</w:t>
      </w:r>
      <w:r>
        <w:rPr>
          <w:rStyle w:val="938"/>
          <w:rFonts w:hint="eastAsia"/>
          <w:b/>
          <w:color w:val="auto"/>
          <w:sz w:val="21"/>
          <w:szCs w:val="21"/>
        </w:rPr>
        <w:t xml:space="preserve">（产品名称2）</w:t>
      </w:r>
      <w:r>
        <w:rPr>
          <w:rFonts w:hint="eastAsia"/>
          <w:b/>
          <w:color w:val="auto"/>
          <w:sz w:val="21"/>
          <w:szCs w:val="21"/>
        </w:rPr>
        <w:t xml:space="preserve">的</w:t>
      </w:r>
      <w:r>
        <w:rPr>
          <w:rStyle w:val="938"/>
          <w:rFonts w:hint="eastAsia"/>
          <w:b/>
          <w:color w:val="auto"/>
          <w:sz w:val="21"/>
          <w:szCs w:val="21"/>
        </w:rPr>
        <w:t xml:space="preserve">（关键组件）</w:t>
      </w:r>
      <w:r>
        <w:rPr>
          <w:rFonts w:hint="eastAsia"/>
          <w:b/>
          <w:color w:val="auto"/>
          <w:sz w:val="21"/>
          <w:szCs w:val="21"/>
        </w:rPr>
        <w:t xml:space="preserve">在中国境内生产。</w:t>
      </w:r>
      <w:r>
        <w:rPr>
          <w:rStyle w:val="938"/>
          <w:rFonts w:hint="eastAsia"/>
          <w:b/>
          <w:color w:val="auto"/>
          <w:sz w:val="21"/>
          <w:szCs w:val="21"/>
        </w:rPr>
        <w:t xml:space="preserve">（产品名称2）</w:t>
      </w:r>
      <w:r>
        <w:rPr>
          <w:rFonts w:hint="eastAsia"/>
          <w:b/>
          <w:color w:val="auto"/>
          <w:sz w:val="21"/>
          <w:szCs w:val="21"/>
        </w:rPr>
        <w:t xml:space="preserve">的</w:t>
      </w:r>
      <w:r>
        <w:rPr>
          <w:rStyle w:val="938"/>
          <w:rFonts w:hint="eastAsia"/>
          <w:b/>
          <w:color w:val="auto"/>
          <w:sz w:val="21"/>
          <w:szCs w:val="21"/>
        </w:rPr>
        <w:t xml:space="preserve">（关键工序）</w:t>
      </w:r>
      <w:r>
        <w:rPr>
          <w:rFonts w:hint="eastAsia"/>
          <w:b/>
          <w:color w:val="auto"/>
          <w:sz w:val="21"/>
          <w:szCs w:val="21"/>
        </w:rPr>
        <w:t xml:space="preserve">在中国境内完成。</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93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0"/>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930"/>
        <w:ind w:firstLine="420"/>
        <w:spacing w:before="0" w:beforeAutospacing="0" w:after="156" w:afterAutospacing="0" w:line="560" w:lineRule="atLeast"/>
        <w:shd w:val="clear" w:color="auto" w:fill="ffffff"/>
        <w:rPr>
          <w:b/>
          <w:color w:val="auto"/>
          <w:sz w:val="21"/>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930"/>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930"/>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930"/>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93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0"/>
        <w:ind w:firstLine="2108"/>
        <w:spacing w:before="0" w:beforeAutospacing="0" w:after="156" w:afterAutospacing="0" w:line="560" w:lineRule="atLeast"/>
        <w:shd w:val="clear" w:color="auto" w:fill="ffffff"/>
        <w:rPr>
          <w:rFonts w:hint="eastAsia"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930"/>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4"/>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994"/>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994"/>
        <w:ind w:firstLine="402"/>
        <w:spacing w:after="156" w:line="560" w:lineRule="exact"/>
        <w:rPr>
          <w:b/>
          <w:color w:val="auto"/>
          <w:szCs w:val="21"/>
        </w:rPr>
      </w:pPr>
      <w:r>
        <w:rPr>
          <w:rFonts w:hint="eastAsia"/>
          <w:b/>
          <w:color w:val="auto"/>
          <w:szCs w:val="21"/>
        </w:rPr>
        <w:t xml:space="preserve">（一）在中国境内生产</w:t>
      </w:r>
      <w:r/>
    </w:p>
    <w:p>
      <w:pPr>
        <w:pStyle w:val="994"/>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4"/>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994"/>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994"/>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994"/>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994"/>
        <w:ind w:firstLine="402"/>
        <w:spacing w:after="156" w:line="560" w:lineRule="exact"/>
        <w:rPr>
          <w:b/>
          <w:color w:val="auto"/>
          <w:szCs w:val="21"/>
        </w:rPr>
      </w:pPr>
      <w:r>
        <w:rPr>
          <w:rFonts w:hint="eastAsia"/>
          <w:b/>
          <w:color w:val="auto"/>
          <w:szCs w:val="21"/>
        </w:rPr>
        <w:t xml:space="preserve">4.简单的上漆、磨光和分装；</w:t>
      </w:r>
      <w:r/>
    </w:p>
    <w:p>
      <w:pPr>
        <w:pStyle w:val="994"/>
        <w:ind w:firstLine="402"/>
        <w:spacing w:after="156" w:line="560" w:lineRule="exact"/>
        <w:rPr>
          <w:b/>
          <w:color w:val="auto"/>
          <w:szCs w:val="21"/>
        </w:rPr>
      </w:pPr>
      <w:r>
        <w:rPr>
          <w:rFonts w:hint="eastAsia"/>
          <w:b/>
          <w:color w:val="auto"/>
          <w:szCs w:val="21"/>
        </w:rPr>
        <w:t xml:space="preserve">5.其他不属于属性改变的情形。</w:t>
      </w:r>
      <w:r/>
    </w:p>
    <w:p>
      <w:pPr>
        <w:pStyle w:val="994"/>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994"/>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4" o:title=""/>
              </v:shape>
            </w:pict>
          </mc:Fallback>
        </mc:AlternateContent>
      </w:r>
      <w:r>
        <w:rPr>
          <w:rFonts w:hint="eastAsia"/>
          <w:b/>
          <w:color w:val="auto"/>
          <w:szCs w:val="21"/>
        </w:rPr>
        <w:t xml:space="preserve">产品在中国境内生产的组件成本占比应当达到规定比例，计算公式为：</w:t>
      </w:r>
      <w:r/>
    </w:p>
    <w:p>
      <w:pPr>
        <w:pStyle w:val="994"/>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4"/>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994"/>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994"/>
        <w:ind w:firstLine="442"/>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4"/>
        <w:numPr>
          <w:ilvl w:val="0"/>
          <w:numId w:val="8"/>
        </w:numPr>
        <w:ind w:firstLine="400"/>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930"/>
        <w:spacing w:before="0" w:beforeAutospacing="0" w:after="156" w:afterAutospacing="0" w:line="560" w:lineRule="atLeast"/>
        <w:shd w:val="clear" w:color="auto" w:fill="ffffff"/>
        <w:rPr>
          <w:color w:val="auto"/>
          <w:sz w:val="21"/>
          <w:szCs w:val="21"/>
        </w:rPr>
      </w:pPr>
      <w:r>
        <w:rPr>
          <w:color w:val="auto"/>
          <w:sz w:val="21"/>
          <w:szCs w:val="21"/>
        </w:rPr>
      </w:r>
      <w:r/>
    </w:p>
    <w:p>
      <w:pPr>
        <w:pStyle w:val="930"/>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55"/>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55"/>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55"/>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55"/>
        <w:ind w:firstLine="198"/>
        <w:jc w:val="center"/>
        <w:spacing w:line="300" w:lineRule="auto"/>
        <w:rPr>
          <w:rFonts w:ascii="Microsoft New Tai Lue" w:hAnsi="Microsoft New Tai Lue" w:cs="Microsoft New Tai Lue"/>
          <w:b/>
          <w:color w:val="auto"/>
          <w:sz w:val="24"/>
          <w:szCs w:val="24"/>
        </w:rPr>
      </w:pPr>
      <w:r/>
      <w:bookmarkStart w:id="424" w:name="_Toc8742841"/>
      <w:r/>
      <w:bookmarkStart w:id="425" w:name="_Toc520719716"/>
      <w:r/>
      <w:bookmarkStart w:id="426" w:name="_Toc11678078"/>
      <w:r/>
      <w:bookmarkStart w:id="427" w:name="_Toc68159635"/>
      <w:r/>
      <w:bookmarkStart w:id="428" w:name="_Toc17097051"/>
      <w:r/>
      <w:bookmarkStart w:id="429" w:name="_Toc10472943"/>
      <w:r/>
      <w:bookmarkStart w:id="430" w:name="_Toc13233103"/>
      <w:r/>
      <w:bookmarkStart w:id="431" w:name="_Toc522290174"/>
      <w:r/>
      <w:bookmarkStart w:id="432" w:name="_Toc96347933"/>
      <w:r/>
      <w:bookmarkStart w:id="433" w:name="_Toc63695313"/>
      <w:r/>
      <w:bookmarkStart w:id="434" w:name="_Toc9515977"/>
      <w:r/>
      <w:bookmarkStart w:id="435" w:name="_Toc525720156"/>
      <w:r>
        <w:rPr>
          <w:rFonts w:hint="eastAsia" w:ascii="Microsoft New Tai Lue" w:hAnsi="Microsoft New Tai Lue" w:cs="Microsoft New Tai Lue"/>
          <w:b/>
          <w:color w:val="auto"/>
          <w:sz w:val="24"/>
          <w:szCs w:val="24"/>
        </w:rPr>
        <w:t xml:space="preserve">政府采购节能产品政策</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Microsoft New Tai Lue" w:hAnsi="Microsoft New Tai Lue" w:cs="Microsoft New Tai Lue"/>
          <w:b/>
          <w:color w:val="auto"/>
          <w:sz w:val="24"/>
          <w:szCs w:val="24"/>
        </w:rPr>
        <w:t xml:space="preserve">（如涉及）</w:t>
      </w:r>
      <w:r/>
    </w:p>
    <w:p>
      <w:pPr>
        <w:pStyle w:val="955"/>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955"/>
        <w:ind w:firstLine="420"/>
        <w:rPr>
          <w:rFonts w:hint="eastAsia"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955"/>
        <w:ind w:firstLine="420"/>
        <w:rPr>
          <w:rFonts w:hint="eastAsia"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913"/>
        <w:ind w:left="0" w:firstLine="482"/>
        <w:spacing w:line="300" w:lineRule="auto"/>
        <w:rPr>
          <w:rFonts w:hint="eastAsia" w:hAnsi="宋体" w:cs="宋体"/>
          <w:color w:val="auto"/>
          <w:sz w:val="21"/>
          <w:szCs w:val="21"/>
          <w:u w:val="single"/>
        </w:rPr>
      </w:pPr>
      <w:r>
        <w:rPr>
          <w:rFonts w:hint="eastAsia" w:hAnsi="宋体" w:cs="宋体"/>
          <w:color w:val="auto"/>
          <w:sz w:val="21"/>
          <w:szCs w:val="21"/>
          <w:u w:val="single"/>
        </w:rPr>
        <w:t xml:space="preserve">                                                                               </w:t>
      </w:r>
      <w:r/>
    </w:p>
    <w:p>
      <w:pPr>
        <w:pStyle w:val="955"/>
        <w:ind w:firstLine="198"/>
        <w:jc w:val="center"/>
        <w:spacing w:line="300" w:lineRule="auto"/>
        <w:rPr>
          <w:rFonts w:ascii="Microsoft New Tai Lue" w:hAnsi="Microsoft New Tai Lue" w:cs="Microsoft New Tai Lue"/>
          <w:b/>
          <w:color w:val="auto"/>
          <w:sz w:val="24"/>
          <w:szCs w:val="24"/>
        </w:rPr>
      </w:pPr>
      <w:r/>
      <w:bookmarkStart w:id="436" w:name="_Toc450220986"/>
      <w:r/>
      <w:bookmarkStart w:id="437" w:name="_Toc447021133"/>
      <w:r/>
      <w:bookmarkStart w:id="438" w:name="_Toc63695314"/>
      <w:r/>
      <w:bookmarkStart w:id="439" w:name="_Toc522290175"/>
      <w:r/>
      <w:bookmarkStart w:id="440" w:name="_Toc13233104"/>
      <w:r/>
      <w:bookmarkStart w:id="441" w:name="_Toc68159636"/>
      <w:r/>
      <w:bookmarkStart w:id="442" w:name="_Toc520719717"/>
      <w:r/>
      <w:bookmarkStart w:id="443" w:name="_Toc96347934"/>
      <w:r/>
      <w:bookmarkStart w:id="444" w:name="_Toc8742842"/>
      <w:r/>
      <w:bookmarkStart w:id="445" w:name="_Toc9515978"/>
      <w:r/>
      <w:bookmarkStart w:id="446" w:name="_Toc17097052"/>
      <w:r/>
      <w:bookmarkStart w:id="447" w:name="_Toc525720157"/>
      <w:r/>
      <w:bookmarkStart w:id="448" w:name="_Toc10472944"/>
      <w:r/>
      <w:bookmarkStart w:id="449" w:name="_Toc11678079"/>
      <w:r>
        <w:rPr>
          <w:rFonts w:hint="eastAsia" w:ascii="Microsoft New Tai Lue" w:hAnsi="Microsoft New Tai Lue" w:cs="Microsoft New Tai Lue"/>
          <w:b/>
          <w:color w:val="auto"/>
          <w:sz w:val="24"/>
          <w:szCs w:val="24"/>
        </w:rPr>
        <w:t xml:space="preserve">政府采购环境标志产品政策</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Microsoft New Tai Lue" w:hAnsi="Microsoft New Tai Lue" w:cs="Microsoft New Tai Lue"/>
          <w:b/>
          <w:color w:val="auto"/>
          <w:sz w:val="24"/>
          <w:szCs w:val="24"/>
        </w:rPr>
        <w:t xml:space="preserve">（如涉及）</w:t>
      </w:r>
      <w:r/>
    </w:p>
    <w:p>
      <w:pPr>
        <w:pStyle w:val="955"/>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55"/>
        <w:ind w:firstLine="420"/>
        <w:rPr>
          <w:rFonts w:hint="eastAsia"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55"/>
        <w:ind w:firstLine="420"/>
        <w:rPr>
          <w:rFonts w:hint="eastAsia"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931"/>
        <w:spacing w:before="0" w:line="300" w:lineRule="auto"/>
        <w:rPr>
          <w:rFonts w:ascii="Microsoft New Tai Lue" w:hAnsi="Microsoft New Tai Lue" w:cs="Microsoft New Tai Lue"/>
          <w:bCs w:val="0"/>
          <w:color w:val="auto"/>
          <w:sz w:val="24"/>
          <w:szCs w:val="24"/>
        </w:rPr>
      </w:pPr>
      <w:r/>
      <w:bookmarkStart w:id="450" w:name="_Toc100905295"/>
      <w:r/>
      <w:bookmarkStart w:id="451" w:name="_Toc104560924"/>
      <w:r/>
      <w:bookmarkStart w:id="452" w:name="_Toc103848607"/>
      <w:r/>
      <w:bookmarkStart w:id="453" w:name="_Toc107246307"/>
      <w:r>
        <w:rPr>
          <w:rFonts w:ascii="Microsoft New Tai Lue" w:hAnsi="Microsoft New Tai Lue" w:cs="Microsoft New Tai Lue"/>
          <w:bCs w:val="0"/>
          <w:color w:val="auto"/>
          <w:sz w:val="24"/>
          <w:szCs w:val="24"/>
        </w:rPr>
        <w:t xml:space="preserve">（2）投标人认为需提供的其他</w:t>
      </w:r>
      <w:bookmarkEnd w:id="450"/>
      <w:r>
        <w:rPr>
          <w:rFonts w:ascii="Microsoft New Tai Lue" w:hAnsi="Microsoft New Tai Lue" w:cs="Microsoft New Tai Lue"/>
          <w:bCs w:val="0"/>
          <w:color w:val="auto"/>
          <w:sz w:val="24"/>
          <w:szCs w:val="24"/>
        </w:rPr>
        <w:t xml:space="preserve">文件或证明材料</w:t>
      </w:r>
      <w:bookmarkEnd w:id="451"/>
      <w:r/>
      <w:bookmarkEnd w:id="452"/>
      <w:r/>
      <w:bookmarkEnd w:id="453"/>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numPr>
          <w:ilvl w:val="255"/>
          <w:numId w:val="0"/>
        </w:numPr>
        <w:spacing w:before="0" w:line="300" w:lineRule="auto"/>
        <w:rPr>
          <w:rFonts w:ascii="Microsoft New Tai Lue" w:hAnsi="Microsoft New Tai Lue" w:cs="Microsoft New Tai Lue"/>
          <w:bCs w:val="0"/>
          <w:color w:val="auto"/>
          <w:sz w:val="24"/>
          <w:szCs w:val="24"/>
        </w:rPr>
      </w:pPr>
      <w:r/>
      <w:bookmarkStart w:id="454" w:name="_Toc103848608"/>
      <w:r/>
      <w:bookmarkStart w:id="455" w:name="_Toc107246308"/>
      <w:r/>
      <w:bookmarkStart w:id="456" w:name="_Toc104560925"/>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54"/>
      <w:r/>
      <w:bookmarkEnd w:id="455"/>
      <w:r/>
      <w:bookmarkEnd w:id="456"/>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
  </w:p>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7"/>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1"/>
    <w:link w:val="894"/>
    <w:uiPriority w:val="9"/>
    <w:rPr>
      <w:rFonts w:ascii="Arial" w:hAnsi="Arial" w:eastAsia="Arial" w:cs="Arial"/>
      <w:sz w:val="40"/>
      <w:szCs w:val="40"/>
    </w:rPr>
  </w:style>
  <w:style w:type="character" w:styleId="739">
    <w:name w:val="Heading 2 Char"/>
    <w:basedOn w:val="901"/>
    <w:link w:val="975"/>
    <w:uiPriority w:val="9"/>
    <w:rPr>
      <w:rFonts w:ascii="Arial" w:hAnsi="Arial" w:eastAsia="Arial" w:cs="Arial"/>
      <w:sz w:val="34"/>
    </w:rPr>
  </w:style>
  <w:style w:type="character" w:styleId="740">
    <w:name w:val="Heading 3 Char"/>
    <w:basedOn w:val="901"/>
    <w:link w:val="896"/>
    <w:uiPriority w:val="9"/>
    <w:rPr>
      <w:rFonts w:ascii="Arial" w:hAnsi="Arial" w:eastAsia="Arial" w:cs="Arial"/>
      <w:sz w:val="30"/>
      <w:szCs w:val="30"/>
    </w:rPr>
  </w:style>
  <w:style w:type="character" w:styleId="741">
    <w:name w:val="Heading 4 Char"/>
    <w:basedOn w:val="901"/>
    <w:link w:val="897"/>
    <w:uiPriority w:val="9"/>
    <w:rPr>
      <w:rFonts w:ascii="Arial" w:hAnsi="Arial" w:eastAsia="Arial" w:cs="Arial"/>
      <w:b/>
      <w:bCs/>
      <w:sz w:val="26"/>
      <w:szCs w:val="26"/>
    </w:rPr>
  </w:style>
  <w:style w:type="character" w:styleId="742">
    <w:name w:val="Heading 5 Char"/>
    <w:basedOn w:val="901"/>
    <w:link w:val="898"/>
    <w:uiPriority w:val="9"/>
    <w:rPr>
      <w:rFonts w:ascii="Arial" w:hAnsi="Arial" w:eastAsia="Arial" w:cs="Arial"/>
      <w:b/>
      <w:bCs/>
      <w:sz w:val="24"/>
      <w:szCs w:val="24"/>
    </w:rPr>
  </w:style>
  <w:style w:type="character" w:styleId="743">
    <w:name w:val="Heading 6 Char"/>
    <w:basedOn w:val="901"/>
    <w:link w:val="899"/>
    <w:uiPriority w:val="9"/>
    <w:rPr>
      <w:rFonts w:ascii="Arial" w:hAnsi="Arial" w:eastAsia="Arial" w:cs="Arial"/>
      <w:b/>
      <w:bCs/>
      <w:sz w:val="22"/>
      <w:szCs w:val="22"/>
    </w:rPr>
  </w:style>
  <w:style w:type="paragraph" w:styleId="744">
    <w:name w:val="Heading 7"/>
    <w:basedOn w:val="893"/>
    <w:next w:val="893"/>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basedOn w:val="901"/>
    <w:link w:val="744"/>
    <w:uiPriority w:val="9"/>
    <w:rPr>
      <w:rFonts w:ascii="Arial" w:hAnsi="Arial" w:eastAsia="Arial" w:cs="Arial"/>
      <w:b/>
      <w:bCs/>
      <w:i/>
      <w:iCs/>
      <w:sz w:val="22"/>
      <w:szCs w:val="22"/>
    </w:rPr>
  </w:style>
  <w:style w:type="character" w:styleId="746">
    <w:name w:val="Heading 8 Char"/>
    <w:basedOn w:val="901"/>
    <w:link w:val="900"/>
    <w:uiPriority w:val="9"/>
    <w:rPr>
      <w:rFonts w:ascii="Arial" w:hAnsi="Arial" w:eastAsia="Arial" w:cs="Arial"/>
      <w:i/>
      <w:iCs/>
      <w:sz w:val="22"/>
      <w:szCs w:val="22"/>
    </w:rPr>
  </w:style>
  <w:style w:type="paragraph" w:styleId="747">
    <w:name w:val="Heading 9"/>
    <w:basedOn w:val="893"/>
    <w:next w:val="89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1"/>
    <w:link w:val="747"/>
    <w:uiPriority w:val="9"/>
    <w:rPr>
      <w:rFonts w:ascii="Arial" w:hAnsi="Arial" w:eastAsia="Arial" w:cs="Arial"/>
      <w:i/>
      <w:iCs/>
      <w:sz w:val="21"/>
      <w:szCs w:val="21"/>
    </w:rPr>
  </w:style>
  <w:style w:type="character" w:styleId="749">
    <w:name w:val="Title Char"/>
    <w:basedOn w:val="901"/>
    <w:link w:val="931"/>
    <w:uiPriority w:val="10"/>
    <w:rPr>
      <w:sz w:val="48"/>
      <w:szCs w:val="48"/>
    </w:rPr>
  </w:style>
  <w:style w:type="paragraph" w:styleId="750">
    <w:name w:val="Subtitle"/>
    <w:basedOn w:val="893"/>
    <w:next w:val="893"/>
    <w:link w:val="751"/>
    <w:uiPriority w:val="11"/>
    <w:qFormat/>
    <w:pPr>
      <w:spacing w:before="200" w:after="200"/>
    </w:pPr>
    <w:rPr>
      <w:sz w:val="24"/>
      <w:szCs w:val="24"/>
    </w:rPr>
  </w:style>
  <w:style w:type="character" w:styleId="751">
    <w:name w:val="Subtitle Char"/>
    <w:basedOn w:val="901"/>
    <w:link w:val="750"/>
    <w:uiPriority w:val="11"/>
    <w:rPr>
      <w:sz w:val="24"/>
      <w:szCs w:val="24"/>
    </w:rPr>
  </w:style>
  <w:style w:type="paragraph" w:styleId="752">
    <w:name w:val="Quote"/>
    <w:basedOn w:val="893"/>
    <w:next w:val="893"/>
    <w:link w:val="753"/>
    <w:uiPriority w:val="29"/>
    <w:qFormat/>
    <w:pPr>
      <w:ind w:left="720" w:right="720"/>
    </w:pPr>
    <w:rPr>
      <w:i/>
    </w:rPr>
  </w:style>
  <w:style w:type="character" w:styleId="753">
    <w:name w:val="Quote Char"/>
    <w:link w:val="752"/>
    <w:uiPriority w:val="29"/>
    <w:rPr>
      <w:i/>
    </w:rPr>
  </w:style>
  <w:style w:type="paragraph" w:styleId="754">
    <w:name w:val="Intense Quote"/>
    <w:basedOn w:val="893"/>
    <w:next w:val="893"/>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1"/>
    <w:link w:val="922"/>
    <w:uiPriority w:val="99"/>
  </w:style>
  <w:style w:type="character" w:styleId="757">
    <w:name w:val="Footer Char"/>
    <w:basedOn w:val="901"/>
    <w:link w:val="921"/>
    <w:uiPriority w:val="99"/>
  </w:style>
  <w:style w:type="paragraph" w:styleId="758">
    <w:name w:val="Caption"/>
    <w:basedOn w:val="893"/>
    <w:next w:val="893"/>
    <w:uiPriority w:val="35"/>
    <w:semiHidden/>
    <w:unhideWhenUsed/>
    <w:qFormat/>
    <w:pPr>
      <w:spacing w:line="276" w:lineRule="auto"/>
    </w:pPr>
    <w:rPr>
      <w:b/>
      <w:bCs/>
      <w:color w:val="4f81bd" w:themeColor="accent1"/>
      <w:sz w:val="18"/>
      <w:szCs w:val="18"/>
    </w:rPr>
  </w:style>
  <w:style w:type="character" w:styleId="759">
    <w:name w:val="Caption Char"/>
    <w:basedOn w:val="758"/>
    <w:link w:val="921"/>
    <w:uiPriority w:val="99"/>
  </w:style>
  <w:style w:type="table" w:styleId="760">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6">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7">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8">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9">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0">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1">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8">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2">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3">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4">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5">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6">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8">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9">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0">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1">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2">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3">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2">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3">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4">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5">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6">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7">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9">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0">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1">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2">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3">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4">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3">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7">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3"/>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1"/>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1"/>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51"/>
    <w:uiPriority w:val="0"/>
    <w:qFormat/>
    <w:pPr>
      <w:ind w:left="100" w:right="100"/>
      <w:spacing w:before="120" w:after="120"/>
      <w:outlineLvl w:val="0"/>
    </w:pPr>
    <w:rPr>
      <w:szCs w:val="44"/>
    </w:rPr>
  </w:style>
  <w:style w:type="paragraph" w:styleId="895">
    <w:name w:val="Heading 2"/>
    <w:basedOn w:val="893"/>
    <w:next w:val="893"/>
    <w:link w:val="946"/>
    <w:uiPriority w:val="0"/>
    <w:qFormat/>
    <w:pPr>
      <w:keepLines/>
      <w:keepNext/>
      <w:spacing w:before="260" w:after="260" w:line="416" w:lineRule="auto"/>
      <w:outlineLvl w:val="1"/>
    </w:pPr>
    <w:rPr>
      <w:rFonts w:ascii="等线 Light" w:hAnsi="等线 Light" w:eastAsia="等线 Light"/>
      <w:b/>
      <w:bCs/>
      <w:sz w:val="32"/>
      <w:szCs w:val="32"/>
    </w:rPr>
  </w:style>
  <w:style w:type="paragraph" w:styleId="896">
    <w:name w:val="Heading 3"/>
    <w:basedOn w:val="893"/>
    <w:next w:val="893"/>
    <w:link w:val="944"/>
    <w:uiPriority w:val="9"/>
    <w:qFormat/>
    <w:pPr>
      <w:keepLines/>
      <w:keepNext/>
      <w:spacing w:before="260" w:after="260" w:line="416" w:lineRule="auto"/>
      <w:outlineLvl w:val="2"/>
    </w:pPr>
    <w:rPr>
      <w:b/>
      <w:bCs/>
      <w:sz w:val="32"/>
      <w:szCs w:val="32"/>
    </w:rPr>
  </w:style>
  <w:style w:type="paragraph" w:styleId="897">
    <w:name w:val="Heading 4"/>
    <w:basedOn w:val="893"/>
    <w:next w:val="893"/>
    <w:link w:val="952"/>
    <w:uiPriority w:val="0"/>
    <w:qFormat/>
    <w:pPr>
      <w:keepLines/>
      <w:keepNext/>
      <w:spacing w:before="280" w:after="290" w:line="376" w:lineRule="auto"/>
      <w:outlineLvl w:val="3"/>
    </w:pPr>
    <w:rPr>
      <w:rFonts w:ascii="等线 Light" w:hAnsi="等线 Light" w:eastAsia="等线 Light"/>
      <w:b/>
      <w:bCs/>
      <w:sz w:val="28"/>
      <w:szCs w:val="28"/>
    </w:rPr>
  </w:style>
  <w:style w:type="paragraph" w:styleId="898">
    <w:name w:val="Heading 5"/>
    <w:basedOn w:val="893"/>
    <w:next w:val="893"/>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899">
    <w:name w:val="Heading 6"/>
    <w:basedOn w:val="893"/>
    <w:next w:val="893"/>
    <w:link w:val="967"/>
    <w:uiPriority w:val="0"/>
    <w:qFormat/>
    <w:pPr>
      <w:keepLines/>
      <w:keepNext/>
      <w:spacing w:before="240" w:after="64" w:line="320" w:lineRule="auto"/>
      <w:outlineLvl w:val="5"/>
    </w:pPr>
    <w:rPr>
      <w:rFonts w:ascii="等线 Light" w:hAnsi="等线 Light" w:eastAsia="等线 Light"/>
      <w:b/>
      <w:bCs/>
      <w:sz w:val="24"/>
    </w:rPr>
  </w:style>
  <w:style w:type="paragraph" w:styleId="900">
    <w:name w:val="Heading 8"/>
    <w:basedOn w:val="893"/>
    <w:next w:val="893"/>
    <w:link w:val="965"/>
    <w:uiPriority w:val="0"/>
    <w:qFormat/>
    <w:pPr>
      <w:keepLines/>
      <w:keepNext/>
      <w:spacing w:before="240" w:after="64" w:line="320" w:lineRule="auto"/>
      <w:outlineLvl w:val="7"/>
    </w:pPr>
    <w:rPr>
      <w:rFonts w:ascii="等线 Light" w:hAnsi="等线 Light" w:eastAsia="等线 Light"/>
      <w:sz w:val="24"/>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macro"/>
    <w:link w:val="943"/>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04">
    <w:name w:val="List 3"/>
    <w:basedOn w:val="893"/>
    <w:uiPriority w:val="0"/>
    <w:qFormat/>
    <w:pPr>
      <w:contextualSpacing/>
      <w:ind w:left="100" w:hanging="200"/>
      <w:jc w:val="left"/>
      <w:widowControl/>
    </w:pPr>
    <w:rPr>
      <w:sz w:val="20"/>
      <w:szCs w:val="20"/>
    </w:rPr>
  </w:style>
  <w:style w:type="paragraph" w:styleId="905">
    <w:name w:val="toc 7"/>
    <w:basedOn w:val="893"/>
    <w:next w:val="893"/>
    <w:uiPriority w:val="39"/>
    <w:unhideWhenUsed/>
    <w:qFormat/>
    <w:pPr>
      <w:ind w:left="2520"/>
    </w:pPr>
    <w:rPr>
      <w:rFonts w:ascii="等线" w:hAnsi="等线" w:eastAsia="等线"/>
      <w:szCs w:val="22"/>
    </w:rPr>
  </w:style>
  <w:style w:type="paragraph" w:styleId="906">
    <w:name w:val="Normal Indent"/>
    <w:basedOn w:val="893"/>
    <w:link w:val="958"/>
    <w:uiPriority w:val="99"/>
    <w:qFormat/>
    <w:pPr>
      <w:ind w:firstLine="420"/>
    </w:pPr>
    <w:rPr>
      <w:szCs w:val="20"/>
    </w:rPr>
  </w:style>
  <w:style w:type="paragraph" w:styleId="907">
    <w:name w:val="List Bullet"/>
    <w:basedOn w:val="893"/>
    <w:uiPriority w:val="0"/>
    <w:qFormat/>
    <w:pPr>
      <w:numPr>
        <w:ilvl w:val="0"/>
        <w:numId w:val="1"/>
      </w:numPr>
    </w:pPr>
  </w:style>
  <w:style w:type="paragraph" w:styleId="908">
    <w:name w:val="Document Map"/>
    <w:basedOn w:val="893"/>
    <w:link w:val="959"/>
    <w:uiPriority w:val="0"/>
    <w:qFormat/>
    <w:pPr>
      <w:shd w:val="clear" w:color="auto" w:fill="000080"/>
    </w:pPr>
  </w:style>
  <w:style w:type="paragraph" w:styleId="909">
    <w:name w:val="annotation text"/>
    <w:basedOn w:val="893"/>
    <w:link w:val="964"/>
    <w:uiPriority w:val="0"/>
    <w:qFormat/>
    <w:pPr>
      <w:jc w:val="left"/>
    </w:pPr>
  </w:style>
  <w:style w:type="paragraph" w:styleId="910">
    <w:name w:val="Body Text"/>
    <w:basedOn w:val="893"/>
    <w:link w:val="956"/>
    <w:uiPriority w:val="1"/>
    <w:qFormat/>
    <w:pPr>
      <w:spacing w:after="120"/>
    </w:pPr>
  </w:style>
  <w:style w:type="paragraph" w:styleId="911">
    <w:name w:val="Body Text Indent"/>
    <w:basedOn w:val="893"/>
    <w:next w:val="912"/>
    <w:uiPriority w:val="0"/>
    <w:qFormat/>
    <w:pPr>
      <w:ind w:left="420"/>
      <w:spacing w:after="120"/>
    </w:pPr>
  </w:style>
  <w:style w:type="paragraph" w:styleId="912">
    <w:name w:val="envelope return"/>
    <w:basedOn w:val="893"/>
    <w:uiPriority w:val="0"/>
    <w:unhideWhenUsed/>
    <w:qFormat/>
    <w:rPr>
      <w:rFonts w:ascii="Arial" w:hAnsi="Arial"/>
    </w:rPr>
  </w:style>
  <w:style w:type="paragraph" w:styleId="913">
    <w:name w:val="index 4"/>
    <w:basedOn w:val="893"/>
    <w:next w:val="893"/>
    <w:uiPriority w:val="99"/>
    <w:unhideWhenUsed/>
    <w:qFormat/>
    <w:pPr>
      <w:ind w:left="600"/>
    </w:pPr>
    <w:rPr>
      <w:rFonts w:ascii="宋体"/>
      <w:b/>
      <w:position w:val="-10"/>
      <w:sz w:val="24"/>
      <w:szCs w:val="20"/>
    </w:rPr>
  </w:style>
  <w:style w:type="paragraph" w:styleId="914">
    <w:name w:val="toc 5"/>
    <w:basedOn w:val="893"/>
    <w:next w:val="893"/>
    <w:uiPriority w:val="39"/>
    <w:unhideWhenUsed/>
    <w:qFormat/>
    <w:pPr>
      <w:ind w:left="1680"/>
    </w:pPr>
    <w:rPr>
      <w:rFonts w:ascii="等线" w:hAnsi="等线" w:eastAsia="等线"/>
      <w:szCs w:val="22"/>
    </w:rPr>
  </w:style>
  <w:style w:type="paragraph" w:styleId="915">
    <w:name w:val="toc 3"/>
    <w:basedOn w:val="893"/>
    <w:next w:val="893"/>
    <w:uiPriority w:val="39"/>
    <w:unhideWhenUsed/>
    <w:qFormat/>
    <w:pPr>
      <w:ind w:left="440"/>
      <w:jc w:val="left"/>
      <w:spacing w:after="100" w:line="259" w:lineRule="auto"/>
      <w:widowControl/>
    </w:pPr>
    <w:rPr>
      <w:rFonts w:ascii="等线" w:hAnsi="等线" w:eastAsia="等线"/>
      <w:sz w:val="22"/>
      <w:szCs w:val="22"/>
    </w:rPr>
  </w:style>
  <w:style w:type="paragraph" w:styleId="916">
    <w:name w:val="Plain Text"/>
    <w:basedOn w:val="893"/>
    <w:link w:val="947"/>
    <w:uiPriority w:val="0"/>
    <w:qFormat/>
    <w:rPr>
      <w:rFonts w:ascii="宋体" w:hAnsi="Courier New" w:cs="Courier New"/>
      <w:szCs w:val="21"/>
    </w:rPr>
  </w:style>
  <w:style w:type="paragraph" w:styleId="917">
    <w:name w:val="toc 8"/>
    <w:basedOn w:val="893"/>
    <w:next w:val="893"/>
    <w:uiPriority w:val="39"/>
    <w:unhideWhenUsed/>
    <w:qFormat/>
    <w:pPr>
      <w:ind w:left="2940"/>
    </w:pPr>
    <w:rPr>
      <w:rFonts w:ascii="等线" w:hAnsi="等线" w:eastAsia="等线"/>
      <w:szCs w:val="22"/>
    </w:rPr>
  </w:style>
  <w:style w:type="paragraph" w:styleId="918">
    <w:name w:val="Date"/>
    <w:basedOn w:val="893"/>
    <w:next w:val="893"/>
    <w:link w:val="961"/>
    <w:uiPriority w:val="0"/>
    <w:qFormat/>
    <w:rPr>
      <w:sz w:val="24"/>
      <w:szCs w:val="20"/>
    </w:rPr>
  </w:style>
  <w:style w:type="paragraph" w:styleId="919">
    <w:name w:val="Body Text Indent 2"/>
    <w:basedOn w:val="893"/>
    <w:uiPriority w:val="99"/>
    <w:qFormat/>
    <w:pPr>
      <w:ind w:firstLine="480"/>
      <w:spacing w:line="400" w:lineRule="exact"/>
    </w:pPr>
    <w:rPr>
      <w:rFonts w:ascii="宋体" w:hAnsi="宋体"/>
      <w:sz w:val="24"/>
      <w:szCs w:val="20"/>
    </w:rPr>
  </w:style>
  <w:style w:type="paragraph" w:styleId="920">
    <w:name w:val="Balloon Text"/>
    <w:basedOn w:val="893"/>
    <w:link w:val="950"/>
    <w:uiPriority w:val="0"/>
    <w:qFormat/>
    <w:rPr>
      <w:sz w:val="18"/>
      <w:szCs w:val="18"/>
    </w:rPr>
  </w:style>
  <w:style w:type="paragraph" w:styleId="921">
    <w:name w:val="Footer"/>
    <w:basedOn w:val="893"/>
    <w:link w:val="957"/>
    <w:uiPriority w:val="0"/>
    <w:qFormat/>
    <w:pPr>
      <w:jc w:val="left"/>
      <w:tabs>
        <w:tab w:val="center" w:pos="4153" w:leader="none"/>
        <w:tab w:val="right" w:pos="8306" w:leader="none"/>
      </w:tabs>
    </w:pPr>
    <w:rPr>
      <w:sz w:val="18"/>
      <w:szCs w:val="18"/>
    </w:rPr>
  </w:style>
  <w:style w:type="paragraph" w:styleId="922">
    <w:name w:val="Header"/>
    <w:basedOn w:val="893"/>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23">
    <w:name w:val="toc 1"/>
    <w:basedOn w:val="924"/>
    <w:next w:val="893"/>
    <w:uiPriority w:val="39"/>
    <w:qFormat/>
    <w:rPr>
      <w:rFonts w:ascii="仿宋_GB2312" w:eastAsia="仿宋_GB2312"/>
      <w:sz w:val="24"/>
    </w:rPr>
  </w:style>
  <w:style w:type="paragraph" w:styleId="924" w:customStyle="1">
    <w:name w:val="TOC 标题1"/>
    <w:basedOn w:val="894"/>
    <w:next w:val="893"/>
    <w:uiPriority w:val="39"/>
    <w:semiHidden/>
    <w:unhideWhenUsed/>
    <w:qFormat/>
    <w:pPr>
      <w:ind w:left="0"/>
      <w:spacing w:before="0"/>
      <w:outlineLvl w:val="9"/>
    </w:pPr>
    <w:rPr>
      <w:sz w:val="30"/>
      <w:szCs w:val="30"/>
    </w:rPr>
  </w:style>
  <w:style w:type="paragraph" w:styleId="925">
    <w:name w:val="toc 4"/>
    <w:basedOn w:val="893"/>
    <w:next w:val="893"/>
    <w:uiPriority w:val="39"/>
    <w:unhideWhenUsed/>
    <w:qFormat/>
    <w:pPr>
      <w:ind w:left="1260"/>
    </w:pPr>
    <w:rPr>
      <w:rFonts w:ascii="等线" w:hAnsi="等线" w:eastAsia="等线"/>
      <w:szCs w:val="22"/>
    </w:rPr>
  </w:style>
  <w:style w:type="paragraph" w:styleId="926">
    <w:name w:val="toc 6"/>
    <w:basedOn w:val="893"/>
    <w:next w:val="893"/>
    <w:uiPriority w:val="39"/>
    <w:unhideWhenUsed/>
    <w:qFormat/>
    <w:pPr>
      <w:ind w:left="2100"/>
    </w:pPr>
    <w:rPr>
      <w:rFonts w:ascii="等线" w:hAnsi="等线" w:eastAsia="等线"/>
      <w:szCs w:val="22"/>
    </w:rPr>
  </w:style>
  <w:style w:type="paragraph" w:styleId="927">
    <w:name w:val="toc 2"/>
    <w:basedOn w:val="893"/>
    <w:next w:val="893"/>
    <w:uiPriority w:val="39"/>
    <w:unhideWhenUsed/>
    <w:qFormat/>
    <w:pPr>
      <w:ind w:left="220"/>
      <w:jc w:val="left"/>
      <w:spacing w:after="100" w:line="259" w:lineRule="auto"/>
      <w:widowControl/>
    </w:pPr>
    <w:rPr>
      <w:rFonts w:ascii="等线" w:hAnsi="等线" w:eastAsia="等线"/>
      <w:sz w:val="22"/>
      <w:szCs w:val="22"/>
    </w:rPr>
  </w:style>
  <w:style w:type="paragraph" w:styleId="928">
    <w:name w:val="toc 9"/>
    <w:basedOn w:val="893"/>
    <w:next w:val="893"/>
    <w:uiPriority w:val="39"/>
    <w:unhideWhenUsed/>
    <w:qFormat/>
    <w:pPr>
      <w:ind w:left="3360"/>
    </w:pPr>
    <w:rPr>
      <w:rFonts w:ascii="等线" w:hAnsi="等线" w:eastAsia="等线"/>
      <w:szCs w:val="22"/>
    </w:rPr>
  </w:style>
  <w:style w:type="paragraph" w:styleId="929">
    <w:name w:val="Body Text 2"/>
    <w:basedOn w:val="893"/>
    <w:link w:val="953"/>
    <w:uiPriority w:val="0"/>
    <w:qFormat/>
    <w:pPr>
      <w:spacing w:after="120" w:line="480" w:lineRule="auto"/>
    </w:pPr>
    <w:rPr>
      <w:rFonts w:ascii="Calibri" w:hAnsi="Calibri"/>
    </w:rPr>
  </w:style>
  <w:style w:type="paragraph" w:styleId="930">
    <w:name w:val="Normal (Web)"/>
    <w:basedOn w:val="893"/>
    <w:uiPriority w:val="99"/>
    <w:qFormat/>
    <w:pPr>
      <w:jc w:val="left"/>
      <w:spacing w:before="100" w:beforeAutospacing="1" w:after="100" w:afterAutospacing="1"/>
      <w:widowControl/>
    </w:pPr>
    <w:rPr>
      <w:sz w:val="24"/>
    </w:rPr>
  </w:style>
  <w:style w:type="paragraph" w:styleId="931">
    <w:name w:val="Title"/>
    <w:basedOn w:val="893"/>
    <w:next w:val="893"/>
    <w:link w:val="966"/>
    <w:uiPriority w:val="0"/>
    <w:qFormat/>
    <w:pPr>
      <w:jc w:val="center"/>
      <w:spacing w:before="240" w:after="60"/>
      <w:outlineLvl w:val="0"/>
    </w:pPr>
    <w:rPr>
      <w:rFonts w:ascii="等线 Light" w:hAnsi="等线 Light"/>
      <w:b/>
      <w:bCs/>
      <w:sz w:val="32"/>
      <w:szCs w:val="32"/>
    </w:rPr>
  </w:style>
  <w:style w:type="paragraph" w:styleId="932">
    <w:name w:val="annotation subject"/>
    <w:basedOn w:val="909"/>
    <w:next w:val="909"/>
    <w:link w:val="962"/>
    <w:uiPriority w:val="0"/>
    <w:qFormat/>
    <w:rPr>
      <w:b/>
      <w:bCs/>
    </w:rPr>
  </w:style>
  <w:style w:type="paragraph" w:styleId="933">
    <w:name w:val="Body Text First Indent 2"/>
    <w:basedOn w:val="911"/>
    <w:uiPriority w:val="0"/>
    <w:unhideWhenUsed/>
    <w:qFormat/>
    <w:pPr>
      <w:ind w:firstLine="420"/>
    </w:pPr>
  </w:style>
  <w:style w:type="table" w:styleId="934">
    <w:name w:val="Table Grid"/>
    <w:basedOn w:val="9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uiPriority w:val="0"/>
    <w:qFormat/>
    <w:rPr>
      <w:b/>
      <w:bCs/>
    </w:rPr>
  </w:style>
  <w:style w:type="character" w:styleId="936">
    <w:name w:val="page number"/>
    <w:uiPriority w:val="0"/>
    <w:qFormat/>
  </w:style>
  <w:style w:type="character" w:styleId="937">
    <w:name w:val="FollowedHyperlink"/>
    <w:basedOn w:val="901"/>
    <w:uiPriority w:val="0"/>
    <w:semiHidden/>
    <w:unhideWhenUsed/>
    <w:qFormat/>
    <w:rPr>
      <w:color w:val="333333"/>
      <w:u w:val="none"/>
    </w:rPr>
  </w:style>
  <w:style w:type="character" w:styleId="938">
    <w:name w:val="Emphasis"/>
    <w:uiPriority w:val="0"/>
    <w:qFormat/>
    <w:rPr>
      <w:i/>
      <w:iCs/>
    </w:rPr>
  </w:style>
  <w:style w:type="character" w:styleId="939">
    <w:name w:val="Hyperlink"/>
    <w:uiPriority w:val="99"/>
    <w:qFormat/>
    <w:rPr>
      <w:color w:val="auto"/>
      <w:u w:val="none"/>
    </w:rPr>
  </w:style>
  <w:style w:type="character" w:styleId="940">
    <w:name w:val="HTML Code"/>
    <w:uiPriority w:val="0"/>
    <w:unhideWhenUsed/>
    <w:qFormat/>
    <w:rPr>
      <w:rFonts w:hint="eastAsia" w:ascii="宋体" w:hAnsi="宋体" w:eastAsia="宋体" w:cs="宋体"/>
      <w:sz w:val="24"/>
      <w:szCs w:val="24"/>
    </w:rPr>
  </w:style>
  <w:style w:type="character" w:styleId="941">
    <w:name w:val="annotation reference"/>
    <w:uiPriority w:val="0"/>
    <w:qFormat/>
    <w:rPr>
      <w:sz w:val="21"/>
      <w:szCs w:val="21"/>
    </w:rPr>
  </w:style>
  <w:style w:type="paragraph" w:styleId="942">
    <w:name w:val="List Paragraph"/>
    <w:basedOn w:val="893"/>
    <w:uiPriority w:val="34"/>
    <w:qFormat/>
    <w:pPr>
      <w:jc w:val="left"/>
      <w:spacing w:line="360" w:lineRule="auto"/>
      <w:tabs>
        <w:tab w:val="left" w:pos="360" w:leader="none"/>
      </w:tabs>
    </w:pPr>
    <w:rPr>
      <w:rFonts w:ascii="宋体" w:hAnsi="宋体" w:cs="宋体"/>
      <w:sz w:val="22"/>
      <w:szCs w:val="22"/>
      <w:lang w:val="zh-CN" w:bidi="zh-CN"/>
    </w:rPr>
  </w:style>
  <w:style w:type="character" w:styleId="943" w:customStyle="1">
    <w:name w:val="宏文本 字符"/>
    <w:link w:val="903"/>
    <w:uiPriority w:val="0"/>
    <w:qFormat/>
    <w:rPr>
      <w:rFonts w:ascii="Courier New" w:hAnsi="Courier New"/>
      <w:sz w:val="24"/>
      <w:szCs w:val="24"/>
    </w:rPr>
  </w:style>
  <w:style w:type="character" w:styleId="944" w:customStyle="1">
    <w:name w:val="标题 3 字符"/>
    <w:link w:val="896"/>
    <w:uiPriority w:val="9"/>
    <w:qFormat/>
    <w:rPr>
      <w:rFonts w:eastAsia="宋体"/>
      <w:b/>
      <w:bCs/>
      <w:sz w:val="32"/>
      <w:szCs w:val="32"/>
      <w:lang w:val="en-US" w:eastAsia="zh-CN" w:bidi="ar-SA"/>
    </w:rPr>
  </w:style>
  <w:style w:type="character" w:styleId="945" w:customStyle="1">
    <w:name w:val="页脚 Char"/>
    <w:uiPriority w:val="0"/>
    <w:qFormat/>
    <w:rPr>
      <w:sz w:val="18"/>
      <w:szCs w:val="18"/>
    </w:rPr>
  </w:style>
  <w:style w:type="character" w:styleId="946" w:customStyle="1">
    <w:name w:val="标题 2 字符"/>
    <w:link w:val="895"/>
    <w:uiPriority w:val="0"/>
    <w:semiHidden/>
    <w:qFormat/>
    <w:rPr>
      <w:rFonts w:ascii="等线 Light" w:hAnsi="等线 Light" w:eastAsia="等线 Light" w:cs="Times New Roman"/>
      <w:b/>
      <w:bCs/>
      <w:sz w:val="32"/>
      <w:szCs w:val="32"/>
    </w:rPr>
  </w:style>
  <w:style w:type="character" w:styleId="947" w:customStyle="1">
    <w:name w:val="纯文本 字符"/>
    <w:link w:val="916"/>
    <w:uiPriority w:val="0"/>
    <w:qFormat/>
    <w:rPr>
      <w:rFonts w:ascii="宋体" w:hAnsi="Courier New" w:cs="Courier New"/>
      <w:sz w:val="21"/>
      <w:szCs w:val="21"/>
    </w:rPr>
  </w:style>
  <w:style w:type="character" w:styleId="948" w:customStyle="1">
    <w:name w:val="ask-title2"/>
    <w:uiPriority w:val="0"/>
    <w:qFormat/>
  </w:style>
  <w:style w:type="character" w:styleId="949" w:customStyle="1">
    <w:name w:val="NormalCharacter"/>
    <w:uiPriority w:val="0"/>
    <w:semiHidden/>
    <w:qFormat/>
  </w:style>
  <w:style w:type="character" w:styleId="950" w:customStyle="1">
    <w:name w:val="批注框文本 字符"/>
    <w:link w:val="920"/>
    <w:uiPriority w:val="0"/>
    <w:qFormat/>
    <w:rPr>
      <w:sz w:val="18"/>
      <w:szCs w:val="18"/>
    </w:rPr>
  </w:style>
  <w:style w:type="character" w:styleId="951" w:customStyle="1">
    <w:name w:val="标题 1 字符"/>
    <w:link w:val="894"/>
    <w:uiPriority w:val="0"/>
    <w:qFormat/>
    <w:rPr>
      <w:b/>
      <w:bCs/>
      <w:sz w:val="21"/>
      <w:szCs w:val="44"/>
    </w:rPr>
  </w:style>
  <w:style w:type="character" w:styleId="952" w:customStyle="1">
    <w:name w:val="标题 4 字符"/>
    <w:link w:val="897"/>
    <w:uiPriority w:val="0"/>
    <w:semiHidden/>
    <w:qFormat/>
    <w:rPr>
      <w:rFonts w:ascii="等线 Light" w:hAnsi="等线 Light" w:eastAsia="等线 Light" w:cs="Times New Roman"/>
      <w:b/>
      <w:bCs/>
      <w:sz w:val="28"/>
      <w:szCs w:val="28"/>
    </w:rPr>
  </w:style>
  <w:style w:type="character" w:styleId="953" w:customStyle="1">
    <w:name w:val="正文文本 2 字符"/>
    <w:link w:val="929"/>
    <w:uiPriority w:val="0"/>
    <w:qFormat/>
    <w:rPr>
      <w:rFonts w:ascii="Calibri" w:hAnsi="Calibri"/>
      <w:sz w:val="21"/>
      <w:szCs w:val="24"/>
    </w:rPr>
  </w:style>
  <w:style w:type="character" w:styleId="954" w:customStyle="1">
    <w:name w:val="纯文本 Char"/>
    <w:link w:val="955"/>
    <w:uiPriority w:val="0"/>
    <w:qFormat/>
    <w:rPr>
      <w:rFonts w:ascii="宋体" w:hAnsi="Courier New"/>
    </w:rPr>
  </w:style>
  <w:style w:type="paragraph" w:styleId="955" w:customStyle="1">
    <w:name w:val="纯文本1"/>
    <w:basedOn w:val="893"/>
    <w:link w:val="954"/>
    <w:uiPriority w:val="0"/>
    <w:qFormat/>
    <w:pPr>
      <w:ind w:firstLine="200"/>
      <w:spacing w:line="360" w:lineRule="auto"/>
    </w:pPr>
    <w:rPr>
      <w:rFonts w:ascii="宋体" w:hAnsi="Courier New"/>
      <w:sz w:val="20"/>
      <w:szCs w:val="20"/>
    </w:rPr>
  </w:style>
  <w:style w:type="character" w:styleId="956" w:customStyle="1">
    <w:name w:val="正文文本 字符"/>
    <w:link w:val="910"/>
    <w:uiPriority w:val="1"/>
    <w:qFormat/>
    <w:rPr>
      <w:sz w:val="21"/>
      <w:szCs w:val="24"/>
    </w:rPr>
  </w:style>
  <w:style w:type="character" w:styleId="957" w:customStyle="1">
    <w:name w:val="页脚 字符"/>
    <w:link w:val="921"/>
    <w:uiPriority w:val="99"/>
    <w:qFormat/>
    <w:rPr>
      <w:sz w:val="18"/>
      <w:szCs w:val="18"/>
    </w:rPr>
  </w:style>
  <w:style w:type="character" w:styleId="958" w:customStyle="1">
    <w:name w:val="正文缩进 字符"/>
    <w:link w:val="906"/>
    <w:uiPriority w:val="0"/>
    <w:qFormat/>
    <w:rPr>
      <w:sz w:val="21"/>
    </w:rPr>
  </w:style>
  <w:style w:type="character" w:styleId="959" w:customStyle="1">
    <w:name w:val="文档结构图 字符"/>
    <w:link w:val="908"/>
    <w:uiPriority w:val="0"/>
    <w:qFormat/>
    <w:rPr>
      <w:sz w:val="21"/>
      <w:szCs w:val="24"/>
      <w:shd w:val="clear" w:color="auto" w:fill="000080"/>
    </w:rPr>
  </w:style>
  <w:style w:type="character" w:styleId="960" w:customStyle="1">
    <w:name w:val="标题 2 Char Char Char"/>
    <w:uiPriority w:val="0"/>
    <w:qFormat/>
    <w:rPr>
      <w:rFonts w:ascii="Arial" w:hAnsi="Arial" w:eastAsia="黑体"/>
      <w:b/>
      <w:bCs/>
      <w:sz w:val="32"/>
      <w:szCs w:val="32"/>
      <w:lang w:val="en-US" w:eastAsia="zh-CN" w:bidi="ar-SA"/>
    </w:rPr>
  </w:style>
  <w:style w:type="character" w:styleId="961" w:customStyle="1">
    <w:name w:val="日期 字符"/>
    <w:link w:val="918"/>
    <w:uiPriority w:val="0"/>
    <w:qFormat/>
    <w:rPr>
      <w:sz w:val="24"/>
    </w:rPr>
  </w:style>
  <w:style w:type="character" w:styleId="962" w:customStyle="1">
    <w:name w:val="批注主题 字符"/>
    <w:link w:val="932"/>
    <w:uiPriority w:val="0"/>
    <w:qFormat/>
    <w:rPr>
      <w:b/>
      <w:bCs/>
      <w:sz w:val="21"/>
      <w:szCs w:val="24"/>
    </w:rPr>
  </w:style>
  <w:style w:type="character" w:styleId="963" w:customStyle="1">
    <w:name w:val="页眉 字符"/>
    <w:link w:val="922"/>
    <w:uiPriority w:val="99"/>
    <w:qFormat/>
    <w:rPr>
      <w:sz w:val="18"/>
      <w:szCs w:val="18"/>
    </w:rPr>
  </w:style>
  <w:style w:type="character" w:styleId="964" w:customStyle="1">
    <w:name w:val="批注文字 字符"/>
    <w:link w:val="909"/>
    <w:uiPriority w:val="0"/>
    <w:qFormat/>
    <w:rPr>
      <w:sz w:val="21"/>
      <w:szCs w:val="24"/>
    </w:rPr>
  </w:style>
  <w:style w:type="character" w:styleId="965" w:customStyle="1">
    <w:name w:val="标题 8 字符"/>
    <w:link w:val="900"/>
    <w:uiPriority w:val="0"/>
    <w:semiHidden/>
    <w:qFormat/>
    <w:rPr>
      <w:rFonts w:ascii="等线 Light" w:hAnsi="等线 Light" w:eastAsia="等线 Light" w:cs="Times New Roman"/>
      <w:sz w:val="24"/>
      <w:szCs w:val="24"/>
    </w:rPr>
  </w:style>
  <w:style w:type="character" w:styleId="966" w:customStyle="1">
    <w:name w:val="标题 字符"/>
    <w:link w:val="931"/>
    <w:uiPriority w:val="0"/>
    <w:qFormat/>
    <w:rPr>
      <w:rFonts w:ascii="等线 Light" w:hAnsi="等线 Light" w:cs="Times New Roman"/>
      <w:b/>
      <w:bCs/>
      <w:sz w:val="32"/>
      <w:szCs w:val="32"/>
    </w:rPr>
  </w:style>
  <w:style w:type="character" w:styleId="967" w:customStyle="1">
    <w:name w:val="标题 6 字符"/>
    <w:link w:val="899"/>
    <w:uiPriority w:val="0"/>
    <w:qFormat/>
    <w:rPr>
      <w:rFonts w:ascii="等线 Light" w:hAnsi="等线 Light" w:eastAsia="等线 Light" w:cs="Times New Roman"/>
      <w:b/>
      <w:bCs/>
      <w:sz w:val="24"/>
      <w:szCs w:val="24"/>
    </w:rPr>
  </w:style>
  <w:style w:type="character" w:styleId="968" w:customStyle="1">
    <w:name w:val="样式1 字符"/>
    <w:link w:val="969"/>
    <w:uiPriority w:val="0"/>
    <w:qFormat/>
  </w:style>
  <w:style w:type="paragraph" w:styleId="969" w:customStyle="1">
    <w:name w:val="样式1"/>
    <w:basedOn w:val="894"/>
    <w:link w:val="968"/>
    <w:uiPriority w:val="0"/>
    <w:qFormat/>
    <w:pPr>
      <w:ind w:left="210" w:right="210"/>
    </w:pPr>
  </w:style>
  <w:style w:type="character" w:styleId="970" w:customStyle="1">
    <w:name w:val="p0 Char"/>
    <w:link w:val="971"/>
    <w:uiPriority w:val="0"/>
    <w:qFormat/>
    <w:rPr>
      <w:rFonts w:eastAsia="宋体"/>
      <w:sz w:val="21"/>
      <w:szCs w:val="21"/>
      <w:lang w:val="en-US" w:eastAsia="zh-CN" w:bidi="ar-SA"/>
    </w:rPr>
  </w:style>
  <w:style w:type="paragraph" w:styleId="971" w:customStyle="1">
    <w:name w:val="p0"/>
    <w:basedOn w:val="893"/>
    <w:link w:val="970"/>
    <w:uiPriority w:val="0"/>
    <w:qFormat/>
    <w:pPr>
      <w:widowControl/>
    </w:pPr>
    <w:rPr>
      <w:szCs w:val="21"/>
    </w:rPr>
  </w:style>
  <w:style w:type="character" w:styleId="972" w:customStyle="1">
    <w:name w:val="纯文本 Char2"/>
    <w:uiPriority w:val="0"/>
    <w:qFormat/>
    <w:rPr>
      <w:rFonts w:ascii="宋体" w:hAnsi="Courier New"/>
      <w:sz w:val="21"/>
    </w:rPr>
  </w:style>
  <w:style w:type="paragraph" w:styleId="973" w:customStyle="1">
    <w:name w:val="_Style 83"/>
    <w:basedOn w:val="893"/>
    <w:next w:val="942"/>
    <w:uiPriority w:val="99"/>
    <w:qFormat/>
    <w:pPr>
      <w:ind w:firstLine="420"/>
    </w:pPr>
  </w:style>
  <w:style w:type="paragraph" w:styleId="974" w:customStyle="1">
    <w:name w:val="列出段落1"/>
    <w:basedOn w:val="893"/>
    <w:uiPriority w:val="0"/>
    <w:qFormat/>
    <w:pPr>
      <w:ind w:firstLine="420"/>
      <w:spacing w:line="0" w:lineRule="atLeast"/>
    </w:pPr>
    <w:rPr>
      <w:rFonts w:eastAsia="微软雅黑"/>
      <w:sz w:val="20"/>
      <w:szCs w:val="20"/>
    </w:rPr>
  </w:style>
  <w:style w:type="paragraph" w:styleId="975" w:customStyle="1">
    <w:name w:val="Heading 2"/>
    <w:basedOn w:val="893"/>
    <w:next w:val="893"/>
    <w:uiPriority w:val="0"/>
    <w:qFormat/>
    <w:pPr>
      <w:jc w:val="center"/>
      <w:keepNext/>
      <w:widowControl/>
    </w:pPr>
    <w:rPr>
      <w:rFonts w:ascii="楷体_GB2312" w:eastAsia="楷体_GB2312"/>
      <w:sz w:val="18"/>
      <w:szCs w:val="20"/>
    </w:rPr>
  </w:style>
  <w:style w:type="paragraph" w:styleId="976" w:customStyle="1">
    <w:name w:val="TOC 标题11"/>
    <w:basedOn w:val="894"/>
    <w:next w:val="893"/>
    <w:uiPriority w:val="39"/>
    <w:qFormat/>
    <w:pPr>
      <w:jc w:val="left"/>
      <w:spacing w:before="240" w:after="0" w:line="259" w:lineRule="auto"/>
      <w:widowControl/>
      <w:outlineLvl w:val="9"/>
    </w:pPr>
    <w:rPr>
      <w:color w:val="2e74b5"/>
      <w:szCs w:val="32"/>
    </w:rPr>
  </w:style>
  <w:style w:type="paragraph" w:styleId="977">
    <w:name w:val="No Spacing"/>
    <w:basedOn w:val="893"/>
    <w:uiPriority w:val="1"/>
    <w:qFormat/>
  </w:style>
  <w:style w:type="paragraph" w:styleId="978" w:customStyle="1">
    <w:name w:val="纯文本11"/>
    <w:basedOn w:val="893"/>
    <w:uiPriority w:val="0"/>
    <w:qFormat/>
    <w:rPr>
      <w:rFonts w:ascii="宋体" w:hAnsi="Courier New"/>
      <w:sz w:val="20"/>
      <w:szCs w:val="21"/>
    </w:rPr>
  </w:style>
  <w:style w:type="paragraph" w:styleId="979" w:customStyle="1">
    <w:name w:val="Table Paragraph"/>
    <w:basedOn w:val="893"/>
    <w:uiPriority w:val="1"/>
    <w:qFormat/>
    <w:pPr>
      <w:jc w:val="left"/>
    </w:pPr>
    <w:rPr>
      <w:rFonts w:ascii="宋体" w:hAnsi="宋体" w:cs="宋体"/>
      <w:sz w:val="22"/>
      <w:szCs w:val="22"/>
      <w:lang w:val="zh-CN" w:bidi="zh-CN"/>
    </w:rPr>
  </w:style>
  <w:style w:type="paragraph" w:styleId="980" w:customStyle="1">
    <w:name w:val="标题 21"/>
    <w:basedOn w:val="89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1" w:customStyle="1">
    <w:name w:val="列出段落2"/>
    <w:basedOn w:val="893"/>
    <w:uiPriority w:val="99"/>
    <w:unhideWhenUsed/>
    <w:qFormat/>
    <w:pPr>
      <w:ind w:firstLine="420"/>
      <w:jc w:val="left"/>
    </w:pPr>
    <w:rPr>
      <w:rFonts w:ascii="宋体"/>
      <w:sz w:val="20"/>
      <w:szCs w:val="20"/>
    </w:rPr>
  </w:style>
  <w:style w:type="paragraph" w:styleId="982"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83" w:customStyle="1">
    <w:name w:val="_Style 17"/>
    <w:basedOn w:val="893"/>
    <w:next w:val="942"/>
    <w:uiPriority w:val="34"/>
    <w:qFormat/>
    <w:pPr>
      <w:ind w:firstLine="420"/>
    </w:pPr>
    <w:rPr>
      <w:rFonts w:eastAsiaTheme="minorEastAsia" w:cstheme="minorBidi"/>
      <w:szCs w:val="22"/>
    </w:rPr>
  </w:style>
  <w:style w:type="character" w:styleId="984" w:customStyle="1">
    <w:name w:val="Classification"/>
    <w:basedOn w:val="901"/>
    <w:uiPriority w:val="99"/>
    <w:qFormat/>
    <w:rPr>
      <w:rFonts w:asciiTheme="minorHAnsi" w:hAnsiTheme="minorHAnsi" w:eastAsiaTheme="minorEastAsia" w:cstheme="minorBidi"/>
      <w:b/>
      <w:bCs/>
      <w:caps/>
      <w:color w:val="000000"/>
      <w:spacing w:val="20"/>
      <w:sz w:val="20"/>
      <w:szCs w:val="20"/>
    </w:rPr>
  </w:style>
  <w:style w:type="paragraph" w:styleId="985"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986"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87" w:customStyle="1">
    <w:name w:val="首行缩进"/>
    <w:basedOn w:val="893"/>
    <w:uiPriority w:val="99"/>
    <w:qFormat/>
    <w:pPr>
      <w:ind w:firstLine="480"/>
      <w:spacing w:line="360" w:lineRule="auto"/>
    </w:pPr>
  </w:style>
  <w:style w:type="table" w:styleId="988"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8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9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991" w:customStyle="1">
    <w:name w:val="fontstyle01"/>
    <w:basedOn w:val="901"/>
    <w:uiPriority w:val="0"/>
    <w:qFormat/>
    <w:rPr>
      <w:rFonts w:hint="eastAsia" w:ascii="等线" w:hAnsi="等线" w:eastAsia="等线"/>
      <w:color w:val="000000"/>
      <w:sz w:val="20"/>
      <w:szCs w:val="20"/>
    </w:rPr>
  </w:style>
  <w:style w:type="paragraph" w:styleId="992" w:customStyle="1">
    <w:name w:val="标题2"/>
    <w:basedOn w:val="993"/>
    <w:uiPriority w:val="0"/>
    <w:qFormat/>
  </w:style>
  <w:style w:type="paragraph" w:styleId="993" w:customStyle="1">
    <w:name w:val="表题2"/>
    <w:basedOn w:val="895"/>
    <w:uiPriority w:val="0"/>
    <w:qFormat/>
    <w:rPr>
      <w:rFonts w:ascii="黑体" w:hAnsi="Cambria" w:eastAsia="华文中宋"/>
      <w:sz w:val="44"/>
    </w:rPr>
  </w:style>
  <w:style w:type="paragraph" w:styleId="994"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9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96"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97"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998" w:customStyle="1">
    <w:name w:val="active"/>
    <w:basedOn w:val="901"/>
    <w:uiPriority w:val="0"/>
    <w:qFormat/>
    <w:rPr>
      <w:color w:val="ffffff"/>
      <w:shd w:val="clear" w:color="auto" w:fill="0f5bb9"/>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11</cp:revision>
  <dcterms:created xsi:type="dcterms:W3CDTF">2026-04-20T11:44:00Z</dcterms:created>
  <dcterms:modified xsi:type="dcterms:W3CDTF">2026-04-29T07:43:32Z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74D9D2F5953C413E89F6DE598C6B5B98_13</vt:lpwstr>
  </property>
  <property fmtid="{D5CDD505-2E9C-101B-9397-08002B2CF9AE}" pid="4" name="KSOTemplateDocerSaveRecord">
    <vt:lpwstr>eyJoZGlkIjoiZGZkNzIyMWQwMzQyNzJmMGI1YzYwN2ViMzljNWU4NGEiLCJ1c2VySWQiOiIxMzQwMDcwMDQ0In0=</vt:lpwstr>
  </property>
</Properties>
</file>