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jc w:val="center"/>
        <w:keepLines w:val="0"/>
        <w:keepNext w:val="0"/>
        <w:pageBreakBefore w:val="0"/>
        <w:spacing w:line="480" w:lineRule="auto"/>
        <w:widowControl w:val="off"/>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2026年如东小洋口第四届体育嘉年华服务项目</w:t>
      </w:r>
      <w:r/>
    </w:p>
    <w:p>
      <w:pPr>
        <w:ind w:firstLine="1928"/>
        <w:keepLines w:val="0"/>
        <w:keepNext w:val="0"/>
        <w:pageBreakBefore w:val="0"/>
        <w:spacing w:before="120" w:after="120" w:line="480" w:lineRule="auto"/>
        <w:widowControl w:val="off"/>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项目编号：</w:t>
      </w:r>
      <w:r>
        <w:rPr>
          <w:rFonts w:hint="eastAsia" w:ascii="宋体" w:hAnsi="宋体" w:eastAsia="宋体" w:cs="宋体"/>
          <w:b/>
          <w:bCs/>
          <w:color w:val="auto"/>
          <w:sz w:val="32"/>
          <w:szCs w:val="24"/>
          <w:highlight w:val="none"/>
        </w:rPr>
        <w:tab/>
      </w:r>
      <w:r>
        <w:rPr>
          <w:rFonts w:hint="eastAsia" w:ascii="宋体" w:hAnsi="宋体" w:eastAsia="宋体" w:cs="宋体"/>
          <w:b/>
          <w:bCs/>
          <w:color w:val="auto"/>
          <w:sz w:val="32"/>
          <w:szCs w:val="24"/>
          <w:highlight w:val="none"/>
        </w:rPr>
        <w:t xml:space="preserve">JSZC-320623-JDGS-C2026-0020</w:t>
      </w:r>
      <w:r>
        <w:rPr>
          <w:rFonts w:hint="eastAsia" w:ascii="宋体" w:hAnsi="宋体" w:eastAsia="宋体" w:cs="宋体"/>
          <w:b/>
          <w:bCs/>
          <w:color w:val="auto"/>
          <w:sz w:val="32"/>
          <w:szCs w:val="24"/>
          <w:highlight w:val="none"/>
          <w:lang w:val="en-US" w:eastAsia="zh-CN"/>
        </w:rPr>
        <w:t xml:space="preserve"> </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3"/>
        <w:jc w:val="center"/>
        <w:spacing w:before="120" w:after="120" w:line="400" w:lineRule="exact"/>
        <w:rPr>
          <w:rFonts w:hint="eastAsia" w:ascii="宋体" w:hAnsi="宋体" w:eastAsia="宋体" w:cs="宋体"/>
          <w:b/>
          <w:bCs/>
          <w:color w:val="auto"/>
          <w:sz w:val="32"/>
          <w:szCs w:val="32"/>
          <w:highlight w:val="none"/>
          <w:u w:val="single"/>
          <w:lang w:eastAsia="zh-CN"/>
        </w:rPr>
      </w:pPr>
      <w:r>
        <w:rPr>
          <w:rFonts w:hint="eastAsia" w:ascii="宋体" w:hAnsi="宋体" w:eastAsia="宋体" w:cs="宋体"/>
          <w:b/>
          <w:bCs/>
          <w:color w:val="auto"/>
          <w:sz w:val="32"/>
          <w:szCs w:val="32"/>
          <w:highlight w:val="none"/>
          <w:u w:val="single"/>
          <w:lang w:eastAsia="zh-CN"/>
        </w:rPr>
        <w:t xml:space="preserve">江苏省如东小洋口旅游度假区管理办公室</w:t>
      </w:r>
      <w:r/>
    </w:p>
    <w:p>
      <w:pPr>
        <w:ind w:firstLine="643"/>
        <w:jc w:val="center"/>
        <w:spacing w:before="120" w:after="120"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rPr>
        <w:t xml:space="preserve">2026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4</w:t>
      </w:r>
      <w:r>
        <w:rPr>
          <w:rFonts w:hint="eastAsia" w:ascii="宋体" w:hAnsi="宋体" w:eastAsia="宋体" w:cs="宋体"/>
          <w:b/>
          <w:bCs/>
          <w:color w:val="auto"/>
          <w:sz w:val="32"/>
          <w:szCs w:val="32"/>
          <w:highlight w:val="none"/>
        </w:rPr>
        <w:t xml:space="preserve">月</w:t>
      </w:r>
      <w:r/>
    </w:p>
    <w:p>
      <w:pPr>
        <w:ind w:firstLine="883"/>
        <w:jc w:val="center"/>
        <w:spacing w:line="400" w:lineRule="exact"/>
        <w:rPr>
          <w:rFonts w:hint="eastAsia" w:ascii="宋体" w:hAnsi="宋体" w:eastAsia="宋体" w:cs="宋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479757206"/>
      <w:r/>
      <w:bookmarkStart w:id="2" w:name="_Toc20823272"/>
      <w:r/>
      <w:bookmarkStart w:id="3" w:name="_Toc513029200"/>
      <w:r/>
      <w:bookmarkStart w:id="4" w:name="_Toc523127445"/>
      <w:r/>
      <w:bookmarkStart w:id="5" w:name="_Toc16938516"/>
      <w:r/>
      <w:r/>
    </w:p>
    <w:p>
      <w:pPr>
        <w:ind w:firstLine="883"/>
        <w:jc w:val="center"/>
        <w:spacing w:line="400" w:lineRule="exact"/>
        <w:rPr>
          <w:rFonts w:hint="eastAsia" w:ascii="宋体" w:hAnsi="宋体" w:eastAsia="宋体" w:cs="宋体"/>
          <w:b/>
          <w:color w:val="auto"/>
          <w:sz w:val="44"/>
          <w:szCs w:val="21"/>
          <w:highlight w:val="none"/>
        </w:rPr>
        <w:outlineLvl w:val="0"/>
      </w:pPr>
      <w:r>
        <w:rPr>
          <w:rFonts w:hint="eastAsia" w:ascii="宋体" w:hAnsi="宋体" w:eastAsia="宋体" w:cs="宋体"/>
          <w:b/>
          <w:color w:val="auto"/>
          <w:sz w:val="44"/>
          <w:szCs w:val="21"/>
          <w:highlight w:val="none"/>
        </w:rPr>
        <w:t xml:space="preserve">总目录</w:t>
      </w:r>
      <w:r/>
    </w:p>
    <w:p>
      <w:pPr>
        <w:ind w:firstLine="562"/>
        <w:spacing w:line="400" w:lineRule="exact"/>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4"/>
        </w:numPr>
        <w:ind w:left="0" w:firstLine="0"/>
        <w:rPr>
          <w:rFonts w:hint="eastAsia" w:ascii="宋体" w:hAnsi="宋体" w:eastAsia="宋体" w:cs="宋体"/>
          <w:color w:val="auto"/>
          <w:sz w:val="32"/>
          <w:szCs w:val="21"/>
          <w:highlight w:val="none"/>
        </w:rPr>
        <w:outlineLvl w:val="0"/>
      </w:pPr>
      <w:r>
        <w:rPr>
          <w:rFonts w:hint="eastAsia" w:ascii="宋体" w:hAnsi="宋体" w:eastAsia="宋体" w:cs="宋体"/>
          <w:color w:val="auto"/>
          <w:sz w:val="36"/>
          <w:szCs w:val="21"/>
          <w:highlight w:val="none"/>
        </w:rPr>
        <w:t xml:space="preserve">磋商邀请……………………………………1</w:t>
      </w:r>
      <w:r/>
    </w:p>
    <w:p>
      <w:pPr>
        <w:numPr>
          <w:ilvl w:val="0"/>
          <w:numId w:val="4"/>
        </w:numPr>
        <w:ind w:left="0" w:firstLine="0"/>
        <w:rPr>
          <w:rFonts w:hint="eastAsia" w:ascii="宋体" w:hAnsi="宋体" w:eastAsia="宋体" w:cs="宋体"/>
          <w:color w:val="auto"/>
          <w:sz w:val="36"/>
          <w:szCs w:val="21"/>
          <w:highlight w:val="none"/>
        </w:rPr>
        <w:outlineLvl w:val="0"/>
      </w:pPr>
      <w:r>
        <w:rPr>
          <w:rFonts w:hint="eastAsia" w:ascii="宋体" w:hAnsi="宋体" w:eastAsia="宋体" w:cs="宋体"/>
          <w:bCs/>
          <w:color w:val="auto"/>
          <w:sz w:val="36"/>
          <w:szCs w:val="36"/>
          <w:highlight w:val="none"/>
        </w:rPr>
        <w:t xml:space="preserve">供应商须知</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21"/>
          <w:highlight w:val="none"/>
        </w:rPr>
        <w:t xml:space="preserve">………………………………5</w:t>
      </w:r>
      <w:r/>
    </w:p>
    <w:p>
      <w:pPr>
        <w:numPr>
          <w:ilvl w:val="0"/>
          <w:numId w:val="4"/>
        </w:numPr>
        <w:ind w:left="0" w:firstLine="0"/>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合同文本……………………………………1</w:t>
      </w:r>
      <w:r>
        <w:rPr>
          <w:rFonts w:hint="eastAsia" w:ascii="宋体" w:hAnsi="宋体" w:cs="宋体"/>
          <w:color w:val="auto"/>
          <w:sz w:val="36"/>
          <w:szCs w:val="21"/>
          <w:highlight w:val="none"/>
          <w:lang w:val="en-US" w:eastAsia="zh-CN"/>
        </w:rPr>
        <w:t xml:space="preserve">7</w:t>
      </w:r>
      <w:r/>
    </w:p>
    <w:p>
      <w:pPr>
        <w:numPr>
          <w:ilvl w:val="0"/>
          <w:numId w:val="4"/>
        </w:numPr>
        <w:ind w:left="0" w:firstLine="0"/>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rPr>
          <w:rFonts w:hint="eastAsia" w:ascii="宋体" w:hAnsi="宋体" w:cs="宋体"/>
          <w:color w:val="auto"/>
          <w:sz w:val="36"/>
          <w:szCs w:val="21"/>
          <w:highlight w:val="none"/>
          <w:lang w:val="en-US" w:eastAsia="zh-CN"/>
        </w:rPr>
        <w:t xml:space="preserve">29</w:t>
      </w:r>
      <w:r/>
    </w:p>
    <w:p>
      <w:pPr>
        <w:numPr>
          <w:ilvl w:val="0"/>
          <w:numId w:val="4"/>
        </w:numPr>
        <w:ind w:left="0" w:firstLine="0"/>
        <w:rPr>
          <w:rFonts w:hint="eastAsia" w:ascii="宋体" w:hAnsi="宋体" w:eastAsia="宋体" w:cs="宋体"/>
          <w:color w:val="auto"/>
          <w:sz w:val="36"/>
          <w:szCs w:val="21"/>
          <w:highlight w:val="none"/>
        </w:rPr>
        <w:outlineLvl w:val="0"/>
      </w:pPr>
      <w:r>
        <w:rPr>
          <w:rFonts w:hint="eastAsia" w:ascii="宋体" w:hAnsi="宋体" w:eastAsia="宋体" w:cs="宋体"/>
          <w:bCs/>
          <w:color w:val="auto"/>
          <w:sz w:val="36"/>
          <w:szCs w:val="36"/>
          <w:highlight w:val="none"/>
        </w:rPr>
        <w:t xml:space="preserve">评审方法与评审标准</w:t>
      </w:r>
      <w:r>
        <w:rPr>
          <w:rFonts w:hint="eastAsia" w:ascii="宋体" w:hAnsi="宋体" w:eastAsia="宋体" w:cs="宋体"/>
          <w:color w:val="auto"/>
          <w:sz w:val="36"/>
          <w:szCs w:val="21"/>
          <w:highlight w:val="none"/>
        </w:rPr>
        <w:t xml:space="preserve">………………………</w:t>
      </w:r>
      <w:r>
        <w:rPr>
          <w:rFonts w:hint="eastAsia" w:ascii="宋体" w:hAnsi="宋体" w:cs="宋体"/>
          <w:color w:val="auto"/>
          <w:sz w:val="36"/>
          <w:szCs w:val="21"/>
          <w:highlight w:val="none"/>
          <w:lang w:val="en-US" w:eastAsia="zh-CN"/>
        </w:rPr>
        <w:t xml:space="preserve">39</w:t>
      </w:r>
      <w:r/>
    </w:p>
    <w:p>
      <w:pPr>
        <w:numPr>
          <w:ilvl w:val="0"/>
          <w:numId w:val="4"/>
        </w:numPr>
        <w:ind w:left="0" w:firstLine="0"/>
        <w:rPr>
          <w:rFonts w:hint="default" w:ascii="宋体" w:hAnsi="宋体" w:eastAsia="宋体" w:cs="宋体"/>
          <w:color w:val="auto"/>
          <w:sz w:val="36"/>
          <w:szCs w:val="21"/>
          <w:highlight w:val="none"/>
          <w:lang w:val="en-US"/>
        </w:rPr>
        <w:outlineLvl w:val="0"/>
      </w:pPr>
      <w:r>
        <w:rPr>
          <w:rFonts w:hint="eastAsia" w:ascii="宋体" w:hAnsi="宋体" w:eastAsia="宋体" w:cs="宋体"/>
          <w:color w:val="auto"/>
          <w:sz w:val="36"/>
          <w:szCs w:val="21"/>
          <w:highlight w:val="none"/>
        </w:rPr>
        <w:t xml:space="preserve">响应文件格式………………………………</w:t>
      </w:r>
      <w:r>
        <w:rPr>
          <w:rFonts w:hint="eastAsia" w:ascii="宋体" w:hAnsi="宋体" w:cs="宋体"/>
          <w:color w:val="auto"/>
          <w:sz w:val="36"/>
          <w:szCs w:val="21"/>
          <w:highlight w:val="none"/>
          <w:lang w:val="en-US" w:eastAsia="zh-CN"/>
        </w:rPr>
        <w:t xml:space="preserve">41</w:t>
      </w:r>
      <w:r/>
    </w:p>
    <w:p>
      <w:pPr>
        <w:ind w:firstLine="420"/>
        <w:spacing w:line="400" w:lineRule="exact"/>
        <w:rPr>
          <w:rFonts w:hint="eastAsia" w:ascii="宋体" w:hAnsi="宋体" w:eastAsia="宋体" w:cs="宋体"/>
          <w:color w:val="auto"/>
          <w:szCs w:val="21"/>
          <w:highlight w:val="none"/>
        </w:rPr>
      </w:pPr>
      <w:r/>
      <w:bookmarkStart w:id="187" w:name="_GoBack"/>
      <w:r/>
      <w:bookmarkEnd w:id="187"/>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hint="eastAsia" w:ascii="宋体" w:hAnsi="宋体" w:eastAsia="宋体" w:cs="宋体"/>
          <w:color w:val="auto"/>
          <w:szCs w:val="21"/>
          <w:highlight w:val="none"/>
        </w:rPr>
      </w:r>
      <w:bookmarkEnd w:id="0"/>
      <w:r/>
    </w:p>
    <w:p>
      <w:pPr>
        <w:numPr>
          <w:ilvl w:val="0"/>
          <w:numId w:val="5"/>
        </w:numPr>
        <w:ind w:firstLine="723"/>
        <w:jc w:val="center"/>
        <w:keepNext/>
        <w:spacing w:line="40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磋商邀请</w:t>
      </w:r>
      <w:r/>
    </w:p>
    <w:p>
      <w:pPr>
        <w:numPr>
          <w:ilvl w:val="0"/>
          <w:numId w:val="0"/>
        </w:numPr>
        <w:ind w:firstLine="480"/>
        <w:jc w:val="both"/>
        <w:keepLines w:val="0"/>
        <w:keepNext/>
        <w:pageBreakBefore w:val="0"/>
        <w:spacing w:line="4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江苏省如东小洋口旅游度假区管理办公室</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江苏建达全过程工程咨询有限公司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2026年如东小洋口第四届体育嘉年华服务项目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：JSZC-320623-JDGS-C2026-0020</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spacing w:line="400" w:lineRule="exact"/>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spacing w:line="400" w:lineRule="exact"/>
        <w:rPr>
          <w:rFonts w:hint="eastAsia" w:ascii="宋体" w:hAnsi="宋体" w:eastAsia="宋体" w:cs="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lang w:eastAsia="zh-CN"/>
        </w:rPr>
        <w:t xml:space="preserve"> 2026年如东小洋口第四届体育嘉年华服务项目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b/>
          <w:bCs/>
          <w:color w:val="auto"/>
          <w:sz w:val="24"/>
          <w:szCs w:val="24"/>
          <w:highlight w:val="none"/>
        </w:rPr>
        <w:t xml:space="preserve">并于</w:t>
      </w:r>
      <w:r>
        <w:rPr>
          <w:rFonts w:hint="eastAsia" w:ascii="宋体" w:hAnsi="宋体" w:eastAsia="宋体" w:cs="宋体"/>
          <w:b/>
          <w:bCs/>
          <w:color w:val="auto"/>
          <w:sz w:val="24"/>
          <w:szCs w:val="24"/>
          <w:highlight w:val="none"/>
          <w:u w:val="single"/>
        </w:rPr>
      </w:r>
      <w:r>
        <w:rPr>
          <w:rFonts w:ascii="SimSun" w:hAnsi="SimSun" w:eastAsia="SimSun" w:cs="SimSun"/>
          <w:b/>
          <w:color w:val="000000"/>
          <w:sz w:val="24"/>
          <w:u w:val="single"/>
        </w:rPr>
        <w:t xml:space="preserve">2026年5月12日下午3时00分</w:t>
      </w:r>
      <w:r>
        <w:rPr>
          <w:rFonts w:hint="eastAsia" w:ascii="宋体" w:hAnsi="宋体" w:eastAsia="宋体" w:cs="宋体"/>
          <w:b/>
          <w:bCs/>
          <w:color w:val="auto"/>
          <w:sz w:val="24"/>
          <w:szCs w:val="24"/>
          <w:highlight w:val="none"/>
          <w:u w:val="single"/>
        </w:rPr>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rPr>
        <w:t xml:space="preserve">北京时间）前递交响应文件。 </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r/>
    </w:p>
    <w:p>
      <w:pPr>
        <w:contextualSpacing/>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1.项目编号：JSZC-320623-JDGS-C2026-0020</w:t>
      </w:r>
      <w:r>
        <w:rPr>
          <w:rFonts w:hint="eastAsia" w:ascii="宋体" w:hAnsi="宋体" w:eastAsia="宋体" w:cs="宋体"/>
          <w:color w:val="auto"/>
          <w:sz w:val="24"/>
          <w:szCs w:val="24"/>
          <w:highlight w:val="none"/>
          <w:lang w:val="en-US" w:eastAsia="zh-CN"/>
        </w:rPr>
        <w:t xml:space="preserve">     </w:t>
      </w:r>
      <w:r/>
    </w:p>
    <w:p>
      <w:pPr>
        <w:contextualSpacing/>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2.项目名称：</w:t>
      </w:r>
      <w:bookmarkEnd w:id="11"/>
      <w:r>
        <w:rPr>
          <w:rFonts w:hint="eastAsia" w:ascii="宋体" w:hAnsi="宋体" w:eastAsia="宋体" w:cs="宋体"/>
          <w:color w:val="auto"/>
          <w:sz w:val="24"/>
          <w:szCs w:val="24"/>
          <w:highlight w:val="none"/>
          <w:lang w:eastAsia="zh-CN"/>
        </w:rPr>
        <w:t xml:space="preserve">2026年如东小洋口第四届体育嘉年华服务项目</w:t>
      </w:r>
      <w:r/>
    </w:p>
    <w:p>
      <w:pPr>
        <w:contextualSpacing/>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3.项目类型：服务</w:t>
      </w:r>
      <w:r/>
    </w:p>
    <w:p>
      <w:pPr>
        <w:contextualSpacing/>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4.项目行业：其他未列明行业</w:t>
      </w:r>
      <w:r/>
    </w:p>
    <w:p>
      <w:pPr>
        <w:contextualSpacing/>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.预算金额</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lang w:val="zh-CN"/>
        </w:rPr>
        <w:t xml:space="preserve">万元</w:t>
      </w:r>
      <w:r>
        <w:rPr>
          <w:rFonts w:hint="eastAsia" w:ascii="宋体" w:hAnsi="宋体" w:eastAsia="宋体" w:cs="宋体"/>
          <w:color w:val="auto"/>
          <w:sz w:val="24"/>
          <w:szCs w:val="24"/>
          <w:highlight w:val="none"/>
          <w:lang w:val="en-US" w:eastAsia="zh-CN"/>
        </w:rPr>
        <w:t xml:space="preserve"> </w:t>
      </w:r>
      <w:r/>
    </w:p>
    <w:p>
      <w:pPr>
        <w:ind w:firstLine="480"/>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6.最高限价：</w:t>
      </w:r>
      <w:r>
        <w:rPr>
          <w:rFonts w:hint="eastAsia" w:ascii="宋体" w:hAnsi="宋体" w:cs="宋体"/>
          <w:color w:val="auto"/>
          <w:sz w:val="24"/>
          <w:szCs w:val="24"/>
          <w:highlight w:val="none"/>
          <w:lang w:val="en-US" w:eastAsia="zh-CN"/>
        </w:rPr>
        <w:t xml:space="preserve">164.8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最终报价超过最高</w:t>
      </w:r>
      <w:r>
        <w:rPr>
          <w:rFonts w:hint="eastAsia" w:ascii="宋体" w:hAnsi="宋体" w:eastAsia="宋体" w:cs="宋体"/>
          <w:color w:val="auto"/>
          <w:sz w:val="24"/>
          <w:szCs w:val="24"/>
          <w:highlight w:val="none"/>
        </w:rPr>
        <w:t xml:space="preserve">限价的为无效投标</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7.采购需求（简介）：</w:t>
      </w:r>
      <w:r>
        <w:rPr>
          <w:rFonts w:hint="eastAsia" w:ascii="宋体" w:hAnsi="宋体" w:eastAsia="宋体" w:cs="宋体"/>
          <w:color w:val="auto"/>
          <w:sz w:val="24"/>
          <w:szCs w:val="24"/>
          <w:highlight w:val="none"/>
        </w:rPr>
        <w:t xml:space="preserve">详见磋商文件第四章,请仔细研究。</w:t>
      </w:r>
      <w:r/>
    </w:p>
    <w:p>
      <w:pPr>
        <w:contextualSpacing/>
        <w:ind w:firstLine="480"/>
        <w:pageBreakBefore w:val="0"/>
        <w:spacing w:line="360" w:lineRule="auto"/>
        <w:rPr>
          <w:rFonts w:hint="eastAsia" w:ascii="宋体" w:hAnsi="宋体" w:eastAsia="宋体" w:cs="宋体"/>
          <w:b/>
          <w:color w:val="auto"/>
          <w:sz w:val="28"/>
          <w:szCs w:val="28"/>
          <w:highlight w:val="none"/>
          <w:lang w:val="zh-CN"/>
        </w:rPr>
      </w:pPr>
      <w:r>
        <w:rPr>
          <w:rFonts w:hint="eastAsia" w:ascii="宋体" w:hAnsi="宋体" w:eastAsia="宋体" w:cs="宋体"/>
          <w:color w:val="auto"/>
          <w:sz w:val="24"/>
          <w:szCs w:val="24"/>
          <w:highlight w:val="none"/>
        </w:rPr>
        <w:t xml:space="preserve">8.合同履行期限：</w:t>
      </w:r>
      <w:r>
        <w:rPr>
          <w:rFonts w:hint="eastAsia" w:ascii="宋体" w:hAnsi="宋体" w:eastAsia="宋体" w:cs="宋体"/>
          <w:color w:val="auto"/>
          <w:sz w:val="24"/>
          <w:szCs w:val="24"/>
          <w:highlight w:val="none"/>
          <w:lang w:val="zh-CN"/>
        </w:rPr>
        <w:t xml:space="preserve">详见采购文件。</w:t>
      </w:r>
      <w:r/>
    </w:p>
    <w:p>
      <w:pPr>
        <w:contextualSpacing/>
        <w:ind w:firstLine="48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zh-CN"/>
        </w:rPr>
        <w:t xml:space="preserve">本项目</w:t>
      </w:r>
      <w:r>
        <w:rPr>
          <w:rFonts w:hint="eastAsia" w:ascii="宋体" w:hAnsi="宋体" w:eastAsia="宋体" w:cs="宋体"/>
          <w:b w:val="0"/>
          <w:bCs w:val="0"/>
          <w:color w:val="auto"/>
          <w:sz w:val="24"/>
          <w:szCs w:val="24"/>
          <w:highlight w:val="none"/>
        </w:rPr>
        <w:t xml:space="preserve">是否</w:t>
      </w:r>
      <w:r>
        <w:rPr>
          <w:rFonts w:hint="eastAsia" w:ascii="宋体" w:hAnsi="宋体" w:eastAsia="宋体" w:cs="宋体"/>
          <w:b w:val="0"/>
          <w:bCs w:val="0"/>
          <w:color w:val="auto"/>
          <w:sz w:val="24"/>
          <w:szCs w:val="24"/>
          <w:highlight w:val="none"/>
          <w:lang w:val="zh-CN"/>
        </w:rPr>
        <w:t xml:space="preserve">接受联合体投标：</w:t>
      </w:r>
      <w:r>
        <w:rPr>
          <w:rFonts w:hint="eastAsia" w:ascii="宋体" w:hAnsi="宋体" w:eastAsia="宋体" w:cs="宋体"/>
          <w:b w:val="0"/>
          <w:bCs w:val="0"/>
          <w:color w:val="auto"/>
          <w:sz w:val="24"/>
          <w:szCs w:val="24"/>
          <w:highlight w:val="none"/>
        </w:rPr>
        <w:t xml:space="preserve">否</w:t>
      </w:r>
      <w:r>
        <w:rPr>
          <w:rFonts w:hint="eastAsia" w:ascii="宋体" w:hAnsi="宋体" w:eastAsia="宋体" w:cs="宋体"/>
          <w:b w:val="0"/>
          <w:bCs w:val="0"/>
          <w:color w:val="auto"/>
          <w:sz w:val="24"/>
          <w:szCs w:val="24"/>
          <w:highlight w:val="none"/>
          <w:lang w:val="zh-CN"/>
        </w:rPr>
        <w:t xml:space="preserve">。</w:t>
      </w:r>
      <w:r/>
    </w:p>
    <w:p>
      <w:pPr>
        <w:contextualSpacing/>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本项目是否专门面向中小企业采购：</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lang w:val="zh-CN"/>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12" w:name="_Toc28359003"/>
      <w:r/>
      <w:bookmarkStart w:id="13" w:name="_Toc35393791"/>
      <w:r/>
      <w:bookmarkStart w:id="14" w:name="_Toc35393622"/>
      <w:r/>
      <w:bookmarkStart w:id="15" w:name="_Toc38985264"/>
      <w:r/>
      <w:bookmarkStart w:id="16" w:name="_Toc28359080"/>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firstLine="480"/>
        <w:pageBreakBefore w:val="0"/>
        <w:spacing w:line="360" w:lineRule="auto"/>
        <w:rPr>
          <w:rFonts w:hint="eastAsia" w:ascii="宋体" w:hAnsi="宋体" w:eastAsia="宋体" w:cs="宋体"/>
          <w:color w:val="auto"/>
          <w:sz w:val="24"/>
          <w:szCs w:val="24"/>
          <w:highlight w:val="none"/>
        </w:rPr>
      </w:pPr>
      <w:r/>
      <w:bookmarkStart w:id="17" w:name="_Toc28359081"/>
      <w:r/>
      <w:bookmarkStart w:id="18" w:name="_Toc28359004"/>
      <w:r/>
      <w:bookmarkStart w:id="19" w:name="_Toc38985265"/>
      <w:r/>
      <w:bookmarkStart w:id="20" w:name="_Toc35393792"/>
      <w:r/>
      <w:bookmarkStart w:id="21"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4"/>
          <w:szCs w:val="24"/>
          <w:highlight w:val="none"/>
        </w:rPr>
        <w:t xml:space="preserve">（响应文件中无需提供证明材料）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采购文件</w:t>
      </w:r>
      <w:r/>
    </w:p>
    <w:p>
      <w:pPr>
        <w:ind w:firstLine="480"/>
        <w:jc w:val="left"/>
        <w:pageBreakBefore w:val="0"/>
        <w:spacing w:line="360" w:lineRule="auto"/>
        <w:rPr>
          <w:rFonts w:hint="eastAsia" w:ascii="宋体" w:hAnsi="宋体" w:eastAsia="宋体" w:cs="宋体"/>
          <w:color w:val="auto"/>
          <w:sz w:val="24"/>
          <w:szCs w:val="24"/>
          <w:highlight w:val="none"/>
        </w:rPr>
      </w:pPr>
      <w:r/>
      <w:bookmarkStart w:id="22" w:name="_Toc38985266"/>
      <w:r/>
      <w:bookmarkStart w:id="23" w:name="_Toc35393624"/>
      <w:r/>
      <w:bookmarkStart w:id="24" w:name="_Toc28359082"/>
      <w:r/>
      <w:bookmarkStart w:id="25" w:name="_Toc35393793"/>
      <w:r/>
      <w:bookmarkStart w:id="26" w:name="_Toc28359005"/>
      <w:r>
        <w:rPr>
          <w:rFonts w:hint="eastAsia" w:ascii="宋体" w:hAnsi="宋体" w:eastAsia="宋体" w:cs="宋体"/>
          <w:color w:val="auto"/>
          <w:sz w:val="24"/>
          <w:szCs w:val="24"/>
          <w:highlight w:val="none"/>
        </w:rPr>
        <w:t xml:space="preserve">1.时间</w:t>
      </w:r>
      <w:r>
        <w:rPr>
          <w:rFonts w:hint="eastAsia" w:ascii="宋体" w:hAnsi="宋体" w:eastAsia="宋体" w:cs="宋体"/>
          <w:b/>
          <w:bCs/>
          <w:color w:val="auto"/>
          <w:sz w:val="24"/>
          <w:szCs w:val="24"/>
          <w:highlight w:val="none"/>
        </w:rPr>
        <w:t xml:space="preserve">：自磋商文件公告发布之日起5个工作日。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2.方式：在“江苏政府采购网”自行免费下载磋商文件。</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3.获取方式：本项目采用网上注册登记方式。</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4.方式：凡有意参与投标的供应商须登录江苏政府采购网首页点击“苏采云”→通过CA锁进行响应确认，并自行在磋商文件有效获取期内及时下载获取。</w:t>
      </w:r>
      <w:r/>
    </w:p>
    <w:p>
      <w:pPr>
        <w:ind w:firstLine="480"/>
        <w:jc w:val="left"/>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5.售价：免费</w:t>
      </w:r>
      <w:bookmarkEnd w:id="22"/>
      <w:bookmarkEnd w:id="23"/>
      <w:bookmarkEnd w:id="24"/>
      <w:bookmarkEnd w:id="25"/>
      <w:bookmarkEnd w:id="26"/>
      <w:r/>
    </w:p>
    <w:p>
      <w:pPr>
        <w:ind w:firstLine="643"/>
        <w:pageBreakBefore w:val="0"/>
        <w:spacing w:line="360" w:lineRule="auto"/>
        <w:rPr>
          <w:rFonts w:hint="eastAsia" w:ascii="宋体" w:hAnsi="宋体" w:eastAsia="宋体" w:cs="宋体"/>
          <w:b/>
          <w:bCs/>
          <w:color w:val="auto"/>
          <w:sz w:val="32"/>
          <w:szCs w:val="32"/>
          <w:highlight w:val="none"/>
        </w:rPr>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b/>
          <w:bCs/>
          <w:color w:val="auto"/>
          <w:sz w:val="32"/>
          <w:szCs w:val="32"/>
          <w:highlight w:val="none"/>
        </w:rPr>
        <w:t xml:space="preserve">四、响应文件提交</w:t>
      </w:r>
      <w:r/>
    </w:p>
    <w:p>
      <w:pPr>
        <w:ind w:firstLine="48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.截止时间</w:t>
      </w:r>
      <w:r>
        <w:rPr>
          <w:rFonts w:hint="eastAsia" w:ascii="宋体" w:hAnsi="宋体" w:eastAsia="宋体" w:cs="宋体"/>
          <w:b/>
          <w:bCs/>
          <w:color w:val="auto"/>
          <w:sz w:val="24"/>
          <w:szCs w:val="24"/>
          <w:highlight w:val="none"/>
        </w:rPr>
        <w:t xml:space="preserve">2026年5月12日下午3时00分</w:t>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（北京时间）。逾时，系统将拒绝接受上传响应文件电子文档。</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2.地点：“苏采云”政府采购一体化平台。</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firstLine="480"/>
        <w:jc w:val="left"/>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5393795"/>
      <w:r/>
      <w:bookmarkStart w:id="34" w:name="_Toc38985268"/>
      <w:r>
        <w:rPr>
          <w:rFonts w:hint="eastAsia" w:ascii="宋体" w:hAnsi="宋体" w:eastAsia="宋体" w:cs="宋体"/>
          <w:color w:val="auto"/>
          <w:sz w:val="24"/>
          <w:szCs w:val="24"/>
          <w:highlight w:val="none"/>
        </w:rPr>
        <w:t xml:space="preserve">自本公告发布之日起3个工作日。</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firstLine="480"/>
        <w:jc w:val="left"/>
        <w:pageBreakBefore w:val="0"/>
        <w:spacing w:line="360" w:lineRule="auto"/>
        <w:rPr>
          <w:rFonts w:hint="eastAsia" w:ascii="宋体" w:hAnsi="宋体" w:eastAsia="宋体" w:cs="宋体"/>
          <w:color w:val="auto"/>
          <w:sz w:val="24"/>
          <w:szCs w:val="24"/>
          <w:highlight w:val="none"/>
        </w:rPr>
      </w:pPr>
      <w:r/>
      <w:bookmarkStart w:id="35" w:name="_Toc28359085"/>
      <w:r/>
      <w:bookmarkStart w:id="36" w:name="_Toc28359008"/>
      <w:r/>
      <w:bookmarkStart w:id="37" w:name="_Toc35393627"/>
      <w:r/>
      <w:bookmarkStart w:id="38" w:name="_Toc38985269"/>
      <w:r/>
      <w:bookmarkStart w:id="39" w:name="_Toc35393796"/>
      <w:r>
        <w:rPr>
          <w:rFonts w:hint="eastAsia" w:ascii="宋体" w:hAnsi="宋体" w:eastAsia="宋体" w:cs="宋体"/>
          <w:color w:val="auto"/>
          <w:sz w:val="24"/>
          <w:szCs w:val="24"/>
          <w:highlight w:val="none"/>
        </w:rPr>
        <w:t xml:space="preserve">1.项目磋商活动模式：不见面远程磋商模式。</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4.开标当天投标供应商应及时登录“苏采云”政府采购一体化平台，并在规定时</w:t>
      </w:r>
      <w:r>
        <w:rPr>
          <w:rFonts w:hint="eastAsia" w:ascii="宋体" w:hAnsi="宋体" w:eastAsia="宋体" w:cs="宋体"/>
          <w:color w:val="auto"/>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节能环保产品：依据财政部、发展改革委发布的《节能产品政府采购品目清单》，本项目如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1.采购人信息</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江苏省如东小洋口旅游度假区管理办公室</w:t>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地址：</w:t>
      </w:r>
      <w:r>
        <w:rPr>
          <w:rFonts w:hint="eastAsia" w:ascii="宋体" w:hAnsi="宋体" w:eastAsia="宋体" w:cs="宋体"/>
          <w:color w:val="auto"/>
          <w:sz w:val="24"/>
          <w:szCs w:val="24"/>
          <w:highlight w:val="none"/>
          <w:u w:val="none"/>
          <w:lang w:eastAsia="zh-CN"/>
        </w:rPr>
        <w:t xml:space="preserve">如东小洋口旅游度假区</w:t>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钱琪</w:t>
      </w:r>
      <w:r>
        <w:rPr>
          <w:rFonts w:hint="eastAsia" w:ascii="宋体" w:hAnsi="宋体" w:eastAsia="宋体" w:cs="宋体"/>
          <w:color w:val="auto"/>
          <w:sz w:val="24"/>
          <w:szCs w:val="24"/>
          <w:highlight w:val="none"/>
          <w:u w:val="none"/>
        </w:rPr>
        <w:t xml:space="preserve"> </w:t>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联系方式：15851316645 </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2.代理机构信息</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 江苏建达全过程工程咨询有限公司</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地址：海安市城东镇宁海南路195号</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耿工</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联系方式：19895916002/18761700616   </w:t>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项目联系人:</w:t>
      </w:r>
      <w:r>
        <w:rPr>
          <w:rFonts w:hint="eastAsia" w:ascii="宋体" w:hAnsi="宋体" w:eastAsia="宋体" w:cs="宋体"/>
          <w:color w:val="auto"/>
          <w:sz w:val="24"/>
          <w:szCs w:val="24"/>
          <w:highlight w:val="none"/>
          <w:u w:val="none"/>
          <w:lang w:val="en-US" w:eastAsia="zh-CN"/>
        </w:rPr>
        <w:t xml:space="preserve">钱琪</w:t>
      </w:r>
      <w:r>
        <w:rPr>
          <w:rFonts w:hint="eastAsia" w:ascii="宋体" w:hAnsi="宋体" w:eastAsia="宋体" w:cs="宋体"/>
          <w:color w:val="auto"/>
          <w:sz w:val="24"/>
          <w:szCs w:val="24"/>
          <w:highlight w:val="none"/>
          <w:u w:val="none"/>
        </w:rPr>
        <w:t xml:space="preserve">   </w:t>
      </w:r>
      <w:r/>
    </w:p>
    <w:p>
      <w:pPr>
        <w:ind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联系电话：15851316645 </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4.软件维护人员</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联系方式：0519-86722801、0519-86722806  </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5.CA联系方式</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联系人：朱工 </w:t>
      </w:r>
      <w:r/>
    </w:p>
    <w:p>
      <w:pPr>
        <w:ind w:firstLine="480"/>
        <w:jc w:val="left"/>
        <w:pageBreakBefore w:val="0"/>
        <w:spacing w:line="360" w:lineRule="auto"/>
        <w:shd w:val="clear" w:color="auto" w:fill="ffffff"/>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联系方式：18951314963  </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八、其他</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pPr>
      <w:r/>
      <w:bookmarkStart w:id="40" w:name="_Toc120614211"/>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4"/>
          <w:highlight w:val="none"/>
        </w:rPr>
        <w:t xml:space="preserve">根据省财政厅《关于更换全省政府采购交易系统C 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有关本次磋商的事项若存在变动或修改，敬请及时关注在“江苏政府采购网”发布的更正公告。</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本次磋商不收取磋商保证金。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44"/>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44"/>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44"/>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44"/>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left"/>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723"/>
        <w:jc w:val="center"/>
        <w:keepNext/>
        <w:spacing w:line="40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第二章</w:t>
      </w:r>
      <w:bookmarkEnd w:id="1"/>
      <w:r/>
      <w:bookmarkEnd w:id="2"/>
      <w:r/>
      <w:bookmarkEnd w:id="3"/>
      <w:r/>
      <w:bookmarkEnd w:id="4"/>
      <w:r/>
      <w:bookmarkEnd w:id="5"/>
      <w:r/>
      <w:bookmarkEnd w:id="40"/>
      <w:r>
        <w:rPr>
          <w:rFonts w:hint="eastAsia" w:ascii="宋体" w:hAnsi="宋体" w:eastAsia="宋体" w:cs="宋体"/>
          <w:b/>
          <w:bCs/>
          <w:color w:val="auto"/>
          <w:sz w:val="36"/>
          <w:szCs w:val="36"/>
          <w:highlight w:val="none"/>
        </w:rPr>
        <w:t xml:space="preserve"> 供应商须知</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1" w:name="_Toc513029203"/>
      <w:r/>
      <w:bookmarkStart w:id="42" w:name="_Toc120614214"/>
      <w:r/>
      <w:bookmarkStart w:id="43" w:name="_Toc16938519"/>
      <w:r/>
      <w:bookmarkStart w:id="44" w:name="_Toc20823275"/>
      <w:r>
        <w:rPr>
          <w:rFonts w:hint="eastAsia" w:ascii="宋体" w:hAnsi="宋体" w:eastAsia="宋体" w:cs="宋体"/>
          <w:b/>
          <w:bCs/>
          <w:color w:val="auto"/>
          <w:sz w:val="32"/>
          <w:szCs w:val="32"/>
          <w:highlight w:val="none"/>
        </w:rPr>
        <w:t xml:space="preserve">一、总则</w:t>
      </w:r>
      <w:bookmarkEnd w:id="41"/>
      <w:r/>
      <w:bookmarkEnd w:id="42"/>
      <w:r/>
      <w:bookmarkEnd w:id="43"/>
      <w:r/>
      <w:bookmarkEnd w:id="44"/>
      <w:r/>
      <w:r/>
    </w:p>
    <w:p>
      <w:pPr>
        <w:ind w:left="0"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5" w:name="_Hlt16619475"/>
      <w:r/>
      <w:bookmarkEnd w:id="45"/>
      <w:r/>
      <w:bookmarkStart w:id="46" w:name="_Toc458694821"/>
      <w:r/>
      <w:bookmarkStart w:id="47" w:name="_Toc513029204"/>
      <w:r/>
      <w:bookmarkStart w:id="48" w:name="_Toc20823276"/>
      <w:r/>
      <w:bookmarkStart w:id="49" w:name="_Toc16938520"/>
      <w:r>
        <w:rPr>
          <w:rFonts w:hint="eastAsia" w:ascii="宋体" w:hAnsi="宋体" w:eastAsia="宋体" w:cs="宋体"/>
          <w:color w:val="auto"/>
          <w:sz w:val="28"/>
          <w:szCs w:val="28"/>
          <w:highlight w:val="none"/>
        </w:rPr>
        <w:t xml:space="preserve">1</w:t>
      </w:r>
      <w:bookmarkEnd w:id="46"/>
      <w:r>
        <w:rPr>
          <w:rFonts w:hint="eastAsia" w:ascii="宋体" w:hAnsi="宋体" w:eastAsia="宋体" w:cs="宋体"/>
          <w:color w:val="auto"/>
          <w:sz w:val="28"/>
          <w:szCs w:val="28"/>
          <w:highlight w:val="none"/>
        </w:rPr>
        <w:t xml:space="preserve">、采购方式</w:t>
      </w:r>
      <w:bookmarkEnd w:id="47"/>
      <w:r/>
      <w:bookmarkEnd w:id="48"/>
      <w:r/>
      <w:bookmarkEnd w:id="49"/>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本次政府采购活动采取竞争性磋商(以下简称磋商)方式，本磋商文件仅适用于磋商公告中所述项目。</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0" w:name="_Toc20823277"/>
      <w:r/>
      <w:bookmarkStart w:id="51" w:name="_Toc513029205"/>
      <w:r/>
      <w:bookmarkStart w:id="52" w:name="_Toc16938521"/>
      <w:r>
        <w:rPr>
          <w:rFonts w:hint="eastAsia" w:ascii="宋体" w:hAnsi="宋体" w:eastAsia="宋体" w:cs="宋体"/>
          <w:color w:val="auto"/>
          <w:sz w:val="28"/>
          <w:szCs w:val="28"/>
          <w:highlight w:val="none"/>
        </w:rPr>
        <w:t xml:space="preserve">2、合格的</w:t>
      </w:r>
      <w:bookmarkEnd w:id="50"/>
      <w:r/>
      <w:bookmarkEnd w:id="51"/>
      <w:r/>
      <w:bookmarkEnd w:id="52"/>
      <w:r>
        <w:rPr>
          <w:rFonts w:hint="eastAsia" w:ascii="宋体" w:hAnsi="宋体" w:eastAsia="宋体" w:cs="宋体"/>
          <w:color w:val="auto"/>
          <w:sz w:val="28"/>
          <w:szCs w:val="28"/>
          <w:highlight w:val="none"/>
        </w:rPr>
        <w:t xml:space="preserve">供应商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3" w:name="_Toc20823278"/>
      <w:r/>
      <w:bookmarkStart w:id="54" w:name="_Toc16938522"/>
      <w:r/>
      <w:bookmarkStart w:id="55" w:name="_Toc513029206"/>
      <w:r>
        <w:rPr>
          <w:rFonts w:hint="eastAsia" w:ascii="宋体" w:hAnsi="宋体" w:eastAsia="宋体" w:cs="宋体"/>
          <w:color w:val="auto"/>
          <w:sz w:val="28"/>
          <w:szCs w:val="28"/>
          <w:highlight w:val="none"/>
        </w:rPr>
        <w:t xml:space="preserve">3、适用法律</w:t>
      </w:r>
      <w:bookmarkEnd w:id="53"/>
      <w:r/>
      <w:bookmarkEnd w:id="54"/>
      <w:r/>
      <w:bookmarkEnd w:id="55"/>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6" w:name="_Toc20823279"/>
      <w:r/>
      <w:bookmarkStart w:id="57" w:name="_Toc462564067"/>
      <w:r/>
      <w:bookmarkStart w:id="58" w:name="_Toc513029207"/>
      <w:r/>
      <w:bookmarkStart w:id="59" w:name="_Toc16938523"/>
      <w:r>
        <w:rPr>
          <w:rFonts w:hint="eastAsia" w:ascii="宋体" w:hAnsi="宋体" w:eastAsia="宋体" w:cs="宋体"/>
          <w:color w:val="auto"/>
          <w:sz w:val="28"/>
          <w:szCs w:val="28"/>
          <w:highlight w:val="none"/>
        </w:rPr>
        <w:t xml:space="preserve">4、磋商费用</w:t>
      </w:r>
      <w:bookmarkEnd w:id="56"/>
      <w:r/>
      <w:bookmarkEnd w:id="57"/>
      <w:r/>
      <w:bookmarkEnd w:id="58"/>
      <w:r/>
      <w:bookmarkEnd w:id="59"/>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4.2本次磋商代理机构人员和采购人不收取标书工本费。</w:t>
      </w:r>
      <w:r/>
    </w:p>
    <w:p>
      <w:pPr>
        <w:ind w:firstLine="602"/>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0" w:name="_Toc513029209"/>
      <w:r/>
      <w:bookmarkStart w:id="61" w:name="_Toc20823281"/>
      <w:r/>
      <w:bookmarkStart w:id="62" w:name="_Toc120614215"/>
      <w:r/>
      <w:bookmarkStart w:id="63" w:name="_Toc16938525"/>
      <w:r>
        <w:rPr>
          <w:rFonts w:hint="eastAsia" w:ascii="宋体" w:hAnsi="宋体" w:eastAsia="宋体" w:cs="宋体"/>
          <w:b/>
          <w:bCs/>
          <w:color w:val="auto"/>
          <w:sz w:val="32"/>
          <w:szCs w:val="32"/>
          <w:highlight w:val="none"/>
        </w:rPr>
        <w:t xml:space="preserve">二、</w:t>
      </w:r>
      <w:bookmarkEnd w:id="60"/>
      <w:r/>
      <w:bookmarkEnd w:id="61"/>
      <w:r/>
      <w:bookmarkEnd w:id="62"/>
      <w:r/>
      <w:bookmarkEnd w:id="63"/>
      <w:r>
        <w:rPr>
          <w:rFonts w:hint="eastAsia" w:ascii="宋体" w:hAnsi="宋体" w:eastAsia="宋体" w:cs="宋体"/>
          <w:b/>
          <w:bCs/>
          <w:color w:val="auto"/>
          <w:sz w:val="32"/>
          <w:szCs w:val="32"/>
          <w:highlight w:val="none"/>
        </w:rPr>
        <w:t xml:space="preserve">磋商文件</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4" w:name="_Toc513029210"/>
      <w:r/>
      <w:bookmarkStart w:id="65" w:name="_Toc16938526"/>
      <w:r/>
      <w:bookmarkStart w:id="66" w:name="_Toc20823282"/>
      <w:r>
        <w:rPr>
          <w:rFonts w:hint="eastAsia" w:ascii="宋体" w:hAnsi="宋体" w:eastAsia="宋体" w:cs="宋体"/>
          <w:color w:val="auto"/>
          <w:sz w:val="28"/>
          <w:szCs w:val="28"/>
          <w:highlight w:val="none"/>
        </w:rPr>
        <w:t xml:space="preserve">6、磋商文件构成</w:t>
      </w:r>
      <w:bookmarkEnd w:id="64"/>
      <w:r/>
      <w:bookmarkEnd w:id="65"/>
      <w:r/>
      <w:bookmarkEnd w:id="66"/>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请仔细检查磋商文件是否齐全，如有缺漏请立即与代理机构人员联系解决。</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7" w:name="_Toc462564070"/>
      <w:r/>
      <w:bookmarkStart w:id="68" w:name="_Toc16938527"/>
      <w:r/>
      <w:bookmarkStart w:id="69" w:name="_Toc513029211"/>
      <w:r/>
      <w:bookmarkStart w:id="70" w:name="_Toc20823283"/>
      <w:r>
        <w:rPr>
          <w:rFonts w:hint="eastAsia" w:ascii="宋体" w:hAnsi="宋体" w:eastAsia="宋体" w:cs="宋体"/>
          <w:color w:val="auto"/>
          <w:sz w:val="28"/>
          <w:szCs w:val="28"/>
          <w:highlight w:val="none"/>
        </w:rPr>
        <w:t xml:space="preserve">7、磋商文件的澄清</w:t>
      </w:r>
      <w:bookmarkEnd w:id="67"/>
      <w:r/>
      <w:bookmarkEnd w:id="68"/>
      <w:r/>
      <w:bookmarkEnd w:id="69"/>
      <w:r/>
      <w:bookmarkEnd w:id="70"/>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按磋商公告中的通讯地址，以书面形式通知代理机构人员。</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1" w:name="_Toc513029212"/>
      <w:r/>
      <w:bookmarkStart w:id="72" w:name="_Toc462564071"/>
      <w:r/>
      <w:bookmarkStart w:id="73" w:name="_Toc16938528"/>
      <w:r/>
      <w:bookmarkStart w:id="74" w:name="_Toc20823284"/>
      <w:r>
        <w:rPr>
          <w:rFonts w:hint="eastAsia" w:ascii="宋体" w:hAnsi="宋体" w:eastAsia="宋体" w:cs="宋体"/>
          <w:color w:val="auto"/>
          <w:sz w:val="28"/>
          <w:szCs w:val="28"/>
          <w:highlight w:val="none"/>
        </w:rPr>
        <w:t xml:space="preserve">8、磋商文件的澄清和修改</w:t>
      </w:r>
      <w:bookmarkEnd w:id="71"/>
      <w:r/>
      <w:bookmarkEnd w:id="72"/>
      <w:r/>
      <w:bookmarkEnd w:id="73"/>
      <w:r/>
      <w:bookmarkEnd w:id="74"/>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5" w:name="_Toc462564072"/>
      <w:r/>
      <w:bookmarkStart w:id="76" w:name="_Toc513029213"/>
      <w:r/>
      <w:bookmarkStart w:id="77" w:name="_Toc120614216"/>
      <w:r/>
      <w:bookmarkStart w:id="78" w:name="_Toc20823285"/>
      <w:r/>
      <w:bookmarkStart w:id="79" w:name="_Toc16938529"/>
      <w:r>
        <w:rPr>
          <w:rFonts w:hint="eastAsia" w:ascii="宋体" w:hAnsi="宋体" w:eastAsia="宋体" w:cs="宋体"/>
          <w:b/>
          <w:bCs/>
          <w:color w:val="auto"/>
          <w:sz w:val="32"/>
          <w:szCs w:val="32"/>
          <w:highlight w:val="none"/>
        </w:rPr>
        <w:t xml:space="preserve">三、响应文件的编制</w:t>
      </w:r>
      <w:bookmarkEnd w:id="75"/>
      <w:r/>
      <w:bookmarkEnd w:id="76"/>
      <w:r/>
      <w:bookmarkEnd w:id="77"/>
      <w:r/>
      <w:bookmarkEnd w:id="78"/>
      <w:r/>
      <w:bookmarkEnd w:id="79"/>
      <w:r/>
      <w:r/>
    </w:p>
    <w:p>
      <w:pPr>
        <w:ind w:firstLine="560"/>
        <w:jc w:val="left"/>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0" w:name="_Toc513029214"/>
      <w:r/>
      <w:bookmarkStart w:id="81" w:name="_Toc16938530"/>
      <w:r/>
      <w:bookmarkStart w:id="82" w:name="_Toc462564073"/>
      <w:r/>
      <w:bookmarkStart w:id="83" w:name="_Toc20823286"/>
      <w:r>
        <w:rPr>
          <w:rFonts w:hint="eastAsia" w:ascii="宋体" w:hAnsi="宋体" w:eastAsia="宋体" w:cs="宋体"/>
          <w:color w:val="auto"/>
          <w:sz w:val="28"/>
          <w:szCs w:val="28"/>
          <w:highlight w:val="none"/>
        </w:rPr>
        <w:t xml:space="preserve">9、响应文件的语言及度量衡单位</w:t>
      </w:r>
      <w:bookmarkEnd w:id="80"/>
      <w:r/>
      <w:bookmarkEnd w:id="81"/>
      <w:r/>
      <w:bookmarkEnd w:id="82"/>
      <w:r/>
      <w:bookmarkEnd w:id="83"/>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供应商提交的响应文件以及供应商与代理机构人员就有关磋商的所有来往通知、函件和文件均应使用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除技术性能另有规定外，响应文件所使用的度量衡单位，均须采用国家法定计量单位。</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4" w:name="_Toc462564074"/>
      <w:r/>
      <w:bookmarkStart w:id="85" w:name="_Toc20823287"/>
      <w:r/>
      <w:bookmarkStart w:id="86" w:name="_Toc16938531"/>
      <w:r/>
      <w:bookmarkStart w:id="87" w:name="_Toc513029215"/>
      <w:r>
        <w:rPr>
          <w:rFonts w:hint="eastAsia" w:ascii="宋体" w:hAnsi="宋体" w:eastAsia="宋体" w:cs="宋体"/>
          <w:color w:val="auto"/>
          <w:sz w:val="28"/>
          <w:szCs w:val="28"/>
          <w:highlight w:val="none"/>
        </w:rPr>
        <w:t xml:space="preserve">10、响应文件构成</w:t>
      </w:r>
      <w:bookmarkEnd w:id="84"/>
      <w:r/>
      <w:bookmarkEnd w:id="85"/>
      <w:r/>
      <w:bookmarkEnd w:id="86"/>
      <w:r/>
      <w:bookmarkEnd w:id="87"/>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8" w:name="_Hlt26668975"/>
      <w:r/>
      <w:bookmarkEnd w:id="88"/>
      <w:r/>
      <w:bookmarkStart w:id="89" w:name="_Hlt26954838"/>
      <w:r/>
      <w:bookmarkEnd w:id="89"/>
      <w:r/>
      <w:bookmarkStart w:id="90" w:name="_Hlt26670360"/>
      <w:r/>
      <w:bookmarkEnd w:id="90"/>
      <w:r/>
      <w:bookmarkStart w:id="91" w:name="_Toc49090509"/>
      <w:r/>
      <w:bookmarkStart w:id="92" w:name="_Toc513029219"/>
      <w:r/>
      <w:bookmarkStart w:id="93" w:name="_Toc14577357"/>
      <w:r/>
      <w:bookmarkStart w:id="94" w:name="_Toc14577354"/>
      <w:r/>
      <w:bookmarkStart w:id="95" w:name="_Toc49090507"/>
      <w:r/>
      <w:bookmarkStart w:id="96" w:name="_Toc513029216"/>
      <w:r/>
      <w:bookmarkStart w:id="97" w:name="_Toc49090508"/>
      <w:r/>
      <w:bookmarkStart w:id="98" w:name="_Toc14577355"/>
      <w:r>
        <w:rPr>
          <w:rFonts w:hint="eastAsia" w:ascii="宋体" w:hAnsi="宋体" w:eastAsia="宋体" w:cs="宋体"/>
          <w:color w:val="auto"/>
          <w:sz w:val="28"/>
          <w:szCs w:val="28"/>
          <w:highlight w:val="none"/>
        </w:rPr>
        <w:t xml:space="preserve">11、证明磋商响应标的符合磋商文件规定的文件</w:t>
      </w:r>
      <w:bookmarkEnd w:id="91"/>
      <w:r/>
      <w:bookmarkEnd w:id="92"/>
      <w:r/>
      <w:bookmarkEnd w:id="93"/>
      <w:r/>
      <w:bookmarkEnd w:id="94"/>
      <w:bookmarkEnd w:id="95"/>
      <w:bookmarkEnd w:id="96"/>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97"/>
      <w:bookmarkEnd w:id="98"/>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12、分项报价表</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9" w:name="_Hlt26954846"/>
      <w:r/>
      <w:bookmarkEnd w:id="99"/>
      <w:r/>
      <w:bookmarkStart w:id="100" w:name="_Hlt26670482"/>
      <w:r/>
      <w:bookmarkEnd w:id="100"/>
      <w:r/>
      <w:bookmarkStart w:id="101" w:name="_Hlt26954848"/>
      <w:r/>
      <w:bookmarkEnd w:id="101"/>
      <w:r/>
      <w:bookmarkStart w:id="102" w:name="_Hlt26670486"/>
      <w:r/>
      <w:bookmarkEnd w:id="102"/>
      <w:r/>
      <w:bookmarkStart w:id="103" w:name="_Hlt26954731"/>
      <w:r/>
      <w:bookmarkEnd w:id="103"/>
      <w:r>
        <w:rPr>
          <w:rFonts w:hint="eastAsia" w:ascii="宋体" w:hAnsi="宋体" w:eastAsia="宋体" w:cs="宋体"/>
          <w:color w:val="auto"/>
          <w:sz w:val="28"/>
          <w:szCs w:val="28"/>
          <w:highlight w:val="none"/>
        </w:rPr>
        <w:t xml:space="preserve">13、技术要求响应及偏离表、商务要求响应及偏离表</w:t>
      </w:r>
      <w:r/>
    </w:p>
    <w:p>
      <w:pPr>
        <w:ind w:firstLine="480"/>
        <w:jc w:val="left"/>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jc w:val="left"/>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4" w:name="_Toc14577359"/>
      <w:r/>
      <w:bookmarkStart w:id="105" w:name="_Toc49090510"/>
      <w:r>
        <w:rPr>
          <w:rFonts w:hint="eastAsia" w:ascii="宋体" w:hAnsi="宋体" w:eastAsia="宋体" w:cs="宋体"/>
          <w:color w:val="auto"/>
          <w:sz w:val="28"/>
          <w:szCs w:val="28"/>
          <w:highlight w:val="none"/>
        </w:rPr>
        <w:t xml:space="preserve">15、磋商响应函</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04"/>
      <w:bookmarkEnd w:id="105"/>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6" w:name="_Toc14577360"/>
      <w:r/>
      <w:bookmarkStart w:id="107" w:name="_Toc49090511"/>
      <w:r>
        <w:rPr>
          <w:rFonts w:hint="eastAsia" w:ascii="宋体" w:hAnsi="宋体" w:eastAsia="宋体" w:cs="宋体"/>
          <w:color w:val="auto"/>
          <w:sz w:val="28"/>
          <w:szCs w:val="28"/>
          <w:highlight w:val="none"/>
        </w:rPr>
        <w:t xml:space="preserve">16、磋商有效期</w:t>
      </w:r>
      <w:bookmarkEnd w:id="106"/>
      <w:r/>
      <w:bookmarkEnd w:id="107"/>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16.1磋商有效期为代理机构人员规定的提交响应文件截止之日后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17、磋商有效期的延长</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08" w:name="_Hlt26954852"/>
      <w:r/>
      <w:bookmarkEnd w:id="108"/>
      <w:r/>
      <w:bookmarkStart w:id="109" w:name="_Hlt26954739"/>
      <w:r/>
      <w:bookmarkEnd w:id="109"/>
      <w:r/>
      <w:bookmarkStart w:id="110" w:name="_Toc16938540"/>
      <w:r/>
      <w:bookmarkStart w:id="111" w:name="_Toc20823296"/>
      <w:r/>
      <w:bookmarkStart w:id="112" w:name="_Toc120614217"/>
      <w:r/>
      <w:bookmarkStart w:id="113" w:name="_Toc513029224"/>
      <w:r>
        <w:rPr>
          <w:rFonts w:hint="eastAsia" w:ascii="宋体" w:hAnsi="宋体" w:eastAsia="宋体" w:cs="宋体"/>
          <w:b/>
          <w:bCs/>
          <w:color w:val="auto"/>
          <w:sz w:val="32"/>
          <w:szCs w:val="32"/>
          <w:highlight w:val="none"/>
        </w:rPr>
        <w:t xml:space="preserve">四、响应文件的递交</w:t>
      </w:r>
      <w:bookmarkEnd w:id="110"/>
      <w:r/>
      <w:bookmarkEnd w:id="111"/>
      <w:r/>
      <w:bookmarkEnd w:id="112"/>
      <w:r/>
      <w:bookmarkEnd w:id="113"/>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4" w:name="_Toc20823297"/>
      <w:r/>
      <w:bookmarkStart w:id="115" w:name="_Toc16938541"/>
      <w:r/>
      <w:bookmarkStart w:id="116" w:name="_Toc462564084"/>
      <w:r/>
      <w:bookmarkStart w:id="117" w:name="_Toc513029225"/>
      <w:r>
        <w:rPr>
          <w:rFonts w:hint="eastAsia" w:ascii="宋体" w:hAnsi="宋体" w:eastAsia="宋体" w:cs="宋体"/>
          <w:color w:val="auto"/>
          <w:sz w:val="28"/>
          <w:szCs w:val="28"/>
          <w:highlight w:val="none"/>
        </w:rPr>
        <w:t xml:space="preserve">18、电子磋商</w:t>
      </w:r>
      <w:bookmarkEnd w:id="114"/>
      <w:r/>
      <w:bookmarkEnd w:id="115"/>
      <w:r/>
      <w:bookmarkEnd w:id="116"/>
      <w:r/>
      <w:bookmarkEnd w:id="117"/>
      <w:r>
        <w:rPr>
          <w:rFonts w:hint="eastAsia" w:ascii="宋体" w:hAnsi="宋体" w:eastAsia="宋体" w:cs="宋体"/>
          <w:color w:val="auto"/>
          <w:sz w:val="28"/>
          <w:szCs w:val="28"/>
          <w:highlight w:val="none"/>
        </w:rPr>
        <w:t xml:space="preserve">响应文件的递交</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18" w:name="_Toc20823298"/>
      <w:r/>
      <w:bookmarkStart w:id="119" w:name="_Toc513029226"/>
      <w:r/>
      <w:bookmarkStart w:id="120" w:name="_Toc16938542"/>
      <w:r/>
      <w:r/>
    </w:p>
    <w:p>
      <w:pPr>
        <w:ind w:firstLine="560"/>
        <w:jc w:val="left"/>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19、提交响应文件截止时间</w:t>
      </w:r>
      <w:bookmarkEnd w:id="118"/>
      <w:r/>
      <w:bookmarkEnd w:id="119"/>
      <w:r/>
      <w:bookmarkEnd w:id="120"/>
      <w:r/>
      <w:r/>
    </w:p>
    <w:p>
      <w:pPr>
        <w:ind w:firstLine="482"/>
        <w:jc w:val="left"/>
        <w:pageBreakBefore w:val="0"/>
        <w:spacing w:line="360" w:lineRule="auto"/>
        <w:widowControl w:val="off"/>
        <w:rPr>
          <w:rFonts w:hint="eastAsia" w:ascii="宋体" w:hAnsi="宋体" w:eastAsia="宋体" w:cs="宋体"/>
          <w:b/>
          <w:bCs/>
          <w:color w:val="auto"/>
          <w:sz w:val="24"/>
          <w:szCs w:val="21"/>
          <w:highlight w:val="none"/>
          <w:u w:val="single"/>
        </w:rPr>
      </w:pPr>
      <w:r>
        <w:rPr>
          <w:rFonts w:hint="eastAsia" w:ascii="宋体" w:hAnsi="宋体" w:eastAsia="宋体" w:cs="宋体"/>
          <w:b/>
          <w:bCs/>
          <w:color w:val="auto"/>
          <w:sz w:val="24"/>
          <w:szCs w:val="21"/>
          <w:highlight w:val="none"/>
          <w:u w:val="single"/>
        </w:rPr>
        <w:t xml:space="preserve">19.1供应商上传电子响应文件的时间不得迟于磋商公告中规定的提交响应文件截止时间。</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1" w:name="_Toc16938543"/>
      <w:r/>
      <w:bookmarkStart w:id="122" w:name="_Toc20823299"/>
      <w:r/>
      <w:bookmarkStart w:id="123" w:name="_Toc513029227"/>
      <w:r>
        <w:rPr>
          <w:rFonts w:hint="eastAsia" w:ascii="宋体" w:hAnsi="宋体" w:eastAsia="宋体" w:cs="宋体"/>
          <w:color w:val="auto"/>
          <w:sz w:val="28"/>
          <w:szCs w:val="28"/>
          <w:highlight w:val="none"/>
        </w:rPr>
        <w:t xml:space="preserve">20、响应文件</w:t>
      </w:r>
      <w:bookmarkEnd w:id="121"/>
      <w:r/>
      <w:bookmarkEnd w:id="122"/>
      <w:r/>
      <w:bookmarkEnd w:id="123"/>
      <w:r>
        <w:rPr>
          <w:rFonts w:hint="eastAsia" w:ascii="宋体" w:hAnsi="宋体" w:eastAsia="宋体" w:cs="宋体"/>
          <w:color w:val="auto"/>
          <w:sz w:val="28"/>
          <w:szCs w:val="28"/>
          <w:highlight w:val="none"/>
        </w:rPr>
        <w:t xml:space="preserve">的拒收</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20.1代理机构人员拒绝接收在其规定的提交响应文件截止时间后上传的任何电子响应文件。</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4" w:name="_Toc513029228"/>
      <w:r/>
      <w:bookmarkStart w:id="125" w:name="_Toc16938544"/>
      <w:r/>
      <w:bookmarkStart w:id="126" w:name="_Toc20823300"/>
      <w:r>
        <w:rPr>
          <w:rFonts w:hint="eastAsia" w:ascii="宋体" w:hAnsi="宋体" w:eastAsia="宋体" w:cs="宋体"/>
          <w:color w:val="auto"/>
          <w:sz w:val="28"/>
          <w:szCs w:val="28"/>
          <w:highlight w:val="none"/>
        </w:rPr>
        <w:t xml:space="preserve">21、响应文件的撤回和修改</w:t>
      </w:r>
      <w:bookmarkEnd w:id="124"/>
      <w:r/>
      <w:bookmarkEnd w:id="125"/>
      <w:r/>
      <w:bookmarkEnd w:id="126"/>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电子响应文件的撤回</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在提交响应文件截止时间之后，供应商不得对其电子响应文件作任何修改。</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21.4</w:t>
      </w:r>
      <w:r>
        <w:rPr>
          <w:rFonts w:hint="eastAsia" w:ascii="宋体" w:hAnsi="宋体" w:eastAsia="宋体" w:cs="宋体"/>
          <w:bCs/>
          <w:color w:val="auto"/>
          <w:sz w:val="24"/>
          <w:szCs w:val="21"/>
          <w:highlight w:val="none"/>
        </w:rPr>
        <w:t xml:space="preserve">在提交响应文件截止时间至磋商文件中规定的磋商有效期满之间的这段时间内，供应商不得撤回其响应文件。</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27" w:name="_Toc120614218"/>
      <w:r/>
      <w:bookmarkStart w:id="128" w:name="_Toc513029229"/>
      <w:r/>
      <w:bookmarkStart w:id="129" w:name="_Toc20823301"/>
      <w:r/>
      <w:bookmarkStart w:id="130" w:name="_Toc16938545"/>
      <w:r>
        <w:rPr>
          <w:rFonts w:hint="eastAsia" w:ascii="宋体" w:hAnsi="宋体" w:eastAsia="宋体" w:cs="宋体"/>
          <w:b/>
          <w:bCs/>
          <w:color w:val="auto"/>
          <w:sz w:val="32"/>
          <w:szCs w:val="32"/>
          <w:highlight w:val="none"/>
        </w:rPr>
        <w:t xml:space="preserve">五、响应文件的解密与评审</w:t>
      </w:r>
      <w:bookmarkEnd w:id="127"/>
      <w:r/>
      <w:bookmarkEnd w:id="128"/>
      <w:r/>
      <w:bookmarkEnd w:id="129"/>
      <w:r/>
      <w:bookmarkEnd w:id="130"/>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31" w:name="_Toc16938546"/>
      <w:r/>
      <w:bookmarkStart w:id="132" w:name="_Toc20823302"/>
      <w:r/>
      <w:bookmarkStart w:id="133" w:name="_Toc513029230"/>
      <w:r>
        <w:rPr>
          <w:rFonts w:hint="eastAsia" w:ascii="宋体" w:hAnsi="宋体" w:eastAsia="宋体" w:cs="宋体"/>
          <w:color w:val="auto"/>
          <w:sz w:val="28"/>
          <w:szCs w:val="28"/>
          <w:highlight w:val="none"/>
        </w:rPr>
        <w:t xml:space="preserve">22、</w:t>
      </w:r>
      <w:bookmarkEnd w:id="131"/>
      <w:r/>
      <w:bookmarkEnd w:id="132"/>
      <w:r/>
      <w:bookmarkEnd w:id="133"/>
      <w:r>
        <w:rPr>
          <w:rFonts w:hint="eastAsia" w:ascii="宋体" w:hAnsi="宋体" w:eastAsia="宋体" w:cs="宋体"/>
          <w:color w:val="auto"/>
          <w:sz w:val="28"/>
          <w:szCs w:val="28"/>
          <w:highlight w:val="none"/>
        </w:rPr>
        <w:t xml:space="preserve">响应文件解密</w:t>
      </w:r>
      <w:r/>
    </w:p>
    <w:p>
      <w:pPr>
        <w:ind w:firstLine="480"/>
        <w:jc w:val="left"/>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34" w:name="_Toc16938547"/>
      <w:r/>
      <w:bookmarkStart w:id="135" w:name="_Toc513029231"/>
      <w:r/>
      <w:bookmarkStart w:id="136" w:name="_Toc20823303"/>
      <w:r>
        <w:rPr>
          <w:rFonts w:hint="eastAsia" w:ascii="宋体" w:hAnsi="宋体" w:eastAsia="宋体" w:cs="宋体"/>
          <w:color w:val="auto"/>
          <w:sz w:val="28"/>
          <w:szCs w:val="28"/>
          <w:highlight w:val="none"/>
        </w:rPr>
        <w:t xml:space="preserve">23、磋商小组</w:t>
      </w:r>
      <w:r/>
    </w:p>
    <w:p>
      <w:pPr>
        <w:ind w:firstLine="480"/>
        <w:jc w:val="left"/>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Cs/>
          <w:color w:val="auto"/>
          <w:sz w:val="24"/>
          <w:szCs w:val="21"/>
          <w:highlight w:val="none"/>
        </w:rPr>
        <w:t xml:space="preserve">代理机构人员</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23.2磋商小组独立工作，负责评审所有响应文件并确定成交侯选人。</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24、评审过程的保密与公正</w:t>
      </w:r>
      <w:bookmarkEnd w:id="134"/>
      <w:bookmarkEnd w:id="135"/>
      <w:bookmarkEnd w:id="136"/>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bCs/>
          <w:color w:val="auto"/>
          <w:sz w:val="24"/>
          <w:szCs w:val="21"/>
          <w:highlight w:val="none"/>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37" w:name="_Toc20823304"/>
      <w:r/>
      <w:bookmarkStart w:id="138" w:name="_Toc513029232"/>
      <w:r/>
      <w:bookmarkStart w:id="139" w:name="_Toc16938548"/>
      <w:r>
        <w:rPr>
          <w:rFonts w:hint="eastAsia" w:ascii="宋体" w:hAnsi="宋体" w:eastAsia="宋体" w:cs="宋体"/>
          <w:color w:val="auto"/>
          <w:sz w:val="28"/>
          <w:szCs w:val="28"/>
          <w:highlight w:val="none"/>
        </w:rPr>
        <w:t xml:space="preserve">25、评审过程中的的澄清</w:t>
      </w:r>
      <w:bookmarkEnd w:id="137"/>
      <w:r/>
      <w:bookmarkEnd w:id="138"/>
      <w:r/>
      <w:bookmarkEnd w:id="139"/>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接到磋商小组澄清、说明和更正要求的供应商如未按规定做出澄清、说明和更正，其风险由供应商自行承担。</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40" w:name="_Toc16938549"/>
      <w:r/>
      <w:bookmarkStart w:id="141" w:name="_Toc513029233"/>
      <w:r/>
      <w:bookmarkStart w:id="142" w:name="_Toc20823305"/>
      <w:r>
        <w:rPr>
          <w:rFonts w:hint="eastAsia" w:ascii="宋体" w:hAnsi="宋体" w:eastAsia="宋体" w:cs="宋体"/>
          <w:color w:val="auto"/>
          <w:sz w:val="28"/>
          <w:szCs w:val="28"/>
          <w:highlight w:val="none"/>
        </w:rPr>
        <w:t xml:space="preserve">26、对响应文件的审</w:t>
      </w:r>
      <w:bookmarkEnd w:id="140"/>
      <w:r/>
      <w:bookmarkEnd w:id="141"/>
      <w:r/>
      <w:bookmarkEnd w:id="142"/>
      <w:r>
        <w:rPr>
          <w:rFonts w:hint="eastAsia" w:ascii="宋体" w:hAnsi="宋体" w:eastAsia="宋体" w:cs="宋体"/>
          <w:color w:val="auto"/>
          <w:sz w:val="28"/>
          <w:szCs w:val="28"/>
          <w:highlight w:val="none"/>
        </w:rPr>
        <w:t xml:space="preserve">查</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bCs/>
          <w:color w:val="auto"/>
          <w:sz w:val="24"/>
          <w:szCs w:val="21"/>
          <w:highlight w:val="none"/>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jc w:val="left"/>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Cs/>
          <w:color w:val="auto"/>
          <w:sz w:val="24"/>
          <w:szCs w:val="21"/>
          <w:highlight w:val="none"/>
        </w:rPr>
        <w:t xml:space="preserve">26.3.5</w:t>
      </w:r>
      <w:r>
        <w:rPr>
          <w:rFonts w:hint="eastAsia" w:ascii="宋体" w:hAnsi="宋体" w:eastAsia="宋体" w:cs="宋体"/>
          <w:b/>
          <w:color w:val="auto"/>
          <w:sz w:val="24"/>
          <w:szCs w:val="21"/>
          <w:highlight w:val="none"/>
        </w:rPr>
        <w:t xml:space="preserve">供应商的最后报价超过了最高限价的。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eastAsia="宋体" w:cs="宋体"/>
          <w:bCs/>
          <w:i/>
          <w:color w:val="auto"/>
          <w:sz w:val="24"/>
          <w:szCs w:val="21"/>
          <w:highlight w:val="none"/>
        </w:rPr>
        <w:t xml:space="preserve">。</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  响应文件含有采购人不能接受的附加条件的。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26.3.10响应文件未按照磋商文件要求加盖CA电子公章的。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26.3.11异常低价审查</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（3）投标（响应）报价低于采购项目最高限价45%的，即投标（响应）报价&lt;采购项目最高限价×45%；</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（4）磋商小组基于专业判断，认为供应商报价过低，有可能影响产品质量或者不能诚信履约的其他情形。</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bookmarkStart w:id="143" w:name="_Toc16938550"/>
      <w:r/>
      <w:bookmarkStart w:id="144" w:name="_Toc513029234"/>
      <w:r/>
      <w:bookmarkStart w:id="145" w:name="_Toc20823306"/>
      <w:r>
        <w:rPr>
          <w:rFonts w:hint="eastAsia" w:ascii="宋体" w:hAnsi="宋体" w:eastAsia="宋体" w:cs="宋体"/>
          <w:color w:val="auto"/>
          <w:sz w:val="24"/>
          <w:szCs w:val="21"/>
          <w:highlight w:val="none"/>
        </w:rPr>
        <w:t xml:space="preserve">26.6供应商在项目评审全过程中应保持通讯畅通，并安排专人与</w:t>
      </w:r>
      <w:r>
        <w:rPr>
          <w:rFonts w:hint="eastAsia" w:ascii="宋体" w:hAnsi="宋体" w:eastAsia="宋体" w:cs="宋体"/>
          <w:bCs/>
          <w:color w:val="auto"/>
          <w:sz w:val="24"/>
          <w:szCs w:val="21"/>
          <w:highlight w:val="none"/>
        </w:rPr>
        <w:t xml:space="preserve">代理机构人员</w:t>
      </w:r>
      <w:r>
        <w:rPr>
          <w:rFonts w:hint="eastAsia" w:ascii="宋体" w:hAnsi="宋体" w:eastAsia="宋体" w:cs="宋体"/>
          <w:color w:val="auto"/>
          <w:sz w:val="24"/>
          <w:szCs w:val="21"/>
          <w:highlight w:val="none"/>
        </w:rPr>
        <w:t xml:space="preserve">及磋商小组联系。</w:t>
      </w:r>
      <w:r/>
    </w:p>
    <w:p>
      <w:pPr>
        <w:ind w:firstLine="560"/>
        <w:jc w:val="left"/>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143"/>
      <w:r/>
      <w:bookmarkEnd w:id="144"/>
      <w:r/>
      <w:bookmarkEnd w:id="145"/>
      <w:r>
        <w:rPr>
          <w:rFonts w:hint="eastAsia" w:ascii="宋体" w:hAnsi="宋体" w:eastAsia="宋体" w:cs="宋体"/>
          <w:color w:val="auto"/>
          <w:sz w:val="28"/>
          <w:szCs w:val="28"/>
          <w:highlight w:val="none"/>
        </w:rPr>
        <w:t xml:space="preserve">磋商程序及评审方法和评审标准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w:t>
      </w:r>
      <w:r>
        <w:rPr>
          <w:rFonts w:hint="eastAsia" w:ascii="宋体" w:hAnsi="宋体" w:eastAsia="宋体" w:cs="宋体"/>
          <w:b/>
          <w:bCs/>
          <w:color w:val="auto"/>
          <w:sz w:val="24"/>
          <w:szCs w:val="24"/>
          <w:highlight w:val="none"/>
        </w:rPr>
        <w:t xml:space="preserve">磋商小组将在苏采云系统向所有实质性响应的供应商发布“最后报价要求函”，要求所有实质性响应的供应商在规定时间内（10分钟）提交最后报价。</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146" w:name="_Toc20823307"/>
      <w:r/>
      <w:bookmarkStart w:id="147" w:name="_Toc120614219"/>
      <w:r/>
      <w:bookmarkStart w:id="148" w:name="_Toc513029235"/>
      <w:r/>
      <w:bookmarkStart w:id="149" w:name="_Toc16938551"/>
      <w:r>
        <w:rPr>
          <w:rFonts w:hint="eastAsia" w:ascii="宋体" w:hAnsi="宋体" w:eastAsia="宋体" w:cs="宋体"/>
          <w:color w:val="auto"/>
          <w:sz w:val="24"/>
          <w:szCs w:val="24"/>
          <w:highlight w:val="none"/>
        </w:rPr>
        <w:t xml:space="preserve">27.3.5因重大变故，采购任务取消的。</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27.3.6磋商小组认定磋商文件存在歧义、重大缺陷导致评审工作无法进行。</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27.3.7因系统故障原因造成磋商无法继续进行的。</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27.4响应文件提交截止时间结束后参加磋商的供应商不足三家的处理：</w:t>
      </w:r>
      <w:r/>
    </w:p>
    <w:p>
      <w:pPr>
        <w:ind w:firstLine="480"/>
        <w:jc w:val="left"/>
        <w:pageBreakBefore w:val="0"/>
        <w:spacing w:line="360" w:lineRule="auto"/>
        <w:widowControl w:val="off"/>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w:t>
      </w:r>
      <w:bookmarkEnd w:id="146"/>
      <w:r/>
      <w:bookmarkEnd w:id="147"/>
      <w:r/>
      <w:bookmarkEnd w:id="148"/>
      <w:r/>
      <w:bookmarkEnd w:id="149"/>
      <w:r>
        <w:rPr>
          <w:rFonts w:hint="eastAsia" w:ascii="宋体" w:hAnsi="宋体" w:eastAsia="宋体" w:cs="宋体"/>
          <w:b/>
          <w:bCs/>
          <w:color w:val="auto"/>
          <w:sz w:val="32"/>
          <w:szCs w:val="32"/>
          <w:highlight w:val="none"/>
        </w:rPr>
        <w:t xml:space="preserve">成交</w:t>
      </w:r>
      <w:r/>
    </w:p>
    <w:p>
      <w:pPr>
        <w:ind w:firstLine="600"/>
        <w:jc w:val="left"/>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513029238"/>
      <w:r/>
      <w:bookmarkStart w:id="151" w:name="_Toc20823310"/>
      <w:r/>
      <w:bookmarkStart w:id="152" w:name="_Toc16938554"/>
      <w:r>
        <w:rPr>
          <w:rFonts w:hint="eastAsia" w:ascii="宋体" w:hAnsi="宋体" w:eastAsia="宋体" w:cs="宋体"/>
          <w:bCs/>
          <w:color w:val="auto"/>
          <w:sz w:val="30"/>
          <w:szCs w:val="30"/>
          <w:highlight w:val="none"/>
        </w:rPr>
        <w:t xml:space="preserve">28、</w:t>
      </w:r>
      <w:bookmarkEnd w:id="150"/>
      <w:r>
        <w:rPr>
          <w:rFonts w:hint="eastAsia" w:ascii="宋体" w:hAnsi="宋体" w:eastAsia="宋体" w:cs="宋体"/>
          <w:bCs/>
          <w:color w:val="auto"/>
          <w:sz w:val="30"/>
          <w:szCs w:val="30"/>
          <w:highlight w:val="none"/>
        </w:rPr>
        <w:t xml:space="preserve">确定</w:t>
      </w:r>
      <w:bookmarkEnd w:id="151"/>
      <w:r/>
      <w:bookmarkEnd w:id="152"/>
      <w:r>
        <w:rPr>
          <w:rFonts w:hint="eastAsia" w:ascii="宋体" w:hAnsi="宋体" w:eastAsia="宋体" w:cs="宋体"/>
          <w:bCs/>
          <w:color w:val="auto"/>
          <w:sz w:val="30"/>
          <w:szCs w:val="30"/>
          <w:highlight w:val="none"/>
        </w:rPr>
        <w:t xml:space="preserve">成交单位</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28.1</w:t>
      </w:r>
      <w:r>
        <w:rPr>
          <w:rFonts w:hint="eastAsia" w:ascii="宋体" w:hAnsi="宋体" w:eastAsia="宋体" w:cs="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非单一产品采购项目，磋商文件中将载明其中的核心产品。多家供应商提供的核心产品品牌型号相同的，按前款规定处理。</w:t>
      </w:r>
      <w:r/>
    </w:p>
    <w:p>
      <w:pPr>
        <w:ind w:firstLine="480"/>
        <w:jc w:val="left"/>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jc w:val="left"/>
        <w:pageBreakBefore w:val="0"/>
        <w:spacing w:line="360" w:lineRule="auto"/>
        <w:widowControl w:val="off"/>
        <w:tabs>
          <w:tab w:val="left" w:pos="441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28.3若有充分证据证明，成交供应商出现下列情况之一的，一经查实，将被取消成交资格：</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28.3.1提供虚假材料谋取成交的。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28.3.2与评审专家、采购人、其他供应商或者代理机构工作人员恶意串通的。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28.3.3向评审专家、采购人或代理机构工作人员行贿或者提供其他不正当利益的。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28.3.4恶意竞争，最后报价明显低于其自身合理成本且又无法提供证明的。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28.3.5不满足本磋商文件规定的实质性要求，但在评审过程中又未被磋商小组发现的。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28.3.6成交后无正当理由拒不与采购人签订政府采购合同或者未按照磋商文件确定的事项签订政府采购合同的。</w:t>
      </w:r>
      <w:r/>
    </w:p>
    <w:p>
      <w:pPr>
        <w:ind w:firstLine="480"/>
        <w:jc w:val="left"/>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28.3.7将政府采购合同转包的。</w:t>
      </w:r>
      <w:r/>
    </w:p>
    <w:p>
      <w:pPr>
        <w:ind w:firstLine="600"/>
        <w:jc w:val="left"/>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3" w:name="_Toc200451960"/>
      <w:r>
        <w:rPr>
          <w:rFonts w:hint="eastAsia" w:ascii="宋体" w:hAnsi="宋体" w:eastAsia="宋体" w:cs="宋体"/>
          <w:bCs/>
          <w:color w:val="auto"/>
          <w:sz w:val="30"/>
          <w:szCs w:val="30"/>
          <w:highlight w:val="none"/>
        </w:rPr>
        <w:t xml:space="preserve">29、质疑处理</w:t>
      </w:r>
      <w:bookmarkEnd w:id="153"/>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w:t>
      </w:r>
      <w:r>
        <w:rPr>
          <w:rFonts w:hint="eastAsia" w:ascii="宋体" w:hAnsi="宋体" w:eastAsia="宋体" w:cs="宋体"/>
          <w:color w:val="auto"/>
          <w:sz w:val="24"/>
          <w:szCs w:val="24"/>
          <w:highlight w:val="none"/>
        </w:rPr>
        <w:t xml:space="preserve">对采购过程提出质疑的，为各采购程序环节结束之日。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w:t>
      </w:r>
      <w:r>
        <w:rPr>
          <w:rFonts w:hint="eastAsia" w:ascii="宋体" w:hAnsi="宋体" w:eastAsia="宋体" w:cs="宋体"/>
          <w:color w:val="auto"/>
          <w:sz w:val="24"/>
          <w:szCs w:val="24"/>
          <w:highlight w:val="none"/>
        </w:rPr>
        <w:t xml:space="preserve">对成交结果提出质疑的，为成交结果公告期限届满之日。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1"/>
          <w:highlight w:val="none"/>
        </w:rPr>
        <w:t xml:space="preserve">代理机构人员</w:t>
      </w:r>
      <w:r>
        <w:rPr>
          <w:rFonts w:hint="eastAsia" w:ascii="宋体" w:hAnsi="宋体" w:eastAsia="宋体" w:cs="宋体"/>
          <w:color w:val="auto"/>
          <w:sz w:val="24"/>
          <w:szCs w:val="24"/>
          <w:highlight w:val="none"/>
        </w:rPr>
        <w:t xml:space="preserve">、采购人将只对供应商第一次质疑作出答复。</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采购人及代理机构人员只接收以纸质原件形式送达的质疑,建议供应商尽量通过邮寄方式提交质疑</w:t>
      </w:r>
      <w:r>
        <w:rPr>
          <w:rFonts w:hint="eastAsia" w:ascii="宋体" w:hAnsi="宋体" w:eastAsia="宋体" w:cs="宋体"/>
          <w:b/>
          <w:bCs/>
          <w:color w:val="auto"/>
          <w:sz w:val="24"/>
          <w:szCs w:val="24"/>
          <w:highlight w:val="none"/>
        </w:rPr>
        <w:t xml:space="preserve">（采购人和代理机构不接受无快递运单号的快递）。</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采购人或代理机构质疑接收人及联系方式见本磋商文件第一章。</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jc w:val="left"/>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30、成交通知书</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jc w:val="left"/>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54" w:name="_Toc120614220"/>
      <w:r/>
      <w:bookmarkStart w:id="155" w:name="_Toc16938552"/>
      <w:r/>
      <w:bookmarkStart w:id="156" w:name="_Toc20823308"/>
      <w:r/>
      <w:bookmarkStart w:id="157" w:name="_Toc513029236"/>
      <w:r>
        <w:rPr>
          <w:rFonts w:hint="eastAsia" w:ascii="宋体" w:hAnsi="宋体" w:eastAsia="宋体" w:cs="宋体"/>
          <w:b/>
          <w:bCs/>
          <w:color w:val="auto"/>
          <w:sz w:val="32"/>
          <w:szCs w:val="32"/>
          <w:highlight w:val="none"/>
        </w:rPr>
        <w:t xml:space="preserve">七、授予合同</w:t>
      </w:r>
      <w:bookmarkEnd w:id="154"/>
      <w:r/>
      <w:bookmarkEnd w:id="155"/>
      <w:bookmarkEnd w:id="156"/>
      <w:bookmarkEnd w:id="157"/>
      <w:r/>
    </w:p>
    <w:p>
      <w:pPr>
        <w:ind w:firstLine="600"/>
        <w:jc w:val="left"/>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8" w:name="_Toc16938553"/>
      <w:r/>
      <w:bookmarkStart w:id="159" w:name="_Toc20823309"/>
      <w:r/>
      <w:bookmarkStart w:id="160" w:name="_Toc513029237"/>
      <w:r>
        <w:rPr>
          <w:rFonts w:hint="eastAsia" w:ascii="宋体" w:hAnsi="宋体" w:eastAsia="宋体" w:cs="宋体"/>
          <w:bCs/>
          <w:color w:val="auto"/>
          <w:sz w:val="30"/>
          <w:szCs w:val="30"/>
          <w:highlight w:val="none"/>
        </w:rPr>
        <w:t xml:space="preserve">31. 签订合同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jc w:val="left"/>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32、标的物的追加</w:t>
      </w:r>
      <w:bookmarkEnd w:id="158"/>
      <w:bookmarkEnd w:id="159"/>
      <w:bookmarkEnd w:id="160"/>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161" w:name="_Toc120614221"/>
      <w:r/>
      <w:bookmarkStart w:id="162" w:name="_Toc16938558"/>
      <w:r/>
      <w:bookmarkStart w:id="163" w:name="_Toc513029242"/>
      <w:r/>
      <w:bookmarkStart w:id="164" w:name="_Toc20823314"/>
      <w:r/>
      <w:bookmarkStart w:id="165" w:name="_Toc479757207"/>
      <w:r>
        <w:rPr>
          <w:rFonts w:hint="eastAsia" w:ascii="宋体" w:hAnsi="宋体" w:eastAsia="宋体" w:cs="宋体"/>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33、政府采购履约资金扶持政策</w:t>
      </w:r>
      <w:r/>
    </w:p>
    <w:p>
      <w:pPr>
        <w:ind w:firstLine="480"/>
        <w:jc w:val="left"/>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keepNext/>
        <w:spacing w:line="40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第三章 合同</w:t>
      </w:r>
      <w:bookmarkEnd w:id="161"/>
      <w:r/>
      <w:bookmarkEnd w:id="162"/>
      <w:r/>
      <w:bookmarkEnd w:id="163"/>
      <w:r/>
      <w:bookmarkEnd w:id="164"/>
      <w:r/>
      <w:bookmarkEnd w:id="165"/>
      <w:r>
        <w:rPr>
          <w:rFonts w:hint="eastAsia" w:ascii="宋体" w:hAnsi="宋体" w:eastAsia="宋体" w:cs="宋体"/>
          <w:b/>
          <w:bCs/>
          <w:color w:val="auto"/>
          <w:sz w:val="36"/>
          <w:szCs w:val="36"/>
          <w:highlight w:val="none"/>
        </w:rPr>
        <w:t xml:space="preserve">文本</w:t>
      </w:r>
      <w:r/>
    </w:p>
    <w:p>
      <w:pPr>
        <w:ind w:firstLine="480"/>
        <w:spacing w:line="400" w:lineRule="exact"/>
        <w:rPr>
          <w:rFonts w:hint="eastAsia" w:ascii="宋体" w:hAnsi="宋体" w:eastAsia="宋体" w:cs="宋体"/>
          <w:bCs/>
          <w:color w:val="auto"/>
          <w:sz w:val="24"/>
          <w:szCs w:val="21"/>
          <w:highlight w:val="none"/>
        </w:rPr>
      </w:pPr>
      <w:r/>
      <w:bookmarkStart w:id="166" w:name="_Toc20823315"/>
      <w:r/>
      <w:bookmarkStart w:id="167" w:name="_Toc513029243"/>
      <w:r/>
      <w:bookmarkStart w:id="168" w:name="_Toc16938559"/>
      <w:r>
        <w:rPr>
          <w:rFonts w:hint="eastAsia" w:ascii="宋体" w:hAnsi="宋体" w:eastAsia="宋体" w:cs="宋体"/>
          <w:bCs/>
          <w:color w:val="auto"/>
          <w:sz w:val="24"/>
          <w:szCs w:val="21"/>
          <w:highlight w:val="none"/>
        </w:rPr>
        <w:t xml:space="preserve">以下为成交后签定本项目合同的通用条款，成交供应商不得提出实质性的修改。</w:t>
      </w:r>
      <w:r/>
    </w:p>
    <w:p>
      <w:pPr>
        <w:ind w:firstLine="2249"/>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江苏省政府采购合同（合同编号）</w:t>
      </w:r>
      <w:r/>
    </w:p>
    <w:p>
      <w:pPr>
        <w:jc w:val="center"/>
        <w:keepLines w:val="0"/>
        <w:keepNext w:val="0"/>
        <w:pageBreakBefore w:val="0"/>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eastAsia="zh-CN"/>
        </w:rPr>
        <w:t xml:space="preserve">2026年如东小洋口第四届体育嘉年华服务项目</w:t>
      </w:r>
      <w:r>
        <w:rPr>
          <w:rFonts w:hint="eastAsia" w:ascii="宋体" w:hAnsi="宋体" w:eastAsia="宋体" w:cs="宋体"/>
          <w:b/>
          <w:bCs/>
          <w:color w:val="auto"/>
          <w:sz w:val="36"/>
          <w:szCs w:val="36"/>
          <w:highlight w:val="none"/>
        </w:rPr>
        <w:t xml:space="preserve">合同</w:t>
      </w:r>
      <w:r/>
    </w:p>
    <w:p>
      <w:pPr>
        <w:pStyle w:val="85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（全称）：</w:t>
      </w:r>
      <w:r>
        <w:rPr>
          <w:rFonts w:hint="eastAsia" w:ascii="宋体" w:hAnsi="宋体" w:eastAsia="宋体" w:cs="宋体"/>
          <w:color w:val="auto"/>
          <w:sz w:val="24"/>
          <w:szCs w:val="24"/>
          <w:highlight w:val="none"/>
          <w:u w:val="single"/>
        </w:rPr>
        <w:t xml:space="preserve"> 江苏省如东小洋口旅游度假区管理办公室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（简称甲方）</w:t>
      </w:r>
      <w:r/>
    </w:p>
    <w:p>
      <w:pPr>
        <w:pStyle w:val="859"/>
        <w:keepLines w:val="0"/>
        <w:keepNext w:val="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江苏省如东县金蛤大道1号                                      </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（简称乙方）</w:t>
      </w:r>
      <w:r/>
    </w:p>
    <w:p>
      <w:pPr>
        <w:pStyle w:val="859"/>
        <w:keepLines w:val="0"/>
        <w:keepNext w:val="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p>
    <w:p>
      <w:pPr>
        <w:pStyle w:val="858"/>
        <w:ind w:firstLine="241"/>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一、项目内容</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1、项目名称</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2026年如东小洋口第四届体育嘉年华服务项目</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2、项目内容</w:t>
      </w:r>
      <w:r/>
    </w:p>
    <w:p>
      <w:pPr>
        <w:contextualSpacing/>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2026年如东小洋口第四届体育嘉年华，包括龙舟赛、骑行赛、特色风筝展演、体旅市集、垂钓赛、跳绳项目比赛、体育嘉年华开幕式</w:t>
      </w:r>
      <w:r>
        <w:rPr>
          <w:rFonts w:hint="eastAsia" w:ascii="宋体" w:hAnsi="宋体" w:cs="宋体"/>
          <w:b w:val="0"/>
          <w:bCs w:val="0"/>
          <w:color w:val="auto"/>
          <w:sz w:val="24"/>
          <w:szCs w:val="24"/>
          <w:highlight w:val="none"/>
          <w:lang w:val="en-US" w:eastAsia="zh-CN" w:bidi="ar-SA"/>
        </w:rPr>
        <w:t xml:space="preserve">、苏超观赛夜</w:t>
      </w:r>
      <w:r>
        <w:rPr>
          <w:rFonts w:hint="eastAsia" w:ascii="宋体" w:hAnsi="宋体" w:eastAsia="宋体" w:cs="宋体"/>
          <w:b w:val="0"/>
          <w:bCs w:val="0"/>
          <w:color w:val="auto"/>
          <w:sz w:val="24"/>
          <w:szCs w:val="24"/>
          <w:highlight w:val="none"/>
          <w:lang w:val="en-US" w:eastAsia="zh-CN" w:bidi="ar-SA"/>
        </w:rPr>
        <w:t xml:space="preserve">及节目表演等项目的活动策划、组织、（场地）规划布置、器材物料、人员服务、安保、医疗保障、宣传推广的采购项目。</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3、服务要求</w:t>
      </w:r>
      <w:r/>
    </w:p>
    <w:p>
      <w:pPr>
        <w:contextualSpacing/>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按照甲方活动质量与时限要求，乙方负责组织</w:t>
      </w:r>
      <w:r>
        <w:rPr>
          <w:rFonts w:hint="eastAsia" w:ascii="宋体" w:hAnsi="宋体" w:eastAsia="宋体" w:cs="宋体"/>
          <w:b w:val="0"/>
          <w:bCs w:val="0"/>
          <w:color w:val="auto"/>
          <w:sz w:val="24"/>
          <w:szCs w:val="24"/>
          <w:highlight w:val="none"/>
          <w:lang w:val="en-US" w:eastAsia="zh-CN" w:bidi="ar-SA"/>
        </w:rPr>
        <w:t xml:space="preserve">龙舟赛、骑行赛、特色风筝展演、体旅市集、垂钓赛、跳绳项目比赛、体育嘉年华开幕式及节目表演等项目，包括单不限于参赛人员组织、</w:t>
      </w:r>
      <w:r>
        <w:rPr>
          <w:rFonts w:hint="eastAsia" w:ascii="宋体" w:hAnsi="宋体" w:eastAsia="宋体" w:cs="宋体"/>
          <w:color w:val="auto"/>
          <w:sz w:val="24"/>
          <w:szCs w:val="24"/>
          <w:highlight w:val="none"/>
        </w:rPr>
        <w:t xml:space="preserve">相关设施和景观设计，活动场地搭建及设施配备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安全与医护保障、宣传推广等。</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骑行赛</w:t>
      </w:r>
      <w:r/>
    </w:p>
    <w:p>
      <w:pPr>
        <w:pStyle w:val="7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负责自行车骑行赛事活动的全部内容，包括但不限于负责自行车赛事支持、赛事策划、赛事赛道设计认证服务、参赛运动员、裁判员的招募、开赛助阵名人邀请、嘉宾接待、场地搭建、竞赛组织和赛事物料保障、志愿者培训管理、医疗救护、赛事安全保卫、赛事后勤接待保障、赛道补给、场地布置、氛围营造、国家级或省级媒体宣传和赞助商招募、应急预案、赛事图片直播、各类赛事资料印制、赛事人员保险、保险理赔、通信保障、赛事暖场节目等赛事执行关的一切服务及物资采购内容，以及负责所有内容产生的全部费用。</w:t>
      </w:r>
      <w:r/>
    </w:p>
    <w:p>
      <w:pPr>
        <w:pStyle w:val="776"/>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1.赛事组织工作</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实施赛事所需的全部竞赛组织工作，包括但不限于：制定、发布竞赛规则、规程、赛事日程等；成绩统计及有关设备的提供和管理；竞赛通讯设备的提供及管理；证件的编制和发放；赛事所需的其他组织管理工作；</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（2）负责运动员、裁判员、技术人员、志愿者及相关工作人员等人员的邀请、组织及管理工作</w:t>
      </w:r>
      <w:r>
        <w:rPr>
          <w:rFonts w:hint="eastAsia" w:cs="宋体"/>
          <w:b w:val="0"/>
          <w:bCs w:val="0"/>
          <w:color w:val="auto"/>
          <w:sz w:val="24"/>
          <w:szCs w:val="24"/>
          <w:highlight w:val="none"/>
          <w:lang w:val="en-US" w:eastAsia="zh-CN" w:bidi="ar-SA"/>
        </w:rPr>
        <w:t xml:space="preserve">；</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（3）负责赛事场地勘察、赛事场地设计、赛事路线设计及赛事场地搭建；</w:t>
      </w:r>
      <w:r>
        <w:rPr>
          <w:rFonts w:hint="eastAsia" w:ascii="宋体" w:hAnsi="宋体" w:eastAsia="宋体" w:cs="宋体"/>
          <w:b w:val="0"/>
          <w:bCs w:val="0"/>
          <w:color w:val="auto"/>
          <w:sz w:val="24"/>
          <w:szCs w:val="24"/>
          <w:highlight w:val="none"/>
          <w:lang w:val="en-US" w:eastAsia="zh-CN" w:bidi="ar-SA"/>
        </w:rPr>
        <w:t xml:space="preserve">舞台</w:t>
      </w:r>
      <w:r>
        <w:rPr>
          <w:rFonts w:hint="eastAsia" w:ascii="宋体" w:hAnsi="宋体" w:eastAsia="宋体" w:cs="宋体"/>
          <w:b w:val="0"/>
          <w:bCs w:val="0"/>
          <w:color w:val="auto"/>
          <w:sz w:val="24"/>
          <w:szCs w:val="24"/>
          <w:highlight w:val="none"/>
          <w:lang w:val="en-US" w:eastAsia="zh-CN" w:bidi="ar-SA"/>
        </w:rPr>
        <w:t xml:space="preserve">16*8米，舞台前档，副屏2*4米，LED屏幕12*4米，颁奖台1*3米/个、需要3个，演讲台，音响系统6加2阵线加4个话筒，注水旗5米高60个，空飘10个，隔离护栏根据赛道设定，规程墙、欢迎墙4*3米，签名墙4*3米，运动员报到处1.5*1米k板，桌椅40套。赛事拱门搭建2天，按照起终点同一套拱门搭建，拱门为钢结构，内径高4米，内宽8米，两侧拉线固定，拱门中间接线，包含拱门搭建，拱门外包喷绘。全面布置主会场、赛道铁马、赛道警戒带，赛道道旗100面，5米高，现场标识标牌（转弯牌、提示牌、区域牌、倒计公里牌）</w:t>
      </w:r>
      <w:r>
        <w:rPr>
          <w:rFonts w:hint="eastAsia" w:cs="宋体"/>
          <w:b w:val="0"/>
          <w:bCs w:val="0"/>
          <w:color w:val="auto"/>
          <w:sz w:val="24"/>
          <w:szCs w:val="24"/>
          <w:highlight w:val="none"/>
          <w:lang w:val="en-US" w:eastAsia="zh-CN" w:bidi="ar-SA"/>
        </w:rPr>
        <w:t xml:space="preserve">；</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（4）负责赛事的奖金设计和支付（</w:t>
      </w:r>
      <w:r>
        <w:rPr>
          <w:rFonts w:hint="eastAsia" w:ascii="宋体" w:hAnsi="宋体" w:eastAsia="宋体" w:cs="宋体"/>
          <w:b w:val="0"/>
          <w:bCs w:val="0"/>
          <w:color w:val="auto"/>
          <w:sz w:val="24"/>
          <w:szCs w:val="24"/>
          <w:highlight w:val="none"/>
          <w:lang w:val="en-US" w:eastAsia="zh-CN" w:bidi="ar-SA"/>
        </w:rPr>
        <w:t xml:space="preserve">奖金报价不低于10万元，最终结算按实结算）</w:t>
      </w:r>
      <w:r>
        <w:rPr>
          <w:rFonts w:hint="eastAsia" w:ascii="宋体" w:hAnsi="宋体" w:eastAsia="宋体" w:cs="宋体"/>
          <w:b w:val="0"/>
          <w:bCs w:val="0"/>
          <w:color w:val="auto"/>
          <w:sz w:val="24"/>
          <w:szCs w:val="24"/>
          <w:highlight w:val="none"/>
          <w:lang w:val="en-US" w:eastAsia="zh-CN" w:bidi="ar-SA"/>
        </w:rPr>
        <w:t xml:space="preserve">；</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（5）负责在赛事期间开幕式及颁奖仪式等。</w:t>
      </w:r>
      <w:r/>
    </w:p>
    <w:p>
      <w:pPr>
        <w:pStyle w:val="776"/>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2.赛事及城市宣传</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（1）负责国内媒体的宣传及策划。赛事以及与赛事相关的媒体宣传，提供央视cctv的1分钟专栏报道，不得少于100家媒体网站宣传。</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（2）负责拍摄制作赛事宣传片；</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（3）比赛路线设计团队将进行实地考察并与度假区紧密合作，确定最终的比赛路线；在保证赛事安全并得到江苏省自行车运动协会认可的前提下，该路线设计尽量涵盖小洋口旅游度假区的旅游景点；</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（4）就如何充分利用赛事推广小洋口旅游度假区，提供咨询服务；涉及小洋口的宣传方案，应当经度假办事先同意；</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赛事展示工作：负责赛事的展示工作，包括赛场设施、赛场的设计、物料运输、搭建、运营、维保及拆卸等；赛事标识的设计、制作和设置；赛事现场广告发布等。负责赛场主舞台、起终点龙门架搭建，起终点前后广告护栏设置，会场帐篷、道旗布置等；</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4.组织接待工作：负责接待裁判员、参赛选手及赞助商代表等嘉宾；</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5.赛事招商工作：负责赛事统一商务体系的建设及商业开发，包括赛事赞助方案设计、赞助销售和赞助商服务等；</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购买赛事保险：供应商应当根据国家法律规定办理相关保险，包括但不限于所要求的在中国举办大型体育需要投保的赛事保险，包括但不限于责任、意外事故和火灾保险；签订安全免责书，并对参赛车辆及装备要严格检查，确保安全；</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负责运动员奖金、奖品、保险，裁判员补贴、车贴，领队补贴、甲、乙方工作人员补贴、志愿者补贴、裁判服、本次活动所需的计时器租赁及人员差旅费，负责场地主舞台、起终点拱门搭建及现场布置、制作奖杯、证书、号码布、号码牌、别针、扎带以及裁判器材购买，摄影摄像、专题片制作，汽笛、记圈牌、摇铃、板夹、对讲机等器材购买，工作证、裁判证制作，新闻报道，签到单、检录单、奖金牌制作；</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8.比赛过程中的仲裁由甲方和乙方的技术</w:t>
      </w:r>
      <w:r>
        <w:rPr>
          <w:rFonts w:hint="eastAsia" w:cs="宋体"/>
          <w:b w:val="0"/>
          <w:bCs w:val="0"/>
          <w:color w:val="auto"/>
          <w:sz w:val="24"/>
          <w:szCs w:val="24"/>
          <w:highlight w:val="none"/>
          <w:lang w:val="en-US" w:eastAsia="zh-CN" w:bidi="ar-SA"/>
        </w:rPr>
        <w:t xml:space="preserve">管理人员</w:t>
      </w:r>
      <w:r>
        <w:rPr>
          <w:rFonts w:hint="eastAsia" w:ascii="宋体" w:hAnsi="宋体" w:eastAsia="宋体" w:cs="宋体"/>
          <w:b w:val="0"/>
          <w:bCs w:val="0"/>
          <w:color w:val="auto"/>
          <w:sz w:val="24"/>
          <w:szCs w:val="24"/>
          <w:highlight w:val="none"/>
          <w:lang w:val="en-US" w:eastAsia="zh-CN" w:bidi="ar-SA"/>
        </w:rPr>
        <w:t xml:space="preserve">与组委会共同进行；仲裁后结果不可更改；</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9.按照当地政府要求，负责赛事安保、道路管控等工作；做好赛事各类应急预案的制定与执行；</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10.医疗服务：供应商负责为嘉年华活动提供医疗服务，包括但不限于医务人员、救援人员、救护车和药品等，并支付相关费用。</w:t>
      </w:r>
      <w:r/>
    </w:p>
    <w:p>
      <w:pPr>
        <w:pStyle w:val="776"/>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（二）龙舟赛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按照采购方活动质量与时限要求，供应商负责组织2026江苏省龙舟俱乐部</w:t>
      </w:r>
      <w:r>
        <w:rPr>
          <w:rFonts w:hint="eastAsia" w:ascii="宋体" w:hAnsi="宋体" w:eastAsia="宋体" w:cs="宋体"/>
          <w:b w:val="0"/>
          <w:bCs w:val="0"/>
          <w:color w:val="auto"/>
          <w:sz w:val="24"/>
          <w:szCs w:val="24"/>
          <w:highlight w:val="none"/>
          <w:lang w:val="en-US" w:eastAsia="zh-CN" w:bidi="ar-SA"/>
        </w:rPr>
        <w:t xml:space="preserve">邀请赛（如东小洋口站），包括但不限于活动组织（活动策划、现场组织、指挥协调、物料设计等）、现场搭建（舞台搭建、赛道搭建、水上平台搭建、电力保障、移动厕所保障等）、后勤保障（用车、现场矿泉水保障等）、安保与医护（做好活动应急预案；负责活动现场安保；一医一护一救护车）、竞赛组织（组织选手报名、邀请裁判、竞赛规程制定、赛事组织等）、宣传推广（媒体邀请与全过程宣传、照片视频素材拍摄）等项目。赛前需制定该赛事的活动组织方案、安全预案(含熔断机制)、应急救援方案(突发事件及灾害性天气处置应急救援方案)、舆情应对方案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（一）场地布置</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1.主席台：一级搭建，铺设地毯，背面活动主题</w:t>
      </w:r>
      <w:r>
        <w:rPr>
          <w:rFonts w:hint="eastAsia" w:cs="宋体"/>
          <w:b w:val="0"/>
          <w:bCs w:val="0"/>
          <w:color w:val="auto"/>
          <w:sz w:val="24"/>
          <w:szCs w:val="24"/>
          <w:highlight w:val="none"/>
          <w:lang w:val="en-US" w:eastAsia="zh-CN" w:bidi="ar-SA"/>
        </w:rPr>
        <w:t xml:space="preserve">画面制作</w:t>
      </w:r>
      <w:r>
        <w:rPr>
          <w:rFonts w:hint="eastAsia" w:ascii="宋体" w:hAnsi="宋体" w:eastAsia="宋体" w:cs="宋体"/>
          <w:b w:val="0"/>
          <w:bCs w:val="0"/>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2.领导观赛区：一级搭建，铺设地毯，背面活动主题喷绘。根据现场实际情况，确定搭建尺寸和其他要求。</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3.广告牌：根据招商需要，搭建A字牌广告，每个标准尺寸为 2×1米正反，喷绘安装，根据大会要求制作。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4.开幕式及颁奖背景板：根据大会要求制作。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5.指示系统：场地周边及主要道路口交通及停车指示。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6.现场音响设备，满足大会需求。</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7.主电缆铺设及广播系统、防雷系统铺设:符合大会要求及相关职能部门标准</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（二）后勤服务</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1.交通：提供裁判员、辅助裁判、志愿者、工作人员</w:t>
      </w:r>
      <w:r>
        <w:rPr>
          <w:rFonts w:hint="eastAsia" w:cs="宋体"/>
          <w:b w:val="0"/>
          <w:bCs w:val="0"/>
          <w:color w:val="auto"/>
          <w:sz w:val="24"/>
          <w:szCs w:val="24"/>
          <w:highlight w:val="none"/>
          <w:lang w:val="en-US" w:eastAsia="zh-CN" w:bidi="ar-SA"/>
        </w:rPr>
        <w:t xml:space="preserve">等人员</w:t>
      </w:r>
      <w:r>
        <w:rPr>
          <w:rFonts w:hint="eastAsia" w:ascii="宋体" w:hAnsi="宋体" w:eastAsia="宋体" w:cs="宋体"/>
          <w:b w:val="0"/>
          <w:bCs w:val="0"/>
          <w:color w:val="auto"/>
          <w:sz w:val="24"/>
          <w:szCs w:val="24"/>
          <w:highlight w:val="none"/>
          <w:lang w:val="en-US" w:eastAsia="zh-CN" w:bidi="ar-SA"/>
        </w:rPr>
        <w:t xml:space="preserve">往返交通</w:t>
      </w:r>
      <w:r>
        <w:rPr>
          <w:rFonts w:hint="eastAsia" w:cs="宋体"/>
          <w:b w:val="0"/>
          <w:bCs w:val="0"/>
          <w:color w:val="auto"/>
          <w:sz w:val="24"/>
          <w:szCs w:val="24"/>
          <w:highlight w:val="none"/>
          <w:lang w:val="en-US" w:eastAsia="zh-CN" w:bidi="ar-SA"/>
        </w:rPr>
        <w:t xml:space="preserve">补助</w:t>
      </w:r>
      <w:r>
        <w:rPr>
          <w:rFonts w:hint="eastAsia" w:ascii="宋体" w:hAnsi="宋体" w:eastAsia="宋体" w:cs="宋体"/>
          <w:b w:val="0"/>
          <w:bCs w:val="0"/>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2.服装：提供嘉宾、裁判员、工作人员服装（短袖POLO衫1件，长袖POLO衫1件，防嗮服1件），预计约500件，服装样式、尺码、数量、品牌需经采购方审核同意。</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.医疗、应急救援、志愿者：提供符合国家级赛事的医疗、应急救援、志愿者保障方案。</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5.购买志愿者、辅助裁判保险，赛场保险等。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6.并提供运动员、裁判员、工作人员饮用水，550ml装预计约2000瓶。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7.支付裁判员、工作人员酬金，按实际结算（标准按照赛事劳务费标准执行）。</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8.奖金根据竞赛规程的相关标准执行，涵盖在本赛事服务项目报价内，共计6万。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9.其他：会务接待、车辆调度、跟车及其他附加服务。</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（三）开闭幕式服务</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1.开幕式的组织策划，包括领导嘉宾的接待、座席安排，活动现场的标识指引，赛场的气氛营造，中文主持，安排具有当地特色的表演，活动流程，开幕式现场的电力、灯光、音响以及其他必要物料等。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2.闭幕式的组织策划；中文主持，颁奖及活动流程，现场的布置、音响、气氛营造以及其他必要物料等。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3.安保：成交方配合协助采购方报备当地公安，保障活动期间主赛区的安全保卫工作，并按公安部门出具的安保配置表配置。</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4.保洁：移动厕所、保洁人员由采购方提供，保障活动期间主赛区有卫生保洁工作，成交方予以配合和区域规划。</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5.工作证件、奖杯、奖牌、秩序册：工作证根据采购方报名队伍制作，各岗位需以颜色和名称区别；秩序册按照每队2本制作；奖杯、奖牌按照竞赛规则进行制作。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（四）竞赛场地及器材服务</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1.比赛场地：</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（1）水面长度不小于700米，宽度不小于100米，赛道内水深不小于2米，水质不低于III水的静水水域；</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（2）设置符合规则要求的长500米，宽≥11米的4条赛道用浮球布置的矩形场地，并设有附赛道、警戒水域、准备区和缓冲区；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（3）比赛设施</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①设置高强度铝合金拼装启航平台1组，其中2米×6米为1个模块，共7个模块；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②设置高强度铝合金拼装发令平台 2 组，其中2米×6米为1个模块，共3个模块；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③设置高强度铝合金拼装登舟平台标准4组（最少2组），其中2米×6米为1个模块，共计38模块组成：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标准为：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 个主平台（横向）不少于长46米，宽4米，共14模块组成；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 个附平台（纵向），每个不少于长 18 米，宽4米，每个附平台由6个模块组成，共24模块；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④瞄准牌设置在200米起点、500米起点、终点，3组，每组1个2米×6米模块；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⑤利用原有浮动码头搭建符合比赛要求的登舟平台。</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⑥终点计时区域，根据赛事要求进行搭建，必须符合相关技术要求。</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（4）附属设备物品</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①瞄准牌、标志杆和龙门垂线架共2套（起点、终点各1套）；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②赛道（500/400/300/200/100/0 米）高1米，宽0.5米白底黑字分段标志1套；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③起点、登舟平台1-4号编号牌高0.80米，0.50米的白底黑字矩形3套；终点赛道编号牌高1米，底边长0.50米的三角形白底黑字1套；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④裁判岗位、休息区运动员队名、各类功能区域和通道的标识；</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⑤运动员休息区3X3米帐篷32顶，其他区域（检录、器材、终点等）帐篷18顶，起航平台上遮阳伞4把（含配重）。</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⑥各裁判岗位条桌20张，椅50张，凳200张。</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⑦成绩公告长2米，宽1米（含支架，总高 1.8 米）1套。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⑧救生艇4-6座4艘（及配套救生圈、杆和小红十字旗），备用救生衣100 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⑨运动员休息区、检录区、登舟平台及连接通道隔离铁马视实际场地情况而定。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⑩主席台/起点/终点/检录区域电源按使用电器数量功率需求接驳，电源接线板。</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2.赛场附近需配有适应参赛人数要求的卫生间或临厕、器材管理存放用室、运动员休息区、观龙台和嘉宾休息室、医务点和救护车。</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3.比赛期间需要准备裁判员学习会议室（50 人），组委会会议室（100 人），配备音响、话筒、投影等设备。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4.竞赛器材：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（1）比赛器材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①备用救生衣100件。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②配套用品：按龙舟数量配备龙舟尾旗旗杆（1.5米）、鼓槌、水瓢、弹力鼓绳、艏艉系泊缆绳长 20 米。</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③赛道裁判消浪艇（带顶棚）1 艘，赛场工作艇1艘。</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（2）裁判器材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①租借电子计时设备 1 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②检录区、起点大功率扩音设备共2套，要求音量覆盖工作区域，含无线话筒及支架。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③摄像机2台（具备回看帧进功能，起点、终点各1台），32寸彩色平板显示器1台（含3~5米视频线）</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④对讲机，要求无延时，按省派裁判员数量配备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⑤大功率手提扩音器5只。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⑥验桨卡摸1个,防水合格标贴350张，10米卷尺1只。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⑦大挂钟2面。</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⑧裁判员夹板20个，签字笔30支，订书机1各，双面贴3卷，燕尾夹若干。</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⑨发令用高音汽笛（压力罐装）6个。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⑩多功能秒表10块。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⑪制作检录卡4套（A4大小，防雨），按参赛队含照片等身份信息。</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⑫警告、取消资格红、黄牌各4块（尺寸0.20×0.30米，配有把手）。</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⑬红、白手旗5套。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⑭黑色危险信号旗14套。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⑮龙舟上的赛道编号牌4套（1~4号，红底黄字、黄底红字、蓝底白字）。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⑯赛道编号引导牌4套（0.25×0.35米，把手长0.30米，与龙舟上赛道编号牌颜色相同）。</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⑰队名引导牌，根据参赛队数（队名按秩序册上规范简称，配有把手，正反面，把手长 0.50 米）。</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⑱抽签用具一套签箱1个、乒乓球20个、扑克牌2付，黑色、红色油性记号笔各1支。</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⑲队长标志袖标共16个。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⑳龙舟三角型彩色尾旗14面，高0.60 长0.80米直角三角形</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㉑加厚长0.68米80升手提收纳编织袋6只，标记裁判岗位并分装裁判器材。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㉒笔记本电脑 1台（预装 WINDOWS系统和办公软件）。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㉓激光黑白打印机 1台（准备新墨盒）、打印纸（A4）不少于3包。</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㉔竞赛材料由裁判长提供样张和数量要求，承办单位负责制作。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（3）其他</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①胸卡种类为：工作人员、仲裁、技术代表、总裁判长、副总裁判长、裁判长、辅助裁判员、竞赛志愿者，领队、教练、运动员，数量根据实际确定。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w:t>
      </w:r>
      <w:r>
        <w:rPr>
          <w:rFonts w:hint="eastAsia" w:cs="宋体"/>
          <w:b w:val="0"/>
          <w:bCs w:val="0"/>
          <w:color w:val="auto"/>
          <w:sz w:val="24"/>
          <w:szCs w:val="24"/>
          <w:highlight w:val="none"/>
          <w:lang w:val="en-US" w:eastAsia="zh-CN" w:bidi="ar-SA"/>
        </w:rPr>
        <w:t xml:space="preserve">工作管理人员</w:t>
      </w:r>
      <w:r>
        <w:rPr>
          <w:rFonts w:hint="eastAsia" w:ascii="宋体" w:hAnsi="宋体" w:eastAsia="宋体" w:cs="宋体"/>
          <w:b w:val="0"/>
          <w:bCs w:val="0"/>
          <w:color w:val="auto"/>
          <w:sz w:val="24"/>
          <w:szCs w:val="24"/>
          <w:highlight w:val="none"/>
          <w:lang w:val="en-US" w:eastAsia="zh-CN" w:bidi="ar-SA"/>
        </w:rPr>
        <w:t xml:space="preserve">、仲裁、裁判、运动队用水，根据人员数量配置，每人每天2-3瓶（500ml）。</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③秩序册（指南）印制数量：竞委会、大会办事机构每人1份，仲裁、裁判每人1份，参赛队每队2份，协会存档5份，赛区存档数量自定。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④成绩册印制数量：待定。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⑤比赛开幕式和颁奖所需器材另行确定。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5.裁判员装备：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（1）防晒服每人1件。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（2）裁判员服装，视气温准备短袖、长袖每人各1件。按人员数量要求省派、辅助、志愿者及工作人员服装颜色要有显著区别。</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备注：上述赛事执行内容以主办单位最终确认的竞赛规程和所需物料、设备、器材为准,均含搬运、运输、拆移等。</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（三）2026年南通市中小学体育俱乐部跳绳比赛暨市民生实事“一校一品”跳绳项目学校比赛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1.负责赛事的推广、运营、组织，按照赛事举办计划按时开展工作，制定并向相关部门报批竞赛规程；</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2.负责赛事前期筹备，赛事前期考察、竞赛报名、赛事策划及编排等。负责下发比赛通知，运动员队伍邀约招募，并开通网站报名系统协助完成参赛队伍报名工作；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3.负责报名和赛事裁判系统搭建及提供。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4.负责技术委员会选派，应根据赛事情况选调相关的裁判人员。</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5.负责竞赛执行，赛事监控及开闭幕式组织和协调、赛程编排、场地区域划分等。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6.负责竞赛及办公用品，提供符合标准的竞赛用品，包括全赛事电子跳绳计数设备、统一的奖牌、奖杯、证书以及运动员物料包等竞赛物料和办公用品。</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7.负责后勤服务，根据赛事情况和赛事要求，提前勘察确定酒店和餐饮、用车等后勤保障服务，为各运动队提供食宿等后勤服务，相关食宿费用由各运动队自行承担。</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8.负责宣传及广告设计搭建工作，赛事logo、主视觉、秩序册、背景板等设计及广告物料制作及LED、音控系统搭建。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9.负责志愿者分工及培训。</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10.协同甲方成立赛事组委会。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11.乙方应承担所提供服务、设施设备以及自身团队人员的安全责任。</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12.乙方需承担项目服务人员的安全责任事故、意外事故等全部责任。项目服务人员在服务期内如出现安全事故，或者其他原因导致伤、残、亡等，由乙方自行承担全部责任及费用。</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（四）特色风筝展演</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供应商须提供国家级非遗“南通板鹞风筝”展演服务，确保板鹞具备传统声学结构，以葫芦、竹制哨口实现高中低音阶组合，升空时可演奏“空中交响乐”；不少于</w:t>
      </w:r>
      <w:r>
        <w:rPr>
          <w:rFonts w:hint="eastAsia" w:cs="宋体"/>
          <w:b w:val="0"/>
          <w:bCs w:val="0"/>
          <w:color w:val="auto"/>
          <w:sz w:val="24"/>
          <w:szCs w:val="24"/>
          <w:highlight w:val="none"/>
          <w:lang w:val="en-US" w:eastAsia="zh-CN" w:bidi="ar-SA"/>
        </w:rPr>
        <w:t xml:space="preserve">30</w:t>
      </w:r>
      <w:r>
        <w:rPr>
          <w:rFonts w:hint="eastAsia" w:ascii="宋体" w:hAnsi="宋体" w:eastAsia="宋体" w:cs="宋体"/>
          <w:b w:val="0"/>
          <w:bCs w:val="0"/>
          <w:color w:val="auto"/>
          <w:sz w:val="24"/>
          <w:szCs w:val="24"/>
          <w:highlight w:val="none"/>
          <w:lang w:val="en-US" w:eastAsia="zh-CN" w:bidi="ar-SA"/>
        </w:rPr>
        <w:t xml:space="preserve">只大型风筝，同步提供非遗技艺互动体验区（如手绘风筝、哨口制作教学）及专业放飞团队‌。</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（五）垂钓比赛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1.负责场地布置及赛事相关物资，包括舞台搭建、印刷（秩序册和赛事物料）、设计、设备租赁等；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2.负责赛事组织的相关工作，包括聘请相关工作人员、选派裁判员、</w:t>
      </w:r>
      <w:r>
        <w:rPr>
          <w:rFonts w:hint="eastAsia" w:cs="宋体"/>
          <w:b w:val="0"/>
          <w:bCs w:val="0"/>
          <w:color w:val="auto"/>
          <w:sz w:val="24"/>
          <w:szCs w:val="24"/>
          <w:highlight w:val="none"/>
          <w:lang w:val="en-US" w:eastAsia="zh-CN" w:bidi="ar-SA"/>
        </w:rPr>
        <w:t xml:space="preserve">赛事安保与医疗等</w:t>
      </w:r>
      <w:r>
        <w:rPr>
          <w:rFonts w:hint="eastAsia" w:ascii="宋体" w:hAnsi="宋体" w:eastAsia="宋体" w:cs="宋体"/>
          <w:b w:val="0"/>
          <w:bCs w:val="0"/>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3.负责赛事奖金、证书等发放；</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4.负责组织人员参赛，不低于100人；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5.负责主办方交办的其他事项。</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（六）如东小洋口第四届体育嘉年华开幕式</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1.负责场地布置及氛围营造，包括主舞台搭建、观众区/演员区/嘉宾区划分、启动仪式装置、</w:t>
      </w:r>
      <w:r>
        <w:rPr>
          <w:rFonts w:hint="eastAsia" w:cs="宋体"/>
          <w:b w:val="0"/>
          <w:bCs w:val="0"/>
          <w:color w:val="auto"/>
          <w:sz w:val="24"/>
          <w:szCs w:val="24"/>
          <w:highlight w:val="none"/>
          <w:lang w:val="en-US" w:eastAsia="zh-CN" w:bidi="ar-SA"/>
        </w:rPr>
        <w:t xml:space="preserve">桌椅布置、</w:t>
      </w:r>
      <w:r>
        <w:rPr>
          <w:rFonts w:hint="eastAsia" w:ascii="宋体" w:hAnsi="宋体" w:eastAsia="宋体" w:cs="宋体"/>
          <w:b w:val="0"/>
          <w:bCs w:val="0"/>
          <w:color w:val="auto"/>
          <w:sz w:val="24"/>
          <w:szCs w:val="24"/>
          <w:highlight w:val="none"/>
          <w:lang w:val="en-US" w:eastAsia="zh-CN" w:bidi="ar-SA"/>
        </w:rPr>
        <w:t xml:space="preserve">主题背景板、道旗、地贴、空飘及嘉年华主题装饰等；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w:t>
      </w:r>
      <w:r>
        <w:rPr>
          <w:rFonts w:hint="eastAsia" w:cs="宋体"/>
          <w:b w:val="0"/>
          <w:bCs w:val="0"/>
          <w:color w:val="auto"/>
          <w:sz w:val="24"/>
          <w:szCs w:val="24"/>
          <w:highlight w:val="none"/>
          <w:lang w:val="en-US" w:eastAsia="zh-CN" w:bidi="ar-SA"/>
        </w:rPr>
        <w:t xml:space="preserve">开幕式</w:t>
      </w:r>
      <w:r>
        <w:rPr>
          <w:rFonts w:hint="eastAsia" w:ascii="宋体" w:hAnsi="宋体" w:eastAsia="宋体" w:cs="宋体"/>
          <w:b w:val="0"/>
          <w:bCs w:val="0"/>
          <w:color w:val="auto"/>
          <w:sz w:val="24"/>
          <w:szCs w:val="24"/>
          <w:highlight w:val="none"/>
          <w:lang w:val="en-US" w:eastAsia="zh-CN" w:bidi="ar-SA"/>
        </w:rPr>
        <w:t xml:space="preserve">环节执行，包括暖场节目组织、领导及嘉宾邀请与接待、体育嘉年华开幕启动仪式（含配合彩排及仪式道具控制）；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4.负责相关物料设计及印刷，包括邀请函、工作证件、车证、引导牌、流程手册、地贴、手举牌、致辞夹页、签到册等；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5.负责设备租赁及现场音视频保障，包括音响系统、无线话筒（含手持/耳麦）、大屏幕、控台、灯光系统、播放电脑、摄影摄像设备及直播推流服务；</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6.负责专业人员配置，包括总导演、舞台总监、主持人、音响师、灯光师、大屏播放师、摄影师、摄像师、礼仪人员及场控人员；</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7.负责现场医疗保障，包括配置医疗点、急救人员、急救箱及AED，处理现场突发伤病情况；</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.负责安保与人流管控，包括现场安保人员配置、入场核验、舞台周边安全管控、演员通道管理、应急疏散预案及与属地公安报备协调；</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.负责活动传播与影像留存，包括活动预热宣传、现场花絮拍摄、快剪视频、图片拍摄等。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（七）体旅市集</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1.场地搭建与布置。搭建展位30个，提供展位门楣招牌、插排照明及桌椅，并负责物料运输、水电安装布置、值夜安保、垃圾桶与灭火器摆放等。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2.氛围营造设计。负责展位门楣招牌设计及整体氛围营造设计，需体现“潮头竞秀·海畔集珍”主题，融合海洋、体旅、赶海等元素。</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3.活动区域与项目组织。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海畔风物展示展销区：包含海边鲜美滋味（如海鲜制品、干货、即食海产等）、乡土特产（如本地农产品、特色产品等）及灵感文创手作（如贝壳工艺品、渔网编织品、海洋主题饰品、手绘海螺、帆布包、伴手礼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（2）组织沿海特色小吃（如虾籽烧饼、文蛤饼、春卷等）、老字号及地方风味美食（如醉泥螺、海蜇头、虾酱、海苔制品等）进行展销。</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cs="宋体"/>
          <w:b w:val="0"/>
          <w:bCs w:val="0"/>
          <w:color w:val="auto"/>
          <w:sz w:val="24"/>
          <w:szCs w:val="24"/>
          <w:highlight w:val="none"/>
          <w:lang w:val="en-US" w:eastAsia="zh-CN" w:bidi="ar-SA"/>
        </w:rPr>
        <w:t xml:space="preserve">休闲运动</w:t>
      </w:r>
      <w:r>
        <w:rPr>
          <w:rFonts w:hint="eastAsia" w:ascii="宋体" w:hAnsi="宋体" w:eastAsia="宋体" w:cs="宋体"/>
          <w:b w:val="0"/>
          <w:bCs w:val="0"/>
          <w:color w:val="auto"/>
          <w:sz w:val="24"/>
          <w:szCs w:val="24"/>
          <w:highlight w:val="none"/>
          <w:lang w:val="en-US" w:eastAsia="zh-CN" w:bidi="ar-SA"/>
        </w:rPr>
        <w:t xml:space="preserve">互动体验区</w:t>
      </w:r>
      <w:r>
        <w:rPr>
          <w:rFonts w:hint="eastAsia" w:cs="宋体"/>
          <w:b w:val="0"/>
          <w:bCs w:val="0"/>
          <w:color w:val="auto"/>
          <w:sz w:val="24"/>
          <w:szCs w:val="24"/>
          <w:highlight w:val="none"/>
          <w:lang w:val="en-US" w:eastAsia="zh-CN" w:bidi="ar-SA"/>
        </w:rPr>
        <w:t xml:space="preserve">：飞盘、足球射门等小游戏</w:t>
      </w:r>
      <w:r>
        <w:rPr>
          <w:rFonts w:hint="eastAsia" w:ascii="宋体" w:hAnsi="宋体" w:eastAsia="宋体" w:cs="宋体"/>
          <w:b w:val="0"/>
          <w:bCs w:val="0"/>
          <w:color w:val="auto"/>
          <w:sz w:val="24"/>
          <w:szCs w:val="24"/>
          <w:highlight w:val="none"/>
          <w:lang w:val="en-US" w:eastAsia="zh-CN" w:bidi="ar-SA"/>
        </w:rPr>
        <w:t xml:space="preserve">。</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（八）苏超第二现场·户外烧烤音乐夜</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1.场地搭建</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（1）功能区规划：合理划分核心观赛区、烧烤美食区、音乐演出舞台区、互动抽奖区、休息区、医疗点等。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（2）观赛大屏搭建：搭建专业级户外高清LED大屏，确保画面清晰、视角良好，配套环绕音响系统，实现赛事全程直播。</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（3）氛围布置：围绕足球主题和活动主题进行场地美陈设计，设置足球主题打卡点、合影背景墙等。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（4）配套设施：核心观赛区</w:t>
      </w:r>
      <w:r>
        <w:rPr>
          <w:rFonts w:hint="eastAsia" w:cs="宋体"/>
          <w:color w:val="auto"/>
          <w:sz w:val="24"/>
          <w:szCs w:val="24"/>
          <w:highlight w:val="none"/>
          <w:lang w:val="en-US" w:eastAsia="zh-CN"/>
        </w:rPr>
        <w:t xml:space="preserve">配备相关桌</w:t>
      </w:r>
      <w:r>
        <w:rPr>
          <w:rFonts w:hint="eastAsia" w:ascii="宋体" w:hAnsi="宋体" w:eastAsia="宋体" w:cs="宋体"/>
          <w:color w:val="auto"/>
          <w:sz w:val="24"/>
          <w:szCs w:val="24"/>
          <w:highlight w:val="none"/>
          <w:lang w:val="en-US" w:eastAsia="zh-CN"/>
        </w:rPr>
        <w:t xml:space="preserve">椅、照明设施、临时厕所、垃圾分类回收点等。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2.餐饮服务</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（1）烧烤美食区运营：提供烧烤、小龙虾、精酿啤酒、饮料、如东本土小吃等。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（2）食品安全管理：确保食材新鲜卫生，符合食品安全相关法规要求，并及时向相关部门报备。</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3.信号保障：确保苏超赛事高清直播信号稳定接入，实现大屏实时同步赛场画面。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（九）</w:t>
      </w:r>
      <w:r>
        <w:rPr>
          <w:rFonts w:hint="eastAsia" w:ascii="宋体" w:hAnsi="宋体" w:eastAsia="宋体" w:cs="宋体"/>
          <w:color w:val="auto"/>
          <w:sz w:val="24"/>
          <w:szCs w:val="24"/>
          <w:highlight w:val="none"/>
          <w:lang w:val="en-US" w:eastAsia="zh-CN" w:bidi="ar"/>
        </w:rPr>
        <w:t xml:space="preserve">其他要求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（1）活动搭建所用材料应符合国家相关规定，不得使用劣质材料。整个活动期间，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引发的安全事故，均由供应商承担，甲方概不负责。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（2）活动搭建舞台及展台设计应充分考虑风、雨等自然现象对展台带来的不安全因素。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（3）室外安装灯具、插座及配电盘等用电器应选用防雨型。室外用电设备应有可靠防雨措施及漏电保护装置。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（4）室外展台应确保展台整体结构的强度、刚度、稳定性以及局部稳定性。即：不能出现可变体系，在荷载作用下(主要是风荷载)，不能产生过大的变形。所设计的结构强度应当满足各种荷载所需要的强度。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（5）供应商有人员负责每场活动现场管理工作；经甲方确认同意后，供应商可适当开展营销、展览等商业性促销活动。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（6）供应商须负责活动现场管理并承担演出期间的安全生产责任，同时具有完善的安全保卫工作方案、灭火、应急疏散预案和风险管理方案。</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（7）供应商须负责配合满足甲方合理范围内对项目内容的适当调整。</w:t>
      </w:r>
      <w:r/>
    </w:p>
    <w:p>
      <w:pPr>
        <w:contextualSpacing/>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rPr>
        <w:t xml:space="preserve">二、合同金额</w:t>
      </w:r>
      <w:r>
        <w:rPr>
          <w:rFonts w:hint="eastAsia" w:ascii="宋体" w:hAnsi="宋体" w:eastAsia="宋体" w:cs="宋体"/>
          <w:b/>
          <w:color w:val="auto"/>
          <w:sz w:val="24"/>
          <w:szCs w:val="24"/>
          <w:highlight w:val="none"/>
          <w:lang w:val="en-US" w:eastAsia="zh-CN"/>
        </w:rPr>
        <w:t xml:space="preserve">及付款</w:t>
      </w:r>
      <w:r/>
    </w:p>
    <w:p>
      <w:pPr>
        <w:contextualSpacing/>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b/>
          <w:color w:val="auto"/>
          <w:sz w:val="24"/>
          <w:highlight w:val="none"/>
        </w:rPr>
        <w:t xml:space="preserve">本合同总价款为</w:t>
      </w:r>
      <w:r>
        <w:rPr>
          <w:rFonts w:hint="eastAsia" w:ascii="宋体" w:hAnsi="宋体" w:eastAsia="宋体" w:cs="宋体"/>
          <w:b/>
          <w:color w:val="auto"/>
          <w:sz w:val="24"/>
          <w:highlight w:val="none"/>
          <w:lang w:val="en-US" w:eastAsia="zh-CN"/>
        </w:rPr>
        <w:t xml:space="preserve">人民币</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包含优质完成本项目所需全部费用，包括但不限于完成该项工作所需全部的人员费用、用餐费、用水费、交通费、后勤保障、设施工具及其人工、运输、仓储、劳务支出、场地保险、人员保险、配套费用等各种税费及政策性文件规定及合同包含的所有风险、责任等各项应有费用、法定税金、利润等与履行合同有关的一切费用以及合同明示或暗示的所有一般风险责任和义务费用。</w:t>
      </w:r>
      <w:r/>
    </w:p>
    <w:p>
      <w:pPr>
        <w:pStyle w:val="776"/>
        <w:ind w:firstLine="480"/>
        <w:keepLines w:val="0"/>
        <w:keepNext w:val="0"/>
        <w:pageBreakBefore w:val="0"/>
        <w:spacing w:line="360" w:lineRule="auto"/>
        <w:widowControl w:val="off"/>
        <w:rPr>
          <w:rFonts w:hint="eastAsia" w:ascii="宋体" w:hAnsi="宋体" w:eastAsia="宋体" w:cs="宋体"/>
          <w:b w:val="0"/>
          <w:bCs w:val="0"/>
          <w:i w:val="0"/>
          <w:caps w:val="0"/>
          <w:color w:val="auto"/>
          <w:spacing w:val="0"/>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合同签订后支付合同金额的15%，活动全部完成结束、乙方提交活动结案报告</w:t>
      </w:r>
      <w:r>
        <w:rPr>
          <w:rFonts w:hint="eastAsia" w:ascii="宋体" w:hAnsi="宋体" w:eastAsia="宋体" w:cs="宋体"/>
          <w:color w:val="auto"/>
          <w:sz w:val="24"/>
          <w:szCs w:val="24"/>
          <w:highlight w:val="none"/>
          <w:lang w:val="en-US" w:eastAsia="zh-CN" w:bidi="ar"/>
        </w:rPr>
        <w:t xml:space="preserve">并经甲方验收合格</w:t>
      </w:r>
      <w:r>
        <w:rPr>
          <w:rFonts w:hint="eastAsia" w:cs="宋体"/>
          <w:color w:val="auto"/>
          <w:sz w:val="24"/>
          <w:szCs w:val="24"/>
          <w:highlight w:val="none"/>
          <w:lang w:val="en-US" w:eastAsia="zh-CN" w:bidi="ar"/>
        </w:rPr>
        <w:t xml:space="preserve">且审计结束后</w:t>
      </w:r>
      <w:r>
        <w:rPr>
          <w:rFonts w:hint="eastAsia" w:ascii="宋体" w:hAnsi="宋体" w:eastAsia="宋体" w:cs="宋体"/>
          <w:color w:val="auto"/>
          <w:sz w:val="24"/>
          <w:szCs w:val="24"/>
          <w:highlight w:val="none"/>
          <w:lang w:val="en-US" w:eastAsia="zh-CN" w:bidi="ar"/>
        </w:rPr>
        <w:t xml:space="preserve">后支付剩余应付合同款项</w:t>
      </w:r>
      <w:r>
        <w:rPr>
          <w:rFonts w:hint="eastAsia" w:ascii="宋体" w:hAnsi="宋体" w:eastAsia="宋体" w:cs="宋体"/>
          <w:color w:val="auto"/>
          <w:sz w:val="24"/>
          <w:szCs w:val="24"/>
          <w:highlight w:val="none"/>
          <w:lang w:val="en-US" w:eastAsia="zh-CN" w:bidi="ar"/>
        </w:rPr>
        <w:t xml:space="preserve">（若活动未实施，则扣除对应合同款项）</w:t>
      </w:r>
      <w:r>
        <w:rPr>
          <w:rFonts w:hint="eastAsia" w:ascii="宋体" w:hAnsi="宋体" w:eastAsia="宋体" w:cs="宋体"/>
          <w:b w:val="0"/>
          <w:bCs w:val="0"/>
          <w:i w:val="0"/>
          <w:caps w:val="0"/>
          <w:color w:val="auto"/>
          <w:spacing w:val="0"/>
          <w:sz w:val="24"/>
          <w:szCs w:val="24"/>
          <w:highlight w:val="none"/>
          <w:lang w:val="en-US" w:eastAsia="zh-CN"/>
        </w:rPr>
        <w:t xml:space="preserve">，甲方付款前乙方需按甲方要求提供足额的增值税发票。</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乙方账户名称：</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开户行： </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三、合同期限</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 服务期限：自合同签署生效之日起至乙方提供所有服务工作结束并通过甲方验收时止.</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2、服务地点：甲方指定地点。</w:t>
      </w:r>
      <w:r/>
    </w:p>
    <w:p>
      <w:pPr>
        <w:pStyle w:val="756"/>
        <w:ind w:firstLine="482"/>
        <w:spacing w:line="360" w:lineRule="auto"/>
        <w:rPr>
          <w:rFonts w:hint="eastAsia" w:hAnsi="宋体"/>
          <w:color w:val="auto"/>
          <w:sz w:val="24"/>
          <w:szCs w:val="24"/>
          <w:highlight w:val="none"/>
        </w:rPr>
      </w:pPr>
      <w:r>
        <w:rPr>
          <w:rFonts w:hint="eastAsia" w:hAnsi="宋体"/>
          <w:b/>
          <w:color w:val="auto"/>
          <w:sz w:val="24"/>
          <w:szCs w:val="24"/>
          <w:highlight w:val="none"/>
          <w:lang w:val="en-US" w:eastAsia="zh-CN"/>
        </w:rPr>
        <w:t xml:space="preserve">四、</w:t>
      </w:r>
      <w:r>
        <w:rPr>
          <w:rFonts w:hint="eastAsia" w:hAnsi="宋体"/>
          <w:b/>
          <w:color w:val="auto"/>
          <w:sz w:val="24"/>
          <w:szCs w:val="24"/>
          <w:highlight w:val="none"/>
        </w:rPr>
        <w:t xml:space="preserve">履约担保：</w:t>
      </w:r>
      <w:r>
        <w:rPr>
          <w:rFonts w:hint="eastAsia" w:hAnsi="宋体" w:cs="宋体"/>
          <w:color w:val="auto"/>
          <w:sz w:val="24"/>
          <w:szCs w:val="24"/>
          <w:highlight w:val="none"/>
        </w:rPr>
        <w:t xml:space="preserve">乙方在签订合同前，需向甲方缴纳合同价的5%（即人民币</w:t>
      </w: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元）作为履约保证金。履约保证金缴纳至甲方指定的收款账户</w:t>
      </w:r>
      <w:r>
        <w:rPr>
          <w:rFonts w:hint="eastAsia" w:ascii="宋体" w:hAnsi="宋体" w:cs="宋体"/>
          <w:b w:val="0"/>
          <w:bCs/>
          <w:color w:val="auto"/>
          <w:sz w:val="24"/>
          <w:highlight w:val="none"/>
          <w:lang w:bidi="ar"/>
        </w:rPr>
        <w:t xml:space="preserve">【开户名：</w:t>
      </w:r>
      <w:r>
        <w:rPr>
          <w:rFonts w:hint="eastAsia" w:ascii="宋体" w:hAnsi="宋体" w:cs="宋体"/>
          <w:b w:val="0"/>
          <w:bCs/>
          <w:color w:val="auto"/>
          <w:sz w:val="24"/>
          <w:highlight w:val="none"/>
          <w:lang w:val="en-US" w:eastAsia="zh-CN" w:bidi="ar"/>
        </w:rPr>
        <w:t xml:space="preserve"> 江苏省如东小洋口旅游度假区管理办公室财政局</w:t>
      </w:r>
      <w:r>
        <w:rPr>
          <w:rFonts w:hint="eastAsia" w:ascii="宋体" w:hAnsi="宋体" w:cs="宋体"/>
          <w:b w:val="0"/>
          <w:bCs/>
          <w:color w:val="auto"/>
          <w:sz w:val="24"/>
          <w:highlight w:val="none"/>
          <w:lang w:bidi="ar"/>
        </w:rPr>
        <w:t xml:space="preserve">；开户行：</w:t>
      </w:r>
      <w:r>
        <w:rPr>
          <w:rFonts w:hint="eastAsia" w:ascii="宋体" w:hAnsi="宋体" w:cs="宋体"/>
          <w:b w:val="0"/>
          <w:bCs/>
          <w:color w:val="auto"/>
          <w:sz w:val="24"/>
          <w:highlight w:val="none"/>
          <w:lang w:val="en-US" w:eastAsia="zh-CN" w:bidi="ar"/>
        </w:rPr>
        <w:t xml:space="preserve">江苏如东农村商业银行股份有限公司洋口支行 </w:t>
      </w:r>
      <w:r>
        <w:rPr>
          <w:rFonts w:hint="eastAsia" w:ascii="宋体" w:hAnsi="宋体" w:cs="宋体"/>
          <w:b w:val="0"/>
          <w:bCs/>
          <w:color w:val="auto"/>
          <w:sz w:val="24"/>
          <w:highlight w:val="none"/>
          <w:lang w:bidi="ar"/>
        </w:rPr>
        <w:t xml:space="preserve">；账号：</w:t>
      </w:r>
      <w:r>
        <w:rPr>
          <w:rFonts w:hint="eastAsia" w:ascii="宋体" w:hAnsi="宋体" w:cs="宋体"/>
          <w:b w:val="0"/>
          <w:bCs/>
          <w:color w:val="auto"/>
          <w:sz w:val="24"/>
          <w:highlight w:val="none"/>
          <w:lang w:val="en-US" w:eastAsia="zh-CN" w:bidi="ar"/>
        </w:rPr>
        <w:t xml:space="preserve">3206233801201000049640 </w:t>
      </w:r>
      <w:r>
        <w:rPr>
          <w:rFonts w:hint="eastAsia" w:ascii="宋体" w:hAnsi="宋体" w:cs="宋体"/>
          <w:b w:val="0"/>
          <w:bCs/>
          <w:color w:val="auto"/>
          <w:sz w:val="24"/>
          <w:highlight w:val="none"/>
          <w:lang w:bidi="ar"/>
        </w:rPr>
        <w:t xml:space="preserve">】</w:t>
      </w:r>
      <w:r>
        <w:rPr>
          <w:rFonts w:hint="eastAsia" w:hAnsi="宋体" w:cs="宋体"/>
          <w:color w:val="auto"/>
          <w:sz w:val="24"/>
          <w:szCs w:val="24"/>
          <w:highlight w:val="none"/>
        </w:rPr>
        <w:t xml:space="preserve">。履约保证金在全部服务完成且无质量问题或无违约责任后无息退还。</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、违约条款</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除不可抗力因素或甲方过错外，如乙方发生违约（包括但不限于乙方不按期完成合同约定的内容），乙方须退还甲方全部已付款项并按合同总金额的15%支付违约金，该违约金无法弥补甲方损失（包括但不限于行政罚款、第三方索赔、另行寻找其他方服务的费用）的，乙方应予补足。</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非因甲方原因，乙方不履行本合同规定的义务，未按计划完成工作的，每逾期一天，乙方应按本合同总金额的0.5%向甲方支付违约金，逾期超过【5】天，甲方有权单方解除合同，乙方须退还甲方全部已付款项并按合同总金额的15%支付违约金，并赔偿甲方因此遭受的一切损失（包括但不限于行政罚款、第三方索赔、另行寻找其他方服务的费用）。</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承诺其以及其安排的工作人员具有履行本合同的合法资质，且若有相关规定本合同项下活动需备案的，由乙方负责按规定完成相关活动备案，否则，甲方有权单方解除本合同，乙方应退还甲方全部已付款项并按本合同总金额的10%向甲方支付违约金并赔偿甲方损失。</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4、本项目不得转让、分包，如有发生，无条件清理乙方退场，所造成的一切损失由乙方负责。</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5、甲方按合同约定的时间和方式向乙方支付合同款。</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6、甲方因自身过错未按合同要求支付合同款的，每逾期一日，应以逾期付款金额为基数按全国银行间同业拆借中心公布的贷款市场报价利率计算并支付违约金。</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7、任何一方违反合同约定，另一方均有权要求其赔偿因违约造成的损失；双方另有约定的除外。</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、组成本合同的文件包括 </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1、本合同条款； </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2、本合同的政府采购文件和乙方应标文件； </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3、本合同在采购过程中甲、乙双方签署的全部文字和图片资料； </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4、甲、乙双方其它约定事宜。</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、合同生效及审核</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本合同经甲方、乙方签章后生效。</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、合同争议</w:t>
      </w:r>
      <w:r/>
    </w:p>
    <w:p>
      <w:pPr>
        <w:pStyle w:val="86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乙双方应通过友好协商，解决在执行本合同中所发生的或与本合同有关的一切争议。如果协商仍得不到解决，任何一方均可向甲方所在地人民法院起诉。因诉讼而产生的费用（包括但不限于诉讼费、保全及其担保费、鉴定/评估费、合理的律师费等）均由违约方承担。</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、送达</w:t>
      </w:r>
      <w:r/>
    </w:p>
    <w:p>
      <w:pPr>
        <w:pStyle w:val="86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甲乙双方共同确认本合同</w:t>
      </w:r>
      <w:r>
        <w:rPr>
          <w:rFonts w:hint="eastAsia" w:ascii="宋体" w:hAnsi="宋体" w:cs="宋体"/>
          <w:color w:val="auto"/>
          <w:sz w:val="24"/>
          <w:szCs w:val="24"/>
          <w:highlight w:val="none"/>
          <w:lang w:val="en-US" w:eastAsia="zh-CN" w:bidi="ar-SA"/>
        </w:rPr>
        <w:t xml:space="preserve">首</w:t>
      </w:r>
      <w:r>
        <w:rPr>
          <w:rFonts w:hint="eastAsia" w:ascii="宋体" w:hAnsi="宋体" w:eastAsia="宋体" w:cs="宋体"/>
          <w:color w:val="auto"/>
          <w:sz w:val="24"/>
          <w:szCs w:val="24"/>
          <w:highlight w:val="none"/>
          <w:lang w:val="en-US" w:eastAsia="zh-CN" w:bidi="ar-SA"/>
        </w:rPr>
        <w:t xml:space="preserve">部所载明的地址，为甲乙双方有效的送达地址。今后凡与本合同项下有关的文书函件以及相关法律文书、诉讼文书送达地址均以此为准。甲乙双方承诺在地址发生变更时，应及时通知对方，否则因地址不准确，或地址变更后未及时书面告知合同相对方，导致合同往来文书函件及法律文书被拒绝签收、无法送达等情形的，应自行承担有效送达的法律后果。</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、适用法律</w:t>
      </w:r>
      <w:r/>
    </w:p>
    <w:p>
      <w:pPr>
        <w:pStyle w:val="85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本合同应按照中华人民共和国的现行法律进行解释。</w:t>
      </w:r>
      <w:r/>
    </w:p>
    <w:p>
      <w:pPr>
        <w:pStyle w:val="858"/>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、合同份数</w:t>
      </w:r>
      <w:r/>
    </w:p>
    <w:p>
      <w:pPr>
        <w:pStyle w:val="85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本合同一式陆份，甲乙双方签章后各执叁份。</w:t>
      </w:r>
      <w:r/>
    </w:p>
    <w:p>
      <w:pPr>
        <w:pStyle w:val="858"/>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8"/>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            </w:t>
      </w:r>
      <w:r/>
    </w:p>
    <w:p>
      <w:pPr>
        <w:pStyle w:val="861"/>
        <w:ind w:firstLine="240"/>
        <w:keepLines w:val="0"/>
        <w:keepNext w:val="0"/>
        <w:pageBreakBefore w:val="0"/>
        <w:spacing w:before="19"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firstLine="240"/>
        <w:keepLines w:val="0"/>
        <w:keepNext w:val="0"/>
        <w:pageBreakBefore w:val="0"/>
        <w:spacing w:before="19"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    月    日                           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    月    日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66"/>
      <w:bookmarkEnd w:id="167"/>
      <w:bookmarkEnd w:id="168"/>
      <w:r/>
    </w:p>
    <w:p>
      <w:pPr>
        <w:ind w:firstLine="723"/>
        <w:jc w:val="center"/>
        <w:keepLines w:val="0"/>
        <w:keepNext/>
        <w:pageBreakBefore w:val="0"/>
        <w:spacing w:line="360" w:lineRule="auto"/>
        <w:widowControl w:val="off"/>
        <w:rPr>
          <w:rFonts w:hint="eastAsia" w:ascii="宋体" w:hAnsi="宋体" w:eastAsia="宋体" w:cs="宋体"/>
          <w:b/>
          <w:bCs/>
          <w:color w:val="auto"/>
          <w:sz w:val="36"/>
          <w:szCs w:val="36"/>
          <w:highlight w:val="none"/>
        </w:rPr>
        <w:outlineLvl w:val="0"/>
      </w:pPr>
      <w:r/>
      <w:bookmarkStart w:id="169" w:name="_Hlt16619350"/>
      <w:r/>
      <w:bookmarkStart w:id="170" w:name="_Toc16938590"/>
      <w:r/>
      <w:bookmarkStart w:id="171" w:name="_Toc120614244"/>
      <w:r/>
      <w:bookmarkStart w:id="172" w:name="_Toc20823346"/>
      <w:r/>
      <w:bookmarkStart w:id="173" w:name="_Toc479757211"/>
      <w:r/>
      <w:bookmarkStart w:id="174" w:name="_Toc462564139"/>
      <w:r>
        <w:rPr>
          <w:rFonts w:hint="eastAsia" w:ascii="宋体" w:hAnsi="宋体" w:eastAsia="宋体" w:cs="宋体"/>
          <w:b/>
          <w:bCs/>
          <w:color w:val="auto"/>
          <w:sz w:val="36"/>
          <w:szCs w:val="36"/>
          <w:highlight w:val="none"/>
        </w:rPr>
        <w:t xml:space="preserve">第</w:t>
      </w:r>
      <w:bookmarkEnd w:id="169"/>
      <w:r>
        <w:rPr>
          <w:rFonts w:hint="eastAsia" w:ascii="宋体" w:hAnsi="宋体" w:eastAsia="宋体" w:cs="宋体"/>
          <w:b/>
          <w:bCs/>
          <w:color w:val="auto"/>
          <w:sz w:val="36"/>
          <w:szCs w:val="36"/>
          <w:highlight w:val="none"/>
        </w:rPr>
        <w:t xml:space="preserve">四章 采购需求</w:t>
      </w:r>
      <w:bookmarkEnd w:id="170"/>
      <w:r/>
      <w:bookmarkEnd w:id="171"/>
      <w:r/>
      <w:bookmarkEnd w:id="172"/>
      <w:r/>
      <w:bookmarkStart w:id="175" w:name="_Toc26554093"/>
      <w:r/>
      <w:bookmarkStart w:id="176" w:name="_Toc49090575"/>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供应商在制作响应文件时仔细研究采购需求说明。采购需求包括技术要求和商务要求:</w:t>
      </w:r>
      <w:r/>
    </w:p>
    <w:p>
      <w:pPr>
        <w:ind w:firstLine="480"/>
        <w:jc w:val="left"/>
        <w:keepLines w:val="0"/>
        <w:keepNext w:val="0"/>
        <w:pageBreakBefore w:val="0"/>
        <w:spacing w:line="360" w:lineRule="auto"/>
        <w:widowControl w:val="off"/>
        <w:rPr>
          <w:rFonts w:hint="eastAsia" w:ascii="宋体" w:hAnsi="宋体" w:eastAsia="宋体" w:cs="宋体"/>
          <w:b/>
          <w:i/>
          <w:iCs/>
          <w:color w:val="auto"/>
          <w:sz w:val="24"/>
          <w:szCs w:val="24"/>
          <w:highlight w:val="none"/>
          <w:u w:val="single"/>
        </w:rPr>
      </w:pPr>
      <w:r>
        <w:rPr>
          <w:rFonts w:hint="eastAsia" w:ascii="宋体" w:hAnsi="宋体" w:eastAsia="宋体" w:cs="宋体"/>
          <w:bCs/>
          <w:color w:val="auto"/>
          <w:sz w:val="24"/>
          <w:szCs w:val="24"/>
          <w:highlight w:val="none"/>
        </w:rPr>
        <w:t xml:space="preserve">技术要求是指对采购标的功能和质量要求，包括性能、材料、结构、外观、安全，或者服务内容和标准等。</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 xml:space="preserve">有关要求说明</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77" w:name="_Toc120614281"/>
      <w:r>
        <w:rPr>
          <w:rFonts w:hint="eastAsia" w:ascii="宋体" w:hAnsi="宋体" w:eastAsia="宋体" w:cs="宋体"/>
          <w:b/>
          <w:bCs/>
          <w:color w:val="auto"/>
          <w:sz w:val="24"/>
          <w:szCs w:val="24"/>
          <w:highlight w:val="none"/>
        </w:rPr>
        <w:t xml:space="preserve">一、项目名称</w:t>
      </w:r>
      <w:r/>
    </w:p>
    <w:p>
      <w:pPr>
        <w:contextualSpacing/>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2026年如东小洋口第四届体育嘉年华服务项目</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二、活动目的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年如东小洋口第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届体育嘉年华坚持体育牵引、文化赋能、旅游带动，围绕“水陆空联动、文体旅共融”核心理念，以自行车、垂钓、风筝、龙舟等多元赛事为载体，构建立体化赛事体系。通过多项目联动引爆热潮、融合创新激发消费动能，打造沉浸式运动体验，推动文体旅商深度融合，全面彰显小洋口全域运动魅力，赋能区域文体旅产业提质升级。</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三、活动信息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（一）时间：2026 年 5月16日（周六）- 5月17日（周日）每日8:00-21:00（</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val="en-US" w:eastAsia="zh-CN"/>
        </w:rPr>
        <w:t xml:space="preserve">根据活动需要实时调整）。</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（二）地点：如东小洋口旅游度假区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四、采购</w:t>
      </w:r>
      <w:r>
        <w:rPr>
          <w:rFonts w:hint="eastAsia" w:ascii="宋体" w:hAnsi="宋体" w:eastAsia="宋体" w:cs="宋体"/>
          <w:b/>
          <w:bCs/>
          <w:color w:val="auto"/>
          <w:sz w:val="24"/>
          <w:szCs w:val="24"/>
          <w:highlight w:val="none"/>
          <w:lang w:val="en-US" w:eastAsia="zh-CN"/>
        </w:rPr>
        <w:t xml:space="preserve">内容</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2026年如东小洋口第四届体育嘉年华，包括龙舟赛、骑行赛、特色风筝展演、体旅市集、垂钓赛、跳绳项目比赛、体育嘉年华开幕式、苏超观赛夜及节目表演等项目的活动策划、组织、（场地）规划布置、器材物料、人员服务、安保、医疗保障、宣传推广的采购项目。</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服务要求</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按照采购方活动质量与时限要求，供应商负责组括龙舟赛、骑行赛、特色风筝展演、体旅市集、垂钓赛、跳绳项目比赛、体育嘉年华开幕式</w:t>
      </w:r>
      <w:r>
        <w:rPr>
          <w:rFonts w:hint="eastAsia" w:ascii="宋体" w:hAnsi="宋体" w:cs="宋体"/>
          <w:b w:val="0"/>
          <w:bCs w:val="0"/>
          <w:color w:val="auto"/>
          <w:sz w:val="24"/>
          <w:szCs w:val="24"/>
          <w:highlight w:val="none"/>
          <w:lang w:val="en-US" w:eastAsia="zh-CN" w:bidi="ar-SA"/>
        </w:rPr>
        <w:t xml:space="preserve">、苏超观赛夜</w:t>
      </w:r>
      <w:r>
        <w:rPr>
          <w:rFonts w:hint="eastAsia" w:ascii="宋体" w:hAnsi="宋体" w:eastAsia="宋体" w:cs="宋体"/>
          <w:b w:val="0"/>
          <w:bCs w:val="0"/>
          <w:color w:val="auto"/>
          <w:sz w:val="24"/>
          <w:szCs w:val="24"/>
          <w:highlight w:val="none"/>
          <w:lang w:val="en-US" w:eastAsia="zh-CN" w:bidi="ar-SA"/>
        </w:rPr>
        <w:t xml:space="preserve">及节目表演等项目，包括单不限于参赛人员组织、</w:t>
      </w:r>
      <w:r>
        <w:rPr>
          <w:rFonts w:hint="eastAsia" w:ascii="宋体" w:hAnsi="宋体" w:eastAsia="宋体" w:cs="宋体"/>
          <w:color w:val="auto"/>
          <w:sz w:val="24"/>
          <w:szCs w:val="24"/>
          <w:highlight w:val="none"/>
        </w:rPr>
        <w:t xml:space="preserve">相关设施和景观设计，活动场地搭建及设施配备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后勤保障、安全与医护保障、宣传推广等。</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骑行赛</w:t>
      </w:r>
      <w:r/>
    </w:p>
    <w:p>
      <w:pPr>
        <w:pStyle w:val="7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负责自行车骑行赛事活动的全部内容，包括但不限于负责自行车赛事支持、赛事策划、赛事赛道设计认证服务、参赛运动员、裁判员的招募、开赛助阵名人邀请、嘉宾接待、场地搭建、竞赛组织和赛事物料保障、志愿者培训管理、医疗救护、赛事安全保卫、赛事后勤接待保障、赛道补给、场地布置、氛围营造、国家级或省级媒体宣传和赞助商招募、应急预案、赛事图片直播、各类赛事资料印制、赛事人员保险、保险理赔、通信保障、赛事暖场节目等赛事执行关的一切服务及物资采购内容，以及负责所有内容产生的全部费用。</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1.赛事组织工作</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实施赛事所需的全部竞赛组织工作，包括但不限于：制定、发布竞赛规则、规程、赛事日程等；成绩统计及有关设备的提供和管理；竞赛通讯设备的提供及管理；证件的编制和发放；赛事所需的其他组织管理工作；</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）负责运动员、裁判员、技术人员、志愿者及相关工作人员等人员的邀请、组织及管理工作</w:t>
      </w:r>
      <w:r>
        <w:rPr>
          <w:rFonts w:hint="eastAsia" w:cs="宋体"/>
          <w:b w:val="0"/>
          <w:bCs w:val="0"/>
          <w:color w:val="auto"/>
          <w:sz w:val="24"/>
          <w:szCs w:val="24"/>
          <w:highlight w:val="none"/>
          <w:lang w:val="en-US" w:eastAsia="zh-CN" w:bidi="ar-SA"/>
        </w:rPr>
        <w:t xml:space="preserve">；</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）负责赛事场地勘察、赛事场地设计、赛事路线设计及赛事场地搭建</w:t>
      </w:r>
      <w:r>
        <w:rPr>
          <w:rFonts w:hint="eastAsia"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舞台1</w:t>
      </w:r>
      <w:r>
        <w:rPr>
          <w:rFonts w:hint="eastAsia" w:cs="宋体"/>
          <w:b w:val="0"/>
          <w:bCs w:val="0"/>
          <w:color w:val="auto"/>
          <w:sz w:val="24"/>
          <w:szCs w:val="24"/>
          <w:highlight w:val="none"/>
          <w:lang w:val="en-US" w:eastAsia="zh-CN" w:bidi="ar-SA"/>
        </w:rPr>
        <w:t xml:space="preserve">6*8米，舞台前档，副屏2*4米，LED屏幕12*4米，颁奖台1*3米/个、需要3个，演讲台，音响系统6加2阵线加4个话筒，注水旗5米高60个，空飘10个，隔离护栏根据赛道设定，规程墙、欢迎墙4*3米，签名墙4*3米，运动员报到处1.5*1米k板，桌椅40套。赛事拱门搭建2天，按照起终点同一套拱门搭建，拱门为钢结构，内径高4米，内宽8米，两侧拉线固定，拱门中间接线，包含拱门搭建，拱门外包喷绘。全面布置主会场、赛道铁马、赛道警戒带，赛道道旗100面，5米高，现场标识标牌（转弯牌、提示牌、区域牌、倒计公里牌）。</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）负责赛事的奖金设计和支付</w:t>
      </w:r>
      <w:r>
        <w:rPr>
          <w:rFonts w:hint="eastAsia" w:cs="宋体"/>
          <w:b w:val="0"/>
          <w:bCs w:val="0"/>
          <w:color w:val="auto"/>
          <w:sz w:val="24"/>
          <w:szCs w:val="24"/>
          <w:highlight w:val="none"/>
          <w:lang w:val="en-US" w:eastAsia="zh-CN" w:bidi="ar-SA"/>
        </w:rPr>
        <w:t xml:space="preserve">（奖金报价不低于10万元，最终结算按实结算）</w:t>
      </w:r>
      <w:r>
        <w:rPr>
          <w:rFonts w:hint="eastAsia" w:ascii="宋体" w:hAnsi="宋体" w:eastAsia="宋体" w:cs="宋体"/>
          <w:b w:val="0"/>
          <w:bCs w:val="0"/>
          <w:color w:val="auto"/>
          <w:sz w:val="24"/>
          <w:szCs w:val="24"/>
          <w:highlight w:val="none"/>
          <w:lang w:val="en-US" w:eastAsia="zh-CN" w:bidi="ar-SA"/>
        </w:rPr>
        <w:t xml:space="preserve">；</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）负责在赛事期间开幕式及颁奖仪式等。</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2.赛事及城市宣传</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（1）负责国内媒体的宣传及策划。赛事以及与赛事相关的媒体宣传，提供央视cctv的1分钟专栏报道，不得少于100家媒体网站宣传。</w:t>
      </w:r>
      <w:r/>
    </w:p>
    <w:p>
      <w:pPr>
        <w:pStyle w:val="776"/>
        <w:ind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（2）提供专业赛事直播与赛事解说；</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）负责拍摄制作赛事宣传片；</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）比赛路线设计团队将进行实地考察并与度假区紧密合作，确定最终的比赛路线；在保证赛事安全并得到江苏省自行车运动协会认可的前提下，该路线设计尽量涵盖小洋口旅游度假区的旅游景点；</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）就如何充分利用赛事推广小洋口旅游度假区，提供咨询服务；涉及小洋口的宣传方案，应当经度假办事先同意；</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赛事展示工作：负责赛事的展示工作，包括赛场设施、赛场的设计、物料运输、搭建、运营、维保及拆卸等；赛事标识的设计、制作和设置；赛事现场广告发布等。负责赛场主舞台、起终点龙门架搭建，起终点前后广告护栏设置，会场帐篷、道旗布置等；</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4.组织接待工作：负责接待裁判员、参赛选手及赞助商代表等嘉宾；</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5.赛事招商工作：负责赛事统一商务体系的建设及商业开发，包括赛事赞助方案设计、赞助销售和赞助商服务等；</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购买赛事保险：供应商应当根据国家法律规定办理相关保险，包括但不限于所要求的在中国举办大型体育需要投保的赛事保险，包括但不限于责任、意外事故和火灾保险；签订安全免责书，并对参赛车辆及装备要严格检查，确保安全；</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负责运动员奖金、奖品、保险，裁判员补贴、车贴，领队补贴、甲、乙方工作人员补贴、志愿者补贴、裁判服、本次活动所需的计时器租赁及人员差旅费，负责场地主舞台、起终点拱门搭建及现场布置、制作奖杯、证书、号码布、号码牌、别针、扎带以及裁判器材购买，摄影摄像、专题片制作，汽笛、记圈牌、摇铃、板夹、对讲机等器材购买，工作证、裁判证制作，新闻报道，签到单、检录单、奖金牌制作；</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8.比赛过程中的仲裁由甲方和乙方的技术</w:t>
      </w:r>
      <w:r>
        <w:rPr>
          <w:rFonts w:hint="eastAsia" w:cs="宋体"/>
          <w:b w:val="0"/>
          <w:bCs w:val="0"/>
          <w:color w:val="auto"/>
          <w:sz w:val="24"/>
          <w:szCs w:val="24"/>
          <w:highlight w:val="none"/>
          <w:lang w:val="en-US" w:eastAsia="zh-CN" w:bidi="ar-SA"/>
        </w:rPr>
        <w:t xml:space="preserve">管理人员</w:t>
      </w:r>
      <w:r>
        <w:rPr>
          <w:rFonts w:hint="eastAsia" w:ascii="宋体" w:hAnsi="宋体" w:eastAsia="宋体" w:cs="宋体"/>
          <w:b w:val="0"/>
          <w:bCs w:val="0"/>
          <w:color w:val="auto"/>
          <w:sz w:val="24"/>
          <w:szCs w:val="24"/>
          <w:highlight w:val="none"/>
          <w:lang w:val="en-US" w:eastAsia="zh-CN" w:bidi="ar-SA"/>
        </w:rPr>
        <w:t xml:space="preserve">与组委会共同进行；仲裁后结果不可更改；</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9.按照当地政府要求，负责赛事安保、道路管控等工作；做好赛事各类应急预案的制定与执行；</w:t>
      </w:r>
      <w:r/>
    </w:p>
    <w:p>
      <w:pPr>
        <w:pStyle w:val="776"/>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10.医疗服务：供应商负责为嘉年华活动提供医疗服务，包括但不限于医务人员、救援人员、救护车和药品等，并支付相关费用。</w:t>
      </w:r>
      <w:r/>
    </w:p>
    <w:p>
      <w:pPr>
        <w:pStyle w:val="776"/>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（二）龙舟赛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按照采购方活动质量与时限要求，供应商负责组织2026江苏省龙舟俱乐部</w:t>
      </w:r>
      <w:r>
        <w:rPr>
          <w:rFonts w:hint="eastAsia" w:ascii="宋体" w:hAnsi="宋体" w:eastAsia="宋体" w:cs="宋体"/>
          <w:b w:val="0"/>
          <w:bCs w:val="0"/>
          <w:color w:val="auto"/>
          <w:sz w:val="24"/>
          <w:szCs w:val="24"/>
          <w:highlight w:val="none"/>
          <w:lang w:val="en-US" w:eastAsia="zh-CN" w:bidi="ar-SA"/>
        </w:rPr>
        <w:t xml:space="preserve">邀请赛（如东小洋口站），包括但不限于活动组织（活动策划、现场组织、指挥协调、物料设计等）、现场搭建（舞台搭建、赛道搭建、水上平台搭建、电力保障、移动厕所保障等）、后勤保障（用车、现场矿泉水保障等）、安保与医护（做好活动应急预案；负责活动现场安保；一医一护一救护车）、竞赛组织（组织选手报名、邀请裁判、竞赛规程制定、赛事组织等）、宣传推广（媒体邀请与全过程宣传、照片视频素材拍摄）等项目。赛前需制定该赛事的活动组织方案、安全预案(含熔断机制)、应急救援方案(突发事件及灾害性天气处置应急救援方案)、舆情应对方案等。</w:t>
      </w:r>
      <w:r/>
    </w:p>
    <w:p>
      <w:pPr>
        <w:pStyle w:val="776"/>
        <w:ind w:left="0" w:firstLine="482"/>
        <w:keepLines w:val="0"/>
        <w:keepNext w:val="0"/>
        <w:pageBreakBefore w:val="0"/>
        <w:spacing w:line="360" w:lineRule="auto"/>
        <w:widowControl w:val="off"/>
        <w:rPr>
          <w:rFonts w:hint="eastAsia"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场地布置</w:t>
      </w:r>
      <w:r>
        <w:rPr>
          <w:rFonts w:hint="eastAsia" w:cs="宋体"/>
          <w:b/>
          <w:bCs/>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1.主席台：一级搭建，铺设地毯，背面活动主题</w:t>
      </w:r>
      <w:r>
        <w:rPr>
          <w:rFonts w:hint="eastAsia" w:cs="宋体"/>
          <w:b w:val="0"/>
          <w:bCs w:val="0"/>
          <w:color w:val="auto"/>
          <w:sz w:val="24"/>
          <w:szCs w:val="24"/>
          <w:highlight w:val="none"/>
          <w:lang w:val="en-US" w:eastAsia="zh-CN" w:bidi="ar-SA"/>
        </w:rPr>
        <w:t xml:space="preserve">画面制作</w:t>
      </w:r>
      <w:r>
        <w:rPr>
          <w:rFonts w:hint="eastAsia" w:ascii="宋体" w:hAnsi="宋体" w:eastAsia="宋体" w:cs="宋体"/>
          <w:b w:val="0"/>
          <w:bCs w:val="0"/>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2.领导观赛区：一级搭建，铺设地毯，背面活动主题喷绘。根据现场实际情况，确定搭建尺寸和其他要求。</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3.广告牌：根据招商需要，搭建A字牌广告，每个标准尺寸为 2×1米正反，喷绘安装，根据大会要求制作。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4.开幕式及颁奖背景板：根据大会要求制作。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5.指示系统：场地周边及主要道路口交通及停车指示。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6.现场音响设备，满足大会需求。</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7.主电缆铺设及广播系统、防雷系统铺设:符合大会要求及相关职能部门标准</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后勤服务</w:t>
      </w:r>
      <w:r>
        <w:rPr>
          <w:rFonts w:hint="eastAsia" w:cs="宋体"/>
          <w:b/>
          <w:bCs/>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1.交通：提供裁判员、辅助裁判、志愿者、工作人员</w:t>
      </w:r>
      <w:r>
        <w:rPr>
          <w:rFonts w:hint="eastAsia" w:cs="宋体"/>
          <w:b w:val="0"/>
          <w:bCs w:val="0"/>
          <w:color w:val="auto"/>
          <w:sz w:val="24"/>
          <w:szCs w:val="24"/>
          <w:highlight w:val="none"/>
          <w:lang w:val="en-US" w:eastAsia="zh-CN" w:bidi="ar-SA"/>
        </w:rPr>
        <w:t xml:space="preserve">等人员</w:t>
      </w:r>
      <w:r>
        <w:rPr>
          <w:rFonts w:hint="eastAsia" w:ascii="宋体" w:hAnsi="宋体" w:eastAsia="宋体" w:cs="宋体"/>
          <w:b w:val="0"/>
          <w:bCs w:val="0"/>
          <w:color w:val="auto"/>
          <w:sz w:val="24"/>
          <w:szCs w:val="24"/>
          <w:highlight w:val="none"/>
          <w:lang w:val="en-US" w:eastAsia="zh-CN" w:bidi="ar-SA"/>
        </w:rPr>
        <w:t xml:space="preserve">往返交通</w:t>
      </w:r>
      <w:r>
        <w:rPr>
          <w:rFonts w:hint="eastAsia" w:cs="宋体"/>
          <w:b w:val="0"/>
          <w:bCs w:val="0"/>
          <w:color w:val="auto"/>
          <w:sz w:val="24"/>
          <w:szCs w:val="24"/>
          <w:highlight w:val="none"/>
          <w:lang w:val="en-US" w:eastAsia="zh-CN" w:bidi="ar-SA"/>
        </w:rPr>
        <w:t xml:space="preserve">补助</w:t>
      </w:r>
      <w:r>
        <w:rPr>
          <w:rFonts w:hint="eastAsia" w:ascii="宋体" w:hAnsi="宋体" w:eastAsia="宋体" w:cs="宋体"/>
          <w:b w:val="0"/>
          <w:bCs w:val="0"/>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2.服装：提供嘉宾、裁判员、工作人员服装（短袖POLO衫1件，长袖POLO衫1件，防嗮服1件），预计约500件，服装样式、尺码、数量、品牌需经采购方审核同意。</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.医疗、应急救援、志愿者：提供符合国家级赛事的医疗、应急救援、志愿者保障方案。</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5.购买志愿者、辅助裁判保险，赛场保险等。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6.并提供运动员、裁判员、工作人员饮用水，550ml装预计约2000瓶。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7.支付裁判员、工作人员酬金，按实际结算（标准按照赛事劳务费标准执行）。</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8.奖金根据竞赛规程的相关标准执行，涵盖在本赛事服务项目报价内，共计6万。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9.其他：会务接待、车辆调度、跟车及其他附加服务。</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开闭幕式服务</w:t>
      </w:r>
      <w:r>
        <w:rPr>
          <w:rFonts w:hint="eastAsia" w:cs="宋体"/>
          <w:b/>
          <w:bCs/>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1.开幕式的组织策划，包括领导嘉宾的接待、座席安排，活动现场的标识指引，赛场的气氛营造，中文主持，安排具有当地特色的表演，活动流程，开幕式现场的电力、灯光、音响以及其他必要物料等。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2.闭幕式的组织策划；中文主持，颁奖及活动流程，现场的布置、音响、气氛营造以及其他必要物料等。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3.安保：成交方配合协助采购方报备当地公安，保障活动期间主赛区的安全保卫工作，并按公安部门出具的安保配置表配置。</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4.保洁：移动厕所、保洁人员由采购方提供，保障活动期间主赛区有卫生保洁工作，成交方予以配合和区域规划。</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5.工作证件、奖杯、奖牌、秩序册：工作证根据采购方报名队伍制作，各岗位需以颜色和名称区别；秩序册按照每队2本制作；奖杯、奖牌按照竞赛规则进行制作。</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竞赛场地及器材服务</w:t>
      </w:r>
      <w:r>
        <w:rPr>
          <w:rFonts w:hint="eastAsia" w:cs="宋体"/>
          <w:b/>
          <w:bCs/>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1.比赛场地：</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（1）水面长度不小于700米，宽度不小于100米，赛道内水深不小于2米，水质不低于III水的静水水域；</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（2）设置符合规则要求的长500米，宽≥11米的4条赛道用浮球布置的矩形场地，并设有附赛道、警戒水域、准备区和缓冲区；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（3）比赛设施</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①设置高强度铝合金拼装启航平台1组，其中2米×6米为1个模块，共7个模块；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②设置高强度铝合金拼装发令平台 2 组，其中2米×6米为1个模块，共3个模块；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③设置高强度铝合金拼装登舟平台标准4组（最少2组），其中2米×6米为1个模块，共计38模块组成：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标准为：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 个主平台（横向）不少于长46米，宽4米，共14模块组成；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 个附平台（纵向），每个不少于长 18 米，宽4米，每个附平台由6个模块组成，共24模块；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④瞄准牌设置在200米起点、500米起点、终点，3组，每组1个2米×6米模块；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⑤利用原有浮动码头搭建符合比赛要求的登舟平台。</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⑥终点计时区域，根据赛事要求进行搭建，必须符合相关技术要求。</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（4）附属设备物品</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①瞄准牌、标志杆和龙门垂线架共2套（起点、终点各1套）；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②赛道（500/400/300/200/100/0 米）高1米，宽0.5米白底黑字分段标志1套；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③起点、登舟平台1-4号编号牌高0.80米，0.50米的白底黑字矩形3套；终点赛道编号牌高1米，底边长0.50米的三角形白底黑字1套；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④裁判岗位、休息区运动员队名、各类功能区域和通道的标识；</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⑤运动员休息区3X3米帐篷32顶，其他区域（检录、器材、终点等）帐篷18顶，起航平台上遮阳伞4把（含配重）。</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⑥各裁判岗位条桌20张，椅50张，凳200张。</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⑦成绩公告长2米，宽1米（含支架，总高 1.8 米）1套。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⑧救生艇4-6座4艘（及配套救生圈、杆和小红十字旗），备用救生衣100 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⑨运动员休息区、检录区、登舟平台及连接通道隔离铁马视实际场地情况而定。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⑩主席台/起点/终点/检录区域电源按使用电器数量功率需求接驳，电源接线板。</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2.赛场附近需配有适应参赛人数要求的卫生间或临厕、器材管理存放用室、运动员休息区、观龙台和嘉宾休息室、医务点和救护车。</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3.比赛期间需要准备裁判员学习会议室（50 人），组委会会议室（100 人），配备音响、话筒、投影等设备。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4.竞赛器材：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（1）比赛器材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①备用救生衣100件。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②配套用品：按龙舟数量配备龙舟尾旗旗杆（1.5米）、鼓槌、水瓢、弹力鼓绳、艏艉系泊缆绳长 20 米。</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③赛道裁判消浪艇（带顶棚）1 艘，赛场工作艇1艘。</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（2）裁判器材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①租借电子计时设备 1 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②检录区、起点大功率扩音设备共2套，要求音量覆盖工作区域，含无线话筒及支架。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③摄像机2台（具备回看帧进功能，起点、终点各1台），32寸彩色平板显示器1台（含3~5米视频线）</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④对讲机，要求无延时，按省派裁判员数量配备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⑤大功率手提扩音器5只。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⑥验桨卡摸1个,防水合格标贴350张，10米卷尺1只。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⑦大挂钟2面。</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⑧裁判员夹板20个，签字笔30支，订书机1各，双面贴3卷，燕尾夹若干。</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⑨发令用高音汽笛（压力罐装）6个。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⑩多功能秒表10块。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⑪制作检录卡4套（A4大小，防雨），按参赛队含照片等身份信息。</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⑫警告、取消资格红、黄牌各4块（尺寸0.20×0.30米，配有把手）。</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⑬红、白手旗5套。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⑭黑色危险信号旗14套。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⑮龙舟上的赛道编号牌4套（1~4号，红底黄字、黄底红字、蓝底白字）。</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⑯赛道编号引导牌4套（0.25×0.35米，把手长0.30米，与龙舟上赛道编号牌颜色相同）。</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⑰队名引导牌，根据参赛队数（队名按秩序册上规范简称，配有把手，正反面，把手长 0.50 米）。</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⑱抽签用具一套签箱1个、乒乓球20个、扑克牌2付，黑色、红色油性记号笔各1支。</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⑲队长标志袖标共16个。</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⑳龙舟三角型彩色尾旗14面，高0.60 长0.80米直角三角形</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㉑加厚长0.68米80升手提收纳编织袋6只，标记裁判岗位并分装裁判器材。</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㉒笔记本电脑 1台（预装 WINDOWS系统和办公软件）。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㉓激光黑白打印机 1台（准备新墨盒）、打印纸（A4）不少于3包。</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㉔竞赛材料由裁判长提供样张和数量要求，承办单位负责制作。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（3）其他</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①胸卡种类为：工作人员、仲裁、技术代表、总裁判长、副总裁判长、裁判长、辅助裁判员、竞赛志愿者，领队、教练、运动员，数量根据实际确定。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②仲裁、裁判、运动队用水，根据人员数量配置，每人每天2-3瓶（500ml）。</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③秩序册（指南）印制数量：竞委会、大会办事机构每人1份，仲裁、裁判每人1份，参赛队每队2份，协会存档5份，赛区存档数量自定。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④成绩册印制数量：待定。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⑤比赛开幕式和颁奖所需器材另行确定。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5.裁判员装备：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（1）防晒服每人1件。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（2）裁判员服装，视气温准备短袖、长袖每人各1件。按人员数量要求省派、辅助、志愿者及工作人员服装颜色要有显著区别。</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备注：上述赛事执行内容以主办单位最终确认的竞赛规程和所需物料、设备、器材为准,均含搬运、运输、拆移等。</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（三）2026年南通市中小学体育俱乐部跳绳比赛暨市民生实事“一校一品”跳绳项目学校比赛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1.负责赛事的推广、运营、组织，按照赛事举办计划按时开展工作，制定并向相关部门报批竞赛规程；</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2.负责赛事前期筹备，赛事前期考察、竞赛报名、赛事策划及编排等。负责下发比赛通知，运动员队伍邀约招募，并开通网站报名系统协助完成参赛队伍报名工作；</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3.负责报名和赛事裁判系统搭建及提供。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4.负责技术委员会选派，应根据赛事情况选调相关的裁判人员。</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5.负责竞赛执行，赛事监控及开闭幕式组织和协调、赛程编排、场地区域划分等。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6.负责竞赛及办公用品，提供符合标准的竞赛用品，包括全赛事电子跳绳计数设备、统一的奖牌、奖杯、证书以及运动员物料包等竞赛物料和办公用品。</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7.负责后勤服务，根据赛事情况和赛事要求，提前勘察确定酒店和餐饮、用车等后勤保障服务，为各运动队提供食宿等后勤服务，相关食宿费用由各运动队自行承担。</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8.负责宣传及广告设计搭建工作，赛事logo、主视觉、秩序册、背景板等设计及广告物料制作及LED、音控系统搭建。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9.负责志愿者分工及培训。</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10.协同甲方成立赛事组委会。</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11.乙方应承担所提供服务、设施设备以及自身团队人员的安全责任。</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12.乙方需承担项目服务人员的安全责任事故、意外事故等全部责任。项目服务人员在服务期内如出现安全事故，或者其他原因导致伤、残、亡等，由乙方自行承担全部责任及费用。</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（四）特色风筝展演</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供应商须提供国家级非遗“南通板鹞风筝”展演服务，确保板鹞具备传统声学结构，以葫芦、竹制哨口实现高中低音阶组合，升空时可演奏“空中交响乐”；不少于</w:t>
      </w:r>
      <w:r>
        <w:rPr>
          <w:rFonts w:hint="eastAsia" w:cs="宋体"/>
          <w:b w:val="0"/>
          <w:bCs w:val="0"/>
          <w:color w:val="auto"/>
          <w:sz w:val="24"/>
          <w:szCs w:val="24"/>
          <w:highlight w:val="none"/>
          <w:lang w:val="en-US" w:eastAsia="zh-CN" w:bidi="ar-SA"/>
        </w:rPr>
        <w:t xml:space="preserve">30</w:t>
      </w:r>
      <w:r>
        <w:rPr>
          <w:rFonts w:hint="eastAsia" w:ascii="宋体" w:hAnsi="宋体" w:eastAsia="宋体" w:cs="宋体"/>
          <w:b w:val="0"/>
          <w:bCs w:val="0"/>
          <w:color w:val="auto"/>
          <w:sz w:val="24"/>
          <w:szCs w:val="24"/>
          <w:highlight w:val="none"/>
          <w:lang w:val="en-US" w:eastAsia="zh-CN" w:bidi="ar-SA"/>
        </w:rPr>
        <w:t xml:space="preserve">只大型风筝，同步提供非遗技艺互动体验区（如手绘风筝、哨口制作教学）及专业放飞团队‌。</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（五）垂钓比赛</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1.负责场地布置及赛事相关物资，包括舞台搭建、印刷（秩序册和赛事物料）、设计、设备租赁等；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2.负责赛事组织的相关工作，包括聘请相关工作人员、选派裁判员、</w:t>
      </w:r>
      <w:r>
        <w:rPr>
          <w:rFonts w:hint="eastAsia" w:cs="宋体"/>
          <w:b w:val="0"/>
          <w:bCs w:val="0"/>
          <w:color w:val="auto"/>
          <w:sz w:val="24"/>
          <w:szCs w:val="24"/>
          <w:highlight w:val="none"/>
          <w:lang w:val="en-US" w:eastAsia="zh-CN" w:bidi="ar-SA"/>
        </w:rPr>
        <w:t xml:space="preserve">赛事安保与医疗等</w:t>
      </w:r>
      <w:r>
        <w:rPr>
          <w:rFonts w:hint="eastAsia" w:ascii="宋体" w:hAnsi="宋体" w:eastAsia="宋体" w:cs="宋体"/>
          <w:b w:val="0"/>
          <w:bCs w:val="0"/>
          <w:color w:val="auto"/>
          <w:sz w:val="24"/>
          <w:szCs w:val="24"/>
          <w:highlight w:val="none"/>
          <w:lang w:val="en-US" w:eastAsia="zh-CN" w:bidi="ar-SA"/>
        </w:rPr>
        <w:t xml:space="preserve">；</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3.负责赛事奖金、证书等发放；</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4.负责组织人员参赛，不低于100人；</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5.负责主办方交办的其他事项。</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（六）如东小洋口第四届体育嘉年华开幕式</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1.负责场地布置及氛围营造，包括主舞台搭建、观众区/演员区/嘉宾区划分、启动仪式装置、主题背景板、道旗、地贴、空飘及嘉年华主题装饰等；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2.负责</w:t>
      </w:r>
      <w:r>
        <w:rPr>
          <w:rFonts w:hint="eastAsia" w:cs="宋体"/>
          <w:b w:val="0"/>
          <w:bCs w:val="0"/>
          <w:color w:val="auto"/>
          <w:sz w:val="24"/>
          <w:szCs w:val="24"/>
          <w:highlight w:val="none"/>
          <w:lang w:val="en-US" w:eastAsia="zh-CN" w:bidi="ar-SA"/>
        </w:rPr>
        <w:t xml:space="preserve">开幕式</w:t>
      </w:r>
      <w:r>
        <w:rPr>
          <w:rFonts w:hint="eastAsia" w:ascii="宋体" w:hAnsi="宋体" w:eastAsia="宋体" w:cs="宋体"/>
          <w:b w:val="0"/>
          <w:bCs w:val="0"/>
          <w:color w:val="auto"/>
          <w:sz w:val="24"/>
          <w:szCs w:val="24"/>
          <w:highlight w:val="none"/>
          <w:lang w:val="en-US" w:eastAsia="zh-CN" w:bidi="ar-SA"/>
        </w:rPr>
        <w:t xml:space="preserve">环节执行，包括暖场节目组织、领导及嘉宾邀请与接待、体育嘉年华开幕启动仪式（含配合彩排及仪式道具控制）；</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4.负责相关物料设计及印刷，包括邀请函、工作证件、车证、引导牌、流程手册、地贴、手举牌、致辞夹页、签到册等；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5.负责设备租赁及现场音视频保障，包括音响系统、无线话筒（含手持/耳麦）、大屏幕、控台、灯光系统、播放电脑、摄影摄像设备及直播推流服务；</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6.负责专业人员配置，包括总导演、舞台总监、主持人、音响师、灯光师、大屏播放师、摄影师、摄像师、礼仪人员及场控人员；</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7.负责现场医疗保障，包括配置医疗点、急救人员、急救箱及AED，处理现场突发伤病情况；</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.负责安保与人流管控，包括现场安保人员配置、入场核验、舞台周边安全管控、演员通道管理、应急疏散预案及与属地公安报备协调；</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.负责活动传播与影像留存，包括活动预热宣传、现场花絮拍摄、快剪视频、图片拍摄等。</w:t>
      </w:r>
      <w:r/>
    </w:p>
    <w:p>
      <w:pPr>
        <w:pStyle w:val="7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（七）体旅市集</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1.场地搭建与布置。搭建展位30个，提供展位门楣招牌、插排照明及桌椅，并负责物料运输、水电安装布置、值夜安保、垃圾桶与灭火器摆放等。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2.氛围营造设计。负责展位门楣招牌设计及整体氛围营造设计，需体现</w:t>
      </w:r>
      <w:r>
        <w:rPr>
          <w:rFonts w:hint="eastAsia" w:cs="宋体"/>
          <w:b w:val="0"/>
          <w:bCs w:val="0"/>
          <w:color w:val="auto"/>
          <w:sz w:val="24"/>
          <w:szCs w:val="24"/>
          <w:highlight w:val="none"/>
          <w:lang w:val="en-US" w:eastAsia="zh-CN" w:bidi="ar-SA"/>
        </w:rPr>
        <w:t xml:space="preserve">体旅市集</w:t>
      </w:r>
      <w:r>
        <w:rPr>
          <w:rFonts w:hint="eastAsia" w:ascii="宋体" w:hAnsi="宋体" w:eastAsia="宋体" w:cs="宋体"/>
          <w:b w:val="0"/>
          <w:bCs w:val="0"/>
          <w:color w:val="auto"/>
          <w:sz w:val="24"/>
          <w:szCs w:val="24"/>
          <w:highlight w:val="none"/>
          <w:lang w:val="en-US" w:eastAsia="zh-CN" w:bidi="ar-SA"/>
        </w:rPr>
        <w:t xml:space="preserve">主题，融合海洋、体旅、赶海等元素。</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3.活动区域与项目组织。</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海畔风物展示展销区：包含海边鲜美滋味（如海鲜制品、干货、即食海产等）、乡土特产（如本地农产品、特色产品等）及灵感文创手作（如贝壳工艺品、渔网编织品、海洋主题饰品、手绘海螺、帆布包、伴手礼等）。</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（2）组织沿海特色小吃（如虾籽烧饼、文蛤饼、春卷等）、老字号及地方风味美食（如醉泥螺、海蜇头、虾酱、海苔制品等）进行展销。</w:t>
      </w:r>
      <w:r/>
    </w:p>
    <w:p>
      <w:pPr>
        <w:pStyle w:val="776"/>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cs="宋体"/>
          <w:b w:val="0"/>
          <w:bCs w:val="0"/>
          <w:color w:val="auto"/>
          <w:sz w:val="24"/>
          <w:szCs w:val="24"/>
          <w:highlight w:val="none"/>
          <w:lang w:val="en-US" w:eastAsia="zh-CN" w:bidi="ar-SA"/>
        </w:rPr>
        <w:t xml:space="preserve">休闲运动</w:t>
      </w:r>
      <w:r>
        <w:rPr>
          <w:rFonts w:hint="eastAsia" w:ascii="宋体" w:hAnsi="宋体" w:eastAsia="宋体" w:cs="宋体"/>
          <w:b w:val="0"/>
          <w:bCs w:val="0"/>
          <w:color w:val="auto"/>
          <w:sz w:val="24"/>
          <w:szCs w:val="24"/>
          <w:highlight w:val="none"/>
          <w:lang w:val="en-US" w:eastAsia="zh-CN" w:bidi="ar-SA"/>
        </w:rPr>
        <w:t xml:space="preserve">互动体验区</w:t>
      </w:r>
      <w:r>
        <w:rPr>
          <w:rFonts w:hint="eastAsia" w:cs="宋体"/>
          <w:b w:val="0"/>
          <w:bCs w:val="0"/>
          <w:color w:val="auto"/>
          <w:sz w:val="24"/>
          <w:szCs w:val="24"/>
          <w:highlight w:val="none"/>
          <w:lang w:val="en-US" w:eastAsia="zh-CN" w:bidi="ar-SA"/>
        </w:rPr>
        <w:t xml:space="preserve">：飞盘、足球射门等小游戏组织与搭建</w:t>
      </w:r>
      <w:r>
        <w:rPr>
          <w:rFonts w:hint="eastAsia" w:ascii="宋体" w:hAnsi="宋体" w:eastAsia="宋体" w:cs="宋体"/>
          <w:b w:val="0"/>
          <w:bCs w:val="0"/>
          <w:color w:val="auto"/>
          <w:sz w:val="24"/>
          <w:szCs w:val="24"/>
          <w:highlight w:val="none"/>
          <w:lang w:val="en-US" w:eastAsia="zh-CN" w:bidi="ar-SA"/>
        </w:rPr>
        <w:t xml:space="preserve">。</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（八）苏超第二现场·户外烧烤音乐夜</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1.场地搭建</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（1）功能区规划：合理划分核心观赛区、烧烤美食区、音乐演出舞台区、休息区、医疗点等。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（2）观赛大屏搭建：搭建专业级户外高清LED大屏，确保画面清晰、视角良好，配套环绕音响系统，实现赛事全程直播。</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（3）氛围布置：围绕足球主题和活动主题进行场地美陈设计，设置足球主题打卡点、合影背景墙等。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（4）配套设施：核心观赛区</w:t>
      </w:r>
      <w:r>
        <w:rPr>
          <w:rFonts w:hint="eastAsia" w:cs="宋体"/>
          <w:color w:val="auto"/>
          <w:sz w:val="24"/>
          <w:szCs w:val="24"/>
          <w:highlight w:val="none"/>
          <w:lang w:val="en-US" w:eastAsia="zh-CN"/>
        </w:rPr>
        <w:t xml:space="preserve">配备相关桌</w:t>
      </w:r>
      <w:r>
        <w:rPr>
          <w:rFonts w:hint="eastAsia" w:ascii="宋体" w:hAnsi="宋体" w:eastAsia="宋体" w:cs="宋体"/>
          <w:color w:val="auto"/>
          <w:sz w:val="24"/>
          <w:szCs w:val="24"/>
          <w:highlight w:val="none"/>
          <w:lang w:val="en-US" w:eastAsia="zh-CN"/>
        </w:rPr>
        <w:t xml:space="preserve">椅、照明设施、临时厕所、垃圾分类回收点等。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2.餐饮服务</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（1）烧烤美食区运营：提供烧烤、小龙虾、精酿啤酒、饮料、如东本土小吃等。</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（2）食品安全管理：确保食材新鲜卫生，符合食品安全相关法规要求，并及时向相关部门报备。</w:t>
      </w:r>
      <w:r/>
    </w:p>
    <w:p>
      <w:pPr>
        <w:pStyle w:val="77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3.信号保障：确保苏超赛事高清直播信号稳定接入，实现大屏实时同步赛场画面。</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（九）</w:t>
      </w:r>
      <w:r>
        <w:rPr>
          <w:rFonts w:hint="eastAsia" w:ascii="宋体" w:hAnsi="宋体" w:eastAsia="宋体" w:cs="宋体"/>
          <w:b/>
          <w:bCs/>
          <w:color w:val="auto"/>
          <w:sz w:val="24"/>
          <w:szCs w:val="24"/>
          <w:highlight w:val="none"/>
          <w:lang w:val="en-US" w:eastAsia="zh-CN" w:bidi="ar"/>
        </w:rPr>
        <w:t xml:space="preserve">其他要求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活动搭建所用材料应符合国家相关规定，不得使用劣质材料。整个活动期间，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引发的安全事故，均由供应商承担，甲方概不负责。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活动搭建舞台及展台设计应充分考虑风、雨等自然现象对展台带来的不安全因素。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室外安装灯具、插座及配电盘等用电器应选用防雨型。室外用电设备应有可靠防雨措施及漏电保护装置。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室外展台应确保展台整体结构的强度、刚度、稳定性以及局部稳定性。即：不能出现可变体系，在荷载作用下(主要是风荷载)，不能产生过大的变形。所设计的结构强度应当满足各种荷载所需要的强度。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供应商有人员负责每场活动现场管理工作；经甲方确认同意后，供应商可适当开展营销、展览等商业性促销活动。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供应商须负责活动现场管理并承担</w:t>
      </w:r>
      <w:r>
        <w:rPr>
          <w:rFonts w:hint="eastAsia" w:ascii="宋体" w:hAnsi="宋体" w:cs="宋体"/>
          <w:color w:val="auto"/>
          <w:sz w:val="24"/>
          <w:szCs w:val="24"/>
          <w:highlight w:val="none"/>
          <w:lang w:val="en-US" w:eastAsia="zh-CN" w:bidi="ar"/>
        </w:rPr>
        <w:t xml:space="preserve">嘉年华活动期间</w:t>
      </w:r>
      <w:r>
        <w:rPr>
          <w:rFonts w:hint="eastAsia" w:ascii="宋体" w:hAnsi="宋体" w:eastAsia="宋体" w:cs="宋体"/>
          <w:color w:val="auto"/>
          <w:sz w:val="24"/>
          <w:szCs w:val="24"/>
          <w:highlight w:val="none"/>
          <w:lang w:val="en-US" w:eastAsia="zh-CN" w:bidi="ar"/>
        </w:rPr>
        <w:t xml:space="preserve">的安全生产责任，同时具有完善的安全保卫工作方案、灭火、应急疏散预案和风险管理方案。</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供应商须负责配合满足甲方合理范围内对项目内容的适当调整。</w:t>
      </w:r>
      <w:r/>
    </w:p>
    <w:p>
      <w:pPr>
        <w:pStyle w:val="776"/>
        <w:ind w:left="0" w:firstLine="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776"/>
        <w:ind w:left="0" w:firstLine="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776"/>
        <w:ind w:left="0" w:firstLine="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2530"/>
        <w:keepLines w:val="0"/>
        <w:keepNext w:val="0"/>
        <w:pageBreakBefore w:val="0"/>
        <w:spacing w:line="360" w:lineRule="auto"/>
        <w:widowControl w:val="off"/>
        <w:rPr>
          <w:rFonts w:hint="eastAsia" w:ascii="宋体" w:hAnsi="宋体" w:eastAsia="宋体" w:cs="宋体"/>
          <w:color w:val="auto"/>
          <w:szCs w:val="21"/>
          <w:highlight w:val="none"/>
        </w:rPr>
        <w:outlineLvl w:val="0"/>
      </w:pPr>
      <w:r>
        <w:rPr>
          <w:rFonts w:hint="eastAsia" w:ascii="宋体" w:hAnsi="宋体" w:eastAsia="宋体" w:cs="宋体"/>
          <w:b/>
          <w:bCs/>
          <w:color w:val="auto"/>
          <w:sz w:val="36"/>
          <w:szCs w:val="36"/>
          <w:highlight w:val="none"/>
        </w:rPr>
        <w:t xml:space="preserve">第五章  评审方法与评审标准</w:t>
      </w:r>
      <w:r/>
    </w:p>
    <w:p>
      <w:pPr>
        <w:pStyle w:val="77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一、评审方法：</w:t>
      </w:r>
      <w:r/>
    </w:p>
    <w:p>
      <w:pPr>
        <w:pStyle w:val="77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77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二、政府采购政策功能落实</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（1）本项目对小型和微型企业产品/本项目对小型和微型企业提供的服务给予10%的扣除价格，用扣除后的价格参与评审。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（2）供应商需按照《政府采购促进中小企业发展管理办法》（财库﹝2020﹞46 号）的规定提供相应的《中小企业声明函》。</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（1）本项目对残疾人福利性单位视同小型、微型企业，给予10%的价格扣除，用扣除后的价格参与评审。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（1）本项目对监狱和戒毒企业（简称监狱企业）视同小型、微型企业，给予10%的价格扣除，用扣除后的价格参与评审。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6、联合体各方均为小型、微型企业（残疾人福利单位、监狱企业）的，联合体享受上述同类价格扣除，用扣除后的价格参与评审。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7、专门面向中小企业采购的项目或者采购包，不再执行价格评审优惠的扶持政策。</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8、采购本国产品的支持政策</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根据《江苏省政府采购信用管理暂行办法》的规定，供应商信用评价结果为三星的扣2分，评价结果为二星的扣3分，评价结果为一星的扣4分。</w:t>
      </w:r>
      <w:r/>
    </w:p>
    <w:p>
      <w:pPr>
        <w:pStyle w:val="776"/>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三、评审方法与评审标准</w:t>
      </w:r>
      <w:r/>
    </w:p>
    <w:p>
      <w:pPr>
        <w:pStyle w:val="776"/>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本项目采用综合评分法，磋商小组将按下列评审方法与评审标准进行评分，总分值为100分。</w:t>
      </w:r>
      <w:r/>
    </w:p>
    <w:p>
      <w:pPr>
        <w:ind w:left="241"/>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（一）商务技术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分）</w:t>
      </w:r>
      <w:r/>
    </w:p>
    <w:p>
      <w:pPr>
        <w:ind w:firstLine="241"/>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商务技术分是所有评委评分的算术平均值，分值保留小数点后两位。</w:t>
      </w:r>
      <w:r/>
    </w:p>
    <w:tbl>
      <w:tblPr>
        <w:tblStyle w:val="743"/>
        <w:tblW w:w="10062" w:type="dxa"/>
        <w:jc w:val="center"/>
        <w:tblLayout w:type="fixed"/>
        <w:tblCellMar>
          <w:left w:w="0" w:type="dxa"/>
          <w:top w:w="0" w:type="dxa"/>
          <w:right w:w="0" w:type="dxa"/>
          <w:bottom w:w="0" w:type="dxa"/>
        </w:tblCellMar>
        <w:tblLook w:val="04A0" w:firstRow="1" w:lastRow="0" w:firstColumn="1" w:lastColumn="0" w:noHBand="0" w:noVBand="1"/>
      </w:tblPr>
      <w:tblGrid>
        <w:gridCol w:w="959"/>
        <w:gridCol w:w="991"/>
        <w:gridCol w:w="7322"/>
        <w:gridCol w:w="790"/>
      </w:tblGrid>
      <w:tr>
        <w:trPr>
          <w:jc w:val="center"/>
          <w:trHeight w:val="446" w:hRule="exact"/>
        </w:trPr>
        <w:tc>
          <w:tcPr>
            <w:gridSpan w:val="2"/>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732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jc w:val="center"/>
          <w:trHeight w:val="1462" w:hRule="exact"/>
        </w:trPr>
        <w:tc>
          <w:tcPr>
            <w:gridSpan w:val="2"/>
            <w:tcBorders>
              <w:top w:val="single" w:color="000000" w:sz="4" w:space="0"/>
              <w:left w:val="single" w:color="000000" w:sz="4" w:space="0"/>
              <w:bottom w:val="single" w:color="auto" w:sz="4" w:space="0"/>
              <w:right w:val="single" w:color="000000" w:sz="4" w:space="0"/>
            </w:tcBorders>
            <w:tcW w:w="19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企业业绩</w:t>
            </w:r>
            <w:r>
              <w:rPr>
                <w:rFonts w:hint="eastAsia" w:ascii="宋体" w:hAnsi="宋体" w:eastAsia="宋体" w:cs="宋体"/>
                <w:color w:val="auto"/>
                <w:sz w:val="22"/>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auto" w:sz="4" w:space="0"/>
              <w:right w:val="single" w:color="000000" w:sz="4" w:space="0"/>
            </w:tcBorders>
            <w:tcW w:w="732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投标人自2022年1月1日以来（以合同签订日期为准）承担类似文体旅活动策划执行相关业务</w:t>
            </w:r>
            <w:r>
              <w:rPr>
                <w:rFonts w:hint="eastAsia" w:ascii="宋体" w:hAnsi="宋体" w:eastAsia="宋体" w:cs="宋体"/>
                <w:color w:val="auto"/>
                <w:sz w:val="21"/>
                <w:szCs w:val="21"/>
                <w:highlight w:val="none"/>
                <w:lang w:val="en-US" w:eastAsia="zh-CN"/>
              </w:rPr>
              <w:t xml:space="preserve">的，有一个得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注：提供合同复印件加盖公章，未提供不得分。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r>
      <w:tr>
        <w:trPr>
          <w:jc w:val="center"/>
          <w:trHeight w:val="5294" w:hRule="exact"/>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项目具体</w:t>
            </w:r>
            <w:r>
              <w:rPr>
                <w:rFonts w:hint="eastAsia" w:ascii="宋体" w:hAnsi="宋体" w:eastAsia="宋体" w:cs="宋体"/>
                <w:color w:val="auto"/>
                <w:szCs w:val="21"/>
                <w:highlight w:val="none"/>
                <w:lang w:val="en-US" w:eastAsia="zh-CN"/>
              </w:rPr>
              <w:t xml:space="preserve">实施</w:t>
            </w:r>
            <w:r>
              <w:rPr>
                <w:rFonts w:hint="eastAsia" w:ascii="宋体" w:hAnsi="宋体" w:eastAsia="宋体" w:cs="宋体"/>
                <w:color w:val="auto"/>
                <w:szCs w:val="21"/>
                <w:highlight w:val="none"/>
              </w:rPr>
              <w:t xml:space="preserve">方案</w:t>
            </w:r>
            <w:r/>
          </w:p>
          <w:p>
            <w:pPr>
              <w:ind w:left="200" w:hanging="20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65</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firstLine="0"/>
              <w:jc w:val="center"/>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整体策划方案</w:t>
            </w:r>
            <w:r/>
          </w:p>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322"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磋商小组根据供应商针对本项目实际提供整体的策划执行方案，包括整体理念、流程设计、执行计划等进行评分： </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1、方案完整周密，创新性与可操作性强，安全应急明确，充分融合小洋口特色，各项要素齐全得20分。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2、方案较为完整周密，具备较强创新性与可操作性，安全应急基本明确，较好融合小洋口特色，主要要素齐全得18分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3、方案完整清晰，具备主要要素并较好体现特色，但细节或创新略有不足得15分。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4、方案基本成型但存在明显缺失，勉强可执行得10分。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5、方案框架粗浅、内容空洞，缺乏关键实施要素，需大幅补充完善得5分。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6、方案思路零散、仅有活动点子或口号，无实质可操作内容得3分。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7、方案与主题无关、严重抄袭或逻辑混乱，无法指导实际活动得1分。</w:t>
            </w:r>
            <w:r/>
          </w:p>
          <w:p>
            <w:pPr>
              <w:jc w:val="left"/>
              <w:keepLines w:val="0"/>
              <w:keepNext w:val="0"/>
              <w:pageBreakBefore w:val="0"/>
              <w:spacing w:line="3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c>
          <w:tcPr>
            <w:tcBorders>
              <w:top w:val="single" w:color="000000" w:sz="4" w:space="0"/>
              <w:left w:val="single" w:color="auto"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p>
        </w:tc>
      </w:tr>
      <w:tr>
        <w:trPr>
          <w:jc w:val="center"/>
          <w:trHeight w:val="2690" w:hRule="exact"/>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ind w:firstLine="40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现场氛围布置方案 </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322"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磋商小组对投标人整体氛围营造，户外及宣传氛围的营造、场地布置、各项物料设计方案进行评分： </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1、场地设计美观、宣传氛围营造热烈的得15分；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2、场地设计较为美观、宣传氛围营造较为热烈的得10分；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3、场地设计一般、宣传氛围营造一般的得5分；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4、场地设计较差、宣传氛围营造较差的得2分。</w:t>
            </w:r>
            <w:r/>
          </w:p>
          <w:p>
            <w:pPr>
              <w:jc w:val="left"/>
              <w:keepLines w:val="0"/>
              <w:keepNext w:val="0"/>
              <w:pageBreakBefore w:val="0"/>
              <w:spacing w:line="3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c>
          <w:tcPr>
            <w:tcBorders>
              <w:top w:val="single" w:color="000000" w:sz="4" w:space="0"/>
              <w:left w:val="single" w:color="auto"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r>
      <w:tr>
        <w:trPr>
          <w:jc w:val="center"/>
          <w:trHeight w:val="4362" w:hRule="exact"/>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ind w:firstLine="40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安全保障方案</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322"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针对本项目实际提供的安全保障方案，包括但不限于安保、安检以及应急保障等进行评分： </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1、方案合理、人员安排到位、服务及时、响应迅速、与项目需求贴合度高的得10分；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2、方案较合理、人员安排较到位、服务较及时、响应较快、较符合项目需求的得7分；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3、方案合理性一般、人员安排一般、服务及时性一般、响应速度一般、基本符合项目需求的得5分；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4、方案合理性较差、人员安排较差、服务不及时、响应较慢、与项目需求贴合度低的得2分。</w:t>
            </w:r>
            <w:r/>
          </w:p>
          <w:p>
            <w:pPr>
              <w:jc w:val="left"/>
              <w:keepLines w:val="0"/>
              <w:keepNext w:val="0"/>
              <w:pageBreakBefore w:val="0"/>
              <w:spacing w:line="3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c>
          <w:tcPr>
            <w:tcBorders>
              <w:top w:val="single" w:color="000000" w:sz="4" w:space="0"/>
              <w:left w:val="single" w:color="auto"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r>
      <w:tr>
        <w:trPr>
          <w:jc w:val="center"/>
          <w:trHeight w:val="3227" w:hRule="exact"/>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ind w:firstLine="40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firstLine="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人员配备方案</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322" w:type="dxa"/>
            <w:vAlign w:val="center"/>
            <w:textDirection w:val="lrTb"/>
            <w:noWrap w:val="false"/>
          </w:tcPr>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磋商小组根据供应商提供的项目团队人员构成及合理性安排进行综合评分：</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1、项目团队人员经验丰富，架构合理，分工明确，能够完全满足项目需要的得</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 </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2、项目团队人员经验较为丰富，架构较为合理，分工较为明确，基本满足项目需要的得</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分； </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3、项目团队人员经验较欠缺，无法较好的保障项目实施需要的得2分； </w:t>
            </w:r>
            <w:r/>
          </w:p>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lang w:val="en-US" w:eastAsia="zh-CN" w:bidi="ar-SA"/>
              </w:rPr>
              <w:t xml:space="preserve">注：响应文件内提供项目团队人员参与组织过的类似大型活动经验证明材料。未提供不得分。</w:t>
            </w:r>
            <w:r/>
          </w:p>
        </w:tc>
        <w:tc>
          <w:tcPr>
            <w:tcBorders>
              <w:top w:val="single" w:color="000000" w:sz="4" w:space="0"/>
              <w:left w:val="single" w:color="auto"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2349" w:hRule="exact"/>
        </w:trPr>
        <w:tc>
          <w:tcPr>
            <w:tcBorders>
              <w:top w:val="single" w:color="auto" w:sz="4" w:space="0"/>
              <w:left w:val="single" w:color="auto" w:sz="4" w:space="0"/>
              <w:right w:val="single" w:color="000000" w:sz="4" w:space="0"/>
            </w:tcBorders>
            <w:tcW w:w="959" w:type="dxa"/>
            <w:vAlign w:val="center"/>
            <w:vMerge w:val="continue"/>
            <w:textDirection w:val="lrTb"/>
            <w:noWrap w:val="false"/>
          </w:tcPr>
          <w:p>
            <w:pPr>
              <w:ind w:firstLine="40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991" w:type="dxa"/>
            <w:vAlign w:val="center"/>
            <w:textDirection w:val="lrTb"/>
            <w:noWrap w:val="false"/>
          </w:tcPr>
          <w:p>
            <w:p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突发事件应急处理方案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7322" w:type="dxa"/>
            <w:vAlign w:val="center"/>
            <w:textDirection w:val="lrTb"/>
            <w:noWrap w:val="false"/>
          </w:tcPr>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磋商小组根据供应商提供的突发事件应急处理预案进行综合评分。 </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1、能够提供完善的协调处理方案及应急保障措施，保证活动顺利开展的得5分； </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2、能够提供较完善的协调处理方案及应急保障措施的得3分； </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3、未能提供完善的协调处理方案及应急保障措施，不能保证活动正常开展的得1分。</w:t>
            </w:r>
            <w:r/>
          </w:p>
          <w:p>
            <w:pPr>
              <w:jc w:val="left"/>
              <w:keepLines w:val="0"/>
              <w:keepNext w:val="0"/>
              <w:pageBreakBefore w:val="0"/>
              <w:spacing w:line="360" w:lineRule="exac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3825" w:hRule="exact"/>
        </w:trPr>
        <w:tc>
          <w:tcPr>
            <w:tcBorders>
              <w:left w:val="single" w:color="auto" w:sz="4" w:space="0"/>
              <w:bottom w:val="single" w:color="000000" w:sz="4" w:space="0"/>
              <w:right w:val="single" w:color="000000" w:sz="4" w:space="0"/>
            </w:tcBorders>
            <w:tcW w:w="959" w:type="dxa"/>
            <w:vAlign w:val="center"/>
            <w:vMerge w:val="continue"/>
            <w:textDirection w:val="lrTb"/>
            <w:noWrap w:val="false"/>
          </w:tcPr>
          <w:p>
            <w:pPr>
              <w:ind w:firstLine="40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宣传推广方案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22" w:type="dxa"/>
            <w:vAlign w:val="center"/>
            <w:textDirection w:val="lrTb"/>
            <w:noWrap w:val="false"/>
          </w:tcPr>
          <w:p>
            <w:pPr>
              <w:ind w:left="0" w:firstLine="0"/>
              <w:jc w:val="left"/>
              <w:keepLines w:val="0"/>
              <w:keepNext w:val="0"/>
              <w:pageBreakBefore w:val="0"/>
              <w:spacing w:line="3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针对本项目实际提供的宣传推广方案，包括符合采购文件要求的媒体清单、宣传推广计划等进行评分： </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bidi="ar-SA"/>
              </w:rPr>
              <w:t xml:space="preserve">方案内容极其详尽周密，媒体清单形式丰富多样、组合创新性强，显著优于采购要求，得10分；</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2、方案内容完整详实，媒体清单形式较为多样，整体优于采购要求，得7分；</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3、方案内容基本完整，媒体清单符合采购要求，无明显优势或不足，得5分；</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4、方案描述较为简单，媒体清单安排基本合理但略显单薄，部分满足采购要求，得3分；</w:t>
            </w:r>
            <w:r/>
          </w:p>
          <w:p>
            <w:pPr>
              <w:jc w:val="left"/>
              <w:keepLines w:val="0"/>
              <w:keepNext w:val="0"/>
              <w:pageBreakBefore w:val="0"/>
              <w:spacing w:line="360" w:lineRule="exac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5、方案描述简单笼统，媒体清单安排一般或存在明显不足，得1分未提供方案不得分。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tc>
      </w:tr>
    </w:tbl>
    <w:p>
      <w:pPr>
        <w:pStyle w:val="776"/>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color w:val="auto"/>
          <w:sz w:val="24"/>
          <w:szCs w:val="24"/>
          <w:highlight w:val="none"/>
        </w:rPr>
        <w:t xml:space="preserve">请各供应商根据评分标准制作评分索引并放在评审内容的前面，评分索引中应标明每个评分点的页码范围，如响应文件内容顺序混乱，导致磋商小组无法查看，后果自负。</w:t>
      </w:r>
      <w:r/>
    </w:p>
    <w:p>
      <w:pPr>
        <w:ind w:firstLine="562"/>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（二）价格分：</w:t>
      </w:r>
      <w:r>
        <w:rPr>
          <w:rFonts w:hint="eastAsia" w:ascii="宋体" w:hAnsi="宋体" w:eastAsia="宋体" w:cs="宋体"/>
          <w:b/>
          <w:color w:val="auto"/>
          <w:sz w:val="28"/>
          <w:szCs w:val="28"/>
          <w:highlight w:val="none"/>
          <w:lang w:val="en-US" w:eastAsia="zh-CN"/>
        </w:rPr>
        <w:t xml:space="preserve">30</w:t>
      </w:r>
      <w:r>
        <w:rPr>
          <w:rFonts w:hint="eastAsia" w:ascii="宋体" w:hAnsi="宋体" w:eastAsia="宋体" w:cs="宋体"/>
          <w:b/>
          <w:color w:val="auto"/>
          <w:sz w:val="28"/>
          <w:szCs w:val="28"/>
          <w:highlight w:val="none"/>
        </w:rPr>
        <w:t xml:space="preserve">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482"/>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b/>
          <w:color w:val="auto"/>
          <w:sz w:val="24"/>
          <w:szCs w:val="24"/>
          <w:highlight w:val="none"/>
        </w:rPr>
        <w:t xml:space="preserve">磋商报价得分=（磋商基准价/最后磋商报价）×</w:t>
      </w:r>
      <w:r>
        <w:rPr>
          <w:rFonts w:hint="eastAsia" w:ascii="宋体" w:hAnsi="宋体" w:eastAsia="宋体" w:cs="宋体"/>
          <w:b/>
          <w:color w:val="auto"/>
          <w:sz w:val="24"/>
          <w:szCs w:val="24"/>
          <w:highlight w:val="none"/>
          <w:lang w:val="en-US" w:eastAsia="zh-CN"/>
        </w:rPr>
        <w:t xml:space="preserve">30</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hint="eastAsia" w:ascii="宋体" w:hAnsi="宋体" w:eastAsia="宋体" w:cs="宋体"/>
          <w:b/>
          <w:color w:val="auto"/>
          <w:sz w:val="24"/>
          <w:szCs w:val="24"/>
          <w:highlight w:val="none"/>
        </w:rPr>
        <w:t xml:space="preserve">注：上述“最低的投标报价”必须是合理的。如果最低报价属于恶意竞争或明显低于成本价，评审专家将认定为无效投标。</w:t>
      </w:r>
      <w:r/>
    </w:p>
    <w:p>
      <w:pPr>
        <w:jc w:val="center"/>
        <w:keepNext/>
        <w:spacing w:line="40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第六章</w:t>
      </w:r>
      <w:bookmarkEnd w:id="175"/>
      <w:r/>
      <w:bookmarkEnd w:id="176"/>
      <w:r/>
      <w:bookmarkEnd w:id="177"/>
      <w:r>
        <w:rPr>
          <w:rFonts w:hint="eastAsia" w:ascii="宋体" w:hAnsi="宋体" w:eastAsia="宋体" w:cs="宋体"/>
          <w:b/>
          <w:bCs/>
          <w:color w:val="auto"/>
          <w:sz w:val="36"/>
          <w:szCs w:val="36"/>
          <w:highlight w:val="none"/>
        </w:rPr>
        <w:t xml:space="preserve"> 响应文件格式</w:t>
      </w:r>
      <w:r/>
    </w:p>
    <w:p>
      <w:pPr>
        <w:rPr>
          <w:rFonts w:hint="eastAsia" w:ascii="宋体" w:hAnsi="宋体" w:eastAsia="宋体" w:cs="宋体"/>
          <w:color w:val="auto"/>
          <w:highlight w:val="none"/>
        </w:rPr>
      </w:pPr>
      <w:r/>
      <w:bookmarkStart w:id="178" w:name="_Hlt26955039"/>
      <w:r/>
      <w:bookmarkEnd w:id="178"/>
      <w:r/>
      <w:bookmarkStart w:id="179" w:name="_Hlt26671244"/>
      <w:r/>
      <w:bookmarkEnd w:id="179"/>
      <w:r/>
      <w:bookmarkStart w:id="180" w:name="_Toc120614282"/>
      <w:r/>
      <w:bookmarkStart w:id="181" w:name="_Toc49090576"/>
      <w:r/>
      <w:bookmarkStart w:id="182" w:name="_Toc26554094"/>
      <w:r/>
      <w:r/>
    </w:p>
    <w:p>
      <w:pPr>
        <w:ind w:firstLine="883"/>
        <w:jc w:val="center"/>
        <w:spacing w:line="40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883"/>
        <w:jc w:val="center"/>
        <w:spacing w:line="40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723"/>
        <w:jc w:val="center"/>
        <w:spacing w:line="4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4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响应文件</w:t>
      </w:r>
      <w:r/>
    </w:p>
    <w:p>
      <w:pPr>
        <w:ind w:firstLine="1446"/>
        <w:jc w:val="center"/>
        <w:spacing w:line="400" w:lineRule="exact"/>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firstLine="1446"/>
        <w:jc w:val="center"/>
        <w:spacing w:line="400" w:lineRule="exact"/>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firstLine="723"/>
        <w:jc w:val="center"/>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723"/>
        <w:jc w:val="center"/>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723"/>
        <w:jc w:val="center"/>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723"/>
        <w:jc w:val="center"/>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776"/>
        <w:ind w:firstLine="723"/>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776"/>
        <w:ind w:firstLine="723"/>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723"/>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p>
    <w:p>
      <w:pPr>
        <w:ind w:firstLine="723"/>
        <w:spacing w:line="400" w:lineRule="exact"/>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项目编号：</w:t>
      </w:r>
      <w:r/>
    </w:p>
    <w:p>
      <w:pPr>
        <w:ind w:firstLine="723"/>
        <w:spacing w:line="400" w:lineRule="exact"/>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供应商名称：</w:t>
      </w:r>
      <w:r>
        <w:rPr>
          <w:rFonts w:hint="eastAsia" w:ascii="宋体" w:hAnsi="宋体" w:eastAsia="宋体" w:cs="宋体"/>
          <w:b/>
          <w:color w:val="auto"/>
          <w:sz w:val="36"/>
          <w:szCs w:val="21"/>
          <w:highlight w:val="none"/>
          <w:u w:val="single"/>
        </w:rPr>
        <w:t xml:space="preserve">（加盖CA电子公章）</w:t>
      </w:r>
      <w:r/>
    </w:p>
    <w:p>
      <w:pPr>
        <w:ind w:firstLine="723"/>
        <w:spacing w:line="400" w:lineRule="exact"/>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日期：</w:t>
      </w:r>
      <w:r/>
    </w:p>
    <w:p>
      <w:pPr>
        <w:spacing w:line="400" w:lineRule="exact"/>
        <w:rPr>
          <w:rFonts w:hint="eastAsia" w:ascii="宋体" w:hAnsi="宋体" w:eastAsia="宋体" w:cs="宋体"/>
          <w:b/>
          <w:color w:val="auto"/>
          <w:sz w:val="36"/>
          <w:szCs w:val="21"/>
          <w:highlight w:val="none"/>
          <w:u w:val="single"/>
        </w:rPr>
        <w:sectPr>
          <w:footnotePr/>
          <w:endnotePr/>
          <w:type w:val="nextPage"/>
          <w:pgSz w:w="11906" w:h="16839" w:orient="portrait"/>
          <w:pgMar w:top="1431" w:right="1404" w:bottom="1061" w:left="1182" w:header="0" w:footer="902" w:gutter="0"/>
          <w:cols w:num="1" w:sep="0" w:space="720" w:equalWidth="1"/>
          <w:docGrid w:linePitch="360"/>
        </w:sectPr>
      </w:pPr>
      <w:r>
        <w:rPr>
          <w:rFonts w:hint="eastAsia" w:ascii="宋体" w:hAnsi="宋体" w:eastAsia="宋体" w:cs="宋体"/>
          <w:b/>
          <w:color w:val="auto"/>
          <w:sz w:val="36"/>
          <w:szCs w:val="21"/>
          <w:highlight w:val="none"/>
          <w:u w:val="single"/>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响应文件目录</w:t>
      </w:r>
      <w:r>
        <w:rPr>
          <w:rFonts w:hint="eastAsia" w:ascii="宋体" w:hAnsi="宋体" w:eastAsia="宋体" w:cs="宋体"/>
          <w:b/>
          <w:bCs/>
          <w:color w:val="auto"/>
          <w:sz w:val="32"/>
          <w:szCs w:val="32"/>
          <w:highlight w:val="none"/>
          <w:lang w:val="en-US" w:eastAsia="zh-CN"/>
        </w:rPr>
        <w:t xml:space="preserve"> </w:t>
      </w:r>
      <w:r/>
    </w:p>
    <w:p>
      <w:pPr>
        <w:ind w:firstLine="643"/>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6"/>
        </w:num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基本目录</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1.磋商报价表</w:t>
      </w:r>
      <w:r/>
    </w:p>
    <w:p>
      <w:p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二、资格审查内容</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1.投标人符合《政府采购法》第二十二条规定条件的声明函（</w:t>
      </w:r>
      <w:r>
        <w:rPr>
          <w:rFonts w:hint="eastAsia" w:ascii="宋体" w:hAnsi="宋体" w:eastAsia="宋体" w:cs="宋体"/>
          <w:color w:val="auto"/>
          <w:sz w:val="24"/>
          <w:szCs w:val="21"/>
          <w:highlight w:val="none"/>
          <w:lang w:val="zh-CN"/>
        </w:rPr>
        <w:t xml:space="preserve">格式见附件</w:t>
      </w:r>
      <w:r>
        <w:rPr>
          <w:rFonts w:hint="eastAsia" w:ascii="宋体" w:hAnsi="宋体" w:eastAsia="宋体" w:cs="宋体"/>
          <w:color w:val="auto"/>
          <w:sz w:val="24"/>
          <w:szCs w:val="21"/>
          <w:highlight w:val="none"/>
        </w:rPr>
        <w:t xml:space="preserve">1）</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2.法定代表人身份证明（格式见附件2）</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3.法人授权书（格式见附件3）</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4.磋商响应函</w:t>
      </w:r>
      <w:r>
        <w:rPr>
          <w:rFonts w:hint="eastAsia" w:ascii="宋体" w:hAnsi="宋体" w:cs="宋体"/>
          <w:b/>
          <w:bCs/>
          <w:color w:val="auto"/>
          <w:sz w:val="24"/>
          <w:szCs w:val="21"/>
          <w:highlight w:val="none"/>
          <w:lang w:val="en-US" w:eastAsia="zh-CN"/>
        </w:rPr>
        <w:t xml:space="preserve">及分项报价表</w:t>
      </w:r>
      <w:r>
        <w:rPr>
          <w:rFonts w:hint="eastAsia" w:ascii="宋体" w:hAnsi="宋体" w:eastAsia="宋体" w:cs="宋体"/>
          <w:color w:val="auto"/>
          <w:sz w:val="24"/>
          <w:szCs w:val="21"/>
          <w:highlight w:val="none"/>
        </w:rPr>
        <w:t xml:space="preserve">（格式见附件4）</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b w:val="0"/>
          <w:bCs w:val="0"/>
          <w:color w:val="auto"/>
          <w:sz w:val="24"/>
          <w:szCs w:val="21"/>
          <w:highlight w:val="none"/>
        </w:rPr>
        <w:t xml:space="preserve">5.</w:t>
      </w:r>
      <w:r>
        <w:rPr>
          <w:rFonts w:hint="eastAsia" w:ascii="宋体" w:hAnsi="宋体" w:eastAsia="宋体" w:cs="宋体"/>
          <w:color w:val="auto"/>
          <w:sz w:val="24"/>
          <w:szCs w:val="21"/>
          <w:highlight w:val="none"/>
        </w:rPr>
        <w:t xml:space="preserve">中小企业声明函（</w:t>
      </w:r>
      <w:r>
        <w:rPr>
          <w:rFonts w:hint="eastAsia" w:ascii="宋体" w:hAnsi="宋体" w:eastAsia="宋体" w:cs="宋体"/>
          <w:b w:val="0"/>
          <w:bCs/>
          <w:color w:val="auto"/>
          <w:sz w:val="24"/>
          <w:highlight w:val="none"/>
        </w:rPr>
        <w:t xml:space="preserve">如果本项目专门面向中小微型企业采购，则必须提供。</w:t>
      </w:r>
      <w:r>
        <w:rPr>
          <w:rFonts w:hint="eastAsia" w:ascii="宋体" w:hAnsi="宋体" w:eastAsia="宋体" w:cs="宋体"/>
          <w:color w:val="auto"/>
          <w:sz w:val="24"/>
          <w:szCs w:val="21"/>
          <w:highlight w:val="none"/>
        </w:rPr>
        <w:t xml:space="preserve">格式见附件7）</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.残疾人福利性单位声明函（格式见附件8）</w:t>
      </w:r>
      <w:r/>
    </w:p>
    <w:p>
      <w:pPr>
        <w:ind w:firstLine="480"/>
        <w:spacing w:line="400" w:lineRule="exact"/>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.监狱和戒毒企业证明材料</w:t>
      </w:r>
      <w:r>
        <w:rPr>
          <w:rFonts w:hint="eastAsia" w:ascii="宋体" w:hAnsi="宋体" w:eastAsia="宋体" w:cs="宋体"/>
          <w:color w:val="auto"/>
          <w:sz w:val="24"/>
          <w:szCs w:val="21"/>
          <w:highlight w:val="none"/>
          <w:lang w:val="zh-CN"/>
        </w:rPr>
        <w:t xml:space="preserve">（格式见附件</w:t>
      </w:r>
      <w:r>
        <w:rPr>
          <w:rFonts w:hint="eastAsia" w:ascii="宋体" w:hAnsi="宋体" w:eastAsia="宋体" w:cs="宋体"/>
          <w:color w:val="auto"/>
          <w:sz w:val="24"/>
          <w:szCs w:val="21"/>
          <w:highlight w:val="none"/>
        </w:rPr>
        <w:t xml:space="preserve">9</w:t>
      </w:r>
      <w:r>
        <w:rPr>
          <w:rFonts w:hint="eastAsia" w:ascii="宋体" w:hAnsi="宋体" w:eastAsia="宋体" w:cs="宋体"/>
          <w:color w:val="auto"/>
          <w:sz w:val="24"/>
          <w:szCs w:val="21"/>
          <w:highlight w:val="none"/>
          <w:lang w:val="zh-CN"/>
        </w:rPr>
        <w:t xml:space="preserve">）</w:t>
      </w:r>
      <w:r>
        <w:rPr>
          <w:rFonts w:hint="eastAsia" w:ascii="宋体" w:hAnsi="宋体" w:eastAsia="宋体" w:cs="宋体"/>
          <w:b/>
          <w:bCs/>
          <w:color w:val="auto"/>
          <w:sz w:val="24"/>
          <w:highlight w:val="none"/>
        </w:rPr>
        <w:t xml:space="preserve">；</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.其它需要提交的资格审查证明材料。</w:t>
      </w:r>
      <w:r/>
    </w:p>
    <w:p>
      <w:p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三、符合性审查内容</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1.商务要求响应及偏离表（格式见附件5）</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2.技术要求响应及偏离表（格式见附件6）</w:t>
      </w:r>
      <w:r/>
    </w:p>
    <w:p>
      <w:pPr>
        <w:ind w:firstLine="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w:t>
      </w:r>
      <w:r>
        <w:rPr>
          <w:rFonts w:hint="eastAsia" w:ascii="宋体" w:hAnsi="宋体" w:eastAsia="宋体" w:cs="宋体"/>
          <w:b/>
          <w:color w:val="auto"/>
          <w:sz w:val="24"/>
          <w:szCs w:val="21"/>
          <w:highlight w:val="none"/>
          <w:lang w:val="zh-CN"/>
        </w:rPr>
        <w:t xml:space="preserve">商务技术</w:t>
      </w:r>
      <w:r>
        <w:rPr>
          <w:rFonts w:hint="eastAsia" w:ascii="宋体" w:hAnsi="宋体" w:eastAsia="宋体" w:cs="宋体"/>
          <w:b/>
          <w:color w:val="auto"/>
          <w:sz w:val="24"/>
          <w:szCs w:val="21"/>
          <w:highlight w:val="none"/>
        </w:rPr>
        <w:t xml:space="preserve">内容</w:t>
      </w:r>
      <w:r/>
    </w:p>
    <w:p>
      <w:pPr>
        <w:ind w:firstLine="480"/>
        <w:spacing w:line="400" w:lineRule="exact"/>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zh-CN"/>
        </w:rPr>
        <w:t xml:space="preserve">商务技术评分标准中须提供的相关得分佐证材料</w:t>
      </w:r>
      <w:r>
        <w:rPr>
          <w:rFonts w:hint="eastAsia" w:ascii="宋体" w:hAnsi="宋体" w:eastAsia="宋体" w:cs="宋体"/>
          <w:b/>
          <w:bCs/>
          <w:color w:val="auto"/>
          <w:sz w:val="24"/>
          <w:szCs w:val="21"/>
          <w:highlight w:val="none"/>
          <w:lang w:val="zh-CN"/>
        </w:rPr>
        <w:t xml:space="preserve">（根据“第五章 评审方法与评审标准”要求的内容分标段自行制作）</w:t>
      </w:r>
      <w:r/>
    </w:p>
    <w:p>
      <w:pPr>
        <w:ind w:firstLine="480"/>
        <w:spacing w:line="400" w:lineRule="exact"/>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zh-CN"/>
        </w:rPr>
        <w:t xml:space="preserve">供应商认为需要提交的其他材料。</w:t>
      </w:r>
      <w:r/>
    </w:p>
    <w:p>
      <w:pPr>
        <w:ind w:firstLine="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五、价格扣除证明文件</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1.中小企业声明函（格式见附件7）</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2.残疾人福利性单位声明函（格式见附件8）</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3.监狱和戒毒企业证明材料</w:t>
      </w:r>
      <w:r>
        <w:rPr>
          <w:rFonts w:hint="eastAsia" w:ascii="宋体" w:hAnsi="宋体" w:eastAsia="宋体" w:cs="宋体"/>
          <w:color w:val="auto"/>
          <w:sz w:val="24"/>
          <w:szCs w:val="21"/>
          <w:highlight w:val="none"/>
          <w:lang w:val="zh-CN"/>
        </w:rPr>
        <w:t xml:space="preserve">（格式见附件</w:t>
      </w:r>
      <w:r>
        <w:rPr>
          <w:rFonts w:hint="eastAsia" w:ascii="宋体" w:hAnsi="宋体" w:eastAsia="宋体" w:cs="宋体"/>
          <w:color w:val="auto"/>
          <w:sz w:val="24"/>
          <w:szCs w:val="21"/>
          <w:highlight w:val="none"/>
        </w:rPr>
        <w:t xml:space="preserve">9</w:t>
      </w:r>
      <w:r>
        <w:rPr>
          <w:rFonts w:hint="eastAsia" w:ascii="宋体" w:hAnsi="宋体" w:eastAsia="宋体" w:cs="宋体"/>
          <w:color w:val="auto"/>
          <w:sz w:val="24"/>
          <w:szCs w:val="21"/>
          <w:highlight w:val="none"/>
          <w:lang w:val="zh-CN"/>
        </w:rPr>
        <w:t xml:space="preserve">）</w:t>
      </w:r>
      <w:r/>
    </w:p>
    <w:p>
      <w:pPr>
        <w:ind w:firstLine="480"/>
        <w:spacing w:line="400" w:lineRule="exact"/>
        <w:rPr>
          <w:rFonts w:hint="eastAsia" w:ascii="宋体" w:hAnsi="宋体" w:eastAsia="宋体" w:cs="宋体"/>
          <w:i/>
          <w:color w:val="auto"/>
          <w:sz w:val="24"/>
          <w:szCs w:val="21"/>
          <w:highlight w:val="none"/>
          <w:u w:val="single"/>
        </w:rPr>
      </w:pPr>
      <w:r>
        <w:rPr>
          <w:rFonts w:hint="eastAsia" w:ascii="宋体" w:hAnsi="宋体" w:eastAsia="宋体" w:cs="宋体"/>
          <w:i/>
          <w:color w:val="auto"/>
          <w:sz w:val="24"/>
          <w:szCs w:val="21"/>
          <w:highlight w:val="none"/>
          <w:u w:val="singl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173"/>
      <w:bookmarkEnd w:id="174"/>
      <w:bookmarkEnd w:id="180"/>
      <w:bookmarkEnd w:id="181"/>
      <w:bookmarkEnd w:id="182"/>
      <w:r/>
    </w:p>
    <w:p>
      <w:pPr>
        <w:pStyle w:val="744"/>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4"/>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     </w:t>
      </w:r>
      <w:r/>
    </w:p>
    <w:p>
      <w:pPr>
        <w:ind w:firstLine="144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投标人符合《政府采购法》第二十二条规定条件的声明函</w:t>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w:t>
      </w:r>
      <w:r>
        <w:rPr>
          <w:rFonts w:hint="eastAsia" w:ascii="宋体" w:hAnsi="宋体" w:eastAsia="宋体" w:cs="宋体"/>
          <w:color w:val="auto"/>
          <w:spacing w:val="-2"/>
          <w:sz w:val="24"/>
          <w:szCs w:val="24"/>
          <w:highlight w:val="none"/>
        </w:rPr>
        <w:t xml:space="preserve">加盖CA电子公章</w:t>
      </w:r>
      <w:r>
        <w:rPr>
          <w:rFonts w:hint="eastAsia" w:ascii="宋体" w:hAnsi="宋体" w:eastAsia="宋体" w:cs="宋体"/>
          <w:bCs/>
          <w:color w:val="auto"/>
          <w:sz w:val="24"/>
          <w:szCs w:val="21"/>
          <w:highlight w:val="none"/>
        </w:rPr>
        <w:t xml:space="preserve">）：</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i/>
          <w:color w:val="auto"/>
          <w:sz w:val="32"/>
          <w:szCs w:val="32"/>
          <w:highlight w:val="none"/>
          <w:u w:val="single"/>
        </w:rPr>
        <w:br w:type="page" w:clear="all"/>
      </w:r>
      <w:bookmarkStart w:id="183" w:name="_Toc120614284"/>
      <w:r>
        <w:rPr>
          <w:rFonts w:hint="eastAsia" w:ascii="宋体" w:hAnsi="宋体" w:eastAsia="宋体" w:cs="宋体"/>
          <w:b/>
          <w:color w:val="auto"/>
          <w:sz w:val="24"/>
          <w:szCs w:val="24"/>
          <w:highlight w:val="none"/>
          <w:lang w:val="zh-CN"/>
        </w:rPr>
        <w:t xml:space="preserve">附件</w:t>
      </w:r>
      <w:r>
        <w:rPr>
          <w:rFonts w:hint="eastAsia" w:ascii="宋体" w:hAnsi="宋体" w:eastAsia="宋体" w:cs="宋体"/>
          <w:b/>
          <w:color w:val="auto"/>
          <w:sz w:val="24"/>
          <w:szCs w:val="24"/>
          <w:highlight w:val="none"/>
        </w:rPr>
        <w:t xml:space="preserve">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先生/女士：现任我单位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职务，为法定代表人，特此证明。</w:t>
      </w:r>
      <w:r/>
    </w:p>
    <w:p>
      <w:pPr>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81" w:line="222"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pacing w:val="-2"/>
          <w:sz w:val="24"/>
          <w:szCs w:val="24"/>
          <w:highlight w:val="none"/>
          <w:lang w:val="en-US" w:eastAsia="zh-CN"/>
        </w:rPr>
        <w:t xml:space="preserve"> </w:t>
      </w:r>
      <w:r>
        <w:rPr>
          <w:rFonts w:hint="eastAsia" w:ascii="宋体" w:hAnsi="宋体" w:eastAsia="宋体" w:cs="宋体"/>
          <w:b/>
          <w:bCs/>
          <w:color w:val="auto"/>
          <w:spacing w:val="-2"/>
          <w:sz w:val="24"/>
          <w:szCs w:val="24"/>
          <w:highlight w:val="none"/>
        </w:rPr>
        <w:t xml:space="preserve">提供法定代表人的身份证扫描件</w:t>
      </w:r>
      <w:r>
        <w:rPr>
          <w:rFonts w:hint="eastAsia" w:ascii="宋体" w:hAnsi="宋体" w:eastAsia="宋体" w:cs="宋体"/>
          <w:color w:val="auto"/>
          <w:spacing w:val="-2"/>
          <w:sz w:val="24"/>
          <w:szCs w:val="24"/>
          <w:highlight w:val="none"/>
        </w:rPr>
        <w:t xml:space="preserve">（加盖CA电子公章）</w:t>
      </w:r>
      <w:r/>
    </w:p>
    <w:p>
      <w:pPr>
        <w:spacing w:line="6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left"/>
        <w:rPr>
          <w:rFonts w:hint="eastAsia" w:ascii="宋体" w:hAnsi="宋体" w:eastAsia="宋体" w:cs="宋体"/>
          <w:b/>
          <w:color w:val="auto"/>
          <w:sz w:val="24"/>
          <w:szCs w:val="21"/>
          <w:highlight w:val="none"/>
        </w:rPr>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b/>
          <w:color w:val="auto"/>
          <w:sz w:val="24"/>
          <w:szCs w:val="21"/>
          <w:highlight w:val="none"/>
        </w:rPr>
        <w:t xml:space="preserve">附件3</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法人授权书</w:t>
      </w:r>
      <w:r/>
    </w:p>
    <w:p>
      <w:pPr>
        <w:ind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本授权书声明：____________（供应商名称）授权________________（被授权人的姓名）为我方就</w:t>
      </w:r>
      <w:r>
        <w:rPr>
          <w:rFonts w:hint="eastAsia" w:ascii="宋体" w:hAnsi="宋体" w:eastAsia="宋体" w:cs="宋体"/>
          <w:color w:val="auto"/>
          <w:spacing w:val="-1"/>
          <w:sz w:val="28"/>
          <w:szCs w:val="28"/>
          <w:highlight w:val="none"/>
          <w:u w:val="single"/>
        </w:rPr>
        <w:t xml:space="preserve">       （项目编号）</w:t>
      </w:r>
      <w:r>
        <w:rPr>
          <w:rFonts w:hint="eastAsia" w:ascii="宋体" w:hAnsi="宋体" w:eastAsia="宋体" w:cs="宋体"/>
          <w:color w:val="auto"/>
          <w:sz w:val="28"/>
          <w:szCs w:val="28"/>
          <w:highlight w:val="none"/>
        </w:rPr>
        <w:t xml:space="preserve">项目采购活动的合法代理人，以本单位名义全权处理一切与该项目采购有关的事务。</w:t>
      </w:r>
      <w:r/>
    </w:p>
    <w:p>
      <w:pPr>
        <w:ind w:firstLine="560"/>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被授权人身份证号码：</w:t>
      </w:r>
      <w:r/>
    </w:p>
    <w:p>
      <w:pPr>
        <w:ind w:firstLine="480"/>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被授权人联系电话：（手机）</w:t>
      </w:r>
      <w:r/>
    </w:p>
    <w:p>
      <w:pPr>
        <w:ind w:firstLine="480"/>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授权单位名称：</w:t>
      </w:r>
      <w:r>
        <w:rPr>
          <w:rFonts w:hint="eastAsia" w:ascii="宋体" w:hAnsi="宋体" w:eastAsia="宋体" w:cs="宋体"/>
          <w:color w:val="auto"/>
          <w:sz w:val="28"/>
          <w:szCs w:val="28"/>
          <w:highlight w:val="none"/>
          <w:u w:val="single"/>
        </w:rPr>
        <w:t xml:space="preserve">（加盖CA电子公章）</w:t>
      </w:r>
      <w:r/>
    </w:p>
    <w:p>
      <w:pPr>
        <w:ind w:firstLine="560"/>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单位地址：</w:t>
      </w:r>
      <w:r/>
    </w:p>
    <w:p>
      <w:pPr>
        <w:ind w:firstLine="560"/>
        <w:keepLines w:val="0"/>
        <w:keepNext w:val="0"/>
        <w:pageBreakBefore w:val="0"/>
        <w:spacing w:line="360" w:lineRule="auto"/>
        <w:widowControl w:val="off"/>
        <w:tabs>
          <w:tab w:val="left" w:pos="360" w:leader="none"/>
        </w:tabs>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日期：</w:t>
      </w:r>
      <w:bookmarkStart w:id="184" w:name="_Hlt26671380"/>
      <w:r/>
      <w:bookmarkEnd w:id="184"/>
      <w:r/>
      <w:bookmarkStart w:id="185" w:name="_Hlt26955070"/>
      <w:r/>
      <w:bookmarkEnd w:id="185"/>
      <w:r/>
      <w:bookmarkStart w:id="186" w:name="_格式3__银行出具的资信证明"/>
      <w:r/>
      <w:bookmarkEnd w:id="186"/>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484"/>
        <w:spacing w:before="8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1"/>
          <w:highlight w:val="none"/>
        </w:rPr>
        <w:t xml:space="preserve">附件4  </w:t>
      </w:r>
      <w:r/>
    </w:p>
    <w:p>
      <w:pPr>
        <w:jc w:val="center"/>
        <w:rPr>
          <w:rFonts w:hint="eastAsia" w:ascii="宋体" w:hAnsi="宋体" w:eastAsia="宋体" w:cs="宋体"/>
          <w:b/>
          <w:i/>
          <w:color w:val="auto"/>
          <w:sz w:val="32"/>
          <w:szCs w:val="32"/>
          <w:highlight w:val="none"/>
          <w:u w:val="single"/>
        </w:rPr>
      </w:pPr>
      <w:r>
        <w:rPr>
          <w:rFonts w:hint="eastAsia" w:ascii="宋体" w:hAnsi="宋体" w:eastAsia="宋体" w:cs="宋体"/>
          <w:b/>
          <w:color w:val="auto"/>
          <w:sz w:val="24"/>
          <w:szCs w:val="21"/>
          <w:highlight w:val="none"/>
          <w:lang w:val="en-US" w:eastAsia="zh-CN"/>
        </w:rPr>
        <w:t xml:space="preserve"> </w:t>
      </w:r>
      <w:r>
        <w:rPr>
          <w:rFonts w:hint="eastAsia" w:ascii="宋体" w:hAnsi="宋体" w:eastAsia="宋体" w:cs="宋体"/>
          <w:b/>
          <w:color w:val="auto"/>
          <w:sz w:val="24"/>
          <w:szCs w:val="21"/>
          <w:highlight w:val="none"/>
        </w:rPr>
        <w:t xml:space="preserve">磋商响应函</w:t>
      </w:r>
      <w:r/>
    </w:p>
    <w:p>
      <w:pPr>
        <w:jc w:val="left"/>
        <w:spacing w:line="42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4"/>
          <w:highlight w:val="none"/>
          <w:u w:val="single"/>
          <w:lang w:eastAsia="zh-CN"/>
        </w:rPr>
        <w:t xml:space="preserve">江苏省如东小洋口旅游度假区管理办公室</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（项目编号）</w:t>
      </w:r>
      <w:r>
        <w:rPr>
          <w:rFonts w:hint="eastAsia" w:ascii="宋体" w:hAnsi="宋体" w:eastAsia="宋体" w:cs="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账号：</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776"/>
        <w:jc w:val="center"/>
        <w:rPr>
          <w:rFonts w:hint="eastAsia" w:ascii="黑体" w:hAnsi="宋体" w:eastAsia="黑体" w:cs="黑体"/>
          <w:i w:val="0"/>
          <w:iCs w:val="0"/>
          <w:color w:val="auto"/>
          <w:sz w:val="32"/>
          <w:szCs w:val="32"/>
          <w:highlight w:val="none"/>
          <w:u w:val="none"/>
          <w:lang w:val="en-US" w:eastAsia="zh-CN" w:bidi="ar"/>
        </w:rPr>
      </w:pPr>
      <w:r>
        <w:rPr>
          <w:rFonts w:hint="eastAsia" w:ascii="黑体" w:hAnsi="宋体" w:eastAsia="黑体" w:cs="黑体"/>
          <w:i w:val="0"/>
          <w:iCs w:val="0"/>
          <w:color w:val="auto"/>
          <w:sz w:val="32"/>
          <w:szCs w:val="32"/>
          <w:highlight w:val="none"/>
          <w:u w:val="none"/>
          <w:lang w:val="en-US" w:eastAsia="zh-CN" w:bidi="ar"/>
        </w:rPr>
        <w:t xml:space="preserve">投标分项报价表</w:t>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bl>
      <w:tblPr>
        <w:tblStyle w:val="743"/>
        <w:tblW w:w="92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395"/>
        <w:gridCol w:w="2865"/>
        <w:gridCol w:w="1950"/>
        <w:gridCol w:w="1950"/>
      </w:tblGrid>
      <w:tr>
        <w:trPr>
          <w:trHeight w:val="1230"/>
        </w:trPr>
        <w:tc>
          <w:tcPr>
            <w:gridSpan w:val="5"/>
            <w:shd w:val="clear" w:color="auto" w:fill="auto"/>
            <w:tcW w:w="9240" w:type="dxa"/>
            <w:vAlign w:val="center"/>
            <w:textDirection w:val="lrTb"/>
            <w:noWrap w:val="false"/>
          </w:tcPr>
          <w:p>
            <w:pPr>
              <w:jc w:val="center"/>
              <w:keepLines w:val="0"/>
              <w:keepNext w:val="0"/>
              <w:widowControl/>
              <w:rPr>
                <w:rFonts w:ascii="黑体" w:hAnsi="宋体" w:eastAsia="黑体" w:cs="黑体"/>
                <w:i w:val="0"/>
                <w:iCs w:val="0"/>
                <w:color w:val="auto"/>
                <w:sz w:val="32"/>
                <w:szCs w:val="32"/>
                <w:highlight w:val="none"/>
                <w:u w:val="none"/>
              </w:rPr>
              <w:suppressLineNumbers w:val="0"/>
            </w:pPr>
            <w:r>
              <w:rPr>
                <w:rFonts w:hint="eastAsia" w:ascii="黑体" w:hAnsi="宋体" w:eastAsia="黑体" w:cs="黑体"/>
                <w:i w:val="0"/>
                <w:iCs w:val="0"/>
                <w:color w:val="auto"/>
                <w:sz w:val="32"/>
                <w:szCs w:val="32"/>
                <w:highlight w:val="none"/>
                <w:u w:val="none"/>
                <w:lang w:val="en-US" w:eastAsia="zh-CN" w:bidi="ar"/>
              </w:rPr>
              <w:t xml:space="preserve">2026年如东小洋口第四届体育嘉年华</w:t>
            </w:r>
            <w:r/>
          </w:p>
        </w:tc>
      </w:tr>
      <w:tr>
        <w:trPr>
          <w:trHeight w:val="405"/>
        </w:trPr>
        <w:tc>
          <w:tcPr>
            <w:shd w:val="clear" w:color="auto" w:fill="auto"/>
            <w:tcW w:w="108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8"/>
                <w:szCs w:val="28"/>
                <w:highlight w:val="none"/>
                <w:u w:val="none"/>
              </w:rPr>
              <w:suppressLineNumbers w:val="0"/>
            </w:pPr>
            <w:r>
              <w:rPr>
                <w:rFonts w:hint="eastAsia" w:ascii="黑体" w:hAnsi="宋体" w:eastAsia="黑体" w:cs="黑体"/>
                <w:i w:val="0"/>
                <w:iCs w:val="0"/>
                <w:color w:val="auto"/>
                <w:sz w:val="28"/>
                <w:szCs w:val="28"/>
                <w:highlight w:val="none"/>
                <w:u w:val="none"/>
                <w:lang w:val="en-US" w:eastAsia="zh-CN" w:bidi="ar"/>
              </w:rPr>
              <w:t xml:space="preserve">序号</w:t>
            </w:r>
            <w:r/>
          </w:p>
        </w:tc>
        <w:tc>
          <w:tcPr>
            <w:shd w:val="clear" w:color="auto" w:fill="auto"/>
            <w:tcW w:w="139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8"/>
                <w:szCs w:val="28"/>
                <w:highlight w:val="none"/>
                <w:u w:val="none"/>
              </w:rPr>
              <w:suppressLineNumbers w:val="0"/>
            </w:pPr>
            <w:r>
              <w:rPr>
                <w:rFonts w:hint="eastAsia" w:ascii="黑体" w:hAnsi="宋体" w:eastAsia="黑体" w:cs="黑体"/>
                <w:i w:val="0"/>
                <w:iCs w:val="0"/>
                <w:color w:val="auto"/>
                <w:sz w:val="28"/>
                <w:szCs w:val="28"/>
                <w:highlight w:val="none"/>
                <w:u w:val="none"/>
                <w:lang w:val="en-US" w:eastAsia="zh-CN" w:bidi="ar"/>
              </w:rPr>
              <w:t xml:space="preserve">种类</w:t>
            </w:r>
            <w:r/>
          </w:p>
        </w:tc>
        <w:tc>
          <w:tcPr>
            <w:shd w:val="clear" w:color="auto" w:fill="auto"/>
            <w:tcW w:w="286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8"/>
                <w:szCs w:val="28"/>
                <w:highlight w:val="none"/>
                <w:u w:val="none"/>
              </w:rPr>
              <w:suppressLineNumbers w:val="0"/>
            </w:pPr>
            <w:r>
              <w:rPr>
                <w:rFonts w:hint="eastAsia" w:ascii="黑体" w:hAnsi="宋体" w:eastAsia="黑体" w:cs="黑体"/>
                <w:i w:val="0"/>
                <w:iCs w:val="0"/>
                <w:color w:val="auto"/>
                <w:sz w:val="28"/>
                <w:szCs w:val="28"/>
                <w:highlight w:val="none"/>
                <w:u w:val="none"/>
                <w:lang w:val="en-US" w:eastAsia="zh-CN" w:bidi="ar"/>
              </w:rPr>
              <w:t xml:space="preserve">项目名称</w:t>
            </w:r>
            <w:r/>
          </w:p>
        </w:tc>
        <w:tc>
          <w:tcPr>
            <w:shd w:val="clear" w:color="auto" w:fill="auto"/>
            <w:tcW w:w="195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8"/>
                <w:szCs w:val="28"/>
                <w:highlight w:val="none"/>
                <w:u w:val="none"/>
              </w:rPr>
              <w:suppressLineNumbers w:val="0"/>
            </w:pPr>
            <w:r>
              <w:rPr>
                <w:rFonts w:hint="eastAsia" w:ascii="黑体" w:hAnsi="宋体" w:eastAsia="黑体" w:cs="黑体"/>
                <w:i w:val="0"/>
                <w:iCs w:val="0"/>
                <w:color w:val="auto"/>
                <w:sz w:val="28"/>
                <w:szCs w:val="28"/>
                <w:highlight w:val="none"/>
                <w:u w:val="none"/>
                <w:lang w:val="en-US" w:eastAsia="zh-CN" w:bidi="ar"/>
              </w:rPr>
              <w:t xml:space="preserve">报价（万元）</w:t>
            </w:r>
            <w:r/>
          </w:p>
        </w:tc>
        <w:tc>
          <w:tcPr>
            <w:shd w:val="clear" w:color="auto" w:fill="auto"/>
            <w:tcW w:w="1950" w:type="dxa"/>
            <w:vAlign w:val="center"/>
            <w:vMerge w:val="restart"/>
            <w:textDirection w:val="lrTb"/>
            <w:noWrap w:val="false"/>
          </w:tcPr>
          <w:p>
            <w:pPr>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r>
            <w:r/>
          </w:p>
        </w:tc>
      </w:tr>
      <w:tr>
        <w:trPr>
          <w:trHeight w:val="1005"/>
        </w:trPr>
        <w:tc>
          <w:tcPr>
            <w:shd w:val="clear" w:color="auto" w:fill="auto"/>
            <w:tcW w:w="1080" w:type="dxa"/>
            <w:vAlign w:val="center"/>
            <w:textDirection w:val="lrTb"/>
            <w:noWrap w:val="false"/>
          </w:tcPr>
          <w:p>
            <w:pPr>
              <w:jc w:val="center"/>
              <w:keepLines w:val="0"/>
              <w:keepNext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w:t>
            </w:r>
            <w:r/>
          </w:p>
        </w:tc>
        <w:tc>
          <w:tcPr>
            <w:shd w:val="clear" w:color="auto" w:fill="auto"/>
            <w:tcW w:w="1395" w:type="dxa"/>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赛事支出（包括各类赛事组织、物料购置、现场搭建等）</w:t>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2026年自行车系列赛</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122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2</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2026江苏省龙舟俱乐部邀请赛</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82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3</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小洋口体旅市集</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4</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跳绳比赛</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5</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板鹞风筝放飞展演</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8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6</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小洋口垂钓比赛</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7</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苏超第二现场·户外烧烤音乐夜</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80"/>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8</w:t>
            </w:r>
            <w:r/>
          </w:p>
        </w:tc>
        <w:tc>
          <w:tcPr>
            <w:shd w:val="clear" w:color="auto" w:fill="auto"/>
            <w:tcW w:w="1395" w:type="dxa"/>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其他支出</w:t>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宣传拍摄及媒体推广</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1155"/>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9</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安保、医疗、用电</w:t>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1155"/>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10</w:t>
            </w:r>
            <w:r/>
          </w:p>
        </w:tc>
        <w:tc>
          <w:tcPr>
            <w:shd w:val="clear" w:color="auto" w:fill="auto"/>
            <w:tcW w:w="1395" w:type="dxa"/>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固定支出</w:t>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各类赛事裁判、志愿者等相关人员的劳务</w:t>
            </w:r>
            <w:r/>
          </w:p>
        </w:tc>
        <w:tc>
          <w:tcPr>
            <w:shd w:val="clear" w:color="auto" w:fill="auto"/>
            <w:tcW w:w="195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25.51</w:t>
            </w:r>
            <w:r/>
          </w:p>
        </w:tc>
        <w:tc>
          <w:tcPr>
            <w:shd w:val="clear" w:color="auto" w:fill="auto"/>
            <w:tcW w:w="1950" w:type="dxa"/>
            <w:vAlign w:val="center"/>
            <w:vMerge w:val="restart"/>
            <w:textDirection w:val="lrTb"/>
            <w:noWrap w:val="false"/>
          </w:tcPr>
          <w:p>
            <w:pPr>
              <w:jc w:val="left"/>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固定报价，不得调整，按实结算。</w:t>
            </w:r>
            <w:r/>
          </w:p>
        </w:tc>
      </w:tr>
      <w:tr>
        <w:trPr>
          <w:trHeight w:val="1155"/>
        </w:trPr>
        <w:tc>
          <w:tcPr>
            <w:shd w:val="clear" w:color="auto" w:fill="auto"/>
            <w:tcW w:w="10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11</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赛事奖金</w:t>
            </w:r>
            <w:r/>
          </w:p>
        </w:tc>
        <w:tc>
          <w:tcPr>
            <w:shd w:val="clear" w:color="auto" w:fill="auto"/>
            <w:tcW w:w="195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16</w:t>
            </w:r>
            <w:r/>
          </w:p>
        </w:tc>
        <w:tc>
          <w:tcPr>
            <w:shd w:val="clear" w:color="auto" w:fill="auto"/>
            <w:tcW w:w="1950" w:type="dxa"/>
            <w:vAlign w:val="center"/>
            <w:vMerge w:val="continue"/>
            <w:textDirection w:val="lrTb"/>
            <w:noWrap w:val="false"/>
          </w:tcPr>
          <w:p>
            <w:pPr>
              <w:jc w:val="left"/>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shd w:val="clear" w:color="auto" w:fill="auto"/>
            <w:tcW w:w="0" w:type="auto"/>
            <w:vAlign w:val="center"/>
            <w:textDirection w:val="lrTb"/>
            <w:noWrap/>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12</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赛事保险</w:t>
            </w:r>
            <w:r/>
          </w:p>
        </w:tc>
        <w:tc>
          <w:tcPr>
            <w:shd w:val="clear" w:color="auto" w:fill="auto"/>
            <w:tcW w:w="1950" w:type="dxa"/>
            <w:vAlign w:val="center"/>
            <w:textDirection w:val="lrTb"/>
            <w:noWrap w:val="false"/>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8.05</w:t>
            </w:r>
            <w:r/>
          </w:p>
        </w:tc>
        <w:tc>
          <w:tcPr>
            <w:shd w:val="clear" w:color="auto" w:fill="auto"/>
            <w:tcW w:w="1950" w:type="dxa"/>
            <w:vAlign w:val="center"/>
            <w:vMerge w:val="continue"/>
            <w:textDirection w:val="lrTb"/>
            <w:noWrap w:val="false"/>
          </w:tcPr>
          <w:p>
            <w:pPr>
              <w:jc w:val="left"/>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shd w:val="clear" w:color="auto" w:fill="auto"/>
            <w:tcW w:w="0" w:type="auto"/>
            <w:vAlign w:val="center"/>
            <w:textDirection w:val="lrTb"/>
            <w:noWrap/>
          </w:tcPr>
          <w:p>
            <w:pPr>
              <w:jc w:val="center"/>
              <w:keepLines w:val="0"/>
              <w:keepNext w:val="0"/>
              <w:widowControl/>
              <w:rPr>
                <w:rFonts w:hint="default" w:ascii="仿宋_GB2312" w:hAnsi="宋体" w:eastAsia="仿宋_GB2312" w:cs="仿宋_GB2312"/>
                <w:i w:val="0"/>
                <w:iCs w:val="0"/>
                <w:color w:val="auto"/>
                <w:sz w:val="28"/>
                <w:szCs w:val="28"/>
                <w:highlight w:val="none"/>
                <w:u w:val="none"/>
                <w:lang w:val="en-US" w:eastAsia="zh-CN" w:bidi="ar"/>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13</w:t>
            </w:r>
            <w:r/>
          </w:p>
        </w:tc>
        <w:tc>
          <w:tcPr>
            <w:shd w:val="clear" w:color="auto" w:fill="auto"/>
            <w:tcW w:w="1395" w:type="dxa"/>
            <w:vAlign w:val="center"/>
            <w:vMerge w:val="continue"/>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2865" w:type="dxa"/>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8"/>
                <w:szCs w:val="28"/>
                <w:highlight w:val="none"/>
                <w:u w:val="none"/>
                <w:lang w:val="en-US" w:eastAsia="zh-CN" w:bidi="ar"/>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赛事运营</w:t>
            </w:r>
            <w:r/>
          </w:p>
        </w:tc>
        <w:tc>
          <w:tcPr>
            <w:shd w:val="clear" w:color="auto" w:fill="auto"/>
            <w:tcW w:w="1950" w:type="dxa"/>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8"/>
                <w:szCs w:val="28"/>
                <w:highlight w:val="none"/>
                <w:u w:val="none"/>
                <w:lang w:val="en-US" w:eastAsia="zh-CN" w:bidi="ar"/>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15</w:t>
            </w:r>
            <w:r/>
          </w:p>
        </w:tc>
        <w:tc>
          <w:tcPr>
            <w:shd w:val="clear" w:color="auto" w:fill="auto"/>
            <w:tcW w:w="1950" w:type="dxa"/>
            <w:vAlign w:val="center"/>
            <w:vMerge w:val="continue"/>
            <w:textDirection w:val="lrTb"/>
            <w:noWrap w:val="false"/>
          </w:tcPr>
          <w:p>
            <w:pPr>
              <w:jc w:val="left"/>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gridSpan w:val="2"/>
            <w:shd w:val="clear" w:color="auto" w:fill="auto"/>
            <w:tcW w:w="0" w:type="auto"/>
            <w:vAlign w:val="center"/>
            <w:textDirection w:val="lrTb"/>
            <w:noWrap/>
          </w:tcPr>
          <w:p>
            <w:pPr>
              <w:jc w:val="center"/>
              <w:keepLines w:val="0"/>
              <w:keepNext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总计（万元）</w:t>
            </w:r>
            <w:r/>
          </w:p>
        </w:tc>
        <w:tc>
          <w:tcPr>
            <w:shd w:val="clear" w:color="auto" w:fill="auto"/>
            <w:tcW w:w="2865"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c>
          <w:tcPr>
            <w:shd w:val="clear" w:color="auto" w:fill="auto"/>
            <w:tcW w:w="1950" w:type="dxa"/>
            <w:vAlign w:val="center"/>
            <w:textDirection w:val="lrTb"/>
            <w:noWrap w:val="false"/>
          </w:tcPr>
          <w:p>
            <w:pPr>
              <w:jc w:val="center"/>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r>
            <w:r/>
          </w:p>
        </w:tc>
      </w:tr>
      <w:tr>
        <w:trPr>
          <w:trHeight w:val="900"/>
        </w:trPr>
        <w:tc>
          <w:tcPr>
            <w:gridSpan w:val="5"/>
            <w:shd w:val="clear" w:color="auto" w:fill="auto"/>
            <w:tcW w:w="9240" w:type="dxa"/>
            <w:vAlign w:val="center"/>
            <w:textDirection w:val="lrTb"/>
            <w:noWrap/>
          </w:tcPr>
          <w:p>
            <w:pPr>
              <w:jc w:val="left"/>
              <w:spacing w:line="360" w:lineRule="auto"/>
              <w:widowControl/>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t xml:space="preserve">合计投标总报价：大写：  </w:t>
            </w:r>
            <w:r>
              <w:rPr>
                <w:rFonts w:hint="eastAsia" w:ascii="宋体" w:hAnsi="宋体" w:eastAsia="宋体" w:cs="宋体"/>
                <w:color w:val="auto"/>
                <w:sz w:val="24"/>
                <w:szCs w:val="24"/>
                <w:highlight w:val="none"/>
                <w:u w:val="single"/>
                <w:lang w:val="en-US" w:eastAsia="zh-CN"/>
              </w:rPr>
              <w:t xml:space="preserve">                     </w:t>
            </w:r>
            <w:r>
              <w:rPr>
                <w:rFonts w:hint="eastAsia" w:ascii="仿宋_GB2312" w:hAnsi="宋体" w:eastAsia="仿宋_GB2312" w:cs="仿宋_GB2312"/>
                <w:i w:val="0"/>
                <w:iCs w:val="0"/>
                <w:color w:val="auto"/>
                <w:sz w:val="28"/>
                <w:szCs w:val="28"/>
                <w:highlight w:val="none"/>
                <w:u w:val="none"/>
              </w:rPr>
              <w:t xml:space="preserve">                   </w:t>
            </w:r>
            <w:r/>
          </w:p>
          <w:p>
            <w:pPr>
              <w:jc w:val="left"/>
              <w:rPr>
                <w:rFonts w:hint="eastAsia" w:ascii="仿宋_GB2312" w:hAnsi="宋体" w:eastAsia="仿宋_GB2312" w:cs="仿宋_GB2312"/>
                <w:i w:val="0"/>
                <w:iCs w:val="0"/>
                <w:color w:val="auto"/>
                <w:sz w:val="28"/>
                <w:szCs w:val="28"/>
                <w:highlight w:val="none"/>
                <w:u w:val="none"/>
              </w:rPr>
            </w:pPr>
            <w:r>
              <w:rPr>
                <w:rFonts w:hint="eastAsia" w:ascii="仿宋_GB2312" w:hAnsi="宋体" w:eastAsia="仿宋_GB2312" w:cs="仿宋_GB2312"/>
                <w:i w:val="0"/>
                <w:iCs w:val="0"/>
                <w:color w:val="auto"/>
                <w:sz w:val="28"/>
                <w:szCs w:val="28"/>
                <w:highlight w:val="none"/>
                <w:u w:val="none"/>
              </w:rPr>
              <w:t xml:space="preserve">小写：   </w:t>
            </w:r>
            <w:r>
              <w:rPr>
                <w:rFonts w:hint="eastAsia" w:ascii="宋体" w:hAnsi="宋体" w:eastAsia="宋体" w:cs="宋体"/>
                <w:color w:val="auto"/>
                <w:sz w:val="24"/>
                <w:szCs w:val="24"/>
                <w:highlight w:val="none"/>
                <w:u w:val="single"/>
                <w:lang w:val="en-US" w:eastAsia="zh-CN"/>
              </w:rPr>
              <w:t xml:space="preserve">                     </w:t>
            </w:r>
            <w:r>
              <w:rPr>
                <w:rFonts w:hint="eastAsia" w:ascii="仿宋_GB2312" w:hAnsi="宋体" w:eastAsia="仿宋_GB2312" w:cs="仿宋_GB2312"/>
                <w:i w:val="0"/>
                <w:iCs w:val="0"/>
                <w:color w:val="auto"/>
                <w:sz w:val="28"/>
                <w:szCs w:val="28"/>
                <w:highlight w:val="none"/>
                <w:u w:val="none"/>
              </w:rPr>
              <w:t xml:space="preserve">                      </w:t>
            </w:r>
            <w:r/>
          </w:p>
        </w:tc>
      </w:tr>
    </w:tbl>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注：1、本项目最高限价为人民币：</w:t>
      </w:r>
      <w:r>
        <w:rPr>
          <w:rFonts w:hint="eastAsia" w:cs="宋体"/>
          <w:bCs/>
          <w:color w:val="auto"/>
          <w:sz w:val="24"/>
          <w:szCs w:val="21"/>
          <w:highlight w:val="none"/>
          <w:lang w:val="en-US" w:eastAsia="zh-CN"/>
        </w:rPr>
        <w:t xml:space="preserve">164.8</w:t>
      </w:r>
      <w:r>
        <w:rPr>
          <w:rFonts w:hint="eastAsia" w:ascii="宋体" w:hAnsi="宋体" w:eastAsia="宋体" w:cs="宋体"/>
          <w:bCs/>
          <w:color w:val="auto"/>
          <w:sz w:val="24"/>
          <w:szCs w:val="21"/>
          <w:highlight w:val="none"/>
        </w:rPr>
        <w:t xml:space="preserve">万元，各投标单位书面投标文件中的报价低于（不含等于）最高限价的为有效报价，否则视为无效报价，作废标处理。2、本报价非最终报价，最终报价以系统报价为准。（各成交综合单价按成交总价和其标书中的投标总价的下浮比例同比下浮，</w:t>
      </w:r>
      <w:r>
        <w:rPr>
          <w:rFonts w:hint="eastAsia" w:cs="宋体"/>
          <w:bCs/>
          <w:color w:val="auto"/>
          <w:sz w:val="24"/>
          <w:szCs w:val="21"/>
          <w:highlight w:val="none"/>
          <w:lang w:val="en-US" w:eastAsia="zh-CN"/>
        </w:rPr>
        <w:t xml:space="preserve">固定支出</w:t>
      </w:r>
      <w:r>
        <w:rPr>
          <w:rFonts w:hint="eastAsia" w:ascii="宋体" w:hAnsi="宋体" w:eastAsia="宋体" w:cs="宋体"/>
          <w:bCs/>
          <w:color w:val="auto"/>
          <w:sz w:val="24"/>
          <w:szCs w:val="21"/>
          <w:highlight w:val="none"/>
        </w:rPr>
        <w:t xml:space="preserve">不下浮）。</w:t>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投标人名称  (盖章)：                            </w:t>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法定代表人或法定代表授权人(签字或盖章)：_______</w:t>
      </w:r>
      <w:r/>
    </w:p>
    <w:p>
      <w:pPr>
        <w:pStyle w:val="776"/>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rPr>
          <w:rFonts w:hint="eastAsia" w:ascii="宋体" w:hAnsi="宋体" w:eastAsia="宋体" w:cs="宋体"/>
          <w:bCs/>
          <w:color w:val="auto"/>
          <w:sz w:val="24"/>
          <w:szCs w:val="21"/>
          <w:highlight w:val="none"/>
        </w:rPr>
        <w:sectPr>
          <w:headerReference w:type="default" r:id="rId9"/>
          <w:footerReference w:type="default" r:id="rId12"/>
          <w:footerReference w:type="first" r:id="rId13"/>
          <w:footnotePr/>
          <w:endnotePr/>
          <w:type w:val="nextPage"/>
          <w:pgSz w:w="11906" w:h="16838" w:orient="portrait"/>
          <w:pgMar w:top="1440" w:right="1326" w:bottom="1440" w:left="1500" w:header="851" w:footer="907" w:gutter="0"/>
          <w:cols w:num="1" w:sep="0" w:space="720" w:equalWidth="1"/>
          <w:docGrid w:linePitch="360"/>
          <w:titlePg/>
        </w:sectPr>
      </w:pPr>
      <w:r>
        <w:rPr>
          <w:rFonts w:hint="eastAsia" w:ascii="宋体" w:hAnsi="宋体" w:eastAsia="宋体" w:cs="宋体"/>
          <w:bCs/>
          <w:color w:val="auto"/>
          <w:sz w:val="24"/>
          <w:szCs w:val="21"/>
          <w:highlight w:val="none"/>
        </w:rPr>
      </w:r>
      <w:r/>
    </w:p>
    <w:p>
      <w:pPr>
        <w:pStyle w:val="776"/>
        <w:ind w:left="0" w:firstLine="0"/>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附件5  </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4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331"/>
        <w:gridCol w:w="2036"/>
        <w:gridCol w:w="2627"/>
        <w:gridCol w:w="144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供应商提交的响应文件中与磋商文件第四章“采购需求”中的商务部分的要求如有偏离的，应逐条填列在偏离表中。如果磋商文件要求提供证明材料，供应商需将证明材料列于该表之下。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3.</w:t>
      </w:r>
      <w:r>
        <w:rPr>
          <w:rFonts w:hint="eastAsia" w:ascii="宋体" w:hAnsi="宋体" w:eastAsia="宋体" w:cs="宋体"/>
          <w:color w:val="auto"/>
          <w:spacing w:val="-2"/>
          <w:sz w:val="24"/>
          <w:szCs w:val="24"/>
          <w:highlight w:val="none"/>
        </w:rPr>
        <w:t xml:space="preserve">供应商若提供其他增值服务，可以在表中自行据实填写。</w:t>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7" w:right="5365" w:hanging="36"/>
        <w:spacing w:before="83" w:line="47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 xml:space="preserve">供应商全称（加盖CA电子公章</w:t>
      </w:r>
      <w:r>
        <w:rPr>
          <w:rFonts w:hint="eastAsia" w:ascii="宋体" w:hAnsi="宋体" w:eastAsia="宋体" w:cs="宋体"/>
          <w:color w:val="auto"/>
          <w:spacing w:val="1"/>
          <w:sz w:val="24"/>
          <w:szCs w:val="24"/>
          <w:highlight w:val="none"/>
        </w:rPr>
        <w:t xml:space="preserve">）： </w:t>
      </w:r>
      <w:r/>
    </w:p>
    <w:p>
      <w:pPr>
        <w:ind w:left="57" w:right="5365" w:hanging="36"/>
        <w:spacing w:before="83" w:line="472" w:lineRule="auto"/>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 xml:space="preserve">日期 ：   年  月  日</w:t>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6"/>
        <w:rPr>
          <w:rFonts w:hint="eastAsia" w:ascii="宋体" w:hAnsi="宋体" w:eastAsia="宋体" w:cs="宋体"/>
          <w:color w:val="auto"/>
          <w:highlight w:val="none"/>
        </w:rPr>
      </w:pPr>
      <w:r>
        <w:rPr>
          <w:rFonts w:hint="eastAsia" w:ascii="宋体" w:hAnsi="宋体" w:eastAsia="宋体" w:cs="宋体"/>
          <w:color w:val="auto"/>
          <w:highlight w:val="none"/>
        </w:rPr>
      </w:r>
      <w:r/>
    </w:p>
    <w:p>
      <w:pPr>
        <w:ind w:left="480"/>
        <w:rPr>
          <w:rFonts w:hint="eastAsia" w:ascii="宋体" w:hAnsi="宋体" w:eastAsia="宋体" w:cs="宋体"/>
          <w:b/>
          <w:i/>
          <w:color w:val="auto"/>
          <w:sz w:val="24"/>
          <w:szCs w:val="21"/>
          <w:highlight w:val="none"/>
          <w:u w:val="single"/>
        </w:rPr>
      </w:pPr>
      <w:r>
        <w:rPr>
          <w:rFonts w:hint="eastAsia" w:ascii="宋体" w:hAnsi="宋体" w:eastAsia="宋体" w:cs="宋体"/>
          <w:b/>
          <w:i/>
          <w:color w:val="auto"/>
          <w:sz w:val="24"/>
          <w:szCs w:val="21"/>
          <w:highlight w:val="none"/>
          <w:u w:val="singl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1"/>
          <w:highlight w:val="none"/>
        </w:rPr>
        <w:t xml:space="preserve">附件6</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contextualSpacing/>
        <w:ind w:firstLine="3534"/>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4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331"/>
        <w:gridCol w:w="2036"/>
        <w:gridCol w:w="2627"/>
        <w:gridCol w:w="144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contextualSpacing/>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供应商提交的响应文件中与磋商文件第四章“采购需求”中的技术部分的要求如有偏离的，应逐条填列在偏离表中。如果磋商文件要求提供证明材料，供应商需将证明材料列于该表之下。</w:t>
      </w:r>
      <w:r/>
    </w:p>
    <w:p>
      <w:pPr>
        <w:contextualSpacing/>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3.供应商若提供其他增值服务，可以在表中自行据实填写。</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contextualSpacing/>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24"/>
          <w:szCs w:val="21"/>
          <w:highlight w:val="none"/>
        </w:rPr>
        <w:t xml:space="preserve">附件7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中小企业声明函（服务）</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      人，营业收入为      万元，资产总额为       万元，属于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      人，营业收入为      万元，资产总额为       万元，属于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480" w:firstLine="58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1、如项目类型为“服务”，请按照此格式填写。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w:t>
      </w:r>
      <w:r>
        <w:rPr>
          <w:rFonts w:hint="eastAsia" w:ascii="宋体" w:hAnsi="宋体" w:eastAsia="宋体" w:cs="宋体"/>
          <w:b/>
          <w:bCs/>
          <w:color w:val="auto"/>
          <w:sz w:val="24"/>
          <w:szCs w:val="24"/>
          <w:highlight w:val="none"/>
        </w:rPr>
        <w:t xml:space="preserve">自行勾选</w:t>
      </w:r>
      <w:r>
        <w:rPr>
          <w:rFonts w:hint="eastAsia" w:ascii="宋体" w:hAnsi="宋体" w:eastAsia="宋体" w:cs="宋体"/>
          <w:color w:val="auto"/>
          <w:sz w:val="24"/>
          <w:szCs w:val="24"/>
          <w:highlight w:val="none"/>
        </w:rPr>
        <w:t xml:space="preserve">承接企业的企业规模类型。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24"/>
          <w:szCs w:val="24"/>
          <w:highlight w:val="none"/>
        </w:rPr>
        <w:t xml:space="preserve">附件8</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残疾人福利性单位声明函（服务）</w:t>
      </w:r>
      <w:r/>
    </w:p>
    <w:p>
      <w:pPr>
        <w:pStyle w:val="77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单位的</w:t>
      </w:r>
      <w:r>
        <w:rPr>
          <w:rFonts w:hint="eastAsia" w:ascii="宋体" w:hAnsi="宋体" w:eastAsia="宋体" w:cs="宋体"/>
          <w:b/>
          <w:bCs/>
          <w:color w:val="auto"/>
          <w:sz w:val="24"/>
          <w:szCs w:val="24"/>
          <w:highlight w:val="none"/>
        </w:rPr>
        <w:t xml:space="preserve">采购文件编号</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项目采购活动由本单位提供服务。</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1、如项目类型为“服务”，请按照此格式填写。</w:t>
      </w:r>
      <w:r/>
    </w:p>
    <w:p>
      <w:pPr>
        <w:ind w:firstLine="480"/>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非专门面向中小微型企业采购的项目，供应商如不提供此声明函，价格将不做相应扣除。</w:t>
      </w:r>
      <w:r/>
    </w:p>
    <w:p>
      <w:pPr>
        <w:ind w:firstLine="480"/>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4、成交供应商为残疾人福利性单位的，此声明函将随成交结果同时公告，接受社会监督。</w:t>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附件9</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6"/>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24"/>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w:t>
      </w:r>
      <w:bookmarkEnd w:id="183"/>
      <w:r>
        <w:rPr>
          <w:rFonts w:hint="eastAsia" w:ascii="宋体" w:hAnsi="宋体" w:eastAsia="宋体" w:cs="宋体"/>
          <w:b/>
          <w:color w:val="auto"/>
          <w:sz w:val="24"/>
          <w:szCs w:val="24"/>
          <w:highlight w:val="none"/>
        </w:rPr>
        <w:t xml:space="preserve">10</w:t>
      </w:r>
      <w:r/>
    </w:p>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附件11</w:t>
      </w:r>
      <w:r/>
    </w:p>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南通市政府采购履约保证保险政策告知函</w:t>
      </w:r>
      <w:r/>
    </w:p>
    <w:p>
      <w:pPr>
        <w:jc w:val="lef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left"/>
        <w:spacing w:line="7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各政府采购供应商：</w:t>
      </w:r>
      <w:r/>
    </w:p>
    <w:p>
      <w:pPr>
        <w:ind w:firstLine="560"/>
        <w:jc w:val="left"/>
        <w:spacing w:line="7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欢迎贵公司参与南通市政府采购活动！</w:t>
      </w:r>
      <w:r/>
    </w:p>
    <w:p>
      <w:pPr>
        <w:ind w:firstLine="560"/>
        <w:jc w:val="left"/>
        <w:spacing w:line="7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560"/>
        <w:jc w:val="left"/>
        <w:spacing w:line="7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宋体" w:hAnsi="宋体" w:eastAsia="宋体" w:cs="宋体"/>
          <w:color w:val="auto"/>
          <w:spacing w:val="1"/>
          <w:sz w:val="28"/>
          <w:szCs w:val="28"/>
          <w:highlight w:val="none"/>
          <w:lang w:val="zh-CN"/>
        </w:rPr>
        <w:t xml:space="preserve">http：</w:t>
      </w:r>
      <w:r>
        <w:rPr>
          <w:rFonts w:hint="eastAsia" w:ascii="宋体" w:hAnsi="宋体" w:eastAsia="宋体" w:cs="宋体"/>
          <w:color w:val="auto"/>
          <w:spacing w:val="1"/>
          <w:sz w:val="28"/>
          <w:szCs w:val="28"/>
          <w:highlight w:val="none"/>
        </w:rPr>
        <w:t xml:space="preserve">//</w:t>
      </w:r>
      <w:r>
        <w:rPr>
          <w:rFonts w:hint="eastAsia" w:ascii="宋体" w:hAnsi="宋体" w:eastAsia="宋体" w:cs="宋体"/>
          <w:color w:val="auto"/>
          <w:spacing w:val="1"/>
          <w:sz w:val="28"/>
          <w:szCs w:val="28"/>
          <w:highlight w:val="none"/>
          <w:lang w:val="zh-CN"/>
        </w:rPr>
        <w:t xml:space="preserve">ggzyjy.nantong.gov.cn／NTdzbhweb／supermarket</w:t>
      </w:r>
      <w:r>
        <w:rPr>
          <w:rFonts w:hint="eastAsia" w:ascii="宋体" w:hAnsi="宋体" w:eastAsia="宋体" w:cs="宋体"/>
          <w:color w:val="auto"/>
          <w:spacing w:val="7"/>
          <w:sz w:val="28"/>
          <w:szCs w:val="28"/>
          <w:highlight w:val="none"/>
          <w:lang w:val="zh-CN"/>
        </w:rPr>
        <w:t xml:space="preserve">／</w:t>
      </w:r>
      <w:r>
        <w:rPr>
          <w:rFonts w:hint="eastAsia" w:ascii="宋体" w:hAnsi="宋体" w:eastAsia="宋体" w:cs="宋体"/>
          <w:color w:val="auto"/>
          <w:sz w:val="28"/>
          <w:szCs w:val="28"/>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776"/>
        <w:ind w:firstLine="56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left"/>
        <w:spacing w:line="70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zh-CN"/>
        </w:rPr>
        <w:br w:type="page" w:clear="all"/>
      </w:r>
      <w:r>
        <w:rPr>
          <w:rFonts w:hint="eastAsia" w:ascii="宋体" w:hAnsi="宋体" w:eastAsia="宋体" w:cs="宋体"/>
          <w:b/>
          <w:color w:val="auto"/>
          <w:sz w:val="24"/>
          <w:szCs w:val="24"/>
          <w:highlight w:val="none"/>
          <w:lang w:val="zh-CN"/>
        </w:rPr>
        <w:t xml:space="preserve">附件</w:t>
      </w:r>
      <w:r>
        <w:rPr>
          <w:rFonts w:hint="eastAsia" w:ascii="宋体" w:hAnsi="宋体" w:eastAsia="宋体" w:cs="宋体"/>
          <w:b/>
          <w:color w:val="auto"/>
          <w:sz w:val="24"/>
          <w:szCs w:val="24"/>
          <w:highlight w:val="none"/>
        </w:rPr>
        <w:t xml:space="preserve">12</w:t>
      </w:r>
      <w:r/>
    </w:p>
    <w:p>
      <w:pPr>
        <w:ind w:firstLine="2249"/>
        <w:jc w:val="left"/>
        <w:spacing w:line="70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南通市政府采购线上合同信用融资政策告知函</w:t>
      </w:r>
      <w:r/>
    </w:p>
    <w:p>
      <w:pPr>
        <w:ind w:firstLine="560"/>
        <w:jc w:val="left"/>
        <w:spacing w:line="7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各政府采购供应商：</w:t>
      </w:r>
      <w:r/>
    </w:p>
    <w:p>
      <w:pPr>
        <w:ind w:firstLine="560"/>
        <w:jc w:val="left"/>
        <w:spacing w:line="7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欢迎贵公</w:t>
      </w:r>
      <w:r>
        <w:rPr>
          <w:rFonts w:hint="eastAsia" w:ascii="宋体" w:hAnsi="宋体" w:eastAsia="宋体" w:cs="宋体"/>
          <w:color w:val="auto"/>
          <w:sz w:val="28"/>
          <w:szCs w:val="28"/>
          <w:highlight w:val="none"/>
        </w:rPr>
        <w:t xml:space="preserve">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776"/>
        <w:ind w:firstLine="56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contextualSpacing/>
        <w:ind w:firstLine="562"/>
        <w:spacing w:line="5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326" w:bottom="1440" w:left="15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8"/>
      <w:isLgl w:val="false"/>
      <w:suff w:val="nothing"/>
      <w:lvlText w:val=""/>
      <w:lvlJc w:val="left"/>
      <w:pPr>
        <w:ind w:left="0" w:firstLine="0"/>
      </w:pPr>
      <w:rPr>
        <w:rFonts w:hint="eastAsia"/>
      </w:rPr>
    </w:lvl>
    <w:lvl w:ilvl="6">
      <w:start w:val="1"/>
      <w:numFmt w:val="none"/>
      <w:pStyle w:val="739"/>
      <w:isLgl w:val="false"/>
      <w:suff w:val="nothing"/>
      <w:lvlText w:val=""/>
      <w:lvlJc w:val="left"/>
      <w:pPr>
        <w:ind w:left="0" w:firstLine="0"/>
      </w:pPr>
      <w:rPr>
        <w:rFonts w:hint="eastAsia"/>
      </w:rPr>
    </w:lvl>
    <w:lvl w:ilvl="7">
      <w:start w:val="1"/>
      <w:numFmt w:val="none"/>
      <w:pStyle w:val="740"/>
      <w:isLgl w:val="false"/>
      <w:suff w:val="nothing"/>
      <w:lvlText w:val=""/>
      <w:lvlJc w:val="left"/>
      <w:pPr>
        <w:ind w:left="0" w:firstLine="0"/>
      </w:pPr>
      <w:rPr>
        <w:rFonts w:hint="eastAsia"/>
      </w:rPr>
    </w:lvl>
    <w:lvl w:ilvl="8">
      <w:start w:val="1"/>
      <w:numFmt w:val="none"/>
      <w:pStyle w:val="741"/>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2"/>
    <w:link w:val="733"/>
    <w:uiPriority w:val="9"/>
    <w:rPr>
      <w:rFonts w:ascii="Arial" w:hAnsi="Arial" w:eastAsia="Arial" w:cs="Arial"/>
      <w:sz w:val="40"/>
      <w:szCs w:val="40"/>
    </w:rPr>
  </w:style>
  <w:style w:type="character" w:styleId="15">
    <w:name w:val="Heading 2 Char"/>
    <w:basedOn w:val="742"/>
    <w:link w:val="734"/>
    <w:uiPriority w:val="9"/>
    <w:rPr>
      <w:rFonts w:ascii="Arial" w:hAnsi="Arial" w:eastAsia="Arial" w:cs="Arial"/>
      <w:sz w:val="34"/>
    </w:rPr>
  </w:style>
  <w:style w:type="character" w:styleId="17">
    <w:name w:val="Heading 3 Char"/>
    <w:basedOn w:val="742"/>
    <w:link w:val="735"/>
    <w:uiPriority w:val="9"/>
    <w:rPr>
      <w:rFonts w:ascii="Arial" w:hAnsi="Arial" w:eastAsia="Arial" w:cs="Arial"/>
      <w:sz w:val="30"/>
      <w:szCs w:val="30"/>
    </w:rPr>
  </w:style>
  <w:style w:type="character" w:styleId="19">
    <w:name w:val="Heading 4 Char"/>
    <w:basedOn w:val="742"/>
    <w:link w:val="736"/>
    <w:uiPriority w:val="9"/>
    <w:rPr>
      <w:rFonts w:ascii="Arial" w:hAnsi="Arial" w:eastAsia="Arial" w:cs="Arial"/>
      <w:b/>
      <w:bCs/>
      <w:sz w:val="26"/>
      <w:szCs w:val="26"/>
    </w:rPr>
  </w:style>
  <w:style w:type="character" w:styleId="21">
    <w:name w:val="Heading 5 Char"/>
    <w:basedOn w:val="742"/>
    <w:link w:val="737"/>
    <w:uiPriority w:val="9"/>
    <w:rPr>
      <w:rFonts w:ascii="Arial" w:hAnsi="Arial" w:eastAsia="Arial" w:cs="Arial"/>
      <w:b/>
      <w:bCs/>
      <w:sz w:val="24"/>
      <w:szCs w:val="24"/>
    </w:rPr>
  </w:style>
  <w:style w:type="character" w:styleId="23">
    <w:name w:val="Heading 6 Char"/>
    <w:basedOn w:val="742"/>
    <w:link w:val="738"/>
    <w:uiPriority w:val="9"/>
    <w:rPr>
      <w:rFonts w:ascii="Arial" w:hAnsi="Arial" w:eastAsia="Arial" w:cs="Arial"/>
      <w:b/>
      <w:bCs/>
      <w:sz w:val="22"/>
      <w:szCs w:val="22"/>
    </w:rPr>
  </w:style>
  <w:style w:type="character" w:styleId="25">
    <w:name w:val="Heading 7 Char"/>
    <w:basedOn w:val="742"/>
    <w:link w:val="739"/>
    <w:uiPriority w:val="9"/>
    <w:rPr>
      <w:rFonts w:ascii="Arial" w:hAnsi="Arial" w:eastAsia="Arial" w:cs="Arial"/>
      <w:b/>
      <w:bCs/>
      <w:i/>
      <w:iCs/>
      <w:sz w:val="22"/>
      <w:szCs w:val="22"/>
    </w:rPr>
  </w:style>
  <w:style w:type="character" w:styleId="27">
    <w:name w:val="Heading 8 Char"/>
    <w:basedOn w:val="742"/>
    <w:link w:val="740"/>
    <w:uiPriority w:val="9"/>
    <w:rPr>
      <w:rFonts w:ascii="Arial" w:hAnsi="Arial" w:eastAsia="Arial" w:cs="Arial"/>
      <w:i/>
      <w:iCs/>
      <w:sz w:val="22"/>
      <w:szCs w:val="22"/>
    </w:rPr>
  </w:style>
  <w:style w:type="character" w:styleId="29">
    <w:name w:val="Heading 9 Char"/>
    <w:basedOn w:val="742"/>
    <w:link w:val="741"/>
    <w:uiPriority w:val="9"/>
    <w:rPr>
      <w:rFonts w:ascii="Arial" w:hAnsi="Arial" w:eastAsia="Arial" w:cs="Arial"/>
      <w:i/>
      <w:iCs/>
      <w:sz w:val="21"/>
      <w:szCs w:val="21"/>
    </w:r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742"/>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742"/>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2"/>
    <w:link w:val="762"/>
    <w:uiPriority w:val="99"/>
  </w:style>
  <w:style w:type="character" w:styleId="44">
    <w:name w:val="Footer Char"/>
    <w:basedOn w:val="742"/>
    <w:link w:val="761"/>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761"/>
    <w:uiPriority w:val="99"/>
  </w:style>
  <w:style w:type="table" w:styleId="48">
    <w:name w:val="Table Grid Light"/>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2"/>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2"/>
    <w:uiPriority w:val="99"/>
    <w:semiHidden/>
    <w:unhideWhenUsed/>
    <w:rPr>
      <w:vertAlign w:val="superscript"/>
    </w:rPr>
  </w:style>
  <w:style w:type="paragraph" w:styleId="189">
    <w:name w:val="TOC Heading"/>
    <w:uiPriority w:val="39"/>
    <w:unhideWhenUsed/>
  </w:style>
  <w:style w:type="paragraph" w:styleId="732" w:default="1">
    <w:name w:val="Normal"/>
    <w:next w:val="744"/>
    <w:uiPriority w:val="0"/>
    <w:qFormat/>
    <w:pPr>
      <w:jc w:val="both"/>
      <w:widowControl w:val="off"/>
    </w:pPr>
    <w:rPr>
      <w:rFonts w:ascii="Calibri" w:hAnsi="Calibri" w:eastAsia="宋体" w:cs="Times New Roman"/>
      <w:sz w:val="21"/>
      <w:szCs w:val="22"/>
      <w:lang w:val="en-US" w:eastAsia="zh-CN" w:bidi="ar-SA"/>
    </w:rPr>
  </w:style>
  <w:style w:type="paragraph" w:styleId="733">
    <w:name w:val="Heading 1"/>
    <w:basedOn w:val="732"/>
    <w:next w:val="732"/>
    <w:link w:val="786"/>
    <w:uiPriority w:val="0"/>
    <w:qFormat/>
    <w:pPr>
      <w:jc w:val="center"/>
      <w:keepNext/>
      <w:outlineLvl w:val="0"/>
    </w:pPr>
    <w:rPr>
      <w:rFonts w:ascii="楷体_GB2312" w:hAnsi="Times New Roman" w:eastAsia="楷体_GB2312"/>
      <w:sz w:val="28"/>
      <w:szCs w:val="28"/>
    </w:rPr>
  </w:style>
  <w:style w:type="paragraph" w:styleId="734">
    <w:name w:val="Heading 2"/>
    <w:basedOn w:val="732"/>
    <w:next w:val="732"/>
    <w:link w:val="7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5">
    <w:name w:val="Heading 3"/>
    <w:basedOn w:val="732"/>
    <w:next w:val="745"/>
    <w:link w:val="789"/>
    <w:uiPriority w:val="0"/>
    <w:qFormat/>
    <w:pPr>
      <w:keepLines/>
      <w:keepNext/>
      <w:spacing w:before="260" w:after="260" w:line="416" w:lineRule="auto"/>
      <w:outlineLvl w:val="2"/>
    </w:pPr>
    <w:rPr>
      <w:rFonts w:ascii="Times New Roman" w:hAnsi="Times New Roman"/>
      <w:b/>
      <w:bCs/>
      <w:sz w:val="32"/>
      <w:szCs w:val="32"/>
    </w:rPr>
  </w:style>
  <w:style w:type="paragraph" w:styleId="736">
    <w:name w:val="Heading 4"/>
    <w:basedOn w:val="732"/>
    <w:next w:val="732"/>
    <w:link w:val="790"/>
    <w:uiPriority w:val="0"/>
    <w:qFormat/>
    <w:pPr>
      <w:keepLines/>
      <w:keepNext/>
      <w:spacing w:before="280" w:after="290" w:line="376" w:lineRule="auto"/>
      <w:outlineLvl w:val="3"/>
    </w:pPr>
    <w:rPr>
      <w:rFonts w:ascii="Arial" w:hAnsi="Arial" w:eastAsia="黑体" w:cs="Arial"/>
      <w:b/>
      <w:bCs/>
      <w:sz w:val="28"/>
      <w:szCs w:val="28"/>
    </w:rPr>
  </w:style>
  <w:style w:type="paragraph" w:styleId="737">
    <w:name w:val="Heading 5"/>
    <w:basedOn w:val="732"/>
    <w:next w:val="745"/>
    <w:link w:val="791"/>
    <w:uiPriority w:val="0"/>
    <w:qFormat/>
    <w:pPr>
      <w:keepNext/>
      <w:outlineLvl w:val="4"/>
    </w:pPr>
    <w:rPr>
      <w:rFonts w:ascii="宋体" w:hAnsi="Times New Roman"/>
      <w:color w:val="000000"/>
      <w:sz w:val="28"/>
      <w:szCs w:val="28"/>
    </w:rPr>
  </w:style>
  <w:style w:type="paragraph" w:styleId="738">
    <w:name w:val="Heading 6"/>
    <w:basedOn w:val="732"/>
    <w:next w:val="732"/>
    <w:link w:val="7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link w:val="79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0">
    <w:name w:val="Heading 8"/>
    <w:basedOn w:val="732"/>
    <w:next w:val="732"/>
    <w:link w:val="79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link w:val="795"/>
    <w:uiPriority w:val="0"/>
    <w:qFormat/>
    <w:pPr>
      <w:numPr>
        <w:ilvl w:val="8"/>
        <w:numId w:val="1"/>
      </w:numPr>
      <w:keepLines/>
      <w:keepNext/>
      <w:spacing w:before="240" w:after="64" w:line="320" w:lineRule="auto"/>
      <w:outlineLvl w:val="8"/>
    </w:pPr>
    <w:rPr>
      <w:rFonts w:ascii="Arial" w:hAnsi="Arial" w:eastAsia="黑体"/>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w:basedOn w:val="732"/>
    <w:next w:val="732"/>
    <w:link w:val="799"/>
    <w:uiPriority w:val="0"/>
    <w:qFormat/>
    <w:rPr>
      <w:rFonts w:ascii="楷体_GB2312" w:hAnsi="Arial" w:eastAsia="楷体_GB2312"/>
      <w:sz w:val="28"/>
      <w:szCs w:val="28"/>
    </w:rPr>
  </w:style>
  <w:style w:type="paragraph" w:styleId="745">
    <w:name w:val="Normal Indent"/>
    <w:basedOn w:val="732"/>
    <w:link w:val="788"/>
    <w:uiPriority w:val="0"/>
    <w:qFormat/>
    <w:pPr>
      <w:ind w:firstLine="420"/>
    </w:pPr>
    <w:rPr>
      <w:szCs w:val="21"/>
    </w:rPr>
  </w:style>
  <w:style w:type="paragraph" w:styleId="746">
    <w:name w:val="List 3"/>
    <w:basedOn w:val="732"/>
    <w:uiPriority w:val="0"/>
    <w:qFormat/>
    <w:pPr>
      <w:ind w:left="100" w:hanging="200"/>
    </w:pPr>
    <w:rPr>
      <w:rFonts w:ascii="Times New Roman" w:hAnsi="Times New Roman"/>
      <w:szCs w:val="21"/>
    </w:rPr>
  </w:style>
  <w:style w:type="paragraph" w:styleId="747">
    <w:name w:val="toc 7"/>
    <w:basedOn w:val="732"/>
    <w:next w:val="732"/>
    <w:uiPriority w:val="0"/>
    <w:semiHidden/>
    <w:qFormat/>
    <w:pPr>
      <w:ind w:left="1260"/>
      <w:jc w:val="left"/>
    </w:pPr>
    <w:rPr>
      <w:rFonts w:ascii="Times New Roman" w:hAnsi="Times New Roman"/>
      <w:szCs w:val="21"/>
    </w:rPr>
  </w:style>
  <w:style w:type="paragraph" w:styleId="748">
    <w:name w:val="Document Map"/>
    <w:basedOn w:val="732"/>
    <w:link w:val="796"/>
    <w:uiPriority w:val="0"/>
    <w:semiHidden/>
    <w:qFormat/>
    <w:pPr>
      <w:shd w:val="clear" w:color="auto" w:fill="000080"/>
    </w:pPr>
    <w:rPr>
      <w:rFonts w:ascii="Times New Roman" w:hAnsi="Times New Roman"/>
      <w:szCs w:val="21"/>
    </w:rPr>
  </w:style>
  <w:style w:type="paragraph" w:styleId="749">
    <w:name w:val="annotation text"/>
    <w:basedOn w:val="732"/>
    <w:link w:val="797"/>
    <w:uiPriority w:val="0"/>
    <w:unhideWhenUsed/>
    <w:qFormat/>
    <w:pPr>
      <w:jc w:val="left"/>
    </w:pPr>
  </w:style>
  <w:style w:type="paragraph" w:styleId="750">
    <w:name w:val="Body Text 3"/>
    <w:basedOn w:val="732"/>
    <w:link w:val="798"/>
    <w:uiPriority w:val="0"/>
    <w:qFormat/>
    <w:rPr>
      <w:rFonts w:ascii="仿宋_GB2312" w:hAnsi="Arial" w:eastAsia="仿宋_GB2312"/>
      <w:sz w:val="32"/>
      <w:szCs w:val="32"/>
    </w:rPr>
  </w:style>
  <w:style w:type="paragraph" w:styleId="751">
    <w:name w:val="Body Text Indent"/>
    <w:basedOn w:val="732"/>
    <w:next w:val="752"/>
    <w:link w:val="784"/>
    <w:uiPriority w:val="0"/>
    <w:unhideWhenUsed/>
    <w:qFormat/>
    <w:pPr>
      <w:ind w:left="420"/>
      <w:spacing w:after="120"/>
    </w:pPr>
  </w:style>
  <w:style w:type="paragraph" w:styleId="752">
    <w:name w:val="envelope return"/>
    <w:basedOn w:val="732"/>
    <w:uiPriority w:val="99"/>
    <w:unhideWhenUsed/>
    <w:qFormat/>
    <w:rPr>
      <w:rFonts w:ascii="Arial" w:hAnsi="Arial" w:eastAsia="楷体_GB2312"/>
      <w:sz w:val="26"/>
      <w:szCs w:val="20"/>
    </w:rPr>
  </w:style>
  <w:style w:type="paragraph" w:styleId="753">
    <w:name w:val="List 2"/>
    <w:basedOn w:val="732"/>
    <w:uiPriority w:val="0"/>
    <w:qFormat/>
    <w:pPr>
      <w:ind w:left="100" w:hanging="200"/>
    </w:pPr>
    <w:rPr>
      <w:rFonts w:ascii="Times New Roman" w:hAnsi="Times New Roman"/>
      <w:szCs w:val="21"/>
    </w:rPr>
  </w:style>
  <w:style w:type="paragraph" w:styleId="754">
    <w:name w:val="toc 5"/>
    <w:basedOn w:val="732"/>
    <w:next w:val="732"/>
    <w:uiPriority w:val="0"/>
    <w:semiHidden/>
    <w:qFormat/>
    <w:pPr>
      <w:ind w:left="840"/>
      <w:jc w:val="left"/>
    </w:pPr>
    <w:rPr>
      <w:rFonts w:ascii="Times New Roman" w:hAnsi="Times New Roman"/>
      <w:szCs w:val="21"/>
    </w:rPr>
  </w:style>
  <w:style w:type="paragraph" w:styleId="755">
    <w:name w:val="toc 3"/>
    <w:basedOn w:val="732"/>
    <w:next w:val="732"/>
    <w:uiPriority w:val="0"/>
    <w:semiHidden/>
    <w:qFormat/>
    <w:pPr>
      <w:ind w:left="420"/>
      <w:jc w:val="left"/>
    </w:pPr>
    <w:rPr>
      <w:rFonts w:ascii="Times New Roman" w:hAnsi="Times New Roman"/>
      <w:i/>
      <w:iCs/>
      <w:szCs w:val="24"/>
    </w:rPr>
  </w:style>
  <w:style w:type="paragraph" w:styleId="756">
    <w:name w:val="Plain Text"/>
    <w:basedOn w:val="732"/>
    <w:link w:val="800"/>
    <w:uiPriority w:val="0"/>
    <w:qFormat/>
    <w:rPr>
      <w:rFonts w:ascii="宋体" w:hAnsi="Courier New" w:cs="Courier New"/>
      <w:szCs w:val="21"/>
    </w:rPr>
  </w:style>
  <w:style w:type="paragraph" w:styleId="757">
    <w:name w:val="toc 8"/>
    <w:basedOn w:val="732"/>
    <w:next w:val="732"/>
    <w:uiPriority w:val="0"/>
    <w:semiHidden/>
    <w:qFormat/>
    <w:pPr>
      <w:ind w:left="1470"/>
      <w:jc w:val="left"/>
    </w:pPr>
    <w:rPr>
      <w:rFonts w:ascii="Times New Roman" w:hAnsi="Times New Roman"/>
      <w:szCs w:val="21"/>
    </w:rPr>
  </w:style>
  <w:style w:type="paragraph" w:styleId="758">
    <w:name w:val="Date"/>
    <w:basedOn w:val="732"/>
    <w:next w:val="732"/>
    <w:link w:val="801"/>
    <w:uiPriority w:val="0"/>
    <w:qFormat/>
    <w:rPr>
      <w:rFonts w:ascii="Times New Roman" w:hAnsi="Times New Roman"/>
      <w:sz w:val="24"/>
      <w:szCs w:val="24"/>
    </w:rPr>
  </w:style>
  <w:style w:type="paragraph" w:styleId="759">
    <w:name w:val="Body Text Indent 2"/>
    <w:basedOn w:val="732"/>
    <w:link w:val="802"/>
    <w:uiPriority w:val="0"/>
    <w:qFormat/>
    <w:pPr>
      <w:ind w:left="630" w:firstLine="645"/>
    </w:pPr>
    <w:rPr>
      <w:rFonts w:ascii="Arial" w:hAnsi="Arial" w:eastAsia="仿宋_GB2312" w:cs="Arial"/>
      <w:sz w:val="32"/>
      <w:szCs w:val="32"/>
    </w:rPr>
  </w:style>
  <w:style w:type="paragraph" w:styleId="760">
    <w:name w:val="Balloon Text"/>
    <w:basedOn w:val="732"/>
    <w:link w:val="803"/>
    <w:uiPriority w:val="0"/>
    <w:semiHidden/>
    <w:qFormat/>
    <w:rPr>
      <w:rFonts w:ascii="Times New Roman" w:hAnsi="Times New Roman"/>
      <w:sz w:val="18"/>
      <w:szCs w:val="18"/>
    </w:rPr>
  </w:style>
  <w:style w:type="paragraph" w:styleId="761">
    <w:name w:val="Footer"/>
    <w:basedOn w:val="732"/>
    <w:link w:val="804"/>
    <w:uiPriority w:val="0"/>
    <w:qFormat/>
    <w:pPr>
      <w:jc w:val="left"/>
      <w:tabs>
        <w:tab w:val="center" w:pos="4153" w:leader="none"/>
        <w:tab w:val="right" w:pos="8306" w:leader="none"/>
      </w:tabs>
    </w:pPr>
    <w:rPr>
      <w:rFonts w:ascii="Times New Roman" w:hAnsi="Times New Roman"/>
      <w:sz w:val="18"/>
      <w:szCs w:val="18"/>
    </w:rPr>
  </w:style>
  <w:style w:type="paragraph" w:styleId="762">
    <w:name w:val="Header"/>
    <w:basedOn w:val="732"/>
    <w:link w:val="80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63">
    <w:name w:val="toc 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764">
    <w:name w:val="toc 4"/>
    <w:basedOn w:val="732"/>
    <w:next w:val="732"/>
    <w:uiPriority w:val="0"/>
    <w:semiHidden/>
    <w:qFormat/>
    <w:pPr>
      <w:ind w:left="630"/>
      <w:jc w:val="left"/>
    </w:pPr>
    <w:rPr>
      <w:rFonts w:ascii="Times New Roman" w:hAnsi="Times New Roman"/>
      <w:szCs w:val="21"/>
    </w:rPr>
  </w:style>
  <w:style w:type="paragraph" w:styleId="765">
    <w:name w:val="List"/>
    <w:basedOn w:val="732"/>
    <w:uiPriority w:val="0"/>
    <w:qFormat/>
    <w:pPr>
      <w:ind w:left="200" w:hanging="200"/>
    </w:pPr>
    <w:rPr>
      <w:rFonts w:ascii="Times New Roman" w:hAnsi="Times New Roman"/>
      <w:szCs w:val="21"/>
    </w:rPr>
  </w:style>
  <w:style w:type="paragraph" w:styleId="766">
    <w:name w:val="toc 6"/>
    <w:basedOn w:val="732"/>
    <w:next w:val="732"/>
    <w:uiPriority w:val="0"/>
    <w:semiHidden/>
    <w:qFormat/>
    <w:pPr>
      <w:ind w:left="1050"/>
      <w:jc w:val="left"/>
    </w:pPr>
    <w:rPr>
      <w:rFonts w:ascii="Times New Roman" w:hAnsi="Times New Roman"/>
      <w:szCs w:val="21"/>
    </w:rPr>
  </w:style>
  <w:style w:type="paragraph" w:styleId="767">
    <w:name w:val="Body Text Indent 3"/>
    <w:basedOn w:val="732"/>
    <w:link w:val="806"/>
    <w:uiPriority w:val="0"/>
    <w:qFormat/>
    <w:pPr>
      <w:ind w:left="645" w:firstLine="645"/>
    </w:pPr>
    <w:rPr>
      <w:rFonts w:ascii="Arial" w:hAnsi="Arial" w:eastAsia="仿宋_GB2312" w:cs="Arial"/>
      <w:color w:val="ffff00"/>
      <w:sz w:val="32"/>
      <w:szCs w:val="32"/>
    </w:rPr>
  </w:style>
  <w:style w:type="paragraph" w:styleId="768">
    <w:name w:val="table of figures"/>
    <w:basedOn w:val="732"/>
    <w:next w:val="732"/>
    <w:uiPriority w:val="0"/>
    <w:semiHidden/>
    <w:qFormat/>
    <w:pPr>
      <w:ind w:left="840" w:hanging="420"/>
    </w:pPr>
    <w:rPr>
      <w:rFonts w:ascii="Times New Roman" w:hAnsi="Times New Roman"/>
      <w:szCs w:val="21"/>
    </w:rPr>
  </w:style>
  <w:style w:type="paragraph" w:styleId="769">
    <w:name w:val="toc 2"/>
    <w:basedOn w:val="732"/>
    <w:next w:val="732"/>
    <w:uiPriority w:val="0"/>
    <w:semiHidden/>
    <w:qFormat/>
    <w:pPr>
      <w:ind w:left="210"/>
      <w:jc w:val="left"/>
    </w:pPr>
    <w:rPr>
      <w:rFonts w:ascii="Times New Roman" w:hAnsi="Times New Roman"/>
      <w:smallCaps/>
      <w:szCs w:val="24"/>
    </w:rPr>
  </w:style>
  <w:style w:type="paragraph" w:styleId="770">
    <w:name w:val="toc 9"/>
    <w:basedOn w:val="732"/>
    <w:next w:val="732"/>
    <w:uiPriority w:val="0"/>
    <w:semiHidden/>
    <w:qFormat/>
    <w:pPr>
      <w:ind w:left="1680"/>
      <w:jc w:val="left"/>
    </w:pPr>
    <w:rPr>
      <w:rFonts w:ascii="Times New Roman" w:hAnsi="Times New Roman"/>
      <w:szCs w:val="21"/>
    </w:rPr>
  </w:style>
  <w:style w:type="paragraph" w:styleId="771">
    <w:name w:val="Body Text 2"/>
    <w:basedOn w:val="732"/>
    <w:link w:val="807"/>
    <w:uiPriority w:val="0"/>
    <w:qFormat/>
    <w:pPr>
      <w:jc w:val="center"/>
      <w:widowControl/>
    </w:pPr>
    <w:rPr>
      <w:rFonts w:ascii="楷体_GB2312" w:hAnsi="Times New Roman" w:eastAsia="楷体_GB2312"/>
      <w:sz w:val="28"/>
      <w:szCs w:val="28"/>
    </w:rPr>
  </w:style>
  <w:style w:type="paragraph" w:styleId="772">
    <w:name w:val="Normal (Web)"/>
    <w:basedOn w:val="732"/>
    <w:uiPriority w:val="99"/>
    <w:qFormat/>
    <w:pPr>
      <w:jc w:val="left"/>
      <w:spacing w:before="100" w:beforeAutospacing="1" w:after="100" w:afterAutospacing="1"/>
      <w:widowControl/>
    </w:pPr>
    <w:rPr>
      <w:rFonts w:ascii="宋体" w:hAnsi="宋体" w:cs="宋体"/>
      <w:sz w:val="24"/>
      <w:szCs w:val="24"/>
    </w:rPr>
  </w:style>
  <w:style w:type="paragraph" w:styleId="773">
    <w:name w:val="index 1"/>
    <w:basedOn w:val="732"/>
    <w:next w:val="732"/>
    <w:uiPriority w:val="0"/>
    <w:semiHidden/>
    <w:qFormat/>
    <w:pPr>
      <w:spacing w:line="240" w:lineRule="atLeast"/>
    </w:pPr>
    <w:rPr>
      <w:rFonts w:ascii="Times New Roman" w:hAnsi="Times New Roman"/>
      <w:b/>
      <w:bCs/>
      <w:szCs w:val="21"/>
    </w:rPr>
  </w:style>
  <w:style w:type="paragraph" w:styleId="774">
    <w:name w:val="annotation subject"/>
    <w:basedOn w:val="749"/>
    <w:next w:val="749"/>
    <w:link w:val="808"/>
    <w:uiPriority w:val="0"/>
    <w:semiHidden/>
    <w:qFormat/>
    <w:rPr>
      <w:rFonts w:ascii="Times New Roman" w:hAnsi="Times New Roman"/>
      <w:b/>
      <w:bCs/>
      <w:szCs w:val="21"/>
    </w:rPr>
  </w:style>
  <w:style w:type="paragraph" w:styleId="775">
    <w:name w:val="Body Text First Indent"/>
    <w:basedOn w:val="744"/>
    <w:link w:val="809"/>
    <w:uiPriority w:val="0"/>
    <w:qFormat/>
    <w:pPr>
      <w:ind w:firstLine="200"/>
      <w:spacing w:line="360" w:lineRule="auto"/>
    </w:pPr>
    <w:rPr>
      <w:rFonts w:ascii="仿宋_GB2312" w:hAnsi="Times New Roman" w:eastAsia="仿宋_GB2312"/>
      <w:sz w:val="30"/>
      <w:szCs w:val="30"/>
    </w:rPr>
  </w:style>
  <w:style w:type="paragraph" w:styleId="776">
    <w:name w:val="Body Text First Indent 2"/>
    <w:basedOn w:val="751"/>
    <w:link w:val="785"/>
    <w:uiPriority w:val="0"/>
    <w:qFormat/>
    <w:pPr>
      <w:ind w:left="0" w:firstLine="420"/>
      <w:spacing w:after="0" w:line="360" w:lineRule="auto"/>
    </w:pPr>
    <w:rPr>
      <w:rFonts w:ascii="宋体" w:hAnsi="宋体"/>
      <w:szCs w:val="20"/>
    </w:rPr>
  </w:style>
  <w:style w:type="table" w:styleId="777">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uiPriority w:val="0"/>
    <w:qFormat/>
    <w:rPr>
      <w:b/>
      <w:bCs/>
    </w:rPr>
  </w:style>
  <w:style w:type="character" w:styleId="779">
    <w:name w:val="page number"/>
    <w:uiPriority w:val="0"/>
    <w:qFormat/>
  </w:style>
  <w:style w:type="character" w:styleId="780">
    <w:name w:val="FollowedHyperlink"/>
    <w:uiPriority w:val="0"/>
    <w:qFormat/>
    <w:rPr>
      <w:color w:val="800080"/>
      <w:u w:val="single"/>
    </w:rPr>
  </w:style>
  <w:style w:type="character" w:styleId="781">
    <w:name w:val="Emphasis"/>
    <w:basedOn w:val="742"/>
    <w:uiPriority w:val="20"/>
    <w:qFormat/>
    <w:rPr>
      <w:i/>
      <w:iCs/>
    </w:rPr>
  </w:style>
  <w:style w:type="character" w:styleId="782">
    <w:name w:val="Hyperlink"/>
    <w:uiPriority w:val="0"/>
    <w:qFormat/>
    <w:rPr>
      <w:color w:val="0000ff"/>
      <w:u w:val="single"/>
    </w:rPr>
  </w:style>
  <w:style w:type="character" w:styleId="783">
    <w:name w:val="annotation reference"/>
    <w:uiPriority w:val="0"/>
    <w:semiHidden/>
    <w:qFormat/>
    <w:rPr>
      <w:sz w:val="21"/>
      <w:szCs w:val="21"/>
    </w:rPr>
  </w:style>
  <w:style w:type="character" w:styleId="784" w:customStyle="1">
    <w:name w:val="正文文本缩进 字符"/>
    <w:basedOn w:val="742"/>
    <w:link w:val="751"/>
    <w:uiPriority w:val="99"/>
    <w:semiHidden/>
    <w:qFormat/>
  </w:style>
  <w:style w:type="character" w:styleId="785" w:customStyle="1">
    <w:name w:val="正文文本首行缩进 2 字符"/>
    <w:link w:val="776"/>
    <w:uiPriority w:val="0"/>
    <w:qFormat/>
    <w:rPr>
      <w:rFonts w:ascii="宋体" w:hAnsi="宋体" w:eastAsia="宋体" w:cs="Times New Roman"/>
      <w:szCs w:val="20"/>
    </w:rPr>
  </w:style>
  <w:style w:type="character" w:styleId="786" w:customStyle="1">
    <w:name w:val="标题 1 字符"/>
    <w:link w:val="733"/>
    <w:uiPriority w:val="0"/>
    <w:qFormat/>
    <w:rPr>
      <w:rFonts w:ascii="楷体_GB2312" w:hAnsi="Times New Roman" w:eastAsia="楷体_GB2312" w:cs="Times New Roman"/>
      <w:sz w:val="28"/>
      <w:szCs w:val="28"/>
    </w:rPr>
  </w:style>
  <w:style w:type="character" w:styleId="787" w:customStyle="1">
    <w:name w:val="标题 2 字符"/>
    <w:link w:val="734"/>
    <w:uiPriority w:val="0"/>
    <w:qFormat/>
    <w:rPr>
      <w:rFonts w:ascii="Arial" w:hAnsi="Arial" w:eastAsia="幼圆" w:cs="Arial"/>
      <w:b/>
      <w:bCs/>
      <w:sz w:val="44"/>
      <w:szCs w:val="44"/>
    </w:rPr>
  </w:style>
  <w:style w:type="character" w:styleId="788" w:customStyle="1">
    <w:name w:val="正文缩进 字符"/>
    <w:link w:val="745"/>
    <w:uiPriority w:val="0"/>
    <w:qFormat/>
    <w:rPr>
      <w:szCs w:val="21"/>
    </w:rPr>
  </w:style>
  <w:style w:type="character" w:styleId="789" w:customStyle="1">
    <w:name w:val="标题 3 字符"/>
    <w:link w:val="735"/>
    <w:uiPriority w:val="0"/>
    <w:qFormat/>
    <w:rPr>
      <w:rFonts w:ascii="Times New Roman" w:hAnsi="Times New Roman" w:eastAsia="宋体" w:cs="Times New Roman"/>
      <w:b/>
      <w:bCs/>
      <w:sz w:val="32"/>
      <w:szCs w:val="32"/>
    </w:rPr>
  </w:style>
  <w:style w:type="character" w:styleId="790" w:customStyle="1">
    <w:name w:val="标题 4 字符"/>
    <w:link w:val="736"/>
    <w:uiPriority w:val="0"/>
    <w:qFormat/>
    <w:rPr>
      <w:rFonts w:ascii="Arial" w:hAnsi="Arial" w:eastAsia="黑体" w:cs="Arial"/>
      <w:b/>
      <w:bCs/>
      <w:sz w:val="28"/>
      <w:szCs w:val="28"/>
    </w:rPr>
  </w:style>
  <w:style w:type="character" w:styleId="791" w:customStyle="1">
    <w:name w:val="标题 5 字符"/>
    <w:link w:val="737"/>
    <w:uiPriority w:val="0"/>
    <w:qFormat/>
    <w:rPr>
      <w:rFonts w:ascii="宋体" w:hAnsi="Times New Roman" w:eastAsia="宋体" w:cs="Times New Roman"/>
      <w:color w:val="000000"/>
      <w:sz w:val="28"/>
      <w:szCs w:val="28"/>
    </w:rPr>
  </w:style>
  <w:style w:type="character" w:styleId="792" w:customStyle="1">
    <w:name w:val="标题 6 字符"/>
    <w:link w:val="738"/>
    <w:uiPriority w:val="0"/>
    <w:qFormat/>
    <w:rPr>
      <w:rFonts w:ascii="Arial" w:hAnsi="Arial" w:eastAsia="黑体" w:cs="Times New Roman"/>
      <w:b/>
      <w:bCs/>
      <w:sz w:val="24"/>
      <w:szCs w:val="24"/>
    </w:rPr>
  </w:style>
  <w:style w:type="character" w:styleId="793" w:customStyle="1">
    <w:name w:val="标题 7 字符"/>
    <w:link w:val="739"/>
    <w:uiPriority w:val="0"/>
    <w:qFormat/>
    <w:rPr>
      <w:rFonts w:ascii="Times New Roman" w:hAnsi="Times New Roman" w:eastAsia="宋体" w:cs="Times New Roman"/>
      <w:b/>
      <w:bCs/>
      <w:sz w:val="24"/>
      <w:szCs w:val="24"/>
    </w:rPr>
  </w:style>
  <w:style w:type="character" w:styleId="794" w:customStyle="1">
    <w:name w:val="标题 8 字符"/>
    <w:link w:val="740"/>
    <w:uiPriority w:val="0"/>
    <w:qFormat/>
    <w:rPr>
      <w:rFonts w:ascii="Arial" w:hAnsi="Arial" w:eastAsia="黑体" w:cs="Times New Roman"/>
      <w:sz w:val="24"/>
      <w:szCs w:val="24"/>
    </w:rPr>
  </w:style>
  <w:style w:type="character" w:styleId="795" w:customStyle="1">
    <w:name w:val="标题 9 字符"/>
    <w:link w:val="741"/>
    <w:uiPriority w:val="0"/>
    <w:qFormat/>
    <w:rPr>
      <w:rFonts w:ascii="Arial" w:hAnsi="Arial" w:eastAsia="黑体" w:cs="Times New Roman"/>
      <w:szCs w:val="21"/>
    </w:rPr>
  </w:style>
  <w:style w:type="character" w:styleId="796" w:customStyle="1">
    <w:name w:val="文档结构图 字符"/>
    <w:link w:val="748"/>
    <w:uiPriority w:val="0"/>
    <w:semiHidden/>
    <w:qFormat/>
    <w:rPr>
      <w:rFonts w:ascii="Times New Roman" w:hAnsi="Times New Roman" w:eastAsia="宋体" w:cs="Times New Roman"/>
      <w:szCs w:val="21"/>
      <w:shd w:val="clear" w:color="auto" w:fill="000080"/>
    </w:rPr>
  </w:style>
  <w:style w:type="character" w:styleId="797" w:customStyle="1">
    <w:name w:val="批注文字 字符"/>
    <w:basedOn w:val="742"/>
    <w:link w:val="749"/>
    <w:uiPriority w:val="99"/>
    <w:semiHidden/>
    <w:qFormat/>
  </w:style>
  <w:style w:type="character" w:styleId="798" w:customStyle="1">
    <w:name w:val="正文文本 3 字符"/>
    <w:link w:val="750"/>
    <w:uiPriority w:val="0"/>
    <w:qFormat/>
    <w:rPr>
      <w:rFonts w:ascii="仿宋_GB2312" w:hAnsi="Arial" w:eastAsia="仿宋_GB2312" w:cs="Times New Roman"/>
      <w:sz w:val="32"/>
      <w:szCs w:val="32"/>
    </w:rPr>
  </w:style>
  <w:style w:type="character" w:styleId="799" w:customStyle="1">
    <w:name w:val="正文文本 字符"/>
    <w:link w:val="744"/>
    <w:uiPriority w:val="0"/>
    <w:qFormat/>
    <w:rPr>
      <w:rFonts w:ascii="楷体_GB2312" w:hAnsi="Arial" w:eastAsia="楷体_GB2312" w:cs="Times New Roman"/>
      <w:sz w:val="28"/>
      <w:szCs w:val="28"/>
    </w:rPr>
  </w:style>
  <w:style w:type="character" w:styleId="800" w:customStyle="1">
    <w:name w:val="纯文本 字符"/>
    <w:link w:val="756"/>
    <w:uiPriority w:val="0"/>
    <w:qFormat/>
    <w:rPr>
      <w:rFonts w:ascii="宋体" w:hAnsi="Courier New" w:eastAsia="宋体" w:cs="Courier New"/>
      <w:szCs w:val="21"/>
    </w:rPr>
  </w:style>
  <w:style w:type="character" w:styleId="801" w:customStyle="1">
    <w:name w:val="日期 字符"/>
    <w:link w:val="758"/>
    <w:uiPriority w:val="0"/>
    <w:qFormat/>
    <w:rPr>
      <w:rFonts w:ascii="Times New Roman" w:hAnsi="Times New Roman" w:eastAsia="宋体" w:cs="Times New Roman"/>
      <w:sz w:val="24"/>
      <w:szCs w:val="24"/>
    </w:rPr>
  </w:style>
  <w:style w:type="character" w:styleId="802" w:customStyle="1">
    <w:name w:val="正文文本缩进 2 字符"/>
    <w:link w:val="759"/>
    <w:uiPriority w:val="0"/>
    <w:qFormat/>
    <w:rPr>
      <w:rFonts w:ascii="Arial" w:hAnsi="Arial" w:eastAsia="仿宋_GB2312" w:cs="Arial"/>
      <w:sz w:val="32"/>
      <w:szCs w:val="32"/>
    </w:rPr>
  </w:style>
  <w:style w:type="character" w:styleId="803" w:customStyle="1">
    <w:name w:val="批注框文本 字符"/>
    <w:link w:val="760"/>
    <w:uiPriority w:val="0"/>
    <w:semiHidden/>
    <w:qFormat/>
    <w:rPr>
      <w:rFonts w:ascii="Times New Roman" w:hAnsi="Times New Roman" w:eastAsia="宋体" w:cs="Times New Roman"/>
      <w:sz w:val="18"/>
      <w:szCs w:val="18"/>
    </w:rPr>
  </w:style>
  <w:style w:type="character" w:styleId="804" w:customStyle="1">
    <w:name w:val="页脚 字符"/>
    <w:link w:val="761"/>
    <w:uiPriority w:val="0"/>
    <w:qFormat/>
    <w:rPr>
      <w:rFonts w:ascii="Times New Roman" w:hAnsi="Times New Roman" w:eastAsia="宋体" w:cs="Times New Roman"/>
      <w:sz w:val="18"/>
      <w:szCs w:val="18"/>
    </w:rPr>
  </w:style>
  <w:style w:type="character" w:styleId="805" w:customStyle="1">
    <w:name w:val="页眉 字符"/>
    <w:link w:val="762"/>
    <w:uiPriority w:val="0"/>
    <w:qFormat/>
    <w:rPr>
      <w:rFonts w:ascii="Times New Roman" w:hAnsi="Times New Roman" w:eastAsia="宋体" w:cs="Times New Roman"/>
      <w:sz w:val="18"/>
      <w:szCs w:val="18"/>
    </w:rPr>
  </w:style>
  <w:style w:type="character" w:styleId="806" w:customStyle="1">
    <w:name w:val="正文文本缩进 3 字符"/>
    <w:link w:val="767"/>
    <w:uiPriority w:val="0"/>
    <w:qFormat/>
    <w:rPr>
      <w:rFonts w:ascii="Arial" w:hAnsi="Arial" w:eastAsia="仿宋_GB2312" w:cs="Arial"/>
      <w:color w:val="ffff00"/>
      <w:sz w:val="32"/>
      <w:szCs w:val="32"/>
    </w:rPr>
  </w:style>
  <w:style w:type="character" w:styleId="807" w:customStyle="1">
    <w:name w:val="正文文本 2 字符"/>
    <w:link w:val="771"/>
    <w:uiPriority w:val="0"/>
    <w:qFormat/>
    <w:rPr>
      <w:rFonts w:ascii="楷体_GB2312" w:hAnsi="Times New Roman" w:eastAsia="楷体_GB2312" w:cs="Times New Roman"/>
      <w:sz w:val="28"/>
      <w:szCs w:val="28"/>
    </w:rPr>
  </w:style>
  <w:style w:type="character" w:styleId="808" w:customStyle="1">
    <w:name w:val="批注主题 字符"/>
    <w:link w:val="774"/>
    <w:uiPriority w:val="0"/>
    <w:semiHidden/>
    <w:qFormat/>
    <w:rPr>
      <w:rFonts w:ascii="Times New Roman" w:hAnsi="Times New Roman" w:eastAsia="宋体" w:cs="Times New Roman"/>
      <w:b/>
      <w:bCs/>
      <w:szCs w:val="21"/>
    </w:rPr>
  </w:style>
  <w:style w:type="character" w:styleId="809" w:customStyle="1">
    <w:name w:val="正文文本首行缩进 字符"/>
    <w:link w:val="775"/>
    <w:uiPriority w:val="0"/>
    <w:qFormat/>
    <w:rPr>
      <w:rFonts w:ascii="仿宋_GB2312" w:hAnsi="Times New Roman" w:eastAsia="仿宋_GB2312" w:cs="Times New Roman"/>
      <w:sz w:val="30"/>
      <w:szCs w:val="30"/>
    </w:rPr>
  </w:style>
  <w:style w:type="character" w:styleId="810" w:customStyle="1">
    <w:name w:val="font5 Char"/>
    <w:uiPriority w:val="0"/>
    <w:qFormat/>
    <w:rPr>
      <w:rFonts w:ascii="宋体" w:hAnsi="宋体" w:eastAsia="宋体"/>
      <w:sz w:val="28"/>
      <w:szCs w:val="28"/>
      <w:lang w:val="en-US" w:eastAsia="zh-CN" w:bidi="ar-SA"/>
    </w:rPr>
  </w:style>
  <w:style w:type="character" w:styleId="811" w:customStyle="1">
    <w:name w:val="二级目录 Char"/>
    <w:link w:val="812"/>
    <w:uiPriority w:val="0"/>
    <w:qFormat/>
    <w:rPr>
      <w:rFonts w:ascii="Calibri" w:hAnsi="Calibri"/>
      <w:b/>
      <w:sz w:val="30"/>
      <w:szCs w:val="28"/>
    </w:rPr>
  </w:style>
  <w:style w:type="paragraph" w:styleId="812" w:customStyle="1">
    <w:name w:val="二级目录"/>
    <w:next w:val="732"/>
    <w:link w:val="81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13" w:customStyle="1">
    <w:name w:val="列出段落 Char"/>
    <w:link w:val="814"/>
    <w:uiPriority w:val="0"/>
    <w:qFormat/>
    <w:rPr>
      <w:rFonts w:ascii="Calibri" w:hAnsi="Calibri"/>
      <w:sz w:val="24"/>
      <w:szCs w:val="24"/>
      <w:lang w:eastAsia="en-US" w:bidi="en-US"/>
    </w:rPr>
  </w:style>
  <w:style w:type="paragraph" w:styleId="814" w:customStyle="1">
    <w:name w:val="列出段落1"/>
    <w:basedOn w:val="732"/>
    <w:link w:val="813"/>
    <w:uiPriority w:val="0"/>
    <w:qFormat/>
    <w:pPr>
      <w:contextualSpacing/>
      <w:ind w:left="720"/>
      <w:jc w:val="left"/>
      <w:widowControl/>
    </w:pPr>
    <w:rPr>
      <w:sz w:val="24"/>
      <w:szCs w:val="24"/>
      <w:lang w:eastAsia="en-US" w:bidi="en-US"/>
    </w:rPr>
  </w:style>
  <w:style w:type="paragraph" w:styleId="815" w:customStyle="1">
    <w:name w:val="Body Text(ch)"/>
    <w:basedOn w:val="732"/>
    <w:next w:val="744"/>
    <w:uiPriority w:val="0"/>
    <w:qFormat/>
    <w:pPr>
      <w:spacing w:after="120"/>
    </w:pPr>
    <w:rPr>
      <w:rFonts w:ascii="宋体" w:hAnsi="Arial"/>
      <w:bCs/>
      <w:iCs/>
      <w:szCs w:val="24"/>
    </w:rPr>
  </w:style>
  <w:style w:type="paragraph" w:styleId="816" w:customStyle="1">
    <w:name w:val="xl27"/>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7" w:customStyle="1">
    <w:name w:val="xl2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8" w:customStyle="1">
    <w:name w:val="Char"/>
    <w:basedOn w:val="732"/>
    <w:uiPriority w:val="0"/>
    <w:qFormat/>
    <w:pPr>
      <w:ind w:firstLine="200"/>
      <w:tabs>
        <w:tab w:val="left" w:pos="360" w:leader="none"/>
      </w:tabs>
    </w:pPr>
    <w:rPr>
      <w:rFonts w:ascii="Times New Roman" w:hAnsi="Times New Roman"/>
      <w:sz w:val="28"/>
      <w:szCs w:val="30"/>
    </w:rPr>
  </w:style>
  <w:style w:type="paragraph" w:styleId="819" w:customStyle="1">
    <w:name w:val="Char1"/>
    <w:basedOn w:val="748"/>
    <w:uiPriority w:val="0"/>
    <w:qFormat/>
    <w:rPr>
      <w:rFonts w:ascii="Tahoma" w:hAnsi="Tahoma"/>
      <w:sz w:val="24"/>
      <w:szCs w:val="24"/>
    </w:rPr>
  </w:style>
  <w:style w:type="paragraph" w:styleId="820"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821" w:customStyle="1">
    <w:name w:val="table_lines"/>
    <w:basedOn w:val="732"/>
    <w:uiPriority w:val="0"/>
    <w:qFormat/>
    <w:pPr>
      <w:jc w:val="left"/>
      <w:widowControl/>
    </w:pPr>
    <w:rPr>
      <w:rFonts w:ascii="Times New Roman" w:hAnsi="Times New Roman"/>
      <w:sz w:val="20"/>
      <w:szCs w:val="20"/>
      <w:lang w:val="de-DE" w:eastAsia="de-DE"/>
    </w:rPr>
  </w:style>
  <w:style w:type="paragraph" w:styleId="82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23"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824" w:customStyle="1">
    <w:name w:val="Char Char Char Char"/>
    <w:basedOn w:val="748"/>
    <w:uiPriority w:val="0"/>
    <w:qFormat/>
    <w:pPr>
      <w:spacing w:line="360" w:lineRule="auto"/>
    </w:pPr>
    <w:rPr>
      <w:rFonts w:ascii="Tahoma" w:hAnsi="Tahoma"/>
      <w:sz w:val="24"/>
      <w:szCs w:val="24"/>
    </w:rPr>
  </w:style>
  <w:style w:type="paragraph" w:styleId="825">
    <w:name w:val="List Paragraph"/>
    <w:basedOn w:val="732"/>
    <w:uiPriority w:val="34"/>
    <w:qFormat/>
    <w:pPr>
      <w:contextualSpacing/>
      <w:ind w:left="720"/>
      <w:jc w:val="left"/>
      <w:widowControl/>
    </w:pPr>
    <w:rPr>
      <w:sz w:val="24"/>
      <w:szCs w:val="24"/>
      <w:lang w:eastAsia="en-US" w:bidi="en-US"/>
    </w:rPr>
  </w:style>
  <w:style w:type="paragraph" w:styleId="826" w:customStyle="1">
    <w:name w:val="4"/>
    <w:basedOn w:val="732"/>
    <w:next w:val="767"/>
    <w:uiPriority w:val="0"/>
    <w:qFormat/>
    <w:pPr>
      <w:ind w:firstLine="420"/>
      <w:spacing w:line="360" w:lineRule="auto"/>
    </w:pPr>
    <w:rPr>
      <w:rFonts w:ascii="Times New Roman" w:hAnsi="Times New Roman"/>
      <w:color w:val="ff0000"/>
      <w:sz w:val="24"/>
      <w:szCs w:val="24"/>
    </w:rPr>
  </w:style>
  <w:style w:type="paragraph" w:styleId="827"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828" w:customStyle="1">
    <w:name w:val="Char Char Char Char Char Char Char Char Char Char"/>
    <w:basedOn w:val="732"/>
    <w:uiPriority w:val="0"/>
    <w:qFormat/>
    <w:pPr>
      <w:spacing w:line="360" w:lineRule="auto"/>
    </w:pPr>
    <w:rPr>
      <w:rFonts w:ascii="Times New Roman" w:hAnsi="Times New Roman"/>
      <w:sz w:val="24"/>
      <w:szCs w:val="20"/>
    </w:rPr>
  </w:style>
  <w:style w:type="paragraph" w:styleId="829" w:customStyle="1">
    <w:name w:val="样式1"/>
    <w:basedOn w:val="732"/>
    <w:uiPriority w:val="0"/>
    <w:qFormat/>
    <w:pPr>
      <w:numPr>
        <w:ilvl w:val="0"/>
        <w:numId w:val="3"/>
      </w:numPr>
    </w:pPr>
    <w:rPr>
      <w:rFonts w:ascii="宋体" w:hAnsi="宋体"/>
      <w:szCs w:val="21"/>
    </w:rPr>
  </w:style>
  <w:style w:type="paragraph" w:styleId="830"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831"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2"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33" w:customStyle="1">
    <w:name w:val="标题3"/>
    <w:basedOn w:val="732"/>
    <w:next w:val="732"/>
    <w:uiPriority w:val="0"/>
    <w:qFormat/>
    <w:pPr>
      <w:ind w:firstLine="624"/>
      <w:spacing w:line="590" w:lineRule="atLeast"/>
    </w:pPr>
    <w:rPr>
      <w:rFonts w:ascii="方正黑体_GBK" w:hAnsi="Times New Roman" w:eastAsia="方正黑体_GBK"/>
      <w:sz w:val="32"/>
      <w:szCs w:val="32"/>
    </w:rPr>
  </w:style>
  <w:style w:type="paragraph" w:styleId="834" w:customStyle="1">
    <w:name w:val="xl24"/>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5" w:customStyle="1">
    <w:name w:val="xl29"/>
    <w:basedOn w:val="73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6"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837" w:customStyle="1">
    <w:name w:val="xl28"/>
    <w:basedOn w:val="73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8"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paragraph" w:styleId="839"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840" w:customStyle="1">
    <w:name w:val="Char Char Char Char1"/>
    <w:basedOn w:val="748"/>
    <w:uiPriority w:val="0"/>
    <w:qFormat/>
    <w:pPr>
      <w:spacing w:line="360" w:lineRule="auto"/>
    </w:pPr>
    <w:rPr>
      <w:rFonts w:ascii="Tahoma" w:hAnsi="Tahoma"/>
      <w:sz w:val="24"/>
      <w:szCs w:val="24"/>
    </w:rPr>
  </w:style>
  <w:style w:type="paragraph" w:styleId="841" w:customStyle="1">
    <w:name w:val="table_1stline"/>
    <w:basedOn w:val="732"/>
    <w:uiPriority w:val="0"/>
    <w:qFormat/>
    <w:pPr>
      <w:jc w:val="left"/>
      <w:spacing w:before="120"/>
      <w:widowControl/>
    </w:pPr>
    <w:rPr>
      <w:rFonts w:ascii="Times New Roman" w:hAnsi="Times New Roman"/>
      <w:bCs/>
      <w:sz w:val="20"/>
      <w:szCs w:val="20"/>
      <w:lang w:val="de-DE" w:eastAsia="de-DE"/>
    </w:rPr>
  </w:style>
  <w:style w:type="paragraph" w:styleId="842"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843" w:customStyle="1">
    <w:name w:val="标题1"/>
    <w:basedOn w:val="732"/>
    <w:next w:val="73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44" w:customStyle="1">
    <w:name w:val="_Style 111"/>
    <w:uiPriority w:val="99"/>
    <w:semiHidden/>
    <w:qFormat/>
    <w:rPr>
      <w:rFonts w:ascii="Times New Roman" w:hAnsi="Times New Roman" w:eastAsia="宋体" w:cs="Times New Roman"/>
      <w:sz w:val="21"/>
      <w:szCs w:val="21"/>
      <w:lang w:val="en-US" w:eastAsia="zh-CN" w:bidi="ar-SA"/>
    </w:rPr>
  </w:style>
  <w:style w:type="paragraph" w:styleId="84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6" w:customStyle="1">
    <w:name w:val="目录 82"/>
    <w:next w:val="732"/>
    <w:uiPriority w:val="0"/>
    <w:qFormat/>
    <w:pPr>
      <w:ind w:left="2550"/>
      <w:jc w:val="both"/>
    </w:pPr>
    <w:rPr>
      <w:rFonts w:ascii="Calibri" w:hAnsi="Calibri" w:eastAsia="宋体" w:cs="Times New Roman"/>
      <w:sz w:val="21"/>
      <w:lang w:val="en-US" w:eastAsia="zh-CN" w:bidi="ar-SA"/>
    </w:rPr>
  </w:style>
  <w:style w:type="paragraph" w:styleId="847" w:customStyle="1">
    <w:name w:val="段"/>
    <w:next w:val="73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48" w:customStyle="1">
    <w:name w:val="修订1"/>
    <w:hidden/>
    <w:uiPriority w:val="99"/>
    <w:unhideWhenUsed/>
    <w:qFormat/>
    <w:rPr>
      <w:rFonts w:ascii="Calibri" w:hAnsi="Calibri" w:eastAsia="宋体" w:cs="Times New Roman"/>
      <w:sz w:val="21"/>
      <w:szCs w:val="22"/>
      <w:lang w:val="en-US" w:eastAsia="zh-CN" w:bidi="ar-SA"/>
    </w:rPr>
  </w:style>
  <w:style w:type="paragraph" w:styleId="849" w:customStyle="1">
    <w:name w:val="DAS正文"/>
    <w:basedOn w:val="732"/>
    <w:uiPriority w:val="0"/>
    <w:qFormat/>
    <w:pPr>
      <w:ind w:right="181" w:firstLine="480"/>
      <w:spacing w:line="360" w:lineRule="auto"/>
    </w:pPr>
    <w:rPr>
      <w:rFonts w:ascii="Verdana" w:hAnsi="Verdana"/>
      <w:szCs w:val="24"/>
    </w:rPr>
  </w:style>
  <w:style w:type="table" w:styleId="850" w:customStyle="1">
    <w:name w:val="Table Normal"/>
    <w:uiPriority w:val="0"/>
    <w:semiHidden/>
    <w:unhideWhenUsed/>
    <w:qFormat/>
    <w:tblPr>
      <w:tblCellMar>
        <w:left w:w="0" w:type="dxa"/>
        <w:top w:w="0" w:type="dxa"/>
        <w:right w:w="0" w:type="dxa"/>
        <w:bottom w:w="0" w:type="dxa"/>
      </w:tblCellMar>
    </w:tblPr>
  </w:style>
  <w:style w:type="paragraph" w:styleId="851" w:customStyle="1">
    <w:name w:val="修订2"/>
    <w:hidden/>
    <w:uiPriority w:val="99"/>
    <w:unhideWhenUsed/>
    <w:qFormat/>
    <w:rPr>
      <w:rFonts w:ascii="Calibri" w:hAnsi="Calibri" w:eastAsia="宋体" w:cs="Times New Roman"/>
      <w:sz w:val="21"/>
      <w:szCs w:val="22"/>
      <w:lang w:val="en-US" w:eastAsia="zh-CN" w:bidi="ar-SA"/>
    </w:rPr>
  </w:style>
  <w:style w:type="paragraph" w:styleId="852" w:customStyle="1">
    <w:name w:val="修订3"/>
    <w:hidden/>
    <w:uiPriority w:val="99"/>
    <w:unhideWhenUsed/>
    <w:qFormat/>
    <w:rPr>
      <w:rFonts w:ascii="Calibri" w:hAnsi="Calibri" w:eastAsia="宋体" w:cs="Times New Roman"/>
      <w:sz w:val="21"/>
      <w:szCs w:val="22"/>
      <w:lang w:val="en-US" w:eastAsia="zh-CN" w:bidi="ar-SA"/>
    </w:rPr>
  </w:style>
  <w:style w:type="paragraph" w:styleId="853" w:customStyle="1">
    <w:name w:val="纯文本11"/>
    <w:basedOn w:val="732"/>
    <w:uiPriority w:val="0"/>
    <w:qFormat/>
    <w:rPr>
      <w:rFonts w:ascii="宋体" w:hAnsi="Courier New" w:eastAsia="楷体_GB2312"/>
      <w:sz w:val="26"/>
      <w:szCs w:val="24"/>
    </w:rPr>
  </w:style>
  <w:style w:type="paragraph" w:styleId="854" w:customStyle="1">
    <w:name w:val="正文（缩进）"/>
    <w:basedOn w:val="732"/>
    <w:uiPriority w:val="0"/>
    <w:qFormat/>
    <w:pPr>
      <w:ind w:firstLine="480"/>
      <w:spacing w:before="156" w:after="156"/>
    </w:pPr>
  </w:style>
  <w:style w:type="character" w:styleId="855" w:customStyle="1">
    <w:name w:val="UserStyle_1"/>
    <w:uiPriority w:val="0"/>
    <w:qFormat/>
    <w:rPr>
      <w:rFonts w:ascii="Times New Roman" w:hAnsi="Times New Roman" w:eastAsia="宋体" w:cs="Times New Roman"/>
    </w:rPr>
  </w:style>
  <w:style w:type="paragraph" w:styleId="856" w:customStyle="1">
    <w:name w:val="正文文本缩进11"/>
    <w:basedOn w:val="732"/>
    <w:next w:val="732"/>
    <w:uiPriority w:val="0"/>
    <w:qFormat/>
    <w:pPr>
      <w:ind w:firstLine="570"/>
      <w:spacing w:line="360" w:lineRule="auto"/>
    </w:pPr>
    <w:rPr>
      <w:sz w:val="24"/>
    </w:rPr>
  </w:style>
  <w:style w:type="paragraph" w:styleId="857" w:customStyle="1">
    <w:name w:val="列表段落"/>
    <w:basedOn w:val="732"/>
    <w:uiPriority w:val="0"/>
    <w:qFormat/>
    <w:pPr>
      <w:contextualSpacing/>
      <w:ind w:left="720"/>
      <w:jc w:val="left"/>
      <w:widowControl/>
    </w:pPr>
    <w:rPr>
      <w:rFonts w:ascii="Calibri" w:hAnsi="Calibri" w:eastAsia="宋体" w:cs="Times New Roman"/>
      <w:sz w:val="24"/>
      <w:szCs w:val="24"/>
      <w:lang w:eastAsia="en-US" w:bidi="en-US"/>
    </w:rPr>
  </w:style>
  <w:style w:type="paragraph" w:styleId="858" w:customStyle="1">
    <w:name w:val="正文_2_0"/>
    <w:next w:val="859"/>
    <w:uiPriority w:val="0"/>
    <w:qFormat/>
    <w:pPr>
      <w:jc w:val="both"/>
      <w:widowControl w:val="off"/>
    </w:pPr>
    <w:rPr>
      <w:rFonts w:ascii="Calibri" w:hAnsi="Calibri" w:eastAsia="宋体" w:cs="Times New Roman"/>
      <w:sz w:val="21"/>
      <w:szCs w:val="22"/>
      <w:lang w:val="en-US" w:eastAsia="zh-CN" w:bidi="ar-SA"/>
    </w:rPr>
  </w:style>
  <w:style w:type="paragraph" w:styleId="859" w:customStyle="1">
    <w:name w:val="正文文本_0_0"/>
    <w:basedOn w:val="858"/>
    <w:next w:val="858"/>
    <w:uiPriority w:val="99"/>
    <w:unhideWhenUsed/>
    <w:qFormat/>
    <w:pPr>
      <w:spacing w:after="120"/>
    </w:pPr>
    <w:rPr>
      <w:rFonts w:eastAsia="Times New Roman"/>
    </w:rPr>
  </w:style>
  <w:style w:type="paragraph" w:styleId="860"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861" w:customStyle="1">
    <w:name w:val="正文_2_0_0"/>
    <w:basedOn w:val="862"/>
    <w:uiPriority w:val="0"/>
    <w:qFormat/>
  </w:style>
  <w:style w:type="paragraph" w:styleId="862" w:customStyle="1">
    <w:name w:val="正文_16_0"/>
    <w:uiPriority w:val="0"/>
    <w:qFormat/>
    <w:pPr>
      <w:jc w:val="both"/>
      <w:widowControl w:val="off"/>
    </w:pPr>
    <w:rPr>
      <w:rFonts w:ascii="Calibri" w:hAnsi="Calibri" w:eastAsia="宋体" w:cs="Times New Roman"/>
      <w:sz w:val="21"/>
      <w:szCs w:val="22"/>
      <w:lang w:val="en-US" w:eastAsia="zh-CN" w:bidi="ar-SA"/>
    </w:rPr>
  </w:style>
  <w:style w:type="numbering" w:styleId="8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耿和美</cp:lastModifiedBy>
  <cp:revision>77</cp:revision>
  <dcterms:created xsi:type="dcterms:W3CDTF">2024-10-10T07:27:00Z</dcterms:created>
  <dcterms:modified xsi:type="dcterms:W3CDTF">2026-04-30T02:33:13Z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78B36137F7FF4CBEB7F2A2E600FB6955_13</vt:lpwstr>
  </property>
  <property fmtid="{D5CDD505-2E9C-101B-9397-08002B2CF9AE}" pid="4" name="KSOTemplateDocerSaveRecord">
    <vt:lpwstr>eyJoZGlkIjoiNzUyODNiMzM3Nzk0OTM3NTVlMzBmMjI3N2VlMjk2ZDkiLCJ1c2VySWQiOiI0ODQ3Njg4NTQifQ==</vt:lpwstr>
  </property>
</Properties>
</file>