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A8C554">
      <w:pPr>
        <w:spacing w:before="120" w:after="120" w:line="360" w:lineRule="auto"/>
        <w:jc w:val="both"/>
        <w:rPr>
          <w:rFonts w:hint="eastAsia" w:ascii="Arial" w:hAnsi="Arial" w:eastAsia="黑体"/>
          <w:b/>
          <w:bCs/>
          <w:sz w:val="84"/>
          <w:szCs w:val="24"/>
          <w:highlight w:val="none"/>
        </w:rPr>
      </w:pPr>
    </w:p>
    <w:p w14:paraId="25CF7488">
      <w:pPr>
        <w:spacing w:before="120" w:after="120" w:line="360" w:lineRule="auto"/>
        <w:jc w:val="center"/>
        <w:rPr>
          <w:rFonts w:hint="eastAsia" w:ascii="Arial" w:hAnsi="Arial" w:eastAsia="黑体"/>
          <w:b/>
          <w:bCs/>
          <w:sz w:val="84"/>
          <w:szCs w:val="24"/>
          <w:highlight w:val="none"/>
        </w:rPr>
      </w:pPr>
      <w:r>
        <w:rPr>
          <w:rFonts w:hint="eastAsia" w:ascii="Arial" w:hAnsi="Arial" w:eastAsia="黑体"/>
          <w:b/>
          <w:bCs/>
          <w:sz w:val="84"/>
          <w:szCs w:val="24"/>
          <w:highlight w:val="none"/>
        </w:rPr>
        <w:t>竞争性磋商文件</w:t>
      </w:r>
    </w:p>
    <w:p w14:paraId="58064F81">
      <w:pPr>
        <w:spacing w:before="120" w:after="120" w:line="360" w:lineRule="auto"/>
        <w:jc w:val="left"/>
        <w:rPr>
          <w:rFonts w:hint="eastAsia" w:ascii="Arial" w:hAnsi="Arial"/>
          <w:b/>
          <w:bCs/>
          <w:sz w:val="32"/>
          <w:szCs w:val="24"/>
          <w:highlight w:val="none"/>
        </w:rPr>
      </w:pPr>
    </w:p>
    <w:p w14:paraId="71C852AC">
      <w:pPr>
        <w:spacing w:before="120" w:after="120" w:line="360" w:lineRule="auto"/>
        <w:jc w:val="center"/>
        <w:rPr>
          <w:rFonts w:hint="eastAsia" w:ascii="Arial" w:hAnsi="宋体" w:eastAsia="宋体"/>
          <w:sz w:val="24"/>
          <w:szCs w:val="24"/>
          <w:highlight w:val="none"/>
          <w:u w:val="single"/>
          <w:lang w:eastAsia="zh-CN"/>
        </w:rPr>
      </w:pPr>
      <w:r>
        <w:rPr>
          <w:rFonts w:hint="eastAsia" w:ascii="Arial" w:hAnsi="Arial"/>
          <w:b/>
          <w:bCs/>
          <w:sz w:val="32"/>
          <w:szCs w:val="24"/>
          <w:highlight w:val="none"/>
        </w:rPr>
        <w:t>项目名称：</w:t>
      </w:r>
      <w:r>
        <w:rPr>
          <w:rFonts w:hint="eastAsia" w:ascii="Arial" w:hAnsi="Arial"/>
          <w:b/>
          <w:bCs/>
          <w:sz w:val="32"/>
          <w:szCs w:val="24"/>
          <w:highlight w:val="none"/>
          <w:lang w:eastAsia="zh-CN"/>
        </w:rPr>
        <w:t>海安市人民医院多基因外送检测服务项目</w:t>
      </w:r>
    </w:p>
    <w:p w14:paraId="297A7FE3">
      <w:pPr>
        <w:spacing w:before="120" w:after="120" w:line="360" w:lineRule="auto"/>
        <w:jc w:val="center"/>
        <w:rPr>
          <w:rFonts w:hint="eastAsia" w:ascii="Arial" w:hAnsi="Arial" w:eastAsia="宋体" w:cs="Times New Roman"/>
          <w:b/>
          <w:bCs/>
          <w:sz w:val="32"/>
          <w:szCs w:val="24"/>
          <w:highlight w:val="none"/>
        </w:rPr>
      </w:pPr>
      <w:r>
        <w:rPr>
          <w:rFonts w:hint="eastAsia" w:ascii="Arial" w:hAnsi="Arial" w:eastAsia="宋体" w:cs="Times New Roman"/>
          <w:b/>
          <w:bCs/>
          <w:sz w:val="32"/>
          <w:szCs w:val="24"/>
          <w:highlight w:val="none"/>
        </w:rPr>
        <w:t>项目编号：</w:t>
      </w:r>
      <w:r>
        <w:rPr>
          <w:rFonts w:hint="eastAsia" w:ascii="Arial" w:hAnsi="Arial" w:eastAsia="宋体" w:cs="Times New Roman"/>
          <w:b/>
          <w:bCs/>
          <w:sz w:val="32"/>
          <w:szCs w:val="24"/>
          <w:highlight w:val="none"/>
          <w:lang w:val="en-US" w:eastAsia="zh-CN"/>
        </w:rPr>
        <w:t>JSZC-320685-DCZX-C2026-0011</w:t>
      </w:r>
    </w:p>
    <w:p w14:paraId="7AA2D7C6">
      <w:pPr>
        <w:spacing w:before="120" w:after="120" w:line="360" w:lineRule="auto"/>
        <w:ind w:firstLine="900"/>
        <w:jc w:val="both"/>
        <w:rPr>
          <w:rFonts w:hint="eastAsia"/>
          <w:b/>
          <w:sz w:val="30"/>
          <w:szCs w:val="30"/>
          <w:highlight w:val="none"/>
        </w:rPr>
      </w:pPr>
    </w:p>
    <w:p w14:paraId="3B8F9FF3">
      <w:pPr>
        <w:spacing w:line="360" w:lineRule="auto"/>
        <w:jc w:val="left"/>
        <w:rPr>
          <w:rFonts w:hint="eastAsia" w:ascii="宋体" w:hAnsi="宋体"/>
          <w:sz w:val="24"/>
          <w:szCs w:val="24"/>
          <w:highlight w:val="none"/>
        </w:rPr>
      </w:pPr>
    </w:p>
    <w:p w14:paraId="1BEA62C0">
      <w:pPr>
        <w:spacing w:line="360" w:lineRule="auto"/>
        <w:jc w:val="left"/>
        <w:rPr>
          <w:rFonts w:hint="eastAsia" w:ascii="宋体" w:hAnsi="宋体"/>
          <w:sz w:val="24"/>
          <w:szCs w:val="24"/>
          <w:highlight w:val="none"/>
        </w:rPr>
      </w:pPr>
    </w:p>
    <w:p w14:paraId="08165944">
      <w:pPr>
        <w:spacing w:line="360" w:lineRule="auto"/>
        <w:jc w:val="left"/>
        <w:rPr>
          <w:rFonts w:hint="eastAsia" w:ascii="宋体" w:hAnsi="宋体"/>
          <w:sz w:val="24"/>
          <w:szCs w:val="24"/>
          <w:highlight w:val="none"/>
        </w:rPr>
      </w:pPr>
    </w:p>
    <w:p w14:paraId="17B0CCC6">
      <w:pPr>
        <w:spacing w:line="360" w:lineRule="auto"/>
        <w:jc w:val="left"/>
        <w:rPr>
          <w:rFonts w:hint="eastAsia" w:ascii="宋体" w:hAnsi="宋体"/>
          <w:sz w:val="24"/>
          <w:szCs w:val="24"/>
          <w:highlight w:val="none"/>
        </w:rPr>
      </w:pPr>
    </w:p>
    <w:p w14:paraId="32EAE38C">
      <w:pPr>
        <w:spacing w:line="360" w:lineRule="auto"/>
        <w:jc w:val="left"/>
        <w:rPr>
          <w:rFonts w:hint="eastAsia" w:ascii="宋体" w:hAnsi="宋体"/>
          <w:sz w:val="24"/>
          <w:szCs w:val="24"/>
          <w:highlight w:val="none"/>
        </w:rPr>
      </w:pPr>
    </w:p>
    <w:p w14:paraId="412F0FC5">
      <w:pPr>
        <w:spacing w:line="360" w:lineRule="auto"/>
        <w:jc w:val="left"/>
        <w:rPr>
          <w:rFonts w:hint="eastAsia" w:ascii="宋体" w:hAnsi="宋体"/>
          <w:sz w:val="24"/>
          <w:szCs w:val="24"/>
          <w:highlight w:val="none"/>
        </w:rPr>
      </w:pPr>
    </w:p>
    <w:p w14:paraId="01073119">
      <w:pPr>
        <w:spacing w:before="120" w:after="120" w:line="360" w:lineRule="auto"/>
        <w:jc w:val="both"/>
        <w:rPr>
          <w:rFonts w:hint="eastAsia" w:ascii="Arial" w:hAnsi="Arial"/>
          <w:b/>
          <w:bCs/>
          <w:sz w:val="32"/>
          <w:szCs w:val="24"/>
          <w:highlight w:val="none"/>
        </w:rPr>
      </w:pPr>
    </w:p>
    <w:p w14:paraId="74794257">
      <w:pPr>
        <w:spacing w:before="120" w:after="120" w:line="360" w:lineRule="auto"/>
        <w:jc w:val="center"/>
        <w:rPr>
          <w:rFonts w:hint="eastAsia" w:ascii="Arial" w:hAnsi="Arial"/>
          <w:b/>
          <w:bCs/>
          <w:sz w:val="32"/>
          <w:szCs w:val="24"/>
          <w:highlight w:val="none"/>
        </w:rPr>
      </w:pPr>
    </w:p>
    <w:p w14:paraId="360988A5">
      <w:pPr>
        <w:spacing w:before="120" w:after="120" w:line="360" w:lineRule="auto"/>
        <w:jc w:val="center"/>
        <w:rPr>
          <w:rFonts w:hint="eastAsia" w:ascii="Arial" w:hAnsi="Arial" w:eastAsia="宋体"/>
          <w:b/>
          <w:bCs/>
          <w:sz w:val="32"/>
          <w:szCs w:val="24"/>
          <w:highlight w:val="none"/>
          <w:lang w:eastAsia="zh-CN"/>
        </w:rPr>
      </w:pPr>
      <w:r>
        <w:rPr>
          <w:rFonts w:hint="eastAsia" w:ascii="Arial" w:hAnsi="Arial"/>
          <w:b/>
          <w:bCs/>
          <w:sz w:val="32"/>
          <w:szCs w:val="24"/>
          <w:highlight w:val="none"/>
        </w:rPr>
        <w:t>采购人：</w:t>
      </w:r>
      <w:r>
        <w:rPr>
          <w:rFonts w:hint="eastAsia" w:ascii="Arial" w:hAnsi="Arial"/>
          <w:b/>
          <w:bCs/>
          <w:sz w:val="32"/>
          <w:szCs w:val="24"/>
          <w:highlight w:val="none"/>
          <w:lang w:eastAsia="zh-CN"/>
        </w:rPr>
        <w:t>海安市人民医院</w:t>
      </w:r>
    </w:p>
    <w:p w14:paraId="2C420E28">
      <w:pPr>
        <w:spacing w:before="120" w:after="120" w:line="360" w:lineRule="auto"/>
        <w:jc w:val="center"/>
        <w:rPr>
          <w:rFonts w:ascii="Arial" w:hAnsi="Arial" w:eastAsia="宋体"/>
          <w:b/>
          <w:bCs/>
          <w:sz w:val="32"/>
          <w:szCs w:val="24"/>
          <w:highlight w:val="none"/>
          <w:u w:val="single"/>
          <w:lang w:val="en-US" w:eastAsia="zh-CN"/>
        </w:rPr>
      </w:pPr>
      <w:r>
        <w:rPr>
          <w:rFonts w:hint="eastAsia" w:ascii="Arial" w:hAnsi="Arial"/>
          <w:b/>
          <w:bCs/>
          <w:sz w:val="32"/>
          <w:szCs w:val="24"/>
          <w:highlight w:val="none"/>
          <w:u w:val="single"/>
        </w:rPr>
        <w:t>2026</w:t>
      </w:r>
      <w:r>
        <w:rPr>
          <w:rFonts w:hint="eastAsia" w:ascii="Arial" w:hAnsi="Arial"/>
          <w:b/>
          <w:bCs/>
          <w:sz w:val="32"/>
          <w:szCs w:val="24"/>
          <w:highlight w:val="none"/>
        </w:rPr>
        <w:t>年</w:t>
      </w:r>
      <w:r>
        <w:rPr>
          <w:rFonts w:hint="eastAsia" w:ascii="Arial" w:hAnsi="Arial"/>
          <w:b/>
          <w:bCs/>
          <w:sz w:val="32"/>
          <w:szCs w:val="24"/>
          <w:highlight w:val="none"/>
          <w:u w:val="single"/>
        </w:rPr>
        <w:t>0</w:t>
      </w:r>
      <w:r>
        <w:rPr>
          <w:rFonts w:hint="eastAsia" w:ascii="Arial" w:hAnsi="Arial"/>
          <w:b/>
          <w:bCs/>
          <w:sz w:val="32"/>
          <w:szCs w:val="24"/>
          <w:highlight w:val="none"/>
          <w:u w:val="single"/>
          <w:lang w:val="en-US" w:eastAsia="zh-CN"/>
        </w:rPr>
        <w:t>5</w:t>
      </w:r>
      <w:r>
        <w:rPr>
          <w:rFonts w:hint="eastAsia" w:ascii="Arial" w:hAnsi="Arial"/>
          <w:b/>
          <w:bCs/>
          <w:sz w:val="32"/>
          <w:szCs w:val="24"/>
          <w:highlight w:val="none"/>
        </w:rPr>
        <w:t>月</w:t>
      </w:r>
      <w:r>
        <w:rPr>
          <w:rFonts w:hint="eastAsia" w:ascii="Arial" w:hAnsi="Arial"/>
          <w:b/>
          <w:bCs/>
          <w:sz w:val="32"/>
          <w:szCs w:val="24"/>
          <w:highlight w:val="none"/>
          <w:u w:val="single"/>
          <w:lang w:val="en-US" w:eastAsia="zh-CN"/>
        </w:rPr>
        <w:t xml:space="preserve"> 08 </w:t>
      </w:r>
      <w:r>
        <w:rPr>
          <w:rFonts w:hint="eastAsia" w:ascii="Arial" w:hAnsi="Arial"/>
          <w:b/>
          <w:bCs/>
          <w:sz w:val="32"/>
          <w:szCs w:val="24"/>
          <w:highlight w:val="none"/>
          <w:lang w:val="en-US" w:eastAsia="zh-CN"/>
        </w:rPr>
        <w:t>日</w:t>
      </w:r>
    </w:p>
    <w:p w14:paraId="74851184">
      <w:pPr>
        <w:spacing w:line="480" w:lineRule="auto"/>
        <w:jc w:val="center"/>
        <w:outlineLvl w:val="0"/>
        <w:rPr>
          <w:rFonts w:hint="eastAsia" w:ascii="Arial" w:hAnsi="Arial"/>
          <w:sz w:val="24"/>
          <w:szCs w:val="24"/>
          <w:highlight w:val="none"/>
        </w:rPr>
      </w:pPr>
      <w:r>
        <w:rPr>
          <w:rFonts w:hint="eastAsia" w:ascii="Arial" w:hAnsi="Arial"/>
          <w:sz w:val="24"/>
          <w:szCs w:val="24"/>
          <w:highlight w:val="none"/>
        </w:rPr>
        <w:t xml:space="preserve">                        </w:t>
      </w:r>
      <w:bookmarkStart w:id="0" w:name="_Toc120614210"/>
      <w:bookmarkStart w:id="1" w:name="_Toc513029200"/>
      <w:bookmarkStart w:id="2" w:name="_Toc16938516"/>
      <w:bookmarkStart w:id="3" w:name="_Toc20823272"/>
      <w:bookmarkStart w:id="4" w:name="_Toc523127445"/>
      <w:bookmarkStart w:id="5" w:name="_Toc479757206"/>
    </w:p>
    <w:p w14:paraId="276D1780">
      <w:pPr>
        <w:spacing w:line="480" w:lineRule="auto"/>
        <w:jc w:val="center"/>
        <w:outlineLvl w:val="0"/>
        <w:rPr>
          <w:rFonts w:hint="eastAsia" w:ascii="黑体" w:hAnsi="Arial" w:eastAsia="黑体"/>
          <w:b/>
          <w:sz w:val="44"/>
          <w:szCs w:val="21"/>
          <w:highlight w:val="none"/>
        </w:rPr>
      </w:pPr>
    </w:p>
    <w:p w14:paraId="63A57C86">
      <w:pPr>
        <w:spacing w:line="480" w:lineRule="auto"/>
        <w:jc w:val="center"/>
        <w:outlineLvl w:val="0"/>
        <w:rPr>
          <w:rFonts w:hint="eastAsia" w:ascii="黑体" w:hAnsi="Arial" w:eastAsia="黑体"/>
          <w:b/>
          <w:sz w:val="44"/>
          <w:szCs w:val="21"/>
          <w:highlight w:val="none"/>
        </w:rPr>
      </w:pPr>
    </w:p>
    <w:p w14:paraId="28419F5D">
      <w:pPr>
        <w:spacing w:line="480" w:lineRule="auto"/>
        <w:jc w:val="center"/>
        <w:outlineLvl w:val="0"/>
        <w:rPr>
          <w:rFonts w:hint="eastAsia" w:ascii="黑体" w:hAnsi="Arial" w:eastAsia="黑体"/>
          <w:b/>
          <w:sz w:val="44"/>
          <w:szCs w:val="21"/>
          <w:highlight w:val="none"/>
        </w:rPr>
      </w:pPr>
      <w:r>
        <w:rPr>
          <w:rFonts w:hint="eastAsia" w:ascii="黑体" w:hAnsi="Arial" w:eastAsia="黑体"/>
          <w:b/>
          <w:sz w:val="44"/>
          <w:szCs w:val="21"/>
          <w:highlight w:val="none"/>
        </w:rPr>
        <w:t>总  目  录</w:t>
      </w:r>
    </w:p>
    <w:p w14:paraId="004C153D">
      <w:pPr>
        <w:spacing w:line="480" w:lineRule="auto"/>
        <w:rPr>
          <w:rFonts w:hint="eastAsia" w:ascii="仿宋_GB2312" w:hAnsi="Arial" w:eastAsia="仿宋_GB2312"/>
          <w:b/>
          <w:sz w:val="28"/>
          <w:szCs w:val="21"/>
          <w:highlight w:val="none"/>
        </w:rPr>
      </w:pPr>
    </w:p>
    <w:p w14:paraId="047F7E4B">
      <w:pPr>
        <w:numPr>
          <w:ilvl w:val="0"/>
          <w:numId w:val="4"/>
        </w:numPr>
        <w:spacing w:line="480" w:lineRule="auto"/>
        <w:outlineLvl w:val="0"/>
        <w:rPr>
          <w:rFonts w:hint="eastAsia" w:ascii="黑体" w:hAnsi="Showcard Gothic" w:eastAsia="黑体"/>
          <w:sz w:val="32"/>
          <w:szCs w:val="21"/>
          <w:highlight w:val="none"/>
        </w:rPr>
      </w:pPr>
      <w:r>
        <w:rPr>
          <w:rFonts w:hint="eastAsia" w:ascii="黑体" w:hAnsi="宋体" w:eastAsia="黑体"/>
          <w:sz w:val="36"/>
          <w:szCs w:val="21"/>
          <w:highlight w:val="none"/>
        </w:rPr>
        <w:t>磋商邀请</w:t>
      </w:r>
    </w:p>
    <w:p w14:paraId="35507103">
      <w:pPr>
        <w:numPr>
          <w:ilvl w:val="0"/>
          <w:numId w:val="4"/>
        </w:numPr>
        <w:spacing w:line="480" w:lineRule="auto"/>
        <w:outlineLvl w:val="0"/>
        <w:rPr>
          <w:rFonts w:hint="eastAsia" w:ascii="黑体" w:hAnsi="Showcard Gothic" w:eastAsia="黑体"/>
          <w:sz w:val="36"/>
          <w:szCs w:val="21"/>
          <w:highlight w:val="none"/>
        </w:rPr>
      </w:pPr>
      <w:r>
        <w:rPr>
          <w:rFonts w:hint="eastAsia" w:ascii="黑体" w:hAnsi="宋体" w:eastAsia="黑体"/>
          <w:bCs/>
          <w:sz w:val="36"/>
          <w:szCs w:val="36"/>
          <w:highlight w:val="none"/>
        </w:rPr>
        <w:t>供应商须知</w:t>
      </w:r>
      <w:r>
        <w:rPr>
          <w:rFonts w:hint="eastAsia" w:ascii="黑体" w:hAnsi="Showcard Gothic" w:eastAsia="黑体"/>
          <w:sz w:val="36"/>
          <w:szCs w:val="21"/>
          <w:highlight w:val="none"/>
        </w:rPr>
        <w:t xml:space="preserve"> </w:t>
      </w:r>
    </w:p>
    <w:p w14:paraId="3BA70FB1">
      <w:pPr>
        <w:numPr>
          <w:ilvl w:val="0"/>
          <w:numId w:val="4"/>
        </w:numPr>
        <w:spacing w:line="480" w:lineRule="auto"/>
        <w:outlineLvl w:val="0"/>
        <w:rPr>
          <w:rFonts w:hint="eastAsia" w:ascii="黑体" w:hAnsi="Showcard Gothic" w:eastAsia="黑体"/>
          <w:sz w:val="36"/>
          <w:szCs w:val="21"/>
          <w:highlight w:val="none"/>
        </w:rPr>
      </w:pPr>
      <w:r>
        <w:rPr>
          <w:rFonts w:hint="eastAsia" w:ascii="黑体" w:hAnsi="宋体" w:eastAsia="黑体"/>
          <w:sz w:val="36"/>
          <w:szCs w:val="21"/>
          <w:highlight w:val="none"/>
        </w:rPr>
        <w:t>采购需求</w:t>
      </w:r>
    </w:p>
    <w:p w14:paraId="28C4CB36">
      <w:pPr>
        <w:numPr>
          <w:ilvl w:val="0"/>
          <w:numId w:val="4"/>
        </w:numPr>
        <w:spacing w:line="480" w:lineRule="auto"/>
        <w:outlineLvl w:val="0"/>
        <w:rPr>
          <w:rFonts w:hint="eastAsia" w:ascii="黑体" w:hAnsi="Showcard Gothic" w:eastAsia="黑体"/>
          <w:sz w:val="36"/>
          <w:szCs w:val="21"/>
          <w:highlight w:val="none"/>
        </w:rPr>
      </w:pPr>
      <w:r>
        <w:rPr>
          <w:rFonts w:hint="eastAsia" w:ascii="黑体" w:hAnsi="宋体" w:eastAsia="黑体"/>
          <w:bCs/>
          <w:sz w:val="36"/>
          <w:szCs w:val="36"/>
          <w:highlight w:val="none"/>
        </w:rPr>
        <w:t>评审方法与评审标准</w:t>
      </w:r>
    </w:p>
    <w:p w14:paraId="7D3FFAFE">
      <w:pPr>
        <w:numPr>
          <w:ilvl w:val="0"/>
          <w:numId w:val="4"/>
        </w:numPr>
        <w:spacing w:line="480" w:lineRule="auto"/>
        <w:outlineLvl w:val="0"/>
        <w:rPr>
          <w:rFonts w:hint="eastAsia" w:ascii="黑体" w:hAnsi="Showcard Gothic" w:eastAsia="黑体"/>
          <w:sz w:val="36"/>
          <w:szCs w:val="21"/>
          <w:highlight w:val="none"/>
        </w:rPr>
      </w:pPr>
      <w:r>
        <w:rPr>
          <w:rFonts w:hint="eastAsia" w:ascii="黑体" w:hAnsi="宋体" w:eastAsia="黑体"/>
          <w:sz w:val="36"/>
          <w:szCs w:val="21"/>
          <w:highlight w:val="none"/>
        </w:rPr>
        <w:t>响应文件格式</w:t>
      </w:r>
    </w:p>
    <w:p w14:paraId="1059D3C7">
      <w:pPr>
        <w:rPr>
          <w:rFonts w:hint="eastAsia"/>
          <w:szCs w:val="21"/>
          <w:highlight w:val="none"/>
        </w:rPr>
      </w:pPr>
    </w:p>
    <w:p w14:paraId="478FD85A">
      <w:pPr>
        <w:rPr>
          <w:rFonts w:hint="eastAsia"/>
          <w:szCs w:val="21"/>
          <w:highlight w:val="none"/>
        </w:rPr>
      </w:pPr>
    </w:p>
    <w:p w14:paraId="3F9312D5">
      <w:pPr>
        <w:rPr>
          <w:rFonts w:hint="eastAsia"/>
          <w:szCs w:val="21"/>
          <w:highlight w:val="none"/>
        </w:rPr>
      </w:pPr>
    </w:p>
    <w:p w14:paraId="1329E90A">
      <w:pPr>
        <w:rPr>
          <w:rFonts w:hint="eastAsia"/>
          <w:szCs w:val="21"/>
          <w:highlight w:val="none"/>
        </w:rPr>
      </w:pPr>
    </w:p>
    <w:p w14:paraId="37D8AA20">
      <w:pPr>
        <w:rPr>
          <w:rFonts w:hint="eastAsia"/>
          <w:szCs w:val="21"/>
          <w:highlight w:val="none"/>
        </w:rPr>
      </w:pPr>
    </w:p>
    <w:p w14:paraId="68A7FAE5">
      <w:pPr>
        <w:rPr>
          <w:rFonts w:hint="eastAsia"/>
          <w:szCs w:val="21"/>
          <w:highlight w:val="none"/>
        </w:rPr>
      </w:pPr>
    </w:p>
    <w:p w14:paraId="700F7ABD">
      <w:pPr>
        <w:rPr>
          <w:rFonts w:hint="eastAsia"/>
          <w:szCs w:val="21"/>
          <w:highlight w:val="none"/>
        </w:rPr>
      </w:pPr>
    </w:p>
    <w:p w14:paraId="0E8ECEB2">
      <w:pPr>
        <w:rPr>
          <w:rFonts w:hint="eastAsia"/>
          <w:szCs w:val="21"/>
          <w:highlight w:val="none"/>
        </w:rPr>
      </w:pPr>
    </w:p>
    <w:p w14:paraId="1533A322">
      <w:pPr>
        <w:rPr>
          <w:rFonts w:hint="eastAsia"/>
          <w:szCs w:val="21"/>
          <w:highlight w:val="none"/>
        </w:rPr>
      </w:pPr>
    </w:p>
    <w:p w14:paraId="61CB087B">
      <w:pPr>
        <w:rPr>
          <w:rFonts w:hint="eastAsia"/>
          <w:szCs w:val="21"/>
          <w:highlight w:val="none"/>
        </w:rPr>
      </w:pPr>
    </w:p>
    <w:p w14:paraId="00516544">
      <w:pPr>
        <w:rPr>
          <w:rFonts w:hint="eastAsia"/>
          <w:szCs w:val="21"/>
          <w:highlight w:val="none"/>
        </w:rPr>
      </w:pPr>
    </w:p>
    <w:p w14:paraId="5AF7E981">
      <w:pPr>
        <w:rPr>
          <w:rFonts w:hint="eastAsia"/>
          <w:szCs w:val="21"/>
          <w:highlight w:val="none"/>
        </w:rPr>
      </w:pPr>
    </w:p>
    <w:p w14:paraId="07317FDD">
      <w:pPr>
        <w:rPr>
          <w:rFonts w:hint="eastAsia"/>
          <w:szCs w:val="21"/>
          <w:highlight w:val="none"/>
        </w:rPr>
      </w:pPr>
    </w:p>
    <w:p w14:paraId="5D1FE8D2">
      <w:pPr>
        <w:rPr>
          <w:rFonts w:hint="eastAsia"/>
          <w:szCs w:val="21"/>
          <w:highlight w:val="none"/>
        </w:rPr>
      </w:pPr>
    </w:p>
    <w:p w14:paraId="395FB4DF">
      <w:pPr>
        <w:rPr>
          <w:rFonts w:hint="eastAsia"/>
          <w:szCs w:val="21"/>
          <w:highlight w:val="none"/>
        </w:rPr>
      </w:pPr>
    </w:p>
    <w:p w14:paraId="169BC61D">
      <w:pPr>
        <w:rPr>
          <w:rFonts w:hint="eastAsia"/>
          <w:szCs w:val="21"/>
          <w:highlight w:val="none"/>
        </w:rPr>
      </w:pPr>
    </w:p>
    <w:p w14:paraId="1DB5137F">
      <w:pPr>
        <w:rPr>
          <w:rFonts w:hint="eastAsia"/>
          <w:szCs w:val="21"/>
          <w:highlight w:val="none"/>
        </w:rPr>
      </w:pPr>
    </w:p>
    <w:p w14:paraId="12F2EBDD">
      <w:pPr>
        <w:rPr>
          <w:rFonts w:hint="eastAsia"/>
          <w:szCs w:val="21"/>
          <w:highlight w:val="none"/>
        </w:rPr>
      </w:pPr>
    </w:p>
    <w:p w14:paraId="702D5635">
      <w:pPr>
        <w:rPr>
          <w:rFonts w:hint="eastAsia"/>
          <w:szCs w:val="21"/>
          <w:highlight w:val="none"/>
        </w:rPr>
      </w:pPr>
    </w:p>
    <w:p w14:paraId="2E074041">
      <w:pPr>
        <w:rPr>
          <w:rFonts w:hint="eastAsia"/>
          <w:szCs w:val="21"/>
          <w:highlight w:val="none"/>
        </w:rPr>
      </w:pPr>
    </w:p>
    <w:p w14:paraId="1759D46B">
      <w:pPr>
        <w:rPr>
          <w:rFonts w:hint="eastAsia"/>
          <w:szCs w:val="21"/>
          <w:highlight w:val="none"/>
        </w:rPr>
      </w:pPr>
    </w:p>
    <w:p w14:paraId="04A9E6FA">
      <w:pPr>
        <w:rPr>
          <w:rFonts w:hint="eastAsia"/>
          <w:szCs w:val="21"/>
          <w:highlight w:val="none"/>
        </w:rPr>
      </w:pPr>
    </w:p>
    <w:p w14:paraId="3A9586C5">
      <w:pPr>
        <w:rPr>
          <w:rFonts w:hint="eastAsia"/>
          <w:szCs w:val="21"/>
          <w:highlight w:val="none"/>
        </w:rPr>
      </w:pPr>
    </w:p>
    <w:p w14:paraId="3F62C868">
      <w:pPr>
        <w:rPr>
          <w:rFonts w:hint="eastAsia"/>
          <w:szCs w:val="21"/>
          <w:highlight w:val="none"/>
        </w:rPr>
      </w:pPr>
    </w:p>
    <w:p w14:paraId="0B915F88">
      <w:pPr>
        <w:rPr>
          <w:rFonts w:hint="eastAsia"/>
          <w:szCs w:val="21"/>
          <w:highlight w:val="none"/>
        </w:rPr>
      </w:pPr>
    </w:p>
    <w:p w14:paraId="12473337">
      <w:pPr>
        <w:rPr>
          <w:rFonts w:hint="eastAsia"/>
          <w:szCs w:val="21"/>
          <w:highlight w:val="none"/>
        </w:rPr>
      </w:pPr>
    </w:p>
    <w:p w14:paraId="1D5B396C">
      <w:pPr>
        <w:rPr>
          <w:rFonts w:hint="eastAsia"/>
          <w:szCs w:val="21"/>
          <w:highlight w:val="none"/>
        </w:rPr>
      </w:pPr>
    </w:p>
    <w:p w14:paraId="384669C2">
      <w:pPr>
        <w:keepNext/>
        <w:spacing w:line="560" w:lineRule="exact"/>
        <w:jc w:val="center"/>
        <w:outlineLvl w:val="0"/>
        <w:rPr>
          <w:rFonts w:hint="eastAsia"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磋商邀请</w:t>
      </w:r>
    </w:p>
    <w:p w14:paraId="1044F159">
      <w:pPr>
        <w:spacing w:line="560" w:lineRule="exact"/>
        <w:ind w:firstLine="480"/>
        <w:rPr>
          <w:rFonts w:ascii="宋体" w:hAnsi="宋体"/>
          <w:sz w:val="24"/>
          <w:szCs w:val="24"/>
          <w:highlight w:val="none"/>
        </w:rPr>
      </w:pPr>
      <w:r>
        <w:rPr>
          <w:rFonts w:hint="eastAsia" w:ascii="宋体" w:hAnsi="宋体"/>
          <w:sz w:val="24"/>
          <w:szCs w:val="24"/>
          <w:highlight w:val="none"/>
        </w:rPr>
        <w:t>受</w:t>
      </w:r>
      <w:r>
        <w:rPr>
          <w:rFonts w:hint="eastAsia" w:ascii="宋体" w:hAnsi="宋体"/>
          <w:sz w:val="24"/>
          <w:szCs w:val="24"/>
          <w:highlight w:val="none"/>
          <w:u w:val="single"/>
          <w:lang w:eastAsia="zh-CN"/>
        </w:rPr>
        <w:t>海安市人民医院</w:t>
      </w:r>
      <w:r>
        <w:rPr>
          <w:rFonts w:hint="eastAsia" w:ascii="宋体" w:hAnsi="宋体"/>
          <w:sz w:val="24"/>
          <w:szCs w:val="24"/>
          <w:highlight w:val="none"/>
        </w:rPr>
        <w:t>的委托，</w:t>
      </w:r>
      <w:r>
        <w:rPr>
          <w:rFonts w:hint="eastAsia" w:ascii="宋体" w:hAnsi="宋体"/>
          <w:sz w:val="24"/>
          <w:szCs w:val="24"/>
          <w:highlight w:val="none"/>
          <w:u w:val="single"/>
          <w:lang w:eastAsia="zh-CN"/>
        </w:rPr>
        <w:t>江苏大成工程咨询有限公司</w:t>
      </w:r>
      <w:r>
        <w:rPr>
          <w:rFonts w:hint="eastAsia" w:ascii="宋体" w:hAnsi="宋体"/>
          <w:sz w:val="24"/>
          <w:szCs w:val="24"/>
          <w:highlight w:val="none"/>
        </w:rPr>
        <w:t>就</w:t>
      </w:r>
      <w:r>
        <w:rPr>
          <w:rFonts w:hint="eastAsia" w:ascii="宋体" w:hAnsi="宋体"/>
          <w:sz w:val="24"/>
          <w:szCs w:val="24"/>
          <w:highlight w:val="none"/>
          <w:u w:val="single"/>
          <w:lang w:eastAsia="zh-CN"/>
        </w:rPr>
        <w:t>海安市人民医院多基因外送检测服务项目</w:t>
      </w:r>
      <w:r>
        <w:rPr>
          <w:rFonts w:hint="eastAsia" w:ascii="宋体" w:hAnsi="宋体"/>
          <w:sz w:val="24"/>
          <w:szCs w:val="24"/>
          <w:highlight w:val="none"/>
        </w:rPr>
        <w:t>(项目编号：</w:t>
      </w:r>
      <w:r>
        <w:rPr>
          <w:rFonts w:hint="eastAsia" w:ascii="宋体" w:hAnsi="宋体"/>
          <w:sz w:val="24"/>
          <w:szCs w:val="24"/>
          <w:highlight w:val="none"/>
          <w:lang w:val="en-US" w:eastAsia="zh-CN"/>
        </w:rPr>
        <w:t>JSZC-320685-DCZX-C2026-0011</w:t>
      </w:r>
      <w:r>
        <w:rPr>
          <w:rFonts w:hint="eastAsia" w:ascii="宋体" w:hAnsi="宋体"/>
          <w:sz w:val="24"/>
          <w:szCs w:val="24"/>
          <w:highlight w:val="none"/>
        </w:rPr>
        <w:t>)进行竞争性磋商采购，欢迎符合条件的供应商参加磋商。</w:t>
      </w:r>
    </w:p>
    <w:p w14:paraId="7B2E44FA">
      <w:pPr>
        <w:pBdr>
          <w:top w:val="single" w:color="000000" w:sz="4" w:space="1"/>
          <w:left w:val="single" w:color="000000" w:sz="4" w:space="4"/>
          <w:bottom w:val="single" w:color="000000" w:sz="4" w:space="1"/>
          <w:right w:val="single" w:color="000000" w:sz="4" w:space="4"/>
        </w:pBdr>
        <w:spacing w:line="560" w:lineRule="exact"/>
        <w:ind w:firstLine="480"/>
        <w:rPr>
          <w:rFonts w:ascii="宋体" w:hAnsi="宋体"/>
          <w:sz w:val="24"/>
          <w:szCs w:val="24"/>
          <w:highlight w:val="none"/>
        </w:rPr>
      </w:pPr>
      <w:r>
        <w:rPr>
          <w:rFonts w:hint="eastAsia" w:ascii="宋体" w:hAnsi="宋体"/>
          <w:sz w:val="24"/>
          <w:szCs w:val="24"/>
          <w:highlight w:val="none"/>
        </w:rPr>
        <w:t>项目概况</w:t>
      </w:r>
    </w:p>
    <w:p w14:paraId="1865F091">
      <w:pPr>
        <w:pBdr>
          <w:top w:val="single" w:color="000000" w:sz="4" w:space="1"/>
          <w:left w:val="single" w:color="000000" w:sz="4" w:space="4"/>
          <w:bottom w:val="single" w:color="000000" w:sz="4" w:space="1"/>
          <w:right w:val="single" w:color="000000" w:sz="4" w:space="4"/>
        </w:pBdr>
        <w:spacing w:line="560" w:lineRule="exact"/>
        <w:ind w:firstLine="480"/>
        <w:rPr>
          <w:rFonts w:ascii="宋体" w:hAnsi="宋体"/>
          <w:sz w:val="24"/>
          <w:szCs w:val="24"/>
          <w:highlight w:val="none"/>
        </w:rPr>
      </w:pPr>
      <w:r>
        <w:rPr>
          <w:rFonts w:hint="eastAsia" w:ascii="宋体" w:hAnsi="宋体"/>
          <w:sz w:val="24"/>
          <w:szCs w:val="24"/>
          <w:highlight w:val="none"/>
          <w:u w:val="single"/>
          <w:lang w:eastAsia="zh-CN"/>
        </w:rPr>
        <w:t>海安市人民医院多基因外送检测服务项目</w:t>
      </w:r>
      <w:r>
        <w:rPr>
          <w:rFonts w:hint="eastAsia" w:ascii="宋体" w:hAnsi="宋体"/>
          <w:sz w:val="24"/>
          <w:szCs w:val="24"/>
          <w:highlight w:val="none"/>
        </w:rPr>
        <w:t>竞争性磋商项目的潜在供应商</w:t>
      </w:r>
      <w:r>
        <w:rPr>
          <w:rFonts w:hint="eastAsia" w:ascii="宋体" w:hAnsi="宋体"/>
          <w:color w:val="000000"/>
          <w:sz w:val="24"/>
          <w:szCs w:val="24"/>
          <w:highlight w:val="none"/>
        </w:rPr>
        <w:t>应在网上注册登记成功后系统内免费下载</w:t>
      </w:r>
      <w:r>
        <w:rPr>
          <w:rFonts w:hint="eastAsia" w:ascii="宋体" w:hAnsi="宋体"/>
          <w:color w:val="000000"/>
          <w:sz w:val="24"/>
          <w:szCs w:val="24"/>
          <w:highlight w:val="none"/>
          <w:lang w:val="en-US" w:eastAsia="zh-CN"/>
        </w:rPr>
        <w:t>磋商</w:t>
      </w:r>
      <w:r>
        <w:rPr>
          <w:rFonts w:hint="eastAsia" w:ascii="宋体" w:hAnsi="宋体"/>
          <w:color w:val="000000"/>
          <w:sz w:val="24"/>
          <w:szCs w:val="24"/>
          <w:highlight w:val="none"/>
        </w:rPr>
        <w:t>文件</w:t>
      </w:r>
      <w:r>
        <w:rPr>
          <w:rFonts w:hint="eastAsia" w:ascii="宋体" w:hAnsi="宋体"/>
          <w:sz w:val="24"/>
          <w:szCs w:val="24"/>
          <w:highlight w:val="none"/>
        </w:rPr>
        <w:t>，并于</w:t>
      </w:r>
      <w:r>
        <w:rPr>
          <w:rFonts w:hint="eastAsia" w:ascii="宋体" w:hAnsi="宋体"/>
          <w:sz w:val="24"/>
          <w:szCs w:val="24"/>
          <w:highlight w:val="none"/>
          <w:u w:val="single"/>
        </w:rPr>
        <w:t>2026</w:t>
      </w:r>
      <w:r>
        <w:rPr>
          <w:rFonts w:hint="eastAsia" w:ascii="宋体" w:hAnsi="宋体"/>
          <w:bCs/>
          <w:sz w:val="24"/>
          <w:szCs w:val="24"/>
          <w:highlight w:val="none"/>
          <w:u w:val="single"/>
        </w:rPr>
        <w:t>年</w:t>
      </w:r>
      <w:r>
        <w:rPr>
          <w:rFonts w:hint="eastAsia" w:ascii="宋体" w:hAnsi="宋体"/>
          <w:bCs/>
          <w:sz w:val="24"/>
          <w:szCs w:val="24"/>
          <w:highlight w:val="none"/>
          <w:u w:val="single"/>
          <w:lang w:val="en-US" w:eastAsia="zh-CN"/>
        </w:rPr>
        <w:t>05</w:t>
      </w:r>
      <w:r>
        <w:rPr>
          <w:rFonts w:hint="eastAsia" w:ascii="宋体" w:hAnsi="宋体"/>
          <w:bCs/>
          <w:sz w:val="24"/>
          <w:szCs w:val="24"/>
          <w:highlight w:val="none"/>
          <w:u w:val="single"/>
        </w:rPr>
        <w:t>月</w:t>
      </w:r>
      <w:r>
        <w:rPr>
          <w:rFonts w:hint="eastAsia" w:ascii="宋体" w:hAnsi="宋体"/>
          <w:bCs/>
          <w:sz w:val="24"/>
          <w:szCs w:val="24"/>
          <w:highlight w:val="none"/>
          <w:u w:val="single"/>
          <w:lang w:val="en-US" w:eastAsia="zh-CN"/>
        </w:rPr>
        <w:t>22</w:t>
      </w:r>
      <w:r>
        <w:rPr>
          <w:rFonts w:hint="eastAsia" w:ascii="宋体" w:hAnsi="宋体"/>
          <w:bCs/>
          <w:sz w:val="24"/>
          <w:szCs w:val="24"/>
          <w:highlight w:val="none"/>
          <w:u w:val="single"/>
        </w:rPr>
        <w:t>日</w:t>
      </w:r>
      <w:r>
        <w:rPr>
          <w:rFonts w:hint="eastAsia" w:ascii="宋体" w:hAnsi="宋体"/>
          <w:bCs/>
          <w:sz w:val="24"/>
          <w:szCs w:val="24"/>
          <w:highlight w:val="none"/>
          <w:u w:val="single"/>
          <w:lang w:val="en-US" w:eastAsia="zh-CN"/>
        </w:rPr>
        <w:t>14</w:t>
      </w:r>
      <w:r>
        <w:rPr>
          <w:rFonts w:hint="eastAsia" w:ascii="宋体" w:hAnsi="宋体"/>
          <w:bCs/>
          <w:sz w:val="24"/>
          <w:szCs w:val="24"/>
          <w:highlight w:val="none"/>
          <w:u w:val="single"/>
        </w:rPr>
        <w:t>点</w:t>
      </w:r>
      <w:r>
        <w:rPr>
          <w:rFonts w:hint="eastAsia" w:ascii="宋体" w:hAnsi="宋体"/>
          <w:bCs/>
          <w:sz w:val="24"/>
          <w:szCs w:val="24"/>
          <w:highlight w:val="none"/>
          <w:u w:val="single"/>
          <w:lang w:val="en-US" w:eastAsia="zh-CN"/>
        </w:rPr>
        <w:t>00</w:t>
      </w:r>
      <w:r>
        <w:rPr>
          <w:rFonts w:hint="eastAsia" w:ascii="宋体" w:hAnsi="宋体"/>
          <w:bCs/>
          <w:sz w:val="24"/>
          <w:szCs w:val="24"/>
          <w:highlight w:val="none"/>
          <w:u w:val="single"/>
        </w:rPr>
        <w:t>分（</w:t>
      </w:r>
      <w:r>
        <w:rPr>
          <w:rFonts w:hint="eastAsia" w:ascii="宋体" w:hAnsi="宋体"/>
          <w:bCs/>
          <w:sz w:val="24"/>
          <w:szCs w:val="24"/>
          <w:highlight w:val="none"/>
        </w:rPr>
        <w:t>北京时间）前递交响应文件</w:t>
      </w:r>
      <w:r>
        <w:rPr>
          <w:rFonts w:hint="eastAsia" w:ascii="宋体" w:hAnsi="宋体"/>
          <w:sz w:val="24"/>
          <w:szCs w:val="24"/>
          <w:highlight w:val="none"/>
        </w:rPr>
        <w:t>。</w:t>
      </w:r>
    </w:p>
    <w:p w14:paraId="4524FF4B">
      <w:pPr>
        <w:keepNext/>
        <w:keepLines/>
        <w:spacing w:line="560" w:lineRule="exact"/>
        <w:ind w:firstLine="496"/>
        <w:outlineLvl w:val="2"/>
        <w:rPr>
          <w:b/>
          <w:bCs/>
          <w:sz w:val="32"/>
          <w:szCs w:val="32"/>
          <w:highlight w:val="none"/>
        </w:rPr>
      </w:pPr>
      <w:bookmarkStart w:id="6" w:name="_Toc35393621"/>
      <w:bookmarkStart w:id="7" w:name="_Toc35393790"/>
      <w:bookmarkStart w:id="8" w:name="_Toc38985263"/>
      <w:bookmarkStart w:id="9" w:name="_Toc28359079"/>
      <w:bookmarkStart w:id="10" w:name="_Toc28359002"/>
      <w:bookmarkStart w:id="11" w:name="_Hlk24379207"/>
      <w:r>
        <w:rPr>
          <w:rFonts w:hint="eastAsia"/>
          <w:b/>
          <w:bCs/>
          <w:sz w:val="32"/>
          <w:szCs w:val="32"/>
          <w:highlight w:val="none"/>
        </w:rPr>
        <w:t>一、项目基本情况</w:t>
      </w:r>
      <w:bookmarkEnd w:id="6"/>
      <w:bookmarkEnd w:id="7"/>
      <w:bookmarkEnd w:id="8"/>
      <w:bookmarkEnd w:id="9"/>
      <w:bookmarkEnd w:id="10"/>
    </w:p>
    <w:bookmarkEnd w:id="11"/>
    <w:p w14:paraId="5F50D02D">
      <w:pPr>
        <w:spacing w:line="560" w:lineRule="exact"/>
        <w:ind w:firstLine="480"/>
        <w:rPr>
          <w:rFonts w:ascii="宋体" w:hAnsi="宋体"/>
          <w:sz w:val="24"/>
          <w:szCs w:val="24"/>
          <w:highlight w:val="none"/>
        </w:rPr>
      </w:pPr>
      <w:r>
        <w:rPr>
          <w:rFonts w:hint="eastAsia" w:ascii="宋体" w:hAnsi="宋体"/>
          <w:sz w:val="24"/>
          <w:szCs w:val="24"/>
          <w:highlight w:val="none"/>
        </w:rPr>
        <w:t>1.项目编号：</w:t>
      </w:r>
      <w:r>
        <w:rPr>
          <w:rFonts w:hint="eastAsia" w:ascii="宋体" w:hAnsi="宋体"/>
          <w:sz w:val="24"/>
          <w:szCs w:val="24"/>
          <w:highlight w:val="none"/>
          <w:lang w:val="en-US" w:eastAsia="zh-CN"/>
        </w:rPr>
        <w:t>JSZC-320685-DCZX-C2026-0011</w:t>
      </w:r>
    </w:p>
    <w:p w14:paraId="6F6A1844">
      <w:pPr>
        <w:spacing w:line="56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rPr>
        <w:t>2.项目名称：</w:t>
      </w:r>
      <w:r>
        <w:rPr>
          <w:rFonts w:hint="eastAsia" w:ascii="宋体" w:hAnsi="宋体"/>
          <w:sz w:val="24"/>
          <w:szCs w:val="24"/>
          <w:highlight w:val="none"/>
          <w:lang w:eastAsia="zh-CN"/>
        </w:rPr>
        <w:t>海安市人民医院多基因外送检测服务项目</w:t>
      </w:r>
    </w:p>
    <w:p w14:paraId="6201E6F6">
      <w:pPr>
        <w:spacing w:line="560" w:lineRule="exact"/>
        <w:ind w:firstLine="480"/>
        <w:rPr>
          <w:rFonts w:hint="eastAsia" w:ascii="宋体" w:hAnsi="宋体"/>
          <w:sz w:val="24"/>
          <w:szCs w:val="24"/>
          <w:highlight w:val="none"/>
        </w:rPr>
      </w:pPr>
      <w:r>
        <w:rPr>
          <w:rFonts w:hint="eastAsia" w:ascii="宋体" w:hAnsi="宋体"/>
          <w:sz w:val="24"/>
          <w:szCs w:val="24"/>
          <w:highlight w:val="none"/>
        </w:rPr>
        <w:t>3.项目类型：服务</w:t>
      </w:r>
    </w:p>
    <w:p w14:paraId="624EF12E">
      <w:pPr>
        <w:spacing w:line="560" w:lineRule="exact"/>
        <w:ind w:firstLine="480"/>
        <w:rPr>
          <w:rFonts w:ascii="宋体" w:hAnsi="宋体"/>
          <w:sz w:val="24"/>
          <w:szCs w:val="24"/>
          <w:highlight w:val="none"/>
        </w:rPr>
      </w:pPr>
      <w:r>
        <w:rPr>
          <w:rFonts w:hint="eastAsia" w:ascii="宋体" w:hAnsi="宋体"/>
          <w:sz w:val="24"/>
          <w:szCs w:val="24"/>
          <w:highlight w:val="none"/>
        </w:rPr>
        <w:t>4.项目行业：其他未列明行业</w:t>
      </w:r>
    </w:p>
    <w:p w14:paraId="478C7CFC">
      <w:pPr>
        <w:spacing w:line="560" w:lineRule="exact"/>
        <w:ind w:firstLine="480"/>
        <w:rPr>
          <w:rFonts w:hint="eastAsia" w:ascii="宋体" w:hAnsi="宋体"/>
          <w:sz w:val="24"/>
          <w:szCs w:val="24"/>
          <w:highlight w:val="none"/>
          <w:lang w:val="en-US" w:eastAsia="zh-CN"/>
        </w:rPr>
      </w:pPr>
      <w:r>
        <w:rPr>
          <w:rFonts w:hint="eastAsia" w:ascii="宋体" w:hAnsi="宋体"/>
          <w:sz w:val="24"/>
          <w:szCs w:val="24"/>
          <w:highlight w:val="none"/>
        </w:rPr>
        <w:t>5.预算金额：</w:t>
      </w:r>
      <w:r>
        <w:rPr>
          <w:rFonts w:hint="eastAsia" w:ascii="宋体" w:hAnsi="宋体"/>
          <w:sz w:val="24"/>
          <w:szCs w:val="24"/>
          <w:highlight w:val="none"/>
          <w:lang w:val="en-US" w:eastAsia="zh-CN"/>
        </w:rPr>
        <w:t>300</w:t>
      </w:r>
      <w:r>
        <w:rPr>
          <w:rFonts w:hint="eastAsia" w:ascii="宋体" w:hAnsi="宋体"/>
          <w:sz w:val="24"/>
          <w:szCs w:val="24"/>
          <w:highlight w:val="none"/>
        </w:rPr>
        <w:t>万元</w:t>
      </w:r>
      <w:r>
        <w:rPr>
          <w:rFonts w:hint="eastAsia" w:ascii="宋体" w:hAnsi="宋体"/>
          <w:sz w:val="24"/>
          <w:szCs w:val="24"/>
          <w:highlight w:val="none"/>
          <w:lang w:val="en-US" w:eastAsia="zh-CN"/>
        </w:rPr>
        <w:t>/年</w:t>
      </w:r>
    </w:p>
    <w:p w14:paraId="7DC1A535">
      <w:pPr>
        <w:spacing w:line="560" w:lineRule="exact"/>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6.最高限价：单价限价详见本采购文件附件，请仔细研究。</w:t>
      </w:r>
    </w:p>
    <w:p w14:paraId="3AA1EF41">
      <w:pPr>
        <w:spacing w:line="560" w:lineRule="exact"/>
        <w:ind w:firstLine="480"/>
        <w:rPr>
          <w:rFonts w:hint="eastAsia" w:ascii="宋体" w:hAnsi="宋体"/>
          <w:sz w:val="24"/>
          <w:szCs w:val="24"/>
          <w:highlight w:val="none"/>
          <w:lang w:val="en-US" w:eastAsia="zh-CN"/>
        </w:rPr>
      </w:pPr>
      <w:r>
        <w:rPr>
          <w:rFonts w:hint="eastAsia" w:ascii="宋体" w:hAnsi="宋体"/>
          <w:sz w:val="24"/>
          <w:szCs w:val="24"/>
          <w:highlight w:val="none"/>
          <w:lang w:val="en-US" w:eastAsia="zh-CN"/>
        </w:rPr>
        <w:t>7.报价方式：本项目采用</w:t>
      </w:r>
      <w:r>
        <w:rPr>
          <w:rFonts w:hint="eastAsia" w:ascii="宋体" w:hAnsi="宋体"/>
          <w:color w:val="FF0000"/>
          <w:sz w:val="24"/>
          <w:szCs w:val="24"/>
          <w:highlight w:val="none"/>
          <w:lang w:val="en-US" w:eastAsia="zh-CN"/>
        </w:rPr>
        <w:t>优惠率</w:t>
      </w:r>
      <w:r>
        <w:rPr>
          <w:rFonts w:hint="eastAsia" w:ascii="宋体" w:hAnsi="宋体"/>
          <w:sz w:val="24"/>
          <w:szCs w:val="24"/>
          <w:highlight w:val="none"/>
          <w:lang w:val="en-US" w:eastAsia="zh-CN"/>
        </w:rPr>
        <w:t>方式报价。本项目使用不见面开标系统，系统默认优惠率报价方法，供应商须在系统中按优惠率进行报价。优惠率定义：指响应供应商在采购人公布的</w:t>
      </w:r>
      <w:r>
        <w:rPr>
          <w:rFonts w:hint="eastAsia" w:ascii="宋体" w:hAnsi="宋体" w:cs="宋体"/>
          <w:bCs/>
          <w:sz w:val="24"/>
          <w:szCs w:val="24"/>
          <w:highlight w:val="none"/>
        </w:rPr>
        <w:t>江苏省</w:t>
      </w:r>
      <w:r>
        <w:rPr>
          <w:rFonts w:hint="eastAsia" w:ascii="宋体" w:hAnsi="宋体" w:cs="宋体"/>
          <w:bCs/>
          <w:sz w:val="24"/>
          <w:szCs w:val="24"/>
          <w:highlight w:val="none"/>
          <w:lang w:val="en-US" w:eastAsia="zh-CN"/>
        </w:rPr>
        <w:t>检测项目</w:t>
      </w:r>
      <w:r>
        <w:rPr>
          <w:rFonts w:hint="eastAsia" w:ascii="宋体" w:hAnsi="宋体" w:cs="宋体"/>
          <w:bCs/>
          <w:sz w:val="24"/>
          <w:szCs w:val="24"/>
          <w:highlight w:val="none"/>
        </w:rPr>
        <w:t>收费标准</w:t>
      </w:r>
      <w:r>
        <w:rPr>
          <w:rFonts w:hint="eastAsia" w:ascii="宋体" w:hAnsi="宋体"/>
          <w:sz w:val="24"/>
          <w:szCs w:val="24"/>
          <w:highlight w:val="none"/>
          <w:lang w:val="en-US" w:eastAsia="zh-CN"/>
        </w:rPr>
        <w:t xml:space="preserve">（单价最高限价）基础上给予的价格下浮比例。结算规则：结算单价 = </w:t>
      </w:r>
      <w:r>
        <w:rPr>
          <w:rFonts w:hint="eastAsia" w:ascii="宋体" w:hAnsi="宋体" w:cs="宋体"/>
          <w:bCs/>
          <w:sz w:val="24"/>
          <w:szCs w:val="24"/>
          <w:highlight w:val="none"/>
        </w:rPr>
        <w:t>收费标准</w:t>
      </w:r>
      <w:r>
        <w:rPr>
          <w:rFonts w:hint="eastAsia" w:ascii="宋体" w:hAnsi="宋体"/>
          <w:sz w:val="24"/>
          <w:szCs w:val="24"/>
          <w:highlight w:val="none"/>
          <w:lang w:val="en-US" w:eastAsia="zh-CN"/>
        </w:rPr>
        <w:t>×（1 − 优惠率），优惠率数值越高，代表价格下浮幅度越大、报价越优惠。</w:t>
      </w:r>
    </w:p>
    <w:p w14:paraId="57A9F20B">
      <w:pPr>
        <w:spacing w:line="560" w:lineRule="exact"/>
        <w:ind w:firstLine="480"/>
        <w:rPr>
          <w:rFonts w:hint="eastAsia" w:ascii="宋体" w:hAnsi="宋体" w:eastAsia="宋体" w:cs="Times New Roman"/>
          <w:sz w:val="24"/>
          <w:szCs w:val="24"/>
          <w:highlight w:val="none"/>
          <w:lang w:val="en-US" w:eastAsia="zh-CN"/>
        </w:rPr>
      </w:pPr>
      <w:r>
        <w:rPr>
          <w:rFonts w:hint="eastAsia" w:ascii="宋体" w:hAnsi="宋体" w:eastAsia="宋体" w:cs="Times New Roman"/>
          <w:color w:val="FF0000"/>
          <w:sz w:val="24"/>
          <w:szCs w:val="24"/>
          <w:highlight w:val="none"/>
          <w:lang w:val="en-US" w:eastAsia="zh-CN"/>
        </w:rPr>
        <w:t>报价优惠率需保留小数点后两位</w:t>
      </w:r>
      <w:r>
        <w:rPr>
          <w:rFonts w:hint="eastAsia" w:ascii="宋体" w:hAnsi="宋体" w:eastAsia="宋体" w:cs="Times New Roman"/>
          <w:sz w:val="24"/>
          <w:szCs w:val="24"/>
          <w:highlight w:val="none"/>
          <w:lang w:val="en-US" w:eastAsia="zh-CN"/>
        </w:rPr>
        <w:t>，报价未按要求保留小数点后两位的，均视为无效报价。</w:t>
      </w:r>
    </w:p>
    <w:p w14:paraId="4ACD5F62">
      <w:pPr>
        <w:spacing w:line="560" w:lineRule="exact"/>
        <w:ind w:firstLine="480"/>
        <w:rPr>
          <w:rFonts w:ascii="宋体" w:hAnsi="宋体" w:cs="宋体"/>
          <w:sz w:val="24"/>
          <w:szCs w:val="24"/>
          <w:highlight w:val="none"/>
        </w:rPr>
      </w:pPr>
      <w:r>
        <w:rPr>
          <w:rFonts w:hint="eastAsia" w:ascii="宋体" w:hAnsi="宋体"/>
          <w:sz w:val="24"/>
          <w:szCs w:val="24"/>
          <w:highlight w:val="none"/>
          <w:lang w:val="en-US" w:eastAsia="zh-CN"/>
        </w:rPr>
        <w:t>8</w:t>
      </w:r>
      <w:r>
        <w:rPr>
          <w:rFonts w:hint="eastAsia" w:ascii="宋体" w:hAnsi="宋体"/>
          <w:sz w:val="24"/>
          <w:szCs w:val="24"/>
          <w:highlight w:val="none"/>
        </w:rPr>
        <w:t>.采购需求：</w:t>
      </w:r>
      <w:r>
        <w:rPr>
          <w:rFonts w:hint="eastAsia" w:ascii="宋体" w:hAnsi="宋体" w:cs="宋体"/>
          <w:sz w:val="24"/>
          <w:szCs w:val="24"/>
          <w:highlight w:val="none"/>
        </w:rPr>
        <w:t>详细内容见本采购文件第三章，</w:t>
      </w:r>
      <w:r>
        <w:rPr>
          <w:rFonts w:ascii="宋体" w:hAnsi="宋体" w:cs="宋体"/>
          <w:sz w:val="24"/>
          <w:szCs w:val="24"/>
          <w:highlight w:val="none"/>
        </w:rPr>
        <w:t>请仔细研究。</w:t>
      </w:r>
    </w:p>
    <w:p w14:paraId="592C05EA">
      <w:pPr>
        <w:spacing w:line="560" w:lineRule="exact"/>
        <w:ind w:firstLine="480"/>
        <w:rPr>
          <w:rFonts w:hint="eastAsia" w:ascii="宋体" w:hAnsi="宋体" w:eastAsia="宋体"/>
          <w:sz w:val="24"/>
          <w:szCs w:val="24"/>
          <w:highlight w:val="none"/>
          <w:u w:val="single"/>
          <w:lang w:eastAsia="zh-CN"/>
        </w:rPr>
      </w:pPr>
      <w:r>
        <w:rPr>
          <w:rFonts w:hint="eastAsia" w:ascii="宋体" w:hAnsi="宋体"/>
          <w:sz w:val="24"/>
          <w:szCs w:val="24"/>
          <w:highlight w:val="none"/>
          <w:lang w:val="en-US" w:eastAsia="zh-CN"/>
        </w:rPr>
        <w:t>10</w:t>
      </w:r>
      <w:r>
        <w:rPr>
          <w:rFonts w:hint="eastAsia" w:ascii="宋体" w:hAnsi="宋体"/>
          <w:sz w:val="24"/>
          <w:szCs w:val="24"/>
          <w:highlight w:val="none"/>
        </w:rPr>
        <w:t>.合同履行期限：</w:t>
      </w:r>
      <w:r>
        <w:rPr>
          <w:rFonts w:hint="eastAsia" w:ascii="宋体" w:hAnsi="宋体"/>
          <w:sz w:val="24"/>
          <w:szCs w:val="24"/>
          <w:highlight w:val="none"/>
          <w:lang w:val="en-US" w:eastAsia="zh-CN"/>
        </w:rPr>
        <w:t>合同签订之日起两</w:t>
      </w:r>
      <w:r>
        <w:rPr>
          <w:rFonts w:hint="eastAsia" w:ascii="宋体" w:hAnsi="宋体"/>
          <w:sz w:val="24"/>
          <w:szCs w:val="24"/>
          <w:highlight w:val="none"/>
        </w:rPr>
        <w:t>年</w:t>
      </w:r>
      <w:r>
        <w:rPr>
          <w:rFonts w:hint="eastAsia" w:ascii="宋体" w:hAnsi="宋体"/>
          <w:sz w:val="24"/>
          <w:szCs w:val="24"/>
          <w:highlight w:val="none"/>
          <w:lang w:eastAsia="zh-CN"/>
        </w:rPr>
        <w:t>。</w:t>
      </w:r>
    </w:p>
    <w:p w14:paraId="583EBDA3">
      <w:pPr>
        <w:keepNext/>
        <w:keepLines/>
        <w:spacing w:line="560" w:lineRule="exact"/>
        <w:ind w:firstLine="496"/>
        <w:outlineLvl w:val="2"/>
        <w:rPr>
          <w:rFonts w:hint="eastAsia" w:eastAsia="宋体"/>
          <w:b/>
          <w:bCs/>
          <w:sz w:val="32"/>
          <w:szCs w:val="32"/>
          <w:highlight w:val="none"/>
          <w:lang w:eastAsia="zh-CN"/>
        </w:rPr>
      </w:pPr>
      <w:bookmarkStart w:id="12" w:name="_Toc28359003"/>
      <w:bookmarkStart w:id="13" w:name="_Toc35393622"/>
      <w:bookmarkStart w:id="14" w:name="_Toc35393791"/>
      <w:bookmarkStart w:id="15" w:name="_Toc28359080"/>
      <w:bookmarkStart w:id="16" w:name="_Toc38985264"/>
      <w:r>
        <w:rPr>
          <w:rFonts w:hint="eastAsia"/>
          <w:b/>
          <w:bCs/>
          <w:sz w:val="32"/>
          <w:szCs w:val="32"/>
          <w:highlight w:val="none"/>
        </w:rPr>
        <w:t>二、申请人的资格要求：</w:t>
      </w:r>
      <w:bookmarkEnd w:id="12"/>
      <w:bookmarkEnd w:id="13"/>
      <w:bookmarkEnd w:id="14"/>
      <w:bookmarkEnd w:id="15"/>
      <w:bookmarkEnd w:id="16"/>
    </w:p>
    <w:p w14:paraId="73110CBE">
      <w:pPr>
        <w:spacing w:line="560" w:lineRule="exact"/>
        <w:ind w:firstLine="480"/>
        <w:rPr>
          <w:rFonts w:hint="eastAsia" w:ascii="宋体" w:hAnsi="宋体"/>
          <w:b/>
          <w:bCs/>
          <w:sz w:val="24"/>
          <w:szCs w:val="24"/>
          <w:highlight w:val="none"/>
        </w:rPr>
      </w:pPr>
      <w:bookmarkStart w:id="17" w:name="_Toc35393792"/>
      <w:bookmarkStart w:id="18" w:name="_Toc28359004"/>
      <w:bookmarkStart w:id="19" w:name="_Toc28359081"/>
      <w:bookmarkStart w:id="20" w:name="_Toc35393623"/>
      <w:bookmarkStart w:id="21" w:name="_Toc38985265"/>
      <w:r>
        <w:rPr>
          <w:rFonts w:hint="eastAsia" w:ascii="宋体" w:hAnsi="宋体"/>
          <w:b/>
          <w:bCs/>
          <w:sz w:val="24"/>
          <w:szCs w:val="24"/>
          <w:highlight w:val="none"/>
        </w:rPr>
        <w:t>（一</w:t>
      </w:r>
      <w:r>
        <w:rPr>
          <w:rFonts w:ascii="宋体" w:hAnsi="宋体"/>
          <w:b/>
          <w:bCs/>
          <w:sz w:val="24"/>
          <w:szCs w:val="24"/>
          <w:highlight w:val="none"/>
        </w:rPr>
        <w:t>）</w:t>
      </w:r>
      <w:r>
        <w:rPr>
          <w:rFonts w:hint="eastAsia" w:ascii="宋体" w:hAnsi="宋体"/>
          <w:b/>
          <w:bCs/>
          <w:sz w:val="24"/>
          <w:szCs w:val="24"/>
          <w:highlight w:val="none"/>
        </w:rPr>
        <w:t>通用</w:t>
      </w:r>
      <w:r>
        <w:rPr>
          <w:rFonts w:ascii="宋体" w:hAnsi="宋体"/>
          <w:b/>
          <w:bCs/>
          <w:sz w:val="24"/>
          <w:szCs w:val="24"/>
          <w:highlight w:val="none"/>
        </w:rPr>
        <w:t>资格要求</w:t>
      </w:r>
    </w:p>
    <w:p w14:paraId="3851CEE0">
      <w:pPr>
        <w:spacing w:line="560" w:lineRule="exact"/>
        <w:ind w:firstLine="480"/>
        <w:rPr>
          <w:rFonts w:ascii="宋体" w:hAnsi="宋体"/>
          <w:sz w:val="24"/>
          <w:szCs w:val="24"/>
          <w:highlight w:val="none"/>
        </w:rPr>
      </w:pPr>
      <w:r>
        <w:rPr>
          <w:rFonts w:hint="eastAsia" w:ascii="宋体" w:hAnsi="宋体"/>
          <w:sz w:val="24"/>
          <w:szCs w:val="24"/>
          <w:highlight w:val="none"/>
        </w:rPr>
        <w:t>1.满足《中华人民共和国政府采购法》第二十二条规定。（按附件1格式进行声明，响应文件中无需提供其他证明材料）</w:t>
      </w:r>
    </w:p>
    <w:p w14:paraId="6A508D90">
      <w:pPr>
        <w:spacing w:line="560" w:lineRule="exact"/>
        <w:ind w:firstLine="480"/>
        <w:rPr>
          <w:rFonts w:hint="eastAsia" w:ascii="华文新魏" w:hAnsi="宋体" w:eastAsia="华文新魏"/>
          <w:sz w:val="36"/>
          <w:szCs w:val="36"/>
          <w:highlight w:val="none"/>
        </w:rPr>
      </w:pPr>
      <w:r>
        <w:rPr>
          <w:rFonts w:hint="eastAsia" w:ascii="宋体" w:hAnsi="宋体"/>
          <w:sz w:val="24"/>
          <w:szCs w:val="24"/>
          <w:highlight w:val="none"/>
        </w:rPr>
        <w:t>2.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响应文件中无需提供其他证明材料）</w:t>
      </w:r>
    </w:p>
    <w:p w14:paraId="2F39FDC5">
      <w:pPr>
        <w:spacing w:line="560" w:lineRule="exact"/>
        <w:ind w:firstLine="480"/>
        <w:rPr>
          <w:rFonts w:ascii="宋体" w:hAnsi="宋体" w:cs="宋体"/>
          <w:sz w:val="24"/>
          <w:szCs w:val="24"/>
          <w:highlight w:val="none"/>
        </w:rPr>
      </w:pPr>
      <w:r>
        <w:rPr>
          <w:rFonts w:hint="eastAsia" w:ascii="宋体" w:hAnsi="宋体"/>
          <w:sz w:val="24"/>
          <w:szCs w:val="24"/>
          <w:highlight w:val="none"/>
        </w:rPr>
        <w:t>3.落实政府采购政策需满足的资格要求：本项目为专门面向中小微企业（须按照财库〔2020〕46号文要求提供中小企业声明函。格式见附件</w:t>
      </w:r>
      <w:r>
        <w:rPr>
          <w:rFonts w:hint="eastAsia" w:ascii="宋体" w:hAnsi="宋体"/>
          <w:sz w:val="24"/>
          <w:szCs w:val="24"/>
          <w:highlight w:val="none"/>
          <w:lang w:val="en-US" w:eastAsia="zh-CN"/>
        </w:rPr>
        <w:t>8</w:t>
      </w:r>
      <w:r>
        <w:rPr>
          <w:rFonts w:hint="eastAsia" w:ascii="宋体" w:hAnsi="宋体"/>
          <w:sz w:val="24"/>
          <w:szCs w:val="24"/>
          <w:highlight w:val="none"/>
        </w:rPr>
        <w:t>）</w:t>
      </w:r>
    </w:p>
    <w:p w14:paraId="271E7AF5">
      <w:pPr>
        <w:spacing w:line="560" w:lineRule="exact"/>
        <w:ind w:firstLine="480"/>
        <w:rPr>
          <w:rFonts w:hint="eastAsia" w:ascii="宋体" w:hAnsi="宋体"/>
          <w:sz w:val="24"/>
          <w:szCs w:val="24"/>
          <w:highlight w:val="none"/>
        </w:rPr>
      </w:pPr>
      <w:r>
        <w:rPr>
          <w:rFonts w:hint="eastAsia" w:ascii="宋体" w:hAnsi="宋体"/>
          <w:sz w:val="24"/>
          <w:szCs w:val="24"/>
          <w:highlight w:val="none"/>
        </w:rPr>
        <w:t>4.本项目不接受联合体投标。</w:t>
      </w:r>
    </w:p>
    <w:p w14:paraId="3312209F">
      <w:pPr>
        <w:spacing w:line="560" w:lineRule="exact"/>
        <w:ind w:firstLine="480"/>
        <w:rPr>
          <w:rFonts w:hint="eastAsia" w:ascii="宋体" w:hAnsi="宋体" w:cs="宋体"/>
          <w:sz w:val="24"/>
          <w:szCs w:val="24"/>
          <w:highlight w:val="none"/>
        </w:rPr>
      </w:pPr>
      <w:r>
        <w:rPr>
          <w:rFonts w:hint="eastAsia" w:ascii="宋体" w:hAnsi="宋体"/>
          <w:sz w:val="24"/>
          <w:szCs w:val="24"/>
          <w:highlight w:val="none"/>
        </w:rPr>
        <w:t>5.本项目不接受进口产品投标</w:t>
      </w:r>
      <w:r>
        <w:rPr>
          <w:rFonts w:hint="eastAsia" w:ascii="宋体" w:hAnsi="宋体" w:cs="宋体"/>
          <w:sz w:val="24"/>
          <w:szCs w:val="24"/>
          <w:highlight w:val="none"/>
        </w:rPr>
        <w:t>。</w:t>
      </w:r>
    </w:p>
    <w:p w14:paraId="5F12B45B">
      <w:pPr>
        <w:spacing w:line="560" w:lineRule="exact"/>
        <w:ind w:firstLine="480"/>
        <w:rPr>
          <w:rFonts w:hint="eastAsia" w:ascii="宋体" w:hAnsi="宋体"/>
          <w:sz w:val="24"/>
          <w:szCs w:val="24"/>
          <w:highlight w:val="none"/>
        </w:rPr>
      </w:pPr>
      <w:r>
        <w:rPr>
          <w:rFonts w:hint="eastAsia" w:ascii="宋体" w:hAnsi="宋体" w:cs="宋体"/>
          <w:sz w:val="24"/>
          <w:szCs w:val="24"/>
          <w:highlight w:val="none"/>
        </w:rPr>
        <w:t>6.本项目</w:t>
      </w:r>
      <w:r>
        <w:rPr>
          <w:rFonts w:hint="eastAsia" w:ascii="宋体" w:hAnsi="宋体"/>
          <w:sz w:val="24"/>
          <w:szCs w:val="24"/>
          <w:highlight w:val="none"/>
        </w:rPr>
        <w:t>不接受分包。</w:t>
      </w:r>
    </w:p>
    <w:p w14:paraId="7038EF7C">
      <w:pPr>
        <w:spacing w:line="560" w:lineRule="exact"/>
        <w:ind w:firstLine="240"/>
        <w:rPr>
          <w:rFonts w:hint="eastAsia" w:ascii="宋体" w:hAnsi="宋体"/>
          <w:b/>
          <w:bCs/>
          <w:sz w:val="24"/>
          <w:szCs w:val="24"/>
          <w:highlight w:val="none"/>
          <w:lang w:val="en-US" w:eastAsia="zh-CN"/>
        </w:rPr>
      </w:pPr>
      <w:r>
        <w:rPr>
          <w:rFonts w:hint="eastAsia" w:ascii="宋体" w:hAnsi="宋体"/>
          <w:b/>
          <w:bCs/>
          <w:sz w:val="24"/>
          <w:szCs w:val="24"/>
          <w:highlight w:val="none"/>
          <w:lang w:eastAsia="zh-CN"/>
        </w:rPr>
        <w:t>（</w:t>
      </w:r>
      <w:r>
        <w:rPr>
          <w:rFonts w:hint="eastAsia" w:ascii="宋体" w:hAnsi="宋体"/>
          <w:b/>
          <w:bCs/>
          <w:sz w:val="24"/>
          <w:szCs w:val="24"/>
          <w:highlight w:val="none"/>
          <w:lang w:val="en-US" w:eastAsia="zh-CN"/>
        </w:rPr>
        <w:t>二</w:t>
      </w:r>
      <w:r>
        <w:rPr>
          <w:rFonts w:hint="eastAsia" w:ascii="宋体" w:hAnsi="宋体"/>
          <w:b/>
          <w:bCs/>
          <w:sz w:val="24"/>
          <w:szCs w:val="24"/>
          <w:highlight w:val="none"/>
          <w:lang w:eastAsia="zh-CN"/>
        </w:rPr>
        <w:t>）：</w:t>
      </w:r>
      <w:r>
        <w:rPr>
          <w:rFonts w:hint="eastAsia" w:ascii="宋体" w:hAnsi="宋体"/>
          <w:b/>
          <w:bCs/>
          <w:sz w:val="24"/>
          <w:szCs w:val="24"/>
          <w:highlight w:val="none"/>
          <w:lang w:val="en-US" w:eastAsia="zh-CN"/>
        </w:rPr>
        <w:t>本项目的特定资格要求</w:t>
      </w:r>
    </w:p>
    <w:p w14:paraId="18DEEF34">
      <w:pPr>
        <w:spacing w:line="560" w:lineRule="exact"/>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1.响应供应商</w:t>
      </w:r>
      <w:r>
        <w:rPr>
          <w:rFonts w:hint="eastAsia" w:ascii="宋体" w:hAnsi="宋体" w:eastAsia="宋体" w:cs="Times New Roman"/>
          <w:sz w:val="24"/>
          <w:szCs w:val="24"/>
          <w:highlight w:val="none"/>
        </w:rPr>
        <w:t>应具备《医疗机构执业许可证》，诊疗科目须包含临床细胞分子遗传学专业。</w:t>
      </w:r>
    </w:p>
    <w:p w14:paraId="6F3253DC">
      <w:pPr>
        <w:spacing w:line="560" w:lineRule="exact"/>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2.响应供应商</w:t>
      </w:r>
      <w:r>
        <w:rPr>
          <w:rFonts w:hint="eastAsia" w:ascii="宋体" w:hAnsi="宋体" w:eastAsia="宋体" w:cs="Times New Roman"/>
          <w:sz w:val="24"/>
          <w:szCs w:val="24"/>
          <w:highlight w:val="none"/>
        </w:rPr>
        <w:t>应具有省级及以上临床检验中心颁发的临床基因扩增（NGS）检验技术验收合格证书 / 资质认定证书。</w:t>
      </w:r>
    </w:p>
    <w:p w14:paraId="5402459F">
      <w:pPr>
        <w:spacing w:line="560" w:lineRule="exact"/>
        <w:ind w:firstLine="48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3.响应供应商</w:t>
      </w:r>
      <w:r>
        <w:rPr>
          <w:rFonts w:hint="eastAsia" w:ascii="宋体" w:hAnsi="宋体" w:eastAsia="宋体" w:cs="Times New Roman"/>
          <w:sz w:val="24"/>
          <w:szCs w:val="24"/>
          <w:highlight w:val="none"/>
        </w:rPr>
        <w:t>具备市级卫生健康委员会颁发的《BSL-2生物安全实验室备案证书》。</w:t>
      </w:r>
    </w:p>
    <w:p w14:paraId="2DB1083F">
      <w:pPr>
        <w:spacing w:line="56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（三）其他要求：</w:t>
      </w:r>
    </w:p>
    <w:p w14:paraId="5F88B007">
      <w:pPr>
        <w:spacing w:line="560" w:lineRule="exact"/>
        <w:ind w:firstLine="48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w:t>
      </w:r>
      <w:r>
        <w:rPr>
          <w:rFonts w:ascii="宋体" w:hAnsi="宋体" w:eastAsia="宋体" w:cs="Times New Roman"/>
          <w:sz w:val="24"/>
          <w:szCs w:val="24"/>
          <w:highlight w:val="none"/>
          <w:lang w:val="en-US" w:eastAsia="zh-CN"/>
        </w:rPr>
        <w:t>.为保障国家生物样本信息安全，杜绝安全隐患，响应供应商限定为非外资独资或非外资控股企业，且未在国外上市(包括国外上市公司直接或间接以股权、可变利益实体以及其他方式控制的国内公司)。(提供书面承诺，格式自拟)</w:t>
      </w:r>
    </w:p>
    <w:p w14:paraId="3CAFC1C4">
      <w:pPr>
        <w:spacing w:line="560" w:lineRule="exact"/>
        <w:ind w:firstLine="480"/>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2</w:t>
      </w:r>
      <w:r>
        <w:rPr>
          <w:rFonts w:ascii="宋体" w:hAnsi="宋体" w:eastAsia="宋体" w:cs="Times New Roman"/>
          <w:sz w:val="24"/>
          <w:szCs w:val="24"/>
          <w:highlight w:val="none"/>
          <w:lang w:val="en-US" w:eastAsia="zh-CN"/>
        </w:rPr>
        <w:t>.</w:t>
      </w:r>
      <w:r>
        <w:rPr>
          <w:rFonts w:hint="eastAsia" w:ascii="宋体" w:hAnsi="宋体" w:eastAsia="宋体" w:cs="Times New Roman"/>
          <w:sz w:val="24"/>
          <w:szCs w:val="24"/>
          <w:highlight w:val="none"/>
          <w:lang w:val="en-US" w:eastAsia="zh-CN"/>
        </w:rPr>
        <w:t>响应供应商</w:t>
      </w:r>
      <w:r>
        <w:rPr>
          <w:rFonts w:ascii="宋体" w:hAnsi="宋体" w:eastAsia="宋体" w:cs="Times New Roman"/>
          <w:sz w:val="24"/>
          <w:szCs w:val="24"/>
          <w:highlight w:val="none"/>
          <w:lang w:val="en-US" w:eastAsia="zh-CN"/>
        </w:rPr>
        <w:t>在投标时须明确为本项目提供服务的具体实验室名称及地址，在服务期内不得采用任何形式进行转包(含集团公司内的其他实验室).(提供书面承诺，格式自拟)。</w:t>
      </w:r>
    </w:p>
    <w:p w14:paraId="69A6E977">
      <w:pPr>
        <w:spacing w:line="560" w:lineRule="exact"/>
        <w:rPr>
          <w:rFonts w:ascii="宋体" w:hAnsi="宋体" w:eastAsia="宋体" w:cs="Times New Roman"/>
          <w:sz w:val="24"/>
          <w:szCs w:val="24"/>
          <w:highlight w:val="none"/>
          <w:lang w:val="en-US" w:eastAsia="zh-CN"/>
        </w:rPr>
      </w:pPr>
    </w:p>
    <w:p w14:paraId="212E1D47">
      <w:pPr>
        <w:keepNext/>
        <w:keepLines/>
        <w:spacing w:line="560" w:lineRule="exact"/>
        <w:ind w:firstLine="496"/>
        <w:outlineLvl w:val="2"/>
        <w:rPr>
          <w:b/>
          <w:bCs/>
          <w:sz w:val="32"/>
          <w:szCs w:val="32"/>
          <w:highlight w:val="none"/>
        </w:rPr>
      </w:pPr>
      <w:r>
        <w:rPr>
          <w:rFonts w:hint="eastAsia"/>
          <w:b/>
          <w:bCs/>
          <w:sz w:val="32"/>
          <w:szCs w:val="32"/>
          <w:highlight w:val="none"/>
        </w:rPr>
        <w:t>三、获取</w:t>
      </w:r>
      <w:bookmarkEnd w:id="17"/>
      <w:bookmarkEnd w:id="18"/>
      <w:bookmarkEnd w:id="19"/>
      <w:bookmarkEnd w:id="20"/>
      <w:bookmarkEnd w:id="21"/>
      <w:r>
        <w:rPr>
          <w:rFonts w:hint="eastAsia"/>
          <w:b/>
          <w:bCs/>
          <w:sz w:val="32"/>
          <w:szCs w:val="32"/>
          <w:highlight w:val="none"/>
        </w:rPr>
        <w:t>磋商文件</w:t>
      </w:r>
    </w:p>
    <w:p w14:paraId="3F867840">
      <w:pPr>
        <w:spacing w:line="560" w:lineRule="exact"/>
        <w:ind w:firstLine="540"/>
        <w:rPr>
          <w:rFonts w:ascii="宋体" w:hAnsi="宋体" w:cs="宋体"/>
          <w:b/>
          <w:sz w:val="24"/>
          <w:szCs w:val="24"/>
          <w:highlight w:val="none"/>
        </w:rPr>
      </w:pPr>
      <w:bookmarkStart w:id="22" w:name="_Toc28359005"/>
      <w:bookmarkStart w:id="23" w:name="_Toc28359082"/>
      <w:bookmarkStart w:id="24" w:name="_Toc38985266"/>
      <w:bookmarkStart w:id="25" w:name="_Toc35393793"/>
      <w:bookmarkStart w:id="26" w:name="_Toc35393624"/>
      <w:r>
        <w:rPr>
          <w:rFonts w:hint="eastAsia" w:ascii="宋体" w:hAnsi="宋体" w:cs="宋体"/>
          <w:sz w:val="24"/>
          <w:szCs w:val="24"/>
          <w:highlight w:val="none"/>
        </w:rPr>
        <w:t>1.时间：2026年</w:t>
      </w:r>
      <w:r>
        <w:rPr>
          <w:rFonts w:hint="eastAsia" w:ascii="宋体" w:hAnsi="宋体" w:cs="宋体"/>
          <w:sz w:val="24"/>
          <w:szCs w:val="24"/>
          <w:highlight w:val="none"/>
          <w:lang w:val="en-US" w:eastAsia="zh-CN"/>
        </w:rPr>
        <w:t>05</w:t>
      </w:r>
      <w:r>
        <w:rPr>
          <w:rFonts w:hint="eastAsia" w:ascii="宋体" w:hAnsi="宋体" w:cs="宋体"/>
          <w:sz w:val="24"/>
          <w:szCs w:val="24"/>
          <w:highlight w:val="none"/>
        </w:rPr>
        <w:t>月</w:t>
      </w:r>
      <w:r>
        <w:rPr>
          <w:rFonts w:hint="eastAsia" w:ascii="宋体" w:hAnsi="宋体" w:cs="宋体"/>
          <w:sz w:val="24"/>
          <w:szCs w:val="24"/>
          <w:highlight w:val="none"/>
          <w:lang w:val="en-US" w:eastAsia="zh-CN"/>
        </w:rPr>
        <w:t>09</w:t>
      </w:r>
      <w:r>
        <w:rPr>
          <w:rFonts w:hint="eastAsia" w:ascii="宋体" w:hAnsi="宋体" w:cs="宋体"/>
          <w:sz w:val="24"/>
          <w:szCs w:val="24"/>
          <w:highlight w:val="none"/>
        </w:rPr>
        <w:t>日至2026年</w:t>
      </w:r>
      <w:r>
        <w:rPr>
          <w:rFonts w:hint="eastAsia" w:ascii="宋体" w:hAnsi="宋体" w:cs="宋体"/>
          <w:sz w:val="24"/>
          <w:szCs w:val="24"/>
          <w:highlight w:val="none"/>
          <w:lang w:val="en-US" w:eastAsia="zh-CN"/>
        </w:rPr>
        <w:t>05</w:t>
      </w:r>
      <w:r>
        <w:rPr>
          <w:rFonts w:hint="eastAsia" w:ascii="宋体" w:hAnsi="宋体" w:cs="宋体"/>
          <w:sz w:val="24"/>
          <w:szCs w:val="24"/>
          <w:highlight w:val="none"/>
        </w:rPr>
        <w:t>月</w:t>
      </w:r>
      <w:r>
        <w:rPr>
          <w:rFonts w:hint="eastAsia" w:ascii="宋体" w:hAnsi="宋体" w:cs="宋体"/>
          <w:sz w:val="24"/>
          <w:szCs w:val="24"/>
          <w:highlight w:val="none"/>
          <w:lang w:val="en-US" w:eastAsia="zh-CN"/>
        </w:rPr>
        <w:t>22</w:t>
      </w:r>
      <w:r>
        <w:rPr>
          <w:rFonts w:hint="eastAsia" w:ascii="宋体" w:hAnsi="宋体" w:cs="宋体"/>
          <w:sz w:val="24"/>
          <w:szCs w:val="24"/>
          <w:highlight w:val="none"/>
        </w:rPr>
        <w:t>日</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（提供期限自本公告发布之日起不得少于5个工作日）。</w:t>
      </w:r>
    </w:p>
    <w:p w14:paraId="46B01790">
      <w:pPr>
        <w:spacing w:line="560" w:lineRule="exact"/>
        <w:ind w:firstLine="540"/>
        <w:rPr>
          <w:rFonts w:hint="eastAsia" w:ascii="宋体" w:hAnsi="宋体" w:cs="宋体"/>
          <w:sz w:val="24"/>
          <w:szCs w:val="24"/>
          <w:highlight w:val="none"/>
        </w:rPr>
      </w:pPr>
      <w:r>
        <w:rPr>
          <w:rFonts w:hint="eastAsia" w:ascii="宋体" w:hAnsi="宋体" w:cs="宋体"/>
          <w:sz w:val="24"/>
          <w:szCs w:val="24"/>
          <w:highlight w:val="none"/>
        </w:rPr>
        <w:t>2.方式：在“江苏政府采购网”自行免费下载磋商文件。</w:t>
      </w:r>
    </w:p>
    <w:p w14:paraId="6CE2E941">
      <w:pPr>
        <w:spacing w:line="560" w:lineRule="exact"/>
        <w:ind w:firstLine="480"/>
        <w:rPr>
          <w:rFonts w:ascii="宋体" w:hAnsi="宋体" w:cs="宋体"/>
          <w:sz w:val="24"/>
          <w:szCs w:val="24"/>
          <w:highlight w:val="none"/>
        </w:rPr>
      </w:pPr>
      <w:r>
        <w:rPr>
          <w:rFonts w:hint="eastAsia" w:ascii="宋体" w:hAnsi="宋体" w:cs="宋体"/>
          <w:sz w:val="24"/>
          <w:szCs w:val="24"/>
          <w:highlight w:val="none"/>
        </w:rPr>
        <w:t>3.获取方式：本项目采用网上注册登记方式。</w:t>
      </w:r>
    </w:p>
    <w:p w14:paraId="069E914C">
      <w:pPr>
        <w:spacing w:line="560" w:lineRule="exact"/>
        <w:ind w:firstLine="480"/>
        <w:rPr>
          <w:rFonts w:ascii="宋体" w:hAnsi="宋体" w:cs="宋体"/>
          <w:sz w:val="24"/>
          <w:szCs w:val="24"/>
          <w:highlight w:val="none"/>
        </w:rPr>
      </w:pPr>
      <w:r>
        <w:rPr>
          <w:rFonts w:hint="eastAsia" w:ascii="宋体" w:hAnsi="宋体" w:cs="宋体"/>
          <w:sz w:val="24"/>
          <w:szCs w:val="24"/>
          <w:highlight w:val="none"/>
        </w:rPr>
        <w:t>3.1潜在供应商访问电子招标响应交易平台的网络地址和方法：</w:t>
      </w:r>
    </w:p>
    <w:p w14:paraId="21D42745">
      <w:pPr>
        <w:spacing w:line="560" w:lineRule="exact"/>
        <w:ind w:firstLine="480"/>
        <w:rPr>
          <w:rFonts w:ascii="宋体" w:hAnsi="宋体" w:cs="宋体"/>
          <w:sz w:val="24"/>
          <w:szCs w:val="24"/>
          <w:highlight w:val="none"/>
        </w:rPr>
      </w:pPr>
      <w:r>
        <w:rPr>
          <w:rFonts w:hint="eastAsia" w:ascii="宋体" w:hAnsi="宋体" w:cs="宋体"/>
          <w:sz w:val="24"/>
          <w:szCs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highlight w:val="none"/>
        </w:rPr>
        <w:t>—资料下载中</w:t>
      </w:r>
      <w:r>
        <w:rPr>
          <w:rFonts w:hint="eastAsia" w:ascii="宋体" w:hAnsi="宋体" w:cs="宋体"/>
          <w:sz w:val="24"/>
          <w:szCs w:val="24"/>
          <w:highlight w:val="none"/>
        </w:rPr>
        <w:t>《江苏省政府采购管理交易系统（苏采云）供应商操作手册》。</w:t>
      </w:r>
    </w:p>
    <w:p w14:paraId="1EF1428C">
      <w:pPr>
        <w:spacing w:line="560" w:lineRule="exact"/>
        <w:ind w:firstLine="480"/>
        <w:rPr>
          <w:rFonts w:ascii="宋体" w:hAnsi="宋体" w:cs="宋体"/>
          <w:sz w:val="24"/>
          <w:szCs w:val="24"/>
          <w:highlight w:val="none"/>
        </w:rPr>
      </w:pPr>
      <w:r>
        <w:rPr>
          <w:rFonts w:hint="eastAsia" w:ascii="宋体" w:hAnsi="宋体" w:cs="宋体"/>
          <w:sz w:val="24"/>
          <w:szCs w:val="24"/>
          <w:highlight w:val="none"/>
        </w:rPr>
        <w:t>3.2潜在供应商访问“苏采云”系统的网络地址和方法：“苏采云”系统的网址：http://jszfcg.jsczt.cn/。</w:t>
      </w:r>
    </w:p>
    <w:p w14:paraId="346EF883">
      <w:pPr>
        <w:spacing w:line="560" w:lineRule="exact"/>
        <w:ind w:firstLine="480"/>
        <w:rPr>
          <w:rFonts w:ascii="宋体" w:hAnsi="宋体" w:cs="宋体"/>
          <w:sz w:val="24"/>
          <w:szCs w:val="24"/>
          <w:highlight w:val="none"/>
        </w:rPr>
      </w:pPr>
      <w:r>
        <w:rPr>
          <w:rFonts w:hint="eastAsia" w:ascii="宋体" w:hAnsi="宋体" w:cs="宋体"/>
          <w:sz w:val="24"/>
          <w:szCs w:val="24"/>
          <w:highlight w:val="none"/>
        </w:rPr>
        <w:t>3.3“CA数字证书”的获取：</w:t>
      </w:r>
    </w:p>
    <w:p w14:paraId="72891307">
      <w:pPr>
        <w:spacing w:line="560" w:lineRule="exact"/>
        <w:ind w:firstLine="480"/>
        <w:rPr>
          <w:rFonts w:ascii="宋体" w:hAnsi="宋体" w:cs="宋体"/>
          <w:b/>
          <w:bCs/>
          <w:sz w:val="24"/>
          <w:szCs w:val="24"/>
          <w:highlight w:val="none"/>
        </w:rPr>
      </w:pPr>
      <w:r>
        <w:rPr>
          <w:rFonts w:hint="eastAsia" w:ascii="宋体" w:hAnsi="宋体" w:cs="宋体"/>
          <w:sz w:val="24"/>
          <w:szCs w:val="24"/>
          <w:highlight w:val="none"/>
        </w:rPr>
        <w:t>供应商需办理CA锁，“苏采云”系统目前仅支持政务CA、方正签章，省内各地区办理的用于“苏采云”平台的政务CA、方正签章全省通用。“CA数字证书”的办理方法详见江苏政府采购网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highlight w:val="none"/>
        </w:rPr>
        <w:t>—资料下载中</w:t>
      </w:r>
      <w:r>
        <w:rPr>
          <w:rFonts w:hint="eastAsia" w:ascii="宋体" w:hAnsi="宋体" w:cs="宋体"/>
          <w:sz w:val="24"/>
          <w:szCs w:val="24"/>
          <w:highlight w:val="none"/>
        </w:rPr>
        <w:t>《江苏省政府采购数字证书（供应商）CA及电子签章办理指南》。</w:t>
      </w:r>
    </w:p>
    <w:p w14:paraId="027B12E8">
      <w:pPr>
        <w:spacing w:line="560" w:lineRule="exact"/>
        <w:ind w:firstLine="480"/>
        <w:rPr>
          <w:rFonts w:ascii="宋体" w:hAnsi="宋体" w:cs="宋体"/>
          <w:sz w:val="24"/>
          <w:szCs w:val="24"/>
          <w:highlight w:val="none"/>
        </w:rPr>
      </w:pPr>
      <w:r>
        <w:rPr>
          <w:rFonts w:hint="eastAsia" w:ascii="宋体" w:hAnsi="宋体" w:cs="宋体"/>
          <w:sz w:val="24"/>
          <w:szCs w:val="24"/>
          <w:highlight w:val="none"/>
        </w:rPr>
        <w:t>3.4采购文件（后缀名为“.kedt”）、供应商操作手册及政府采购客户端工具可通过“苏采云”系统--已报名项目--报名详情页面内相应链接进行下载。</w:t>
      </w:r>
    </w:p>
    <w:p w14:paraId="2419DD4C">
      <w:pPr>
        <w:spacing w:line="560" w:lineRule="exact"/>
        <w:ind w:firstLine="480"/>
        <w:rPr>
          <w:rFonts w:ascii="宋体" w:hAnsi="宋体" w:cs="宋体"/>
          <w:sz w:val="24"/>
          <w:szCs w:val="24"/>
          <w:highlight w:val="none"/>
        </w:rPr>
      </w:pPr>
      <w:r>
        <w:rPr>
          <w:rFonts w:hint="eastAsia" w:ascii="宋体" w:hAnsi="宋体" w:cs="宋体"/>
          <w:sz w:val="24"/>
          <w:szCs w:val="24"/>
          <w:highlight w:val="none"/>
        </w:rPr>
        <w:t>3.5招标代理机构（采购代理机构）将数据电文形式的采购文件加载至“苏采云”系统，供潜在供应商下载或者查阅。</w:t>
      </w:r>
    </w:p>
    <w:p w14:paraId="1B1CD8F0">
      <w:pPr>
        <w:spacing w:line="560" w:lineRule="exact"/>
        <w:ind w:firstLine="540"/>
        <w:rPr>
          <w:rFonts w:hint="eastAsia" w:ascii="宋体" w:hAnsi="宋体" w:cs="宋体"/>
          <w:sz w:val="24"/>
          <w:szCs w:val="24"/>
          <w:highlight w:val="none"/>
        </w:rPr>
      </w:pPr>
      <w:r>
        <w:rPr>
          <w:rFonts w:hint="eastAsia" w:ascii="宋体" w:hAnsi="宋体" w:cs="宋体"/>
          <w:sz w:val="24"/>
          <w:szCs w:val="24"/>
          <w:highlight w:val="none"/>
        </w:rPr>
        <w:t>3.6请潜在供应商提前安装相应的控件（详见《江苏省政府采购管理交易系统（苏采云）供应商操作手册》）并使用谷歌浏览器登录“苏采云”系统参与不见面开评标。</w:t>
      </w:r>
    </w:p>
    <w:p w14:paraId="5D22EF67">
      <w:pPr>
        <w:spacing w:line="560" w:lineRule="exact"/>
        <w:ind w:firstLine="540"/>
        <w:rPr>
          <w:rFonts w:ascii="宋体" w:hAnsi="宋体" w:cs="宋体"/>
          <w:sz w:val="24"/>
          <w:szCs w:val="24"/>
          <w:highlight w:val="none"/>
        </w:rPr>
      </w:pPr>
      <w:r>
        <w:rPr>
          <w:rFonts w:hint="eastAsia" w:ascii="宋体" w:hAnsi="宋体" w:cs="宋体"/>
          <w:sz w:val="24"/>
          <w:szCs w:val="24"/>
          <w:highlight w:val="none"/>
        </w:rPr>
        <w:t>注：如潜在供应商未按上述要求操作，将自行承担所产生的风险。</w:t>
      </w:r>
    </w:p>
    <w:p w14:paraId="2425C171">
      <w:pPr>
        <w:keepNext/>
        <w:keepLines/>
        <w:spacing w:line="560" w:lineRule="exact"/>
        <w:ind w:firstLine="496"/>
        <w:outlineLvl w:val="2"/>
        <w:rPr>
          <w:b/>
          <w:bCs/>
          <w:sz w:val="32"/>
          <w:szCs w:val="32"/>
          <w:highlight w:val="none"/>
        </w:rPr>
      </w:pPr>
      <w:r>
        <w:rPr>
          <w:rFonts w:hint="eastAsia"/>
          <w:b/>
          <w:bCs/>
          <w:sz w:val="32"/>
          <w:szCs w:val="32"/>
          <w:highlight w:val="none"/>
        </w:rPr>
        <w:t>四、提交</w:t>
      </w:r>
      <w:bookmarkEnd w:id="22"/>
      <w:bookmarkEnd w:id="23"/>
      <w:r>
        <w:rPr>
          <w:rFonts w:hint="eastAsia"/>
          <w:b/>
          <w:bCs/>
          <w:sz w:val="32"/>
          <w:szCs w:val="32"/>
          <w:highlight w:val="none"/>
        </w:rPr>
        <w:t>响应文件截止时间</w:t>
      </w:r>
      <w:bookmarkEnd w:id="24"/>
      <w:bookmarkEnd w:id="25"/>
      <w:bookmarkEnd w:id="26"/>
    </w:p>
    <w:p w14:paraId="6830B6E1">
      <w:pPr>
        <w:spacing w:line="560" w:lineRule="exact"/>
        <w:ind w:firstLine="480"/>
        <w:rPr>
          <w:rFonts w:hint="eastAsia" w:ascii="宋体" w:hAnsi="宋体" w:cs="宋体"/>
          <w:sz w:val="24"/>
          <w:szCs w:val="24"/>
          <w:highlight w:val="none"/>
        </w:rPr>
      </w:pPr>
      <w:r>
        <w:rPr>
          <w:rFonts w:hint="eastAsia" w:ascii="宋体" w:hAnsi="宋体"/>
          <w:bCs/>
          <w:sz w:val="24"/>
          <w:szCs w:val="24"/>
          <w:highlight w:val="none"/>
        </w:rPr>
        <w:t>1.</w:t>
      </w:r>
      <w:r>
        <w:rPr>
          <w:rFonts w:hint="eastAsia" w:ascii="宋体" w:hAnsi="宋体"/>
          <w:bCs/>
          <w:sz w:val="24"/>
          <w:szCs w:val="24"/>
          <w:highlight w:val="none"/>
          <w:u w:val="single"/>
        </w:rPr>
        <w:t>2026年</w:t>
      </w:r>
      <w:r>
        <w:rPr>
          <w:rFonts w:hint="eastAsia" w:ascii="宋体" w:hAnsi="宋体"/>
          <w:bCs/>
          <w:sz w:val="24"/>
          <w:szCs w:val="24"/>
          <w:highlight w:val="none"/>
          <w:u w:val="single"/>
          <w:lang w:val="en-US" w:eastAsia="zh-CN"/>
        </w:rPr>
        <w:t>05</w:t>
      </w:r>
      <w:r>
        <w:rPr>
          <w:rFonts w:hint="eastAsia" w:ascii="宋体" w:hAnsi="宋体"/>
          <w:bCs/>
          <w:sz w:val="24"/>
          <w:szCs w:val="24"/>
          <w:highlight w:val="none"/>
          <w:u w:val="single"/>
        </w:rPr>
        <w:t>月</w:t>
      </w:r>
      <w:r>
        <w:rPr>
          <w:rFonts w:hint="eastAsia" w:ascii="宋体" w:hAnsi="宋体"/>
          <w:bCs/>
          <w:sz w:val="24"/>
          <w:szCs w:val="24"/>
          <w:highlight w:val="none"/>
          <w:u w:val="single"/>
          <w:lang w:val="en-US" w:eastAsia="zh-CN"/>
        </w:rPr>
        <w:t>22</w:t>
      </w:r>
      <w:r>
        <w:rPr>
          <w:rFonts w:hint="eastAsia" w:ascii="宋体" w:hAnsi="宋体"/>
          <w:bCs/>
          <w:sz w:val="24"/>
          <w:szCs w:val="24"/>
          <w:highlight w:val="none"/>
          <w:u w:val="single"/>
        </w:rPr>
        <w:t>日</w:t>
      </w:r>
      <w:r>
        <w:rPr>
          <w:rFonts w:hint="eastAsia" w:ascii="宋体" w:hAnsi="宋体"/>
          <w:bCs/>
          <w:sz w:val="24"/>
          <w:szCs w:val="24"/>
          <w:highlight w:val="none"/>
          <w:u w:val="single"/>
          <w:lang w:val="en-US" w:eastAsia="zh-CN"/>
        </w:rPr>
        <w:t>14</w:t>
      </w:r>
      <w:r>
        <w:rPr>
          <w:rFonts w:hint="eastAsia" w:ascii="宋体" w:hAnsi="宋体"/>
          <w:bCs/>
          <w:sz w:val="24"/>
          <w:szCs w:val="24"/>
          <w:highlight w:val="none"/>
          <w:u w:val="single"/>
        </w:rPr>
        <w:t>点</w:t>
      </w:r>
      <w:r>
        <w:rPr>
          <w:rFonts w:hint="eastAsia" w:ascii="宋体" w:hAnsi="宋体"/>
          <w:bCs/>
          <w:sz w:val="24"/>
          <w:szCs w:val="24"/>
          <w:highlight w:val="none"/>
          <w:u w:val="single"/>
          <w:lang w:val="en-US" w:eastAsia="zh-CN"/>
        </w:rPr>
        <w:t>00</w:t>
      </w:r>
      <w:r>
        <w:rPr>
          <w:rFonts w:hint="eastAsia" w:ascii="宋体" w:hAnsi="宋体"/>
          <w:bCs/>
          <w:sz w:val="24"/>
          <w:szCs w:val="24"/>
          <w:highlight w:val="none"/>
          <w:u w:val="single"/>
        </w:rPr>
        <w:t>分</w:t>
      </w:r>
      <w:r>
        <w:rPr>
          <w:rFonts w:hint="eastAsia" w:ascii="宋体" w:hAnsi="宋体"/>
          <w:bCs/>
          <w:sz w:val="24"/>
          <w:szCs w:val="24"/>
          <w:highlight w:val="none"/>
        </w:rPr>
        <w:t>（北京时间）。</w:t>
      </w:r>
      <w:r>
        <w:rPr>
          <w:rFonts w:hint="eastAsia" w:ascii="宋体" w:hAnsi="宋体" w:cs="宋体"/>
          <w:sz w:val="24"/>
          <w:szCs w:val="24"/>
          <w:highlight w:val="none"/>
        </w:rPr>
        <w:t>（自磋商文件开始发出之日起至供应商提交响应文件截止之日止，不得少于10日。）</w:t>
      </w:r>
    </w:p>
    <w:p w14:paraId="108F4BB7">
      <w:pPr>
        <w:spacing w:line="560" w:lineRule="exact"/>
        <w:ind w:firstLine="480"/>
        <w:rPr>
          <w:rFonts w:hint="eastAsia" w:ascii="宋体" w:hAnsi="宋体"/>
          <w:sz w:val="24"/>
          <w:szCs w:val="24"/>
          <w:highlight w:val="none"/>
        </w:rPr>
      </w:pPr>
      <w:r>
        <w:rPr>
          <w:rFonts w:hint="eastAsia" w:ascii="宋体" w:hAnsi="宋体"/>
          <w:sz w:val="24"/>
          <w:szCs w:val="24"/>
          <w:highlight w:val="none"/>
        </w:rPr>
        <w:t>2.地点：“苏采云”政府采购交易系统网上开标大厅。</w:t>
      </w:r>
    </w:p>
    <w:p w14:paraId="2DC90DDE">
      <w:pPr>
        <w:spacing w:line="560" w:lineRule="exact"/>
        <w:ind w:firstLine="480"/>
        <w:rPr>
          <w:rFonts w:hint="eastAsia" w:ascii="宋体" w:hAnsi="宋体" w:cs="宋体"/>
          <w:b/>
          <w:sz w:val="24"/>
          <w:szCs w:val="21"/>
          <w:highlight w:val="none"/>
        </w:rPr>
      </w:pPr>
      <w:r>
        <w:rPr>
          <w:rFonts w:hint="eastAsia" w:ascii="宋体" w:hAnsi="宋体" w:cs="宋体"/>
          <w:b/>
          <w:sz w:val="24"/>
          <w:szCs w:val="21"/>
          <w:highlight w:val="none"/>
        </w:rPr>
        <w:t>注：各供应商请关注开标大厅交流区，在开标结束后，请勿离开开标大厅，待资格审查完毕，磋商小组发出报价指令后须在15分钟内完成系统报价。</w:t>
      </w:r>
      <w:r>
        <w:rPr>
          <w:rFonts w:hint="eastAsia" w:ascii="宋体" w:hAnsi="宋体"/>
          <w:sz w:val="24"/>
          <w:szCs w:val="24"/>
          <w:highlight w:val="none"/>
        </w:rPr>
        <w:t>供应商未在磋商小组规定的时间内在苏采云系统中提交最后报价的视为放弃磋商，其响应文件按无效响应处理。</w:t>
      </w:r>
    </w:p>
    <w:p w14:paraId="61B69B1E">
      <w:pPr>
        <w:spacing w:line="560" w:lineRule="exact"/>
        <w:ind w:firstLine="480"/>
        <w:rPr>
          <w:rFonts w:ascii="宋体" w:hAnsi="宋体"/>
          <w:bCs/>
          <w:sz w:val="24"/>
          <w:szCs w:val="24"/>
          <w:highlight w:val="none"/>
          <w:u w:val="single"/>
        </w:rPr>
      </w:pPr>
      <w:r>
        <w:rPr>
          <w:rFonts w:hint="eastAsia" w:ascii="宋体" w:hAnsi="宋体" w:cs="宋体"/>
          <w:sz w:val="24"/>
          <w:szCs w:val="21"/>
          <w:highlight w:val="none"/>
        </w:rPr>
        <w:t>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highlight w:val="none"/>
        </w:rPr>
        <w:t>供应商解密限定在开标后30分钟之内完成</w:t>
      </w:r>
      <w:r>
        <w:rPr>
          <w:rFonts w:hint="eastAsia" w:ascii="宋体" w:hAnsi="宋体" w:cs="宋体"/>
          <w:sz w:val="24"/>
          <w:szCs w:val="21"/>
          <w:highlight w:val="none"/>
        </w:rPr>
        <w:t>。</w:t>
      </w:r>
      <w:r>
        <w:rPr>
          <w:rFonts w:hint="eastAsia" w:ascii="宋体" w:hAnsi="宋体" w:cs="宋体"/>
          <w:sz w:val="24"/>
          <w:szCs w:val="21"/>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highlight w:val="none"/>
        </w:rPr>
        <w:t>；因采购人原因或网上招投标平台发生故障，导致无法按时完成响应文件解密或开、评标工作无法进行的，可根据实际情况相应延迟解密时间或调整开、评标时间。</w:t>
      </w:r>
    </w:p>
    <w:p w14:paraId="66FC61F8">
      <w:pPr>
        <w:keepNext/>
        <w:keepLines/>
        <w:spacing w:line="560" w:lineRule="exact"/>
        <w:ind w:firstLine="496"/>
        <w:outlineLvl w:val="2"/>
        <w:rPr>
          <w:b/>
          <w:bCs/>
          <w:sz w:val="32"/>
          <w:szCs w:val="32"/>
          <w:highlight w:val="none"/>
        </w:rPr>
      </w:pPr>
      <w:bookmarkStart w:id="27" w:name="_Toc28359084"/>
      <w:bookmarkStart w:id="28" w:name="_Toc28359007"/>
      <w:bookmarkStart w:id="29" w:name="_Toc38985267"/>
      <w:bookmarkStart w:id="30" w:name="_Toc35393794"/>
      <w:bookmarkStart w:id="31" w:name="_Toc35393625"/>
      <w:r>
        <w:rPr>
          <w:rFonts w:hint="eastAsia"/>
          <w:b/>
          <w:bCs/>
          <w:sz w:val="32"/>
          <w:szCs w:val="32"/>
          <w:highlight w:val="none"/>
        </w:rPr>
        <w:t>五、公告期限</w:t>
      </w:r>
      <w:bookmarkEnd w:id="27"/>
      <w:bookmarkEnd w:id="28"/>
      <w:bookmarkEnd w:id="29"/>
      <w:bookmarkEnd w:id="30"/>
      <w:bookmarkEnd w:id="31"/>
    </w:p>
    <w:p w14:paraId="30A0E588">
      <w:pPr>
        <w:spacing w:line="560" w:lineRule="exact"/>
        <w:ind w:firstLine="480"/>
        <w:rPr>
          <w:rFonts w:ascii="宋体" w:hAnsi="宋体" w:cs="宋体"/>
          <w:sz w:val="24"/>
          <w:szCs w:val="24"/>
          <w:highlight w:val="none"/>
        </w:rPr>
      </w:pPr>
      <w:bookmarkStart w:id="32" w:name="_Toc35393795"/>
      <w:bookmarkStart w:id="33" w:name="_Toc38985268"/>
      <w:bookmarkStart w:id="34" w:name="_Toc35393626"/>
      <w:r>
        <w:rPr>
          <w:rFonts w:hint="eastAsia" w:ascii="宋体" w:hAnsi="宋体" w:cs="宋体"/>
          <w:sz w:val="24"/>
          <w:szCs w:val="24"/>
          <w:highlight w:val="none"/>
        </w:rPr>
        <w:t>磋商公告及磋商文件公告期限为自本公告发布之日起3个工作日。</w:t>
      </w:r>
    </w:p>
    <w:p w14:paraId="79085184">
      <w:pPr>
        <w:keepNext/>
        <w:keepLines/>
        <w:spacing w:line="560" w:lineRule="exact"/>
        <w:ind w:firstLine="496"/>
        <w:outlineLvl w:val="2"/>
        <w:rPr>
          <w:b/>
          <w:bCs/>
          <w:sz w:val="32"/>
          <w:szCs w:val="32"/>
          <w:highlight w:val="none"/>
        </w:rPr>
      </w:pPr>
      <w:r>
        <w:rPr>
          <w:rFonts w:hint="eastAsia"/>
          <w:b/>
          <w:bCs/>
          <w:sz w:val="32"/>
          <w:szCs w:val="32"/>
          <w:highlight w:val="none"/>
        </w:rPr>
        <w:t>六、其他补充事宜</w:t>
      </w:r>
      <w:bookmarkEnd w:id="32"/>
      <w:bookmarkEnd w:id="33"/>
      <w:bookmarkEnd w:id="34"/>
    </w:p>
    <w:p w14:paraId="0524F8F5">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1、投标保证金：免收</w:t>
      </w:r>
    </w:p>
    <w:p w14:paraId="0063CE4F">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2、项目开标活动模式：不见面远程开标模式，供应商在各自地点通过“苏采云”政府采购交易系统参加磋商活动。</w:t>
      </w:r>
    </w:p>
    <w:p w14:paraId="7551FB83">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3、项目演示、样品、答辩等（如有请描述）：无。</w:t>
      </w:r>
    </w:p>
    <w:p w14:paraId="0A4A8811">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p>
    <w:p w14:paraId="3B6954CB">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5.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p>
    <w:p w14:paraId="187B204F">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6.</w:t>
      </w:r>
      <w:r>
        <w:rPr>
          <w:rFonts w:hint="eastAsia"/>
          <w:szCs w:val="21"/>
          <w:highlight w:val="none"/>
        </w:rPr>
        <w:t xml:space="preserve"> </w:t>
      </w:r>
      <w:r>
        <w:rPr>
          <w:rFonts w:hint="eastAsia" w:ascii="宋体" w:hAnsi="宋体" w:cs="宋体"/>
          <w:sz w:val="24"/>
          <w:szCs w:val="24"/>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6554FCF">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7. 有关本次磋商的事项若存在变动或修改，敬请及时关注采购人在“江苏政府采购网”发布的更正公告。</w:t>
      </w:r>
    </w:p>
    <w:p w14:paraId="1A69C4A1">
      <w:pPr>
        <w:spacing w:line="560" w:lineRule="exact"/>
        <w:ind w:firstLine="480"/>
        <w:rPr>
          <w:rFonts w:ascii="宋体" w:hAnsi="宋体" w:cs="宋体"/>
          <w:sz w:val="24"/>
          <w:szCs w:val="24"/>
          <w:highlight w:val="none"/>
        </w:rPr>
      </w:pPr>
      <w:r>
        <w:rPr>
          <w:rFonts w:hint="eastAsia" w:ascii="宋体" w:hAnsi="宋体" w:cs="宋体"/>
          <w:sz w:val="24"/>
          <w:szCs w:val="24"/>
          <w:highlight w:val="none"/>
        </w:rPr>
        <w:t>8.</w:t>
      </w:r>
      <w:r>
        <w:rPr>
          <w:rFonts w:hint="eastAsia"/>
          <w:highlight w:val="none"/>
        </w:rPr>
        <w:t xml:space="preserve"> </w:t>
      </w:r>
      <w:r>
        <w:rPr>
          <w:rFonts w:hint="eastAsia" w:ascii="宋体" w:hAnsi="宋体" w:cs="宋体"/>
          <w:sz w:val="24"/>
          <w:szCs w:val="24"/>
          <w:highlight w:val="none"/>
        </w:rPr>
        <w:t>成交供应商须提供一份纸质版响应文件正本至采购人处。</w:t>
      </w:r>
    </w:p>
    <w:p w14:paraId="3C3E992C">
      <w:pPr>
        <w:keepNext/>
        <w:keepLines/>
        <w:spacing w:line="560" w:lineRule="exact"/>
        <w:ind w:firstLine="496"/>
        <w:outlineLvl w:val="2"/>
        <w:rPr>
          <w:b/>
          <w:bCs/>
          <w:sz w:val="32"/>
          <w:szCs w:val="32"/>
          <w:highlight w:val="none"/>
        </w:rPr>
      </w:pPr>
      <w:bookmarkStart w:id="35" w:name="_Toc28359085"/>
      <w:bookmarkStart w:id="36" w:name="_Toc35393796"/>
      <w:bookmarkStart w:id="37" w:name="_Toc38985269"/>
      <w:bookmarkStart w:id="38" w:name="_Toc28359008"/>
      <w:bookmarkStart w:id="39" w:name="_Toc35393627"/>
      <w:r>
        <w:rPr>
          <w:rFonts w:hint="eastAsia"/>
          <w:b/>
          <w:bCs/>
          <w:sz w:val="32"/>
          <w:szCs w:val="32"/>
          <w:highlight w:val="none"/>
        </w:rPr>
        <w:t>七、本次磋商联系方式</w:t>
      </w:r>
      <w:bookmarkEnd w:id="35"/>
      <w:bookmarkEnd w:id="36"/>
      <w:bookmarkEnd w:id="37"/>
      <w:bookmarkEnd w:id="38"/>
      <w:bookmarkEnd w:id="39"/>
    </w:p>
    <w:p w14:paraId="4B3655FB">
      <w:pPr>
        <w:widowControl/>
        <w:spacing w:line="560" w:lineRule="exact"/>
        <w:jc w:val="left"/>
        <w:rPr>
          <w:rFonts w:ascii="宋体" w:hAnsi="宋体"/>
          <w:sz w:val="24"/>
          <w:szCs w:val="24"/>
          <w:highlight w:val="none"/>
        </w:rPr>
      </w:pPr>
      <w:r>
        <w:rPr>
          <w:rFonts w:hint="eastAsia" w:ascii="仿宋" w:hAnsi="仿宋" w:eastAsia="仿宋" w:cs="宋体"/>
          <w:sz w:val="28"/>
          <w:szCs w:val="28"/>
          <w:highlight w:val="none"/>
        </w:rPr>
        <w:t>　　　</w:t>
      </w:r>
      <w:bookmarkStart w:id="40" w:name="_Toc28359010"/>
      <w:bookmarkStart w:id="41" w:name="_Toc28359087"/>
      <w:r>
        <w:rPr>
          <w:rFonts w:hint="eastAsia" w:ascii="宋体" w:hAnsi="宋体" w:cs="宋体"/>
          <w:sz w:val="24"/>
          <w:szCs w:val="24"/>
          <w:highlight w:val="none"/>
        </w:rPr>
        <w:t>1.采购人信息</w:t>
      </w:r>
    </w:p>
    <w:p w14:paraId="1CF2FF6A">
      <w:pPr>
        <w:spacing w:line="560" w:lineRule="exact"/>
        <w:ind w:left="1079" w:hanging="300"/>
        <w:jc w:val="left"/>
        <w:rPr>
          <w:rFonts w:hint="eastAsia" w:ascii="宋体" w:hAnsi="宋体" w:eastAsia="宋体"/>
          <w:sz w:val="24"/>
          <w:szCs w:val="24"/>
          <w:highlight w:val="none"/>
          <w:lang w:eastAsia="zh-CN"/>
        </w:rPr>
      </w:pPr>
      <w:r>
        <w:rPr>
          <w:rFonts w:hint="eastAsia" w:ascii="宋体" w:hAnsi="宋体"/>
          <w:sz w:val="24"/>
          <w:szCs w:val="24"/>
          <w:highlight w:val="none"/>
        </w:rPr>
        <w:t>名 称：</w:t>
      </w:r>
      <w:r>
        <w:rPr>
          <w:rFonts w:hint="eastAsia" w:ascii="宋体" w:hAnsi="宋体"/>
          <w:sz w:val="24"/>
          <w:szCs w:val="24"/>
          <w:highlight w:val="none"/>
          <w:lang w:eastAsia="zh-CN"/>
        </w:rPr>
        <w:t>海安市人民医院</w:t>
      </w:r>
    </w:p>
    <w:p w14:paraId="523DCF81">
      <w:pPr>
        <w:spacing w:line="560" w:lineRule="exact"/>
        <w:ind w:left="1079" w:hanging="300"/>
        <w:jc w:val="left"/>
        <w:rPr>
          <w:rFonts w:ascii="宋体" w:hAnsi="宋体"/>
          <w:sz w:val="24"/>
          <w:szCs w:val="24"/>
          <w:highlight w:val="none"/>
        </w:rPr>
      </w:pPr>
      <w:r>
        <w:rPr>
          <w:rFonts w:hint="eastAsia" w:ascii="宋体" w:hAnsi="宋体"/>
          <w:sz w:val="24"/>
          <w:szCs w:val="24"/>
          <w:highlight w:val="none"/>
        </w:rPr>
        <w:t>地址：</w:t>
      </w:r>
      <w:r>
        <w:rPr>
          <w:rFonts w:hint="eastAsia" w:ascii="宋体" w:hAnsi="宋体" w:eastAsia="宋体" w:cs="Times New Roman"/>
          <w:sz w:val="24"/>
          <w:szCs w:val="24"/>
          <w:highlight w:val="none"/>
          <w:lang w:eastAsia="zh-CN"/>
        </w:rPr>
        <w:fldChar w:fldCharType="begin"/>
      </w:r>
      <w:r>
        <w:rPr>
          <w:rFonts w:hint="eastAsia" w:ascii="宋体" w:hAnsi="宋体" w:eastAsia="宋体" w:cs="Times New Roman"/>
          <w:sz w:val="24"/>
          <w:szCs w:val="24"/>
          <w:highlight w:val="none"/>
          <w:lang w:eastAsia="zh-CN"/>
        </w:rPr>
        <w:instrText xml:space="preserve"> HYPERLINK "https://cn.bing.com/maps?&amp;mepi=0~~Embedded~Address_Link&amp;ty=18&amp;q=%E6%B1%9F%E8%8B%8F%E7%9C%81%E6%B5%B7%E5%AE%89%E5%B8%82%E4%BA%BA%E6%B0%91%E5%8C%BB%E9%99%A2%E4%B8%9C%E9%97%A8&amp;ss=ypid.YN4067x9069403179309781806&amp;ppois=32.54209899902344_120.46208953857422_%E6%B1%9F%E8%8B%8F%E7%9C%81%E6%B5%B7%E5%AE%89%E5%B8%82%E4%BA%BA%E6%B0%91%E5%8C%BB%E9%99%A2%E4%B8%9C%E9%97%A8_YN4067x9069403179309781806~&amp;cp=pdq9fbv14nq0&amp;v=2&amp;sV=1&amp;FORM=MPSRPL" \t "https://cn.bing.com/_blank" </w:instrText>
      </w:r>
      <w:r>
        <w:rPr>
          <w:rFonts w:hint="eastAsia" w:ascii="宋体" w:hAnsi="宋体" w:eastAsia="宋体" w:cs="Times New Roman"/>
          <w:sz w:val="24"/>
          <w:szCs w:val="24"/>
          <w:highlight w:val="none"/>
          <w:lang w:eastAsia="zh-CN"/>
        </w:rPr>
        <w:fldChar w:fldCharType="separate"/>
      </w:r>
      <w:r>
        <w:rPr>
          <w:rFonts w:ascii="宋体" w:hAnsi="宋体" w:eastAsia="宋体" w:cs="Times New Roman"/>
          <w:sz w:val="24"/>
          <w:szCs w:val="24"/>
          <w:highlight w:val="none"/>
          <w:lang w:eastAsia="zh-CN"/>
        </w:rPr>
        <w:t>江苏省南通市海安市中坝中路17号</w:t>
      </w:r>
      <w:r>
        <w:rPr>
          <w:rFonts w:ascii="宋体" w:hAnsi="宋体" w:eastAsia="宋体" w:cs="Times New Roman"/>
          <w:sz w:val="24"/>
          <w:szCs w:val="24"/>
          <w:highlight w:val="none"/>
          <w:lang w:eastAsia="zh-CN"/>
        </w:rPr>
        <w:fldChar w:fldCharType="end"/>
      </w:r>
    </w:p>
    <w:p w14:paraId="28C7C330">
      <w:pPr>
        <w:spacing w:line="560" w:lineRule="exact"/>
        <w:ind w:firstLine="840"/>
        <w:rPr>
          <w:rFonts w:ascii="宋体" w:hAnsi="宋体" w:eastAsia="宋体"/>
          <w:sz w:val="24"/>
          <w:szCs w:val="24"/>
          <w:highlight w:val="none"/>
          <w:lang w:val="en-US" w:eastAsia="zh-CN"/>
        </w:rPr>
      </w:pPr>
      <w:bookmarkStart w:id="42" w:name="_Toc28359086"/>
      <w:bookmarkStart w:id="43" w:name="_Toc28359009"/>
      <w:r>
        <w:rPr>
          <w:rFonts w:hint="eastAsia" w:ascii="宋体" w:hAnsi="宋体"/>
          <w:sz w:val="24"/>
          <w:szCs w:val="24"/>
          <w:highlight w:val="none"/>
        </w:rPr>
        <w:t>联系人</w:t>
      </w:r>
      <w:r>
        <w:rPr>
          <w:rFonts w:hint="eastAsia" w:ascii="宋体" w:hAnsi="宋体"/>
          <w:sz w:val="24"/>
          <w:szCs w:val="24"/>
          <w:highlight w:val="none"/>
          <w:lang w:eastAsia="zh-CN"/>
        </w:rPr>
        <w:t>：</w:t>
      </w:r>
      <w:r>
        <w:rPr>
          <w:rFonts w:hint="eastAsia" w:ascii="宋体" w:hAnsi="宋体"/>
          <w:sz w:val="24"/>
          <w:szCs w:val="24"/>
          <w:highlight w:val="none"/>
          <w:lang w:val="en-US" w:eastAsia="zh-CN"/>
        </w:rPr>
        <w:t>徐月华、顾桂源</w:t>
      </w:r>
    </w:p>
    <w:p w14:paraId="7EA88182">
      <w:pPr>
        <w:spacing w:line="560" w:lineRule="exact"/>
        <w:ind w:firstLine="840"/>
        <w:rPr>
          <w:rFonts w:ascii="宋体" w:hAnsi="宋体" w:eastAsia="宋体"/>
          <w:sz w:val="24"/>
          <w:szCs w:val="24"/>
          <w:highlight w:val="none"/>
          <w:u w:val="single"/>
          <w:lang w:val="en-US" w:eastAsia="zh-CN"/>
        </w:rPr>
      </w:pPr>
      <w:r>
        <w:rPr>
          <w:rFonts w:hint="eastAsia" w:ascii="宋体" w:hAnsi="宋体"/>
          <w:sz w:val="24"/>
          <w:szCs w:val="24"/>
          <w:highlight w:val="none"/>
        </w:rPr>
        <w:t>联系方式：</w:t>
      </w:r>
      <w:r>
        <w:rPr>
          <w:rFonts w:hint="eastAsia" w:ascii="宋体" w:hAnsi="宋体"/>
          <w:sz w:val="24"/>
          <w:szCs w:val="24"/>
          <w:highlight w:val="none"/>
          <w:lang w:val="en-US" w:eastAsia="zh-CN"/>
        </w:rPr>
        <w:t>13862712658、15151316695</w:t>
      </w:r>
    </w:p>
    <w:p w14:paraId="5AD6B31F">
      <w:pPr>
        <w:spacing w:line="560" w:lineRule="exact"/>
        <w:ind w:left="1079" w:hanging="300"/>
        <w:jc w:val="left"/>
        <w:rPr>
          <w:rFonts w:hint="eastAsia" w:ascii="宋体" w:hAnsi="宋体" w:cs="宋体"/>
          <w:sz w:val="24"/>
          <w:szCs w:val="24"/>
          <w:highlight w:val="none"/>
        </w:rPr>
      </w:pPr>
      <w:r>
        <w:rPr>
          <w:rFonts w:hint="eastAsia" w:ascii="宋体" w:hAnsi="宋体" w:cs="宋体"/>
          <w:sz w:val="24"/>
          <w:szCs w:val="24"/>
          <w:highlight w:val="none"/>
        </w:rPr>
        <w:t>2.</w:t>
      </w:r>
      <w:bookmarkEnd w:id="42"/>
      <w:bookmarkEnd w:id="43"/>
      <w:r>
        <w:rPr>
          <w:rFonts w:hint="eastAsia"/>
          <w:szCs w:val="21"/>
          <w:highlight w:val="none"/>
        </w:rPr>
        <w:t xml:space="preserve"> </w:t>
      </w:r>
      <w:r>
        <w:rPr>
          <w:rFonts w:hint="eastAsia" w:ascii="宋体" w:hAnsi="宋体" w:cs="宋体"/>
          <w:sz w:val="24"/>
          <w:szCs w:val="24"/>
          <w:highlight w:val="none"/>
        </w:rPr>
        <w:t>采购代理机构信息</w:t>
      </w:r>
    </w:p>
    <w:p w14:paraId="233B7155">
      <w:pPr>
        <w:spacing w:line="560" w:lineRule="exact"/>
        <w:ind w:left="1079" w:hanging="300"/>
        <w:jc w:val="left"/>
        <w:rPr>
          <w:rFonts w:hint="eastAsia" w:ascii="宋体" w:hAnsi="宋体" w:eastAsia="宋体"/>
          <w:sz w:val="24"/>
          <w:szCs w:val="24"/>
          <w:highlight w:val="none"/>
          <w:lang w:eastAsia="zh-CN"/>
        </w:rPr>
      </w:pPr>
      <w:r>
        <w:rPr>
          <w:rFonts w:hint="eastAsia" w:ascii="宋体" w:hAnsi="宋体"/>
          <w:sz w:val="24"/>
          <w:szCs w:val="24"/>
          <w:highlight w:val="none"/>
        </w:rPr>
        <w:t>名 称：</w:t>
      </w:r>
      <w:r>
        <w:rPr>
          <w:rFonts w:hint="eastAsia" w:ascii="宋体" w:hAnsi="宋体"/>
          <w:sz w:val="24"/>
          <w:szCs w:val="24"/>
          <w:highlight w:val="none"/>
          <w:lang w:eastAsia="zh-CN"/>
        </w:rPr>
        <w:t>江苏大成工程咨询有限公司</w:t>
      </w:r>
    </w:p>
    <w:p w14:paraId="0ED37902">
      <w:pPr>
        <w:spacing w:line="560" w:lineRule="exact"/>
        <w:ind w:firstLine="840"/>
        <w:rPr>
          <w:rFonts w:hint="eastAsia" w:ascii="宋体" w:hAnsi="宋体"/>
          <w:sz w:val="24"/>
          <w:szCs w:val="24"/>
          <w:highlight w:val="none"/>
        </w:rPr>
      </w:pPr>
      <w:r>
        <w:rPr>
          <w:rFonts w:hint="eastAsia" w:ascii="宋体" w:hAnsi="宋体"/>
          <w:sz w:val="24"/>
          <w:szCs w:val="24"/>
          <w:highlight w:val="none"/>
        </w:rPr>
        <w:t>地址：海安市隆政街道凤山村二组</w:t>
      </w:r>
    </w:p>
    <w:p w14:paraId="5F3A4280">
      <w:pPr>
        <w:spacing w:line="560" w:lineRule="exact"/>
        <w:ind w:firstLine="840"/>
        <w:rPr>
          <w:rFonts w:ascii="宋体" w:hAnsi="宋体" w:eastAsia="宋体"/>
          <w:sz w:val="24"/>
          <w:szCs w:val="24"/>
          <w:highlight w:val="none"/>
          <w:lang w:val="en-US" w:eastAsia="zh-CN"/>
        </w:rPr>
      </w:pPr>
      <w:r>
        <w:rPr>
          <w:rFonts w:hint="eastAsia" w:ascii="宋体" w:hAnsi="宋体"/>
          <w:sz w:val="24"/>
          <w:szCs w:val="24"/>
          <w:highlight w:val="none"/>
        </w:rPr>
        <w:t>联系人</w:t>
      </w:r>
      <w:r>
        <w:rPr>
          <w:rFonts w:hint="eastAsia" w:ascii="宋体" w:hAnsi="宋体"/>
          <w:sz w:val="24"/>
          <w:szCs w:val="24"/>
          <w:highlight w:val="none"/>
          <w:lang w:eastAsia="zh-CN"/>
        </w:rPr>
        <w:t>：</w:t>
      </w:r>
      <w:r>
        <w:rPr>
          <w:rFonts w:hint="eastAsia" w:ascii="宋体" w:hAnsi="宋体"/>
          <w:sz w:val="24"/>
          <w:szCs w:val="24"/>
          <w:highlight w:val="none"/>
          <w:lang w:val="en-US" w:eastAsia="zh-CN"/>
        </w:rPr>
        <w:t>王贇</w:t>
      </w:r>
    </w:p>
    <w:p w14:paraId="68346CAF">
      <w:pPr>
        <w:spacing w:line="560" w:lineRule="exact"/>
        <w:ind w:firstLine="840"/>
        <w:rPr>
          <w:rFonts w:hint="default" w:ascii="宋体" w:hAnsi="宋体" w:eastAsia="宋体"/>
          <w:sz w:val="24"/>
          <w:szCs w:val="24"/>
          <w:highlight w:val="none"/>
          <w:u w:val="single"/>
          <w:lang w:val="en-US" w:eastAsia="zh-CN"/>
        </w:rPr>
      </w:pPr>
      <w:r>
        <w:rPr>
          <w:rFonts w:hint="eastAsia" w:ascii="宋体" w:hAnsi="宋体"/>
          <w:sz w:val="24"/>
          <w:szCs w:val="24"/>
          <w:highlight w:val="none"/>
        </w:rPr>
        <w:t>联系方式：</w:t>
      </w:r>
      <w:r>
        <w:rPr>
          <w:rFonts w:hint="eastAsia" w:ascii="宋体" w:hAnsi="宋体"/>
          <w:sz w:val="24"/>
          <w:szCs w:val="24"/>
          <w:highlight w:val="none"/>
          <w:lang w:val="en-US" w:eastAsia="zh-CN"/>
        </w:rPr>
        <w:t>15250662581</w:t>
      </w:r>
    </w:p>
    <w:p w14:paraId="13D269A8">
      <w:pPr>
        <w:spacing w:line="560" w:lineRule="exact"/>
        <w:ind w:firstLine="840"/>
        <w:rPr>
          <w:rFonts w:hint="eastAsia" w:ascii="宋体" w:hAnsi="宋体"/>
          <w:sz w:val="24"/>
          <w:szCs w:val="24"/>
          <w:highlight w:val="none"/>
        </w:rPr>
      </w:pPr>
      <w:r>
        <w:rPr>
          <w:rFonts w:hint="eastAsia" w:ascii="宋体" w:hAnsi="宋体"/>
          <w:sz w:val="24"/>
          <w:szCs w:val="24"/>
          <w:highlight w:val="none"/>
        </w:rPr>
        <w:t>3.项目联系方式</w:t>
      </w:r>
    </w:p>
    <w:p w14:paraId="6C8A82D1">
      <w:pPr>
        <w:spacing w:line="560" w:lineRule="exact"/>
        <w:ind w:firstLine="840"/>
        <w:rPr>
          <w:rFonts w:hint="eastAsia" w:ascii="宋体" w:hAnsi="宋体"/>
          <w:sz w:val="24"/>
          <w:szCs w:val="24"/>
          <w:highlight w:val="none"/>
          <w:u w:val="single"/>
        </w:rPr>
      </w:pPr>
      <w:r>
        <w:rPr>
          <w:rFonts w:hint="eastAsia" w:ascii="宋体" w:hAnsi="宋体"/>
          <w:sz w:val="24"/>
          <w:szCs w:val="24"/>
          <w:highlight w:val="none"/>
        </w:rPr>
        <w:t>磋商文件制作人:</w:t>
      </w:r>
      <w:r>
        <w:rPr>
          <w:rFonts w:hint="eastAsia" w:ascii="宋体" w:hAnsi="宋体"/>
          <w:sz w:val="24"/>
          <w:szCs w:val="24"/>
          <w:highlight w:val="none"/>
          <w:lang w:val="en-US" w:eastAsia="zh-CN"/>
        </w:rPr>
        <w:t>王贇</w:t>
      </w:r>
    </w:p>
    <w:p w14:paraId="74BC4B0E">
      <w:pPr>
        <w:spacing w:line="560" w:lineRule="exact"/>
        <w:ind w:firstLine="840"/>
        <w:rPr>
          <w:rFonts w:hint="eastAsia" w:ascii="宋体" w:hAnsi="宋体"/>
          <w:sz w:val="24"/>
          <w:szCs w:val="24"/>
          <w:highlight w:val="none"/>
        </w:rPr>
      </w:pPr>
      <w:r>
        <w:rPr>
          <w:rFonts w:hint="eastAsia" w:ascii="宋体" w:hAnsi="宋体"/>
          <w:sz w:val="24"/>
          <w:szCs w:val="24"/>
          <w:highlight w:val="none"/>
        </w:rPr>
        <w:t>项目磋商经办人</w:t>
      </w:r>
      <w:r>
        <w:rPr>
          <w:rFonts w:hint="eastAsia" w:ascii="宋体" w:hAnsi="宋体"/>
          <w:sz w:val="24"/>
          <w:szCs w:val="24"/>
          <w:highlight w:val="none"/>
          <w:lang w:eastAsia="zh-CN"/>
        </w:rPr>
        <w:t>：</w:t>
      </w:r>
      <w:r>
        <w:rPr>
          <w:rFonts w:hint="eastAsia" w:ascii="宋体" w:hAnsi="宋体"/>
          <w:sz w:val="24"/>
          <w:szCs w:val="24"/>
          <w:highlight w:val="none"/>
          <w:lang w:val="en-US" w:eastAsia="zh-CN"/>
        </w:rPr>
        <w:t>徐月华、顾桂源</w:t>
      </w:r>
    </w:p>
    <w:p w14:paraId="62A3EECA">
      <w:pPr>
        <w:spacing w:line="560" w:lineRule="exact"/>
        <w:ind w:firstLine="840"/>
        <w:rPr>
          <w:rFonts w:hint="eastAsia" w:ascii="宋体" w:hAnsi="宋体"/>
          <w:sz w:val="24"/>
          <w:szCs w:val="24"/>
          <w:highlight w:val="none"/>
        </w:rPr>
      </w:pPr>
      <w:r>
        <w:rPr>
          <w:rFonts w:hint="eastAsia" w:ascii="宋体" w:hAnsi="宋体"/>
          <w:sz w:val="24"/>
          <w:szCs w:val="24"/>
          <w:highlight w:val="none"/>
        </w:rPr>
        <w:t>交易系统软件维护人员：</w:t>
      </w:r>
      <w:bookmarkEnd w:id="40"/>
      <w:bookmarkEnd w:id="41"/>
      <w:r>
        <w:rPr>
          <w:rFonts w:hint="eastAsia" w:ascii="宋体" w:hAnsi="宋体"/>
          <w:sz w:val="24"/>
          <w:szCs w:val="24"/>
          <w:highlight w:val="none"/>
        </w:rPr>
        <w:t>那工</w:t>
      </w:r>
      <w:r>
        <w:rPr>
          <w:rFonts w:hint="eastAsia" w:ascii="宋体" w:hAnsi="宋体"/>
          <w:sz w:val="24"/>
          <w:szCs w:val="24"/>
          <w:highlight w:val="none"/>
          <w:lang w:val="en-US" w:eastAsia="zh-CN"/>
        </w:rPr>
        <w:t>0513-</w:t>
      </w:r>
      <w:r>
        <w:rPr>
          <w:rFonts w:hint="eastAsia" w:ascii="宋体" w:hAnsi="宋体" w:eastAsia="宋体" w:cs="Times New Roman"/>
          <w:sz w:val="24"/>
          <w:szCs w:val="24"/>
          <w:highlight w:val="none"/>
          <w:lang w:val="en-US" w:eastAsia="zh-CN"/>
        </w:rPr>
        <w:t>59001950</w:t>
      </w:r>
      <w:r>
        <w:rPr>
          <w:rFonts w:hint="eastAsia" w:ascii="宋体" w:hAnsi="宋体"/>
          <w:sz w:val="24"/>
          <w:szCs w:val="24"/>
          <w:highlight w:val="none"/>
        </w:rPr>
        <w:t>、0519-86722806</w:t>
      </w:r>
    </w:p>
    <w:p w14:paraId="34BC4257">
      <w:pPr>
        <w:widowControl/>
        <w:spacing w:line="560" w:lineRule="exact"/>
        <w:jc w:val="left"/>
        <w:rPr>
          <w:rFonts w:hint="eastAsia" w:ascii="宋体" w:hAnsi="宋体"/>
          <w:sz w:val="24"/>
          <w:szCs w:val="24"/>
          <w:highlight w:val="none"/>
        </w:rPr>
      </w:pPr>
    </w:p>
    <w:p w14:paraId="08CEE734">
      <w:pPr>
        <w:widowControl/>
        <w:spacing w:line="560" w:lineRule="exact"/>
        <w:jc w:val="left"/>
        <w:rPr>
          <w:rFonts w:hint="eastAsia" w:ascii="宋体" w:hAnsi="宋体"/>
          <w:sz w:val="24"/>
          <w:szCs w:val="24"/>
          <w:highlight w:val="none"/>
        </w:rPr>
      </w:pPr>
    </w:p>
    <w:p w14:paraId="6B8427EE">
      <w:pPr>
        <w:pStyle w:val="261"/>
        <w:rPr>
          <w:rFonts w:hint="eastAsia" w:ascii="宋体" w:hAnsi="宋体"/>
          <w:sz w:val="24"/>
          <w:szCs w:val="24"/>
          <w:highlight w:val="none"/>
        </w:rPr>
      </w:pPr>
    </w:p>
    <w:p w14:paraId="4BDDBD35">
      <w:pPr>
        <w:pStyle w:val="261"/>
        <w:rPr>
          <w:rFonts w:hint="eastAsia" w:ascii="宋体" w:hAnsi="宋体"/>
          <w:sz w:val="24"/>
          <w:szCs w:val="24"/>
          <w:highlight w:val="none"/>
        </w:rPr>
      </w:pPr>
    </w:p>
    <w:p w14:paraId="78BD979B">
      <w:pPr>
        <w:pStyle w:val="261"/>
        <w:rPr>
          <w:rFonts w:hint="eastAsia" w:ascii="宋体" w:hAnsi="宋体"/>
          <w:sz w:val="24"/>
          <w:szCs w:val="24"/>
          <w:highlight w:val="none"/>
        </w:rPr>
      </w:pPr>
    </w:p>
    <w:p w14:paraId="7EB5EC10">
      <w:pPr>
        <w:pStyle w:val="261"/>
        <w:rPr>
          <w:rFonts w:hint="eastAsia" w:ascii="宋体" w:hAnsi="宋体"/>
          <w:sz w:val="24"/>
          <w:szCs w:val="24"/>
          <w:highlight w:val="none"/>
        </w:rPr>
      </w:pPr>
    </w:p>
    <w:p w14:paraId="086F2F76">
      <w:pPr>
        <w:pStyle w:val="261"/>
        <w:rPr>
          <w:rFonts w:hint="eastAsia" w:ascii="宋体" w:hAnsi="宋体"/>
          <w:sz w:val="24"/>
          <w:szCs w:val="24"/>
          <w:highlight w:val="none"/>
        </w:rPr>
      </w:pPr>
    </w:p>
    <w:p w14:paraId="41E6C922">
      <w:pPr>
        <w:pStyle w:val="261"/>
        <w:rPr>
          <w:rFonts w:hint="eastAsia" w:ascii="宋体" w:hAnsi="宋体"/>
          <w:sz w:val="24"/>
          <w:szCs w:val="24"/>
          <w:highlight w:val="none"/>
        </w:rPr>
      </w:pPr>
    </w:p>
    <w:p w14:paraId="7D45FDA4">
      <w:pPr>
        <w:pStyle w:val="261"/>
        <w:rPr>
          <w:rFonts w:hint="eastAsia" w:ascii="宋体" w:hAnsi="宋体"/>
          <w:sz w:val="24"/>
          <w:szCs w:val="24"/>
          <w:highlight w:val="none"/>
        </w:rPr>
      </w:pPr>
    </w:p>
    <w:p w14:paraId="44D9771B">
      <w:pPr>
        <w:pStyle w:val="261"/>
        <w:rPr>
          <w:rFonts w:hint="eastAsia" w:ascii="宋体" w:hAnsi="宋体"/>
          <w:sz w:val="24"/>
          <w:szCs w:val="24"/>
          <w:highlight w:val="none"/>
        </w:rPr>
      </w:pPr>
    </w:p>
    <w:p w14:paraId="439AE653">
      <w:pPr>
        <w:pStyle w:val="261"/>
        <w:rPr>
          <w:rFonts w:hint="eastAsia" w:ascii="宋体" w:hAnsi="宋体"/>
          <w:sz w:val="24"/>
          <w:szCs w:val="24"/>
          <w:highlight w:val="none"/>
        </w:rPr>
      </w:pPr>
    </w:p>
    <w:p w14:paraId="4BD66349">
      <w:pPr>
        <w:pStyle w:val="261"/>
        <w:rPr>
          <w:rFonts w:hint="eastAsia" w:ascii="宋体" w:hAnsi="宋体"/>
          <w:sz w:val="24"/>
          <w:szCs w:val="24"/>
          <w:highlight w:val="none"/>
        </w:rPr>
      </w:pPr>
    </w:p>
    <w:p w14:paraId="4A5FB03D">
      <w:pPr>
        <w:pStyle w:val="261"/>
        <w:rPr>
          <w:rFonts w:hint="eastAsia" w:ascii="宋体" w:hAnsi="宋体"/>
          <w:sz w:val="24"/>
          <w:szCs w:val="24"/>
          <w:highlight w:val="none"/>
        </w:rPr>
      </w:pPr>
    </w:p>
    <w:p w14:paraId="69D5D71D">
      <w:pPr>
        <w:widowControl/>
        <w:spacing w:line="560" w:lineRule="exact"/>
        <w:jc w:val="left"/>
        <w:rPr>
          <w:rFonts w:hint="eastAsia" w:ascii="宋体" w:hAnsi="宋体"/>
          <w:sz w:val="24"/>
          <w:szCs w:val="24"/>
          <w:highlight w:val="none"/>
        </w:rPr>
      </w:pPr>
    </w:p>
    <w:p w14:paraId="2E01713D">
      <w:pPr>
        <w:keepNext/>
        <w:keepLines/>
        <w:spacing w:line="520" w:lineRule="exact"/>
        <w:jc w:val="center"/>
        <w:outlineLvl w:val="1"/>
        <w:rPr>
          <w:rFonts w:hint="eastAsia" w:ascii="黑体" w:hAnsi="Arial" w:eastAsia="黑体" w:cs="Arial"/>
          <w:sz w:val="44"/>
          <w:szCs w:val="44"/>
          <w:highlight w:val="none"/>
        </w:rPr>
      </w:pPr>
      <w:bookmarkStart w:id="44" w:name="_Toc120614211"/>
      <w:r>
        <w:rPr>
          <w:rFonts w:hint="eastAsia" w:ascii="黑体" w:hAnsi="Arial" w:eastAsia="黑体" w:cs="Arial"/>
          <w:b/>
          <w:bCs/>
          <w:sz w:val="44"/>
          <w:szCs w:val="44"/>
          <w:highlight w:val="none"/>
        </w:rPr>
        <w:t xml:space="preserve">第二章  </w:t>
      </w:r>
      <w:bookmarkEnd w:id="1"/>
      <w:bookmarkEnd w:id="2"/>
      <w:bookmarkEnd w:id="3"/>
      <w:bookmarkEnd w:id="4"/>
      <w:bookmarkEnd w:id="5"/>
      <w:bookmarkEnd w:id="44"/>
      <w:r>
        <w:rPr>
          <w:rFonts w:hint="eastAsia" w:ascii="黑体" w:hAnsi="Arial" w:eastAsia="黑体" w:cs="Arial"/>
          <w:b/>
          <w:bCs/>
          <w:sz w:val="44"/>
          <w:szCs w:val="44"/>
          <w:highlight w:val="none"/>
        </w:rPr>
        <w:t>供应商须知</w:t>
      </w:r>
    </w:p>
    <w:p w14:paraId="03082BFD">
      <w:pPr>
        <w:keepNext/>
        <w:keepLines/>
        <w:spacing w:line="520" w:lineRule="exact"/>
        <w:ind w:firstLine="496"/>
        <w:outlineLvl w:val="2"/>
        <w:rPr>
          <w:rFonts w:hint="eastAsia"/>
          <w:b/>
          <w:bCs/>
          <w:sz w:val="32"/>
          <w:szCs w:val="32"/>
          <w:highlight w:val="none"/>
        </w:rPr>
      </w:pPr>
      <w:bookmarkStart w:id="45" w:name="_Toc513029203"/>
      <w:bookmarkStart w:id="46" w:name="_Toc20823275"/>
      <w:bookmarkStart w:id="47" w:name="_Toc16938519"/>
      <w:bookmarkStart w:id="48" w:name="_Toc120614214"/>
      <w:r>
        <w:rPr>
          <w:rFonts w:hint="eastAsia"/>
          <w:b/>
          <w:bCs/>
          <w:sz w:val="32"/>
          <w:szCs w:val="32"/>
          <w:highlight w:val="none"/>
        </w:rPr>
        <w:t>一、总则</w:t>
      </w:r>
      <w:bookmarkEnd w:id="45"/>
      <w:bookmarkEnd w:id="46"/>
      <w:bookmarkEnd w:id="47"/>
      <w:bookmarkEnd w:id="48"/>
    </w:p>
    <w:p w14:paraId="3D3C92B0">
      <w:pPr>
        <w:keepNext/>
        <w:keepLines/>
        <w:spacing w:line="520" w:lineRule="exact"/>
        <w:ind w:firstLine="420"/>
        <w:outlineLvl w:val="3"/>
        <w:rPr>
          <w:rFonts w:hint="eastAsia" w:ascii="Arial" w:hAnsi="Arial" w:eastAsia="黑体" w:cs="Arial"/>
          <w:sz w:val="28"/>
          <w:szCs w:val="28"/>
          <w:highlight w:val="none"/>
        </w:rPr>
      </w:pPr>
      <w:bookmarkStart w:id="49" w:name="_Hlt16619475"/>
      <w:bookmarkEnd w:id="49"/>
      <w:bookmarkStart w:id="50" w:name="_Toc458694821"/>
      <w:bookmarkStart w:id="51" w:name="_Toc16938520"/>
      <w:bookmarkStart w:id="52" w:name="_Toc20823276"/>
      <w:bookmarkStart w:id="53" w:name="_Toc513029204"/>
      <w:r>
        <w:rPr>
          <w:rFonts w:hint="eastAsia" w:ascii="Arial" w:hAnsi="Arial" w:eastAsia="黑体" w:cs="Arial"/>
          <w:sz w:val="28"/>
          <w:szCs w:val="28"/>
          <w:highlight w:val="none"/>
        </w:rPr>
        <w:t>1</w:t>
      </w:r>
      <w:bookmarkEnd w:id="50"/>
      <w:r>
        <w:rPr>
          <w:rFonts w:hint="eastAsia" w:ascii="Arial" w:hAnsi="Arial" w:eastAsia="黑体" w:cs="Arial"/>
          <w:sz w:val="28"/>
          <w:szCs w:val="28"/>
          <w:highlight w:val="none"/>
        </w:rPr>
        <w:t>、采购方式</w:t>
      </w:r>
      <w:bookmarkEnd w:id="51"/>
      <w:bookmarkEnd w:id="52"/>
      <w:bookmarkEnd w:id="53"/>
    </w:p>
    <w:p w14:paraId="053C9DBB">
      <w:pPr>
        <w:spacing w:line="520" w:lineRule="exact"/>
        <w:ind w:firstLine="480"/>
        <w:rPr>
          <w:rFonts w:hint="eastAsia" w:ascii="宋体" w:hAnsi="宋体"/>
          <w:sz w:val="24"/>
          <w:szCs w:val="21"/>
          <w:highlight w:val="none"/>
        </w:rPr>
      </w:pPr>
      <w:r>
        <w:rPr>
          <w:rFonts w:hint="eastAsia" w:ascii="宋体" w:hAnsi="宋体"/>
          <w:sz w:val="24"/>
          <w:szCs w:val="21"/>
          <w:highlight w:val="none"/>
        </w:rPr>
        <w:t>1.1 本次政府采购活动采取竞争性磋商(以下简称磋商)方式，本磋商文件仅适用于磋商公告中所述项目。</w:t>
      </w:r>
    </w:p>
    <w:p w14:paraId="720ED8AA">
      <w:pPr>
        <w:keepNext/>
        <w:keepLines/>
        <w:spacing w:line="520" w:lineRule="exact"/>
        <w:ind w:firstLine="420"/>
        <w:outlineLvl w:val="3"/>
        <w:rPr>
          <w:rFonts w:hint="eastAsia" w:ascii="Arial" w:hAnsi="Arial" w:eastAsia="黑体" w:cs="Arial"/>
          <w:sz w:val="28"/>
          <w:szCs w:val="28"/>
          <w:highlight w:val="none"/>
        </w:rPr>
      </w:pPr>
      <w:bookmarkStart w:id="54" w:name="_Toc20823277"/>
      <w:bookmarkStart w:id="55" w:name="_Toc16938521"/>
      <w:bookmarkStart w:id="56" w:name="_Toc513029205"/>
      <w:r>
        <w:rPr>
          <w:rFonts w:hint="eastAsia" w:ascii="Arial" w:hAnsi="Arial" w:eastAsia="黑体" w:cs="Arial"/>
          <w:sz w:val="28"/>
          <w:szCs w:val="28"/>
          <w:highlight w:val="none"/>
        </w:rPr>
        <w:t>2、合格的</w:t>
      </w:r>
      <w:bookmarkEnd w:id="54"/>
      <w:bookmarkEnd w:id="55"/>
      <w:bookmarkEnd w:id="56"/>
      <w:r>
        <w:rPr>
          <w:rFonts w:hint="eastAsia" w:ascii="Arial" w:hAnsi="Arial" w:eastAsia="黑体" w:cs="Arial"/>
          <w:sz w:val="28"/>
          <w:szCs w:val="28"/>
          <w:highlight w:val="none"/>
        </w:rPr>
        <w:t>供应商</w:t>
      </w:r>
    </w:p>
    <w:p w14:paraId="5A04A1A3">
      <w:pPr>
        <w:spacing w:line="520" w:lineRule="exact"/>
        <w:ind w:firstLine="480"/>
        <w:rPr>
          <w:rFonts w:hint="eastAsia" w:ascii="宋体" w:hAnsi="宋体"/>
          <w:sz w:val="24"/>
          <w:szCs w:val="24"/>
          <w:highlight w:val="none"/>
        </w:rPr>
      </w:pPr>
      <w:r>
        <w:rPr>
          <w:rFonts w:hint="eastAsia" w:ascii="宋体" w:hAnsi="宋体"/>
          <w:sz w:val="24"/>
          <w:szCs w:val="24"/>
          <w:highlight w:val="none"/>
        </w:rPr>
        <w:t>2.1满足磋商公告中供应商资格要求的规定。</w:t>
      </w:r>
    </w:p>
    <w:p w14:paraId="000A4BB8">
      <w:pPr>
        <w:spacing w:line="520" w:lineRule="exact"/>
        <w:ind w:firstLine="480"/>
        <w:rPr>
          <w:rFonts w:hint="eastAsia" w:ascii="宋体" w:hAnsi="宋体"/>
          <w:sz w:val="24"/>
          <w:szCs w:val="24"/>
          <w:highlight w:val="none"/>
        </w:rPr>
      </w:pPr>
      <w:r>
        <w:rPr>
          <w:rFonts w:hint="eastAsia" w:ascii="宋体" w:hAnsi="宋体"/>
          <w:sz w:val="24"/>
          <w:szCs w:val="24"/>
          <w:highlight w:val="none"/>
        </w:rPr>
        <w:t>2.2 满足本磋商文件实质性要求和条件的规定。</w:t>
      </w:r>
    </w:p>
    <w:p w14:paraId="7BE50D64">
      <w:pPr>
        <w:keepNext/>
        <w:keepLines/>
        <w:spacing w:line="520" w:lineRule="exact"/>
        <w:ind w:firstLine="420"/>
        <w:outlineLvl w:val="3"/>
        <w:rPr>
          <w:rFonts w:hint="eastAsia" w:ascii="Arial" w:hAnsi="Arial" w:eastAsia="黑体" w:cs="Arial"/>
          <w:sz w:val="28"/>
          <w:szCs w:val="28"/>
          <w:highlight w:val="none"/>
        </w:rPr>
      </w:pPr>
      <w:bookmarkStart w:id="57" w:name="_Toc16938522"/>
      <w:bookmarkStart w:id="58" w:name="_Toc20823278"/>
      <w:bookmarkStart w:id="59" w:name="_Toc513029206"/>
      <w:r>
        <w:rPr>
          <w:rFonts w:hint="eastAsia" w:ascii="Arial" w:hAnsi="Arial" w:eastAsia="黑体" w:cs="Arial"/>
          <w:sz w:val="28"/>
          <w:szCs w:val="28"/>
          <w:highlight w:val="none"/>
        </w:rPr>
        <w:t>3、适用法律</w:t>
      </w:r>
      <w:bookmarkEnd w:id="57"/>
      <w:bookmarkEnd w:id="58"/>
      <w:bookmarkEnd w:id="59"/>
    </w:p>
    <w:p w14:paraId="4C223958">
      <w:pPr>
        <w:spacing w:line="520" w:lineRule="exact"/>
        <w:ind w:firstLine="420"/>
        <w:rPr>
          <w:rFonts w:hint="eastAsia" w:ascii="宋体" w:hAnsi="宋体"/>
          <w:sz w:val="24"/>
          <w:szCs w:val="21"/>
          <w:highlight w:val="none"/>
        </w:rPr>
      </w:pPr>
      <w:r>
        <w:rPr>
          <w:rFonts w:hint="eastAsia" w:ascii="宋体" w:hAnsi="宋体"/>
          <w:sz w:val="24"/>
          <w:szCs w:val="21"/>
          <w:highlight w:val="none"/>
        </w:rPr>
        <w:t>3.1 本次磋商及由此产生的合同受中华人民共和国有关的法律法规制约和保护</w:t>
      </w:r>
      <w:r>
        <w:rPr>
          <w:rFonts w:ascii="宋体" w:hAnsi="宋体"/>
          <w:sz w:val="24"/>
          <w:szCs w:val="21"/>
          <w:highlight w:val="none"/>
        </w:rPr>
        <w:t>。</w:t>
      </w:r>
    </w:p>
    <w:p w14:paraId="4756A5F1">
      <w:pPr>
        <w:keepNext/>
        <w:keepLines/>
        <w:spacing w:line="520" w:lineRule="exact"/>
        <w:ind w:firstLine="420"/>
        <w:outlineLvl w:val="3"/>
        <w:rPr>
          <w:rFonts w:hint="eastAsia" w:ascii="Arial" w:hAnsi="Arial" w:eastAsia="黑体" w:cs="Arial"/>
          <w:sz w:val="28"/>
          <w:szCs w:val="28"/>
          <w:highlight w:val="none"/>
        </w:rPr>
      </w:pPr>
      <w:bookmarkStart w:id="60" w:name="_Toc513029207"/>
      <w:bookmarkStart w:id="61" w:name="_Toc462564067"/>
      <w:bookmarkStart w:id="62" w:name="_Toc16938523"/>
      <w:bookmarkStart w:id="63" w:name="_Toc20823279"/>
      <w:r>
        <w:rPr>
          <w:rFonts w:hint="eastAsia" w:ascii="Arial" w:hAnsi="Arial" w:eastAsia="黑体" w:cs="Arial"/>
          <w:sz w:val="28"/>
          <w:szCs w:val="28"/>
          <w:highlight w:val="none"/>
        </w:rPr>
        <w:t>4、磋商费用</w:t>
      </w:r>
      <w:bookmarkEnd w:id="60"/>
      <w:bookmarkEnd w:id="61"/>
      <w:bookmarkEnd w:id="62"/>
      <w:bookmarkEnd w:id="63"/>
    </w:p>
    <w:p w14:paraId="201D29B0">
      <w:pPr>
        <w:spacing w:line="520" w:lineRule="exact"/>
        <w:ind w:firstLine="480"/>
        <w:rPr>
          <w:rFonts w:hint="eastAsia" w:ascii="宋体" w:hAnsi="宋体"/>
          <w:sz w:val="24"/>
          <w:szCs w:val="21"/>
          <w:highlight w:val="none"/>
        </w:rPr>
      </w:pPr>
      <w:r>
        <w:rPr>
          <w:rFonts w:hint="eastAsia" w:ascii="宋体" w:hAnsi="宋体"/>
          <w:bCs/>
          <w:sz w:val="24"/>
          <w:szCs w:val="21"/>
          <w:highlight w:val="none"/>
        </w:rPr>
        <w:t>4.1</w:t>
      </w:r>
      <w:r>
        <w:rPr>
          <w:rFonts w:hint="eastAsia" w:ascii="宋体" w:hAnsi="宋体"/>
          <w:sz w:val="24"/>
          <w:szCs w:val="21"/>
          <w:highlight w:val="none"/>
        </w:rPr>
        <w:t>供应商应自行承担所有与参加本次磋商有关的费用，无论磋商过程中的做法和结果如何，采购人和采购代理机构在任何情况下均无义务和责任承担这些费用。</w:t>
      </w:r>
    </w:p>
    <w:p w14:paraId="029EF2CE">
      <w:pPr>
        <w:spacing w:line="520" w:lineRule="exact"/>
        <w:ind w:firstLine="480"/>
        <w:rPr>
          <w:rFonts w:hint="eastAsia" w:ascii="宋体" w:hAnsi="宋体"/>
          <w:sz w:val="24"/>
          <w:szCs w:val="21"/>
          <w:highlight w:val="none"/>
        </w:rPr>
      </w:pPr>
      <w:r>
        <w:rPr>
          <w:rFonts w:hint="eastAsia" w:ascii="宋体" w:hAnsi="宋体"/>
          <w:sz w:val="24"/>
          <w:szCs w:val="21"/>
          <w:highlight w:val="none"/>
        </w:rPr>
        <w:t>4.2本次磋商不收取标书工本费。</w:t>
      </w:r>
    </w:p>
    <w:p w14:paraId="21A996B7">
      <w:pPr>
        <w:spacing w:line="520" w:lineRule="exact"/>
        <w:ind w:firstLine="480"/>
        <w:rPr>
          <w:rFonts w:hint="eastAsia" w:ascii="宋体" w:hAnsi="宋体" w:eastAsia="宋体" w:cs="Times New Roman"/>
          <w:sz w:val="24"/>
          <w:szCs w:val="21"/>
          <w:highlight w:val="none"/>
          <w:lang w:eastAsia="zh-CN"/>
        </w:rPr>
      </w:pPr>
      <w:r>
        <w:rPr>
          <w:rFonts w:hint="eastAsia" w:ascii="宋体" w:hAnsi="宋体"/>
          <w:bCs/>
          <w:sz w:val="24"/>
          <w:szCs w:val="21"/>
          <w:highlight w:val="none"/>
        </w:rPr>
        <w:t>4.3</w:t>
      </w:r>
      <w:r>
        <w:rPr>
          <w:rFonts w:hint="eastAsia" w:ascii="宋体" w:hAnsi="宋体" w:eastAsia="宋体" w:cs="Times New Roman"/>
          <w:sz w:val="24"/>
          <w:szCs w:val="21"/>
          <w:highlight w:val="none"/>
        </w:rPr>
        <w:t>本项目招标代理费固定为人民币2900元，该费用已在委托代理合同中约定</w:t>
      </w:r>
      <w:r>
        <w:rPr>
          <w:rFonts w:hint="eastAsia" w:ascii="宋体" w:hAnsi="宋体" w:eastAsia="宋体" w:cs="Times New Roman"/>
          <w:sz w:val="24"/>
          <w:szCs w:val="21"/>
          <w:highlight w:val="none"/>
          <w:lang w:eastAsia="zh-CN"/>
        </w:rPr>
        <w:t>，</w:t>
      </w:r>
      <w:r>
        <w:rPr>
          <w:rFonts w:hint="eastAsia" w:ascii="宋体" w:hAnsi="宋体" w:eastAsia="宋体" w:cs="Times New Roman"/>
          <w:sz w:val="24"/>
          <w:szCs w:val="21"/>
          <w:highlight w:val="none"/>
          <w:lang w:val="en-US" w:eastAsia="zh-CN"/>
        </w:rPr>
        <w:t>响应供应报价时应综合考虑在报价内（不单列）</w:t>
      </w:r>
      <w:r>
        <w:rPr>
          <w:rFonts w:hint="eastAsia" w:ascii="宋体" w:hAnsi="宋体" w:eastAsia="宋体" w:cs="Times New Roman"/>
          <w:sz w:val="24"/>
          <w:szCs w:val="21"/>
          <w:highlight w:val="none"/>
          <w:lang w:eastAsia="zh-CN"/>
        </w:rPr>
        <w:t>。</w:t>
      </w:r>
    </w:p>
    <w:p w14:paraId="69C57F77">
      <w:pPr>
        <w:spacing w:line="520" w:lineRule="exact"/>
        <w:ind w:firstLine="480"/>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项目定标后，成交人须在规定期限内，将招标代理费以银行转账方式足额支付至代理公司指定账户</w:t>
      </w:r>
      <w:r>
        <w:rPr>
          <w:rFonts w:hint="eastAsia" w:ascii="宋体" w:hAnsi="宋体" w:eastAsia="宋体" w:cs="Times New Roman"/>
          <w:sz w:val="24"/>
          <w:szCs w:val="21"/>
          <w:highlight w:val="none"/>
          <w:lang w:eastAsia="zh-CN"/>
        </w:rPr>
        <w:t>，</w:t>
      </w:r>
      <w:r>
        <w:rPr>
          <w:rFonts w:hint="eastAsia" w:ascii="宋体" w:hAnsi="宋体" w:eastAsia="宋体" w:cs="Times New Roman"/>
          <w:sz w:val="24"/>
          <w:szCs w:val="21"/>
          <w:highlight w:val="none"/>
        </w:rPr>
        <w:t>代理公司收款后提供合法有效票据。</w:t>
      </w:r>
    </w:p>
    <w:p w14:paraId="250696C0">
      <w:pPr>
        <w:spacing w:line="520" w:lineRule="exact"/>
        <w:ind w:firstLine="480"/>
        <w:rPr>
          <w:rFonts w:ascii="宋体" w:hAnsi="宋体"/>
          <w:bCs/>
          <w:sz w:val="24"/>
          <w:szCs w:val="21"/>
          <w:highlight w:val="none"/>
          <w:lang w:val="en-US"/>
        </w:rPr>
      </w:pPr>
      <w:r>
        <w:rPr>
          <w:rFonts w:hint="eastAsia" w:ascii="宋体" w:hAnsi="宋体" w:eastAsia="宋体" w:cs="Times New Roman"/>
          <w:sz w:val="24"/>
          <w:szCs w:val="21"/>
          <w:highlight w:val="none"/>
        </w:rPr>
        <w:t>因成交人自身原因导致项目流标、成交结果撤销或自身被取消成交资格的，已支付的招标代理费不予退还。</w:t>
      </w:r>
    </w:p>
    <w:p w14:paraId="7F98D874">
      <w:pPr>
        <w:keepNext/>
        <w:keepLines/>
        <w:spacing w:line="520" w:lineRule="exact"/>
        <w:ind w:firstLine="300"/>
        <w:outlineLvl w:val="3"/>
        <w:rPr>
          <w:rFonts w:hint="eastAsia" w:ascii="黑体" w:hAnsi="宋体" w:eastAsia="黑体" w:cs="Arial"/>
          <w:sz w:val="28"/>
          <w:szCs w:val="28"/>
          <w:highlight w:val="none"/>
        </w:rPr>
      </w:pPr>
      <w:r>
        <w:rPr>
          <w:rFonts w:hint="eastAsia" w:ascii="宋体" w:hAnsi="宋体" w:eastAsia="黑体" w:cs="Arial"/>
          <w:b/>
          <w:bCs/>
          <w:sz w:val="30"/>
          <w:szCs w:val="28"/>
          <w:highlight w:val="none"/>
        </w:rPr>
        <w:t>5、</w:t>
      </w:r>
      <w:r>
        <w:rPr>
          <w:rFonts w:hint="eastAsia" w:ascii="黑体" w:hAnsi="宋体" w:eastAsia="黑体" w:cs="Arial"/>
          <w:sz w:val="28"/>
          <w:szCs w:val="28"/>
          <w:highlight w:val="none"/>
        </w:rPr>
        <w:t>磋商文件的约束力</w:t>
      </w:r>
    </w:p>
    <w:p w14:paraId="1B69029E">
      <w:pPr>
        <w:spacing w:line="520" w:lineRule="exact"/>
        <w:ind w:firstLine="480"/>
        <w:rPr>
          <w:rFonts w:hint="eastAsia" w:ascii="宋体" w:hAnsi="宋体"/>
          <w:sz w:val="24"/>
          <w:szCs w:val="24"/>
          <w:highlight w:val="none"/>
        </w:rPr>
      </w:pPr>
      <w:r>
        <w:rPr>
          <w:rFonts w:hint="eastAsia" w:ascii="宋体" w:hAnsi="宋体"/>
          <w:bCs/>
          <w:sz w:val="24"/>
          <w:szCs w:val="24"/>
          <w:highlight w:val="none"/>
        </w:rPr>
        <w:t>5.1</w:t>
      </w:r>
      <w:r>
        <w:rPr>
          <w:rFonts w:hint="eastAsia" w:ascii="宋体" w:hAnsi="宋体"/>
          <w:sz w:val="24"/>
          <w:szCs w:val="24"/>
          <w:highlight w:val="none"/>
        </w:rPr>
        <w:t>供应商一旦参加本项目采购活动，即被认为接受了本磋商文件的规定和约束。</w:t>
      </w:r>
    </w:p>
    <w:p w14:paraId="2096C1DF">
      <w:pPr>
        <w:keepNext/>
        <w:keepLines/>
        <w:spacing w:line="520" w:lineRule="exact"/>
        <w:ind w:firstLine="320"/>
        <w:outlineLvl w:val="2"/>
        <w:rPr>
          <w:rFonts w:hint="eastAsia"/>
          <w:b/>
          <w:bCs/>
          <w:sz w:val="32"/>
          <w:szCs w:val="32"/>
          <w:highlight w:val="none"/>
        </w:rPr>
      </w:pPr>
      <w:bookmarkStart w:id="64" w:name="_Toc16938525"/>
      <w:bookmarkStart w:id="65" w:name="_Toc513029209"/>
      <w:bookmarkStart w:id="66" w:name="_Toc20823281"/>
      <w:bookmarkStart w:id="67" w:name="_Toc120614215"/>
      <w:r>
        <w:rPr>
          <w:rFonts w:hint="eastAsia"/>
          <w:b/>
          <w:bCs/>
          <w:sz w:val="32"/>
          <w:szCs w:val="32"/>
          <w:highlight w:val="none"/>
        </w:rPr>
        <w:t>二、</w:t>
      </w:r>
      <w:bookmarkEnd w:id="64"/>
      <w:bookmarkEnd w:id="65"/>
      <w:bookmarkEnd w:id="66"/>
      <w:bookmarkEnd w:id="67"/>
      <w:r>
        <w:rPr>
          <w:rFonts w:hint="eastAsia"/>
          <w:b/>
          <w:bCs/>
          <w:sz w:val="32"/>
          <w:szCs w:val="32"/>
          <w:highlight w:val="none"/>
        </w:rPr>
        <w:t>磋商文件</w:t>
      </w:r>
    </w:p>
    <w:p w14:paraId="21950AC8">
      <w:pPr>
        <w:keepNext/>
        <w:keepLines/>
        <w:spacing w:line="520" w:lineRule="exact"/>
        <w:ind w:firstLine="420"/>
        <w:outlineLvl w:val="3"/>
        <w:rPr>
          <w:rFonts w:hint="eastAsia" w:ascii="Arial" w:hAnsi="Arial" w:eastAsia="黑体" w:cs="Arial"/>
          <w:sz w:val="28"/>
          <w:szCs w:val="28"/>
          <w:highlight w:val="none"/>
        </w:rPr>
      </w:pPr>
      <w:bookmarkStart w:id="68" w:name="_Toc16938526"/>
      <w:bookmarkStart w:id="69" w:name="_Toc513029210"/>
      <w:bookmarkStart w:id="70" w:name="_Toc20823282"/>
      <w:r>
        <w:rPr>
          <w:rFonts w:hint="eastAsia" w:ascii="Arial" w:hAnsi="Arial" w:eastAsia="黑体" w:cs="Arial"/>
          <w:sz w:val="28"/>
          <w:szCs w:val="28"/>
          <w:highlight w:val="none"/>
        </w:rPr>
        <w:t>6、磋商文件构成</w:t>
      </w:r>
      <w:bookmarkEnd w:id="68"/>
      <w:bookmarkEnd w:id="69"/>
      <w:bookmarkEnd w:id="70"/>
    </w:p>
    <w:p w14:paraId="60104593">
      <w:pPr>
        <w:spacing w:line="520" w:lineRule="exact"/>
        <w:ind w:firstLine="480"/>
        <w:rPr>
          <w:rFonts w:hint="eastAsia" w:ascii="宋体" w:hAnsi="宋体"/>
          <w:sz w:val="24"/>
          <w:szCs w:val="21"/>
          <w:highlight w:val="none"/>
        </w:rPr>
      </w:pPr>
      <w:r>
        <w:rPr>
          <w:rFonts w:hint="eastAsia" w:ascii="宋体" w:hAnsi="宋体"/>
          <w:bCs/>
          <w:sz w:val="24"/>
          <w:szCs w:val="21"/>
          <w:highlight w:val="none"/>
        </w:rPr>
        <w:t>6.1</w:t>
      </w:r>
      <w:r>
        <w:rPr>
          <w:rFonts w:hint="eastAsia" w:ascii="宋体" w:hAnsi="宋体"/>
          <w:sz w:val="24"/>
          <w:szCs w:val="21"/>
          <w:highlight w:val="none"/>
        </w:rPr>
        <w:t>磋商文件由以下部分组成：</w:t>
      </w:r>
    </w:p>
    <w:p w14:paraId="228B4F8E">
      <w:pPr>
        <w:spacing w:line="520" w:lineRule="exact"/>
        <w:ind w:firstLine="360"/>
        <w:rPr>
          <w:rFonts w:hint="eastAsia" w:ascii="宋体" w:hAnsi="宋体"/>
          <w:sz w:val="24"/>
          <w:szCs w:val="24"/>
          <w:highlight w:val="none"/>
        </w:rPr>
      </w:pPr>
      <w:r>
        <w:rPr>
          <w:rFonts w:hint="eastAsia" w:ascii="宋体" w:hAnsi="宋体"/>
          <w:sz w:val="24"/>
          <w:szCs w:val="24"/>
          <w:highlight w:val="none"/>
        </w:rPr>
        <w:t>（1）磋商</w:t>
      </w:r>
      <w:r>
        <w:rPr>
          <w:rFonts w:ascii="宋体" w:hAnsi="宋体"/>
          <w:sz w:val="24"/>
          <w:szCs w:val="24"/>
          <w:highlight w:val="none"/>
        </w:rPr>
        <w:t>邀请</w:t>
      </w:r>
    </w:p>
    <w:p w14:paraId="66F56ABA">
      <w:pPr>
        <w:spacing w:line="520" w:lineRule="exact"/>
        <w:ind w:firstLine="360"/>
        <w:rPr>
          <w:rFonts w:hint="eastAsia" w:ascii="宋体" w:hAnsi="宋体"/>
          <w:sz w:val="24"/>
          <w:szCs w:val="24"/>
          <w:highlight w:val="none"/>
        </w:rPr>
      </w:pPr>
      <w:r>
        <w:rPr>
          <w:rFonts w:hint="eastAsia" w:ascii="宋体" w:hAnsi="宋体"/>
          <w:sz w:val="24"/>
          <w:szCs w:val="24"/>
          <w:highlight w:val="none"/>
        </w:rPr>
        <w:t>（2）供应商须知</w:t>
      </w:r>
    </w:p>
    <w:p w14:paraId="18A574B6">
      <w:pPr>
        <w:spacing w:line="520" w:lineRule="exact"/>
        <w:ind w:firstLine="360"/>
        <w:rPr>
          <w:rFonts w:hint="eastAsia" w:ascii="宋体" w:hAnsi="宋体"/>
          <w:sz w:val="24"/>
          <w:szCs w:val="24"/>
          <w:highlight w:val="none"/>
        </w:rPr>
      </w:pPr>
      <w:r>
        <w:rPr>
          <w:rFonts w:hint="eastAsia" w:ascii="宋体" w:hAnsi="宋体"/>
          <w:sz w:val="24"/>
          <w:szCs w:val="24"/>
          <w:highlight w:val="none"/>
        </w:rPr>
        <w:t>（3）采购需求</w:t>
      </w:r>
    </w:p>
    <w:p w14:paraId="24156AAB">
      <w:pPr>
        <w:spacing w:line="520" w:lineRule="exact"/>
        <w:ind w:firstLine="360"/>
        <w:rPr>
          <w:rFonts w:hint="eastAsia"/>
          <w:sz w:val="24"/>
          <w:szCs w:val="24"/>
          <w:highlight w:val="none"/>
        </w:rPr>
      </w:pPr>
      <w:r>
        <w:rPr>
          <w:rFonts w:hint="eastAsia" w:ascii="宋体" w:hAnsi="宋体"/>
          <w:sz w:val="24"/>
          <w:szCs w:val="24"/>
          <w:highlight w:val="none"/>
        </w:rPr>
        <w:t>（4）</w:t>
      </w:r>
      <w:r>
        <w:rPr>
          <w:rFonts w:hint="eastAsia" w:hAnsi="宋体"/>
          <w:sz w:val="24"/>
          <w:szCs w:val="24"/>
          <w:highlight w:val="none"/>
        </w:rPr>
        <w:t>评审方法与评审标准</w:t>
      </w:r>
    </w:p>
    <w:p w14:paraId="02B2E262">
      <w:pPr>
        <w:spacing w:line="520" w:lineRule="exact"/>
        <w:ind w:firstLine="360"/>
        <w:rPr>
          <w:rFonts w:hint="eastAsia" w:ascii="宋体" w:hAnsi="宋体"/>
          <w:sz w:val="24"/>
          <w:szCs w:val="24"/>
          <w:highlight w:val="none"/>
        </w:rPr>
      </w:pPr>
      <w:r>
        <w:rPr>
          <w:rFonts w:hint="eastAsia" w:ascii="宋体" w:hAnsi="宋体"/>
          <w:sz w:val="24"/>
          <w:szCs w:val="24"/>
          <w:highlight w:val="none"/>
        </w:rPr>
        <w:t>（5）响应文件格式</w:t>
      </w:r>
    </w:p>
    <w:p w14:paraId="19ACE3EA">
      <w:pPr>
        <w:spacing w:line="520" w:lineRule="exact"/>
        <w:ind w:firstLine="360"/>
        <w:rPr>
          <w:rFonts w:hint="eastAsia" w:ascii="宋体" w:hAnsi="宋体"/>
          <w:sz w:val="24"/>
          <w:szCs w:val="24"/>
          <w:highlight w:val="none"/>
        </w:rPr>
      </w:pPr>
      <w:r>
        <w:rPr>
          <w:rFonts w:hint="eastAsia" w:ascii="宋体" w:hAnsi="宋体"/>
          <w:sz w:val="24"/>
          <w:szCs w:val="24"/>
          <w:highlight w:val="none"/>
        </w:rPr>
        <w:t>（6）附件（如有）</w:t>
      </w:r>
    </w:p>
    <w:p w14:paraId="5D56BCC3">
      <w:pPr>
        <w:spacing w:line="520" w:lineRule="exact"/>
        <w:ind w:firstLine="480"/>
        <w:rPr>
          <w:rFonts w:hint="eastAsia" w:ascii="宋体" w:hAnsi="宋体"/>
          <w:sz w:val="24"/>
          <w:szCs w:val="21"/>
          <w:highlight w:val="none"/>
        </w:rPr>
      </w:pPr>
      <w:r>
        <w:rPr>
          <w:rFonts w:hint="eastAsia" w:ascii="宋体" w:hAnsi="宋体"/>
          <w:sz w:val="24"/>
          <w:szCs w:val="21"/>
          <w:highlight w:val="none"/>
        </w:rPr>
        <w:t>请仔细检查磋商文件是否齐全，如有缺漏请</w:t>
      </w:r>
      <w:r>
        <w:rPr>
          <w:rFonts w:hint="eastAsia" w:ascii="宋体" w:hAnsi="宋体"/>
          <w:sz w:val="24"/>
          <w:szCs w:val="24"/>
          <w:highlight w:val="none"/>
        </w:rPr>
        <w:t>立即与采购人或采购代理机构联系解决</w:t>
      </w:r>
      <w:r>
        <w:rPr>
          <w:rFonts w:hint="eastAsia" w:ascii="宋体" w:hAnsi="宋体"/>
          <w:sz w:val="24"/>
          <w:szCs w:val="21"/>
          <w:highlight w:val="none"/>
        </w:rPr>
        <w:t>。</w:t>
      </w:r>
    </w:p>
    <w:p w14:paraId="4ED08770">
      <w:pPr>
        <w:spacing w:line="520" w:lineRule="exact"/>
        <w:ind w:firstLine="480"/>
        <w:rPr>
          <w:rFonts w:hint="eastAsia" w:ascii="宋体" w:hAnsi="宋体"/>
          <w:sz w:val="24"/>
          <w:szCs w:val="21"/>
          <w:highlight w:val="none"/>
        </w:rPr>
      </w:pPr>
      <w:r>
        <w:rPr>
          <w:rFonts w:hint="eastAsia" w:ascii="宋体" w:hAnsi="宋体"/>
          <w:bCs/>
          <w:sz w:val="24"/>
          <w:szCs w:val="21"/>
          <w:highlight w:val="none"/>
        </w:rPr>
        <w:t>6.2</w:t>
      </w:r>
      <w:r>
        <w:rPr>
          <w:rFonts w:hint="eastAsia" w:ascii="宋体" w:hAnsi="宋体"/>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4788FAE">
      <w:pPr>
        <w:keepNext/>
        <w:keepLines/>
        <w:spacing w:line="520" w:lineRule="exact"/>
        <w:ind w:firstLine="560"/>
        <w:outlineLvl w:val="3"/>
        <w:rPr>
          <w:rFonts w:hint="eastAsia" w:ascii="Arial" w:hAnsi="Arial" w:eastAsia="黑体" w:cs="Arial"/>
          <w:sz w:val="28"/>
          <w:szCs w:val="28"/>
          <w:highlight w:val="none"/>
        </w:rPr>
      </w:pPr>
      <w:bookmarkStart w:id="71" w:name="_Toc16938527"/>
      <w:bookmarkStart w:id="72" w:name="_Toc513029211"/>
      <w:bookmarkStart w:id="73" w:name="_Toc462564070"/>
      <w:bookmarkStart w:id="74" w:name="_Toc20823283"/>
      <w:r>
        <w:rPr>
          <w:rFonts w:hint="eastAsia" w:ascii="Arial" w:hAnsi="Arial" w:eastAsia="黑体" w:cs="Arial"/>
          <w:sz w:val="28"/>
          <w:szCs w:val="28"/>
          <w:highlight w:val="none"/>
        </w:rPr>
        <w:t>7、磋商文件的澄清</w:t>
      </w:r>
      <w:bookmarkEnd w:id="71"/>
      <w:bookmarkEnd w:id="72"/>
      <w:bookmarkEnd w:id="73"/>
      <w:bookmarkEnd w:id="74"/>
    </w:p>
    <w:p w14:paraId="0EB0997B">
      <w:pPr>
        <w:spacing w:line="520" w:lineRule="exact"/>
        <w:ind w:firstLine="480"/>
        <w:rPr>
          <w:rFonts w:hint="eastAsia" w:ascii="宋体" w:hAnsi="宋体"/>
          <w:sz w:val="24"/>
          <w:szCs w:val="21"/>
          <w:highlight w:val="none"/>
        </w:rPr>
      </w:pPr>
      <w:r>
        <w:rPr>
          <w:rFonts w:hint="eastAsia" w:ascii="宋体" w:hAnsi="宋体"/>
          <w:bCs/>
          <w:sz w:val="24"/>
          <w:szCs w:val="21"/>
          <w:highlight w:val="none"/>
        </w:rPr>
        <w:t>7.1</w:t>
      </w:r>
      <w:r>
        <w:rPr>
          <w:rFonts w:hint="eastAsia" w:ascii="宋体" w:hAnsi="宋体"/>
          <w:sz w:val="24"/>
          <w:szCs w:val="21"/>
          <w:highlight w:val="none"/>
        </w:rPr>
        <w:t xml:space="preserve"> 任何要求对磋商文件进行澄清的供应商，应在磋商截止期5日</w:t>
      </w:r>
      <w:r>
        <w:rPr>
          <w:rFonts w:hint="eastAsia" w:ascii="仿宋_GB2312" w:hAnsi="仿宋_GB2312"/>
          <w:sz w:val="24"/>
          <w:szCs w:val="24"/>
          <w:highlight w:val="none"/>
        </w:rPr>
        <w:t>前</w:t>
      </w:r>
      <w:r>
        <w:rPr>
          <w:rFonts w:hint="eastAsia" w:ascii="宋体" w:hAnsi="宋体"/>
          <w:sz w:val="24"/>
          <w:szCs w:val="21"/>
          <w:highlight w:val="none"/>
        </w:rPr>
        <w:t>按磋商公告中的通讯地址，以书面形式通知采购人或采购代理机构。</w:t>
      </w:r>
    </w:p>
    <w:p w14:paraId="40FA7B75">
      <w:pPr>
        <w:spacing w:line="520" w:lineRule="exact"/>
        <w:ind w:firstLine="480"/>
        <w:rPr>
          <w:rFonts w:hint="eastAsia" w:ascii="宋体" w:hAnsi="宋体"/>
          <w:sz w:val="24"/>
          <w:szCs w:val="24"/>
          <w:highlight w:val="none"/>
        </w:rPr>
      </w:pPr>
      <w:r>
        <w:rPr>
          <w:rFonts w:hint="eastAsia" w:ascii="宋体" w:hAnsi="宋体"/>
          <w:sz w:val="24"/>
          <w:szCs w:val="21"/>
          <w:highlight w:val="none"/>
        </w:rPr>
        <w:t>7.2采购人视情组织答疑会。</w:t>
      </w:r>
    </w:p>
    <w:p w14:paraId="16ACD86C">
      <w:pPr>
        <w:keepNext/>
        <w:keepLines/>
        <w:spacing w:line="520" w:lineRule="exact"/>
        <w:ind w:firstLine="560"/>
        <w:outlineLvl w:val="3"/>
        <w:rPr>
          <w:rFonts w:hint="eastAsia" w:ascii="Arial" w:hAnsi="Arial" w:eastAsia="黑体" w:cs="Arial"/>
          <w:sz w:val="28"/>
          <w:szCs w:val="28"/>
          <w:highlight w:val="none"/>
        </w:rPr>
      </w:pPr>
      <w:bookmarkStart w:id="75" w:name="_Toc462564071"/>
      <w:bookmarkStart w:id="76" w:name="_Toc513029212"/>
      <w:bookmarkStart w:id="77" w:name="_Toc16938528"/>
      <w:bookmarkStart w:id="78" w:name="_Toc20823284"/>
      <w:r>
        <w:rPr>
          <w:rFonts w:hint="eastAsia" w:ascii="Arial" w:hAnsi="Arial" w:eastAsia="黑体" w:cs="Arial"/>
          <w:sz w:val="28"/>
          <w:szCs w:val="28"/>
          <w:highlight w:val="none"/>
        </w:rPr>
        <w:t>8、磋商文件的澄清和修改</w:t>
      </w:r>
      <w:bookmarkEnd w:id="75"/>
      <w:bookmarkEnd w:id="76"/>
      <w:bookmarkEnd w:id="77"/>
      <w:bookmarkEnd w:id="78"/>
    </w:p>
    <w:p w14:paraId="0C544D11">
      <w:pPr>
        <w:spacing w:line="520" w:lineRule="exact"/>
        <w:ind w:firstLine="480"/>
        <w:rPr>
          <w:rFonts w:hint="eastAsia" w:ascii="宋体" w:hAnsi="宋体"/>
          <w:sz w:val="24"/>
          <w:szCs w:val="21"/>
          <w:highlight w:val="none"/>
        </w:rPr>
      </w:pPr>
      <w:r>
        <w:rPr>
          <w:rFonts w:hint="eastAsia" w:ascii="宋体" w:hAnsi="宋体"/>
          <w:bCs/>
          <w:sz w:val="24"/>
          <w:szCs w:val="21"/>
          <w:highlight w:val="none"/>
        </w:rPr>
        <w:t>8.1</w:t>
      </w:r>
      <w:r>
        <w:rPr>
          <w:rFonts w:hint="eastAsia" w:ascii="宋体" w:hAnsi="宋体"/>
          <w:sz w:val="24"/>
          <w:szCs w:val="21"/>
          <w:highlight w:val="none"/>
        </w:rPr>
        <w:t xml:space="preserve"> 在响应文件提交截止时间</w:t>
      </w:r>
      <w:r>
        <w:rPr>
          <w:rFonts w:hint="eastAsia" w:ascii="仿宋_GB2312" w:hAnsi="仿宋_GB2312"/>
          <w:sz w:val="24"/>
          <w:szCs w:val="21"/>
          <w:highlight w:val="none"/>
        </w:rPr>
        <w:t>前</w:t>
      </w:r>
      <w:r>
        <w:rPr>
          <w:rFonts w:hint="eastAsia" w:ascii="宋体" w:hAnsi="宋体"/>
          <w:sz w:val="24"/>
          <w:szCs w:val="21"/>
          <w:highlight w:val="none"/>
        </w:rPr>
        <w:t>，</w:t>
      </w:r>
      <w:r>
        <w:rPr>
          <w:rFonts w:hint="eastAsia" w:ascii="宋体" w:hAnsi="宋体"/>
          <w:sz w:val="24"/>
          <w:szCs w:val="24"/>
          <w:highlight w:val="none"/>
        </w:rPr>
        <w:t>采购人或采购代理机构</w:t>
      </w:r>
      <w:r>
        <w:rPr>
          <w:rFonts w:hint="eastAsia" w:ascii="宋体" w:hAnsi="宋体"/>
          <w:sz w:val="24"/>
          <w:szCs w:val="21"/>
          <w:highlight w:val="none"/>
        </w:rPr>
        <w:t>可以对磋商文件进行澄清和修改,</w:t>
      </w:r>
      <w:r>
        <w:rPr>
          <w:rFonts w:hint="eastAsia"/>
          <w:szCs w:val="21"/>
          <w:highlight w:val="none"/>
        </w:rPr>
        <w:t xml:space="preserve"> </w:t>
      </w:r>
      <w:r>
        <w:rPr>
          <w:rFonts w:hint="eastAsia" w:ascii="宋体" w:hAnsi="宋体"/>
          <w:sz w:val="24"/>
          <w:szCs w:val="21"/>
          <w:highlight w:val="none"/>
        </w:rPr>
        <w:t>澄清或者修改的内容作为磋商文件的组成部分。澄清或者修改的内容可能影响响应文件编制的，</w:t>
      </w:r>
      <w:r>
        <w:rPr>
          <w:rFonts w:hint="eastAsia" w:ascii="宋体" w:hAnsi="宋体"/>
          <w:sz w:val="24"/>
          <w:szCs w:val="24"/>
          <w:highlight w:val="none"/>
        </w:rPr>
        <w:t>采购人或采购代理机构</w:t>
      </w:r>
      <w:r>
        <w:rPr>
          <w:rFonts w:hint="eastAsia" w:ascii="宋体" w:hAnsi="宋体"/>
          <w:sz w:val="24"/>
          <w:szCs w:val="21"/>
          <w:highlight w:val="none"/>
        </w:rPr>
        <w:t>将在提交首次响应文件截止时间至少5日前，在“江苏政府采购网”上发布书面更正公告形式通知所有获取磋商文件的供应商,</w:t>
      </w:r>
      <w:r>
        <w:rPr>
          <w:rFonts w:hint="eastAsia"/>
          <w:szCs w:val="21"/>
          <w:highlight w:val="none"/>
        </w:rPr>
        <w:t xml:space="preserve"> </w:t>
      </w:r>
      <w:r>
        <w:rPr>
          <w:rFonts w:hint="eastAsia" w:ascii="宋体" w:hAnsi="宋体"/>
          <w:sz w:val="24"/>
          <w:szCs w:val="21"/>
          <w:highlight w:val="none"/>
        </w:rPr>
        <w:t>更正公告内容将作为磋商文件的组成部分，并对供应商具有约束力。不足5日的，</w:t>
      </w:r>
      <w:r>
        <w:rPr>
          <w:rFonts w:hint="eastAsia" w:ascii="宋体" w:hAnsi="宋体"/>
          <w:sz w:val="24"/>
          <w:szCs w:val="24"/>
          <w:highlight w:val="none"/>
        </w:rPr>
        <w:t>采购人</w:t>
      </w:r>
      <w:r>
        <w:rPr>
          <w:rFonts w:hint="eastAsia" w:ascii="宋体" w:hAnsi="宋体"/>
          <w:sz w:val="24"/>
          <w:szCs w:val="21"/>
          <w:highlight w:val="none"/>
        </w:rPr>
        <w:t>将顺延提交首次响应文件截止时间。</w:t>
      </w:r>
    </w:p>
    <w:p w14:paraId="0286068A">
      <w:pPr>
        <w:keepNext/>
        <w:keepLines/>
        <w:spacing w:line="520" w:lineRule="exact"/>
        <w:ind w:firstLine="480"/>
        <w:outlineLvl w:val="2"/>
        <w:rPr>
          <w:rFonts w:hint="eastAsia"/>
          <w:b/>
          <w:bCs/>
          <w:sz w:val="32"/>
          <w:szCs w:val="32"/>
          <w:highlight w:val="none"/>
        </w:rPr>
      </w:pPr>
      <w:bookmarkStart w:id="79" w:name="_Toc16938529"/>
      <w:bookmarkStart w:id="80" w:name="_Toc462564072"/>
      <w:bookmarkStart w:id="81" w:name="_Toc120614216"/>
      <w:bookmarkStart w:id="82" w:name="_Toc20823285"/>
      <w:bookmarkStart w:id="83" w:name="_Toc513029213"/>
      <w:r>
        <w:rPr>
          <w:rFonts w:hint="eastAsia"/>
          <w:b/>
          <w:bCs/>
          <w:sz w:val="32"/>
          <w:szCs w:val="32"/>
          <w:highlight w:val="none"/>
        </w:rPr>
        <w:t>三、响应文件的编制</w:t>
      </w:r>
      <w:bookmarkEnd w:id="79"/>
      <w:bookmarkEnd w:id="80"/>
      <w:bookmarkEnd w:id="81"/>
      <w:bookmarkEnd w:id="82"/>
      <w:bookmarkEnd w:id="83"/>
    </w:p>
    <w:p w14:paraId="1040B670">
      <w:pPr>
        <w:keepNext/>
        <w:keepLines/>
        <w:spacing w:line="520" w:lineRule="exact"/>
        <w:ind w:firstLine="560"/>
        <w:outlineLvl w:val="3"/>
        <w:rPr>
          <w:rFonts w:hint="eastAsia" w:ascii="Arial" w:hAnsi="Arial" w:eastAsia="黑体" w:cs="Arial"/>
          <w:b/>
          <w:sz w:val="28"/>
          <w:szCs w:val="28"/>
          <w:highlight w:val="none"/>
        </w:rPr>
      </w:pPr>
      <w:bookmarkStart w:id="84" w:name="_Toc513029214"/>
      <w:bookmarkStart w:id="85" w:name="_Toc16938530"/>
      <w:bookmarkStart w:id="86" w:name="_Toc20823286"/>
      <w:bookmarkStart w:id="87" w:name="_Toc462564073"/>
      <w:r>
        <w:rPr>
          <w:rFonts w:hint="eastAsia" w:ascii="Arial" w:hAnsi="Arial" w:eastAsia="黑体" w:cs="Arial"/>
          <w:sz w:val="28"/>
          <w:szCs w:val="28"/>
          <w:highlight w:val="none"/>
        </w:rPr>
        <w:t>9、响应文件的语言及度量衡单位</w:t>
      </w:r>
      <w:bookmarkEnd w:id="84"/>
      <w:bookmarkEnd w:id="85"/>
      <w:bookmarkEnd w:id="86"/>
      <w:bookmarkEnd w:id="87"/>
    </w:p>
    <w:p w14:paraId="4F93A222">
      <w:pPr>
        <w:spacing w:line="520" w:lineRule="exact"/>
        <w:ind w:firstLine="480"/>
        <w:rPr>
          <w:rFonts w:hint="eastAsia" w:ascii="宋体" w:hAnsi="宋体"/>
          <w:sz w:val="24"/>
          <w:szCs w:val="21"/>
          <w:highlight w:val="none"/>
        </w:rPr>
      </w:pPr>
      <w:r>
        <w:rPr>
          <w:rFonts w:hint="eastAsia" w:ascii="宋体" w:hAnsi="宋体"/>
          <w:bCs/>
          <w:sz w:val="24"/>
          <w:szCs w:val="21"/>
          <w:highlight w:val="none"/>
        </w:rPr>
        <w:t>9.1</w:t>
      </w:r>
      <w:r>
        <w:rPr>
          <w:rFonts w:hint="eastAsia" w:ascii="宋体" w:hAnsi="宋体"/>
          <w:sz w:val="24"/>
          <w:szCs w:val="21"/>
          <w:highlight w:val="none"/>
        </w:rPr>
        <w:t>供应商提交的响应文件以及供应商与采购人就有关磋商的所有来往通知、函件和文件均应使用</w:t>
      </w:r>
      <w:r>
        <w:rPr>
          <w:rFonts w:hint="eastAsia" w:ascii="宋体" w:hAnsi="宋体"/>
          <w:b/>
          <w:bCs/>
          <w:sz w:val="24"/>
          <w:szCs w:val="21"/>
          <w:highlight w:val="none"/>
        </w:rPr>
        <w:t>简体中文</w:t>
      </w:r>
      <w:r>
        <w:rPr>
          <w:rFonts w:hint="eastAsia" w:ascii="宋体" w:hAnsi="宋体"/>
          <w:sz w:val="24"/>
          <w:szCs w:val="21"/>
          <w:highlight w:val="none"/>
        </w:rPr>
        <w:t>。</w:t>
      </w:r>
    </w:p>
    <w:p w14:paraId="0E9C89A8">
      <w:pPr>
        <w:spacing w:line="520" w:lineRule="exact"/>
        <w:ind w:firstLine="480"/>
        <w:rPr>
          <w:rFonts w:hint="eastAsia" w:ascii="宋体" w:hAnsi="宋体"/>
          <w:sz w:val="24"/>
          <w:szCs w:val="21"/>
          <w:highlight w:val="none"/>
        </w:rPr>
      </w:pPr>
      <w:r>
        <w:rPr>
          <w:rFonts w:hint="eastAsia" w:ascii="宋体" w:hAnsi="宋体"/>
          <w:bCs/>
          <w:sz w:val="24"/>
          <w:szCs w:val="21"/>
          <w:highlight w:val="none"/>
        </w:rPr>
        <w:t>9.2</w:t>
      </w:r>
      <w:r>
        <w:rPr>
          <w:rFonts w:hint="eastAsia" w:ascii="宋体" w:hAnsi="宋体"/>
          <w:sz w:val="24"/>
          <w:szCs w:val="21"/>
          <w:highlight w:val="none"/>
        </w:rPr>
        <w:t xml:space="preserve"> 除技术性能另有规定外，响应文件所使用的度量衡单位，均须采用国家法定计量单位。</w:t>
      </w:r>
    </w:p>
    <w:p w14:paraId="12BCFD41">
      <w:pPr>
        <w:keepNext/>
        <w:keepLines/>
        <w:spacing w:line="520" w:lineRule="exact"/>
        <w:ind w:firstLine="420"/>
        <w:outlineLvl w:val="3"/>
        <w:rPr>
          <w:rFonts w:hint="eastAsia" w:ascii="Arial" w:hAnsi="Arial" w:eastAsia="黑体" w:cs="Arial"/>
          <w:sz w:val="28"/>
          <w:szCs w:val="28"/>
          <w:highlight w:val="none"/>
        </w:rPr>
      </w:pPr>
      <w:bookmarkStart w:id="88" w:name="_Toc462564074"/>
      <w:bookmarkStart w:id="89" w:name="_Toc513029215"/>
      <w:bookmarkStart w:id="90" w:name="_Toc20823287"/>
      <w:bookmarkStart w:id="91" w:name="_Toc16938531"/>
      <w:r>
        <w:rPr>
          <w:rFonts w:hint="eastAsia" w:ascii="Arial" w:hAnsi="Arial" w:eastAsia="黑体" w:cs="Arial"/>
          <w:sz w:val="28"/>
          <w:szCs w:val="28"/>
          <w:highlight w:val="none"/>
        </w:rPr>
        <w:t>10、响应文件构成</w:t>
      </w:r>
      <w:bookmarkEnd w:id="88"/>
      <w:bookmarkEnd w:id="89"/>
      <w:bookmarkEnd w:id="90"/>
      <w:bookmarkEnd w:id="91"/>
    </w:p>
    <w:p w14:paraId="698AF8FA">
      <w:pPr>
        <w:spacing w:line="520" w:lineRule="exact"/>
        <w:ind w:firstLine="480"/>
        <w:rPr>
          <w:rFonts w:hint="eastAsia" w:ascii="宋体" w:hAnsi="宋体"/>
          <w:sz w:val="24"/>
          <w:szCs w:val="21"/>
          <w:highlight w:val="none"/>
        </w:rPr>
      </w:pPr>
      <w:r>
        <w:rPr>
          <w:rFonts w:hint="eastAsia" w:ascii="宋体" w:hAnsi="宋体"/>
          <w:bCs/>
          <w:sz w:val="24"/>
          <w:szCs w:val="21"/>
          <w:highlight w:val="none"/>
        </w:rPr>
        <w:t>10.1</w:t>
      </w:r>
      <w:r>
        <w:rPr>
          <w:rFonts w:hint="eastAsia" w:ascii="宋体" w:hAnsi="宋体"/>
          <w:sz w:val="24"/>
          <w:szCs w:val="21"/>
          <w:highlight w:val="none"/>
        </w:rPr>
        <w:t>供应商编写的响应文件应包括资格证明文件、符合性证明文件、分项报价表、技术要求响应及偏离表、商务要求响应及偏离表、其他证明文件、磋商响应函等部分。</w:t>
      </w:r>
    </w:p>
    <w:p w14:paraId="56E873FE">
      <w:pPr>
        <w:spacing w:line="520" w:lineRule="exact"/>
        <w:ind w:firstLine="480"/>
        <w:rPr>
          <w:rFonts w:hint="eastAsia" w:ascii="宋体" w:hAnsi="宋体"/>
          <w:sz w:val="24"/>
          <w:szCs w:val="21"/>
          <w:highlight w:val="none"/>
        </w:rPr>
      </w:pPr>
      <w:r>
        <w:rPr>
          <w:rFonts w:hint="eastAsia" w:ascii="宋体" w:hAnsi="宋体"/>
          <w:sz w:val="24"/>
          <w:szCs w:val="21"/>
          <w:highlight w:val="none"/>
        </w:rPr>
        <w:t>10.2 如标书制作工具中格式和内容与“江苏政府采购网”发布的磋商文件不一致，请以“江苏政府采购网”发布的磋商文件为准。</w:t>
      </w:r>
    </w:p>
    <w:p w14:paraId="2395CA01">
      <w:pPr>
        <w:keepNext/>
        <w:keepLines/>
        <w:spacing w:line="520" w:lineRule="exact"/>
        <w:ind w:firstLine="420"/>
        <w:outlineLvl w:val="3"/>
        <w:rPr>
          <w:rFonts w:hint="eastAsia" w:ascii="Arial" w:hAnsi="Arial" w:eastAsia="黑体" w:cs="Arial"/>
          <w:sz w:val="28"/>
          <w:szCs w:val="28"/>
          <w:highlight w:val="none"/>
        </w:rPr>
      </w:pPr>
      <w:bookmarkStart w:id="92" w:name="_Hlt26670360"/>
      <w:bookmarkEnd w:id="92"/>
      <w:bookmarkStart w:id="93" w:name="_Hlt26668975"/>
      <w:bookmarkEnd w:id="93"/>
      <w:bookmarkStart w:id="94" w:name="_Hlt26954838"/>
      <w:bookmarkEnd w:id="94"/>
      <w:bookmarkStart w:id="95" w:name="_Toc49090509"/>
      <w:bookmarkStart w:id="96" w:name="_Toc14577357"/>
      <w:bookmarkStart w:id="97" w:name="_Toc513029219"/>
      <w:bookmarkStart w:id="98" w:name="_Toc14577354"/>
      <w:bookmarkStart w:id="99" w:name="_Toc513029216"/>
      <w:bookmarkStart w:id="100" w:name="_Toc49090507"/>
      <w:bookmarkStart w:id="101" w:name="_Toc14577355"/>
      <w:bookmarkStart w:id="102" w:name="_Toc49090508"/>
      <w:r>
        <w:rPr>
          <w:rFonts w:hint="eastAsia" w:ascii="Arial" w:hAnsi="Arial" w:eastAsia="黑体" w:cs="Arial"/>
          <w:sz w:val="28"/>
          <w:szCs w:val="28"/>
          <w:highlight w:val="none"/>
        </w:rPr>
        <w:t>11、证明磋商响应标的符合磋商文件规定的文件</w:t>
      </w:r>
      <w:bookmarkEnd w:id="95"/>
      <w:bookmarkEnd w:id="96"/>
      <w:bookmarkEnd w:id="97"/>
    </w:p>
    <w:bookmarkEnd w:id="98"/>
    <w:bookmarkEnd w:id="99"/>
    <w:bookmarkEnd w:id="100"/>
    <w:p w14:paraId="4F66F688">
      <w:pPr>
        <w:spacing w:line="520" w:lineRule="exact"/>
        <w:rPr>
          <w:rFonts w:hint="eastAsia" w:ascii="宋体" w:hAnsi="宋体"/>
          <w:sz w:val="24"/>
          <w:szCs w:val="24"/>
          <w:highlight w:val="none"/>
        </w:rPr>
      </w:pPr>
      <w:r>
        <w:rPr>
          <w:rFonts w:hint="eastAsia" w:ascii="宋体" w:hAnsi="宋体"/>
          <w:sz w:val="24"/>
          <w:szCs w:val="24"/>
          <w:highlight w:val="none"/>
        </w:rPr>
        <w:t xml:space="preserve">    11.1供应商应按照磋商文件要求提交证明文件，证明其及磋商响应标的符合磋商文件规定。</w:t>
      </w:r>
    </w:p>
    <w:p w14:paraId="15E2AE07">
      <w:pPr>
        <w:spacing w:line="520" w:lineRule="exact"/>
        <w:ind w:firstLine="480"/>
        <w:rPr>
          <w:rFonts w:hint="eastAsia" w:ascii="宋体" w:hAnsi="宋体"/>
          <w:sz w:val="24"/>
          <w:szCs w:val="24"/>
          <w:highlight w:val="none"/>
        </w:rPr>
      </w:pPr>
      <w:r>
        <w:rPr>
          <w:rFonts w:hint="eastAsia" w:ascii="宋体" w:hAnsi="宋体"/>
          <w:sz w:val="24"/>
          <w:szCs w:val="24"/>
          <w:highlight w:val="none"/>
        </w:rPr>
        <w:t>11.2磋商文件对证明文件无明确形式要求的，证明文件可以以文字资料、图纸和数据等形式提交。</w:t>
      </w:r>
    </w:p>
    <w:bookmarkEnd w:id="101"/>
    <w:bookmarkEnd w:id="102"/>
    <w:p w14:paraId="72859B12">
      <w:pPr>
        <w:keepNext/>
        <w:keepLines/>
        <w:spacing w:line="52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12、分项报价表</w:t>
      </w:r>
    </w:p>
    <w:p w14:paraId="099DE955">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12.1</w:t>
      </w:r>
      <w:r>
        <w:rPr>
          <w:rFonts w:hint="eastAsia" w:ascii="宋体" w:hAnsi="宋体"/>
          <w:sz w:val="24"/>
          <w:szCs w:val="21"/>
          <w:highlight w:val="none"/>
        </w:rPr>
        <w:t>供应商应按照磋商文件规定格式填报分项报价表。</w:t>
      </w:r>
    </w:p>
    <w:p w14:paraId="0C35FEE6">
      <w:pPr>
        <w:spacing w:line="520" w:lineRule="exact"/>
        <w:ind w:firstLine="480"/>
        <w:rPr>
          <w:rFonts w:hint="eastAsia" w:ascii="宋体" w:hAnsi="宋体"/>
          <w:bCs/>
          <w:sz w:val="24"/>
          <w:szCs w:val="21"/>
          <w:highlight w:val="none"/>
        </w:rPr>
      </w:pPr>
      <w:r>
        <w:rPr>
          <w:rFonts w:hint="eastAsia" w:ascii="宋体" w:hAnsi="宋体"/>
          <w:sz w:val="24"/>
          <w:szCs w:val="21"/>
          <w:highlight w:val="none"/>
        </w:rPr>
        <w:t>12.2</w:t>
      </w:r>
      <w:r>
        <w:rPr>
          <w:rFonts w:hint="eastAsia" w:ascii="宋体" w:hAnsi="宋体"/>
          <w:bCs/>
          <w:sz w:val="24"/>
          <w:szCs w:val="21"/>
          <w:highlight w:val="none"/>
        </w:rPr>
        <w:t>磋商货币。响应文件中的单价和总价无特殊规定的采用人民币报价，以元为单位标注。</w:t>
      </w:r>
      <w:r>
        <w:rPr>
          <w:rFonts w:hint="eastAsia" w:ascii="宋体" w:hAnsi="宋体"/>
          <w:sz w:val="24"/>
          <w:szCs w:val="21"/>
          <w:highlight w:val="none"/>
        </w:rPr>
        <w:t>磋商文件中另有规定的按规定执行。</w:t>
      </w:r>
    </w:p>
    <w:p w14:paraId="4CD48861">
      <w:pPr>
        <w:keepNext/>
        <w:keepLines/>
        <w:spacing w:line="520" w:lineRule="exact"/>
        <w:ind w:firstLine="420"/>
        <w:outlineLvl w:val="3"/>
        <w:rPr>
          <w:rFonts w:hint="eastAsia" w:ascii="Arial" w:hAnsi="Arial" w:eastAsia="黑体" w:cs="Arial"/>
          <w:sz w:val="28"/>
          <w:szCs w:val="28"/>
          <w:highlight w:val="none"/>
        </w:rPr>
      </w:pPr>
      <w:bookmarkStart w:id="103" w:name="_Hlt26954731"/>
      <w:bookmarkEnd w:id="103"/>
      <w:bookmarkStart w:id="104" w:name="_Hlt26954848"/>
      <w:bookmarkEnd w:id="104"/>
      <w:bookmarkStart w:id="105" w:name="_Hlt26670482"/>
      <w:bookmarkEnd w:id="105"/>
      <w:bookmarkStart w:id="106" w:name="_Hlt26954846"/>
      <w:bookmarkEnd w:id="106"/>
      <w:bookmarkStart w:id="107" w:name="_Hlt26670486"/>
      <w:bookmarkEnd w:id="107"/>
      <w:r>
        <w:rPr>
          <w:rFonts w:hint="eastAsia" w:ascii="Arial" w:hAnsi="Arial" w:eastAsia="黑体" w:cs="Arial"/>
          <w:sz w:val="28"/>
          <w:szCs w:val="28"/>
          <w:highlight w:val="none"/>
        </w:rPr>
        <w:t>13、技术要求响应及偏离表、商务要求响应及偏离表</w:t>
      </w:r>
    </w:p>
    <w:p w14:paraId="1E62A38F">
      <w:pPr>
        <w:spacing w:line="520" w:lineRule="exact"/>
        <w:ind w:firstLine="480"/>
        <w:rPr>
          <w:rFonts w:hint="eastAsia" w:ascii="宋体" w:hAnsi="Arial" w:cs="宋体"/>
          <w:sz w:val="24"/>
          <w:szCs w:val="21"/>
          <w:highlight w:val="none"/>
          <w:lang w:val="zh-CN"/>
        </w:rPr>
      </w:pPr>
      <w:r>
        <w:rPr>
          <w:rFonts w:ascii="宋体" w:hAnsi="Arial" w:cs="宋体"/>
          <w:bCs/>
          <w:sz w:val="24"/>
          <w:szCs w:val="21"/>
          <w:highlight w:val="none"/>
          <w:lang w:val="zh-CN"/>
        </w:rPr>
        <w:t>1</w:t>
      </w:r>
      <w:r>
        <w:rPr>
          <w:rFonts w:hint="eastAsia" w:ascii="宋体" w:hAnsi="Arial" w:cs="宋体"/>
          <w:bCs/>
          <w:sz w:val="24"/>
          <w:szCs w:val="21"/>
          <w:highlight w:val="none"/>
          <w:lang w:val="zh-CN"/>
        </w:rPr>
        <w:t>3</w:t>
      </w:r>
      <w:r>
        <w:rPr>
          <w:rFonts w:ascii="宋体" w:hAnsi="Arial" w:cs="宋体"/>
          <w:bCs/>
          <w:sz w:val="24"/>
          <w:szCs w:val="21"/>
          <w:highlight w:val="none"/>
          <w:lang w:val="zh-CN"/>
        </w:rPr>
        <w:t>.1</w:t>
      </w:r>
      <w:r>
        <w:rPr>
          <w:rFonts w:hint="eastAsia" w:ascii="宋体" w:hAnsi="Arial" w:cs="宋体"/>
          <w:sz w:val="24"/>
          <w:szCs w:val="21"/>
          <w:highlight w:val="none"/>
          <w:lang w:val="zh-CN"/>
        </w:rPr>
        <w:t>供应商需对磋商文件中的技术要求与商务要求逐项作出响应或偏离，并说明原因。</w:t>
      </w:r>
    </w:p>
    <w:p w14:paraId="65365356">
      <w:pPr>
        <w:spacing w:line="520" w:lineRule="exact"/>
        <w:ind w:firstLine="480"/>
        <w:rPr>
          <w:rFonts w:hint="eastAsia" w:ascii="宋体" w:hAnsi="Arial" w:cs="宋体"/>
          <w:sz w:val="24"/>
          <w:szCs w:val="21"/>
          <w:highlight w:val="none"/>
          <w:lang w:val="zh-CN"/>
        </w:rPr>
      </w:pPr>
      <w:r>
        <w:rPr>
          <w:rFonts w:hint="eastAsia" w:ascii="宋体" w:hAnsi="Arial" w:cs="宋体"/>
          <w:sz w:val="24"/>
          <w:szCs w:val="21"/>
          <w:highlight w:val="none"/>
          <w:lang w:val="zh-CN"/>
        </w:rPr>
        <w:t>13.2供应商可在响应文件中提供认为需要的其他技术文件或说明。</w:t>
      </w:r>
    </w:p>
    <w:p w14:paraId="6EECDAA9">
      <w:pPr>
        <w:keepNext/>
        <w:keepLines/>
        <w:spacing w:line="52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14、服务承诺、培训计划、人员安排及其他</w:t>
      </w:r>
    </w:p>
    <w:p w14:paraId="5A667A3A">
      <w:pPr>
        <w:spacing w:line="520" w:lineRule="exact"/>
        <w:ind w:firstLine="480"/>
        <w:rPr>
          <w:rFonts w:hint="eastAsia" w:ascii="宋体" w:hAnsi="宋体"/>
          <w:sz w:val="24"/>
          <w:szCs w:val="24"/>
          <w:highlight w:val="none"/>
        </w:rPr>
      </w:pPr>
      <w:r>
        <w:rPr>
          <w:rFonts w:hint="eastAsia" w:ascii="宋体" w:hAnsi="宋体"/>
          <w:bCs/>
          <w:sz w:val="24"/>
          <w:szCs w:val="24"/>
          <w:highlight w:val="none"/>
        </w:rPr>
        <w:t>14.1</w:t>
      </w:r>
      <w:r>
        <w:rPr>
          <w:rFonts w:hint="eastAsia" w:ascii="宋体" w:hAnsi="宋体"/>
          <w:sz w:val="24"/>
          <w:szCs w:val="24"/>
          <w:highlight w:val="none"/>
        </w:rPr>
        <w:t>供应商需根据磋商文件要求提供有关售后服务的管理制度，售后服务机构的分布情况，售后服务人员的数量、素质、技术水平及售后服务的反应能力等。</w:t>
      </w:r>
    </w:p>
    <w:p w14:paraId="6F52CC6D">
      <w:pPr>
        <w:spacing w:line="520" w:lineRule="exact"/>
        <w:ind w:firstLine="480"/>
        <w:rPr>
          <w:rFonts w:hint="eastAsia" w:ascii="宋体" w:hAnsi="宋体"/>
          <w:sz w:val="24"/>
          <w:szCs w:val="24"/>
          <w:highlight w:val="none"/>
        </w:rPr>
      </w:pPr>
      <w:r>
        <w:rPr>
          <w:rFonts w:hint="eastAsia" w:ascii="宋体" w:hAnsi="宋体"/>
          <w:sz w:val="24"/>
          <w:szCs w:val="24"/>
          <w:highlight w:val="none"/>
        </w:rPr>
        <w:t>14.2供应商需根据磋商文件要求提供培训计划。</w:t>
      </w:r>
    </w:p>
    <w:p w14:paraId="6D4BA139">
      <w:pPr>
        <w:spacing w:line="520" w:lineRule="exact"/>
        <w:ind w:firstLine="480"/>
        <w:rPr>
          <w:rFonts w:hint="eastAsia" w:ascii="宋体" w:hAnsi="宋体"/>
          <w:sz w:val="24"/>
          <w:szCs w:val="24"/>
          <w:highlight w:val="none"/>
        </w:rPr>
      </w:pPr>
      <w:r>
        <w:rPr>
          <w:rFonts w:hint="eastAsia" w:ascii="宋体" w:hAnsi="宋体"/>
          <w:sz w:val="24"/>
          <w:szCs w:val="24"/>
          <w:highlight w:val="none"/>
        </w:rPr>
        <w:t>14.3供应商需根据磋商文件要求提供</w:t>
      </w:r>
      <w:r>
        <w:rPr>
          <w:rFonts w:hint="eastAsia" w:ascii="宋体" w:hAnsi="Arial" w:cs="宋体"/>
          <w:sz w:val="24"/>
          <w:szCs w:val="21"/>
          <w:highlight w:val="none"/>
          <w:lang w:val="zh-CN"/>
        </w:rPr>
        <w:t>磋商响应标的的主要组成部分、功能设计、实现思路及关键技术等。</w:t>
      </w:r>
    </w:p>
    <w:p w14:paraId="2120A53E">
      <w:pPr>
        <w:keepNext/>
        <w:keepLines/>
        <w:spacing w:line="520" w:lineRule="exact"/>
        <w:ind w:firstLine="420"/>
        <w:outlineLvl w:val="3"/>
        <w:rPr>
          <w:rFonts w:hint="eastAsia" w:ascii="Arial" w:hAnsi="Arial" w:eastAsia="黑体" w:cs="Arial"/>
          <w:sz w:val="28"/>
          <w:szCs w:val="28"/>
          <w:highlight w:val="none"/>
        </w:rPr>
      </w:pPr>
      <w:bookmarkStart w:id="108" w:name="_Toc49090510"/>
      <w:bookmarkStart w:id="109" w:name="_Toc14577359"/>
      <w:r>
        <w:rPr>
          <w:rFonts w:hint="eastAsia" w:ascii="Arial" w:hAnsi="Arial" w:eastAsia="黑体" w:cs="Arial"/>
          <w:sz w:val="28"/>
          <w:szCs w:val="28"/>
          <w:highlight w:val="none"/>
        </w:rPr>
        <w:t>15、磋商响应函</w:t>
      </w:r>
    </w:p>
    <w:p w14:paraId="0D1EA86E">
      <w:pPr>
        <w:spacing w:line="520" w:lineRule="exact"/>
        <w:ind w:firstLine="480"/>
        <w:rPr>
          <w:rFonts w:hint="eastAsia" w:ascii="宋体" w:hAnsi="宋体"/>
          <w:sz w:val="24"/>
          <w:szCs w:val="21"/>
          <w:highlight w:val="none"/>
        </w:rPr>
      </w:pPr>
      <w:r>
        <w:rPr>
          <w:rFonts w:hint="eastAsia" w:ascii="宋体" w:hAnsi="宋体"/>
          <w:bCs/>
          <w:sz w:val="24"/>
          <w:szCs w:val="21"/>
          <w:highlight w:val="none"/>
        </w:rPr>
        <w:t>15.1</w:t>
      </w:r>
      <w:r>
        <w:rPr>
          <w:rFonts w:hint="eastAsia" w:ascii="宋体" w:hAnsi="宋体"/>
          <w:sz w:val="24"/>
          <w:szCs w:val="21"/>
          <w:highlight w:val="none"/>
        </w:rPr>
        <w:t>供应商应按照磋商文件中提供的格式完整、正确填写磋商响应函。</w:t>
      </w:r>
    </w:p>
    <w:bookmarkEnd w:id="108"/>
    <w:bookmarkEnd w:id="109"/>
    <w:p w14:paraId="54E90423">
      <w:pPr>
        <w:keepNext/>
        <w:keepLines/>
        <w:spacing w:line="520" w:lineRule="exact"/>
        <w:ind w:firstLine="420"/>
        <w:outlineLvl w:val="3"/>
        <w:rPr>
          <w:rFonts w:hint="eastAsia" w:ascii="Arial" w:hAnsi="Arial" w:eastAsia="黑体" w:cs="Arial"/>
          <w:sz w:val="28"/>
          <w:szCs w:val="28"/>
          <w:highlight w:val="none"/>
        </w:rPr>
      </w:pPr>
      <w:bookmarkStart w:id="110" w:name="_Toc49090511"/>
      <w:bookmarkStart w:id="111" w:name="_Toc14577360"/>
      <w:r>
        <w:rPr>
          <w:rFonts w:hint="eastAsia" w:ascii="Arial" w:hAnsi="Arial" w:eastAsia="黑体" w:cs="Arial"/>
          <w:sz w:val="28"/>
          <w:szCs w:val="28"/>
          <w:highlight w:val="none"/>
        </w:rPr>
        <w:t>16、磋商有效期</w:t>
      </w:r>
      <w:bookmarkEnd w:id="110"/>
      <w:bookmarkEnd w:id="111"/>
    </w:p>
    <w:p w14:paraId="08054F87">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16.1磋商有效期为采购人规定的提交响应文件截止之日后</w:t>
      </w:r>
      <w:r>
        <w:rPr>
          <w:rFonts w:hint="eastAsia" w:ascii="仿宋_GB2312" w:hAnsi="仿宋_GB2312"/>
          <w:b/>
          <w:sz w:val="24"/>
          <w:szCs w:val="21"/>
          <w:highlight w:val="none"/>
          <w:u w:val="single"/>
        </w:rPr>
        <w:t>六十（60）天</w:t>
      </w:r>
      <w:r>
        <w:rPr>
          <w:rFonts w:hint="eastAsia" w:ascii="宋体" w:hAnsi="宋体"/>
          <w:bCs/>
          <w:sz w:val="24"/>
          <w:szCs w:val="21"/>
          <w:highlight w:val="none"/>
        </w:rPr>
        <w:t>。磋商有效期比规定短的将被视为非实质性响应磋商文件而予以拒绝。</w:t>
      </w:r>
    </w:p>
    <w:p w14:paraId="28340375">
      <w:pPr>
        <w:keepNext/>
        <w:keepLines/>
        <w:spacing w:line="52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1</w:t>
      </w:r>
      <w:r>
        <w:rPr>
          <w:rFonts w:ascii="Arial" w:hAnsi="Arial" w:eastAsia="黑体" w:cs="Arial"/>
          <w:sz w:val="28"/>
          <w:szCs w:val="28"/>
          <w:highlight w:val="none"/>
        </w:rPr>
        <w:t>7</w:t>
      </w:r>
      <w:r>
        <w:rPr>
          <w:rFonts w:hint="eastAsia" w:ascii="Arial" w:hAnsi="Arial" w:eastAsia="黑体" w:cs="Arial"/>
          <w:sz w:val="28"/>
          <w:szCs w:val="28"/>
          <w:highlight w:val="none"/>
        </w:rPr>
        <w:t>、磋商有效期的延长</w:t>
      </w:r>
    </w:p>
    <w:p w14:paraId="52833706">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17.1在特殊情况下，采购人于原磋商有效期满之前，可向供应商提出延长磋商有效期的要求。这种要求与答复均应采用书面形式。供应商可以拒绝</w:t>
      </w:r>
      <w:r>
        <w:rPr>
          <w:rFonts w:hint="eastAsia" w:ascii="宋体" w:hAnsi="宋体"/>
          <w:sz w:val="24"/>
          <w:szCs w:val="24"/>
          <w:highlight w:val="none"/>
        </w:rPr>
        <w:t>采购人</w:t>
      </w:r>
      <w:r>
        <w:rPr>
          <w:rFonts w:hint="eastAsia" w:ascii="宋体" w:hAnsi="宋体"/>
          <w:bCs/>
          <w:sz w:val="24"/>
          <w:szCs w:val="21"/>
          <w:highlight w:val="none"/>
        </w:rPr>
        <w:t>的这一要求而放弃磋商，同意延长磋商有效期的供应商既不能要求也不允许修改其响应文件。</w:t>
      </w:r>
      <w:r>
        <w:rPr>
          <w:rFonts w:hint="eastAsia" w:ascii="宋体" w:hAnsi="宋体"/>
          <w:sz w:val="24"/>
          <w:szCs w:val="24"/>
          <w:highlight w:val="none"/>
        </w:rPr>
        <w:t>受磋商有效期约束的所有权利与义务均延长至新的有效期</w:t>
      </w:r>
      <w:r>
        <w:rPr>
          <w:rFonts w:hint="eastAsia" w:ascii="宋体" w:hAnsi="宋体"/>
          <w:bCs/>
          <w:sz w:val="24"/>
          <w:szCs w:val="21"/>
          <w:highlight w:val="none"/>
        </w:rPr>
        <w:t>。</w:t>
      </w:r>
    </w:p>
    <w:p w14:paraId="7B37FD56">
      <w:pPr>
        <w:keepNext/>
        <w:keepLines/>
        <w:spacing w:line="520" w:lineRule="exact"/>
        <w:ind w:firstLine="480"/>
        <w:outlineLvl w:val="2"/>
        <w:rPr>
          <w:rFonts w:hint="eastAsia"/>
          <w:b/>
          <w:bCs/>
          <w:sz w:val="32"/>
          <w:szCs w:val="32"/>
          <w:highlight w:val="none"/>
        </w:rPr>
      </w:pPr>
      <w:bookmarkStart w:id="112" w:name="_Hlt26954852"/>
      <w:bookmarkEnd w:id="112"/>
      <w:bookmarkStart w:id="113" w:name="_Hlt26954739"/>
      <w:bookmarkEnd w:id="113"/>
      <w:bookmarkStart w:id="114" w:name="_Toc20823296"/>
      <w:bookmarkStart w:id="115" w:name="_Toc513029224"/>
      <w:bookmarkStart w:id="116" w:name="_Toc16938540"/>
      <w:bookmarkStart w:id="117" w:name="_Toc120614217"/>
      <w:r>
        <w:rPr>
          <w:rFonts w:hint="eastAsia"/>
          <w:b/>
          <w:bCs/>
          <w:sz w:val="32"/>
          <w:szCs w:val="32"/>
          <w:highlight w:val="none"/>
        </w:rPr>
        <w:t>四、响应文件的递交</w:t>
      </w:r>
      <w:bookmarkEnd w:id="114"/>
      <w:bookmarkEnd w:id="115"/>
      <w:bookmarkEnd w:id="116"/>
      <w:bookmarkEnd w:id="117"/>
    </w:p>
    <w:p w14:paraId="6DF7F119">
      <w:pPr>
        <w:keepNext/>
        <w:keepLines/>
        <w:spacing w:line="520" w:lineRule="exact"/>
        <w:ind w:firstLine="560"/>
        <w:outlineLvl w:val="3"/>
        <w:rPr>
          <w:rFonts w:hint="eastAsia" w:ascii="黑体" w:hAnsi="Arial" w:eastAsia="黑体" w:cs="Arial"/>
          <w:sz w:val="28"/>
          <w:szCs w:val="28"/>
          <w:highlight w:val="none"/>
        </w:rPr>
      </w:pPr>
      <w:bookmarkStart w:id="118" w:name="_Toc16938541"/>
      <w:bookmarkStart w:id="119" w:name="_Toc20823297"/>
      <w:bookmarkStart w:id="120" w:name="_Toc513029225"/>
      <w:bookmarkStart w:id="121" w:name="_Toc462564084"/>
      <w:r>
        <w:rPr>
          <w:rFonts w:hint="eastAsia" w:ascii="Arial" w:hAnsi="Arial" w:eastAsia="黑体" w:cs="Arial"/>
          <w:sz w:val="28"/>
          <w:szCs w:val="28"/>
          <w:highlight w:val="none"/>
        </w:rPr>
        <w:t>1</w:t>
      </w:r>
      <w:r>
        <w:rPr>
          <w:rFonts w:ascii="Arial" w:hAnsi="Arial" w:eastAsia="黑体" w:cs="Arial"/>
          <w:sz w:val="28"/>
          <w:szCs w:val="28"/>
          <w:highlight w:val="none"/>
        </w:rPr>
        <w:t>8</w:t>
      </w:r>
      <w:r>
        <w:rPr>
          <w:rFonts w:hint="eastAsia" w:ascii="Arial" w:hAnsi="Arial" w:eastAsia="黑体" w:cs="Arial"/>
          <w:sz w:val="28"/>
          <w:szCs w:val="28"/>
          <w:highlight w:val="none"/>
        </w:rPr>
        <w:t>、电子</w:t>
      </w:r>
      <w:r>
        <w:rPr>
          <w:rFonts w:hint="eastAsia" w:ascii="黑体" w:hAnsi="Arial" w:eastAsia="黑体" w:cs="Arial"/>
          <w:sz w:val="28"/>
          <w:szCs w:val="28"/>
          <w:highlight w:val="none"/>
        </w:rPr>
        <w:t>磋商</w:t>
      </w:r>
      <w:bookmarkEnd w:id="118"/>
      <w:bookmarkEnd w:id="119"/>
      <w:bookmarkEnd w:id="120"/>
      <w:bookmarkEnd w:id="121"/>
      <w:r>
        <w:rPr>
          <w:rFonts w:hint="eastAsia" w:ascii="黑体" w:hAnsi="Arial" w:eastAsia="黑体" w:cs="Arial"/>
          <w:sz w:val="28"/>
          <w:szCs w:val="28"/>
          <w:highlight w:val="none"/>
        </w:rPr>
        <w:t>响应文件的递交</w:t>
      </w:r>
    </w:p>
    <w:p w14:paraId="410A2763">
      <w:pPr>
        <w:spacing w:line="520" w:lineRule="exact"/>
        <w:ind w:firstLine="600"/>
        <w:rPr>
          <w:rFonts w:ascii="宋体" w:hAnsi="宋体"/>
          <w:bCs/>
          <w:sz w:val="24"/>
          <w:szCs w:val="21"/>
          <w:highlight w:val="none"/>
        </w:rPr>
      </w:pPr>
      <w:r>
        <w:rPr>
          <w:rFonts w:hint="eastAsia" w:ascii="宋体" w:hAnsi="宋体"/>
          <w:bCs/>
          <w:sz w:val="24"/>
          <w:szCs w:val="21"/>
          <w:highlight w:val="none"/>
        </w:rPr>
        <w:t>18.1供应商应当按照《操作手册》规定，在提交响应文件截止时间前</w:t>
      </w:r>
      <w:r>
        <w:rPr>
          <w:rFonts w:ascii="宋体" w:hAnsi="宋体"/>
          <w:bCs/>
          <w:sz w:val="24"/>
          <w:szCs w:val="21"/>
          <w:highlight w:val="none"/>
        </w:rPr>
        <w:t>制作</w:t>
      </w:r>
      <w:r>
        <w:rPr>
          <w:rFonts w:hint="eastAsia" w:ascii="宋体" w:hAnsi="宋体"/>
          <w:bCs/>
          <w:sz w:val="24"/>
          <w:szCs w:val="21"/>
          <w:highlight w:val="none"/>
        </w:rPr>
        <w:t>并上传电子响应文件。</w:t>
      </w:r>
      <w:bookmarkStart w:id="122" w:name="_Toc20823298"/>
      <w:bookmarkStart w:id="123" w:name="_Toc16938542"/>
      <w:bookmarkStart w:id="124" w:name="_Toc513029226"/>
    </w:p>
    <w:p w14:paraId="191F7F86">
      <w:pPr>
        <w:keepNext/>
        <w:keepLines/>
        <w:spacing w:line="520" w:lineRule="exact"/>
        <w:ind w:firstLine="560"/>
        <w:outlineLvl w:val="3"/>
        <w:rPr>
          <w:rFonts w:hint="eastAsia" w:ascii="宋体" w:hAnsi="宋体" w:eastAsia="黑体" w:cs="Arial"/>
          <w:bCs/>
          <w:sz w:val="24"/>
          <w:szCs w:val="28"/>
          <w:highlight w:val="none"/>
        </w:rPr>
      </w:pPr>
      <w:r>
        <w:rPr>
          <w:rFonts w:ascii="Arial" w:hAnsi="Arial" w:eastAsia="黑体" w:cs="Arial"/>
          <w:bCs/>
          <w:sz w:val="28"/>
          <w:szCs w:val="28"/>
          <w:highlight w:val="none"/>
        </w:rPr>
        <w:t>19</w:t>
      </w:r>
      <w:r>
        <w:rPr>
          <w:rFonts w:hint="eastAsia" w:ascii="Arial" w:hAnsi="Arial" w:eastAsia="黑体" w:cs="Arial"/>
          <w:bCs/>
          <w:sz w:val="28"/>
          <w:szCs w:val="28"/>
          <w:highlight w:val="none"/>
        </w:rPr>
        <w:t>、提交响应文件截止时间</w:t>
      </w:r>
      <w:bookmarkEnd w:id="122"/>
      <w:bookmarkEnd w:id="123"/>
      <w:bookmarkEnd w:id="124"/>
    </w:p>
    <w:p w14:paraId="376044E7">
      <w:pPr>
        <w:spacing w:line="520" w:lineRule="exact"/>
        <w:ind w:firstLine="480"/>
        <w:rPr>
          <w:rFonts w:hint="eastAsia" w:ascii="宋体" w:hAnsi="宋体"/>
          <w:b/>
          <w:bCs/>
          <w:sz w:val="24"/>
          <w:szCs w:val="21"/>
          <w:highlight w:val="none"/>
          <w:u w:val="single"/>
        </w:rPr>
      </w:pPr>
      <w:r>
        <w:rPr>
          <w:rFonts w:ascii="宋体" w:hAnsi="宋体"/>
          <w:sz w:val="24"/>
          <w:szCs w:val="21"/>
          <w:highlight w:val="none"/>
        </w:rPr>
        <w:t>19</w:t>
      </w:r>
      <w:r>
        <w:rPr>
          <w:rFonts w:hint="eastAsia" w:ascii="宋体" w:hAnsi="宋体"/>
          <w:sz w:val="24"/>
          <w:szCs w:val="21"/>
          <w:highlight w:val="none"/>
        </w:rPr>
        <w:t>.1</w:t>
      </w:r>
      <w:r>
        <w:rPr>
          <w:rFonts w:hint="eastAsia" w:ascii="宋体" w:hAnsi="宋体"/>
          <w:b/>
          <w:bCs/>
          <w:sz w:val="24"/>
          <w:szCs w:val="21"/>
          <w:highlight w:val="none"/>
          <w:u w:val="single"/>
        </w:rPr>
        <w:t>供应商上传电子响应文件的时间不得迟于磋商公告中规定的提交响应文件截止时间。</w:t>
      </w:r>
    </w:p>
    <w:p w14:paraId="399DA59C">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供应商应充分考虑到网络环境、网络带宽等风险因素，如因供应商自身原因造成的电子响应文件上传不成功的按照本磋商文件第二章第26.3.2条规定做无效响应处理。</w:t>
      </w:r>
    </w:p>
    <w:p w14:paraId="1D8DBA35">
      <w:pPr>
        <w:spacing w:line="520" w:lineRule="exact"/>
        <w:ind w:firstLine="480"/>
        <w:rPr>
          <w:rFonts w:hint="eastAsia" w:ascii="宋体" w:hAnsi="宋体"/>
          <w:bCs/>
          <w:sz w:val="24"/>
          <w:szCs w:val="21"/>
          <w:highlight w:val="none"/>
        </w:rPr>
      </w:pPr>
      <w:r>
        <w:rPr>
          <w:rFonts w:ascii="宋体" w:hAnsi="宋体"/>
          <w:sz w:val="24"/>
          <w:szCs w:val="21"/>
          <w:highlight w:val="none"/>
        </w:rPr>
        <w:t>19</w:t>
      </w:r>
      <w:r>
        <w:rPr>
          <w:rFonts w:hint="eastAsia" w:ascii="宋体" w:hAnsi="宋体"/>
          <w:sz w:val="24"/>
          <w:szCs w:val="21"/>
          <w:highlight w:val="none"/>
        </w:rPr>
        <w:t>.2</w:t>
      </w:r>
      <w:r>
        <w:rPr>
          <w:rFonts w:hint="eastAsia" w:ascii="宋体" w:hAnsi="宋体"/>
          <w:bCs/>
          <w:sz w:val="24"/>
          <w:szCs w:val="21"/>
          <w:highlight w:val="none"/>
        </w:rPr>
        <w:t xml:space="preserve"> </w:t>
      </w:r>
      <w:r>
        <w:rPr>
          <w:rFonts w:hint="eastAsia" w:ascii="宋体" w:hAnsi="宋体"/>
          <w:sz w:val="24"/>
          <w:szCs w:val="24"/>
          <w:highlight w:val="none"/>
        </w:rPr>
        <w:t>采购人</w:t>
      </w:r>
      <w:r>
        <w:rPr>
          <w:rFonts w:hint="eastAsia" w:ascii="宋体" w:hAnsi="宋体"/>
          <w:bCs/>
          <w:sz w:val="24"/>
          <w:szCs w:val="21"/>
          <w:highlight w:val="none"/>
        </w:rPr>
        <w:t>可以按照规定，通过修改磋商文件酌情延长提交响应文件截止日期，在此情况下，供应商的所有权利和义务以及供应商受制的截止日期均应以延长后新的截止日期为准。</w:t>
      </w:r>
    </w:p>
    <w:p w14:paraId="011E1E33">
      <w:pPr>
        <w:keepNext/>
        <w:keepLines/>
        <w:spacing w:line="520" w:lineRule="exact"/>
        <w:ind w:firstLine="420"/>
        <w:outlineLvl w:val="3"/>
        <w:rPr>
          <w:rFonts w:hint="eastAsia" w:ascii="Arial" w:hAnsi="Arial" w:eastAsia="黑体" w:cs="Arial"/>
          <w:sz w:val="28"/>
          <w:szCs w:val="28"/>
          <w:highlight w:val="none"/>
        </w:rPr>
      </w:pPr>
      <w:bookmarkStart w:id="125" w:name="_Toc16938543"/>
      <w:bookmarkStart w:id="126" w:name="_Toc20823299"/>
      <w:bookmarkStart w:id="127" w:name="_Toc513029227"/>
      <w:r>
        <w:rPr>
          <w:rFonts w:hint="eastAsia" w:ascii="Arial" w:hAnsi="Arial" w:eastAsia="黑体" w:cs="Arial"/>
          <w:sz w:val="28"/>
          <w:szCs w:val="28"/>
          <w:highlight w:val="none"/>
        </w:rPr>
        <w:t>2</w:t>
      </w:r>
      <w:r>
        <w:rPr>
          <w:rFonts w:ascii="Arial" w:hAnsi="Arial" w:eastAsia="黑体" w:cs="Arial"/>
          <w:sz w:val="28"/>
          <w:szCs w:val="28"/>
          <w:highlight w:val="none"/>
        </w:rPr>
        <w:t>0</w:t>
      </w:r>
      <w:r>
        <w:rPr>
          <w:rFonts w:hint="eastAsia" w:ascii="Arial" w:hAnsi="Arial" w:eastAsia="黑体" w:cs="Arial"/>
          <w:sz w:val="28"/>
          <w:szCs w:val="28"/>
          <w:highlight w:val="none"/>
        </w:rPr>
        <w:t>、响应文件</w:t>
      </w:r>
      <w:bookmarkEnd w:id="125"/>
      <w:bookmarkEnd w:id="126"/>
      <w:bookmarkEnd w:id="127"/>
      <w:r>
        <w:rPr>
          <w:rFonts w:hint="eastAsia" w:ascii="Arial" w:hAnsi="Arial" w:eastAsia="黑体" w:cs="Arial"/>
          <w:sz w:val="28"/>
          <w:szCs w:val="28"/>
          <w:highlight w:val="none"/>
        </w:rPr>
        <w:t>的拒收</w:t>
      </w:r>
    </w:p>
    <w:p w14:paraId="48BF39D8">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20.1</w:t>
      </w:r>
      <w:r>
        <w:rPr>
          <w:rFonts w:hint="eastAsia" w:ascii="宋体" w:hAnsi="宋体"/>
          <w:sz w:val="24"/>
          <w:szCs w:val="24"/>
          <w:highlight w:val="none"/>
        </w:rPr>
        <w:t>采购人</w:t>
      </w:r>
      <w:r>
        <w:rPr>
          <w:rFonts w:hint="eastAsia" w:ascii="宋体" w:hAnsi="宋体"/>
          <w:bCs/>
          <w:sz w:val="24"/>
          <w:szCs w:val="21"/>
          <w:highlight w:val="none"/>
        </w:rPr>
        <w:t>拒绝接收在其规定的提交响应文件截止时间后上传的任何电子响应文件。</w:t>
      </w:r>
    </w:p>
    <w:p w14:paraId="5109C183">
      <w:pPr>
        <w:keepNext/>
        <w:keepLines/>
        <w:spacing w:line="520" w:lineRule="exact"/>
        <w:ind w:firstLine="420"/>
        <w:outlineLvl w:val="3"/>
        <w:rPr>
          <w:rFonts w:hint="eastAsia" w:ascii="Arial" w:hAnsi="Arial" w:eastAsia="黑体" w:cs="Arial"/>
          <w:sz w:val="28"/>
          <w:szCs w:val="28"/>
          <w:highlight w:val="none"/>
        </w:rPr>
      </w:pPr>
      <w:bookmarkStart w:id="128" w:name="_Toc20823300"/>
      <w:bookmarkStart w:id="129" w:name="_Toc16938544"/>
      <w:bookmarkStart w:id="130" w:name="_Toc513029228"/>
      <w:r>
        <w:rPr>
          <w:rFonts w:hint="eastAsia" w:ascii="Arial" w:hAnsi="Arial" w:eastAsia="黑体" w:cs="Arial"/>
          <w:sz w:val="28"/>
          <w:szCs w:val="28"/>
          <w:highlight w:val="none"/>
        </w:rPr>
        <w:t>2</w:t>
      </w:r>
      <w:r>
        <w:rPr>
          <w:rFonts w:ascii="Arial" w:hAnsi="Arial" w:eastAsia="黑体" w:cs="Arial"/>
          <w:sz w:val="28"/>
          <w:szCs w:val="28"/>
          <w:highlight w:val="none"/>
        </w:rPr>
        <w:t>1</w:t>
      </w:r>
      <w:r>
        <w:rPr>
          <w:rFonts w:hint="eastAsia" w:ascii="Arial" w:hAnsi="Arial" w:eastAsia="黑体" w:cs="Arial"/>
          <w:sz w:val="28"/>
          <w:szCs w:val="28"/>
          <w:highlight w:val="none"/>
        </w:rPr>
        <w:t>、响应文件的撤回和修改</w:t>
      </w:r>
      <w:bookmarkEnd w:id="128"/>
      <w:bookmarkEnd w:id="129"/>
      <w:bookmarkEnd w:id="130"/>
    </w:p>
    <w:p w14:paraId="1D6D17ED">
      <w:pPr>
        <w:spacing w:line="520" w:lineRule="exact"/>
        <w:ind w:firstLine="48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.1响应文件的撤回</w:t>
      </w:r>
    </w:p>
    <w:p w14:paraId="4CFC24AB">
      <w:pPr>
        <w:spacing w:line="520" w:lineRule="exact"/>
        <w:ind w:firstLine="480"/>
        <w:rPr>
          <w:rFonts w:hint="eastAsia" w:ascii="宋体" w:hAnsi="宋体"/>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.1.1 电子响应文件的撤回</w:t>
      </w:r>
    </w:p>
    <w:p w14:paraId="427EF843">
      <w:pPr>
        <w:spacing w:line="520" w:lineRule="exact"/>
        <w:ind w:firstLine="480"/>
        <w:rPr>
          <w:rFonts w:hint="eastAsia" w:ascii="宋体" w:hAnsi="宋体"/>
          <w:sz w:val="24"/>
          <w:szCs w:val="21"/>
          <w:highlight w:val="none"/>
        </w:rPr>
      </w:pPr>
      <w:r>
        <w:rPr>
          <w:rFonts w:hint="eastAsia" w:ascii="宋体" w:hAnsi="宋体"/>
          <w:sz w:val="24"/>
          <w:szCs w:val="21"/>
          <w:highlight w:val="none"/>
        </w:rPr>
        <w:t>供应商可在</w:t>
      </w:r>
      <w:r>
        <w:rPr>
          <w:rFonts w:hint="eastAsia" w:ascii="宋体" w:hAnsi="宋体"/>
          <w:bCs/>
          <w:sz w:val="24"/>
          <w:szCs w:val="21"/>
          <w:highlight w:val="none"/>
        </w:rPr>
        <w:t>提交响应文件</w:t>
      </w:r>
      <w:r>
        <w:rPr>
          <w:rFonts w:hint="eastAsia" w:ascii="宋体" w:hAnsi="宋体"/>
          <w:sz w:val="24"/>
          <w:szCs w:val="21"/>
          <w:highlight w:val="none"/>
        </w:rPr>
        <w:t>截止时间前，撤回其电子响应文件，具体操作方法见《操作手册》。</w:t>
      </w:r>
    </w:p>
    <w:p w14:paraId="657C24B4">
      <w:pPr>
        <w:spacing w:line="520" w:lineRule="exact"/>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1</w:t>
      </w:r>
      <w:r>
        <w:rPr>
          <w:rFonts w:hint="eastAsia" w:ascii="宋体" w:hAnsi="宋体"/>
          <w:sz w:val="24"/>
          <w:szCs w:val="24"/>
          <w:highlight w:val="none"/>
        </w:rPr>
        <w:t>.1.</w:t>
      </w:r>
      <w:r>
        <w:rPr>
          <w:rFonts w:ascii="宋体" w:hAnsi="宋体"/>
          <w:sz w:val="24"/>
          <w:szCs w:val="24"/>
          <w:highlight w:val="none"/>
        </w:rPr>
        <w:t>2</w:t>
      </w:r>
      <w:r>
        <w:rPr>
          <w:rFonts w:hint="eastAsia" w:ascii="宋体" w:hAnsi="宋体"/>
          <w:sz w:val="24"/>
          <w:szCs w:val="24"/>
          <w:highlight w:val="none"/>
        </w:rPr>
        <w:t>供应商撤回电子响应文件，则认为其不再参与本项目磋商活动。</w:t>
      </w:r>
    </w:p>
    <w:p w14:paraId="02B991BB">
      <w:pPr>
        <w:spacing w:line="520" w:lineRule="exact"/>
        <w:ind w:firstLine="480"/>
        <w:rPr>
          <w:rFonts w:hint="eastAsia" w:ascii="宋体" w:hAnsi="宋体"/>
          <w:sz w:val="24"/>
          <w:szCs w:val="24"/>
          <w:highlight w:val="none"/>
        </w:rPr>
      </w:pPr>
      <w:r>
        <w:rPr>
          <w:rFonts w:hint="eastAsia" w:ascii="宋体" w:hAnsi="宋体"/>
          <w:sz w:val="24"/>
          <w:szCs w:val="24"/>
          <w:highlight w:val="none"/>
        </w:rPr>
        <w:t>2</w:t>
      </w:r>
      <w:r>
        <w:rPr>
          <w:rFonts w:ascii="宋体" w:hAnsi="宋体"/>
          <w:sz w:val="24"/>
          <w:szCs w:val="24"/>
          <w:highlight w:val="none"/>
        </w:rPr>
        <w:t>1</w:t>
      </w:r>
      <w:r>
        <w:rPr>
          <w:rFonts w:hint="eastAsia" w:ascii="宋体" w:hAnsi="宋体"/>
          <w:sz w:val="24"/>
          <w:szCs w:val="24"/>
          <w:highlight w:val="none"/>
        </w:rPr>
        <w:t>.2响应文件的修改</w:t>
      </w:r>
    </w:p>
    <w:p w14:paraId="615678CC">
      <w:pPr>
        <w:spacing w:line="520" w:lineRule="exact"/>
        <w:ind w:firstLine="480"/>
        <w:rPr>
          <w:rFonts w:hint="eastAsia" w:ascii="宋体" w:hAnsi="宋体"/>
          <w:sz w:val="24"/>
          <w:szCs w:val="21"/>
          <w:highlight w:val="none"/>
        </w:rPr>
      </w:pPr>
      <w:r>
        <w:rPr>
          <w:rFonts w:hint="eastAsia" w:ascii="宋体" w:hAnsi="宋体"/>
          <w:sz w:val="24"/>
          <w:szCs w:val="21"/>
          <w:highlight w:val="none"/>
        </w:rPr>
        <w:t>供应商可在</w:t>
      </w:r>
      <w:r>
        <w:rPr>
          <w:rFonts w:hint="eastAsia" w:ascii="宋体" w:hAnsi="宋体"/>
          <w:bCs/>
          <w:sz w:val="24"/>
          <w:szCs w:val="21"/>
          <w:highlight w:val="none"/>
        </w:rPr>
        <w:t>提交响应文件</w:t>
      </w:r>
      <w:r>
        <w:rPr>
          <w:rFonts w:hint="eastAsia" w:ascii="宋体" w:hAnsi="宋体"/>
          <w:sz w:val="24"/>
          <w:szCs w:val="21"/>
          <w:highlight w:val="none"/>
        </w:rPr>
        <w:t>截止时间前，对其电子响应文件进行修改，具体操作方法见《操作手册》。</w:t>
      </w:r>
    </w:p>
    <w:p w14:paraId="27C37C7F">
      <w:pPr>
        <w:spacing w:line="52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.3</w:t>
      </w:r>
      <w:r>
        <w:rPr>
          <w:rFonts w:hint="eastAsia" w:ascii="宋体" w:hAnsi="宋体"/>
          <w:bCs/>
          <w:sz w:val="24"/>
          <w:szCs w:val="21"/>
          <w:highlight w:val="none"/>
        </w:rPr>
        <w:t xml:space="preserve"> 在提交响应文件截止时间之后，供应商不得对其电子响应文件作任何修改。</w:t>
      </w:r>
    </w:p>
    <w:p w14:paraId="16892CAB">
      <w:pPr>
        <w:spacing w:line="52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1</w:t>
      </w:r>
      <w:r>
        <w:rPr>
          <w:rFonts w:hint="eastAsia" w:ascii="宋体" w:hAnsi="宋体"/>
          <w:sz w:val="24"/>
          <w:szCs w:val="21"/>
          <w:highlight w:val="none"/>
        </w:rPr>
        <w:t>.4</w:t>
      </w:r>
      <w:r>
        <w:rPr>
          <w:rFonts w:hint="eastAsia" w:ascii="宋体" w:hAnsi="宋体"/>
          <w:bCs/>
          <w:sz w:val="24"/>
          <w:szCs w:val="21"/>
          <w:highlight w:val="none"/>
        </w:rPr>
        <w:t xml:space="preserve"> 在提交响应文件截止时间至磋商文件中规定的磋商有效期满之间的这段时间内，供应商不得撤回其响应文件。</w:t>
      </w:r>
    </w:p>
    <w:p w14:paraId="21DB0052">
      <w:pPr>
        <w:keepNext/>
        <w:keepLines/>
        <w:spacing w:line="520" w:lineRule="exact"/>
        <w:ind w:firstLine="480"/>
        <w:outlineLvl w:val="2"/>
        <w:rPr>
          <w:rFonts w:hint="eastAsia"/>
          <w:b/>
          <w:bCs/>
          <w:sz w:val="32"/>
          <w:szCs w:val="32"/>
          <w:highlight w:val="none"/>
        </w:rPr>
      </w:pPr>
      <w:bookmarkStart w:id="131" w:name="_Toc20823301"/>
      <w:bookmarkStart w:id="132" w:name="_Toc120614218"/>
      <w:bookmarkStart w:id="133" w:name="_Toc513029229"/>
      <w:bookmarkStart w:id="134" w:name="_Toc16938545"/>
      <w:r>
        <w:rPr>
          <w:rFonts w:hint="eastAsia"/>
          <w:b/>
          <w:bCs/>
          <w:sz w:val="32"/>
          <w:szCs w:val="32"/>
          <w:highlight w:val="none"/>
        </w:rPr>
        <w:t>五、响应文件的解密与评审</w:t>
      </w:r>
      <w:bookmarkEnd w:id="131"/>
      <w:bookmarkEnd w:id="132"/>
      <w:bookmarkEnd w:id="133"/>
      <w:bookmarkEnd w:id="134"/>
    </w:p>
    <w:p w14:paraId="2F8DB829">
      <w:pPr>
        <w:keepNext/>
        <w:keepLines/>
        <w:spacing w:line="520" w:lineRule="exact"/>
        <w:ind w:firstLine="420"/>
        <w:outlineLvl w:val="3"/>
        <w:rPr>
          <w:rFonts w:hint="eastAsia" w:ascii="Arial" w:hAnsi="Arial" w:eastAsia="黑体" w:cs="Arial"/>
          <w:sz w:val="28"/>
          <w:szCs w:val="28"/>
          <w:highlight w:val="none"/>
        </w:rPr>
      </w:pPr>
      <w:bookmarkStart w:id="135" w:name="_Toc513029230"/>
      <w:bookmarkStart w:id="136" w:name="_Toc20823302"/>
      <w:bookmarkStart w:id="137" w:name="_Toc16938546"/>
      <w:r>
        <w:rPr>
          <w:rFonts w:hint="eastAsia" w:ascii="Arial" w:hAnsi="Arial" w:eastAsia="黑体" w:cs="Arial"/>
          <w:sz w:val="28"/>
          <w:szCs w:val="28"/>
          <w:highlight w:val="none"/>
        </w:rPr>
        <w:t>22、</w:t>
      </w:r>
      <w:bookmarkEnd w:id="135"/>
      <w:bookmarkEnd w:id="136"/>
      <w:bookmarkEnd w:id="137"/>
      <w:r>
        <w:rPr>
          <w:rFonts w:hint="eastAsia" w:ascii="Arial" w:hAnsi="Arial" w:eastAsia="黑体" w:cs="Arial"/>
          <w:sz w:val="28"/>
          <w:szCs w:val="28"/>
          <w:highlight w:val="none"/>
        </w:rPr>
        <w:t>响应文件解密</w:t>
      </w:r>
    </w:p>
    <w:p w14:paraId="7453905C">
      <w:pPr>
        <w:spacing w:line="520" w:lineRule="exact"/>
        <w:ind w:firstLine="360"/>
        <w:rPr>
          <w:rFonts w:hint="eastAsia"/>
          <w:szCs w:val="21"/>
          <w:highlight w:val="none"/>
        </w:rPr>
      </w:pPr>
      <w:r>
        <w:rPr>
          <w:rFonts w:hint="eastAsia" w:ascii="宋体" w:hAnsi="宋体"/>
          <w:sz w:val="24"/>
          <w:szCs w:val="21"/>
          <w:highlight w:val="none"/>
        </w:rPr>
        <w:t>2</w:t>
      </w:r>
      <w:r>
        <w:rPr>
          <w:rFonts w:ascii="宋体" w:hAnsi="宋体"/>
          <w:sz w:val="24"/>
          <w:szCs w:val="21"/>
          <w:highlight w:val="none"/>
        </w:rPr>
        <w:t>2</w:t>
      </w:r>
      <w:r>
        <w:rPr>
          <w:rFonts w:hint="eastAsia" w:ascii="宋体" w:hAnsi="宋体"/>
          <w:sz w:val="24"/>
          <w:szCs w:val="21"/>
          <w:highlight w:val="none"/>
        </w:rPr>
        <w:t>.1</w:t>
      </w:r>
      <w:r>
        <w:rPr>
          <w:rFonts w:hint="eastAsia" w:ascii="宋体" w:hAnsi="宋体"/>
          <w:sz w:val="24"/>
          <w:szCs w:val="24"/>
          <w:highlight w:val="none"/>
        </w:rPr>
        <w:t>供应商应当按照《操作手册》规定，在苏采云系统规定的时间内对磋商响应文件进行解密。</w:t>
      </w:r>
    </w:p>
    <w:p w14:paraId="7F765699">
      <w:pPr>
        <w:keepNext/>
        <w:keepLines/>
        <w:spacing w:line="520" w:lineRule="exact"/>
        <w:ind w:firstLine="420"/>
        <w:outlineLvl w:val="3"/>
        <w:rPr>
          <w:rFonts w:hint="eastAsia" w:ascii="Arial" w:hAnsi="Arial" w:eastAsia="黑体" w:cs="Arial"/>
          <w:sz w:val="28"/>
          <w:szCs w:val="28"/>
          <w:highlight w:val="none"/>
        </w:rPr>
      </w:pPr>
      <w:bookmarkStart w:id="138" w:name="_Toc513029231"/>
      <w:bookmarkStart w:id="139" w:name="_Toc16938547"/>
      <w:bookmarkStart w:id="140" w:name="_Toc20823303"/>
      <w:r>
        <w:rPr>
          <w:rFonts w:hint="eastAsia" w:ascii="Arial" w:hAnsi="Arial" w:eastAsia="黑体" w:cs="Arial"/>
          <w:sz w:val="28"/>
          <w:szCs w:val="28"/>
          <w:highlight w:val="none"/>
        </w:rPr>
        <w:t>2</w:t>
      </w:r>
      <w:r>
        <w:rPr>
          <w:rFonts w:ascii="Arial" w:hAnsi="Arial" w:eastAsia="黑体" w:cs="Arial"/>
          <w:sz w:val="28"/>
          <w:szCs w:val="28"/>
          <w:highlight w:val="none"/>
        </w:rPr>
        <w:t>3</w:t>
      </w:r>
      <w:r>
        <w:rPr>
          <w:rFonts w:hint="eastAsia" w:ascii="Arial" w:hAnsi="Arial" w:eastAsia="黑体" w:cs="Arial"/>
          <w:sz w:val="28"/>
          <w:szCs w:val="28"/>
          <w:highlight w:val="none"/>
        </w:rPr>
        <w:t>、磋商小组</w:t>
      </w:r>
    </w:p>
    <w:p w14:paraId="70E5091A">
      <w:pPr>
        <w:spacing w:line="52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3</w:t>
      </w:r>
      <w:r>
        <w:rPr>
          <w:rFonts w:hint="eastAsia" w:ascii="宋体" w:hAnsi="宋体"/>
          <w:sz w:val="24"/>
          <w:szCs w:val="24"/>
          <w:highlight w:val="none"/>
        </w:rPr>
        <w:t>.1采购人将组织磋商小组对响应文件进行评审。磋商小组由采购人代表和有关技术、经济等方面的专家组成，且人员构成符合政府采购有关规定。</w:t>
      </w:r>
    </w:p>
    <w:p w14:paraId="241C0368">
      <w:pPr>
        <w:spacing w:line="52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3</w:t>
      </w:r>
      <w:r>
        <w:rPr>
          <w:rFonts w:hint="eastAsia" w:ascii="宋体" w:hAnsi="宋体"/>
          <w:sz w:val="24"/>
          <w:szCs w:val="24"/>
          <w:highlight w:val="none"/>
        </w:rPr>
        <w:t>.2磋商小组独立工作，负责评审所有响应文件并确定成交侯选人。</w:t>
      </w:r>
    </w:p>
    <w:p w14:paraId="04DBB299">
      <w:pPr>
        <w:keepNext/>
        <w:keepLines/>
        <w:spacing w:line="520" w:lineRule="exact"/>
        <w:ind w:firstLine="420"/>
        <w:outlineLvl w:val="3"/>
        <w:rPr>
          <w:rFonts w:hint="eastAsia" w:ascii="黑体" w:hAnsi="Arial" w:eastAsia="黑体" w:cs="Arial"/>
          <w:sz w:val="28"/>
          <w:szCs w:val="28"/>
          <w:highlight w:val="none"/>
        </w:rPr>
      </w:pPr>
      <w:r>
        <w:rPr>
          <w:rFonts w:hint="eastAsia" w:ascii="黑体" w:hAnsi="Arial" w:eastAsia="黑体" w:cs="Arial"/>
          <w:sz w:val="28"/>
          <w:szCs w:val="28"/>
          <w:highlight w:val="none"/>
        </w:rPr>
        <w:t>2</w:t>
      </w:r>
      <w:r>
        <w:rPr>
          <w:rFonts w:ascii="黑体" w:hAnsi="Arial" w:eastAsia="黑体" w:cs="Arial"/>
          <w:sz w:val="28"/>
          <w:szCs w:val="28"/>
          <w:highlight w:val="none"/>
        </w:rPr>
        <w:t>4</w:t>
      </w:r>
      <w:r>
        <w:rPr>
          <w:rFonts w:hint="eastAsia" w:ascii="黑体" w:hAnsi="Arial" w:eastAsia="黑体" w:cs="Arial"/>
          <w:sz w:val="28"/>
          <w:szCs w:val="28"/>
          <w:highlight w:val="none"/>
        </w:rPr>
        <w:t>、评审过程的保密与公正</w:t>
      </w:r>
    </w:p>
    <w:bookmarkEnd w:id="138"/>
    <w:bookmarkEnd w:id="139"/>
    <w:bookmarkEnd w:id="140"/>
    <w:p w14:paraId="54C1ED76">
      <w:pPr>
        <w:spacing w:line="52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.1</w:t>
      </w:r>
      <w:r>
        <w:rPr>
          <w:rFonts w:hint="eastAsia" w:ascii="宋体" w:hAnsi="宋体"/>
          <w:bCs/>
          <w:sz w:val="24"/>
          <w:szCs w:val="21"/>
          <w:highlight w:val="none"/>
        </w:rPr>
        <w:t>磋商小组、采购人和</w:t>
      </w:r>
      <w:r>
        <w:rPr>
          <w:rFonts w:hint="eastAsia" w:ascii="宋体" w:hAnsi="宋体"/>
          <w:sz w:val="24"/>
          <w:szCs w:val="24"/>
          <w:highlight w:val="none"/>
        </w:rPr>
        <w:t>采购代理机构工作人员</w:t>
      </w:r>
      <w:r>
        <w:rPr>
          <w:rFonts w:hint="eastAsia" w:ascii="宋体" w:hAnsi="宋体"/>
          <w:bCs/>
          <w:sz w:val="24"/>
          <w:szCs w:val="21"/>
          <w:highlight w:val="none"/>
        </w:rPr>
        <w:t>、相关监督人员等与评审工作有关的人员，对评审情况以及在评审过程中获悉的国家秘密、商业秘密负有保密责任。</w:t>
      </w:r>
    </w:p>
    <w:p w14:paraId="067069AA">
      <w:pPr>
        <w:spacing w:line="520" w:lineRule="exact"/>
        <w:ind w:firstLine="480"/>
        <w:rPr>
          <w:rFonts w:hint="eastAsia" w:ascii="宋体" w:hAnsi="宋体"/>
          <w:sz w:val="24"/>
          <w:szCs w:val="24"/>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.2</w:t>
      </w:r>
      <w:r>
        <w:rPr>
          <w:rFonts w:hint="eastAsia" w:ascii="宋体" w:hAnsi="宋体"/>
          <w:sz w:val="24"/>
          <w:szCs w:val="24"/>
          <w:highlight w:val="none"/>
        </w:rPr>
        <w:t>在评审过程中，供应商不得以任何行为影响磋商评审过程，否则其响应文件将被作为无效响应文件。</w:t>
      </w:r>
    </w:p>
    <w:p w14:paraId="77211D02">
      <w:pPr>
        <w:spacing w:line="520" w:lineRule="exact"/>
        <w:ind w:firstLine="480"/>
        <w:rPr>
          <w:rFonts w:hint="eastAsia" w:ascii="宋体" w:hAnsi="宋体"/>
          <w:sz w:val="24"/>
          <w:szCs w:val="24"/>
          <w:highlight w:val="none"/>
        </w:rPr>
      </w:pPr>
      <w:r>
        <w:rPr>
          <w:rFonts w:hint="eastAsia" w:ascii="宋体" w:hAnsi="宋体"/>
          <w:sz w:val="24"/>
          <w:szCs w:val="21"/>
          <w:highlight w:val="none"/>
        </w:rPr>
        <w:t>2</w:t>
      </w:r>
      <w:r>
        <w:rPr>
          <w:rFonts w:ascii="宋体" w:hAnsi="宋体"/>
          <w:sz w:val="24"/>
          <w:szCs w:val="21"/>
          <w:highlight w:val="none"/>
        </w:rPr>
        <w:t>4</w:t>
      </w:r>
      <w:r>
        <w:rPr>
          <w:rFonts w:hint="eastAsia" w:ascii="宋体" w:hAnsi="宋体"/>
          <w:sz w:val="24"/>
          <w:szCs w:val="21"/>
          <w:highlight w:val="none"/>
        </w:rPr>
        <w:t>.3</w:t>
      </w:r>
      <w:r>
        <w:rPr>
          <w:rFonts w:hint="eastAsia" w:ascii="宋体" w:hAnsi="宋体"/>
          <w:sz w:val="24"/>
          <w:szCs w:val="24"/>
          <w:highlight w:val="none"/>
        </w:rPr>
        <w:t>在项目评审期间，采购代理机构将设专门人员与供应商联系。</w:t>
      </w:r>
    </w:p>
    <w:p w14:paraId="289FE3B2">
      <w:pPr>
        <w:spacing w:line="520" w:lineRule="exact"/>
        <w:ind w:firstLine="480"/>
        <w:rPr>
          <w:rFonts w:hint="eastAsia" w:ascii="宋体" w:hAnsi="宋体"/>
          <w:sz w:val="24"/>
          <w:szCs w:val="24"/>
          <w:highlight w:val="none"/>
        </w:rPr>
      </w:pPr>
      <w:r>
        <w:rPr>
          <w:rFonts w:ascii="宋体" w:hAnsi="宋体"/>
          <w:sz w:val="24"/>
          <w:szCs w:val="24"/>
          <w:highlight w:val="none"/>
        </w:rPr>
        <w:t>24</w:t>
      </w:r>
      <w:r>
        <w:rPr>
          <w:rFonts w:hint="eastAsia" w:ascii="宋体" w:hAnsi="宋体"/>
          <w:sz w:val="24"/>
          <w:szCs w:val="24"/>
          <w:highlight w:val="none"/>
        </w:rPr>
        <w:t>.4 采购人和磋商小组不向未成交的供应商解释未成交原因，也不公布评审过程中的相关细节。</w:t>
      </w:r>
    </w:p>
    <w:p w14:paraId="6419D054">
      <w:pPr>
        <w:keepNext/>
        <w:keepLines/>
        <w:spacing w:line="520" w:lineRule="exact"/>
        <w:ind w:firstLine="420"/>
        <w:outlineLvl w:val="3"/>
        <w:rPr>
          <w:rFonts w:hint="eastAsia" w:ascii="Arial" w:hAnsi="Arial" w:eastAsia="黑体" w:cs="Arial"/>
          <w:sz w:val="28"/>
          <w:szCs w:val="28"/>
          <w:highlight w:val="none"/>
        </w:rPr>
      </w:pPr>
      <w:bookmarkStart w:id="141" w:name="_Toc16938548"/>
      <w:bookmarkStart w:id="142" w:name="_Toc513029232"/>
      <w:bookmarkStart w:id="143" w:name="_Toc20823304"/>
      <w:r>
        <w:rPr>
          <w:rFonts w:hint="eastAsia" w:ascii="Arial" w:hAnsi="Arial" w:eastAsia="黑体" w:cs="Arial"/>
          <w:sz w:val="28"/>
          <w:szCs w:val="28"/>
          <w:highlight w:val="none"/>
        </w:rPr>
        <w:t>2</w:t>
      </w:r>
      <w:r>
        <w:rPr>
          <w:rFonts w:ascii="Arial" w:hAnsi="Arial" w:eastAsia="黑体" w:cs="Arial"/>
          <w:sz w:val="28"/>
          <w:szCs w:val="28"/>
          <w:highlight w:val="none"/>
        </w:rPr>
        <w:t>5</w:t>
      </w:r>
      <w:r>
        <w:rPr>
          <w:rFonts w:hint="eastAsia" w:ascii="Arial" w:hAnsi="Arial" w:eastAsia="黑体" w:cs="Arial"/>
          <w:sz w:val="28"/>
          <w:szCs w:val="28"/>
          <w:highlight w:val="none"/>
        </w:rPr>
        <w:t>、评审过程中的澄清</w:t>
      </w:r>
      <w:bookmarkEnd w:id="141"/>
      <w:bookmarkEnd w:id="142"/>
      <w:bookmarkEnd w:id="143"/>
    </w:p>
    <w:p w14:paraId="40E7421C">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C1F4F54">
      <w:pPr>
        <w:spacing w:line="520" w:lineRule="exact"/>
        <w:ind w:firstLine="480"/>
        <w:rPr>
          <w:rFonts w:hint="eastAsia" w:ascii="宋体" w:hAnsi="宋体" w:cs="宋体"/>
          <w:sz w:val="24"/>
          <w:szCs w:val="24"/>
          <w:highlight w:val="none"/>
        </w:rPr>
      </w:pPr>
      <w:r>
        <w:rPr>
          <w:rFonts w:hint="eastAsia" w:ascii="宋体" w:hAnsi="宋体" w:cs="宋体"/>
          <w:sz w:val="24"/>
          <w:szCs w:val="24"/>
          <w:highlight w:val="none"/>
        </w:rPr>
        <w:t>磋商小组并非对每个供应商都作澄清要求。</w:t>
      </w:r>
    </w:p>
    <w:p w14:paraId="7FC9B213">
      <w:pPr>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    2</w:t>
      </w:r>
      <w:r>
        <w:rPr>
          <w:rFonts w:ascii="宋体" w:hAnsi="宋体" w:cs="宋体"/>
          <w:sz w:val="24"/>
          <w:szCs w:val="24"/>
          <w:highlight w:val="none"/>
        </w:rPr>
        <w:t>5</w:t>
      </w:r>
      <w:r>
        <w:rPr>
          <w:rFonts w:hint="eastAsia" w:ascii="宋体" w:hAnsi="宋体" w:cs="宋体"/>
          <w:sz w:val="24"/>
          <w:szCs w:val="24"/>
          <w:highlight w:val="none"/>
        </w:rPr>
        <w:t>.2需要供应商进行澄清、说明和更正的，磋商小组将通过</w:t>
      </w:r>
      <w:r>
        <w:rPr>
          <w:rFonts w:hint="eastAsia" w:ascii="宋体" w:hAnsi="宋体"/>
          <w:sz w:val="24"/>
          <w:szCs w:val="24"/>
          <w:highlight w:val="none"/>
        </w:rPr>
        <w:t>苏采云系统</w:t>
      </w:r>
      <w:r>
        <w:rPr>
          <w:rFonts w:hint="eastAsia" w:ascii="宋体" w:hAnsi="宋体" w:cs="宋体"/>
          <w:sz w:val="24"/>
          <w:szCs w:val="24"/>
          <w:highlight w:val="none"/>
        </w:rPr>
        <w:t>向供应商发布“澄清要求函”，接到“澄清要求函”的供应商应当按照要求在</w:t>
      </w:r>
      <w:r>
        <w:rPr>
          <w:rFonts w:hint="eastAsia" w:ascii="宋体" w:hAnsi="宋体"/>
          <w:sz w:val="24"/>
          <w:szCs w:val="24"/>
          <w:highlight w:val="none"/>
        </w:rPr>
        <w:t>苏采云系统</w:t>
      </w:r>
      <w:r>
        <w:rPr>
          <w:rFonts w:hint="eastAsia" w:ascii="宋体" w:hAnsi="宋体" w:cs="宋体"/>
          <w:sz w:val="24"/>
          <w:szCs w:val="24"/>
          <w:highlight w:val="none"/>
        </w:rPr>
        <w:t>中提交“澄清响应函”并加盖CA电子公章。澄清、说明和更正的内容作为响应文件的补充部分，具体</w:t>
      </w:r>
      <w:r>
        <w:rPr>
          <w:rFonts w:ascii="宋体" w:hAnsi="宋体" w:cs="宋体"/>
          <w:sz w:val="24"/>
          <w:szCs w:val="24"/>
          <w:highlight w:val="none"/>
        </w:rPr>
        <w:t>操作</w:t>
      </w:r>
      <w:r>
        <w:rPr>
          <w:rFonts w:hint="eastAsia" w:ascii="宋体" w:hAnsi="宋体" w:cs="宋体"/>
          <w:sz w:val="24"/>
          <w:szCs w:val="24"/>
          <w:highlight w:val="none"/>
        </w:rPr>
        <w:t>方式</w:t>
      </w:r>
      <w:r>
        <w:rPr>
          <w:rFonts w:ascii="宋体" w:hAnsi="宋体" w:cs="宋体"/>
          <w:sz w:val="24"/>
          <w:szCs w:val="24"/>
          <w:highlight w:val="none"/>
        </w:rPr>
        <w:t>见</w:t>
      </w:r>
      <w:r>
        <w:rPr>
          <w:rFonts w:hint="eastAsia" w:ascii="宋体" w:hAnsi="宋体" w:cs="宋体"/>
          <w:sz w:val="24"/>
          <w:szCs w:val="24"/>
          <w:highlight w:val="none"/>
        </w:rPr>
        <w:t>《操作手册》 。</w:t>
      </w:r>
    </w:p>
    <w:p w14:paraId="44652359">
      <w:pPr>
        <w:spacing w:line="520" w:lineRule="exact"/>
        <w:rPr>
          <w:rFonts w:hint="eastAsia"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5</w:t>
      </w:r>
      <w:r>
        <w:rPr>
          <w:rFonts w:hint="eastAsia" w:ascii="宋体" w:hAnsi="宋体"/>
          <w:sz w:val="24"/>
          <w:szCs w:val="24"/>
          <w:highlight w:val="none"/>
        </w:rPr>
        <w:t>.3 接到磋商小组澄清、说明和更正要求的供应商如未按规定做出澄清、说明和 更正，其风险由供应商自行承担。</w:t>
      </w:r>
    </w:p>
    <w:p w14:paraId="42D58A6D">
      <w:pPr>
        <w:keepNext/>
        <w:keepLines/>
        <w:spacing w:line="520" w:lineRule="exact"/>
        <w:ind w:firstLine="420"/>
        <w:outlineLvl w:val="3"/>
        <w:rPr>
          <w:rFonts w:hint="eastAsia" w:ascii="Arial" w:hAnsi="Arial" w:eastAsia="黑体" w:cs="Arial"/>
          <w:sz w:val="28"/>
          <w:szCs w:val="28"/>
          <w:highlight w:val="none"/>
        </w:rPr>
      </w:pPr>
      <w:bookmarkStart w:id="144" w:name="_Toc20823305"/>
      <w:bookmarkStart w:id="145" w:name="_Toc513029233"/>
      <w:bookmarkStart w:id="146" w:name="_Toc16938549"/>
      <w:r>
        <w:rPr>
          <w:rFonts w:hint="eastAsia" w:ascii="Arial" w:hAnsi="Arial" w:eastAsia="黑体" w:cs="Arial"/>
          <w:sz w:val="28"/>
          <w:szCs w:val="28"/>
          <w:highlight w:val="none"/>
        </w:rPr>
        <w:t>2</w:t>
      </w:r>
      <w:r>
        <w:rPr>
          <w:rFonts w:ascii="Arial" w:hAnsi="Arial" w:eastAsia="黑体" w:cs="Arial"/>
          <w:sz w:val="28"/>
          <w:szCs w:val="28"/>
          <w:highlight w:val="none"/>
        </w:rPr>
        <w:t>6</w:t>
      </w:r>
      <w:r>
        <w:rPr>
          <w:rFonts w:hint="eastAsia" w:ascii="Arial" w:hAnsi="Arial" w:eastAsia="黑体" w:cs="Arial"/>
          <w:sz w:val="28"/>
          <w:szCs w:val="28"/>
          <w:highlight w:val="none"/>
        </w:rPr>
        <w:t>、对响应文件的审</w:t>
      </w:r>
      <w:bookmarkEnd w:id="144"/>
      <w:bookmarkEnd w:id="145"/>
      <w:bookmarkEnd w:id="146"/>
      <w:r>
        <w:rPr>
          <w:rFonts w:hint="eastAsia" w:ascii="Arial" w:hAnsi="Arial" w:eastAsia="黑体" w:cs="Arial"/>
          <w:sz w:val="28"/>
          <w:szCs w:val="28"/>
          <w:highlight w:val="none"/>
        </w:rPr>
        <w:t>查</w:t>
      </w:r>
    </w:p>
    <w:p w14:paraId="48AB40E8">
      <w:pPr>
        <w:spacing w:line="52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.1</w:t>
      </w:r>
      <w:r>
        <w:rPr>
          <w:rFonts w:hint="eastAsia" w:ascii="宋体" w:hAnsi="宋体"/>
          <w:bCs/>
          <w:sz w:val="24"/>
          <w:szCs w:val="21"/>
          <w:highlight w:val="none"/>
        </w:rPr>
        <w:t>响应文件审查分为资格审查和符合性审查。</w:t>
      </w:r>
    </w:p>
    <w:p w14:paraId="6004FE06">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.1.1 资格审查：由采购人依据法律法规和磋商文件的规定，对响应文件中的资格证明文件进行审查，以确定供应商是否具备参加磋商的资格。</w:t>
      </w:r>
    </w:p>
    <w:p w14:paraId="114DA754">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采购人在进行资格审查的同时，将在“信用中国”网站查询供应商的信用记录，以确定供应商是否具备磋商资格,查询结果留存并归档。</w:t>
      </w:r>
    </w:p>
    <w:p w14:paraId="3458770B">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5382CD3A">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.1.2 符合性审查：依据磋商文件的规定，由磋商小组从响应文件的有效性、完整性和对磋商文件的响应程度进行审查，以确定是否对磋商文件的实质性要求作出响应。</w:t>
      </w:r>
    </w:p>
    <w:p w14:paraId="0E1C7E45">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6</w:t>
      </w:r>
      <w:r>
        <w:rPr>
          <w:rFonts w:hint="eastAsia" w:ascii="宋体" w:hAnsi="宋体"/>
          <w:bCs/>
          <w:sz w:val="24"/>
          <w:szCs w:val="21"/>
          <w:highlight w:val="none"/>
        </w:rPr>
        <w:t>.1.3 未通过资格审查或符合性审查的供应商，磋商小组将在</w:t>
      </w:r>
      <w:r>
        <w:rPr>
          <w:rFonts w:hint="eastAsia" w:ascii="宋体" w:hAnsi="宋体"/>
          <w:sz w:val="24"/>
          <w:szCs w:val="24"/>
          <w:highlight w:val="none"/>
        </w:rPr>
        <w:t>苏采云系统</w:t>
      </w:r>
      <w:r>
        <w:rPr>
          <w:rFonts w:hint="eastAsia" w:ascii="宋体" w:hAnsi="宋体"/>
          <w:bCs/>
          <w:sz w:val="24"/>
          <w:szCs w:val="21"/>
          <w:highlight w:val="none"/>
        </w:rPr>
        <w:t>中告知未通过资格审查或符合性审查的原因，评审结束后，磋商小组将不再告知未通过资格审查或符合性审查的原因。</w:t>
      </w:r>
    </w:p>
    <w:p w14:paraId="607B34EB">
      <w:pPr>
        <w:spacing w:line="520" w:lineRule="exact"/>
        <w:ind w:firstLine="480"/>
        <w:rPr>
          <w:rFonts w:hint="eastAsia" w:ascii="宋体" w:hAnsi="宋体"/>
          <w:sz w:val="24"/>
          <w:szCs w:val="24"/>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.2</w:t>
      </w:r>
      <w:r>
        <w:rPr>
          <w:rFonts w:hint="eastAsia" w:ascii="宋体" w:hAnsi="宋体"/>
          <w:sz w:val="24"/>
          <w:szCs w:val="24"/>
          <w:highlight w:val="none"/>
        </w:rPr>
        <w:t>在详细评审之前，磋商小组将首先审查每份响应文件是否实质性响应了磋商文件的要求。实质性响应的响应文件应该是与磋商文件要求的条款、条件和规格相符，没有重大偏离或保留。</w:t>
      </w:r>
    </w:p>
    <w:p w14:paraId="0F13B668">
      <w:pPr>
        <w:spacing w:line="520" w:lineRule="exact"/>
        <w:ind w:firstLine="480"/>
        <w:rPr>
          <w:rFonts w:hint="eastAsia" w:ascii="宋体" w:hAnsi="宋体"/>
          <w:sz w:val="24"/>
          <w:szCs w:val="24"/>
          <w:highlight w:val="none"/>
        </w:rPr>
      </w:pPr>
      <w:r>
        <w:rPr>
          <w:rFonts w:hint="eastAsia" w:ascii="宋体" w:hAnsi="宋体"/>
          <w:sz w:val="24"/>
          <w:szCs w:val="24"/>
          <w:highlight w:val="none"/>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0AD3534">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26.3未实质性响应磋商文件的情形</w:t>
      </w:r>
    </w:p>
    <w:p w14:paraId="760F940C">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26.3.1供应商在</w:t>
      </w:r>
      <w:r>
        <w:rPr>
          <w:rFonts w:hint="eastAsia" w:ascii="宋体" w:hAnsi="宋体"/>
          <w:sz w:val="24"/>
          <w:szCs w:val="24"/>
          <w:highlight w:val="none"/>
        </w:rPr>
        <w:t>苏采云系统</w:t>
      </w:r>
      <w:r>
        <w:rPr>
          <w:rFonts w:hint="eastAsia" w:ascii="宋体" w:hAnsi="宋体"/>
          <w:bCs/>
          <w:sz w:val="24"/>
          <w:szCs w:val="21"/>
          <w:highlight w:val="none"/>
        </w:rPr>
        <w:t>规定的时间内未成功解密电子响应文件的。</w:t>
      </w:r>
    </w:p>
    <w:p w14:paraId="6562E1D5">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26.3.2供应商未按照磋商文件要求上传电子响应文件的。</w:t>
      </w:r>
    </w:p>
    <w:p w14:paraId="5182B114">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26.3.3同一供应商提交两个（含两个）以上不同的响应文件或者最后报价的。</w:t>
      </w:r>
    </w:p>
    <w:p w14:paraId="72998938">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26.3.4供应商不具备磋商文件中规定资格要求的。</w:t>
      </w:r>
    </w:p>
    <w:p w14:paraId="0D803D28">
      <w:pPr>
        <w:spacing w:line="520" w:lineRule="exact"/>
        <w:ind w:firstLine="480"/>
        <w:rPr>
          <w:rFonts w:hint="eastAsia" w:ascii="宋体" w:hAnsi="宋体" w:eastAsia="宋体"/>
          <w:bCs/>
          <w:sz w:val="24"/>
          <w:szCs w:val="21"/>
          <w:highlight w:val="none"/>
          <w:lang w:val="en-US" w:eastAsia="zh-CN"/>
        </w:rPr>
      </w:pPr>
      <w:r>
        <w:rPr>
          <w:rFonts w:hint="eastAsia" w:ascii="宋体" w:hAnsi="宋体"/>
          <w:bCs/>
          <w:sz w:val="24"/>
          <w:szCs w:val="21"/>
          <w:highlight w:val="none"/>
        </w:rPr>
        <w:t>26.3.5供应商的最后报价对应结算单价超过本文件约定的单项最高限价的</w:t>
      </w:r>
      <w:r>
        <w:rPr>
          <w:rFonts w:hint="eastAsia" w:ascii="宋体" w:hAnsi="宋体"/>
          <w:bCs/>
          <w:sz w:val="24"/>
          <w:szCs w:val="21"/>
          <w:highlight w:val="none"/>
          <w:lang w:eastAsia="zh-CN"/>
        </w:rPr>
        <w:t>。</w:t>
      </w:r>
    </w:p>
    <w:p w14:paraId="2703604D">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26.3.6不符合磋商文件中规定的实质性要求和条件的。</w:t>
      </w:r>
    </w:p>
    <w:p w14:paraId="7007E0CE">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006CC5DD">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26.3.8  响应文件含有采购人不能接受的附加条件的。</w:t>
      </w:r>
    </w:p>
    <w:p w14:paraId="50228B27">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6299EE40">
      <w:pPr>
        <w:spacing w:line="520" w:lineRule="exact"/>
        <w:ind w:firstLine="480"/>
        <w:rPr>
          <w:rFonts w:ascii="宋体" w:hAnsi="宋体" w:eastAsia="宋体" w:cs="Times New Roman"/>
          <w:bCs/>
          <w:sz w:val="24"/>
          <w:szCs w:val="21"/>
          <w:highlight w:val="none"/>
          <w:lang w:val="en-US" w:eastAsia="zh-CN"/>
        </w:rPr>
      </w:pPr>
      <w:r>
        <w:rPr>
          <w:rFonts w:hint="eastAsia" w:ascii="宋体" w:hAnsi="宋体" w:eastAsia="宋体" w:cs="Times New Roman"/>
          <w:bCs/>
          <w:sz w:val="24"/>
          <w:szCs w:val="21"/>
          <w:highlight w:val="none"/>
          <w:lang w:val="en-US" w:eastAsia="zh-CN"/>
        </w:rPr>
        <w:t>26.3.10 评审小组启动异常低价响应审查后，响应供应商未在合理时间内提供书面说明、证明材料，或提供的说面说明、证明材料不能证明其报价合理性的。</w:t>
      </w:r>
    </w:p>
    <w:p w14:paraId="2EE55C1C">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26.4未实质性响应磋商文件的响应文件按无效响应处理。</w:t>
      </w:r>
    </w:p>
    <w:p w14:paraId="0875FF16">
      <w:pPr>
        <w:spacing w:line="520" w:lineRule="exact"/>
        <w:ind w:firstLine="480"/>
        <w:rPr>
          <w:rFonts w:hint="eastAsia" w:ascii="宋体" w:hAnsi="宋体"/>
          <w:bCs/>
          <w:sz w:val="24"/>
          <w:szCs w:val="21"/>
          <w:highlight w:val="none"/>
        </w:rPr>
      </w:pPr>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.5</w:t>
      </w:r>
      <w:r>
        <w:rPr>
          <w:rFonts w:hint="eastAsia" w:ascii="宋体" w:hAnsi="宋体"/>
          <w:bCs/>
          <w:sz w:val="24"/>
          <w:szCs w:val="21"/>
          <w:highlight w:val="none"/>
        </w:rPr>
        <w:t>如果响应文件实质上没有响应磋商文件的要求，磋商小组将予以拒绝，供应商不得通过修改或撤销不合要求的偏离或保留而使其成为实质性响应的文件。</w:t>
      </w:r>
    </w:p>
    <w:p w14:paraId="77F9AF6A">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26.6磋商小组将对确定为实质性响应的文件进行进一步审核，看其是否有计算上或累加上的算术错误，修正错误的原则如下：</w:t>
      </w:r>
    </w:p>
    <w:p w14:paraId="05661758">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（1）响应文件中报价总表内容与响应文件中相应内容不一致的，以报价总表为准。</w:t>
      </w:r>
    </w:p>
    <w:p w14:paraId="6BF03446">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（2）大写金额和小写金额不一致的，以大写金额为准。</w:t>
      </w:r>
    </w:p>
    <w:p w14:paraId="37F4BD2B">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（3）单价金额小数点或者百分比有明显错位的，以报价总表的总价为准，并修改单价。</w:t>
      </w:r>
    </w:p>
    <w:p w14:paraId="5E8B3F24">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（4）总价金额与按单价汇总金额不一致的，以单价金额计算结果为准。</w:t>
      </w:r>
    </w:p>
    <w:p w14:paraId="2CE55AFC">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同时出现两种以上错误的，按照前款规定的顺序修正。</w:t>
      </w:r>
    </w:p>
    <w:p w14:paraId="5623AE95">
      <w:pPr>
        <w:spacing w:line="520" w:lineRule="exact"/>
        <w:ind w:firstLine="480"/>
        <w:rPr>
          <w:rFonts w:hint="eastAsia" w:ascii="宋体" w:hAnsi="宋体"/>
          <w:sz w:val="24"/>
          <w:szCs w:val="21"/>
          <w:highlight w:val="none"/>
        </w:rPr>
      </w:pPr>
      <w:bookmarkStart w:id="147" w:name="_Toc20823306"/>
      <w:bookmarkStart w:id="148" w:name="_Toc513029234"/>
      <w:bookmarkStart w:id="149" w:name="_Toc16938550"/>
      <w:r>
        <w:rPr>
          <w:rFonts w:hint="eastAsia" w:ascii="宋体" w:hAnsi="宋体"/>
          <w:sz w:val="24"/>
          <w:szCs w:val="21"/>
          <w:highlight w:val="none"/>
        </w:rPr>
        <w:t>2</w:t>
      </w:r>
      <w:r>
        <w:rPr>
          <w:rFonts w:ascii="宋体" w:hAnsi="宋体"/>
          <w:sz w:val="24"/>
          <w:szCs w:val="21"/>
          <w:highlight w:val="none"/>
        </w:rPr>
        <w:t>6</w:t>
      </w:r>
      <w:r>
        <w:rPr>
          <w:rFonts w:hint="eastAsia" w:ascii="宋体" w:hAnsi="宋体"/>
          <w:sz w:val="24"/>
          <w:szCs w:val="21"/>
          <w:highlight w:val="none"/>
        </w:rPr>
        <w:t>.7供应商在项目评审全过程中应保持通讯畅通，并安排专人与</w:t>
      </w:r>
      <w:r>
        <w:rPr>
          <w:rFonts w:hint="eastAsia" w:ascii="宋体" w:hAnsi="宋体"/>
          <w:sz w:val="24"/>
          <w:szCs w:val="24"/>
          <w:highlight w:val="none"/>
        </w:rPr>
        <w:t>采购人或采购代理机构</w:t>
      </w:r>
      <w:r>
        <w:rPr>
          <w:rFonts w:hint="eastAsia" w:ascii="宋体" w:hAnsi="宋体"/>
          <w:sz w:val="24"/>
          <w:szCs w:val="21"/>
          <w:highlight w:val="none"/>
        </w:rPr>
        <w:t>及磋商小组联系。</w:t>
      </w:r>
    </w:p>
    <w:p w14:paraId="7CBD8C2A">
      <w:pPr>
        <w:keepNext/>
        <w:keepLines/>
        <w:spacing w:line="520" w:lineRule="exact"/>
        <w:ind w:firstLine="420"/>
        <w:outlineLvl w:val="3"/>
        <w:rPr>
          <w:rFonts w:hint="eastAsia" w:ascii="Arial" w:hAnsi="Arial" w:eastAsia="黑体" w:cs="Arial"/>
          <w:sz w:val="28"/>
          <w:szCs w:val="28"/>
          <w:highlight w:val="none"/>
        </w:rPr>
      </w:pPr>
      <w:r>
        <w:rPr>
          <w:rFonts w:hint="eastAsia" w:ascii="Arial" w:hAnsi="Arial" w:eastAsia="黑体" w:cs="Arial"/>
          <w:sz w:val="28"/>
          <w:szCs w:val="28"/>
          <w:highlight w:val="none"/>
        </w:rPr>
        <w:t>2</w:t>
      </w:r>
      <w:r>
        <w:rPr>
          <w:rFonts w:ascii="Arial" w:hAnsi="Arial" w:eastAsia="黑体" w:cs="Arial"/>
          <w:sz w:val="28"/>
          <w:szCs w:val="28"/>
          <w:highlight w:val="none"/>
        </w:rPr>
        <w:t>7</w:t>
      </w:r>
      <w:r>
        <w:rPr>
          <w:rFonts w:hint="eastAsia" w:ascii="Arial" w:hAnsi="Arial" w:eastAsia="黑体" w:cs="Arial"/>
          <w:sz w:val="28"/>
          <w:szCs w:val="28"/>
          <w:highlight w:val="none"/>
        </w:rPr>
        <w:t>、</w:t>
      </w:r>
      <w:bookmarkEnd w:id="147"/>
      <w:bookmarkEnd w:id="148"/>
      <w:bookmarkEnd w:id="149"/>
      <w:r>
        <w:rPr>
          <w:rFonts w:hint="eastAsia" w:ascii="Arial" w:hAnsi="Arial" w:eastAsia="黑体" w:cs="Arial"/>
          <w:sz w:val="28"/>
          <w:szCs w:val="28"/>
          <w:highlight w:val="none"/>
        </w:rPr>
        <w:t>磋商程序及评审方法和评审标准</w:t>
      </w:r>
    </w:p>
    <w:p w14:paraId="5896E979">
      <w:pPr>
        <w:tabs>
          <w:tab w:val="left" w:pos="900"/>
        </w:tabs>
        <w:spacing w:line="520" w:lineRule="exact"/>
        <w:ind w:firstLine="478"/>
        <w:rPr>
          <w:rFonts w:hint="eastAsia" w:ascii="宋体" w:hAnsi="宋体"/>
          <w:sz w:val="24"/>
          <w:szCs w:val="24"/>
          <w:highlight w:val="none"/>
        </w:rPr>
      </w:pPr>
      <w:r>
        <w:rPr>
          <w:rFonts w:hint="eastAsia" w:ascii="宋体" w:hAnsi="宋体"/>
          <w:sz w:val="24"/>
          <w:szCs w:val="24"/>
          <w:highlight w:val="none"/>
        </w:rPr>
        <w:t>27.1磋商程序</w:t>
      </w:r>
    </w:p>
    <w:p w14:paraId="1BA58386">
      <w:pPr>
        <w:tabs>
          <w:tab w:val="left" w:pos="900"/>
        </w:tabs>
        <w:spacing w:line="520" w:lineRule="exact"/>
        <w:ind w:firstLine="478"/>
        <w:rPr>
          <w:rFonts w:hint="eastAsia" w:ascii="宋体" w:hAnsi="宋体"/>
          <w:sz w:val="24"/>
          <w:szCs w:val="24"/>
          <w:highlight w:val="none"/>
        </w:rPr>
      </w:pPr>
      <w:r>
        <w:rPr>
          <w:rFonts w:hint="eastAsia" w:ascii="宋体" w:hAnsi="宋体"/>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F318982">
      <w:pPr>
        <w:tabs>
          <w:tab w:val="left" w:pos="900"/>
        </w:tabs>
        <w:spacing w:line="520" w:lineRule="exact"/>
        <w:ind w:firstLine="478"/>
        <w:rPr>
          <w:rFonts w:hint="eastAsia" w:ascii="宋体" w:hAnsi="宋体"/>
          <w:sz w:val="24"/>
          <w:szCs w:val="24"/>
          <w:highlight w:val="none"/>
        </w:rPr>
      </w:pPr>
      <w:r>
        <w:rPr>
          <w:rFonts w:hint="eastAsia" w:ascii="宋体" w:hAnsi="宋体"/>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962AFEB">
      <w:pPr>
        <w:tabs>
          <w:tab w:val="left" w:pos="900"/>
        </w:tabs>
        <w:spacing w:line="520" w:lineRule="exact"/>
        <w:ind w:firstLine="478"/>
        <w:rPr>
          <w:rFonts w:hint="eastAsia" w:ascii="宋体" w:hAnsi="宋体"/>
          <w:sz w:val="24"/>
          <w:szCs w:val="24"/>
          <w:highlight w:val="none"/>
        </w:rPr>
      </w:pPr>
      <w:r>
        <w:rPr>
          <w:rFonts w:hint="eastAsia" w:ascii="宋体" w:hAnsi="宋体"/>
          <w:sz w:val="24"/>
          <w:szCs w:val="24"/>
          <w:highlight w:val="none"/>
        </w:rPr>
        <w:t xml:space="preserve"> 27.1.2</w:t>
      </w:r>
      <w:r>
        <w:rPr>
          <w:rFonts w:ascii="宋体" w:hAnsi="宋体"/>
          <w:sz w:val="24"/>
          <w:szCs w:val="24"/>
          <w:highlight w:val="none"/>
        </w:rPr>
        <w:t>磋商文件能够详细列明采购标的的技术、服务要求的，磋商结束后，磋商小组</w:t>
      </w:r>
      <w:r>
        <w:rPr>
          <w:rFonts w:hint="eastAsia" w:ascii="宋体" w:hAnsi="宋体"/>
          <w:sz w:val="24"/>
          <w:szCs w:val="24"/>
          <w:highlight w:val="none"/>
        </w:rPr>
        <w:t>将在苏采云系统向所有</w:t>
      </w:r>
      <w:r>
        <w:rPr>
          <w:rFonts w:ascii="宋体" w:hAnsi="宋体"/>
          <w:sz w:val="24"/>
          <w:szCs w:val="24"/>
          <w:highlight w:val="none"/>
        </w:rPr>
        <w:t>实质性响应的供应商</w:t>
      </w:r>
      <w:r>
        <w:rPr>
          <w:rFonts w:hint="eastAsia" w:ascii="宋体" w:hAnsi="宋体"/>
          <w:sz w:val="24"/>
          <w:szCs w:val="24"/>
          <w:highlight w:val="none"/>
        </w:rPr>
        <w:t>发布“最后报价要求函”及最后报价格式表，</w:t>
      </w:r>
      <w:r>
        <w:rPr>
          <w:rFonts w:ascii="宋体" w:hAnsi="宋体"/>
          <w:sz w:val="24"/>
          <w:szCs w:val="24"/>
          <w:highlight w:val="none"/>
        </w:rPr>
        <w:t>要求所有实质性响应的供应商在规定时间内提交最后报价。</w:t>
      </w:r>
    </w:p>
    <w:p w14:paraId="14B8FE10">
      <w:pPr>
        <w:tabs>
          <w:tab w:val="left" w:pos="900"/>
        </w:tabs>
        <w:spacing w:line="520" w:lineRule="exact"/>
        <w:ind w:firstLine="478"/>
        <w:rPr>
          <w:rFonts w:hint="eastAsia" w:ascii="宋体" w:hAnsi="宋体"/>
          <w:sz w:val="24"/>
          <w:szCs w:val="24"/>
          <w:highlight w:val="none"/>
        </w:rPr>
      </w:pPr>
      <w:r>
        <w:rPr>
          <w:rFonts w:hint="eastAsia" w:ascii="宋体" w:hAnsi="宋体"/>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1FA73987">
      <w:pPr>
        <w:tabs>
          <w:tab w:val="left" w:pos="900"/>
        </w:tabs>
        <w:spacing w:line="520" w:lineRule="exact"/>
        <w:ind w:firstLine="480"/>
        <w:rPr>
          <w:rFonts w:hint="eastAsia" w:ascii="宋体" w:hAnsi="宋体"/>
          <w:sz w:val="24"/>
          <w:szCs w:val="24"/>
          <w:highlight w:val="none"/>
        </w:rPr>
      </w:pPr>
      <w:r>
        <w:rPr>
          <w:rFonts w:hint="eastAsia" w:ascii="宋体" w:hAnsi="宋体"/>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6C085CA6">
      <w:pPr>
        <w:tabs>
          <w:tab w:val="left" w:pos="900"/>
        </w:tabs>
        <w:spacing w:line="520" w:lineRule="exact"/>
        <w:ind w:firstLine="478"/>
        <w:rPr>
          <w:rFonts w:hint="eastAsia" w:ascii="宋体" w:hAnsi="宋体"/>
          <w:sz w:val="24"/>
          <w:szCs w:val="24"/>
          <w:highlight w:val="none"/>
        </w:rPr>
      </w:pPr>
      <w:r>
        <w:rPr>
          <w:rFonts w:hint="eastAsia" w:ascii="宋体" w:hAnsi="宋体"/>
          <w:sz w:val="24"/>
          <w:szCs w:val="24"/>
          <w:highlight w:val="none"/>
        </w:rPr>
        <w:t>27.1.3供应商未在磋商小组规定的时间内在苏采云系统中提交最后报价视为放弃磋商，其响应文件按无效响应处理，最后报价格式表须加盖CA电子公章,否则视为未提交最后报价。</w:t>
      </w:r>
      <w:r>
        <w:rPr>
          <w:rFonts w:ascii="宋体" w:hAnsi="宋体"/>
          <w:sz w:val="24"/>
          <w:szCs w:val="24"/>
          <w:highlight w:val="none"/>
        </w:rPr>
        <w:t>已提交响应文件的供应商，在提交最后报价之前，可以根据磋商情况退出磋商</w:t>
      </w:r>
      <w:r>
        <w:rPr>
          <w:rFonts w:hint="eastAsia" w:ascii="宋体" w:hAnsi="宋体"/>
          <w:sz w:val="24"/>
          <w:szCs w:val="24"/>
          <w:highlight w:val="none"/>
        </w:rPr>
        <w:t>，并在苏采云系统中提交“退出磋商函”并加盖CA电子公章</w:t>
      </w:r>
      <w:r>
        <w:rPr>
          <w:rFonts w:ascii="宋体" w:hAnsi="宋体"/>
          <w:sz w:val="24"/>
          <w:szCs w:val="24"/>
          <w:highlight w:val="none"/>
        </w:rPr>
        <w:t>。</w:t>
      </w:r>
    </w:p>
    <w:p w14:paraId="689E63FA">
      <w:pPr>
        <w:tabs>
          <w:tab w:val="left" w:pos="900"/>
        </w:tabs>
        <w:spacing w:line="520" w:lineRule="exact"/>
        <w:ind w:firstLine="478"/>
        <w:rPr>
          <w:rFonts w:hint="eastAsia" w:ascii="宋体" w:hAnsi="宋体"/>
          <w:sz w:val="24"/>
          <w:szCs w:val="24"/>
          <w:highlight w:val="none"/>
        </w:rPr>
      </w:pPr>
      <w:r>
        <w:rPr>
          <w:rFonts w:hint="eastAsia" w:ascii="宋体" w:hAnsi="宋体"/>
          <w:sz w:val="24"/>
          <w:szCs w:val="24"/>
          <w:highlight w:val="none"/>
        </w:rPr>
        <w:t>27.2 评审方法和评审标准</w:t>
      </w:r>
    </w:p>
    <w:p w14:paraId="5F4FC775">
      <w:pPr>
        <w:tabs>
          <w:tab w:val="left" w:pos="900"/>
        </w:tabs>
        <w:spacing w:line="520" w:lineRule="exact"/>
        <w:ind w:firstLine="478"/>
        <w:rPr>
          <w:rFonts w:hint="eastAsia" w:ascii="宋体" w:hAnsi="宋体"/>
          <w:sz w:val="24"/>
          <w:szCs w:val="24"/>
          <w:highlight w:val="none"/>
        </w:rPr>
      </w:pPr>
      <w:r>
        <w:rPr>
          <w:rFonts w:hint="eastAsia" w:ascii="宋体" w:hAnsi="宋体"/>
          <w:sz w:val="24"/>
          <w:szCs w:val="24"/>
          <w:highlight w:val="none"/>
        </w:rPr>
        <w:t>27.2.1评审方法。经磋商确定最终采购需求和提交最后报价的供应商后，由磋商小组采用综合评分法对提交最后报价的供应商的响应文件和最后报价进行综合评分。</w:t>
      </w:r>
    </w:p>
    <w:p w14:paraId="444C0870">
      <w:pPr>
        <w:tabs>
          <w:tab w:val="left" w:pos="900"/>
        </w:tabs>
        <w:spacing w:line="520" w:lineRule="exact"/>
        <w:ind w:firstLine="478"/>
        <w:rPr>
          <w:rFonts w:hint="eastAsia" w:ascii="宋体" w:hAnsi="宋体"/>
          <w:sz w:val="24"/>
          <w:szCs w:val="24"/>
          <w:highlight w:val="none"/>
        </w:rPr>
      </w:pPr>
      <w:r>
        <w:rPr>
          <w:rFonts w:hint="eastAsia" w:ascii="宋体" w:hAnsi="宋体"/>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97DC175">
      <w:pPr>
        <w:tabs>
          <w:tab w:val="left" w:pos="900"/>
        </w:tabs>
        <w:spacing w:line="520" w:lineRule="exact"/>
        <w:ind w:firstLine="478"/>
        <w:rPr>
          <w:rFonts w:hint="eastAsia" w:ascii="宋体" w:hAnsi="宋体"/>
          <w:sz w:val="24"/>
          <w:szCs w:val="24"/>
          <w:highlight w:val="none"/>
        </w:rPr>
      </w:pPr>
      <w:r>
        <w:rPr>
          <w:rFonts w:hint="eastAsia" w:ascii="宋体" w:hAnsi="宋体"/>
          <w:sz w:val="24"/>
          <w:szCs w:val="24"/>
          <w:highlight w:val="none"/>
        </w:rPr>
        <w:t>27.2.2评审标准</w:t>
      </w:r>
    </w:p>
    <w:p w14:paraId="5BF7EB19">
      <w:pPr>
        <w:tabs>
          <w:tab w:val="left" w:pos="900"/>
        </w:tabs>
        <w:spacing w:line="520" w:lineRule="exact"/>
        <w:ind w:firstLine="478"/>
        <w:rPr>
          <w:rFonts w:hint="eastAsia" w:ascii="宋体" w:hAnsi="宋体"/>
          <w:sz w:val="24"/>
          <w:szCs w:val="24"/>
          <w:highlight w:val="none"/>
        </w:rPr>
      </w:pPr>
      <w:r>
        <w:rPr>
          <w:rFonts w:hint="eastAsia" w:ascii="宋体" w:hAnsi="宋体"/>
          <w:sz w:val="24"/>
          <w:szCs w:val="24"/>
          <w:highlight w:val="none"/>
        </w:rPr>
        <w:t>见本磋商文件第四章规定。</w:t>
      </w:r>
    </w:p>
    <w:p w14:paraId="449801EB">
      <w:pPr>
        <w:tabs>
          <w:tab w:val="left" w:pos="900"/>
        </w:tabs>
        <w:spacing w:line="520" w:lineRule="exact"/>
        <w:ind w:firstLine="478"/>
        <w:rPr>
          <w:rFonts w:hint="eastAsia" w:ascii="宋体" w:hAnsi="宋体"/>
          <w:sz w:val="24"/>
          <w:szCs w:val="24"/>
          <w:highlight w:val="none"/>
        </w:rPr>
      </w:pPr>
      <w:r>
        <w:rPr>
          <w:rFonts w:hint="eastAsia" w:ascii="宋体" w:hAnsi="宋体"/>
          <w:sz w:val="24"/>
          <w:szCs w:val="24"/>
          <w:highlight w:val="none"/>
        </w:rPr>
        <w:t>27.3采购活动终止的情况</w:t>
      </w:r>
    </w:p>
    <w:p w14:paraId="7DB8D003">
      <w:pPr>
        <w:tabs>
          <w:tab w:val="left" w:pos="900"/>
        </w:tabs>
        <w:spacing w:line="520" w:lineRule="exact"/>
        <w:ind w:firstLine="360"/>
        <w:rPr>
          <w:rFonts w:hint="eastAsia" w:ascii="宋体" w:hAnsi="宋体"/>
          <w:sz w:val="24"/>
          <w:szCs w:val="24"/>
          <w:highlight w:val="none"/>
        </w:rPr>
      </w:pPr>
      <w:r>
        <w:rPr>
          <w:rFonts w:hint="eastAsia" w:ascii="宋体" w:hAnsi="宋体"/>
          <w:sz w:val="24"/>
          <w:szCs w:val="24"/>
          <w:highlight w:val="none"/>
        </w:rPr>
        <w:t>出现下列情形之一的，本次竞争性磋商采购活动将被终止：</w:t>
      </w:r>
    </w:p>
    <w:p w14:paraId="2A76B339">
      <w:pPr>
        <w:tabs>
          <w:tab w:val="left" w:pos="900"/>
        </w:tabs>
        <w:spacing w:line="520" w:lineRule="exact"/>
        <w:ind w:firstLine="360"/>
        <w:rPr>
          <w:rFonts w:hint="eastAsia" w:ascii="宋体" w:hAnsi="宋体"/>
          <w:sz w:val="24"/>
          <w:szCs w:val="24"/>
          <w:highlight w:val="none"/>
        </w:rPr>
      </w:pPr>
      <w:r>
        <w:rPr>
          <w:rFonts w:hint="eastAsia" w:ascii="宋体" w:hAnsi="宋体"/>
          <w:sz w:val="24"/>
          <w:szCs w:val="24"/>
          <w:highlight w:val="none"/>
        </w:rPr>
        <w:t>27.3.1因情况变化，不再符合规定的竞争性磋商采购方式适用情形的。</w:t>
      </w:r>
    </w:p>
    <w:p w14:paraId="583E0381">
      <w:pPr>
        <w:tabs>
          <w:tab w:val="left" w:pos="900"/>
        </w:tabs>
        <w:spacing w:line="520" w:lineRule="exact"/>
        <w:ind w:firstLine="360"/>
        <w:rPr>
          <w:rFonts w:hint="eastAsia" w:ascii="宋体" w:hAnsi="宋体"/>
          <w:sz w:val="24"/>
          <w:szCs w:val="24"/>
          <w:highlight w:val="none"/>
        </w:rPr>
      </w:pPr>
      <w:r>
        <w:rPr>
          <w:rFonts w:hint="eastAsia" w:ascii="宋体" w:hAnsi="宋体"/>
          <w:sz w:val="24"/>
          <w:szCs w:val="24"/>
          <w:highlight w:val="none"/>
        </w:rPr>
        <w:t>27.3.2出现影响采购公正的违法、违规行为的。</w:t>
      </w:r>
    </w:p>
    <w:p w14:paraId="1EBC70F6">
      <w:pPr>
        <w:tabs>
          <w:tab w:val="left" w:pos="900"/>
        </w:tabs>
        <w:spacing w:line="520" w:lineRule="exact"/>
        <w:ind w:firstLine="360"/>
        <w:rPr>
          <w:rFonts w:hint="eastAsia" w:ascii="宋体" w:hAnsi="宋体"/>
          <w:sz w:val="24"/>
          <w:szCs w:val="24"/>
          <w:highlight w:val="none"/>
        </w:rPr>
      </w:pPr>
      <w:r>
        <w:rPr>
          <w:rFonts w:hint="eastAsia" w:ascii="宋体" w:hAnsi="宋体"/>
          <w:sz w:val="24"/>
          <w:szCs w:val="24"/>
          <w:highlight w:val="none"/>
        </w:rPr>
        <w:t>27.3.3除本磋商文件第二章第27.1.2条第三款规定的情形外，在采购过程中符合要求的供应商或者最后报价未超过采购预算的供应商不足3家的。</w:t>
      </w:r>
    </w:p>
    <w:p w14:paraId="1649A9D0">
      <w:pPr>
        <w:tabs>
          <w:tab w:val="left" w:pos="900"/>
        </w:tabs>
        <w:spacing w:line="520" w:lineRule="exact"/>
        <w:ind w:firstLine="360"/>
        <w:rPr>
          <w:rFonts w:hint="eastAsia" w:ascii="宋体" w:hAnsi="宋体" w:cs="宋体"/>
          <w:sz w:val="24"/>
          <w:szCs w:val="24"/>
          <w:highlight w:val="none"/>
        </w:rPr>
      </w:pPr>
      <w:r>
        <w:rPr>
          <w:rFonts w:hint="eastAsia" w:ascii="宋体" w:hAnsi="宋体" w:cs="宋体"/>
          <w:sz w:val="24"/>
          <w:szCs w:val="24"/>
          <w:highlight w:val="none"/>
        </w:rPr>
        <w:t>27.3.4在</w:t>
      </w:r>
      <w:r>
        <w:rPr>
          <w:rFonts w:hint="eastAsia" w:ascii="宋体" w:hAnsi="宋体"/>
          <w:sz w:val="24"/>
          <w:szCs w:val="24"/>
          <w:highlight w:val="none"/>
        </w:rPr>
        <w:t>苏采云系统</w:t>
      </w:r>
      <w:r>
        <w:rPr>
          <w:rFonts w:hint="eastAsia" w:ascii="宋体" w:hAnsi="宋体" w:cs="宋体"/>
          <w:sz w:val="24"/>
          <w:szCs w:val="24"/>
          <w:highlight w:val="none"/>
        </w:rPr>
        <w:t>规定时间内成功解密电子响应文件的供应商不足3家的。</w:t>
      </w:r>
    </w:p>
    <w:p w14:paraId="664A2228">
      <w:pPr>
        <w:keepNext/>
        <w:keepLines/>
        <w:spacing w:line="520" w:lineRule="exact"/>
        <w:ind w:firstLine="480"/>
        <w:outlineLvl w:val="2"/>
        <w:rPr>
          <w:rFonts w:hint="eastAsia"/>
          <w:b/>
          <w:bCs/>
          <w:sz w:val="32"/>
          <w:szCs w:val="32"/>
          <w:highlight w:val="none"/>
        </w:rPr>
      </w:pPr>
      <w:bookmarkStart w:id="150" w:name="_Toc120614219"/>
      <w:bookmarkStart w:id="151" w:name="_Toc20823307"/>
      <w:bookmarkStart w:id="152" w:name="_Toc513029235"/>
      <w:bookmarkStart w:id="153" w:name="_Toc16938551"/>
      <w:r>
        <w:rPr>
          <w:rFonts w:hint="eastAsia"/>
          <w:b/>
          <w:bCs/>
          <w:sz w:val="32"/>
          <w:szCs w:val="32"/>
          <w:highlight w:val="none"/>
        </w:rPr>
        <w:t>六、</w:t>
      </w:r>
      <w:bookmarkEnd w:id="150"/>
      <w:bookmarkEnd w:id="151"/>
      <w:bookmarkEnd w:id="152"/>
      <w:bookmarkEnd w:id="153"/>
      <w:r>
        <w:rPr>
          <w:rFonts w:hint="eastAsia"/>
          <w:b/>
          <w:bCs/>
          <w:sz w:val="32"/>
          <w:szCs w:val="32"/>
          <w:highlight w:val="none"/>
        </w:rPr>
        <w:t>成交</w:t>
      </w:r>
    </w:p>
    <w:p w14:paraId="4FC66649">
      <w:pPr>
        <w:keepNext/>
        <w:keepLines/>
        <w:spacing w:line="520" w:lineRule="exact"/>
        <w:ind w:firstLine="600"/>
        <w:outlineLvl w:val="3"/>
        <w:rPr>
          <w:rFonts w:hint="eastAsia" w:ascii="黑体" w:hAnsi="宋体" w:eastAsia="黑体"/>
          <w:bCs/>
          <w:sz w:val="30"/>
          <w:szCs w:val="30"/>
          <w:highlight w:val="none"/>
        </w:rPr>
      </w:pPr>
      <w:bookmarkStart w:id="154" w:name="_Toc513029238"/>
      <w:bookmarkStart w:id="155" w:name="_Toc20823310"/>
      <w:bookmarkStart w:id="156" w:name="_Toc16938554"/>
      <w:r>
        <w:rPr>
          <w:rFonts w:hint="eastAsia" w:ascii="黑体" w:hAnsi="宋体" w:eastAsia="黑体"/>
          <w:bCs/>
          <w:sz w:val="30"/>
          <w:szCs w:val="30"/>
          <w:highlight w:val="none"/>
        </w:rPr>
        <w:t>2</w:t>
      </w:r>
      <w:r>
        <w:rPr>
          <w:rFonts w:ascii="黑体" w:hAnsi="宋体" w:eastAsia="黑体"/>
          <w:bCs/>
          <w:sz w:val="30"/>
          <w:szCs w:val="30"/>
          <w:highlight w:val="none"/>
        </w:rPr>
        <w:t>8</w:t>
      </w:r>
      <w:r>
        <w:rPr>
          <w:rFonts w:hint="eastAsia" w:ascii="黑体" w:hAnsi="宋体" w:eastAsia="黑体"/>
          <w:bCs/>
          <w:sz w:val="30"/>
          <w:szCs w:val="30"/>
          <w:highlight w:val="none"/>
        </w:rPr>
        <w:t>、</w:t>
      </w:r>
      <w:bookmarkEnd w:id="154"/>
      <w:r>
        <w:rPr>
          <w:rFonts w:hint="eastAsia" w:ascii="黑体" w:hAnsi="宋体" w:eastAsia="黑体"/>
          <w:bCs/>
          <w:sz w:val="30"/>
          <w:szCs w:val="30"/>
          <w:highlight w:val="none"/>
        </w:rPr>
        <w:t>确定</w:t>
      </w:r>
      <w:bookmarkEnd w:id="155"/>
      <w:bookmarkEnd w:id="156"/>
      <w:r>
        <w:rPr>
          <w:rFonts w:hint="eastAsia" w:ascii="黑体" w:hAnsi="宋体" w:eastAsia="黑体"/>
          <w:bCs/>
          <w:sz w:val="30"/>
          <w:szCs w:val="30"/>
          <w:highlight w:val="none"/>
        </w:rPr>
        <w:t>成交单位</w:t>
      </w:r>
    </w:p>
    <w:p w14:paraId="537D450A">
      <w:pPr>
        <w:tabs>
          <w:tab w:val="left" w:pos="900"/>
        </w:tabs>
        <w:spacing w:line="520" w:lineRule="exact"/>
        <w:ind w:firstLine="478"/>
        <w:rPr>
          <w:rFonts w:hint="eastAsia" w:ascii="宋体" w:hAnsi="宋体"/>
          <w:sz w:val="24"/>
          <w:szCs w:val="21"/>
          <w:highlight w:val="none"/>
        </w:rPr>
      </w:pPr>
      <w:r>
        <w:rPr>
          <w:rFonts w:hint="eastAsia" w:ascii="宋体" w:hAnsi="宋体"/>
          <w:bCs/>
          <w:sz w:val="24"/>
          <w:szCs w:val="21"/>
          <w:highlight w:val="none"/>
        </w:rPr>
        <w:t>2</w:t>
      </w:r>
      <w:r>
        <w:rPr>
          <w:rFonts w:ascii="宋体" w:hAnsi="宋体"/>
          <w:bCs/>
          <w:sz w:val="24"/>
          <w:szCs w:val="21"/>
          <w:highlight w:val="none"/>
        </w:rPr>
        <w:t>8</w:t>
      </w:r>
      <w:r>
        <w:rPr>
          <w:rFonts w:hint="eastAsia" w:ascii="宋体" w:hAnsi="宋体"/>
          <w:bCs/>
          <w:sz w:val="24"/>
          <w:szCs w:val="21"/>
          <w:highlight w:val="none"/>
        </w:rPr>
        <w:t>.1</w:t>
      </w:r>
      <w:r>
        <w:rPr>
          <w:rFonts w:hint="eastAsia" w:ascii="宋体" w:hAnsi="宋体"/>
          <w:sz w:val="24"/>
          <w:szCs w:val="21"/>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17225E7">
      <w:pPr>
        <w:spacing w:line="520" w:lineRule="exact"/>
        <w:ind w:firstLine="480"/>
        <w:rPr>
          <w:rFonts w:hint="eastAsia" w:ascii="宋体" w:hAnsi="宋体"/>
          <w:sz w:val="24"/>
          <w:szCs w:val="21"/>
          <w:highlight w:val="none"/>
        </w:rPr>
      </w:pPr>
      <w:r>
        <w:rPr>
          <w:rFonts w:hint="eastAsia" w:ascii="宋体" w:hAnsi="宋体"/>
          <w:sz w:val="24"/>
          <w:szCs w:val="21"/>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p>
    <w:p w14:paraId="3859BDAC">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w:t>
      </w:r>
      <w:r>
        <w:rPr>
          <w:rFonts w:ascii="宋体" w:hAnsi="宋体"/>
          <w:bCs/>
          <w:sz w:val="24"/>
          <w:szCs w:val="21"/>
          <w:highlight w:val="none"/>
        </w:rPr>
        <w:t>8</w:t>
      </w:r>
      <w:r>
        <w:rPr>
          <w:rFonts w:hint="eastAsia" w:ascii="宋体" w:hAnsi="宋体"/>
          <w:bCs/>
          <w:sz w:val="24"/>
          <w:szCs w:val="21"/>
          <w:highlight w:val="none"/>
        </w:rPr>
        <w:t>.2采购人应根据磋商小组推荐的成交候选供应商确定成交供应商。采购人确定成交供应商后，</w:t>
      </w:r>
      <w:r>
        <w:rPr>
          <w:rFonts w:hint="eastAsia" w:ascii="宋体" w:hAnsi="宋体"/>
          <w:sz w:val="24"/>
          <w:szCs w:val="24"/>
          <w:highlight w:val="none"/>
        </w:rPr>
        <w:t>采购代理机构</w:t>
      </w:r>
      <w:r>
        <w:rPr>
          <w:rFonts w:hint="eastAsia" w:ascii="宋体" w:hAnsi="宋体"/>
          <w:bCs/>
          <w:sz w:val="24"/>
          <w:szCs w:val="21"/>
          <w:highlight w:val="none"/>
        </w:rPr>
        <w:t>将在“江苏政府采购网”发布成交结果公告，公告期限为1个工作日。</w:t>
      </w:r>
    </w:p>
    <w:p w14:paraId="17AC9DA3">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28.3若有充分证据证明，成交供应商出现下列情况之一的，一经查实，将被取消成交资格：</w:t>
      </w:r>
    </w:p>
    <w:p w14:paraId="61B8DA5B">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28.3.1提供虚假材料谋取成交的。</w:t>
      </w:r>
    </w:p>
    <w:p w14:paraId="7C73F9CD">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28.3.2与评审专家、采购人、其他供应商</w:t>
      </w:r>
      <w:r>
        <w:rPr>
          <w:rFonts w:hint="eastAsia" w:ascii="宋体" w:hAnsi="宋体"/>
          <w:sz w:val="24"/>
          <w:szCs w:val="24"/>
          <w:highlight w:val="none"/>
        </w:rPr>
        <w:t>或者采购代理机构工作人员</w:t>
      </w:r>
      <w:r>
        <w:rPr>
          <w:rFonts w:hint="eastAsia" w:ascii="宋体" w:hAnsi="宋体"/>
          <w:bCs/>
          <w:sz w:val="24"/>
          <w:szCs w:val="21"/>
          <w:highlight w:val="none"/>
        </w:rPr>
        <w:t>恶意串通的。</w:t>
      </w:r>
    </w:p>
    <w:p w14:paraId="1E8BC9E4">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28.3.3向评审专家、采购人或</w:t>
      </w:r>
      <w:r>
        <w:rPr>
          <w:rFonts w:hint="eastAsia" w:ascii="宋体" w:hAnsi="宋体"/>
          <w:sz w:val="24"/>
          <w:szCs w:val="24"/>
          <w:highlight w:val="none"/>
        </w:rPr>
        <w:t>采购代理机构工作人员</w:t>
      </w:r>
      <w:r>
        <w:rPr>
          <w:rFonts w:hint="eastAsia" w:ascii="宋体" w:hAnsi="宋体"/>
          <w:bCs/>
          <w:sz w:val="24"/>
          <w:szCs w:val="21"/>
          <w:highlight w:val="none"/>
        </w:rPr>
        <w:t>行贿或者提供其他不正当利益的。</w:t>
      </w:r>
    </w:p>
    <w:p w14:paraId="790D89AE">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28.3.4恶意竞争，最后报价明显低于其自身合理成本且又无法提供证明的。</w:t>
      </w:r>
    </w:p>
    <w:p w14:paraId="14A73DAE">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28.3.5不满足本磋商文件规定的实质性要求，但在评审过程中又未被磋商小组发现的。</w:t>
      </w:r>
    </w:p>
    <w:p w14:paraId="2DADF9C4">
      <w:pPr>
        <w:spacing w:line="520" w:lineRule="exact"/>
        <w:ind w:firstLine="480"/>
        <w:rPr>
          <w:rFonts w:hint="eastAsia" w:ascii="宋体" w:hAnsi="宋体"/>
          <w:bCs/>
          <w:sz w:val="24"/>
          <w:szCs w:val="21"/>
          <w:highlight w:val="none"/>
        </w:rPr>
      </w:pPr>
      <w:r>
        <w:rPr>
          <w:rFonts w:hint="eastAsia" w:ascii="宋体" w:hAnsi="宋体"/>
          <w:bCs/>
          <w:sz w:val="24"/>
          <w:szCs w:val="21"/>
          <w:highlight w:val="none"/>
        </w:rPr>
        <w:t>28.3.6成交后无正当理由拒不与采购人签订政府采购合同或者未按照磋商文件确定的事项签订政府采购合同的。</w:t>
      </w:r>
    </w:p>
    <w:p w14:paraId="6571438F">
      <w:pPr>
        <w:spacing w:line="520" w:lineRule="exact"/>
        <w:ind w:firstLine="480"/>
        <w:rPr>
          <w:rFonts w:hint="eastAsia" w:ascii="宋体" w:hAnsi="宋体"/>
          <w:sz w:val="24"/>
          <w:szCs w:val="24"/>
          <w:highlight w:val="none"/>
        </w:rPr>
      </w:pPr>
      <w:r>
        <w:rPr>
          <w:rFonts w:hint="eastAsia" w:ascii="宋体" w:hAnsi="宋体"/>
          <w:bCs/>
          <w:sz w:val="24"/>
          <w:szCs w:val="21"/>
          <w:highlight w:val="none"/>
        </w:rPr>
        <w:t>28.3.7将政府采购合同转包的。</w:t>
      </w:r>
    </w:p>
    <w:p w14:paraId="49E42E08">
      <w:pPr>
        <w:keepNext/>
        <w:keepLines/>
        <w:spacing w:line="520" w:lineRule="exact"/>
        <w:ind w:firstLine="600"/>
        <w:outlineLvl w:val="3"/>
        <w:rPr>
          <w:rFonts w:hint="eastAsia" w:ascii="黑体" w:hAnsi="宋体" w:eastAsia="黑体"/>
          <w:bCs/>
          <w:sz w:val="30"/>
          <w:szCs w:val="30"/>
          <w:highlight w:val="none"/>
        </w:rPr>
      </w:pPr>
      <w:bookmarkStart w:id="157" w:name="_Toc200451960"/>
      <w:r>
        <w:rPr>
          <w:rFonts w:ascii="黑体" w:hAnsi="宋体" w:eastAsia="黑体"/>
          <w:bCs/>
          <w:sz w:val="30"/>
          <w:szCs w:val="30"/>
          <w:highlight w:val="none"/>
        </w:rPr>
        <w:t>29</w:t>
      </w:r>
      <w:r>
        <w:rPr>
          <w:rFonts w:hint="eastAsia" w:ascii="黑体" w:hAnsi="宋体" w:eastAsia="黑体"/>
          <w:bCs/>
          <w:sz w:val="30"/>
          <w:szCs w:val="30"/>
          <w:highlight w:val="none"/>
        </w:rPr>
        <w:t>、质疑处理</w:t>
      </w:r>
      <w:bookmarkEnd w:id="157"/>
    </w:p>
    <w:p w14:paraId="0B0C6372">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.1 提出质疑的供应商应当是参与所质疑项目采购活动的供应商。潜在供应商依法获取其可质疑的采购文件的，可以对采购文件提出质疑。</w:t>
      </w:r>
    </w:p>
    <w:p w14:paraId="2CABCF88">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32B600F5">
      <w:pPr>
        <w:spacing w:line="520" w:lineRule="exact"/>
        <w:ind w:firstLine="480"/>
        <w:rPr>
          <w:rFonts w:hint="eastAsia" w:hAnsi="宋体" w:cs="宋体"/>
          <w:sz w:val="24"/>
          <w:szCs w:val="24"/>
          <w:highlight w:val="none"/>
        </w:rPr>
      </w:pPr>
      <w:r>
        <w:rPr>
          <w:rFonts w:ascii="宋体" w:hAnsi="宋体"/>
          <w:sz w:val="24"/>
          <w:szCs w:val="24"/>
          <w:highlight w:val="none"/>
        </w:rPr>
        <w:t>29</w:t>
      </w:r>
      <w:r>
        <w:rPr>
          <w:rFonts w:hint="eastAsia" w:ascii="宋体" w:hAnsi="宋体"/>
          <w:sz w:val="24"/>
          <w:szCs w:val="24"/>
          <w:highlight w:val="none"/>
        </w:rPr>
        <w:t>.2.1</w:t>
      </w:r>
      <w:r>
        <w:rPr>
          <w:rFonts w:hAnsi="宋体" w:cs="宋体"/>
          <w:sz w:val="24"/>
          <w:szCs w:val="24"/>
          <w:highlight w:val="none"/>
        </w:rPr>
        <w:t>对可以质疑的采购文件提出质疑的，为收到采购文件之日或者采购文件公告期限届满之日</w:t>
      </w:r>
      <w:r>
        <w:rPr>
          <w:rFonts w:hint="eastAsia" w:hAnsi="宋体" w:cs="宋体"/>
          <w:sz w:val="24"/>
          <w:szCs w:val="24"/>
          <w:highlight w:val="none"/>
        </w:rPr>
        <w:t>。</w:t>
      </w:r>
      <w:r>
        <w:rPr>
          <w:rFonts w:hAnsi="宋体" w:cs="宋体"/>
          <w:sz w:val="24"/>
          <w:szCs w:val="24"/>
          <w:highlight w:val="none"/>
        </w:rPr>
        <w:br w:type="textWrapping" w:clear="all"/>
      </w:r>
      <w:r>
        <w:rPr>
          <w:rFonts w:hAnsi="宋体" w:cs="宋体"/>
          <w:sz w:val="24"/>
          <w:szCs w:val="24"/>
          <w:highlight w:val="none"/>
        </w:rPr>
        <w:t>　　</w:t>
      </w:r>
      <w:r>
        <w:rPr>
          <w:rFonts w:ascii="宋体" w:hAnsi="宋体"/>
          <w:sz w:val="24"/>
          <w:szCs w:val="24"/>
          <w:highlight w:val="none"/>
        </w:rPr>
        <w:t>29</w:t>
      </w:r>
      <w:r>
        <w:rPr>
          <w:rFonts w:hint="eastAsia" w:ascii="宋体" w:hAnsi="宋体"/>
          <w:sz w:val="24"/>
          <w:szCs w:val="24"/>
          <w:highlight w:val="none"/>
        </w:rPr>
        <w:t>.2.2</w:t>
      </w:r>
      <w:r>
        <w:rPr>
          <w:rFonts w:hAnsi="宋体" w:cs="宋体"/>
          <w:sz w:val="24"/>
          <w:szCs w:val="24"/>
          <w:highlight w:val="none"/>
        </w:rPr>
        <w:t>对采购过程提出质疑的，为各采购程序环节结束之日</w:t>
      </w:r>
      <w:r>
        <w:rPr>
          <w:rFonts w:hint="eastAsia" w:hAnsi="宋体" w:cs="宋体"/>
          <w:sz w:val="24"/>
          <w:szCs w:val="24"/>
          <w:highlight w:val="none"/>
        </w:rPr>
        <w:t>。</w:t>
      </w:r>
      <w:r>
        <w:rPr>
          <w:rFonts w:hAnsi="宋体" w:cs="宋体"/>
          <w:sz w:val="24"/>
          <w:szCs w:val="24"/>
          <w:highlight w:val="none"/>
        </w:rPr>
        <w:br w:type="textWrapping" w:clear="all"/>
      </w:r>
      <w:r>
        <w:rPr>
          <w:rFonts w:hAnsi="宋体" w:cs="宋体"/>
          <w:sz w:val="24"/>
          <w:szCs w:val="24"/>
          <w:highlight w:val="none"/>
        </w:rPr>
        <w:t>　　</w:t>
      </w:r>
      <w:r>
        <w:rPr>
          <w:rFonts w:ascii="宋体" w:hAnsi="宋体"/>
          <w:sz w:val="24"/>
          <w:szCs w:val="24"/>
          <w:highlight w:val="none"/>
        </w:rPr>
        <w:t>29</w:t>
      </w:r>
      <w:r>
        <w:rPr>
          <w:rFonts w:hint="eastAsia" w:ascii="宋体" w:hAnsi="宋体"/>
          <w:sz w:val="24"/>
          <w:szCs w:val="24"/>
          <w:highlight w:val="none"/>
        </w:rPr>
        <w:t>.2.3</w:t>
      </w:r>
      <w:r>
        <w:rPr>
          <w:rFonts w:hAnsi="宋体" w:cs="宋体"/>
          <w:sz w:val="24"/>
          <w:szCs w:val="24"/>
          <w:highlight w:val="none"/>
        </w:rPr>
        <w:t>对成交结果提出质疑的，为成交结果公告期限届满之日。</w:t>
      </w:r>
    </w:p>
    <w:p w14:paraId="1E2E07CA">
      <w:pPr>
        <w:spacing w:line="520" w:lineRule="exact"/>
        <w:ind w:firstLine="480"/>
        <w:rPr>
          <w:rFonts w:hint="eastAsia" w:hAnsi="宋体" w:cs="宋体"/>
          <w:sz w:val="24"/>
          <w:szCs w:val="24"/>
          <w:highlight w:val="none"/>
        </w:rPr>
      </w:pPr>
      <w:r>
        <w:rPr>
          <w:rFonts w:hint="eastAsia" w:hAnsi="宋体" w:cs="宋体"/>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sz w:val="24"/>
          <w:szCs w:val="24"/>
          <w:highlight w:val="none"/>
        </w:rPr>
        <w:t>采购人或采购代理机构</w:t>
      </w:r>
      <w:r>
        <w:rPr>
          <w:rFonts w:hint="eastAsia" w:hAnsi="宋体" w:cs="宋体"/>
          <w:sz w:val="24"/>
          <w:szCs w:val="24"/>
          <w:highlight w:val="none"/>
        </w:rPr>
        <w:t>将只对供应商第一次质疑作出答复。</w:t>
      </w:r>
    </w:p>
    <w:p w14:paraId="67E380C1">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34FC5EC5">
      <w:pPr>
        <w:spacing w:line="520" w:lineRule="exact"/>
        <w:ind w:firstLine="480"/>
        <w:rPr>
          <w:rFonts w:hint="eastAsia" w:ascii="宋体" w:hAnsi="宋体"/>
          <w:b/>
          <w:sz w:val="24"/>
          <w:szCs w:val="24"/>
          <w:highlight w:val="none"/>
        </w:rPr>
      </w:pPr>
      <w:r>
        <w:rPr>
          <w:rFonts w:ascii="宋体" w:hAnsi="宋体"/>
          <w:sz w:val="24"/>
          <w:szCs w:val="24"/>
          <w:highlight w:val="none"/>
        </w:rPr>
        <w:t>29</w:t>
      </w:r>
      <w:r>
        <w:rPr>
          <w:rFonts w:hint="eastAsia" w:ascii="宋体" w:hAnsi="宋体"/>
          <w:sz w:val="24"/>
          <w:szCs w:val="24"/>
          <w:highlight w:val="none"/>
        </w:rPr>
        <w:t>.4 采购人负责供应商质疑答复。供应商（含潜在</w:t>
      </w:r>
      <w:r>
        <w:rPr>
          <w:rFonts w:ascii="宋体" w:hAnsi="宋体"/>
          <w:sz w:val="24"/>
          <w:szCs w:val="24"/>
          <w:highlight w:val="none"/>
        </w:rPr>
        <w:t>供应商</w:t>
      </w:r>
      <w:r>
        <w:rPr>
          <w:rFonts w:hint="eastAsia" w:ascii="宋体" w:hAnsi="宋体"/>
          <w:sz w:val="24"/>
          <w:szCs w:val="24"/>
          <w:highlight w:val="none"/>
        </w:rPr>
        <w:t>）对</w:t>
      </w:r>
      <w:r>
        <w:rPr>
          <w:rFonts w:ascii="宋体" w:hAnsi="宋体"/>
          <w:sz w:val="24"/>
          <w:szCs w:val="24"/>
          <w:highlight w:val="none"/>
        </w:rPr>
        <w:t>采购方式、</w:t>
      </w:r>
      <w:r>
        <w:rPr>
          <w:rFonts w:hint="eastAsia" w:ascii="宋体" w:hAnsi="宋体"/>
          <w:sz w:val="24"/>
          <w:szCs w:val="24"/>
          <w:highlight w:val="none"/>
        </w:rPr>
        <w:t>采购文件中采购</w:t>
      </w:r>
      <w:r>
        <w:rPr>
          <w:rFonts w:ascii="宋体" w:hAnsi="宋体"/>
          <w:sz w:val="24"/>
          <w:szCs w:val="24"/>
          <w:highlight w:val="none"/>
        </w:rPr>
        <w:t>需求、</w:t>
      </w:r>
      <w:r>
        <w:rPr>
          <w:rFonts w:hint="eastAsia" w:ascii="宋体" w:hAnsi="宋体"/>
          <w:sz w:val="24"/>
          <w:szCs w:val="24"/>
          <w:highlight w:val="none"/>
        </w:rPr>
        <w:t>供应商</w:t>
      </w:r>
      <w:r>
        <w:rPr>
          <w:rFonts w:ascii="宋体" w:hAnsi="宋体"/>
          <w:sz w:val="24"/>
          <w:szCs w:val="24"/>
          <w:highlight w:val="none"/>
        </w:rPr>
        <w:t>资格条件、</w:t>
      </w:r>
      <w:r>
        <w:rPr>
          <w:rFonts w:hint="eastAsia" w:ascii="宋体" w:hAnsi="宋体"/>
          <w:sz w:val="24"/>
          <w:szCs w:val="24"/>
          <w:highlight w:val="none"/>
        </w:rPr>
        <w:t>评审方法</w:t>
      </w:r>
      <w:r>
        <w:rPr>
          <w:rFonts w:ascii="宋体" w:hAnsi="宋体"/>
          <w:sz w:val="24"/>
          <w:szCs w:val="24"/>
          <w:highlight w:val="none"/>
        </w:rPr>
        <w:t>和评</w:t>
      </w:r>
      <w:r>
        <w:rPr>
          <w:rFonts w:hint="eastAsia" w:ascii="宋体" w:hAnsi="宋体"/>
          <w:sz w:val="24"/>
          <w:szCs w:val="24"/>
          <w:highlight w:val="none"/>
        </w:rPr>
        <w:t>审</w:t>
      </w:r>
      <w:r>
        <w:rPr>
          <w:rFonts w:ascii="宋体" w:hAnsi="宋体"/>
          <w:sz w:val="24"/>
          <w:szCs w:val="24"/>
          <w:highlight w:val="none"/>
        </w:rPr>
        <w:t>标准、合同文本</w:t>
      </w:r>
      <w:r>
        <w:rPr>
          <w:rFonts w:hint="eastAsia" w:ascii="宋体" w:hAnsi="宋体"/>
          <w:sz w:val="24"/>
          <w:szCs w:val="24"/>
          <w:highlight w:val="none"/>
        </w:rPr>
        <w:t>及</w:t>
      </w:r>
      <w:r>
        <w:rPr>
          <w:rFonts w:ascii="宋体" w:hAnsi="宋体"/>
          <w:sz w:val="24"/>
          <w:szCs w:val="24"/>
          <w:highlight w:val="none"/>
        </w:rPr>
        <w:t>资格</w:t>
      </w:r>
      <w:r>
        <w:rPr>
          <w:rFonts w:hint="eastAsia" w:ascii="宋体" w:hAnsi="宋体"/>
          <w:sz w:val="24"/>
          <w:szCs w:val="24"/>
          <w:highlight w:val="none"/>
        </w:rPr>
        <w:t>审查结果的</w:t>
      </w:r>
      <w:r>
        <w:rPr>
          <w:rFonts w:ascii="宋体" w:hAnsi="宋体"/>
          <w:sz w:val="24"/>
          <w:szCs w:val="24"/>
          <w:highlight w:val="none"/>
        </w:rPr>
        <w:t>询问</w:t>
      </w:r>
      <w:r>
        <w:rPr>
          <w:rFonts w:hint="eastAsia" w:ascii="宋体" w:hAnsi="宋体"/>
          <w:sz w:val="24"/>
          <w:szCs w:val="24"/>
          <w:highlight w:val="none"/>
        </w:rPr>
        <w:t>、质疑</w:t>
      </w:r>
      <w:r>
        <w:rPr>
          <w:rFonts w:ascii="宋体" w:hAnsi="宋体"/>
          <w:sz w:val="24"/>
          <w:szCs w:val="24"/>
          <w:highlight w:val="none"/>
        </w:rPr>
        <w:t>请向采购人提出，由采购人负责答复。</w:t>
      </w:r>
      <w:r>
        <w:rPr>
          <w:rFonts w:hint="eastAsia" w:ascii="宋体" w:hAnsi="宋体"/>
          <w:sz w:val="24"/>
          <w:szCs w:val="24"/>
          <w:highlight w:val="none"/>
        </w:rPr>
        <w:t>关于评审方面的质疑，采购人可以组织原评审委员会协助答复质疑。</w:t>
      </w:r>
    </w:p>
    <w:p w14:paraId="75755A71">
      <w:pPr>
        <w:spacing w:line="520" w:lineRule="exact"/>
        <w:ind w:firstLine="480"/>
        <w:rPr>
          <w:rFonts w:hint="eastAsia" w:ascii="宋体" w:hAnsi="宋体"/>
          <w:sz w:val="24"/>
          <w:szCs w:val="24"/>
          <w:highlight w:val="none"/>
        </w:rPr>
      </w:pPr>
      <w:r>
        <w:rPr>
          <w:rFonts w:hint="eastAsia" w:ascii="宋体" w:hAnsi="宋体"/>
          <w:sz w:val="24"/>
          <w:szCs w:val="24"/>
          <w:highlight w:val="none"/>
        </w:rPr>
        <w:t>采购人或采购代理机构只接收以纸质原件形式送达的质疑,建议供应商尽量通过邮寄方式提交质疑（采购人或采购代理机构不接受未填写快递运单的快件）。</w:t>
      </w:r>
    </w:p>
    <w:p w14:paraId="6B1ED8A0">
      <w:pPr>
        <w:spacing w:line="520" w:lineRule="exact"/>
        <w:ind w:firstLine="480"/>
        <w:rPr>
          <w:rFonts w:hint="eastAsia" w:ascii="宋体" w:hAnsi="宋体"/>
          <w:sz w:val="24"/>
          <w:szCs w:val="24"/>
          <w:highlight w:val="none"/>
        </w:rPr>
      </w:pPr>
      <w:r>
        <w:rPr>
          <w:rFonts w:hint="eastAsia" w:ascii="宋体" w:hAnsi="宋体"/>
          <w:sz w:val="24"/>
          <w:szCs w:val="24"/>
          <w:highlight w:val="none"/>
        </w:rPr>
        <w:t>采购人及采购代理机构质疑接收人及联系方式见本磋商文件第一章。</w:t>
      </w:r>
    </w:p>
    <w:p w14:paraId="2ACE7188">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 以下情形的质疑不予受理</w:t>
      </w:r>
    </w:p>
    <w:p w14:paraId="6C3F5715">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.5.1 内容不符合《政府采购质疑和投诉办法》第十二条规定的质疑。</w:t>
      </w:r>
    </w:p>
    <w:p w14:paraId="2FB4B6E2">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.5.2 超出政府采购法定期限的质疑。</w:t>
      </w:r>
    </w:p>
    <w:p w14:paraId="7014477D">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.5.3 以传真、电子邮件等方式递交的非原件形式的质疑。</w:t>
      </w:r>
    </w:p>
    <w:p w14:paraId="205FE7E9">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.5.4 未参加磋商活动的供应商或在磋商活动中自身权益未受到损害的供应商所提出的质疑。</w:t>
      </w:r>
    </w:p>
    <w:p w14:paraId="217DBCF2">
      <w:pPr>
        <w:spacing w:line="520" w:lineRule="exact"/>
        <w:ind w:firstLine="480"/>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.5.5供应商组成联合体参加磋商，联合体中任何一方或多方未按要求签字、盖章、加盖公章的质疑。</w:t>
      </w:r>
    </w:p>
    <w:p w14:paraId="040E0B38">
      <w:pPr>
        <w:spacing w:line="520" w:lineRule="exact"/>
        <w:ind w:firstLine="468"/>
        <w:rPr>
          <w:rFonts w:hint="eastAsia" w:ascii="宋体" w:hAnsi="宋体"/>
          <w:sz w:val="24"/>
          <w:szCs w:val="24"/>
          <w:highlight w:val="none"/>
        </w:rPr>
      </w:pPr>
      <w:r>
        <w:rPr>
          <w:rFonts w:ascii="宋体" w:hAnsi="宋体"/>
          <w:sz w:val="24"/>
          <w:szCs w:val="24"/>
          <w:highlight w:val="none"/>
        </w:rPr>
        <w:t>29</w:t>
      </w:r>
      <w:r>
        <w:rPr>
          <w:rFonts w:hint="eastAsia" w:ascii="宋体" w:hAnsi="宋体"/>
          <w:sz w:val="24"/>
          <w:szCs w:val="24"/>
          <w:highlight w:val="none"/>
        </w:rPr>
        <w:t>.6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1088D34">
      <w:pPr>
        <w:keepNext/>
        <w:keepLines/>
        <w:spacing w:line="520" w:lineRule="exact"/>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3</w:t>
      </w:r>
      <w:r>
        <w:rPr>
          <w:rFonts w:ascii="黑体" w:hAnsi="宋体" w:eastAsia="黑体"/>
          <w:bCs/>
          <w:sz w:val="30"/>
          <w:szCs w:val="30"/>
          <w:highlight w:val="none"/>
        </w:rPr>
        <w:t>0</w:t>
      </w:r>
      <w:r>
        <w:rPr>
          <w:rFonts w:hint="eastAsia" w:ascii="黑体" w:hAnsi="宋体" w:eastAsia="黑体"/>
          <w:bCs/>
          <w:sz w:val="30"/>
          <w:szCs w:val="30"/>
          <w:highlight w:val="none"/>
        </w:rPr>
        <w:t>、成交通知书</w:t>
      </w:r>
    </w:p>
    <w:p w14:paraId="4E71F7FB">
      <w:pPr>
        <w:spacing w:line="520" w:lineRule="exact"/>
        <w:ind w:firstLine="600"/>
        <w:rPr>
          <w:rFonts w:hint="eastAsia" w:ascii="宋体" w:hAnsi="宋体"/>
          <w:sz w:val="24"/>
          <w:szCs w:val="24"/>
          <w:highlight w:val="none"/>
        </w:rPr>
      </w:pPr>
      <w:r>
        <w:rPr>
          <w:rFonts w:ascii="宋体" w:hAnsi="宋体"/>
          <w:sz w:val="24"/>
          <w:szCs w:val="24"/>
          <w:highlight w:val="none"/>
        </w:rPr>
        <w:t>3</w:t>
      </w:r>
      <w:r>
        <w:rPr>
          <w:rFonts w:hint="eastAsia" w:ascii="宋体" w:hAnsi="宋体"/>
          <w:sz w:val="24"/>
          <w:szCs w:val="24"/>
          <w:highlight w:val="none"/>
        </w:rPr>
        <w:t>0</w:t>
      </w:r>
      <w:r>
        <w:rPr>
          <w:rFonts w:ascii="宋体" w:hAnsi="宋体"/>
          <w:sz w:val="24"/>
          <w:szCs w:val="24"/>
          <w:highlight w:val="none"/>
        </w:rPr>
        <w:t>.1</w:t>
      </w:r>
      <w:r>
        <w:rPr>
          <w:rFonts w:hint="eastAsia" w:ascii="宋体" w:hAnsi="宋体"/>
          <w:sz w:val="24"/>
          <w:szCs w:val="24"/>
          <w:highlight w:val="none"/>
        </w:rPr>
        <w:t>成交结果确定后，采购人将向成交供应商发出成交通知书。</w:t>
      </w:r>
      <w:r>
        <w:rPr>
          <w:rFonts w:hint="eastAsia" w:ascii="宋体" w:hAnsi="宋体" w:cs="宋体"/>
          <w:sz w:val="24"/>
          <w:szCs w:val="24"/>
          <w:highlight w:val="none"/>
        </w:rPr>
        <w:t>请成交供应商在成交结果公告届满之日起30日内,使用CA数字证书登录</w:t>
      </w:r>
      <w:r>
        <w:rPr>
          <w:rFonts w:hint="eastAsia" w:ascii="宋体" w:hAnsi="宋体"/>
          <w:sz w:val="24"/>
          <w:szCs w:val="24"/>
          <w:highlight w:val="none"/>
        </w:rPr>
        <w:t>苏采云系统</w:t>
      </w:r>
      <w:r>
        <w:rPr>
          <w:rFonts w:hint="eastAsia" w:ascii="宋体" w:hAnsi="宋体" w:cs="宋体"/>
          <w:sz w:val="24"/>
          <w:szCs w:val="24"/>
          <w:highlight w:val="none"/>
        </w:rPr>
        <w:t>及时下载成交通知书。因系统存储空间有限，自成交结果公告届满之日起30日后，</w:t>
      </w:r>
      <w:r>
        <w:rPr>
          <w:rFonts w:hint="eastAsia" w:ascii="宋体" w:hAnsi="宋体"/>
          <w:sz w:val="24"/>
          <w:szCs w:val="24"/>
          <w:highlight w:val="none"/>
        </w:rPr>
        <w:t>苏采云系统</w:t>
      </w:r>
      <w:r>
        <w:rPr>
          <w:rFonts w:hint="eastAsia" w:ascii="宋体" w:hAnsi="宋体" w:cs="宋体"/>
          <w:sz w:val="24"/>
          <w:szCs w:val="24"/>
          <w:highlight w:val="none"/>
        </w:rPr>
        <w:t>不再保证提供下载成交通知书服务,因未及时下载而造成的不利后果由成交供应商自行承担。</w:t>
      </w:r>
    </w:p>
    <w:p w14:paraId="5E9BD8B0">
      <w:pPr>
        <w:spacing w:line="520" w:lineRule="exact"/>
        <w:ind w:firstLine="600"/>
        <w:rPr>
          <w:rFonts w:hint="eastAsia" w:ascii="宋体" w:hAnsi="宋体"/>
          <w:sz w:val="24"/>
          <w:szCs w:val="24"/>
          <w:highlight w:val="none"/>
        </w:rPr>
      </w:pPr>
      <w:r>
        <w:rPr>
          <w:rFonts w:hint="eastAsia" w:ascii="宋体" w:hAnsi="宋体"/>
          <w:sz w:val="24"/>
          <w:szCs w:val="24"/>
          <w:highlight w:val="none"/>
        </w:rPr>
        <w:t>3</w:t>
      </w:r>
      <w:r>
        <w:rPr>
          <w:rFonts w:ascii="宋体" w:hAnsi="宋体"/>
          <w:sz w:val="24"/>
          <w:szCs w:val="24"/>
          <w:highlight w:val="none"/>
        </w:rPr>
        <w:t>0</w:t>
      </w:r>
      <w:r>
        <w:rPr>
          <w:rFonts w:hint="eastAsia" w:ascii="宋体" w:hAnsi="宋体"/>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293210BD">
      <w:pPr>
        <w:keepNext/>
        <w:keepLines/>
        <w:spacing w:line="520" w:lineRule="exact"/>
        <w:outlineLvl w:val="2"/>
        <w:rPr>
          <w:rFonts w:hint="eastAsia"/>
          <w:b/>
          <w:bCs/>
          <w:sz w:val="32"/>
          <w:szCs w:val="32"/>
          <w:highlight w:val="none"/>
        </w:rPr>
      </w:pPr>
      <w:bookmarkStart w:id="158" w:name="_Toc120614220"/>
      <w:bookmarkStart w:id="159" w:name="_Toc20823308"/>
      <w:bookmarkStart w:id="160" w:name="_Toc513029236"/>
      <w:bookmarkStart w:id="161" w:name="_Toc16938552"/>
      <w:r>
        <w:rPr>
          <w:rFonts w:hint="eastAsia"/>
          <w:b/>
          <w:bCs/>
          <w:sz w:val="32"/>
          <w:szCs w:val="32"/>
          <w:highlight w:val="none"/>
        </w:rPr>
        <w:t>七、授予合同</w:t>
      </w:r>
      <w:bookmarkEnd w:id="158"/>
    </w:p>
    <w:bookmarkEnd w:id="159"/>
    <w:bookmarkEnd w:id="160"/>
    <w:bookmarkEnd w:id="161"/>
    <w:p w14:paraId="2C6A80C5">
      <w:pPr>
        <w:keepNext/>
        <w:keepLines/>
        <w:spacing w:line="520" w:lineRule="exact"/>
        <w:ind w:firstLine="600"/>
        <w:outlineLvl w:val="3"/>
        <w:rPr>
          <w:rFonts w:hint="eastAsia" w:ascii="黑体" w:hAnsi="宋体" w:eastAsia="黑体"/>
          <w:bCs/>
          <w:sz w:val="30"/>
          <w:szCs w:val="30"/>
          <w:highlight w:val="none"/>
        </w:rPr>
      </w:pPr>
      <w:bookmarkStart w:id="162" w:name="_Toc513029237"/>
      <w:bookmarkStart w:id="163" w:name="_Toc20823309"/>
      <w:bookmarkStart w:id="164" w:name="_Toc16938553"/>
      <w:r>
        <w:rPr>
          <w:rFonts w:hint="eastAsia" w:ascii="黑体" w:hAnsi="宋体" w:eastAsia="黑体"/>
          <w:bCs/>
          <w:sz w:val="30"/>
          <w:szCs w:val="30"/>
          <w:highlight w:val="none"/>
        </w:rPr>
        <w:t>3</w:t>
      </w:r>
      <w:r>
        <w:rPr>
          <w:rFonts w:ascii="黑体" w:hAnsi="宋体" w:eastAsia="黑体"/>
          <w:bCs/>
          <w:sz w:val="30"/>
          <w:szCs w:val="30"/>
          <w:highlight w:val="none"/>
        </w:rPr>
        <w:t>1</w:t>
      </w:r>
      <w:r>
        <w:rPr>
          <w:rFonts w:hint="eastAsia" w:ascii="黑体" w:hAnsi="宋体" w:eastAsia="黑体"/>
          <w:bCs/>
          <w:sz w:val="30"/>
          <w:szCs w:val="30"/>
          <w:highlight w:val="none"/>
        </w:rPr>
        <w:t>. 签订合同</w:t>
      </w:r>
    </w:p>
    <w:p w14:paraId="0EE202B8">
      <w:pPr>
        <w:spacing w:line="520" w:lineRule="exact"/>
        <w:ind w:firstLine="600"/>
        <w:rPr>
          <w:rFonts w:hint="eastAsia" w:ascii="宋体" w:hAnsi="宋体"/>
          <w:sz w:val="24"/>
          <w:szCs w:val="24"/>
          <w:highlight w:val="none"/>
        </w:rPr>
      </w:pPr>
      <w:r>
        <w:rPr>
          <w:rFonts w:hint="eastAsia" w:ascii="宋体" w:hAnsi="宋体"/>
          <w:bCs/>
          <w:sz w:val="24"/>
          <w:szCs w:val="24"/>
          <w:highlight w:val="none"/>
        </w:rPr>
        <w:t>3</w:t>
      </w:r>
      <w:r>
        <w:rPr>
          <w:rFonts w:ascii="宋体" w:hAnsi="宋体"/>
          <w:bCs/>
          <w:sz w:val="24"/>
          <w:szCs w:val="24"/>
          <w:highlight w:val="none"/>
        </w:rPr>
        <w:t>1</w:t>
      </w:r>
      <w:r>
        <w:rPr>
          <w:rFonts w:hint="eastAsia" w:ascii="宋体" w:hAnsi="宋体"/>
          <w:sz w:val="24"/>
          <w:szCs w:val="24"/>
          <w:highlight w:val="none"/>
        </w:rPr>
        <w:t>.l成交供应商应当在成交通知书发出之日起三十日内，按照磋商文件确定的事项与采购人签订政府采购合同。</w:t>
      </w:r>
    </w:p>
    <w:p w14:paraId="0E9ED1CB">
      <w:pPr>
        <w:spacing w:line="520" w:lineRule="exact"/>
        <w:ind w:firstLine="600"/>
        <w:rPr>
          <w:rFonts w:hint="eastAsia" w:ascii="宋体" w:hAnsi="宋体"/>
          <w:sz w:val="24"/>
          <w:szCs w:val="24"/>
          <w:highlight w:val="none"/>
        </w:rPr>
      </w:pPr>
      <w:r>
        <w:rPr>
          <w:rFonts w:hint="eastAsia" w:ascii="宋体" w:hAnsi="宋体"/>
          <w:sz w:val="24"/>
          <w:szCs w:val="24"/>
          <w:highlight w:val="none"/>
        </w:rPr>
        <w:t>3</w:t>
      </w:r>
      <w:r>
        <w:rPr>
          <w:rFonts w:ascii="宋体" w:hAnsi="宋体"/>
          <w:sz w:val="24"/>
          <w:szCs w:val="24"/>
          <w:highlight w:val="none"/>
        </w:rPr>
        <w:t>1</w:t>
      </w:r>
      <w:r>
        <w:rPr>
          <w:rFonts w:hint="eastAsia" w:ascii="宋体" w:hAnsi="宋体"/>
          <w:sz w:val="24"/>
          <w:szCs w:val="24"/>
          <w:highlight w:val="none"/>
        </w:rPr>
        <w:t>.2磋商文件、成交供应商的响应文件及磋商过程中有关澄清、承诺文件均应作为合同附件。</w:t>
      </w:r>
    </w:p>
    <w:p w14:paraId="673B99DE">
      <w:pPr>
        <w:spacing w:line="520" w:lineRule="exact"/>
        <w:ind w:firstLine="600"/>
        <w:rPr>
          <w:rFonts w:hint="eastAsia" w:ascii="宋体" w:hAnsi="宋体"/>
          <w:sz w:val="24"/>
          <w:szCs w:val="24"/>
          <w:highlight w:val="none"/>
        </w:rPr>
      </w:pPr>
      <w:r>
        <w:rPr>
          <w:rFonts w:hint="eastAsia" w:ascii="宋体" w:hAnsi="宋体"/>
          <w:sz w:val="24"/>
          <w:szCs w:val="24"/>
          <w:highlight w:val="none"/>
        </w:rPr>
        <w:t>3</w:t>
      </w:r>
      <w:r>
        <w:rPr>
          <w:rFonts w:ascii="宋体" w:hAnsi="宋体"/>
          <w:sz w:val="24"/>
          <w:szCs w:val="24"/>
          <w:highlight w:val="none"/>
        </w:rPr>
        <w:t>1</w:t>
      </w:r>
      <w:r>
        <w:rPr>
          <w:rFonts w:hint="eastAsia" w:ascii="宋体" w:hAnsi="宋体"/>
          <w:sz w:val="24"/>
          <w:szCs w:val="24"/>
          <w:highlight w:val="none"/>
        </w:rPr>
        <w:t>.3 签订合同后，</w:t>
      </w:r>
      <w:r>
        <w:rPr>
          <w:rFonts w:hint="eastAsia" w:ascii="宋体" w:hAnsi="宋体"/>
          <w:b/>
          <w:sz w:val="24"/>
          <w:szCs w:val="24"/>
          <w:highlight w:val="none"/>
          <w:u w:val="single"/>
        </w:rPr>
        <w:t>成交供应商不得将合同标的进行转包</w:t>
      </w:r>
      <w:r>
        <w:rPr>
          <w:rFonts w:hint="eastAsia" w:ascii="宋体" w:hAnsi="宋体"/>
          <w:sz w:val="24"/>
          <w:szCs w:val="24"/>
          <w:highlight w:val="none"/>
        </w:rPr>
        <w:t>。未经采购人同意，成交供应商也不得采用分包形式履行合同,否则采购人有权终止合同。转包或分包造成采购人损失的，成交供应商应承担相应赔偿责任。</w:t>
      </w:r>
    </w:p>
    <w:p w14:paraId="5FBAACC9">
      <w:pPr>
        <w:keepNext/>
        <w:keepLines/>
        <w:spacing w:line="520" w:lineRule="exact"/>
        <w:ind w:firstLine="600"/>
        <w:outlineLvl w:val="3"/>
        <w:rPr>
          <w:rFonts w:hint="eastAsia" w:ascii="黑体" w:hAnsi="宋体" w:eastAsia="黑体"/>
          <w:bCs/>
          <w:sz w:val="30"/>
          <w:szCs w:val="30"/>
          <w:highlight w:val="none"/>
        </w:rPr>
      </w:pPr>
      <w:r>
        <w:rPr>
          <w:rFonts w:hint="eastAsia" w:ascii="黑体" w:hAnsi="宋体" w:eastAsia="黑体"/>
          <w:bCs/>
          <w:sz w:val="30"/>
          <w:szCs w:val="30"/>
          <w:highlight w:val="none"/>
        </w:rPr>
        <w:t>3</w:t>
      </w:r>
      <w:r>
        <w:rPr>
          <w:rFonts w:ascii="黑体" w:hAnsi="宋体" w:eastAsia="黑体"/>
          <w:bCs/>
          <w:sz w:val="30"/>
          <w:szCs w:val="30"/>
          <w:highlight w:val="none"/>
        </w:rPr>
        <w:t>2</w:t>
      </w:r>
      <w:r>
        <w:rPr>
          <w:rFonts w:hint="eastAsia" w:ascii="黑体" w:hAnsi="宋体" w:eastAsia="黑体"/>
          <w:bCs/>
          <w:sz w:val="30"/>
          <w:szCs w:val="30"/>
          <w:highlight w:val="none"/>
        </w:rPr>
        <w:t>、标的物的追加</w:t>
      </w:r>
    </w:p>
    <w:p w14:paraId="3053DFE0">
      <w:pPr>
        <w:spacing w:line="520" w:lineRule="exact"/>
        <w:ind w:firstLine="480"/>
        <w:rPr>
          <w:rFonts w:hint="eastAsia" w:ascii="宋体" w:hAnsi="宋体"/>
          <w:sz w:val="24"/>
          <w:szCs w:val="24"/>
          <w:highlight w:val="none"/>
        </w:rPr>
      </w:pPr>
      <w:r>
        <w:rPr>
          <w:rFonts w:hint="eastAsia" w:ascii="宋体" w:hAnsi="宋体"/>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62"/>
    <w:bookmarkEnd w:id="163"/>
    <w:bookmarkEnd w:id="164"/>
    <w:p w14:paraId="54EB12EC">
      <w:pPr>
        <w:keepNext/>
        <w:keepLines/>
        <w:spacing w:line="520" w:lineRule="exact"/>
        <w:ind w:firstLine="600"/>
        <w:outlineLvl w:val="3"/>
        <w:rPr>
          <w:rFonts w:ascii="黑体" w:hAnsi="宋体" w:eastAsia="黑体"/>
          <w:bCs/>
          <w:sz w:val="30"/>
          <w:szCs w:val="30"/>
          <w:highlight w:val="none"/>
        </w:rPr>
      </w:pPr>
      <w:bookmarkStart w:id="165" w:name="_Toc513029242"/>
      <w:bookmarkStart w:id="166" w:name="_Toc16938558"/>
      <w:bookmarkStart w:id="167" w:name="_Toc479757207"/>
      <w:bookmarkStart w:id="168" w:name="_Toc120614221"/>
      <w:bookmarkStart w:id="169" w:name="_Toc20823314"/>
      <w:r>
        <w:rPr>
          <w:rFonts w:hint="eastAsia" w:ascii="黑体" w:hAnsi="宋体" w:eastAsia="黑体"/>
          <w:bCs/>
          <w:sz w:val="30"/>
          <w:szCs w:val="30"/>
          <w:highlight w:val="none"/>
        </w:rPr>
        <w:t>3</w:t>
      </w:r>
      <w:r>
        <w:rPr>
          <w:rFonts w:ascii="黑体" w:hAnsi="宋体" w:eastAsia="黑体"/>
          <w:bCs/>
          <w:sz w:val="30"/>
          <w:szCs w:val="30"/>
          <w:highlight w:val="none"/>
        </w:rPr>
        <w:t>3</w:t>
      </w:r>
      <w:r>
        <w:rPr>
          <w:rFonts w:hint="eastAsia" w:ascii="黑体" w:hAnsi="宋体" w:eastAsia="黑体"/>
          <w:bCs/>
          <w:sz w:val="30"/>
          <w:szCs w:val="30"/>
          <w:highlight w:val="none"/>
        </w:rPr>
        <w:t>、政府采购履约资金扶持政策</w:t>
      </w:r>
    </w:p>
    <w:p w14:paraId="17F63151">
      <w:pPr>
        <w:spacing w:line="520" w:lineRule="exact"/>
        <w:ind w:firstLine="555"/>
        <w:rPr>
          <w:rFonts w:hint="eastAsia" w:ascii="宋体" w:hAnsi="宋体"/>
          <w:bCs/>
          <w:sz w:val="24"/>
          <w:szCs w:val="24"/>
          <w:highlight w:val="none"/>
        </w:rPr>
      </w:pPr>
      <w:r>
        <w:rPr>
          <w:rFonts w:hint="eastAsia" w:ascii="宋体" w:hAnsi="宋体"/>
          <w:bCs/>
          <w:sz w:val="24"/>
          <w:szCs w:val="24"/>
          <w:highlight w:val="none"/>
        </w:rPr>
        <w:t>成交供应商可凭政府采购合同办理融资贷款，详情请见江苏政府采购网“政采贷”专栏。</w:t>
      </w:r>
      <w:bookmarkEnd w:id="165"/>
      <w:bookmarkEnd w:id="166"/>
      <w:bookmarkEnd w:id="167"/>
      <w:bookmarkEnd w:id="168"/>
      <w:bookmarkEnd w:id="169"/>
      <w:bookmarkStart w:id="170" w:name="_Hlt16619350"/>
      <w:bookmarkStart w:id="171" w:name="_Toc16938590"/>
      <w:bookmarkStart w:id="172" w:name="_Toc120614244"/>
      <w:bookmarkStart w:id="173" w:name="_Toc20823346"/>
      <w:bookmarkStart w:id="174" w:name="_Toc479757211"/>
      <w:bookmarkStart w:id="175" w:name="_Toc462564139"/>
    </w:p>
    <w:p w14:paraId="2BD9670A">
      <w:pPr>
        <w:spacing w:line="520" w:lineRule="exact"/>
        <w:ind w:firstLine="555"/>
        <w:rPr>
          <w:rFonts w:hint="eastAsia" w:ascii="宋体" w:hAnsi="宋体"/>
          <w:bCs/>
          <w:sz w:val="24"/>
          <w:szCs w:val="24"/>
          <w:highlight w:val="none"/>
        </w:rPr>
      </w:pPr>
    </w:p>
    <w:p w14:paraId="4BA11174">
      <w:pPr>
        <w:spacing w:line="520" w:lineRule="exact"/>
        <w:ind w:firstLine="555"/>
        <w:rPr>
          <w:rFonts w:hint="eastAsia" w:ascii="宋体" w:hAnsi="宋体"/>
          <w:bCs/>
          <w:sz w:val="24"/>
          <w:szCs w:val="24"/>
          <w:highlight w:val="none"/>
        </w:rPr>
      </w:pPr>
    </w:p>
    <w:p w14:paraId="22A9EBF2">
      <w:pPr>
        <w:pStyle w:val="261"/>
        <w:rPr>
          <w:rFonts w:hint="eastAsia" w:ascii="宋体" w:hAnsi="宋体"/>
          <w:bCs/>
          <w:sz w:val="24"/>
          <w:szCs w:val="24"/>
          <w:highlight w:val="none"/>
        </w:rPr>
      </w:pPr>
    </w:p>
    <w:p w14:paraId="75911EF7">
      <w:pPr>
        <w:pStyle w:val="261"/>
        <w:rPr>
          <w:rFonts w:hint="eastAsia" w:ascii="宋体" w:hAnsi="宋体"/>
          <w:bCs/>
          <w:sz w:val="24"/>
          <w:szCs w:val="24"/>
          <w:highlight w:val="none"/>
        </w:rPr>
      </w:pPr>
    </w:p>
    <w:p w14:paraId="43D9AFE7">
      <w:pPr>
        <w:pStyle w:val="261"/>
        <w:rPr>
          <w:rFonts w:hint="eastAsia" w:ascii="宋体" w:hAnsi="宋体"/>
          <w:bCs/>
          <w:sz w:val="24"/>
          <w:szCs w:val="24"/>
          <w:highlight w:val="none"/>
        </w:rPr>
      </w:pPr>
    </w:p>
    <w:p w14:paraId="51E55EA9">
      <w:pPr>
        <w:pStyle w:val="261"/>
        <w:rPr>
          <w:rFonts w:hint="eastAsia" w:ascii="宋体" w:hAnsi="宋体"/>
          <w:bCs/>
          <w:sz w:val="24"/>
          <w:szCs w:val="24"/>
          <w:highlight w:val="none"/>
        </w:rPr>
      </w:pPr>
    </w:p>
    <w:p w14:paraId="546C23BA">
      <w:pPr>
        <w:pStyle w:val="261"/>
        <w:rPr>
          <w:rFonts w:hint="eastAsia" w:ascii="宋体" w:hAnsi="宋体"/>
          <w:bCs/>
          <w:sz w:val="24"/>
          <w:szCs w:val="24"/>
          <w:highlight w:val="none"/>
        </w:rPr>
      </w:pPr>
    </w:p>
    <w:p w14:paraId="72CA1518">
      <w:pPr>
        <w:pStyle w:val="261"/>
        <w:rPr>
          <w:rFonts w:hint="eastAsia" w:ascii="宋体" w:hAnsi="宋体"/>
          <w:bCs/>
          <w:sz w:val="24"/>
          <w:szCs w:val="24"/>
          <w:highlight w:val="none"/>
        </w:rPr>
      </w:pPr>
    </w:p>
    <w:p w14:paraId="6C4E8C2F">
      <w:pPr>
        <w:pStyle w:val="261"/>
        <w:rPr>
          <w:rFonts w:hint="eastAsia" w:ascii="宋体" w:hAnsi="宋体"/>
          <w:bCs/>
          <w:sz w:val="24"/>
          <w:szCs w:val="24"/>
          <w:highlight w:val="none"/>
        </w:rPr>
      </w:pPr>
    </w:p>
    <w:p w14:paraId="7FADEA1C">
      <w:pPr>
        <w:pStyle w:val="261"/>
        <w:rPr>
          <w:rFonts w:hint="eastAsia" w:ascii="宋体" w:hAnsi="宋体"/>
          <w:bCs/>
          <w:sz w:val="24"/>
          <w:szCs w:val="24"/>
          <w:highlight w:val="none"/>
        </w:rPr>
      </w:pPr>
    </w:p>
    <w:p w14:paraId="4A340C51">
      <w:pPr>
        <w:pStyle w:val="261"/>
        <w:rPr>
          <w:rFonts w:hint="eastAsia" w:ascii="宋体" w:hAnsi="宋体"/>
          <w:bCs/>
          <w:sz w:val="24"/>
          <w:szCs w:val="24"/>
          <w:highlight w:val="none"/>
        </w:rPr>
      </w:pPr>
    </w:p>
    <w:p w14:paraId="0043690E">
      <w:pPr>
        <w:spacing w:line="520" w:lineRule="exact"/>
        <w:ind w:firstLine="555"/>
        <w:rPr>
          <w:rFonts w:hint="eastAsia" w:ascii="宋体" w:hAnsi="宋体"/>
          <w:bCs/>
          <w:sz w:val="24"/>
          <w:szCs w:val="24"/>
          <w:highlight w:val="none"/>
        </w:rPr>
      </w:pPr>
    </w:p>
    <w:p w14:paraId="560C85E4">
      <w:pPr>
        <w:spacing w:line="520" w:lineRule="exact"/>
        <w:ind w:firstLine="555"/>
        <w:rPr>
          <w:rFonts w:hint="eastAsia" w:ascii="宋体" w:hAnsi="宋体"/>
          <w:bCs/>
          <w:sz w:val="24"/>
          <w:szCs w:val="24"/>
          <w:highlight w:val="none"/>
        </w:rPr>
      </w:pPr>
    </w:p>
    <w:p w14:paraId="631615CE">
      <w:pPr>
        <w:spacing w:before="120" w:after="120" w:line="0" w:lineRule="atLeast"/>
        <w:jc w:val="both"/>
        <w:rPr>
          <w:rFonts w:hint="eastAsia" w:ascii="黑体" w:hAnsi="Courier New" w:eastAsia="黑体" w:cs="Courier New"/>
          <w:bCs/>
          <w:sz w:val="44"/>
          <w:szCs w:val="21"/>
          <w:highlight w:val="none"/>
        </w:rPr>
      </w:pPr>
    </w:p>
    <w:p w14:paraId="72476661">
      <w:pPr>
        <w:spacing w:line="560" w:lineRule="exact"/>
        <w:ind w:firstLine="0"/>
        <w:jc w:val="center"/>
        <w:rPr>
          <w:rFonts w:hint="eastAsia" w:ascii="黑体" w:hAnsi="Courier New" w:eastAsia="黑体" w:cs="Courier New"/>
          <w:bCs/>
          <w:sz w:val="44"/>
          <w:szCs w:val="21"/>
          <w:highlight w:val="none"/>
        </w:rPr>
      </w:pPr>
      <w:r>
        <w:rPr>
          <w:rFonts w:hint="eastAsia" w:ascii="黑体" w:hAnsi="Courier New" w:eastAsia="黑体" w:cs="Courier New"/>
          <w:bCs/>
          <w:sz w:val="44"/>
          <w:szCs w:val="21"/>
          <w:highlight w:val="none"/>
        </w:rPr>
        <w:t>第</w:t>
      </w:r>
      <w:bookmarkEnd w:id="170"/>
      <w:r>
        <w:rPr>
          <w:rFonts w:hint="eastAsia" w:ascii="黑体" w:hAnsi="Courier New" w:eastAsia="黑体" w:cs="Courier New"/>
          <w:bCs/>
          <w:sz w:val="44"/>
          <w:szCs w:val="21"/>
          <w:highlight w:val="none"/>
        </w:rPr>
        <w:t>三章 采购需求</w:t>
      </w:r>
      <w:bookmarkEnd w:id="171"/>
      <w:bookmarkEnd w:id="172"/>
      <w:bookmarkEnd w:id="173"/>
      <w:bookmarkStart w:id="176" w:name="_Toc49090575"/>
      <w:bookmarkStart w:id="177" w:name="_Toc26554093"/>
    </w:p>
    <w:p w14:paraId="39C4C72E">
      <w:pPr>
        <w:spacing w:line="560" w:lineRule="exact"/>
        <w:ind w:firstLine="480"/>
        <w:rPr>
          <w:rFonts w:ascii="宋体" w:hAnsi="Courier New" w:cs="Courier New"/>
          <w:sz w:val="24"/>
          <w:szCs w:val="24"/>
          <w:highlight w:val="none"/>
        </w:rPr>
      </w:pPr>
      <w:r>
        <w:rPr>
          <w:rFonts w:hint="eastAsia" w:ascii="宋体" w:hAnsi="Courier New" w:cs="Courier New"/>
          <w:sz w:val="24"/>
          <w:szCs w:val="24"/>
          <w:highlight w:val="none"/>
        </w:rPr>
        <w:t>项目属性：服务类项目</w:t>
      </w:r>
    </w:p>
    <w:p w14:paraId="4144F41C">
      <w:pPr>
        <w:spacing w:line="560" w:lineRule="exact"/>
        <w:ind w:firstLine="480"/>
        <w:rPr>
          <w:rFonts w:hint="eastAsia" w:ascii="宋体" w:hAnsi="宋体"/>
          <w:bCs/>
          <w:sz w:val="24"/>
          <w:szCs w:val="24"/>
          <w:highlight w:val="none"/>
        </w:rPr>
      </w:pPr>
      <w:r>
        <w:rPr>
          <w:rFonts w:hint="eastAsia" w:ascii="宋体" w:hAnsi="宋体"/>
          <w:bCs/>
          <w:sz w:val="24"/>
          <w:szCs w:val="24"/>
          <w:highlight w:val="none"/>
        </w:rPr>
        <w:t>采购需求包括拟采购的标的及其需要满足的技术、商务要求。</w:t>
      </w:r>
    </w:p>
    <w:p w14:paraId="3995D73C">
      <w:pPr>
        <w:numPr>
          <w:ilvl w:val="0"/>
          <w:numId w:val="5"/>
        </w:numPr>
        <w:spacing w:line="560" w:lineRule="exact"/>
        <w:ind w:firstLine="480"/>
        <w:rPr>
          <w:rFonts w:hint="eastAsia" w:ascii="宋体" w:hAnsi="宋体"/>
          <w:b w:val="0"/>
          <w:bCs w:val="0"/>
          <w:sz w:val="24"/>
          <w:highlight w:val="none"/>
          <w:lang w:val="en-US" w:eastAsia="zh-CN"/>
        </w:rPr>
      </w:pPr>
      <w:r>
        <w:rPr>
          <w:rFonts w:hint="eastAsia" w:ascii="宋体" w:hAnsi="宋体"/>
          <w:b/>
          <w:bCs/>
          <w:sz w:val="24"/>
          <w:szCs w:val="24"/>
          <w:highlight w:val="none"/>
        </w:rPr>
        <w:t>技术要求是指对采购标的功能和质量要求，包括性能、材料、结构、外观、安全，或者服务内容和标准等。</w:t>
      </w:r>
    </w:p>
    <w:p w14:paraId="3A5583D6">
      <w:pPr>
        <w:spacing w:line="360" w:lineRule="auto"/>
        <w:ind w:firstLine="72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1、检测项目清单及收费标准：详见附件。</w:t>
      </w:r>
    </w:p>
    <w:p w14:paraId="1D80186F">
      <w:pPr>
        <w:spacing w:line="360" w:lineRule="auto"/>
        <w:ind w:firstLine="720"/>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2、检测要求：</w:t>
      </w:r>
    </w:p>
    <w:p w14:paraId="6E35A793">
      <w:pPr>
        <w:widowControl/>
        <w:spacing w:line="360" w:lineRule="auto"/>
        <w:ind w:firstLine="720"/>
        <w:jc w:val="left"/>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w:t>
      </w:r>
      <w:r>
        <w:rPr>
          <w:rFonts w:hint="eastAsia" w:ascii="宋体" w:hAnsi="宋体" w:eastAsia="宋体" w:cs="宋体"/>
          <w:color w:val="000000"/>
          <w:sz w:val="24"/>
          <w:szCs w:val="24"/>
          <w:highlight w:val="none"/>
          <w:lang w:val="en-US" w:eastAsia="zh-CN" w:bidi="ar"/>
        </w:rPr>
        <w:t>.</w:t>
      </w:r>
      <w:r>
        <w:rPr>
          <w:rFonts w:hint="eastAsia" w:ascii="宋体" w:hAnsi="宋体" w:eastAsia="宋体" w:cs="宋体"/>
          <w:color w:val="000000"/>
          <w:sz w:val="24"/>
          <w:szCs w:val="24"/>
          <w:highlight w:val="none"/>
          <w:lang w:val="zh-CN" w:bidi="ar"/>
        </w:rPr>
        <w:t>实验室能开展上述检测项目清单里所有的</w:t>
      </w:r>
      <w:r>
        <w:rPr>
          <w:rFonts w:hint="eastAsia" w:ascii="宋体" w:hAnsi="宋体" w:eastAsia="宋体" w:cs="宋体"/>
          <w:color w:val="000000"/>
          <w:sz w:val="24"/>
          <w:szCs w:val="24"/>
          <w:highlight w:val="none"/>
          <w:lang w:val="en-US" w:eastAsia="zh-CN" w:bidi="ar"/>
        </w:rPr>
        <w:t>多基因</w:t>
      </w:r>
      <w:r>
        <w:rPr>
          <w:rFonts w:hint="eastAsia" w:ascii="宋体" w:hAnsi="宋体" w:eastAsia="宋体" w:cs="宋体"/>
          <w:color w:val="000000"/>
          <w:sz w:val="24"/>
          <w:szCs w:val="24"/>
          <w:highlight w:val="none"/>
          <w:lang w:val="zh-CN" w:bidi="ar"/>
        </w:rPr>
        <w:t>检测服务项目。应拥有符合我院检验项目开展的仪器设备。</w:t>
      </w:r>
    </w:p>
    <w:p w14:paraId="2F12BE48">
      <w:pPr>
        <w:widowControl/>
        <w:spacing w:line="360" w:lineRule="auto"/>
        <w:ind w:firstLine="720"/>
        <w:jc w:val="left"/>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2.该</w:t>
      </w:r>
      <w:r>
        <w:rPr>
          <w:rFonts w:hint="eastAsia" w:ascii="宋体" w:hAnsi="宋体" w:eastAsia="宋体" w:cs="宋体"/>
          <w:color w:val="000000"/>
          <w:sz w:val="24"/>
          <w:szCs w:val="24"/>
          <w:highlight w:val="none"/>
          <w:lang w:val="zh-CN" w:bidi="ar"/>
        </w:rPr>
        <w:t>服务外送项目均应在</w:t>
      </w:r>
      <w:r>
        <w:rPr>
          <w:rFonts w:hint="eastAsia" w:ascii="宋体" w:hAnsi="宋体" w:eastAsia="宋体" w:cs="宋体"/>
          <w:color w:val="000000"/>
          <w:sz w:val="24"/>
          <w:szCs w:val="24"/>
          <w:highlight w:val="none"/>
          <w:lang w:val="en-US" w:eastAsia="zh-CN" w:bidi="ar"/>
        </w:rPr>
        <w:t>成交供应商</w:t>
      </w:r>
      <w:r>
        <w:rPr>
          <w:rFonts w:hint="eastAsia" w:ascii="宋体" w:hAnsi="宋体" w:eastAsia="宋体" w:cs="宋体"/>
          <w:color w:val="000000"/>
          <w:sz w:val="24"/>
          <w:szCs w:val="24"/>
          <w:highlight w:val="none"/>
          <w:lang w:val="zh-CN" w:bidi="ar"/>
        </w:rPr>
        <w:t>内部开展并出</w:t>
      </w:r>
      <w:r>
        <w:rPr>
          <w:rFonts w:hint="eastAsia" w:ascii="宋体" w:hAnsi="宋体" w:eastAsia="宋体" w:cs="宋体"/>
          <w:color w:val="000000"/>
          <w:sz w:val="24"/>
          <w:szCs w:val="24"/>
          <w:highlight w:val="none"/>
          <w:lang w:val="en-US" w:eastAsia="zh-CN" w:bidi="ar"/>
        </w:rPr>
        <w:t>检测</w:t>
      </w:r>
      <w:r>
        <w:rPr>
          <w:rFonts w:hint="eastAsia" w:ascii="宋体" w:hAnsi="宋体" w:eastAsia="宋体" w:cs="宋体"/>
          <w:color w:val="000000"/>
          <w:sz w:val="24"/>
          <w:szCs w:val="24"/>
          <w:highlight w:val="none"/>
          <w:lang w:val="zh-CN" w:bidi="ar"/>
        </w:rPr>
        <w:t>结果，不得转包。（含</w:t>
      </w:r>
      <w:r>
        <w:rPr>
          <w:rFonts w:hint="eastAsia" w:ascii="宋体" w:hAnsi="宋体" w:eastAsia="宋体" w:cs="宋体"/>
          <w:color w:val="000000"/>
          <w:sz w:val="24"/>
          <w:szCs w:val="24"/>
          <w:highlight w:val="none"/>
          <w:lang w:val="en-US" w:eastAsia="zh-CN" w:bidi="ar"/>
        </w:rPr>
        <w:t>集团</w:t>
      </w:r>
      <w:r>
        <w:rPr>
          <w:rFonts w:hint="eastAsia" w:ascii="宋体" w:hAnsi="宋体" w:eastAsia="宋体" w:cs="宋体"/>
          <w:color w:val="000000"/>
          <w:sz w:val="24"/>
          <w:szCs w:val="24"/>
          <w:highlight w:val="none"/>
          <w:lang w:val="zh-CN" w:bidi="ar"/>
        </w:rPr>
        <w:t>公司</w:t>
      </w:r>
      <w:r>
        <w:rPr>
          <w:rFonts w:hint="eastAsia" w:ascii="宋体" w:hAnsi="宋体" w:eastAsia="宋体" w:cs="宋体"/>
          <w:color w:val="000000"/>
          <w:sz w:val="24"/>
          <w:szCs w:val="24"/>
          <w:highlight w:val="none"/>
          <w:lang w:val="en-US" w:eastAsia="zh-CN" w:bidi="ar"/>
        </w:rPr>
        <w:t>内的</w:t>
      </w:r>
      <w:r>
        <w:rPr>
          <w:rFonts w:hint="eastAsia" w:ascii="宋体" w:hAnsi="宋体" w:eastAsia="宋体" w:cs="宋体"/>
          <w:color w:val="000000"/>
          <w:sz w:val="24"/>
          <w:szCs w:val="24"/>
          <w:highlight w:val="none"/>
          <w:lang w:val="zh-CN" w:bidi="ar"/>
        </w:rPr>
        <w:t>其他实验室）</w:t>
      </w:r>
    </w:p>
    <w:p w14:paraId="0F51A1E1">
      <w:pPr>
        <w:widowControl/>
        <w:spacing w:line="360" w:lineRule="auto"/>
        <w:ind w:firstLine="720"/>
        <w:jc w:val="left"/>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3.</w:t>
      </w:r>
      <w:r>
        <w:rPr>
          <w:rFonts w:hint="eastAsia" w:ascii="宋体" w:hAnsi="宋体" w:eastAsia="宋体" w:cs="宋体"/>
          <w:color w:val="000000"/>
          <w:sz w:val="24"/>
          <w:szCs w:val="24"/>
          <w:highlight w:val="none"/>
          <w:lang w:val="zh-CN" w:bidi="ar"/>
        </w:rPr>
        <w:t>收取标本地点：海安市人民医院</w:t>
      </w:r>
    </w:p>
    <w:p w14:paraId="0714839D">
      <w:pPr>
        <w:widowControl/>
        <w:spacing w:line="360" w:lineRule="auto"/>
        <w:ind w:firstLine="720"/>
        <w:jc w:val="left"/>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4.</w:t>
      </w:r>
      <w:r>
        <w:rPr>
          <w:rFonts w:hint="eastAsia" w:ascii="宋体" w:hAnsi="宋体" w:eastAsia="宋体" w:cs="宋体"/>
          <w:color w:val="000000"/>
          <w:sz w:val="24"/>
          <w:szCs w:val="24"/>
          <w:highlight w:val="none"/>
          <w:lang w:val="zh-CN" w:bidi="ar"/>
        </w:rPr>
        <w:t>医院安排工作人员与</w:t>
      </w:r>
      <w:r>
        <w:rPr>
          <w:rFonts w:hint="eastAsia" w:ascii="宋体" w:hAnsi="宋体" w:eastAsia="宋体" w:cs="宋体"/>
          <w:color w:val="000000"/>
          <w:sz w:val="24"/>
          <w:szCs w:val="24"/>
          <w:highlight w:val="none"/>
          <w:lang w:val="en-US" w:eastAsia="zh-CN" w:bidi="ar"/>
        </w:rPr>
        <w:t>成交供应商</w:t>
      </w:r>
      <w:r>
        <w:rPr>
          <w:rFonts w:hint="eastAsia" w:ascii="宋体" w:hAnsi="宋体" w:eastAsia="宋体" w:cs="宋体"/>
          <w:color w:val="000000"/>
          <w:sz w:val="24"/>
          <w:szCs w:val="24"/>
          <w:highlight w:val="none"/>
          <w:lang w:val="zh-CN" w:bidi="ar"/>
        </w:rPr>
        <w:t>进行样本的交接和签收工作。医院收集样本所需的耗材由</w:t>
      </w:r>
      <w:r>
        <w:rPr>
          <w:rFonts w:hint="eastAsia" w:ascii="宋体" w:hAnsi="宋体" w:eastAsia="宋体" w:cs="宋体"/>
          <w:color w:val="000000"/>
          <w:sz w:val="24"/>
          <w:szCs w:val="24"/>
          <w:highlight w:val="none"/>
          <w:lang w:val="en-US" w:eastAsia="zh-CN" w:bidi="ar"/>
        </w:rPr>
        <w:t>成交供应商</w:t>
      </w:r>
      <w:r>
        <w:rPr>
          <w:rFonts w:hint="eastAsia" w:ascii="宋体" w:hAnsi="宋体" w:eastAsia="宋体" w:cs="宋体"/>
          <w:color w:val="000000"/>
          <w:sz w:val="24"/>
          <w:szCs w:val="24"/>
          <w:highlight w:val="none"/>
          <w:lang w:val="zh-CN" w:bidi="ar"/>
        </w:rPr>
        <w:t>提供。</w:t>
      </w:r>
    </w:p>
    <w:p w14:paraId="50A26B12">
      <w:pPr>
        <w:widowControl/>
        <w:spacing w:line="360" w:lineRule="auto"/>
        <w:ind w:firstLine="720"/>
        <w:jc w:val="left"/>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5.</w:t>
      </w:r>
      <w:r>
        <w:rPr>
          <w:rFonts w:hint="eastAsia" w:ascii="宋体" w:hAnsi="宋体" w:eastAsia="宋体" w:cs="宋体"/>
          <w:color w:val="000000"/>
          <w:sz w:val="24"/>
          <w:szCs w:val="24"/>
          <w:highlight w:val="none"/>
          <w:lang w:val="zh-CN" w:eastAsia="zh-CN" w:bidi="ar"/>
        </w:rPr>
        <w:t>医院与</w:t>
      </w:r>
      <w:r>
        <w:rPr>
          <w:rFonts w:hint="eastAsia" w:ascii="宋体" w:hAnsi="宋体" w:eastAsia="宋体" w:cs="宋体"/>
          <w:color w:val="000000"/>
          <w:sz w:val="24"/>
          <w:szCs w:val="24"/>
          <w:highlight w:val="none"/>
          <w:lang w:val="en-US" w:eastAsia="zh-CN" w:bidi="ar"/>
        </w:rPr>
        <w:t>成交供应商</w:t>
      </w:r>
      <w:r>
        <w:rPr>
          <w:rFonts w:hint="eastAsia" w:ascii="宋体" w:hAnsi="宋体" w:eastAsia="宋体" w:cs="宋体"/>
          <w:color w:val="000000"/>
          <w:sz w:val="24"/>
          <w:szCs w:val="24"/>
          <w:highlight w:val="none"/>
          <w:lang w:val="zh-CN" w:eastAsia="zh-CN" w:bidi="ar"/>
        </w:rPr>
        <w:t>各自指定专门的项目联系人，负责项目对接相关事宜。</w:t>
      </w:r>
    </w:p>
    <w:p w14:paraId="41EE38D1">
      <w:pPr>
        <w:widowControl/>
        <w:spacing w:line="360" w:lineRule="auto"/>
        <w:ind w:firstLine="720"/>
        <w:jc w:val="left"/>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6.成交供应商实验室在接收样本时</w:t>
      </w:r>
      <w:r>
        <w:rPr>
          <w:rFonts w:hint="eastAsia" w:ascii="宋体" w:hAnsi="宋体" w:eastAsia="宋体" w:cs="宋体"/>
          <w:color w:val="000000"/>
          <w:sz w:val="24"/>
          <w:szCs w:val="24"/>
          <w:highlight w:val="none"/>
          <w:lang w:val="zh-CN" w:bidi="ar"/>
        </w:rPr>
        <w:t xml:space="preserve">若发现样本信息不一致或样本不合格等异常情况，应及时通知医院重新确认送检信息，或开展重新采样等工作。 </w:t>
      </w:r>
    </w:p>
    <w:p w14:paraId="32B0574B">
      <w:pPr>
        <w:widowControl/>
        <w:spacing w:line="360" w:lineRule="auto"/>
        <w:ind w:firstLine="720"/>
        <w:jc w:val="left"/>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7.成交供应商应</w:t>
      </w:r>
      <w:r>
        <w:rPr>
          <w:rFonts w:hint="eastAsia" w:ascii="宋体" w:hAnsi="宋体" w:eastAsia="宋体" w:cs="宋体"/>
          <w:color w:val="000000"/>
          <w:sz w:val="24"/>
          <w:szCs w:val="24"/>
          <w:highlight w:val="none"/>
          <w:lang w:val="zh-CN" w:bidi="ar"/>
        </w:rPr>
        <w:t>在</w:t>
      </w:r>
      <w:r>
        <w:rPr>
          <w:rFonts w:hint="eastAsia" w:ascii="宋体" w:hAnsi="宋体" w:eastAsia="宋体" w:cs="宋体"/>
          <w:color w:val="000000"/>
          <w:sz w:val="24"/>
          <w:szCs w:val="24"/>
          <w:highlight w:val="none"/>
          <w:lang w:val="zh-CN" w:eastAsia="zh-CN" w:bidi="ar"/>
        </w:rPr>
        <w:t>约定</w:t>
      </w:r>
      <w:r>
        <w:rPr>
          <w:rFonts w:hint="eastAsia" w:ascii="宋体" w:hAnsi="宋体" w:eastAsia="宋体" w:cs="宋体"/>
          <w:color w:val="000000"/>
          <w:sz w:val="24"/>
          <w:szCs w:val="24"/>
          <w:highlight w:val="none"/>
          <w:lang w:val="en-US" w:eastAsia="zh-CN" w:bidi="ar"/>
        </w:rPr>
        <w:t>检测周期</w:t>
      </w:r>
      <w:r>
        <w:rPr>
          <w:rFonts w:hint="eastAsia" w:ascii="宋体" w:hAnsi="宋体" w:eastAsia="宋体" w:cs="宋体"/>
          <w:color w:val="000000"/>
          <w:sz w:val="24"/>
          <w:szCs w:val="24"/>
          <w:highlight w:val="none"/>
          <w:lang w:val="zh-CN" w:eastAsia="zh-CN" w:bidi="ar"/>
        </w:rPr>
        <w:t>内出具检测</w:t>
      </w:r>
      <w:r>
        <w:rPr>
          <w:rFonts w:hint="eastAsia" w:ascii="宋体" w:hAnsi="宋体" w:eastAsia="宋体" w:cs="宋体"/>
          <w:color w:val="000000"/>
          <w:sz w:val="24"/>
          <w:szCs w:val="24"/>
          <w:highlight w:val="none"/>
          <w:lang w:val="en-US" w:eastAsia="zh-CN" w:bidi="ar"/>
        </w:rPr>
        <w:t>报告</w:t>
      </w:r>
      <w:r>
        <w:rPr>
          <w:rFonts w:hint="eastAsia" w:ascii="宋体" w:hAnsi="宋体" w:eastAsia="宋体" w:cs="宋体"/>
          <w:color w:val="000000"/>
          <w:sz w:val="24"/>
          <w:szCs w:val="24"/>
          <w:highlight w:val="none"/>
          <w:lang w:val="zh-CN" w:eastAsia="zh-CN" w:bidi="ar"/>
        </w:rPr>
        <w:t>。若未在规定时间内出具检测报告，则需按照合同约定对医院进行赔偿。</w:t>
      </w:r>
    </w:p>
    <w:p w14:paraId="0F0E33C9">
      <w:pPr>
        <w:widowControl/>
        <w:spacing w:line="360" w:lineRule="auto"/>
        <w:ind w:firstLine="720"/>
        <w:jc w:val="left"/>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8.</w:t>
      </w:r>
      <w:r>
        <w:rPr>
          <w:rFonts w:hint="eastAsia" w:ascii="宋体" w:hAnsi="宋体" w:eastAsia="宋体" w:cs="宋体"/>
          <w:color w:val="000000"/>
          <w:sz w:val="24"/>
          <w:szCs w:val="24"/>
          <w:highlight w:val="none"/>
          <w:lang w:val="zh-CN" w:eastAsia="zh-CN" w:bidi="ar"/>
        </w:rPr>
        <w:t>结果报告：送检</w:t>
      </w:r>
      <w:r>
        <w:rPr>
          <w:rFonts w:hint="eastAsia" w:ascii="宋体" w:hAnsi="宋体" w:eastAsia="宋体" w:cs="宋体"/>
          <w:color w:val="000000"/>
          <w:sz w:val="24"/>
          <w:szCs w:val="24"/>
          <w:highlight w:val="none"/>
          <w:lang w:val="en-US" w:eastAsia="zh-CN" w:bidi="ar"/>
        </w:rPr>
        <w:t>样</w:t>
      </w:r>
      <w:r>
        <w:rPr>
          <w:rFonts w:hint="eastAsia" w:ascii="宋体" w:hAnsi="宋体" w:eastAsia="宋体" w:cs="宋体"/>
          <w:color w:val="000000"/>
          <w:sz w:val="24"/>
          <w:szCs w:val="24"/>
          <w:highlight w:val="none"/>
          <w:lang w:val="zh-CN" w:eastAsia="zh-CN" w:bidi="ar"/>
        </w:rPr>
        <w:t>本依照相关技术要求及时进行检测与审核，每份报告均经过二</w:t>
      </w:r>
      <w:r>
        <w:rPr>
          <w:rFonts w:hint="eastAsia" w:ascii="宋体" w:hAnsi="宋体" w:eastAsia="宋体" w:cs="宋体"/>
          <w:color w:val="000000"/>
          <w:sz w:val="24"/>
          <w:szCs w:val="24"/>
          <w:highlight w:val="none"/>
          <w:lang w:val="en-US" w:eastAsia="zh-CN" w:bidi="ar"/>
        </w:rPr>
        <w:t>次</w:t>
      </w:r>
      <w:r>
        <w:rPr>
          <w:rFonts w:hint="eastAsia" w:ascii="宋体" w:hAnsi="宋体" w:eastAsia="宋体" w:cs="宋体"/>
          <w:color w:val="000000"/>
          <w:sz w:val="24"/>
          <w:szCs w:val="24"/>
          <w:highlight w:val="none"/>
          <w:lang w:val="zh-CN" w:eastAsia="zh-CN" w:bidi="ar"/>
        </w:rPr>
        <w:t xml:space="preserve">审核。检测结果实时上传至医院指定的LIS或HIS系统。对于报告的格式、补发及保密工作，均有严格要求。结果报告的内容与格式符合临床需求。 </w:t>
      </w:r>
    </w:p>
    <w:p w14:paraId="7663FC7E">
      <w:pPr>
        <w:widowControl/>
        <w:spacing w:line="360" w:lineRule="auto"/>
        <w:ind w:firstLine="720"/>
        <w:jc w:val="left"/>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9.成交供应商</w:t>
      </w:r>
      <w:r>
        <w:rPr>
          <w:rFonts w:hint="eastAsia" w:ascii="宋体" w:hAnsi="宋体" w:eastAsia="宋体" w:cs="宋体"/>
          <w:color w:val="000000"/>
          <w:sz w:val="24"/>
          <w:szCs w:val="24"/>
          <w:highlight w:val="none"/>
          <w:lang w:val="zh-CN" w:bidi="ar"/>
        </w:rPr>
        <w:t>在本项目服务期内，负责将检验结果传输至医院LIS系统，并提供实施方案，相关软硬件及网络接口费用由</w:t>
      </w:r>
      <w:r>
        <w:rPr>
          <w:rFonts w:hint="eastAsia" w:ascii="宋体" w:hAnsi="宋体" w:eastAsia="宋体" w:cs="宋体"/>
          <w:color w:val="000000"/>
          <w:sz w:val="24"/>
          <w:szCs w:val="24"/>
          <w:highlight w:val="none"/>
          <w:lang w:val="en-US" w:eastAsia="zh-CN" w:bidi="ar"/>
        </w:rPr>
        <w:t>成交供应商</w:t>
      </w:r>
      <w:r>
        <w:rPr>
          <w:rFonts w:hint="eastAsia" w:ascii="宋体" w:hAnsi="宋体" w:eastAsia="宋体" w:cs="宋体"/>
          <w:color w:val="000000"/>
          <w:sz w:val="24"/>
          <w:szCs w:val="24"/>
          <w:highlight w:val="none"/>
          <w:lang w:val="zh-CN" w:bidi="ar"/>
        </w:rPr>
        <w:t xml:space="preserve">承担。 </w:t>
      </w:r>
    </w:p>
    <w:p w14:paraId="7E211CD0">
      <w:pPr>
        <w:widowControl/>
        <w:spacing w:line="360" w:lineRule="auto"/>
        <w:ind w:firstLine="720"/>
        <w:jc w:val="left"/>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10.</w:t>
      </w:r>
      <w:r>
        <w:rPr>
          <w:rFonts w:hint="eastAsia" w:ascii="宋体" w:hAnsi="宋体" w:eastAsia="宋体" w:cs="宋体"/>
          <w:color w:val="000000"/>
          <w:sz w:val="24"/>
          <w:szCs w:val="24"/>
          <w:highlight w:val="none"/>
          <w:lang w:val="zh-CN" w:bidi="ar"/>
        </w:rPr>
        <w:t>若医院对检测结果存有异议，需在收到检测报告之日起5个工作日内提出，</w:t>
      </w:r>
      <w:r>
        <w:rPr>
          <w:rFonts w:hint="eastAsia" w:ascii="宋体" w:hAnsi="宋体" w:eastAsia="宋体" w:cs="宋体"/>
          <w:color w:val="000000"/>
          <w:sz w:val="24"/>
          <w:szCs w:val="24"/>
          <w:highlight w:val="none"/>
          <w:lang w:val="en-US" w:eastAsia="zh-CN" w:bidi="ar"/>
        </w:rPr>
        <w:t>成交供应商</w:t>
      </w:r>
      <w:r>
        <w:rPr>
          <w:rFonts w:hint="eastAsia" w:ascii="宋体" w:hAnsi="宋体" w:eastAsia="宋体" w:cs="宋体"/>
          <w:color w:val="000000"/>
          <w:sz w:val="24"/>
          <w:szCs w:val="24"/>
          <w:highlight w:val="none"/>
          <w:lang w:val="zh-CN" w:bidi="ar"/>
        </w:rPr>
        <w:t>应无条件进行免费重新检测。</w:t>
      </w:r>
    </w:p>
    <w:p w14:paraId="3D7D1164">
      <w:pPr>
        <w:widowControl/>
        <w:spacing w:line="360" w:lineRule="auto"/>
        <w:ind w:firstLine="720"/>
        <w:jc w:val="left"/>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11.</w:t>
      </w:r>
      <w:r>
        <w:rPr>
          <w:rFonts w:hint="eastAsia" w:ascii="宋体" w:hAnsi="宋体" w:eastAsia="宋体" w:cs="宋体"/>
          <w:color w:val="000000"/>
          <w:sz w:val="24"/>
          <w:szCs w:val="24"/>
          <w:highlight w:val="none"/>
          <w:lang w:val="zh-CN" w:bidi="ar"/>
        </w:rPr>
        <w:t>样本的保存：</w:t>
      </w:r>
      <w:r>
        <w:rPr>
          <w:rFonts w:hint="eastAsia" w:ascii="宋体" w:hAnsi="宋体" w:eastAsia="宋体" w:cs="宋体"/>
          <w:color w:val="000000"/>
          <w:sz w:val="24"/>
          <w:szCs w:val="24"/>
          <w:highlight w:val="none"/>
          <w:lang w:val="en-US" w:eastAsia="zh-CN" w:bidi="ar"/>
        </w:rPr>
        <w:t>成交供应商</w:t>
      </w:r>
      <w:r>
        <w:rPr>
          <w:rFonts w:hint="eastAsia" w:ascii="宋体" w:hAnsi="宋体" w:eastAsia="宋体" w:cs="宋体"/>
          <w:color w:val="000000"/>
          <w:sz w:val="24"/>
          <w:szCs w:val="24"/>
          <w:highlight w:val="none"/>
          <w:lang w:val="zh-CN" w:bidi="ar"/>
        </w:rPr>
        <w:t>需按照国家和行业标准对样本予以保存。所有经过检测后的剩余样本，</w:t>
      </w:r>
      <w:r>
        <w:rPr>
          <w:rFonts w:hint="eastAsia" w:ascii="宋体" w:hAnsi="宋体" w:eastAsia="宋体" w:cs="宋体"/>
          <w:color w:val="000000"/>
          <w:sz w:val="24"/>
          <w:szCs w:val="24"/>
          <w:highlight w:val="none"/>
          <w:lang w:val="en-US" w:eastAsia="zh-CN" w:bidi="ar"/>
        </w:rPr>
        <w:t>成交供应商</w:t>
      </w:r>
      <w:r>
        <w:rPr>
          <w:rFonts w:hint="eastAsia" w:ascii="宋体" w:hAnsi="宋体" w:eastAsia="宋体" w:cs="宋体"/>
          <w:color w:val="000000"/>
          <w:sz w:val="24"/>
          <w:szCs w:val="24"/>
          <w:highlight w:val="none"/>
          <w:lang w:val="zh-CN" w:bidi="ar"/>
        </w:rPr>
        <w:t xml:space="preserve">应妥善做好保存工作，不得提供给医院以外的第三方。 </w:t>
      </w:r>
    </w:p>
    <w:p w14:paraId="20974C31">
      <w:pPr>
        <w:widowControl/>
        <w:spacing w:line="360" w:lineRule="auto"/>
        <w:ind w:firstLine="720"/>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12.成交供应商</w:t>
      </w:r>
      <w:r>
        <w:rPr>
          <w:rFonts w:hint="eastAsia" w:ascii="宋体" w:hAnsi="宋体" w:eastAsia="宋体" w:cs="宋体"/>
          <w:color w:val="000000"/>
          <w:sz w:val="24"/>
          <w:szCs w:val="24"/>
          <w:highlight w:val="none"/>
          <w:lang w:val="zh-CN" w:eastAsia="zh-CN" w:bidi="ar"/>
        </w:rPr>
        <w:t xml:space="preserve">需每月规定时间内，向医院提交上月送检检测的实验记录以及质量月报。 </w:t>
      </w:r>
    </w:p>
    <w:p w14:paraId="71A2F273">
      <w:pPr>
        <w:widowControl/>
        <w:spacing w:line="360" w:lineRule="auto"/>
        <w:ind w:firstLine="720"/>
        <w:jc w:val="left"/>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13.</w:t>
      </w:r>
      <w:r>
        <w:rPr>
          <w:rFonts w:hint="eastAsia" w:ascii="宋体" w:hAnsi="宋体" w:eastAsia="宋体" w:cs="宋体"/>
          <w:color w:val="000000"/>
          <w:sz w:val="24"/>
          <w:szCs w:val="24"/>
          <w:highlight w:val="none"/>
          <w:lang w:val="zh-CN" w:eastAsia="zh-CN" w:bidi="ar"/>
        </w:rPr>
        <w:t>样本的交接与运送过程务必符合样本安全管理要求。</w:t>
      </w:r>
    </w:p>
    <w:p w14:paraId="59177853">
      <w:pPr>
        <w:widowControl/>
        <w:spacing w:line="360" w:lineRule="auto"/>
        <w:ind w:firstLine="720"/>
        <w:jc w:val="left"/>
        <w:rPr>
          <w:rFonts w:hint="eastAsia" w:ascii="宋体" w:hAnsi="宋体" w:eastAsia="宋体" w:cs="宋体"/>
          <w:color w:val="000000"/>
          <w:sz w:val="24"/>
          <w:szCs w:val="24"/>
          <w:highlight w:val="none"/>
          <w:lang w:val="zh-CN" w:eastAsia="zh-CN" w:bidi="ar"/>
        </w:rPr>
      </w:pPr>
      <w:r>
        <w:rPr>
          <w:rFonts w:hint="eastAsia" w:ascii="宋体" w:hAnsi="宋体" w:eastAsia="宋体" w:cs="宋体"/>
          <w:color w:val="000000"/>
          <w:sz w:val="24"/>
          <w:szCs w:val="24"/>
          <w:highlight w:val="none"/>
          <w:lang w:val="en-US" w:eastAsia="zh-CN" w:bidi="ar"/>
        </w:rPr>
        <w:t>14.</w:t>
      </w:r>
      <w:r>
        <w:rPr>
          <w:rFonts w:hint="eastAsia" w:ascii="宋体" w:hAnsi="宋体" w:eastAsia="宋体" w:cs="宋体"/>
          <w:color w:val="000000"/>
          <w:sz w:val="24"/>
          <w:szCs w:val="24"/>
          <w:highlight w:val="none"/>
          <w:lang w:val="zh-CN" w:eastAsia="zh-CN" w:bidi="ar"/>
        </w:rPr>
        <w:t>严格执行我院危急值报告制度，如合同期间出现检验项目危急值未能及时报告给</w:t>
      </w:r>
      <w:r>
        <w:rPr>
          <w:rFonts w:hint="eastAsia" w:ascii="宋体" w:hAnsi="宋体" w:eastAsia="宋体" w:cs="宋体"/>
          <w:color w:val="000000"/>
          <w:sz w:val="24"/>
          <w:szCs w:val="24"/>
          <w:highlight w:val="none"/>
          <w:lang w:val="en-US" w:eastAsia="zh-CN" w:bidi="ar"/>
        </w:rPr>
        <w:t>医院</w:t>
      </w:r>
      <w:r>
        <w:rPr>
          <w:rFonts w:hint="eastAsia" w:ascii="宋体" w:hAnsi="宋体" w:eastAsia="宋体" w:cs="宋体"/>
          <w:color w:val="000000"/>
          <w:sz w:val="24"/>
          <w:szCs w:val="24"/>
          <w:highlight w:val="none"/>
          <w:lang w:val="zh-CN" w:eastAsia="zh-CN" w:bidi="ar"/>
        </w:rPr>
        <w:t>和质量问题而引发的医疗纠纷，导致赔偿等不良后果的，由</w:t>
      </w:r>
      <w:r>
        <w:rPr>
          <w:rFonts w:hint="eastAsia" w:ascii="宋体" w:hAnsi="宋体" w:eastAsia="宋体" w:cs="宋体"/>
          <w:color w:val="000000"/>
          <w:sz w:val="24"/>
          <w:szCs w:val="24"/>
          <w:highlight w:val="none"/>
          <w:lang w:val="en-US" w:eastAsia="zh-CN" w:bidi="ar"/>
        </w:rPr>
        <w:t>成交供应商实验室</w:t>
      </w:r>
      <w:r>
        <w:rPr>
          <w:rFonts w:hint="eastAsia" w:ascii="宋体" w:hAnsi="宋体" w:eastAsia="宋体" w:cs="宋体"/>
          <w:color w:val="000000"/>
          <w:sz w:val="24"/>
          <w:szCs w:val="24"/>
          <w:highlight w:val="none"/>
          <w:lang w:val="zh-CN" w:eastAsia="zh-CN" w:bidi="ar"/>
        </w:rPr>
        <w:t>承担相关责任。</w:t>
      </w:r>
    </w:p>
    <w:p w14:paraId="06E79F73">
      <w:pPr>
        <w:widowControl/>
        <w:spacing w:line="360" w:lineRule="auto"/>
        <w:ind w:firstLine="720"/>
        <w:jc w:val="left"/>
        <w:rPr>
          <w:rFonts w:ascii="宋体" w:hAnsi="宋体"/>
          <w:bCs/>
          <w:sz w:val="24"/>
          <w:szCs w:val="24"/>
          <w:highlight w:val="none"/>
          <w:lang w:val="en-US" w:eastAsia="zh-CN"/>
        </w:rPr>
      </w:pPr>
      <w:r>
        <w:rPr>
          <w:rFonts w:hint="eastAsia" w:ascii="宋体" w:hAnsi="宋体" w:eastAsia="宋体" w:cs="宋体"/>
          <w:color w:val="000000"/>
          <w:sz w:val="24"/>
          <w:szCs w:val="24"/>
          <w:highlight w:val="none"/>
          <w:lang w:val="en-US" w:eastAsia="zh-CN" w:bidi="ar"/>
        </w:rPr>
        <w:t>15.在服务期限内，如后期有新增检测项目，不适用本条约结算扣率的，双方另行协商。</w:t>
      </w:r>
    </w:p>
    <w:p w14:paraId="5E873749">
      <w:pPr>
        <w:spacing w:line="560" w:lineRule="exact"/>
        <w:ind w:firstLine="480"/>
        <w:rPr>
          <w:rFonts w:ascii="宋体" w:hAnsi="宋体"/>
          <w:b/>
          <w:bCs/>
          <w:sz w:val="24"/>
          <w:szCs w:val="24"/>
          <w:highlight w:val="none"/>
        </w:rPr>
      </w:pPr>
      <w:r>
        <w:rPr>
          <w:rFonts w:hint="eastAsia" w:ascii="宋体" w:hAnsi="宋体"/>
          <w:b/>
          <w:bCs/>
          <w:sz w:val="24"/>
          <w:szCs w:val="24"/>
          <w:highlight w:val="none"/>
        </w:rPr>
        <w:t>（二）商务要求是指取得采购标的的时间、地点、财务和服务要求，包括交付（实施）的时间（期限）和地点（范围），付款条件（进度和方法），包装和运输，售后服务，保险等。</w:t>
      </w:r>
    </w:p>
    <w:p w14:paraId="08662DCE">
      <w:pPr>
        <w:spacing w:line="560" w:lineRule="exact"/>
        <w:ind w:firstLine="480"/>
        <w:rPr>
          <w:rFonts w:hint="eastAsia" w:ascii="宋体" w:hAnsi="宋体"/>
          <w:b/>
          <w:sz w:val="24"/>
          <w:szCs w:val="24"/>
          <w:highlight w:val="none"/>
        </w:rPr>
      </w:pPr>
      <w:r>
        <w:rPr>
          <w:rFonts w:hint="eastAsia" w:ascii="宋体" w:hAnsi="宋体"/>
          <w:b/>
          <w:bCs/>
          <w:sz w:val="24"/>
          <w:szCs w:val="24"/>
          <w:highlight w:val="none"/>
        </w:rPr>
        <w:t>其内容包含</w:t>
      </w:r>
      <w:r>
        <w:rPr>
          <w:rFonts w:ascii="宋体" w:hAnsi="宋体"/>
          <w:b/>
          <w:bCs/>
          <w:sz w:val="24"/>
          <w:szCs w:val="24"/>
          <w:highlight w:val="none"/>
        </w:rPr>
        <w:t>但不限于</w:t>
      </w:r>
      <w:r>
        <w:rPr>
          <w:rFonts w:hint="eastAsia" w:ascii="宋体" w:hAnsi="宋体"/>
          <w:b/>
          <w:bCs/>
          <w:sz w:val="24"/>
          <w:szCs w:val="24"/>
          <w:highlight w:val="none"/>
        </w:rPr>
        <w:t>以下</w:t>
      </w:r>
      <w:r>
        <w:rPr>
          <w:rFonts w:ascii="宋体" w:hAnsi="宋体"/>
          <w:b/>
          <w:bCs/>
          <w:sz w:val="24"/>
          <w:szCs w:val="24"/>
          <w:highlight w:val="none"/>
        </w:rPr>
        <w:t>内容：</w:t>
      </w:r>
    </w:p>
    <w:p w14:paraId="5BF2ADF7">
      <w:pPr>
        <w:spacing w:line="560" w:lineRule="exact"/>
        <w:ind w:firstLine="480"/>
        <w:rPr>
          <w:rFonts w:hint="eastAsia"/>
          <w:b/>
          <w:sz w:val="24"/>
          <w:szCs w:val="24"/>
          <w:highlight w:val="none"/>
        </w:rPr>
      </w:pPr>
      <w:r>
        <w:rPr>
          <w:rFonts w:hint="eastAsia"/>
          <w:b/>
          <w:sz w:val="24"/>
          <w:szCs w:val="24"/>
          <w:highlight w:val="none"/>
        </w:rPr>
        <w:t>1.采购标的需实现的功能或者目标，以及为落实政府采购政策需满足的要求：</w:t>
      </w:r>
    </w:p>
    <w:p w14:paraId="6F2B2427">
      <w:pPr>
        <w:spacing w:line="560" w:lineRule="exact"/>
        <w:ind w:firstLine="480"/>
        <w:rPr>
          <w:sz w:val="24"/>
          <w:szCs w:val="24"/>
          <w:highlight w:val="none"/>
        </w:rPr>
      </w:pPr>
      <w:r>
        <w:rPr>
          <w:rFonts w:hint="eastAsia"/>
          <w:sz w:val="24"/>
          <w:szCs w:val="24"/>
          <w:highlight w:val="none"/>
        </w:rPr>
        <w:t>本项目为专门面向中小微企业采购项目。(须按照财库﹝2020﹞6号文要求提供中小企业声明函。格式见附件)。</w:t>
      </w:r>
    </w:p>
    <w:p w14:paraId="18A31F13">
      <w:pPr>
        <w:spacing w:line="560" w:lineRule="exact"/>
        <w:ind w:firstLine="480"/>
        <w:rPr>
          <w:b/>
          <w:sz w:val="24"/>
          <w:szCs w:val="24"/>
          <w:highlight w:val="none"/>
        </w:rPr>
      </w:pPr>
      <w:r>
        <w:rPr>
          <w:rFonts w:hint="eastAsia"/>
          <w:b/>
          <w:sz w:val="24"/>
          <w:szCs w:val="24"/>
          <w:highlight w:val="none"/>
        </w:rPr>
        <w:t>2.采购标的需执行的国家相关标</w:t>
      </w:r>
      <w:bookmarkStart w:id="178" w:name="OLE_LINK5"/>
      <w:r>
        <w:rPr>
          <w:rFonts w:hint="eastAsia"/>
          <w:b/>
          <w:sz w:val="24"/>
          <w:szCs w:val="24"/>
          <w:highlight w:val="none"/>
        </w:rPr>
        <w:t>准、行业标准、地方标准</w:t>
      </w:r>
      <w:bookmarkEnd w:id="178"/>
      <w:r>
        <w:rPr>
          <w:rFonts w:hint="eastAsia"/>
          <w:b/>
          <w:sz w:val="24"/>
          <w:szCs w:val="24"/>
          <w:highlight w:val="none"/>
        </w:rPr>
        <w:t>或者其他标准、规范：</w:t>
      </w:r>
    </w:p>
    <w:p w14:paraId="173EA6DD">
      <w:pPr>
        <w:spacing w:line="560" w:lineRule="exact"/>
        <w:ind w:firstLine="480"/>
        <w:rPr>
          <w:sz w:val="24"/>
          <w:szCs w:val="24"/>
          <w:highlight w:val="none"/>
        </w:rPr>
      </w:pPr>
      <w:r>
        <w:rPr>
          <w:rFonts w:hint="eastAsia"/>
          <w:sz w:val="24"/>
          <w:szCs w:val="24"/>
          <w:highlight w:val="none"/>
        </w:rPr>
        <w:t>满足采购人提出的服务、考核要求及海安市相关部门考核要求。</w:t>
      </w:r>
    </w:p>
    <w:p w14:paraId="60EC2CBF">
      <w:pPr>
        <w:spacing w:line="560" w:lineRule="exact"/>
        <w:ind w:firstLine="480"/>
        <w:rPr>
          <w:b/>
          <w:sz w:val="24"/>
          <w:szCs w:val="24"/>
          <w:highlight w:val="none"/>
        </w:rPr>
      </w:pPr>
      <w:r>
        <w:rPr>
          <w:rFonts w:hint="eastAsia"/>
          <w:b/>
          <w:sz w:val="24"/>
          <w:szCs w:val="24"/>
          <w:highlight w:val="none"/>
        </w:rPr>
        <w:t>3.采购标的需满足的质量、安全、技术规格、物理特性等要求</w:t>
      </w:r>
    </w:p>
    <w:p w14:paraId="78A57FC7">
      <w:pPr>
        <w:spacing w:line="560" w:lineRule="exact"/>
        <w:ind w:firstLine="480"/>
        <w:rPr>
          <w:sz w:val="24"/>
          <w:szCs w:val="24"/>
          <w:highlight w:val="none"/>
        </w:rPr>
      </w:pPr>
      <w:r>
        <w:rPr>
          <w:rFonts w:hint="eastAsia"/>
          <w:sz w:val="24"/>
          <w:szCs w:val="24"/>
          <w:highlight w:val="none"/>
        </w:rPr>
        <w:t>满足采购人提出的服务、考核要求及海安市相关部门考核要求。</w:t>
      </w:r>
    </w:p>
    <w:p w14:paraId="5B45EFDD">
      <w:pPr>
        <w:spacing w:line="560" w:lineRule="exact"/>
        <w:ind w:firstLine="480"/>
        <w:rPr>
          <w:rFonts w:hint="eastAsia"/>
          <w:b/>
          <w:sz w:val="24"/>
          <w:szCs w:val="24"/>
          <w:highlight w:val="none"/>
        </w:rPr>
      </w:pPr>
      <w:r>
        <w:rPr>
          <w:rFonts w:hint="eastAsia"/>
          <w:b/>
          <w:sz w:val="24"/>
          <w:szCs w:val="24"/>
          <w:highlight w:val="none"/>
        </w:rPr>
        <w:t xml:space="preserve">4.采购标的的数量、采购项目交付或者实施的时间和地点： </w:t>
      </w:r>
    </w:p>
    <w:p w14:paraId="1F950DFF">
      <w:pPr>
        <w:spacing w:line="560" w:lineRule="exact"/>
        <w:ind w:firstLine="480"/>
        <w:rPr>
          <w:rFonts w:hint="eastAsia"/>
          <w:sz w:val="24"/>
          <w:szCs w:val="24"/>
          <w:highlight w:val="none"/>
        </w:rPr>
      </w:pPr>
      <w:r>
        <w:rPr>
          <w:rFonts w:hint="eastAsia"/>
          <w:sz w:val="24"/>
          <w:szCs w:val="24"/>
          <w:highlight w:val="none"/>
        </w:rPr>
        <w:t>采购标的实施的时间：</w:t>
      </w:r>
      <w:r>
        <w:rPr>
          <w:rFonts w:hint="eastAsia"/>
          <w:sz w:val="24"/>
          <w:szCs w:val="24"/>
          <w:highlight w:val="none"/>
          <w:lang w:val="en-US" w:eastAsia="zh-CN"/>
        </w:rPr>
        <w:t>两年</w:t>
      </w:r>
      <w:r>
        <w:rPr>
          <w:rFonts w:hint="eastAsia"/>
          <w:sz w:val="24"/>
          <w:szCs w:val="24"/>
          <w:highlight w:val="none"/>
        </w:rPr>
        <w:t>，具体服务时间根据采购人通知为准。</w:t>
      </w:r>
    </w:p>
    <w:p w14:paraId="7F91D910">
      <w:pPr>
        <w:spacing w:line="560" w:lineRule="exact"/>
        <w:ind w:firstLine="480"/>
        <w:rPr>
          <w:rFonts w:hint="eastAsia"/>
          <w:sz w:val="24"/>
          <w:szCs w:val="24"/>
          <w:highlight w:val="none"/>
        </w:rPr>
      </w:pPr>
      <w:r>
        <w:rPr>
          <w:rFonts w:hint="eastAsia"/>
          <w:b/>
          <w:sz w:val="24"/>
          <w:szCs w:val="24"/>
          <w:highlight w:val="none"/>
        </w:rPr>
        <w:t>采购标的实施的地点：</w:t>
      </w:r>
      <w:r>
        <w:rPr>
          <w:rFonts w:hint="eastAsia"/>
          <w:sz w:val="24"/>
          <w:szCs w:val="24"/>
          <w:highlight w:val="none"/>
          <w:lang w:val="en-US" w:eastAsia="zh-CN"/>
        </w:rPr>
        <w:t>海安市人民医院</w:t>
      </w:r>
      <w:r>
        <w:rPr>
          <w:rFonts w:hint="eastAsia"/>
          <w:sz w:val="24"/>
          <w:szCs w:val="24"/>
          <w:highlight w:val="none"/>
        </w:rPr>
        <w:t>。</w:t>
      </w:r>
    </w:p>
    <w:p w14:paraId="3B6D3536">
      <w:pPr>
        <w:numPr>
          <w:ilvl w:val="0"/>
          <w:numId w:val="6"/>
        </w:numPr>
        <w:spacing w:line="560" w:lineRule="exact"/>
        <w:ind w:firstLine="480"/>
        <w:rPr>
          <w:rFonts w:hint="eastAsia"/>
          <w:b/>
          <w:sz w:val="24"/>
          <w:szCs w:val="24"/>
          <w:highlight w:val="none"/>
        </w:rPr>
      </w:pPr>
      <w:r>
        <w:rPr>
          <w:rFonts w:hint="eastAsia"/>
          <w:b/>
          <w:sz w:val="24"/>
          <w:szCs w:val="24"/>
          <w:highlight w:val="none"/>
        </w:rPr>
        <w:t xml:space="preserve">采购标的需满足的服务标准、期限、效率等要求： </w:t>
      </w:r>
    </w:p>
    <w:p w14:paraId="3ACC471E">
      <w:pPr>
        <w:spacing w:line="560" w:lineRule="exact"/>
        <w:ind w:firstLine="480"/>
        <w:rPr>
          <w:rFonts w:hint="eastAsia"/>
          <w:sz w:val="24"/>
          <w:szCs w:val="24"/>
          <w:highlight w:val="none"/>
        </w:rPr>
      </w:pPr>
      <w:r>
        <w:rPr>
          <w:rFonts w:hint="eastAsia"/>
          <w:sz w:val="24"/>
          <w:szCs w:val="24"/>
          <w:highlight w:val="none"/>
        </w:rPr>
        <w:t>采购标的需满足的服务标准要求：根据采购人服务要求及考核标准提供服务。</w:t>
      </w:r>
    </w:p>
    <w:p w14:paraId="19175134">
      <w:pPr>
        <w:spacing w:line="560" w:lineRule="exact"/>
        <w:ind w:firstLine="480"/>
        <w:rPr>
          <w:rFonts w:hint="eastAsia"/>
          <w:sz w:val="24"/>
          <w:szCs w:val="24"/>
          <w:highlight w:val="none"/>
        </w:rPr>
      </w:pPr>
      <w:r>
        <w:rPr>
          <w:rFonts w:hint="eastAsia"/>
          <w:sz w:val="24"/>
          <w:szCs w:val="24"/>
          <w:highlight w:val="none"/>
          <w:lang w:val="en-US" w:eastAsia="zh-CN"/>
        </w:rPr>
        <w:t>检测报告的交付时间：由双方协商确定</w:t>
      </w:r>
    </w:p>
    <w:p w14:paraId="792C83D1">
      <w:pPr>
        <w:spacing w:line="560" w:lineRule="exact"/>
        <w:ind w:firstLine="480"/>
        <w:rPr>
          <w:rFonts w:hint="eastAsia"/>
          <w:b/>
          <w:sz w:val="24"/>
          <w:szCs w:val="24"/>
          <w:highlight w:val="none"/>
        </w:rPr>
      </w:pPr>
      <w:r>
        <w:rPr>
          <w:rFonts w:hint="eastAsia"/>
          <w:b/>
          <w:sz w:val="24"/>
          <w:szCs w:val="24"/>
          <w:highlight w:val="none"/>
        </w:rPr>
        <w:t>6.采购标的的验收标准：</w:t>
      </w:r>
    </w:p>
    <w:p w14:paraId="43011651">
      <w:pPr>
        <w:spacing w:line="560" w:lineRule="exact"/>
        <w:ind w:firstLine="480"/>
        <w:rPr>
          <w:sz w:val="24"/>
          <w:szCs w:val="24"/>
          <w:highlight w:val="none"/>
        </w:rPr>
      </w:pPr>
      <w:r>
        <w:rPr>
          <w:rFonts w:hint="eastAsia"/>
          <w:sz w:val="24"/>
          <w:szCs w:val="24"/>
          <w:highlight w:val="none"/>
        </w:rPr>
        <w:t>根据采购人服务要求、考核标准及其他相关部门的文件要求进行。</w:t>
      </w:r>
    </w:p>
    <w:p w14:paraId="635E19CC">
      <w:pPr>
        <w:spacing w:line="560" w:lineRule="exact"/>
        <w:ind w:firstLine="480"/>
        <w:rPr>
          <w:rFonts w:hint="eastAsia"/>
          <w:b/>
          <w:sz w:val="24"/>
          <w:szCs w:val="24"/>
          <w:highlight w:val="none"/>
        </w:rPr>
      </w:pPr>
      <w:r>
        <w:rPr>
          <w:rFonts w:hint="eastAsia"/>
          <w:b/>
          <w:sz w:val="24"/>
          <w:szCs w:val="24"/>
          <w:highlight w:val="none"/>
        </w:rPr>
        <w:t>7.采购标的的其他技术、服务等要求：</w:t>
      </w:r>
    </w:p>
    <w:p w14:paraId="65FBFEA2">
      <w:pPr>
        <w:spacing w:line="560" w:lineRule="exact"/>
        <w:ind w:firstLine="480"/>
        <w:rPr>
          <w:sz w:val="24"/>
          <w:szCs w:val="24"/>
          <w:highlight w:val="none"/>
        </w:rPr>
      </w:pPr>
      <w:r>
        <w:rPr>
          <w:rFonts w:hint="eastAsia"/>
          <w:sz w:val="24"/>
          <w:szCs w:val="24"/>
          <w:highlight w:val="none"/>
        </w:rPr>
        <w:t>7.1如遇特殊情况检查或考核，服务单位需</w:t>
      </w:r>
      <w:r>
        <w:rPr>
          <w:rFonts w:hint="eastAsia"/>
          <w:sz w:val="24"/>
          <w:szCs w:val="24"/>
          <w:highlight w:val="none"/>
          <w:lang w:val="en-US" w:eastAsia="zh-CN"/>
        </w:rPr>
        <w:t>配合采购人完成检查或考核</w:t>
      </w:r>
      <w:r>
        <w:rPr>
          <w:rFonts w:hint="eastAsia"/>
          <w:sz w:val="24"/>
          <w:szCs w:val="24"/>
          <w:highlight w:val="none"/>
        </w:rPr>
        <w:t>。</w:t>
      </w:r>
    </w:p>
    <w:p w14:paraId="072B2BC2">
      <w:pPr>
        <w:spacing w:line="560" w:lineRule="exact"/>
        <w:ind w:firstLine="480"/>
        <w:rPr>
          <w:rFonts w:hint="eastAsia"/>
          <w:sz w:val="24"/>
          <w:szCs w:val="24"/>
          <w:highlight w:val="none"/>
        </w:rPr>
      </w:pPr>
      <w:r>
        <w:rPr>
          <w:rFonts w:hint="eastAsia"/>
          <w:sz w:val="24"/>
          <w:szCs w:val="24"/>
          <w:highlight w:val="none"/>
        </w:rPr>
        <w:t xml:space="preserve">7.2包装要求： </w:t>
      </w:r>
    </w:p>
    <w:p w14:paraId="4F848048">
      <w:pPr>
        <w:spacing w:line="560" w:lineRule="exact"/>
        <w:ind w:firstLine="480"/>
        <w:rPr>
          <w:rFonts w:hint="eastAsia"/>
          <w:sz w:val="24"/>
          <w:szCs w:val="24"/>
          <w:highlight w:val="none"/>
        </w:rPr>
      </w:pPr>
      <w:r>
        <w:rPr>
          <w:rFonts w:hint="eastAsia"/>
          <w:sz w:val="24"/>
          <w:szCs w:val="24"/>
          <w:highlight w:val="none"/>
        </w:rPr>
        <w:t>7.2.1商品包装环保要求：应当按《关于印发〈商品包装政府采购需求标准（试行）〉、〈快递包装政府采购需求标准（试行）〉的通知》（财办库〔2020〕123号）文件执行。</w:t>
      </w:r>
    </w:p>
    <w:p w14:paraId="5C5E9891">
      <w:pPr>
        <w:spacing w:line="560" w:lineRule="exact"/>
        <w:ind w:firstLine="480"/>
        <w:rPr>
          <w:rFonts w:hint="eastAsia"/>
          <w:sz w:val="24"/>
          <w:szCs w:val="24"/>
          <w:highlight w:val="none"/>
        </w:rPr>
      </w:pPr>
      <w:r>
        <w:rPr>
          <w:rFonts w:hint="eastAsia"/>
          <w:sz w:val="24"/>
          <w:szCs w:val="24"/>
          <w:highlight w:val="none"/>
        </w:rPr>
        <w:t>（1）商品包装层数不得超过 3 层，空隙率不大于 40%；</w:t>
      </w:r>
    </w:p>
    <w:p w14:paraId="5904F787">
      <w:pPr>
        <w:spacing w:line="560" w:lineRule="exact"/>
        <w:ind w:firstLine="480"/>
        <w:rPr>
          <w:rFonts w:hint="eastAsia"/>
          <w:sz w:val="24"/>
          <w:szCs w:val="24"/>
          <w:highlight w:val="none"/>
        </w:rPr>
      </w:pPr>
      <w:r>
        <w:rPr>
          <w:rFonts w:hint="eastAsia"/>
          <w:sz w:val="24"/>
          <w:szCs w:val="24"/>
          <w:highlight w:val="none"/>
        </w:rPr>
        <w:t>（2）商品包装尽可能使用单一材质的包装材料，如因功能需求必需使用不同材质，不同材质间应便于分离；</w:t>
      </w:r>
    </w:p>
    <w:p w14:paraId="55E2E89B">
      <w:pPr>
        <w:spacing w:line="560" w:lineRule="exact"/>
        <w:ind w:firstLine="480"/>
        <w:rPr>
          <w:rFonts w:hint="eastAsia"/>
          <w:sz w:val="24"/>
          <w:szCs w:val="24"/>
          <w:highlight w:val="none"/>
        </w:rPr>
      </w:pPr>
      <w:r>
        <w:rPr>
          <w:rFonts w:hint="eastAsia"/>
          <w:sz w:val="24"/>
          <w:szCs w:val="24"/>
          <w:highlight w:val="none"/>
        </w:rPr>
        <w:t>（3）商品包装中铅、汞、镉、六价铬的总含量应不大于100mg/kg；</w:t>
      </w:r>
    </w:p>
    <w:p w14:paraId="1E952F12">
      <w:pPr>
        <w:spacing w:line="560" w:lineRule="exact"/>
        <w:ind w:firstLine="480"/>
        <w:rPr>
          <w:rFonts w:hint="eastAsia"/>
          <w:sz w:val="24"/>
          <w:szCs w:val="24"/>
          <w:highlight w:val="none"/>
        </w:rPr>
      </w:pPr>
      <w:r>
        <w:rPr>
          <w:rFonts w:hint="eastAsia"/>
          <w:sz w:val="24"/>
          <w:szCs w:val="24"/>
          <w:highlight w:val="none"/>
        </w:rPr>
        <w:t>（4）商品包装印刷使用的油墨中挥发性有机化合物(VOCs)含量应不大于 5%（以重量计）；</w:t>
      </w:r>
    </w:p>
    <w:p w14:paraId="6EBF0D8E">
      <w:pPr>
        <w:spacing w:line="560" w:lineRule="exact"/>
        <w:ind w:firstLine="480"/>
        <w:rPr>
          <w:rFonts w:hint="eastAsia"/>
          <w:sz w:val="24"/>
          <w:szCs w:val="24"/>
          <w:highlight w:val="none"/>
        </w:rPr>
      </w:pPr>
      <w:r>
        <w:rPr>
          <w:rFonts w:hint="eastAsia"/>
          <w:sz w:val="24"/>
          <w:szCs w:val="24"/>
          <w:highlight w:val="none"/>
        </w:rPr>
        <w:t>（5）塑料材质商品包装上呈现的印刷颜色不得超过6色；</w:t>
      </w:r>
    </w:p>
    <w:p w14:paraId="242B3421">
      <w:pPr>
        <w:spacing w:line="560" w:lineRule="exact"/>
        <w:ind w:firstLine="480"/>
        <w:rPr>
          <w:rFonts w:hint="eastAsia"/>
          <w:sz w:val="24"/>
          <w:szCs w:val="24"/>
          <w:highlight w:val="none"/>
        </w:rPr>
      </w:pPr>
      <w:r>
        <w:rPr>
          <w:rFonts w:hint="eastAsia"/>
          <w:sz w:val="24"/>
          <w:szCs w:val="24"/>
          <w:highlight w:val="none"/>
        </w:rPr>
        <w:t>（6）纸质商品包装应使用75%以上的可再生纤维原料生产；</w:t>
      </w:r>
    </w:p>
    <w:p w14:paraId="2A68019D">
      <w:pPr>
        <w:spacing w:line="560" w:lineRule="exact"/>
        <w:ind w:firstLine="480"/>
        <w:rPr>
          <w:rFonts w:hint="eastAsia"/>
          <w:sz w:val="24"/>
          <w:szCs w:val="24"/>
          <w:highlight w:val="none"/>
        </w:rPr>
      </w:pPr>
      <w:r>
        <w:rPr>
          <w:rFonts w:hint="eastAsia"/>
          <w:sz w:val="24"/>
          <w:szCs w:val="24"/>
          <w:highlight w:val="none"/>
        </w:rPr>
        <w:t>（7）木质商品包装的原料应来源于可持续性森林。</w:t>
      </w:r>
    </w:p>
    <w:p w14:paraId="6B4F9ACD">
      <w:pPr>
        <w:spacing w:line="560" w:lineRule="exact"/>
        <w:ind w:firstLine="480"/>
        <w:rPr>
          <w:rFonts w:hint="eastAsia"/>
          <w:sz w:val="24"/>
          <w:szCs w:val="24"/>
          <w:highlight w:val="none"/>
        </w:rPr>
      </w:pPr>
      <w:r>
        <w:rPr>
          <w:rFonts w:hint="eastAsia"/>
          <w:sz w:val="24"/>
          <w:szCs w:val="24"/>
          <w:highlight w:val="none"/>
        </w:rPr>
        <w:t>7.2.2快递包装环保要求：</w:t>
      </w:r>
    </w:p>
    <w:p w14:paraId="0634A265">
      <w:pPr>
        <w:spacing w:line="560" w:lineRule="exact"/>
        <w:ind w:firstLine="480"/>
        <w:rPr>
          <w:rFonts w:hint="eastAsia"/>
          <w:sz w:val="24"/>
          <w:szCs w:val="24"/>
          <w:highlight w:val="none"/>
        </w:rPr>
      </w:pPr>
      <w:r>
        <w:rPr>
          <w:rFonts w:hint="eastAsia"/>
          <w:sz w:val="24"/>
          <w:szCs w:val="24"/>
          <w:highlight w:val="none"/>
        </w:rPr>
        <w:t>（1）快递包装中重金属（铅、汞、镉、六价铬）总量应不大于 100mg/kg；</w:t>
      </w:r>
    </w:p>
    <w:p w14:paraId="6639735E">
      <w:pPr>
        <w:spacing w:line="560" w:lineRule="exact"/>
        <w:ind w:firstLine="480"/>
        <w:rPr>
          <w:rFonts w:hint="eastAsia"/>
          <w:sz w:val="24"/>
          <w:szCs w:val="24"/>
          <w:highlight w:val="none"/>
        </w:rPr>
      </w:pPr>
      <w:r>
        <w:rPr>
          <w:rFonts w:hint="eastAsia"/>
          <w:sz w:val="24"/>
          <w:szCs w:val="24"/>
          <w:highlight w:val="none"/>
        </w:rPr>
        <w:t>（2）快递包装印刷使用的油墨中不应添加邻苯二甲酸酯，其挥发性有机化合物(VOCs)含量应不大于5%（以重量计）；</w:t>
      </w:r>
    </w:p>
    <w:p w14:paraId="7B9B11FE">
      <w:pPr>
        <w:spacing w:line="560" w:lineRule="exact"/>
        <w:ind w:firstLine="480"/>
        <w:rPr>
          <w:rFonts w:hint="eastAsia"/>
          <w:sz w:val="24"/>
          <w:szCs w:val="24"/>
          <w:highlight w:val="none"/>
        </w:rPr>
      </w:pPr>
      <w:r>
        <w:rPr>
          <w:rFonts w:hint="eastAsia"/>
          <w:sz w:val="24"/>
          <w:szCs w:val="24"/>
          <w:highlight w:val="none"/>
        </w:rPr>
        <w:t>（3）快递包装中使用纸基材的包装材料，纸基材中的有机氯的含量应不大于 150 mg/kg；</w:t>
      </w:r>
    </w:p>
    <w:p w14:paraId="7C4E4FC4">
      <w:pPr>
        <w:spacing w:line="560" w:lineRule="exact"/>
        <w:ind w:firstLine="480"/>
        <w:rPr>
          <w:rFonts w:hint="eastAsia"/>
          <w:sz w:val="24"/>
          <w:szCs w:val="24"/>
          <w:highlight w:val="none"/>
        </w:rPr>
      </w:pPr>
      <w:r>
        <w:rPr>
          <w:rFonts w:hint="eastAsia"/>
          <w:sz w:val="24"/>
          <w:szCs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3B5C680C">
      <w:pPr>
        <w:spacing w:line="560" w:lineRule="exact"/>
        <w:ind w:firstLine="480"/>
        <w:rPr>
          <w:rFonts w:hint="eastAsia"/>
          <w:sz w:val="24"/>
          <w:szCs w:val="24"/>
          <w:highlight w:val="none"/>
        </w:rPr>
      </w:pPr>
      <w:r>
        <w:rPr>
          <w:rFonts w:hint="eastAsia"/>
          <w:sz w:val="24"/>
          <w:szCs w:val="24"/>
          <w:highlight w:val="none"/>
        </w:rPr>
        <w:t>（5）快递中使用的塑料包装袋不得使用聚氯乙烯作为原料，且原料应为单一材质制成，生物分解率大于60%；</w:t>
      </w:r>
    </w:p>
    <w:p w14:paraId="6797B844">
      <w:pPr>
        <w:spacing w:line="560" w:lineRule="exact"/>
        <w:ind w:firstLine="480"/>
        <w:rPr>
          <w:rFonts w:hint="eastAsia"/>
          <w:sz w:val="24"/>
          <w:szCs w:val="24"/>
          <w:highlight w:val="none"/>
        </w:rPr>
      </w:pPr>
      <w:r>
        <w:rPr>
          <w:rFonts w:hint="eastAsia"/>
          <w:sz w:val="24"/>
          <w:szCs w:val="24"/>
          <w:highlight w:val="none"/>
        </w:rPr>
        <w:t>（6）快递中使用的充气类填充物不得使用聚氯乙烯作为原料，且原料为单一材质制成，生物分解率大于60%；</w:t>
      </w:r>
    </w:p>
    <w:p w14:paraId="41482A9A">
      <w:pPr>
        <w:spacing w:line="560" w:lineRule="exact"/>
        <w:ind w:firstLine="480"/>
        <w:rPr>
          <w:rFonts w:hint="eastAsia"/>
          <w:sz w:val="24"/>
          <w:szCs w:val="24"/>
          <w:highlight w:val="none"/>
        </w:rPr>
      </w:pPr>
      <w:r>
        <w:rPr>
          <w:rFonts w:hint="eastAsia"/>
          <w:sz w:val="24"/>
          <w:szCs w:val="24"/>
          <w:highlight w:val="none"/>
        </w:rPr>
        <w:t>（7）快递中使用的集装袋应为单一材质制成，其重复使用次数应不小于 80 次；</w:t>
      </w:r>
    </w:p>
    <w:p w14:paraId="62C78805">
      <w:pPr>
        <w:spacing w:line="560" w:lineRule="exact"/>
        <w:ind w:firstLine="480"/>
        <w:rPr>
          <w:rFonts w:hint="eastAsia"/>
          <w:sz w:val="24"/>
          <w:szCs w:val="24"/>
          <w:highlight w:val="none"/>
        </w:rPr>
      </w:pPr>
      <w:r>
        <w:rPr>
          <w:rFonts w:hint="eastAsia"/>
          <w:sz w:val="24"/>
          <w:szCs w:val="24"/>
          <w:highlight w:val="none"/>
        </w:rPr>
        <w:t>（8）快递中应使用幅宽不大于45mm 的生物降解胶带；</w:t>
      </w:r>
    </w:p>
    <w:p w14:paraId="50FD0620">
      <w:pPr>
        <w:spacing w:line="560" w:lineRule="exact"/>
        <w:ind w:firstLine="480"/>
        <w:rPr>
          <w:rFonts w:hint="eastAsia"/>
          <w:sz w:val="24"/>
          <w:szCs w:val="24"/>
          <w:highlight w:val="none"/>
        </w:rPr>
      </w:pPr>
      <w:r>
        <w:rPr>
          <w:rFonts w:hint="eastAsia"/>
          <w:sz w:val="24"/>
          <w:szCs w:val="24"/>
          <w:highlight w:val="none"/>
        </w:rPr>
        <w:t>（9）快递包装中不得使用溶剂型胶粘剂；</w:t>
      </w:r>
    </w:p>
    <w:p w14:paraId="6610D78F">
      <w:pPr>
        <w:spacing w:line="560" w:lineRule="exact"/>
        <w:ind w:firstLine="480"/>
        <w:rPr>
          <w:rFonts w:hint="eastAsia"/>
          <w:sz w:val="24"/>
          <w:szCs w:val="24"/>
          <w:highlight w:val="none"/>
        </w:rPr>
      </w:pPr>
      <w:r>
        <w:rPr>
          <w:rFonts w:hint="eastAsia"/>
          <w:sz w:val="24"/>
          <w:szCs w:val="24"/>
          <w:highlight w:val="none"/>
        </w:rPr>
        <w:t>（11）快递应使用电子面单；</w:t>
      </w:r>
    </w:p>
    <w:p w14:paraId="466A059C">
      <w:pPr>
        <w:spacing w:line="560" w:lineRule="exact"/>
        <w:ind w:firstLine="480"/>
        <w:rPr>
          <w:rFonts w:hint="eastAsia"/>
          <w:sz w:val="24"/>
          <w:szCs w:val="24"/>
          <w:highlight w:val="none"/>
        </w:rPr>
      </w:pPr>
      <w:r>
        <w:rPr>
          <w:rFonts w:hint="eastAsia"/>
          <w:sz w:val="24"/>
          <w:szCs w:val="24"/>
          <w:highlight w:val="none"/>
        </w:rPr>
        <w:t>（12）直接使用商品包装作为快递包装的商品，其商品包装满足《商品包装政府采购需求标准（试行）》即可；</w:t>
      </w:r>
    </w:p>
    <w:p w14:paraId="0EA9BA6B">
      <w:pPr>
        <w:spacing w:line="560" w:lineRule="exact"/>
        <w:ind w:firstLine="480"/>
        <w:rPr>
          <w:rFonts w:hint="eastAsia"/>
          <w:sz w:val="24"/>
          <w:szCs w:val="24"/>
          <w:highlight w:val="none"/>
        </w:rPr>
      </w:pPr>
      <w:r>
        <w:rPr>
          <w:rFonts w:hint="eastAsia"/>
          <w:sz w:val="24"/>
          <w:szCs w:val="24"/>
          <w:highlight w:val="none"/>
        </w:rPr>
        <w:t>（13）快递包装产品质量和封装方式应符合相关国家或行业标准技术指标要求。</w:t>
      </w:r>
    </w:p>
    <w:p w14:paraId="4A7281D2">
      <w:pPr>
        <w:spacing w:line="560" w:lineRule="exact"/>
        <w:ind w:firstLine="480"/>
        <w:rPr>
          <w:rFonts w:hint="eastAsia"/>
          <w:sz w:val="24"/>
          <w:szCs w:val="24"/>
          <w:highlight w:val="none"/>
        </w:rPr>
      </w:pPr>
      <w:r>
        <w:rPr>
          <w:rFonts w:hint="eastAsia"/>
          <w:sz w:val="24"/>
          <w:szCs w:val="24"/>
          <w:highlight w:val="none"/>
        </w:rPr>
        <w:t>7.3绿色数据中心</w:t>
      </w:r>
    </w:p>
    <w:p w14:paraId="076C8B96">
      <w:pPr>
        <w:spacing w:line="560" w:lineRule="exact"/>
        <w:ind w:firstLine="480"/>
        <w:rPr>
          <w:rFonts w:hint="eastAsia"/>
          <w:sz w:val="24"/>
          <w:szCs w:val="24"/>
          <w:highlight w:val="none"/>
        </w:rPr>
      </w:pPr>
      <w:r>
        <w:rPr>
          <w:rFonts w:hint="eastAsia"/>
          <w:sz w:val="24"/>
          <w:szCs w:val="24"/>
          <w:highlight w:val="none"/>
        </w:rPr>
        <w:t>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p>
    <w:p w14:paraId="65C72845">
      <w:pPr>
        <w:spacing w:line="560" w:lineRule="exact"/>
        <w:ind w:firstLine="480"/>
        <w:rPr>
          <w:rFonts w:hint="eastAsia"/>
          <w:sz w:val="24"/>
          <w:szCs w:val="24"/>
          <w:highlight w:val="none"/>
        </w:rPr>
      </w:pPr>
      <w:r>
        <w:rPr>
          <w:rFonts w:hint="eastAsia"/>
          <w:sz w:val="24"/>
          <w:szCs w:val="24"/>
          <w:highlight w:val="none"/>
        </w:rPr>
        <w:t>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5010FD20">
      <w:pPr>
        <w:spacing w:line="560" w:lineRule="exact"/>
        <w:ind w:firstLine="480"/>
        <w:rPr>
          <w:rFonts w:hint="eastAsia"/>
          <w:sz w:val="24"/>
          <w:szCs w:val="24"/>
          <w:highlight w:val="none"/>
        </w:rPr>
      </w:pPr>
      <w:r>
        <w:rPr>
          <w:rFonts w:hint="eastAsia"/>
          <w:sz w:val="24"/>
          <w:szCs w:val="24"/>
          <w:highlight w:val="none"/>
        </w:rPr>
        <w:t>7.6绿色低碳管理目标和服务要求：在物业、合同能源管理等服务类采购项目需求中，要强化绿色低碳管理目标和服务要求，促进绿色产品和服务推广应用。</w:t>
      </w:r>
    </w:p>
    <w:p w14:paraId="32E4B3CA">
      <w:pPr>
        <w:spacing w:line="560" w:lineRule="exact"/>
        <w:ind w:firstLine="480"/>
        <w:rPr>
          <w:rFonts w:hint="eastAsia"/>
          <w:b/>
          <w:sz w:val="24"/>
          <w:szCs w:val="24"/>
          <w:highlight w:val="none"/>
        </w:rPr>
      </w:pPr>
      <w:bookmarkStart w:id="179" w:name="OLE_LINK2"/>
      <w:bookmarkStart w:id="180" w:name="OLE_LINK1"/>
      <w:r>
        <w:rPr>
          <w:rFonts w:hint="eastAsia"/>
          <w:b/>
          <w:sz w:val="24"/>
          <w:szCs w:val="24"/>
          <w:highlight w:val="none"/>
        </w:rPr>
        <w:t>8.（1）非单一产品采购项目，采购标的中的核心产品：</w:t>
      </w:r>
    </w:p>
    <w:p w14:paraId="5B444BDE">
      <w:pPr>
        <w:spacing w:line="560" w:lineRule="exact"/>
        <w:ind w:firstLine="787"/>
        <w:rPr>
          <w:rFonts w:hint="eastAsia"/>
          <w:sz w:val="24"/>
          <w:szCs w:val="24"/>
          <w:highlight w:val="none"/>
        </w:rPr>
      </w:pPr>
      <w:r>
        <w:rPr>
          <w:rFonts w:hint="eastAsia"/>
          <w:sz w:val="24"/>
          <w:szCs w:val="24"/>
          <w:highlight w:val="none"/>
        </w:rPr>
        <w:t>无</w:t>
      </w:r>
    </w:p>
    <w:p w14:paraId="36ACAD9C">
      <w:pPr>
        <w:spacing w:line="560" w:lineRule="exact"/>
        <w:ind w:firstLine="723" w:firstLineChars="300"/>
        <w:rPr>
          <w:rFonts w:hint="eastAsia"/>
          <w:b/>
          <w:sz w:val="24"/>
          <w:szCs w:val="24"/>
          <w:highlight w:val="none"/>
        </w:rPr>
      </w:pPr>
      <w:r>
        <w:rPr>
          <w:rFonts w:hint="eastAsia"/>
          <w:b/>
          <w:sz w:val="24"/>
          <w:szCs w:val="24"/>
          <w:highlight w:val="none"/>
        </w:rPr>
        <w:t>（2）本项目的主要标的：</w:t>
      </w:r>
    </w:p>
    <w:p w14:paraId="6B8639C9">
      <w:pPr>
        <w:spacing w:line="560" w:lineRule="exact"/>
        <w:ind w:firstLine="720"/>
        <w:rPr>
          <w:rFonts w:hint="eastAsia" w:ascii="Times New Roman" w:hAnsi="Times New Roman" w:eastAsia="宋体" w:cs="Times New Roman"/>
          <w:b w:val="0"/>
          <w:bCs/>
          <w:sz w:val="24"/>
          <w:szCs w:val="24"/>
          <w:highlight w:val="none"/>
        </w:rPr>
      </w:pPr>
      <w:r>
        <w:rPr>
          <w:rFonts w:hint="eastAsia" w:ascii="Times New Roman" w:hAnsi="Times New Roman" w:eastAsia="宋体" w:cs="Times New Roman"/>
          <w:b w:val="0"/>
          <w:bCs/>
          <w:sz w:val="24"/>
          <w:szCs w:val="24"/>
          <w:highlight w:val="none"/>
          <w:lang w:val="en-US" w:eastAsia="zh-CN"/>
        </w:rPr>
        <w:t>海安市人民医院</w:t>
      </w:r>
      <w:r>
        <w:rPr>
          <w:rFonts w:hint="eastAsia" w:ascii="Times New Roman" w:hAnsi="Times New Roman" w:eastAsia="宋体" w:cs="Times New Roman"/>
          <w:b w:val="0"/>
          <w:bCs/>
          <w:sz w:val="24"/>
          <w:szCs w:val="24"/>
          <w:highlight w:val="none"/>
        </w:rPr>
        <w:t>多基因外送检测服务</w:t>
      </w:r>
    </w:p>
    <w:bookmarkEnd w:id="179"/>
    <w:bookmarkEnd w:id="180"/>
    <w:p w14:paraId="50D0D148">
      <w:pPr>
        <w:spacing w:line="560" w:lineRule="exact"/>
        <w:ind w:firstLine="480"/>
        <w:rPr>
          <w:rFonts w:ascii="宋体" w:hAnsi="宋体"/>
          <w:b/>
          <w:bCs/>
          <w:sz w:val="24"/>
          <w:szCs w:val="24"/>
          <w:highlight w:val="none"/>
        </w:rPr>
      </w:pPr>
      <w:r>
        <w:rPr>
          <w:rFonts w:hint="eastAsia" w:ascii="宋体" w:hAnsi="宋体"/>
          <w:b/>
          <w:bCs/>
          <w:sz w:val="24"/>
          <w:szCs w:val="24"/>
          <w:highlight w:val="none"/>
        </w:rPr>
        <w:t>9.其他事项</w:t>
      </w:r>
    </w:p>
    <w:p w14:paraId="011BAB3D">
      <w:pPr>
        <w:spacing w:line="560" w:lineRule="exact"/>
        <w:ind w:firstLine="480"/>
        <w:rPr>
          <w:rFonts w:ascii="宋体" w:hAnsi="宋体"/>
          <w:bCs/>
          <w:sz w:val="24"/>
          <w:szCs w:val="24"/>
          <w:highlight w:val="none"/>
        </w:rPr>
      </w:pPr>
      <w:r>
        <w:rPr>
          <w:rFonts w:hint="eastAsia" w:ascii="宋体" w:hAnsi="宋体"/>
          <w:bCs/>
          <w:sz w:val="24"/>
          <w:szCs w:val="24"/>
          <w:highlight w:val="none"/>
        </w:rPr>
        <w:t>（1）潜在投标供应商</w:t>
      </w:r>
      <w:r>
        <w:rPr>
          <w:rFonts w:hint="eastAsia" w:ascii="宋体" w:hAnsi="宋体"/>
          <w:bCs/>
          <w:sz w:val="24"/>
          <w:szCs w:val="24"/>
          <w:highlight w:val="none"/>
          <w:lang w:val="en-US" w:eastAsia="zh-CN"/>
        </w:rPr>
        <w:t>如有需要请</w:t>
      </w:r>
      <w:r>
        <w:rPr>
          <w:rFonts w:hint="eastAsia" w:ascii="宋体" w:hAnsi="宋体"/>
          <w:bCs/>
          <w:sz w:val="24"/>
          <w:szCs w:val="24"/>
          <w:highlight w:val="none"/>
        </w:rPr>
        <w:t>自行</w:t>
      </w:r>
      <w:r>
        <w:rPr>
          <w:rFonts w:hint="eastAsia" w:ascii="宋体" w:hAnsi="宋体"/>
          <w:bCs/>
          <w:sz w:val="24"/>
          <w:szCs w:val="24"/>
          <w:highlight w:val="none"/>
          <w:lang w:val="en-US" w:eastAsia="zh-CN"/>
        </w:rPr>
        <w:t>联系采购人了解项目情况</w:t>
      </w:r>
      <w:r>
        <w:rPr>
          <w:rFonts w:hint="eastAsia" w:ascii="宋体" w:hAnsi="宋体"/>
          <w:bCs/>
          <w:sz w:val="24"/>
          <w:szCs w:val="24"/>
          <w:highlight w:val="none"/>
        </w:rPr>
        <w:t>，</w:t>
      </w:r>
      <w:r>
        <w:rPr>
          <w:rFonts w:hint="eastAsia" w:ascii="宋体" w:hAnsi="宋体"/>
          <w:bCs/>
          <w:sz w:val="24"/>
          <w:szCs w:val="24"/>
          <w:highlight w:val="none"/>
          <w:lang w:val="en-US" w:eastAsia="zh-CN"/>
        </w:rPr>
        <w:t>由于了解</w:t>
      </w:r>
      <w:r>
        <w:rPr>
          <w:rFonts w:hint="eastAsia" w:ascii="宋体" w:hAnsi="宋体"/>
          <w:bCs/>
          <w:sz w:val="24"/>
          <w:szCs w:val="24"/>
          <w:highlight w:val="none"/>
        </w:rPr>
        <w:t>不到位导致工作量不准确而影响投标报价或技术方案的，潜在供应商承担风险。</w:t>
      </w:r>
    </w:p>
    <w:p w14:paraId="7F13AEEC">
      <w:pPr>
        <w:spacing w:line="560" w:lineRule="exact"/>
        <w:ind w:firstLine="480"/>
        <w:rPr>
          <w:rFonts w:ascii="宋体" w:hAnsi="宋体"/>
          <w:bCs/>
          <w:sz w:val="24"/>
          <w:szCs w:val="24"/>
          <w:highlight w:val="none"/>
        </w:rPr>
      </w:pPr>
      <w:r>
        <w:rPr>
          <w:rFonts w:hint="eastAsia" w:ascii="宋体" w:hAnsi="宋体"/>
          <w:bCs/>
          <w:sz w:val="24"/>
          <w:szCs w:val="24"/>
          <w:highlight w:val="none"/>
        </w:rPr>
        <w:t>（2）因本项目各类型的服务要求、设备要求，中标供应商需根据采购人要求及时提供服务（包含特殊情况下的临时通知），如不能按时、按要求提供服务，采购人发现一次扣5000元，如果发现三次不能及时按要求提供服务，采购人有权考虑服务单位履约能力欠缺，追究其违约责任及由此造成的影响。本项目中标单位需根据采购人单位财务要求开具符合要求的有效发票进行付款，如不能按相关要求执行导致付款不及时，中标供应商自行承担后果。</w:t>
      </w:r>
    </w:p>
    <w:p w14:paraId="4D268A27">
      <w:pPr>
        <w:spacing w:line="560" w:lineRule="exact"/>
        <w:ind w:firstLine="480"/>
        <w:jc w:val="left"/>
        <w:rPr>
          <w:rFonts w:ascii="宋体" w:hAnsi="宋体" w:cs="宋体"/>
          <w:bCs/>
          <w:sz w:val="24"/>
          <w:szCs w:val="24"/>
          <w:highlight w:val="none"/>
        </w:rPr>
      </w:pPr>
      <w:r>
        <w:rPr>
          <w:rFonts w:hint="eastAsia" w:ascii="宋体" w:hAnsi="宋体"/>
          <w:bCs/>
          <w:sz w:val="24"/>
          <w:szCs w:val="24"/>
          <w:highlight w:val="none"/>
        </w:rPr>
        <w:t>（</w:t>
      </w:r>
      <w:r>
        <w:rPr>
          <w:rFonts w:hint="eastAsia" w:ascii="宋体" w:hAnsi="宋体"/>
          <w:bCs/>
          <w:sz w:val="24"/>
          <w:szCs w:val="24"/>
          <w:highlight w:val="none"/>
          <w:lang w:val="en-US" w:eastAsia="zh-CN"/>
        </w:rPr>
        <w:t>3</w:t>
      </w:r>
      <w:r>
        <w:rPr>
          <w:rFonts w:hint="eastAsia" w:ascii="宋体" w:hAnsi="宋体"/>
          <w:bCs/>
          <w:sz w:val="24"/>
          <w:szCs w:val="24"/>
          <w:highlight w:val="none"/>
        </w:rPr>
        <w:t>）</w:t>
      </w:r>
      <w:r>
        <w:rPr>
          <w:rFonts w:hint="eastAsia" w:ascii="宋体" w:hAnsi="宋体" w:cs="宋体"/>
          <w:bCs/>
          <w:sz w:val="24"/>
          <w:szCs w:val="24"/>
          <w:highlight w:val="none"/>
        </w:rPr>
        <w:t>本项目不允许转包、肢解分包。若有违约，采购方可以认为服务单位履约能力欠缺，可单方面直接解除合同。</w:t>
      </w:r>
    </w:p>
    <w:p w14:paraId="55BB8000">
      <w:pPr>
        <w:spacing w:line="560" w:lineRule="exact"/>
        <w:ind w:firstLine="480"/>
        <w:rPr>
          <w:rFonts w:ascii="宋体" w:hAnsi="宋体"/>
          <w:bCs/>
          <w:sz w:val="24"/>
          <w:szCs w:val="24"/>
          <w:highlight w:val="none"/>
        </w:rPr>
      </w:pP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4）</w:t>
      </w:r>
      <w:r>
        <w:rPr>
          <w:rFonts w:hint="eastAsia" w:ascii="宋体" w:hAnsi="宋体"/>
          <w:bCs/>
          <w:sz w:val="24"/>
          <w:szCs w:val="24"/>
          <w:highlight w:val="none"/>
        </w:rPr>
        <w:t>中标供应商退出机制</w:t>
      </w:r>
    </w:p>
    <w:p w14:paraId="441B4F64">
      <w:pPr>
        <w:spacing w:line="560" w:lineRule="exact"/>
        <w:ind w:firstLine="787" w:firstLineChars="328"/>
        <w:rPr>
          <w:rFonts w:hint="eastAsia" w:ascii="宋体" w:hAnsi="宋体"/>
          <w:bCs/>
          <w:sz w:val="24"/>
          <w:szCs w:val="24"/>
          <w:highlight w:val="none"/>
          <w:lang w:eastAsia="zh-CN"/>
        </w:rPr>
      </w:pPr>
      <w:r>
        <w:rPr>
          <w:rFonts w:hint="eastAsia" w:ascii="宋体" w:hAnsi="宋体"/>
          <w:bCs/>
          <w:sz w:val="24"/>
          <w:szCs w:val="24"/>
          <w:highlight w:val="none"/>
          <w:lang w:val="en-US" w:eastAsia="zh-CN"/>
        </w:rPr>
        <w:t>1.</w:t>
      </w:r>
      <w:r>
        <w:rPr>
          <w:rFonts w:hint="eastAsia" w:ascii="宋体" w:hAnsi="宋体"/>
          <w:bCs/>
          <w:sz w:val="24"/>
          <w:szCs w:val="24"/>
          <w:highlight w:val="none"/>
        </w:rPr>
        <w:t>退出情形</w:t>
      </w:r>
    </w:p>
    <w:p w14:paraId="7E76EA20">
      <w:pPr>
        <w:spacing w:line="560" w:lineRule="exact"/>
        <w:ind w:firstLine="787" w:firstLineChars="328"/>
        <w:rPr>
          <w:rFonts w:hint="eastAsia" w:ascii="宋体" w:hAnsi="宋体"/>
          <w:bCs/>
          <w:sz w:val="24"/>
          <w:szCs w:val="24"/>
          <w:highlight w:val="none"/>
        </w:rPr>
      </w:pPr>
      <w:r>
        <w:rPr>
          <w:rFonts w:hint="eastAsia" w:ascii="宋体" w:hAnsi="宋体"/>
          <w:bCs/>
          <w:sz w:val="24"/>
          <w:szCs w:val="24"/>
          <w:highlight w:val="none"/>
          <w:lang w:val="en-US" w:eastAsia="zh-CN"/>
        </w:rPr>
        <w:t>1.1</w:t>
      </w:r>
      <w:r>
        <w:rPr>
          <w:rFonts w:hint="eastAsia" w:ascii="宋体" w:hAnsi="宋体"/>
          <w:bCs/>
          <w:sz w:val="24"/>
          <w:szCs w:val="24"/>
          <w:highlight w:val="none"/>
        </w:rPr>
        <w:t>中标供应商不能在采购人要求时间内</w:t>
      </w:r>
      <w:r>
        <w:rPr>
          <w:rFonts w:hint="eastAsia" w:ascii="宋体" w:hAnsi="宋体"/>
          <w:bCs/>
          <w:sz w:val="24"/>
          <w:szCs w:val="24"/>
          <w:highlight w:val="none"/>
          <w:lang w:val="en-US" w:eastAsia="zh-CN"/>
        </w:rPr>
        <w:t>提供</w:t>
      </w:r>
      <w:r>
        <w:rPr>
          <w:rFonts w:hint="eastAsia" w:ascii="宋体" w:hAnsi="宋体"/>
          <w:bCs/>
          <w:sz w:val="24"/>
          <w:szCs w:val="24"/>
          <w:highlight w:val="none"/>
        </w:rPr>
        <w:t>投标文件中</w:t>
      </w:r>
      <w:r>
        <w:rPr>
          <w:rFonts w:hint="eastAsia" w:ascii="宋体" w:hAnsi="宋体"/>
          <w:bCs/>
          <w:sz w:val="24"/>
          <w:szCs w:val="24"/>
          <w:highlight w:val="none"/>
          <w:lang w:val="en-US" w:eastAsia="zh-CN"/>
        </w:rPr>
        <w:t>有关服务</w:t>
      </w:r>
      <w:r>
        <w:rPr>
          <w:rFonts w:hint="eastAsia" w:ascii="宋体" w:hAnsi="宋体"/>
          <w:bCs/>
          <w:sz w:val="24"/>
          <w:szCs w:val="24"/>
          <w:highlight w:val="none"/>
        </w:rPr>
        <w:t>，视同服务单位履约能力欠缺，采购方可单方面直接解除合同，追究中标供应商违约责任。追究其违约责任，由此产生的经济损失和法律责任均由中标供应商承担。</w:t>
      </w:r>
    </w:p>
    <w:p w14:paraId="50450011">
      <w:pPr>
        <w:spacing w:line="560" w:lineRule="exact"/>
        <w:ind w:firstLine="787" w:firstLineChars="328"/>
        <w:rPr>
          <w:rFonts w:ascii="宋体" w:hAnsi="宋体"/>
          <w:bCs/>
          <w:sz w:val="24"/>
          <w:szCs w:val="24"/>
          <w:highlight w:val="none"/>
        </w:rPr>
      </w:pPr>
      <w:r>
        <w:rPr>
          <w:rFonts w:hint="eastAsia" w:ascii="宋体" w:hAnsi="宋体"/>
          <w:bCs/>
          <w:sz w:val="24"/>
          <w:szCs w:val="24"/>
          <w:highlight w:val="none"/>
          <w:lang w:val="en-US" w:eastAsia="zh-CN"/>
        </w:rPr>
        <w:t>2.</w:t>
      </w:r>
      <w:r>
        <w:rPr>
          <w:rFonts w:hint="eastAsia" w:ascii="宋体" w:hAnsi="宋体"/>
          <w:bCs/>
          <w:sz w:val="24"/>
          <w:szCs w:val="24"/>
          <w:highlight w:val="none"/>
        </w:rPr>
        <w:t>合同期满</w:t>
      </w:r>
    </w:p>
    <w:p w14:paraId="0235CD33">
      <w:pPr>
        <w:spacing w:line="560" w:lineRule="exact"/>
        <w:ind w:firstLine="720"/>
        <w:rPr>
          <w:rFonts w:ascii="宋体" w:hAnsi="宋体"/>
          <w:bCs/>
          <w:sz w:val="24"/>
          <w:szCs w:val="24"/>
          <w:highlight w:val="none"/>
        </w:rPr>
      </w:pPr>
      <w:r>
        <w:rPr>
          <w:rFonts w:hint="eastAsia" w:ascii="宋体" w:hAnsi="宋体"/>
          <w:bCs/>
          <w:sz w:val="24"/>
          <w:szCs w:val="24"/>
          <w:highlight w:val="none"/>
          <w:lang w:val="en-US" w:eastAsia="zh-CN"/>
        </w:rPr>
        <w:t>2.1</w:t>
      </w:r>
      <w:r>
        <w:rPr>
          <w:rFonts w:hint="eastAsia" w:ascii="宋体" w:hAnsi="宋体"/>
          <w:bCs/>
          <w:sz w:val="24"/>
          <w:szCs w:val="24"/>
          <w:highlight w:val="none"/>
        </w:rPr>
        <w:t>合同期内，中标供应商违反招标文件条款，包括转包、肢解分包、拒不执行特殊环卫任务安排的，采购方可以认为服务单位履约能力欠缺，追究其违约责任，由此产生的经济损失和法律责任均由中标供应商承担。</w:t>
      </w:r>
    </w:p>
    <w:p w14:paraId="3929ABE8">
      <w:pPr>
        <w:spacing w:line="560" w:lineRule="exact"/>
        <w:ind w:firstLine="720"/>
        <w:rPr>
          <w:rFonts w:ascii="宋体" w:hAnsi="宋体"/>
          <w:bCs/>
          <w:sz w:val="24"/>
          <w:szCs w:val="24"/>
          <w:highlight w:val="none"/>
        </w:rPr>
      </w:pPr>
      <w:r>
        <w:rPr>
          <w:rFonts w:hint="eastAsia" w:ascii="宋体" w:hAnsi="宋体"/>
          <w:bCs/>
          <w:sz w:val="24"/>
          <w:szCs w:val="24"/>
          <w:highlight w:val="none"/>
          <w:lang w:val="en-US" w:eastAsia="zh-CN"/>
        </w:rPr>
        <w:t>2.2</w:t>
      </w:r>
      <w:r>
        <w:rPr>
          <w:rFonts w:hint="eastAsia" w:ascii="宋体" w:hAnsi="宋体"/>
          <w:bCs/>
          <w:sz w:val="24"/>
          <w:szCs w:val="24"/>
          <w:highlight w:val="none"/>
        </w:rPr>
        <w:t>合同期内，中标供应商违反</w:t>
      </w:r>
      <w:r>
        <w:rPr>
          <w:rFonts w:hint="eastAsia" w:ascii="宋体" w:hAnsi="宋体"/>
          <w:bCs/>
          <w:sz w:val="24"/>
          <w:szCs w:val="24"/>
          <w:highlight w:val="none"/>
          <w:lang w:val="en-US" w:eastAsia="zh-CN"/>
        </w:rPr>
        <w:t>有关</w:t>
      </w:r>
      <w:r>
        <w:rPr>
          <w:rFonts w:hint="eastAsia" w:ascii="宋体" w:hAnsi="宋体"/>
          <w:bCs/>
          <w:sz w:val="24"/>
          <w:szCs w:val="24"/>
          <w:highlight w:val="none"/>
        </w:rPr>
        <w:t>法律法规、规章或其他规范性文件规定，造成国家和集体损失或发生群体性事件的，采购方可以认为服务单位履约能力欠缺，追究其违约责任，由此产生的经济损失和法律责任均由中标供应商承担。</w:t>
      </w:r>
    </w:p>
    <w:p w14:paraId="68BA5B62">
      <w:pPr>
        <w:spacing w:line="560" w:lineRule="exact"/>
        <w:ind w:firstLine="480"/>
        <w:rPr>
          <w:rFonts w:hint="eastAsia" w:ascii="宋体" w:hAnsi="宋体"/>
          <w:b/>
          <w:sz w:val="24"/>
          <w:szCs w:val="24"/>
          <w:highlight w:val="none"/>
        </w:rPr>
      </w:pPr>
      <w:r>
        <w:rPr>
          <w:rFonts w:hint="eastAsia" w:ascii="宋体" w:hAnsi="宋体"/>
          <w:b/>
          <w:sz w:val="24"/>
          <w:szCs w:val="24"/>
          <w:highlight w:val="none"/>
        </w:rPr>
        <w:t>10.付款方式</w:t>
      </w:r>
    </w:p>
    <w:p w14:paraId="45FEB611">
      <w:pPr>
        <w:widowControl/>
        <w:spacing w:line="360" w:lineRule="auto"/>
        <w:ind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按下列程序在</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u w:val="single"/>
          <w:lang w:bidi="ar"/>
        </w:rPr>
        <w:t>每季度</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bidi="ar"/>
        </w:rPr>
        <w:t>内付款:</w:t>
      </w:r>
    </w:p>
    <w:p w14:paraId="7A2CAA54">
      <w:pPr>
        <w:widowControl/>
        <w:spacing w:line="360" w:lineRule="auto"/>
        <w:ind w:firstLine="480"/>
        <w:jc w:val="left"/>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1、</w:t>
      </w:r>
      <w:r>
        <w:rPr>
          <w:rFonts w:hint="eastAsia" w:ascii="宋体" w:hAnsi="宋体" w:eastAsia="宋体" w:cs="宋体"/>
          <w:color w:val="000000"/>
          <w:sz w:val="24"/>
          <w:szCs w:val="24"/>
          <w:highlight w:val="none"/>
          <w:lang w:val="en-US" w:eastAsia="zh-CN" w:bidi="ar"/>
        </w:rPr>
        <w:t>检测费用按季度结算，业务量的结算以上季度外送标本登记的签收记录为准。</w:t>
      </w:r>
    </w:p>
    <w:p w14:paraId="4744285C">
      <w:pPr>
        <w:widowControl/>
        <w:spacing w:line="360" w:lineRule="auto"/>
        <w:ind w:firstLine="480"/>
        <w:jc w:val="left"/>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2、</w:t>
      </w:r>
      <w:r>
        <w:rPr>
          <w:rFonts w:hint="eastAsia" w:ascii="宋体" w:hAnsi="宋体" w:eastAsia="宋体" w:cs="宋体"/>
          <w:color w:val="000000"/>
          <w:sz w:val="24"/>
          <w:szCs w:val="24"/>
          <w:highlight w:val="none"/>
          <w:lang w:val="en-US" w:eastAsia="zh-CN" w:bidi="ar"/>
        </w:rPr>
        <w:t>每季度第一个月的10号前就上季度的检测项目进行结算。</w:t>
      </w:r>
    </w:p>
    <w:p w14:paraId="77B1B284">
      <w:pPr>
        <w:widowControl/>
        <w:spacing w:line="360" w:lineRule="auto"/>
        <w:ind w:firstLine="480"/>
        <w:jc w:val="left"/>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3、</w:t>
      </w:r>
      <w:r>
        <w:rPr>
          <w:rFonts w:hint="eastAsia" w:ascii="宋体" w:hAnsi="宋体" w:eastAsia="宋体" w:cs="宋体"/>
          <w:color w:val="000000"/>
          <w:sz w:val="24"/>
          <w:szCs w:val="24"/>
          <w:highlight w:val="none"/>
          <w:lang w:val="en-US" w:eastAsia="zh-CN" w:bidi="ar"/>
        </w:rPr>
        <w:t>经双方项目负责人确认检测数量无异。</w:t>
      </w:r>
    </w:p>
    <w:p w14:paraId="020D7620">
      <w:pPr>
        <w:widowControl/>
        <w:spacing w:line="360" w:lineRule="auto"/>
        <w:ind w:firstLine="480"/>
        <w:jc w:val="left"/>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4、</w:t>
      </w:r>
      <w:r>
        <w:rPr>
          <w:rFonts w:hint="eastAsia" w:ascii="宋体" w:hAnsi="宋体" w:eastAsia="宋体" w:cs="宋体"/>
          <w:color w:val="000000"/>
          <w:sz w:val="24"/>
          <w:szCs w:val="24"/>
          <w:highlight w:val="none"/>
          <w:lang w:val="en-US" w:eastAsia="zh-CN" w:bidi="ar"/>
        </w:rPr>
        <w:t>外送检测服务费为：双方确认的上季度标本外送检测数量*结算单价。</w:t>
      </w:r>
    </w:p>
    <w:p w14:paraId="176B441F">
      <w:pPr>
        <w:widowControl/>
        <w:spacing w:line="360" w:lineRule="auto"/>
        <w:ind w:left="0" w:firstLine="840"/>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结算规则：结算单价=标准收费*（1-成交优惠率）。</w:t>
      </w:r>
    </w:p>
    <w:p w14:paraId="6CDEC4F6">
      <w:pPr>
        <w:widowControl/>
        <w:spacing w:line="360" w:lineRule="auto"/>
        <w:ind w:firstLine="480"/>
        <w:jc w:val="left"/>
        <w:rPr>
          <w:rFonts w:hint="eastAsia"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5、</w:t>
      </w:r>
      <w:r>
        <w:rPr>
          <w:rFonts w:hint="eastAsia" w:ascii="宋体" w:hAnsi="宋体" w:eastAsia="宋体" w:cs="宋体"/>
          <w:color w:val="000000"/>
          <w:sz w:val="24"/>
          <w:szCs w:val="24"/>
          <w:highlight w:val="none"/>
          <w:lang w:val="en-US" w:eastAsia="zh-CN" w:bidi="ar"/>
        </w:rPr>
        <w:t>医院收到中标人经双方确认的检测费全额发票后，30天内支付上季度的外送检测服务费。</w:t>
      </w:r>
    </w:p>
    <w:p w14:paraId="35678EB2">
      <w:pPr>
        <w:spacing w:line="560" w:lineRule="exact"/>
        <w:ind w:firstLine="480"/>
        <w:rPr>
          <w:rFonts w:hint="eastAsia" w:ascii="宋体" w:hAnsi="宋体"/>
          <w:b/>
          <w:sz w:val="24"/>
          <w:szCs w:val="24"/>
          <w:highlight w:val="none"/>
        </w:rPr>
      </w:pPr>
      <w:r>
        <w:rPr>
          <w:rFonts w:hint="eastAsia" w:ascii="宋体" w:hAnsi="宋体"/>
          <w:b/>
          <w:sz w:val="24"/>
          <w:szCs w:val="24"/>
          <w:highlight w:val="none"/>
        </w:rPr>
        <w:t>11.履约保证金：</w:t>
      </w:r>
    </w:p>
    <w:p w14:paraId="4D10776F">
      <w:pPr>
        <w:spacing w:line="560" w:lineRule="exact"/>
        <w:ind w:firstLine="480"/>
        <w:rPr>
          <w:rFonts w:hint="eastAsia" w:ascii="宋体" w:hAnsi="宋体"/>
          <w:sz w:val="24"/>
          <w:szCs w:val="24"/>
          <w:highlight w:val="none"/>
        </w:rPr>
      </w:pPr>
      <w:r>
        <w:rPr>
          <w:rFonts w:hint="eastAsia" w:ascii="宋体" w:hAnsi="宋体"/>
          <w:sz w:val="24"/>
          <w:szCs w:val="24"/>
          <w:highlight w:val="none"/>
        </w:rPr>
        <w:t>11.1本项目免收履约保证金。</w:t>
      </w:r>
    </w:p>
    <w:p w14:paraId="2430D975">
      <w:pPr>
        <w:spacing w:line="560" w:lineRule="exact"/>
        <w:ind w:firstLine="480"/>
        <w:rPr>
          <w:rFonts w:hint="eastAsia" w:ascii="宋体" w:hAnsi="宋体"/>
          <w:sz w:val="24"/>
          <w:szCs w:val="24"/>
          <w:highlight w:val="none"/>
        </w:rPr>
      </w:pPr>
      <w:r>
        <w:rPr>
          <w:rFonts w:hint="eastAsia" w:ascii="宋体" w:hAnsi="宋体"/>
          <w:sz w:val="24"/>
          <w:szCs w:val="24"/>
          <w:highlight w:val="none"/>
        </w:rPr>
        <w:t xml:space="preserve">11.2成交供应商全部履约合同义务，经采购单位验收合格无质量、进度等问题的，采购人在验收合格后一次性退还履约保证金，采购人若逾期退还履约保证金的，按照逾期部分的每日0.05%支付违约金；    </w:t>
      </w:r>
    </w:p>
    <w:p w14:paraId="7C1E421D">
      <w:pPr>
        <w:spacing w:line="560" w:lineRule="exact"/>
        <w:ind w:firstLine="480"/>
        <w:rPr>
          <w:rFonts w:hint="eastAsia" w:ascii="宋体" w:hAnsi="宋体"/>
          <w:sz w:val="24"/>
          <w:szCs w:val="24"/>
          <w:highlight w:val="none"/>
        </w:rPr>
      </w:pPr>
      <w:r>
        <w:rPr>
          <w:rFonts w:hint="eastAsia" w:ascii="宋体" w:hAnsi="宋体"/>
          <w:sz w:val="24"/>
          <w:szCs w:val="24"/>
          <w:highlight w:val="none"/>
        </w:rPr>
        <w:t>11.3发生以下情况的，履约保证金不予退还或部分退还：</w:t>
      </w:r>
    </w:p>
    <w:p w14:paraId="10C8AF6A">
      <w:pPr>
        <w:spacing w:line="560" w:lineRule="exact"/>
        <w:ind w:firstLine="480"/>
        <w:rPr>
          <w:rFonts w:hint="eastAsia" w:ascii="宋体" w:hAnsi="宋体"/>
          <w:sz w:val="24"/>
          <w:szCs w:val="24"/>
          <w:highlight w:val="none"/>
        </w:rPr>
      </w:pPr>
      <w:r>
        <w:rPr>
          <w:rFonts w:hint="eastAsia" w:ascii="宋体" w:hAnsi="宋体"/>
          <w:sz w:val="24"/>
          <w:szCs w:val="24"/>
          <w:highlight w:val="none"/>
        </w:rPr>
        <w:t>a.签订合同后，成交供应商不履行合同义务的，采购单位有权全额扣除履约保证金，全额不予退还，同时采购单位亦有权终止合同，成交供应商还须承担相应的法律赔偿责任。</w:t>
      </w:r>
    </w:p>
    <w:p w14:paraId="7143EF07">
      <w:pPr>
        <w:spacing w:line="560" w:lineRule="exact"/>
        <w:ind w:firstLine="480"/>
        <w:rPr>
          <w:rFonts w:hint="eastAsia" w:ascii="宋体" w:hAnsi="宋体"/>
          <w:sz w:val="24"/>
          <w:szCs w:val="24"/>
          <w:highlight w:val="none"/>
        </w:rPr>
      </w:pPr>
      <w:r>
        <w:rPr>
          <w:rFonts w:hint="eastAsia" w:ascii="宋体" w:hAnsi="宋体"/>
          <w:sz w:val="24"/>
          <w:szCs w:val="24"/>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3B56BB2B">
      <w:pPr>
        <w:pStyle w:val="261"/>
        <w:rPr>
          <w:rFonts w:hint="eastAsia" w:ascii="黑体" w:eastAsia="黑体"/>
          <w:bCs/>
          <w:sz w:val="44"/>
          <w:szCs w:val="28"/>
          <w:highlight w:val="none"/>
        </w:rPr>
      </w:pPr>
      <w:bookmarkStart w:id="181" w:name="_Toc120614281"/>
    </w:p>
    <w:p w14:paraId="47FAD9CD">
      <w:pPr>
        <w:pStyle w:val="261"/>
        <w:ind w:left="0" w:leftChars="0" w:firstLine="0" w:firstLineChars="0"/>
        <w:rPr>
          <w:rFonts w:hint="eastAsia" w:ascii="黑体" w:eastAsia="黑体"/>
          <w:bCs/>
          <w:sz w:val="44"/>
          <w:szCs w:val="28"/>
          <w:highlight w:val="none"/>
        </w:rPr>
      </w:pPr>
    </w:p>
    <w:p w14:paraId="137CC324">
      <w:pPr>
        <w:keepNext/>
        <w:spacing w:line="560" w:lineRule="exact"/>
        <w:ind w:firstLine="880"/>
        <w:jc w:val="center"/>
        <w:outlineLvl w:val="0"/>
        <w:rPr>
          <w:rFonts w:hint="eastAsia" w:ascii="黑体" w:eastAsia="黑体"/>
          <w:b/>
          <w:bCs/>
          <w:sz w:val="44"/>
          <w:szCs w:val="28"/>
          <w:highlight w:val="none"/>
        </w:rPr>
      </w:pPr>
      <w:r>
        <w:rPr>
          <w:rFonts w:hint="eastAsia" w:ascii="黑体" w:eastAsia="黑体"/>
          <w:bCs/>
          <w:sz w:val="44"/>
          <w:szCs w:val="28"/>
          <w:highlight w:val="none"/>
        </w:rPr>
        <w:t xml:space="preserve">第四章  </w:t>
      </w:r>
      <w:r>
        <w:rPr>
          <w:rFonts w:hint="eastAsia" w:ascii="黑体" w:eastAsia="黑体"/>
          <w:b/>
          <w:bCs/>
          <w:sz w:val="44"/>
          <w:szCs w:val="28"/>
          <w:highlight w:val="none"/>
        </w:rPr>
        <w:t>评审方法与评审标准</w:t>
      </w:r>
    </w:p>
    <w:p w14:paraId="0969647B">
      <w:pPr>
        <w:spacing w:line="560" w:lineRule="exact"/>
        <w:ind w:firstLine="480"/>
        <w:rPr>
          <w:rFonts w:hint="eastAsia" w:ascii="宋体" w:hAnsi="宋体"/>
          <w:sz w:val="24"/>
          <w:szCs w:val="24"/>
          <w:highlight w:val="none"/>
        </w:rPr>
      </w:pPr>
      <w:r>
        <w:rPr>
          <w:rFonts w:hint="eastAsia" w:ascii="宋体" w:hAnsi="宋体"/>
          <w:sz w:val="24"/>
          <w:szCs w:val="24"/>
          <w:highlight w:val="none"/>
        </w:rPr>
        <w:t>评委在认真审阅响应文件的基础上，根据各响应文件的响应程度独立评判，不得统一打分。</w:t>
      </w:r>
    </w:p>
    <w:p w14:paraId="260F8151">
      <w:pPr>
        <w:spacing w:line="560" w:lineRule="exact"/>
        <w:ind w:firstLine="480"/>
        <w:rPr>
          <w:rFonts w:hint="eastAsia" w:ascii="宋体" w:hAnsi="宋体"/>
          <w:b/>
          <w:sz w:val="24"/>
          <w:szCs w:val="24"/>
          <w:highlight w:val="none"/>
        </w:rPr>
      </w:pPr>
      <w:r>
        <w:rPr>
          <w:rFonts w:hint="eastAsia" w:ascii="宋体" w:hAnsi="宋体"/>
          <w:b/>
          <w:sz w:val="24"/>
          <w:szCs w:val="24"/>
          <w:highlight w:val="none"/>
        </w:rPr>
        <w:t>（一）采购人（代表）对供应商资格进行审查。</w:t>
      </w:r>
    </w:p>
    <w:p w14:paraId="572B7D49">
      <w:pPr>
        <w:spacing w:line="560" w:lineRule="exact"/>
        <w:ind w:firstLine="480"/>
        <w:rPr>
          <w:rFonts w:hint="eastAsia" w:ascii="宋体" w:hAnsi="宋体"/>
          <w:sz w:val="24"/>
          <w:szCs w:val="24"/>
          <w:highlight w:val="none"/>
        </w:rPr>
      </w:pPr>
      <w:r>
        <w:rPr>
          <w:rFonts w:hint="eastAsia" w:ascii="宋体" w:hAnsi="宋体"/>
          <w:sz w:val="24"/>
          <w:szCs w:val="24"/>
          <w:highlight w:val="none"/>
        </w:rPr>
        <w:t>供应商资格不合格的，其响应文件判定为无效响应文件。</w:t>
      </w:r>
    </w:p>
    <w:p w14:paraId="18E3EFAA">
      <w:pPr>
        <w:spacing w:line="560" w:lineRule="exact"/>
        <w:ind w:firstLine="480"/>
        <w:rPr>
          <w:rFonts w:hint="eastAsia" w:ascii="宋体" w:hAnsi="宋体"/>
          <w:b/>
          <w:sz w:val="24"/>
          <w:szCs w:val="24"/>
          <w:highlight w:val="none"/>
        </w:rPr>
      </w:pPr>
      <w:r>
        <w:rPr>
          <w:rFonts w:hint="eastAsia" w:ascii="宋体" w:hAnsi="宋体"/>
          <w:b/>
          <w:sz w:val="24"/>
          <w:szCs w:val="24"/>
          <w:highlight w:val="none"/>
        </w:rPr>
        <w:t>（二）磋商小组对符合资格供应商的响应文件进行符合性审查。</w:t>
      </w:r>
    </w:p>
    <w:p w14:paraId="6BB79F2B">
      <w:pPr>
        <w:spacing w:line="560" w:lineRule="exact"/>
        <w:ind w:firstLine="480"/>
        <w:rPr>
          <w:rFonts w:hint="eastAsia" w:ascii="宋体" w:hAnsi="宋体"/>
          <w:sz w:val="24"/>
          <w:szCs w:val="24"/>
          <w:highlight w:val="none"/>
        </w:rPr>
      </w:pPr>
      <w:r>
        <w:rPr>
          <w:rFonts w:hint="eastAsia" w:ascii="宋体" w:hAnsi="宋体"/>
          <w:sz w:val="24"/>
          <w:szCs w:val="24"/>
          <w:highlight w:val="none"/>
        </w:rPr>
        <w:t xml:space="preserve">未通过符合性审查的响应文件，将被判为不满足磋商文件实质性要求。 </w:t>
      </w:r>
    </w:p>
    <w:p w14:paraId="1E521D8B">
      <w:pPr>
        <w:spacing w:line="560" w:lineRule="exact"/>
        <w:ind w:firstLine="480"/>
        <w:rPr>
          <w:rFonts w:hint="eastAsia" w:ascii="宋体" w:hAnsi="宋体"/>
          <w:b/>
          <w:sz w:val="24"/>
          <w:szCs w:val="24"/>
          <w:highlight w:val="none"/>
        </w:rPr>
      </w:pPr>
      <w:r>
        <w:rPr>
          <w:rFonts w:hint="eastAsia" w:ascii="宋体" w:hAnsi="宋体"/>
          <w:b/>
          <w:sz w:val="24"/>
          <w:szCs w:val="24"/>
          <w:highlight w:val="none"/>
        </w:rPr>
        <w:t>（三）商务技术分：</w:t>
      </w:r>
      <w:r>
        <w:rPr>
          <w:rFonts w:hint="eastAsia" w:ascii="宋体" w:hAnsi="宋体"/>
          <w:b/>
          <w:sz w:val="24"/>
          <w:szCs w:val="24"/>
          <w:highlight w:val="none"/>
          <w:lang w:val="en-US" w:eastAsia="zh-CN"/>
        </w:rPr>
        <w:t>80</w:t>
      </w:r>
      <w:r>
        <w:rPr>
          <w:rFonts w:hint="eastAsia" w:ascii="宋体" w:hAnsi="宋体"/>
          <w:b/>
          <w:sz w:val="24"/>
          <w:szCs w:val="24"/>
          <w:highlight w:val="none"/>
        </w:rPr>
        <w:t>分</w:t>
      </w:r>
    </w:p>
    <w:p w14:paraId="49B9E087">
      <w:pPr>
        <w:spacing w:line="560" w:lineRule="exact"/>
        <w:ind w:firstLine="480"/>
        <w:rPr>
          <w:rFonts w:hint="eastAsia" w:ascii="宋体" w:hAnsi="宋体"/>
          <w:sz w:val="24"/>
          <w:szCs w:val="24"/>
          <w:highlight w:val="none"/>
        </w:rPr>
      </w:pPr>
      <w:r>
        <w:rPr>
          <w:rFonts w:hint="eastAsia" w:ascii="宋体" w:hAnsi="宋体"/>
          <w:sz w:val="24"/>
          <w:szCs w:val="24"/>
          <w:highlight w:val="none"/>
        </w:rPr>
        <w:t>各供应商得分为磋商小组成员评分的算术平均分，分值保留小数点后两位。</w:t>
      </w:r>
    </w:p>
    <w:tbl>
      <w:tblPr>
        <w:tblStyle w:val="29"/>
        <w:tblW w:w="9371" w:type="dxa"/>
        <w:jc w:val="center"/>
        <w:tblLayout w:type="autofit"/>
        <w:tblCellMar>
          <w:top w:w="0" w:type="dxa"/>
          <w:left w:w="108" w:type="dxa"/>
          <w:bottom w:w="0" w:type="dxa"/>
          <w:right w:w="108" w:type="dxa"/>
        </w:tblCellMar>
      </w:tblPr>
      <w:tblGrid>
        <w:gridCol w:w="581"/>
        <w:gridCol w:w="1200"/>
        <w:gridCol w:w="651"/>
        <w:gridCol w:w="6939"/>
      </w:tblGrid>
      <w:tr w14:paraId="0F79A543">
        <w:tblPrEx>
          <w:tblCellMar>
            <w:top w:w="0" w:type="dxa"/>
            <w:left w:w="108" w:type="dxa"/>
            <w:bottom w:w="0" w:type="dxa"/>
            <w:right w:w="108" w:type="dxa"/>
          </w:tblCellMar>
        </w:tblPrEx>
        <w:trPr>
          <w:trHeight w:val="402" w:hRule="atLeast"/>
          <w:jc w:val="center"/>
        </w:trPr>
        <w:tc>
          <w:tcPr>
            <w:tcW w:w="581" w:type="dxa"/>
            <w:tcBorders>
              <w:top w:val="single" w:color="000000" w:sz="4" w:space="0"/>
              <w:left w:val="single" w:color="000000" w:sz="4" w:space="0"/>
              <w:bottom w:val="single" w:color="000000" w:sz="4" w:space="0"/>
              <w:right w:val="single" w:color="000000" w:sz="4" w:space="0"/>
            </w:tcBorders>
            <w:noWrap w:val="0"/>
            <w:vAlign w:val="center"/>
          </w:tcPr>
          <w:p w14:paraId="072B0C5C">
            <w:pPr>
              <w:widowControl/>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序号</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34270E24">
            <w:pPr>
              <w:widowControl/>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评分内容</w:t>
            </w:r>
          </w:p>
        </w:tc>
        <w:tc>
          <w:tcPr>
            <w:tcW w:w="651" w:type="dxa"/>
            <w:tcBorders>
              <w:top w:val="single" w:color="000000" w:sz="4" w:space="0"/>
              <w:left w:val="single" w:color="000000" w:sz="4" w:space="0"/>
              <w:bottom w:val="single" w:color="000000" w:sz="4" w:space="0"/>
              <w:right w:val="single" w:color="000000" w:sz="4" w:space="0"/>
            </w:tcBorders>
            <w:noWrap w:val="0"/>
            <w:vAlign w:val="center"/>
          </w:tcPr>
          <w:p w14:paraId="1BF29031">
            <w:pPr>
              <w:jc w:val="center"/>
              <w:rPr>
                <w:rFonts w:ascii="宋体" w:hAnsi="宋体" w:cs="宋体"/>
                <w:b/>
                <w:bCs/>
                <w:color w:val="000000"/>
                <w:szCs w:val="21"/>
                <w:highlight w:val="none"/>
              </w:rPr>
            </w:pPr>
            <w:r>
              <w:rPr>
                <w:rFonts w:hint="eastAsia" w:ascii="宋体" w:hAnsi="宋体" w:cs="宋体"/>
                <w:b/>
                <w:bCs/>
                <w:color w:val="000000"/>
                <w:szCs w:val="21"/>
                <w:highlight w:val="none"/>
              </w:rPr>
              <w:t>分数</w:t>
            </w: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6DE61307">
            <w:pPr>
              <w:widowControl/>
              <w:jc w:val="center"/>
              <w:rPr>
                <w:rFonts w:ascii="宋体" w:hAnsi="宋体" w:cs="宋体"/>
                <w:b/>
                <w:bCs/>
                <w:color w:val="000000"/>
                <w:szCs w:val="21"/>
                <w:highlight w:val="none"/>
              </w:rPr>
            </w:pPr>
            <w:r>
              <w:rPr>
                <w:rFonts w:hint="eastAsia" w:ascii="宋体" w:hAnsi="宋体" w:cs="宋体"/>
                <w:b/>
                <w:bCs/>
                <w:color w:val="000000"/>
                <w:szCs w:val="21"/>
                <w:highlight w:val="none"/>
                <w:lang w:bidi="ar"/>
              </w:rPr>
              <w:t>评分标准</w:t>
            </w:r>
          </w:p>
        </w:tc>
      </w:tr>
      <w:tr w14:paraId="3D4A5CD6">
        <w:tblPrEx>
          <w:tblCellMar>
            <w:top w:w="0" w:type="dxa"/>
            <w:left w:w="108" w:type="dxa"/>
            <w:bottom w:w="0" w:type="dxa"/>
            <w:right w:w="108" w:type="dxa"/>
          </w:tblCellMar>
        </w:tblPrEx>
        <w:trPr>
          <w:trHeight w:val="90" w:hRule="atLeast"/>
          <w:jc w:val="center"/>
        </w:trPr>
        <w:tc>
          <w:tcPr>
            <w:tcW w:w="581" w:type="dxa"/>
            <w:tcBorders>
              <w:top w:val="single" w:color="000000" w:sz="4" w:space="0"/>
              <w:left w:val="single" w:color="000000" w:sz="4" w:space="0"/>
              <w:bottom w:val="single" w:color="auto" w:sz="4" w:space="0"/>
              <w:right w:val="single" w:color="000000" w:sz="4" w:space="0"/>
            </w:tcBorders>
            <w:noWrap w:val="0"/>
            <w:vAlign w:val="center"/>
          </w:tcPr>
          <w:p w14:paraId="229C09CB">
            <w:pPr>
              <w:widowControl/>
              <w:jc w:val="center"/>
              <w:rPr>
                <w:rFonts w:ascii="宋体" w:hAnsi="宋体" w:cs="宋体"/>
                <w:color w:val="000000"/>
                <w:szCs w:val="21"/>
                <w:highlight w:val="none"/>
              </w:rPr>
            </w:pPr>
            <w:r>
              <w:rPr>
                <w:rFonts w:hint="eastAsia" w:ascii="宋体" w:hAnsi="宋体" w:cs="宋体"/>
                <w:color w:val="000000"/>
                <w:szCs w:val="21"/>
                <w:highlight w:val="none"/>
                <w:lang w:bidi="ar"/>
              </w:rPr>
              <w:t>1</w:t>
            </w:r>
          </w:p>
        </w:tc>
        <w:tc>
          <w:tcPr>
            <w:tcW w:w="1200" w:type="dxa"/>
            <w:tcBorders>
              <w:top w:val="single" w:color="000000" w:sz="4" w:space="0"/>
              <w:left w:val="single" w:color="000000" w:sz="4" w:space="0"/>
              <w:bottom w:val="single" w:color="auto" w:sz="4" w:space="0"/>
              <w:right w:val="single" w:color="000000" w:sz="4" w:space="0"/>
            </w:tcBorders>
            <w:noWrap w:val="0"/>
            <w:vAlign w:val="center"/>
          </w:tcPr>
          <w:p w14:paraId="720120E1">
            <w:pPr>
              <w:widowControl/>
              <w:jc w:val="center"/>
              <w:rPr>
                <w:rFonts w:ascii="宋体" w:hAnsi="宋体" w:cs="宋体"/>
                <w:color w:val="000000"/>
                <w:szCs w:val="21"/>
                <w:highlight w:val="none"/>
              </w:rPr>
            </w:pPr>
            <w:r>
              <w:rPr>
                <w:rFonts w:hint="eastAsia" w:ascii="宋体" w:hAnsi="宋体" w:cs="宋体"/>
                <w:color w:val="000000"/>
                <w:szCs w:val="21"/>
                <w:highlight w:val="none"/>
                <w:lang w:bidi="ar"/>
              </w:rPr>
              <w:t>检测服务方案</w:t>
            </w:r>
          </w:p>
        </w:tc>
        <w:tc>
          <w:tcPr>
            <w:tcW w:w="651" w:type="dxa"/>
            <w:tcBorders>
              <w:top w:val="single" w:color="000000" w:sz="4" w:space="0"/>
              <w:left w:val="single" w:color="000000" w:sz="4" w:space="0"/>
              <w:bottom w:val="single" w:color="auto" w:sz="4" w:space="0"/>
              <w:right w:val="single" w:color="000000" w:sz="4" w:space="0"/>
            </w:tcBorders>
            <w:noWrap w:val="0"/>
            <w:vAlign w:val="center"/>
          </w:tcPr>
          <w:p w14:paraId="3F1EA7A8">
            <w:pPr>
              <w:widowControl/>
              <w:jc w:val="center"/>
              <w:rPr>
                <w:rFonts w:ascii="宋体" w:hAnsi="宋体" w:cs="宋体"/>
                <w:color w:val="000000"/>
                <w:szCs w:val="21"/>
                <w:highlight w:val="none"/>
              </w:rPr>
            </w:pPr>
            <w:r>
              <w:rPr>
                <w:rFonts w:hint="eastAsia" w:ascii="宋体" w:hAnsi="宋体" w:cs="宋体"/>
                <w:color w:val="000000"/>
                <w:szCs w:val="21"/>
                <w:highlight w:val="none"/>
                <w:lang w:val="en-US" w:eastAsia="zh-CN" w:bidi="ar"/>
              </w:rPr>
              <w:t>4</w:t>
            </w:r>
            <w:r>
              <w:rPr>
                <w:rFonts w:hint="eastAsia" w:ascii="宋体" w:hAnsi="宋体" w:cs="宋体"/>
                <w:color w:val="000000"/>
                <w:szCs w:val="21"/>
                <w:highlight w:val="none"/>
                <w:lang w:bidi="ar"/>
              </w:rPr>
              <w:t>分</w:t>
            </w:r>
          </w:p>
        </w:tc>
        <w:tc>
          <w:tcPr>
            <w:tcW w:w="6939" w:type="dxa"/>
            <w:tcBorders>
              <w:top w:val="single" w:color="000000" w:sz="4" w:space="0"/>
              <w:left w:val="single" w:color="000000" w:sz="4" w:space="0"/>
              <w:bottom w:val="single" w:color="auto" w:sz="4" w:space="0"/>
              <w:right w:val="single" w:color="000000" w:sz="4" w:space="0"/>
            </w:tcBorders>
            <w:noWrap w:val="0"/>
            <w:vAlign w:val="center"/>
          </w:tcPr>
          <w:p w14:paraId="6D974E3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kern w:val="0"/>
                <w:sz w:val="21"/>
                <w:szCs w:val="21"/>
                <w:lang w:val="en-US" w:eastAsia="zh-CN" w:bidi="ar-SA"/>
              </w:rPr>
              <w:t>投标人提供的检测服务方案包括但不限于以下4个核心环节：</w:t>
            </w:r>
          </w:p>
          <w:p w14:paraId="760CCE9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①检测前准备</w:t>
            </w:r>
            <w:r>
              <w:rPr>
                <w:rFonts w:hint="default" w:ascii="宋体" w:hAnsi="宋体" w:eastAsia="宋体" w:cs="宋体"/>
                <w:kern w:val="0"/>
                <w:sz w:val="21"/>
                <w:szCs w:val="21"/>
                <w:lang w:val="en-US" w:eastAsia="zh-CN" w:bidi="ar-SA"/>
              </w:rPr>
              <w:t>（接收标准、信息核对、前处理条件、不合格样本处置、责任主体）；</w:t>
            </w:r>
          </w:p>
          <w:p w14:paraId="5FF2548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②样本检测</w:t>
            </w:r>
            <w:r>
              <w:rPr>
                <w:rFonts w:hint="default" w:ascii="宋体" w:hAnsi="宋体" w:eastAsia="宋体" w:cs="宋体"/>
                <w:kern w:val="0"/>
                <w:sz w:val="21"/>
                <w:szCs w:val="21"/>
                <w:lang w:val="en-US" w:eastAsia="zh-CN" w:bidi="ar-SA"/>
              </w:rPr>
              <w:t>（检测方法、操作规程、环境控制、检测时限、责任主体）；</w:t>
            </w:r>
          </w:p>
          <w:p w14:paraId="05E97A7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③检测结果发布</w:t>
            </w:r>
            <w:r>
              <w:rPr>
                <w:rFonts w:hint="default" w:ascii="宋体" w:hAnsi="宋体" w:eastAsia="宋体" w:cs="宋体"/>
                <w:kern w:val="0"/>
                <w:sz w:val="21"/>
                <w:szCs w:val="21"/>
                <w:lang w:val="en-US" w:eastAsia="zh-CN" w:bidi="ar-SA"/>
              </w:rPr>
              <w:t>（审核流程、发布时限、发布方式、异常结果标注、责任主体）；</w:t>
            </w:r>
          </w:p>
          <w:p w14:paraId="58A43C0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④检验后处理</w:t>
            </w:r>
            <w:r>
              <w:rPr>
                <w:rFonts w:hint="default" w:ascii="宋体" w:hAnsi="宋体" w:eastAsia="宋体" w:cs="宋体"/>
                <w:kern w:val="0"/>
                <w:sz w:val="21"/>
                <w:szCs w:val="21"/>
                <w:lang w:val="en-US" w:eastAsia="zh-CN" w:bidi="ar-SA"/>
              </w:rPr>
              <w:t>（样本保存期限、保存条件、到期处置、记录归档、责任主体）。</w:t>
            </w:r>
          </w:p>
          <w:p w14:paraId="76D99A2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ascii="宋体" w:hAnsi="宋体" w:cs="宋体"/>
                <w:color w:val="000000"/>
                <w:szCs w:val="21"/>
                <w:highlight w:val="none"/>
                <w:lang w:bidi="ar"/>
              </w:rPr>
            </w:pPr>
            <w:r>
              <w:rPr>
                <w:rFonts w:hint="eastAsia" w:ascii="宋体" w:hAnsi="宋体" w:eastAsia="宋体" w:cs="宋体"/>
                <w:kern w:val="0"/>
                <w:sz w:val="21"/>
                <w:szCs w:val="21"/>
                <w:lang w:val="en-US" w:eastAsia="zh-CN" w:bidi="ar-SA"/>
              </w:rPr>
              <w:t>本项目满分为4分，每个环节各占1分。评委将逐项进行独立核算：若括号内的5项要素全部齐全，</w:t>
            </w:r>
            <w:r>
              <w:rPr>
                <w:rFonts w:hint="eastAsia" w:ascii="宋体" w:hAnsi="宋体" w:cs="宋体"/>
                <w:kern w:val="0"/>
                <w:sz w:val="21"/>
                <w:szCs w:val="21"/>
                <w:lang w:val="en-US" w:eastAsia="zh-CN" w:bidi="ar-SA"/>
              </w:rPr>
              <w:t>且每项要素均明确载明操作要求（含依据的标准/规范/SOP名称及编号）及责任主体</w:t>
            </w:r>
            <w:r>
              <w:rPr>
                <w:rFonts w:hint="eastAsia" w:ascii="宋体" w:hAnsi="宋体" w:eastAsia="宋体" w:cs="宋体"/>
                <w:kern w:val="0"/>
                <w:sz w:val="21"/>
                <w:szCs w:val="21"/>
                <w:lang w:val="en-US" w:eastAsia="zh-CN" w:bidi="ar-SA"/>
              </w:rPr>
              <w:t>，</w:t>
            </w:r>
            <w:r>
              <w:rPr>
                <w:rFonts w:hint="eastAsia" w:ascii="宋体" w:hAnsi="宋体" w:cs="宋体"/>
                <w:kern w:val="0"/>
                <w:sz w:val="21"/>
                <w:szCs w:val="21"/>
                <w:lang w:val="en-US" w:eastAsia="zh-CN" w:bidi="ar-SA"/>
              </w:rPr>
              <w:t>则</w:t>
            </w:r>
            <w:r>
              <w:rPr>
                <w:rFonts w:hint="eastAsia" w:ascii="宋体" w:hAnsi="宋体" w:eastAsia="宋体" w:cs="宋体"/>
                <w:kern w:val="0"/>
                <w:sz w:val="21"/>
                <w:szCs w:val="21"/>
                <w:lang w:val="en-US" w:eastAsia="zh-CN" w:bidi="ar-SA"/>
              </w:rPr>
              <w:t>该环节</w:t>
            </w:r>
            <w:r>
              <w:rPr>
                <w:rFonts w:hint="eastAsia" w:ascii="宋体" w:hAnsi="宋体" w:cs="宋体"/>
                <w:kern w:val="0"/>
                <w:sz w:val="21"/>
                <w:szCs w:val="21"/>
                <w:lang w:val="en-US" w:eastAsia="zh-CN" w:bidi="ar-SA"/>
              </w:rPr>
              <w:t>得</w:t>
            </w:r>
            <w:r>
              <w:rPr>
                <w:rFonts w:hint="eastAsia" w:ascii="宋体" w:hAnsi="宋体" w:eastAsia="宋体" w:cs="宋体"/>
                <w:kern w:val="0"/>
                <w:sz w:val="21"/>
                <w:szCs w:val="21"/>
                <w:lang w:val="en-US" w:eastAsia="zh-CN" w:bidi="ar-SA"/>
              </w:rPr>
              <w:t>1分</w:t>
            </w:r>
            <w:r>
              <w:rPr>
                <w:rFonts w:hint="eastAsia" w:ascii="宋体" w:hAnsi="宋体" w:cs="宋体"/>
                <w:kern w:val="0"/>
                <w:sz w:val="21"/>
                <w:szCs w:val="21"/>
                <w:lang w:val="en-US" w:eastAsia="zh-CN" w:bidi="ar-SA"/>
              </w:rPr>
              <w:t>。</w:t>
            </w:r>
            <w:r>
              <w:rPr>
                <w:rFonts w:hint="default" w:ascii="宋体" w:hAnsi="宋体" w:eastAsia="宋体" w:cs="宋体"/>
                <w:kern w:val="0"/>
                <w:sz w:val="21"/>
                <w:szCs w:val="21"/>
                <w:lang w:val="en-US" w:eastAsia="zh-CN" w:bidi="ar-SA"/>
              </w:rPr>
              <w:t>缺少括号内任意1项必备要素</w:t>
            </w:r>
            <w:r>
              <w:rPr>
                <w:rFonts w:hint="eastAsia" w:ascii="宋体" w:hAnsi="宋体" w:cs="宋体"/>
                <w:kern w:val="0"/>
                <w:sz w:val="21"/>
                <w:szCs w:val="21"/>
                <w:lang w:val="en-US" w:eastAsia="zh-CN" w:bidi="ar-SA"/>
              </w:rPr>
              <w:t>，</w:t>
            </w:r>
            <w:r>
              <w:rPr>
                <w:rFonts w:hint="default" w:ascii="宋体" w:hAnsi="宋体" w:eastAsia="宋体" w:cs="宋体"/>
                <w:kern w:val="0"/>
                <w:sz w:val="21"/>
                <w:szCs w:val="21"/>
                <w:lang w:val="en-US" w:eastAsia="zh-CN" w:bidi="ar-SA"/>
              </w:rPr>
              <w:t>或该要素无</w:t>
            </w:r>
            <w:r>
              <w:rPr>
                <w:rFonts w:hint="eastAsia" w:ascii="宋体" w:hAnsi="宋体" w:cs="宋体"/>
                <w:kern w:val="0"/>
                <w:sz w:val="21"/>
                <w:szCs w:val="21"/>
                <w:lang w:val="en-US" w:eastAsia="zh-CN" w:bidi="ar-SA"/>
              </w:rPr>
              <w:t>操作要求</w:t>
            </w:r>
            <w:r>
              <w:rPr>
                <w:rFonts w:hint="default" w:ascii="宋体" w:hAnsi="宋体" w:eastAsia="宋体" w:cs="宋体"/>
                <w:kern w:val="0"/>
                <w:sz w:val="21"/>
                <w:szCs w:val="21"/>
                <w:lang w:val="en-US" w:eastAsia="zh-CN" w:bidi="ar-SA"/>
              </w:rPr>
              <w:t>、无责任主体，或存在套用其他项目方案、凭空编造等情形，该环节不得分。本项得分按4个环节累计。</w:t>
            </w:r>
          </w:p>
        </w:tc>
      </w:tr>
      <w:tr w14:paraId="48BAA5FA">
        <w:tblPrEx>
          <w:tblCellMar>
            <w:top w:w="0" w:type="dxa"/>
            <w:left w:w="108" w:type="dxa"/>
            <w:bottom w:w="0" w:type="dxa"/>
            <w:right w:w="108" w:type="dxa"/>
          </w:tblCellMar>
        </w:tblPrEx>
        <w:trPr>
          <w:trHeight w:val="268" w:hRule="atLeast"/>
          <w:jc w:val="center"/>
        </w:trPr>
        <w:tc>
          <w:tcPr>
            <w:tcW w:w="581" w:type="dxa"/>
            <w:tcBorders>
              <w:top w:val="single" w:color="auto" w:sz="4" w:space="0"/>
              <w:left w:val="single" w:color="auto" w:sz="4" w:space="0"/>
              <w:bottom w:val="single" w:color="auto" w:sz="4" w:space="0"/>
              <w:right w:val="single" w:color="000000" w:sz="4" w:space="0"/>
            </w:tcBorders>
            <w:noWrap w:val="0"/>
            <w:vAlign w:val="center"/>
          </w:tcPr>
          <w:p w14:paraId="772D1900">
            <w:pPr>
              <w:widowControl/>
              <w:jc w:val="center"/>
              <w:rPr>
                <w:rFonts w:ascii="宋体" w:hAnsi="宋体" w:cs="宋体"/>
                <w:color w:val="000000"/>
                <w:szCs w:val="21"/>
                <w:highlight w:val="none"/>
              </w:rPr>
            </w:pPr>
            <w:r>
              <w:rPr>
                <w:rFonts w:hint="eastAsia" w:ascii="宋体" w:hAnsi="宋体" w:cs="宋体"/>
                <w:color w:val="000000"/>
                <w:szCs w:val="21"/>
                <w:highlight w:val="none"/>
                <w:lang w:bidi="ar"/>
              </w:rPr>
              <w:t>2</w:t>
            </w:r>
          </w:p>
        </w:tc>
        <w:tc>
          <w:tcPr>
            <w:tcW w:w="1200" w:type="dxa"/>
            <w:tcBorders>
              <w:top w:val="single" w:color="auto" w:sz="4" w:space="0"/>
              <w:left w:val="single" w:color="000000" w:sz="4" w:space="0"/>
              <w:bottom w:val="single" w:color="auto" w:sz="4" w:space="0"/>
              <w:right w:val="single" w:color="000000" w:sz="4" w:space="0"/>
            </w:tcBorders>
            <w:noWrap w:val="0"/>
            <w:vAlign w:val="center"/>
          </w:tcPr>
          <w:p w14:paraId="15853FFF">
            <w:pPr>
              <w:widowControl/>
              <w:jc w:val="center"/>
              <w:rPr>
                <w:rFonts w:ascii="宋体" w:hAnsi="宋体" w:cs="宋体"/>
                <w:color w:val="000000"/>
                <w:szCs w:val="21"/>
                <w:highlight w:val="none"/>
              </w:rPr>
            </w:pPr>
            <w:r>
              <w:rPr>
                <w:rFonts w:hint="eastAsia" w:ascii="宋体" w:hAnsi="宋体" w:cs="宋体"/>
                <w:color w:val="000000"/>
                <w:szCs w:val="21"/>
                <w:highlight w:val="none"/>
                <w:lang w:bidi="ar"/>
              </w:rPr>
              <w:t>标本的收取、运输保管</w:t>
            </w:r>
          </w:p>
        </w:tc>
        <w:tc>
          <w:tcPr>
            <w:tcW w:w="651" w:type="dxa"/>
            <w:tcBorders>
              <w:top w:val="single" w:color="auto" w:sz="4" w:space="0"/>
              <w:left w:val="single" w:color="000000" w:sz="4" w:space="0"/>
              <w:bottom w:val="single" w:color="auto" w:sz="4" w:space="0"/>
              <w:right w:val="single" w:color="000000" w:sz="4" w:space="0"/>
            </w:tcBorders>
            <w:noWrap w:val="0"/>
            <w:vAlign w:val="center"/>
          </w:tcPr>
          <w:p w14:paraId="2DFEB532">
            <w:pPr>
              <w:widowControl/>
              <w:jc w:val="center"/>
              <w:rPr>
                <w:rFonts w:ascii="宋体" w:hAnsi="宋体" w:cs="宋体"/>
                <w:color w:val="000000"/>
                <w:szCs w:val="21"/>
                <w:highlight w:val="none"/>
                <w:lang w:bidi="ar"/>
              </w:rPr>
            </w:pPr>
            <w:r>
              <w:rPr>
                <w:rFonts w:hint="eastAsia" w:ascii="宋体" w:hAnsi="宋体" w:cs="宋体"/>
                <w:color w:val="000000"/>
                <w:szCs w:val="21"/>
                <w:highlight w:val="none"/>
                <w:lang w:val="en-US" w:eastAsia="zh-CN" w:bidi="ar"/>
              </w:rPr>
              <w:t>8</w:t>
            </w:r>
            <w:r>
              <w:rPr>
                <w:rFonts w:hint="eastAsia" w:ascii="宋体" w:hAnsi="宋体" w:cs="宋体"/>
                <w:color w:val="000000"/>
                <w:szCs w:val="21"/>
                <w:highlight w:val="none"/>
                <w:lang w:bidi="ar"/>
              </w:rPr>
              <w:t>分</w:t>
            </w:r>
          </w:p>
        </w:tc>
        <w:tc>
          <w:tcPr>
            <w:tcW w:w="6939" w:type="dxa"/>
            <w:tcBorders>
              <w:top w:val="single" w:color="auto" w:sz="4" w:space="0"/>
              <w:left w:val="single" w:color="000000" w:sz="4" w:space="0"/>
              <w:bottom w:val="single" w:color="auto" w:sz="4" w:space="0"/>
              <w:right w:val="single" w:color="auto" w:sz="4" w:space="0"/>
            </w:tcBorders>
            <w:noWrap w:val="0"/>
            <w:vAlign w:val="center"/>
          </w:tcPr>
          <w:p w14:paraId="7E84EDD6">
            <w:pPr>
              <w:keepNext w:val="0"/>
              <w:keepLines w:val="0"/>
              <w:widowControl/>
              <w:suppressLineNumbers w:val="0"/>
              <w:jc w:val="left"/>
              <w:rPr>
                <w:rFonts w:hint="default" w:ascii="宋体" w:hAnsi="宋体" w:eastAsia="宋体" w:cs="宋体"/>
                <w:kern w:val="0"/>
                <w:sz w:val="21"/>
                <w:szCs w:val="21"/>
                <w:lang w:val="en-US" w:eastAsia="zh-CN" w:bidi="ar-SA"/>
              </w:rPr>
            </w:pPr>
            <w:r>
              <w:rPr>
                <w:rFonts w:hint="default" w:ascii="宋体" w:hAnsi="宋体" w:eastAsia="宋体" w:cs="宋体"/>
                <w:kern w:val="0"/>
                <w:sz w:val="21"/>
                <w:szCs w:val="21"/>
                <w:lang w:val="en-US" w:eastAsia="zh-CN" w:bidi="ar-SA"/>
              </w:rPr>
              <w:t>投标人提供的标本收取、运输保管全流程方案须同时覆盖以下6项内容：</w:t>
            </w:r>
            <w:r>
              <w:rPr>
                <w:rFonts w:hint="default" w:ascii="宋体" w:hAnsi="宋体" w:eastAsia="宋体" w:cs="宋体"/>
                <w:b/>
                <w:bCs/>
                <w:kern w:val="0"/>
                <w:sz w:val="21"/>
                <w:szCs w:val="21"/>
                <w:lang w:val="en-US" w:eastAsia="zh-CN" w:bidi="ar-SA"/>
              </w:rPr>
              <w:t>①标本接收核验</w:t>
            </w:r>
            <w:r>
              <w:rPr>
                <w:rFonts w:hint="default" w:ascii="宋体" w:hAnsi="宋体" w:eastAsia="宋体" w:cs="宋体"/>
                <w:kern w:val="0"/>
                <w:sz w:val="21"/>
                <w:szCs w:val="21"/>
                <w:lang w:val="en-US" w:eastAsia="zh-CN" w:bidi="ar-SA"/>
              </w:rPr>
              <w:t>（接收标准、信息核对、质量初评、不合格处置、责任主体）；</w:t>
            </w:r>
          </w:p>
          <w:p w14:paraId="6B884940">
            <w:pPr>
              <w:keepNext w:val="0"/>
              <w:keepLines w:val="0"/>
              <w:widowControl/>
              <w:suppressLineNumbers w:val="0"/>
              <w:jc w:val="left"/>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②标准化包装</w:t>
            </w:r>
            <w:r>
              <w:rPr>
                <w:rFonts w:hint="default" w:ascii="宋体" w:hAnsi="宋体" w:eastAsia="宋体" w:cs="宋体"/>
                <w:kern w:val="0"/>
                <w:sz w:val="21"/>
                <w:szCs w:val="21"/>
                <w:lang w:val="en-US" w:eastAsia="zh-CN" w:bidi="ar-SA"/>
              </w:rPr>
              <w:t>（材料规格、生物安全标识、温控防漏、</w:t>
            </w:r>
            <w:r>
              <w:rPr>
                <w:rFonts w:hint="eastAsia" w:ascii="宋体" w:hAnsi="宋体" w:eastAsia="宋体" w:cs="宋体"/>
                <w:kern w:val="0"/>
                <w:sz w:val="21"/>
                <w:szCs w:val="21"/>
                <w:lang w:val="en-US" w:eastAsia="zh-CN" w:bidi="ar-SA"/>
              </w:rPr>
              <w:t>温控记录</w:t>
            </w:r>
            <w:r>
              <w:rPr>
                <w:rFonts w:hint="default" w:ascii="宋体" w:hAnsi="宋体" w:eastAsia="宋体" w:cs="宋体"/>
                <w:kern w:val="0"/>
                <w:sz w:val="21"/>
                <w:szCs w:val="21"/>
                <w:lang w:val="en-US" w:eastAsia="zh-CN" w:bidi="ar-SA"/>
              </w:rPr>
              <w:t>、责任主体）；</w:t>
            </w:r>
          </w:p>
          <w:p w14:paraId="7AAF0BDC">
            <w:pPr>
              <w:keepNext w:val="0"/>
              <w:keepLines w:val="0"/>
              <w:widowControl/>
              <w:suppressLineNumbers w:val="0"/>
              <w:jc w:val="left"/>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③交接签收</w:t>
            </w:r>
            <w:r>
              <w:rPr>
                <w:rFonts w:hint="default" w:ascii="宋体" w:hAnsi="宋体" w:eastAsia="宋体" w:cs="宋体"/>
                <w:kern w:val="0"/>
                <w:sz w:val="21"/>
                <w:szCs w:val="21"/>
                <w:lang w:val="en-US" w:eastAsia="zh-CN" w:bidi="ar-SA"/>
              </w:rPr>
              <w:t>（交接清单、双签确认、时间记录、凭证保存、责任主体）；</w:t>
            </w:r>
          </w:p>
          <w:p w14:paraId="087EBB8A">
            <w:pPr>
              <w:keepNext w:val="0"/>
              <w:keepLines w:val="0"/>
              <w:widowControl/>
              <w:suppressLineNumbers w:val="0"/>
              <w:jc w:val="left"/>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④全程溯源</w:t>
            </w:r>
            <w:r>
              <w:rPr>
                <w:rFonts w:hint="default" w:ascii="宋体" w:hAnsi="宋体" w:eastAsia="宋体" w:cs="宋体"/>
                <w:kern w:val="0"/>
                <w:sz w:val="21"/>
                <w:szCs w:val="21"/>
                <w:lang w:val="en-US" w:eastAsia="zh-CN" w:bidi="ar-SA"/>
              </w:rPr>
              <w:t>（溯源节点、标识规则、系统记录、查询方式、责任主体）；</w:t>
            </w:r>
          </w:p>
          <w:p w14:paraId="11B2C5B3">
            <w:pPr>
              <w:keepNext w:val="0"/>
              <w:keepLines w:val="0"/>
              <w:widowControl/>
              <w:suppressLineNumbers w:val="0"/>
              <w:jc w:val="left"/>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⑤异常处置</w:t>
            </w:r>
            <w:r>
              <w:rPr>
                <w:rFonts w:hint="default" w:ascii="宋体" w:hAnsi="宋体" w:eastAsia="宋体" w:cs="宋体"/>
                <w:kern w:val="0"/>
                <w:sz w:val="21"/>
                <w:szCs w:val="21"/>
                <w:lang w:val="en-US" w:eastAsia="zh-CN" w:bidi="ar-SA"/>
              </w:rPr>
              <w:t>（异常判定、报告时限、现场处置、标本保护、责任主体）；</w:t>
            </w:r>
          </w:p>
          <w:p w14:paraId="02573923">
            <w:pPr>
              <w:keepNext w:val="0"/>
              <w:keepLines w:val="0"/>
              <w:widowControl/>
              <w:suppressLineNumbers w:val="0"/>
              <w:jc w:val="left"/>
            </w:pPr>
            <w:r>
              <w:rPr>
                <w:rFonts w:hint="default" w:ascii="宋体" w:hAnsi="宋体" w:eastAsia="宋体" w:cs="宋体"/>
                <w:b/>
                <w:bCs/>
                <w:kern w:val="0"/>
                <w:sz w:val="21"/>
                <w:szCs w:val="21"/>
                <w:lang w:val="en-US" w:eastAsia="zh-CN" w:bidi="ar-SA"/>
              </w:rPr>
              <w:t>⑥运输时效</w:t>
            </w:r>
            <w:r>
              <w:rPr>
                <w:rFonts w:hint="eastAsia" w:ascii="宋体" w:hAnsi="宋体" w:cs="宋体"/>
                <w:b/>
                <w:bCs/>
                <w:kern w:val="0"/>
                <w:sz w:val="21"/>
                <w:szCs w:val="21"/>
                <w:lang w:val="en-US" w:eastAsia="zh-CN" w:bidi="ar-SA"/>
              </w:rPr>
              <w:t>：</w:t>
            </w:r>
            <w:r>
              <w:rPr>
                <w:rFonts w:hint="default" w:ascii="宋体" w:hAnsi="宋体" w:eastAsia="宋体" w:cs="宋体"/>
                <w:kern w:val="0"/>
                <w:sz w:val="21"/>
                <w:szCs w:val="21"/>
                <w:lang w:val="en-US" w:eastAsia="zh-CN" w:bidi="ar-SA"/>
              </w:rPr>
              <w:t>须提供运输时效保障方案及佐证材料（包括但不限于：官方导航平台路线时长截图、物流合作协议、自建物流体系证明等），须显示起止地址及预估时间，标本运输时间须满足本项目检测服务标本稳定性要求。</w:t>
            </w:r>
          </w:p>
          <w:p w14:paraId="3C8C1814">
            <w:pPr>
              <w:keepNext w:val="0"/>
              <w:keepLines w:val="0"/>
              <w:widowControl/>
              <w:suppressLineNumbers w:val="0"/>
              <w:jc w:val="left"/>
              <w:rPr>
                <w:rFonts w:hint="eastAsia" w:ascii="宋体" w:hAnsi="宋体" w:eastAsia="宋体" w:cs="宋体"/>
                <w:color w:val="000000"/>
                <w:sz w:val="21"/>
                <w:szCs w:val="21"/>
                <w:highlight w:val="none"/>
              </w:rPr>
            </w:pPr>
            <w:r>
              <w:rPr>
                <w:rFonts w:hint="default" w:ascii="宋体" w:hAnsi="宋体" w:eastAsia="宋体" w:cs="宋体"/>
                <w:kern w:val="0"/>
                <w:sz w:val="21"/>
                <w:szCs w:val="21"/>
                <w:lang w:val="en-US" w:eastAsia="zh-CN" w:bidi="ar-SA"/>
              </w:rPr>
              <w:t>评分标准：①-⑤项每环节0.6分，共3分。逐项独立核算：括号内5项要素全部具备、贴合实际</w:t>
            </w:r>
            <w:bookmarkStart w:id="188" w:name="_GoBack"/>
            <w:bookmarkEnd w:id="188"/>
            <w:r>
              <w:rPr>
                <w:rFonts w:hint="default" w:ascii="宋体" w:hAnsi="宋体" w:eastAsia="宋体" w:cs="宋体"/>
                <w:kern w:val="0"/>
                <w:sz w:val="21"/>
                <w:szCs w:val="21"/>
                <w:lang w:val="en-US" w:eastAsia="zh-CN" w:bidi="ar-SA"/>
              </w:rPr>
              <w:t>，得0.6分；缺少</w:t>
            </w:r>
            <w:r>
              <w:rPr>
                <w:rFonts w:hint="eastAsia" w:ascii="宋体" w:hAnsi="宋体" w:eastAsia="宋体" w:cs="宋体"/>
                <w:kern w:val="0"/>
                <w:sz w:val="21"/>
                <w:szCs w:val="21"/>
                <w:lang w:val="en-US" w:eastAsia="zh-CN" w:bidi="ar-SA"/>
              </w:rPr>
              <w:t>括号内</w:t>
            </w:r>
            <w:r>
              <w:rPr>
                <w:rFonts w:hint="default" w:ascii="宋体" w:hAnsi="宋体" w:eastAsia="宋体" w:cs="宋体"/>
                <w:kern w:val="0"/>
                <w:sz w:val="21"/>
                <w:szCs w:val="21"/>
                <w:lang w:val="en-US" w:eastAsia="zh-CN" w:bidi="ar-SA"/>
              </w:rPr>
              <w:t>任意1项必备要素，或存在套用其他项目方案、凭空编造、夸大承诺、违反法规标准等情形，该环节不得分。⑥运输时效5分。提供佐证材料且运输时间≤3小时，得5分；提供佐证材料且运输时间&gt;3小时、≤5小时，得3分；提供佐证材料且运输时间&gt;5小时但提供标本稳定性证明，得1分；未提供佐证材料、不合规或无保障，该部分不得分。本项得分按6项累计。</w:t>
            </w:r>
          </w:p>
        </w:tc>
      </w:tr>
      <w:tr w14:paraId="7A75DAF3">
        <w:tblPrEx>
          <w:tblCellMar>
            <w:top w:w="0" w:type="dxa"/>
            <w:left w:w="108" w:type="dxa"/>
            <w:bottom w:w="0" w:type="dxa"/>
            <w:right w:w="108" w:type="dxa"/>
          </w:tblCellMar>
        </w:tblPrEx>
        <w:trPr>
          <w:trHeight w:val="90" w:hRule="atLeast"/>
          <w:jc w:val="center"/>
        </w:trPr>
        <w:tc>
          <w:tcPr>
            <w:tcW w:w="581" w:type="dxa"/>
            <w:tcBorders>
              <w:top w:val="single" w:color="auto" w:sz="4" w:space="0"/>
              <w:left w:val="single" w:color="000000" w:sz="4" w:space="0"/>
              <w:bottom w:val="single" w:color="000000" w:sz="4" w:space="0"/>
              <w:right w:val="single" w:color="000000" w:sz="4" w:space="0"/>
            </w:tcBorders>
            <w:noWrap w:val="0"/>
            <w:vAlign w:val="center"/>
          </w:tcPr>
          <w:p w14:paraId="31ED2499">
            <w:pPr>
              <w:widowControl/>
              <w:jc w:val="center"/>
              <w:rPr>
                <w:rFonts w:ascii="宋体" w:hAnsi="宋体" w:cs="宋体"/>
                <w:color w:val="000000"/>
                <w:szCs w:val="21"/>
                <w:highlight w:val="none"/>
              </w:rPr>
            </w:pPr>
            <w:r>
              <w:rPr>
                <w:rFonts w:hint="eastAsia" w:ascii="宋体" w:hAnsi="宋体" w:cs="宋体"/>
                <w:color w:val="000000"/>
                <w:szCs w:val="21"/>
                <w:highlight w:val="none"/>
                <w:lang w:bidi="ar"/>
              </w:rPr>
              <w:t>3</w:t>
            </w:r>
          </w:p>
        </w:tc>
        <w:tc>
          <w:tcPr>
            <w:tcW w:w="1200" w:type="dxa"/>
            <w:tcBorders>
              <w:top w:val="single" w:color="auto" w:sz="4" w:space="0"/>
              <w:left w:val="single" w:color="000000" w:sz="4" w:space="0"/>
              <w:bottom w:val="single" w:color="000000" w:sz="4" w:space="0"/>
              <w:right w:val="single" w:color="000000" w:sz="4" w:space="0"/>
            </w:tcBorders>
            <w:noWrap w:val="0"/>
            <w:vAlign w:val="center"/>
          </w:tcPr>
          <w:p w14:paraId="459EE1F2">
            <w:pPr>
              <w:widowControl/>
              <w:jc w:val="center"/>
              <w:rPr>
                <w:rFonts w:ascii="宋体" w:hAnsi="宋体" w:cs="宋体"/>
                <w:color w:val="000000"/>
                <w:szCs w:val="21"/>
                <w:highlight w:val="none"/>
              </w:rPr>
            </w:pPr>
            <w:r>
              <w:rPr>
                <w:rFonts w:hint="eastAsia" w:ascii="宋体" w:hAnsi="宋体" w:cs="宋体"/>
                <w:color w:val="000000"/>
                <w:szCs w:val="21"/>
                <w:highlight w:val="none"/>
                <w:lang w:bidi="ar"/>
              </w:rPr>
              <w:t>信息化服务方案</w:t>
            </w:r>
          </w:p>
        </w:tc>
        <w:tc>
          <w:tcPr>
            <w:tcW w:w="651" w:type="dxa"/>
            <w:tcBorders>
              <w:top w:val="single" w:color="auto" w:sz="4" w:space="0"/>
              <w:left w:val="single" w:color="000000" w:sz="4" w:space="0"/>
              <w:bottom w:val="single" w:color="000000" w:sz="4" w:space="0"/>
              <w:right w:val="single" w:color="000000" w:sz="4" w:space="0"/>
            </w:tcBorders>
            <w:noWrap w:val="0"/>
            <w:vAlign w:val="center"/>
          </w:tcPr>
          <w:p w14:paraId="1A541FEE">
            <w:pPr>
              <w:widowControl/>
              <w:jc w:val="center"/>
              <w:rPr>
                <w:rFonts w:ascii="宋体" w:hAnsi="宋体" w:cs="宋体"/>
                <w:color w:val="000000"/>
                <w:szCs w:val="21"/>
                <w:highlight w:val="none"/>
                <w:lang w:bidi="ar"/>
              </w:rPr>
            </w:pPr>
            <w:r>
              <w:rPr>
                <w:rFonts w:hint="eastAsia" w:ascii="宋体" w:hAnsi="宋体" w:cs="宋体"/>
                <w:color w:val="000000"/>
                <w:szCs w:val="21"/>
                <w:highlight w:val="none"/>
                <w:lang w:val="en-US" w:eastAsia="zh-CN" w:bidi="ar"/>
              </w:rPr>
              <w:t>6</w:t>
            </w:r>
            <w:r>
              <w:rPr>
                <w:rFonts w:hint="eastAsia" w:ascii="宋体" w:hAnsi="宋体" w:cs="宋体"/>
                <w:color w:val="000000"/>
                <w:szCs w:val="21"/>
                <w:highlight w:val="none"/>
                <w:lang w:bidi="ar"/>
              </w:rPr>
              <w:t>分</w:t>
            </w:r>
          </w:p>
        </w:tc>
        <w:tc>
          <w:tcPr>
            <w:tcW w:w="6939" w:type="dxa"/>
            <w:tcBorders>
              <w:top w:val="single" w:color="auto" w:sz="4" w:space="0"/>
              <w:left w:val="single" w:color="000000" w:sz="4" w:space="0"/>
              <w:bottom w:val="single" w:color="000000" w:sz="4" w:space="0"/>
              <w:right w:val="single" w:color="000000" w:sz="4" w:space="0"/>
            </w:tcBorders>
            <w:noWrap w:val="0"/>
            <w:vAlign w:val="center"/>
          </w:tcPr>
          <w:p w14:paraId="6999342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kern w:val="0"/>
                <w:sz w:val="21"/>
                <w:szCs w:val="21"/>
                <w:lang w:val="en-US" w:eastAsia="zh-CN" w:bidi="ar-SA"/>
              </w:rPr>
              <w:t>投标人提供的信息化服务方案包括但不限于以下6项内容：</w:t>
            </w:r>
          </w:p>
          <w:p w14:paraId="7A35AA4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①数据传输加密</w:t>
            </w:r>
            <w:r>
              <w:rPr>
                <w:rFonts w:hint="default" w:ascii="宋体" w:hAnsi="宋体" w:eastAsia="宋体" w:cs="宋体"/>
                <w:kern w:val="0"/>
                <w:sz w:val="21"/>
                <w:szCs w:val="21"/>
                <w:lang w:val="en-US" w:eastAsia="zh-CN" w:bidi="ar-SA"/>
              </w:rPr>
              <w:t>（加密方式、传输通道机制、密钥管理、完整性校验、责任主体）；</w:t>
            </w:r>
          </w:p>
          <w:p w14:paraId="2669119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②分级权限设置</w:t>
            </w:r>
            <w:r>
              <w:rPr>
                <w:rFonts w:hint="default" w:ascii="宋体" w:hAnsi="宋体" w:eastAsia="宋体" w:cs="宋体"/>
                <w:kern w:val="0"/>
                <w:sz w:val="21"/>
                <w:szCs w:val="21"/>
                <w:lang w:val="en-US" w:eastAsia="zh-CN" w:bidi="ar-SA"/>
              </w:rPr>
              <w:t>（角色划分、权限规则、审批流程、变更记录、责任主体）；</w:t>
            </w:r>
          </w:p>
          <w:p w14:paraId="66E1FDF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③日志留存不少于6个月</w:t>
            </w:r>
            <w:r>
              <w:rPr>
                <w:rFonts w:hint="default" w:ascii="宋体" w:hAnsi="宋体" w:eastAsia="宋体" w:cs="宋体"/>
                <w:kern w:val="0"/>
                <w:sz w:val="21"/>
                <w:szCs w:val="21"/>
                <w:lang w:val="en-US" w:eastAsia="zh-CN" w:bidi="ar-SA"/>
              </w:rPr>
              <w:t>（日志类型、存储介质、查阅权限、异常告警、责任主体）；</w:t>
            </w:r>
          </w:p>
          <w:p w14:paraId="5191719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④应急处理预案</w:t>
            </w:r>
            <w:r>
              <w:rPr>
                <w:rFonts w:hint="default" w:ascii="宋体" w:hAnsi="宋体" w:eastAsia="宋体" w:cs="宋体"/>
                <w:kern w:val="0"/>
                <w:sz w:val="21"/>
                <w:szCs w:val="21"/>
                <w:lang w:val="en-US" w:eastAsia="zh-CN" w:bidi="ar-SA"/>
              </w:rPr>
              <w:t>（故障分级、响应时限、处置流程、备用系统启用、责任主体）；</w:t>
            </w:r>
          </w:p>
          <w:p w14:paraId="386170E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⑤数据备份与恢复</w:t>
            </w:r>
            <w:r>
              <w:rPr>
                <w:rFonts w:hint="default" w:ascii="宋体" w:hAnsi="宋体" w:eastAsia="宋体" w:cs="宋体"/>
                <w:kern w:val="0"/>
                <w:sz w:val="21"/>
                <w:szCs w:val="21"/>
                <w:lang w:val="en-US" w:eastAsia="zh-CN" w:bidi="ar-SA"/>
              </w:rPr>
              <w:t>（备份频率、备份介质、保存地点、恢复时限、责任主体）；</w:t>
            </w:r>
          </w:p>
          <w:p w14:paraId="0E40133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⑥全流程数据溯源管理</w:t>
            </w:r>
            <w:r>
              <w:rPr>
                <w:rFonts w:hint="default" w:ascii="宋体" w:hAnsi="宋体" w:eastAsia="宋体" w:cs="宋体"/>
                <w:kern w:val="0"/>
                <w:sz w:val="21"/>
                <w:szCs w:val="21"/>
                <w:lang w:val="en-US" w:eastAsia="zh-CN" w:bidi="ar-SA"/>
              </w:rPr>
              <w:t>（样本物流节点同步、标识规则、异常追溯路径、记录保存、责任主体）。</w:t>
            </w:r>
          </w:p>
          <w:p w14:paraId="6B12D8F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ascii="宋体" w:hAnsi="宋体" w:cs="宋体"/>
                <w:szCs w:val="21"/>
                <w:highlight w:val="none"/>
              </w:rPr>
            </w:pPr>
            <w:r>
              <w:rPr>
                <w:rFonts w:hint="default" w:ascii="宋体" w:hAnsi="宋体" w:eastAsia="宋体" w:cs="宋体"/>
                <w:kern w:val="0"/>
                <w:sz w:val="21"/>
                <w:szCs w:val="21"/>
                <w:lang w:val="en-US" w:eastAsia="zh-CN" w:bidi="ar-SA"/>
              </w:rPr>
              <w:t>本项满分6分，每环节1分。评委逐项独立核算：括号内5项要素全部具备，贴合</w:t>
            </w:r>
            <w:r>
              <w:rPr>
                <w:rFonts w:hint="eastAsia" w:ascii="宋体" w:hAnsi="宋体" w:eastAsia="宋体" w:cs="宋体"/>
                <w:kern w:val="0"/>
                <w:sz w:val="21"/>
                <w:szCs w:val="21"/>
                <w:lang w:val="en-US" w:eastAsia="zh-CN" w:bidi="ar-SA"/>
              </w:rPr>
              <w:t>本项目的</w:t>
            </w:r>
            <w:r>
              <w:rPr>
                <w:rFonts w:hint="default" w:ascii="宋体" w:hAnsi="宋体" w:eastAsia="宋体" w:cs="宋体"/>
                <w:kern w:val="0"/>
                <w:sz w:val="21"/>
                <w:szCs w:val="21"/>
                <w:lang w:val="en-US" w:eastAsia="zh-CN" w:bidi="ar-SA"/>
              </w:rPr>
              <w:t>数据规模、安全等级及溯源要求，</w:t>
            </w:r>
            <w:r>
              <w:rPr>
                <w:rFonts w:hint="eastAsia" w:ascii="宋体" w:hAnsi="宋体" w:cs="宋体"/>
                <w:kern w:val="0"/>
                <w:sz w:val="21"/>
                <w:szCs w:val="21"/>
                <w:lang w:val="en-US" w:eastAsia="zh-CN" w:bidi="ar-SA"/>
              </w:rPr>
              <w:t>则</w:t>
            </w:r>
            <w:r>
              <w:rPr>
                <w:rFonts w:hint="default" w:ascii="宋体" w:hAnsi="宋体" w:eastAsia="宋体" w:cs="宋体"/>
                <w:kern w:val="0"/>
                <w:sz w:val="21"/>
                <w:szCs w:val="21"/>
                <w:lang w:val="en-US" w:eastAsia="zh-CN" w:bidi="ar-SA"/>
              </w:rPr>
              <w:t>该环节得1分；缺少括号内任意1项必备要素；或内容与实际需求不匹配、逻辑混乱；或存在套用其他项目方案、凭空编造、夸大承诺、违反信息安全标准等情形，该环节不得分。本项得分按6项累计。</w:t>
            </w:r>
          </w:p>
        </w:tc>
      </w:tr>
      <w:tr w14:paraId="18F3C218">
        <w:tblPrEx>
          <w:tblCellMar>
            <w:top w:w="0" w:type="dxa"/>
            <w:left w:w="108" w:type="dxa"/>
            <w:bottom w:w="0" w:type="dxa"/>
            <w:right w:w="108" w:type="dxa"/>
          </w:tblCellMar>
        </w:tblPrEx>
        <w:trPr>
          <w:trHeight w:val="1078" w:hRule="atLeast"/>
          <w:jc w:val="center"/>
        </w:trPr>
        <w:tc>
          <w:tcPr>
            <w:tcW w:w="581" w:type="dxa"/>
            <w:tcBorders>
              <w:top w:val="single" w:color="000000" w:sz="4" w:space="0"/>
              <w:left w:val="single" w:color="000000" w:sz="4" w:space="0"/>
              <w:bottom w:val="single" w:color="000000" w:sz="4" w:space="0"/>
              <w:right w:val="single" w:color="000000" w:sz="4" w:space="0"/>
            </w:tcBorders>
            <w:noWrap w:val="0"/>
            <w:vAlign w:val="center"/>
          </w:tcPr>
          <w:p w14:paraId="391A382A">
            <w:pPr>
              <w:widowControl/>
              <w:jc w:val="center"/>
              <w:rPr>
                <w:rFonts w:ascii="宋体" w:hAnsi="宋体" w:cs="宋体"/>
                <w:color w:val="000000"/>
                <w:szCs w:val="21"/>
                <w:highlight w:val="none"/>
              </w:rPr>
            </w:pPr>
            <w:r>
              <w:rPr>
                <w:rFonts w:hint="eastAsia" w:ascii="宋体" w:hAnsi="宋体" w:cs="宋体"/>
                <w:color w:val="000000"/>
                <w:szCs w:val="21"/>
                <w:highlight w:val="none"/>
                <w:lang w:bidi="ar"/>
              </w:rPr>
              <w:t>4</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3856024D">
            <w:pPr>
              <w:widowControl/>
              <w:jc w:val="center"/>
              <w:rPr>
                <w:rFonts w:ascii="宋体" w:hAnsi="宋体" w:cs="宋体"/>
                <w:color w:val="000000"/>
                <w:szCs w:val="21"/>
                <w:highlight w:val="none"/>
              </w:rPr>
            </w:pPr>
            <w:r>
              <w:rPr>
                <w:rFonts w:hint="eastAsia" w:ascii="宋体" w:hAnsi="宋体" w:cs="宋体"/>
                <w:color w:val="000000"/>
                <w:szCs w:val="21"/>
                <w:highlight w:val="none"/>
                <w:lang w:bidi="ar"/>
              </w:rPr>
              <w:t>应急处理方案</w:t>
            </w:r>
          </w:p>
        </w:tc>
        <w:tc>
          <w:tcPr>
            <w:tcW w:w="651" w:type="dxa"/>
            <w:tcBorders>
              <w:top w:val="single" w:color="000000" w:sz="4" w:space="0"/>
              <w:left w:val="single" w:color="000000" w:sz="4" w:space="0"/>
              <w:bottom w:val="single" w:color="000000" w:sz="4" w:space="0"/>
              <w:right w:val="single" w:color="000000" w:sz="4" w:space="0"/>
            </w:tcBorders>
            <w:noWrap w:val="0"/>
            <w:vAlign w:val="center"/>
          </w:tcPr>
          <w:p w14:paraId="0421900C">
            <w:pPr>
              <w:widowControl/>
              <w:jc w:val="center"/>
              <w:rPr>
                <w:rFonts w:ascii="宋体" w:hAnsi="宋体" w:cs="宋体"/>
                <w:color w:val="000000"/>
                <w:szCs w:val="21"/>
                <w:highlight w:val="none"/>
              </w:rPr>
            </w:pPr>
            <w:r>
              <w:rPr>
                <w:rFonts w:hint="eastAsia" w:ascii="宋体" w:hAnsi="宋体" w:cs="宋体"/>
                <w:color w:val="000000"/>
                <w:szCs w:val="21"/>
                <w:highlight w:val="none"/>
                <w:lang w:val="en-US" w:eastAsia="zh-CN" w:bidi="ar"/>
              </w:rPr>
              <w:t>6</w:t>
            </w:r>
            <w:r>
              <w:rPr>
                <w:rFonts w:hint="eastAsia" w:ascii="宋体" w:hAnsi="宋体" w:cs="宋体"/>
                <w:color w:val="000000"/>
                <w:szCs w:val="21"/>
                <w:highlight w:val="none"/>
                <w:lang w:bidi="ar"/>
              </w:rPr>
              <w:t>分</w:t>
            </w: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7D09D22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kern w:val="0"/>
                <w:sz w:val="21"/>
                <w:szCs w:val="21"/>
                <w:lang w:val="en-US" w:eastAsia="zh-CN" w:bidi="ar-SA"/>
              </w:rPr>
              <w:t>投标人提供的应急处理方案包括但不限于以下6项内容：</w:t>
            </w:r>
          </w:p>
          <w:p w14:paraId="74CCB12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①结果异议处理</w:t>
            </w:r>
            <w:r>
              <w:rPr>
                <w:rFonts w:hint="default" w:ascii="宋体" w:hAnsi="宋体" w:eastAsia="宋体" w:cs="宋体"/>
                <w:kern w:val="0"/>
                <w:sz w:val="21"/>
                <w:szCs w:val="21"/>
                <w:lang w:val="en-US" w:eastAsia="zh-CN" w:bidi="ar-SA"/>
              </w:rPr>
              <w:t>（受理时限、复核流程、告知方式、记录保存、责任主体）；</w:t>
            </w:r>
          </w:p>
          <w:p w14:paraId="1F9DA2D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②标本异常处置</w:t>
            </w:r>
            <w:r>
              <w:rPr>
                <w:rFonts w:hint="default" w:ascii="宋体" w:hAnsi="宋体" w:eastAsia="宋体" w:cs="宋体"/>
                <w:kern w:val="0"/>
                <w:sz w:val="21"/>
                <w:szCs w:val="21"/>
                <w:lang w:val="en-US" w:eastAsia="zh-CN" w:bidi="ar-SA"/>
              </w:rPr>
              <w:t>（异常确认、追溯路径、受检者告知、补救检测、责任主体）；</w:t>
            </w:r>
          </w:p>
          <w:p w14:paraId="50A9AC3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③报告异常处置</w:t>
            </w:r>
            <w:r>
              <w:rPr>
                <w:rFonts w:hint="default" w:ascii="宋体" w:hAnsi="宋体" w:eastAsia="宋体" w:cs="宋体"/>
                <w:kern w:val="0"/>
                <w:sz w:val="21"/>
                <w:szCs w:val="21"/>
                <w:lang w:val="en-US" w:eastAsia="zh-CN" w:bidi="ar-SA"/>
              </w:rPr>
              <w:t>（异常确认、身份核验、补发时限、电子备份、责任主体）；</w:t>
            </w:r>
          </w:p>
          <w:p w14:paraId="794FE74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④实验室安全事故</w:t>
            </w:r>
            <w:r>
              <w:rPr>
                <w:rFonts w:hint="default" w:ascii="宋体" w:hAnsi="宋体" w:eastAsia="宋体" w:cs="宋体"/>
                <w:kern w:val="0"/>
                <w:sz w:val="21"/>
                <w:szCs w:val="21"/>
                <w:lang w:val="en-US" w:eastAsia="zh-CN" w:bidi="ar-SA"/>
              </w:rPr>
              <w:t>（分级标准、紧急处置、上报时限、现场管控、责任主体）；</w:t>
            </w:r>
          </w:p>
          <w:p w14:paraId="4EC3A33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⑤设备与系统故障</w:t>
            </w:r>
            <w:r>
              <w:rPr>
                <w:rFonts w:hint="default" w:ascii="宋体" w:hAnsi="宋体" w:eastAsia="宋体" w:cs="宋体"/>
                <w:kern w:val="0"/>
                <w:sz w:val="21"/>
                <w:szCs w:val="21"/>
                <w:lang w:val="en-US" w:eastAsia="zh-CN" w:bidi="ar-SA"/>
              </w:rPr>
              <w:t>（报修时限、备用启用、延误告知、样本保护、责任主体）；</w:t>
            </w:r>
          </w:p>
          <w:p w14:paraId="2FDB026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cs="宋体"/>
                <w:kern w:val="0"/>
                <w:sz w:val="21"/>
                <w:szCs w:val="21"/>
                <w:lang w:val="en-US" w:eastAsia="zh-CN" w:bidi="ar-SA"/>
              </w:rPr>
            </w:pPr>
            <w:r>
              <w:rPr>
                <w:rFonts w:hint="default" w:ascii="宋体" w:hAnsi="宋体" w:eastAsia="宋体" w:cs="宋体"/>
                <w:b/>
                <w:bCs/>
                <w:kern w:val="0"/>
                <w:sz w:val="21"/>
                <w:szCs w:val="21"/>
                <w:lang w:val="en-US" w:eastAsia="zh-CN" w:bidi="ar-SA"/>
              </w:rPr>
              <w:t>⑥应急综合保障</w:t>
            </w:r>
            <w:r>
              <w:rPr>
                <w:rFonts w:hint="default" w:ascii="宋体" w:hAnsi="宋体" w:eastAsia="宋体" w:cs="宋体"/>
                <w:kern w:val="0"/>
                <w:sz w:val="21"/>
                <w:szCs w:val="21"/>
                <w:lang w:val="en-US" w:eastAsia="zh-CN" w:bidi="ar-SA"/>
              </w:rPr>
              <w:t>（响应时限精确到小时、分级处置流程、责任</w:t>
            </w:r>
            <w:r>
              <w:rPr>
                <w:rFonts w:hint="default" w:ascii="宋体" w:hAnsi="宋体" w:cs="宋体"/>
                <w:kern w:val="0"/>
                <w:sz w:val="21"/>
                <w:szCs w:val="21"/>
                <w:lang w:val="en-US" w:eastAsia="zh-CN" w:bidi="ar-SA"/>
              </w:rPr>
              <w:t>人及联络方式、年度演练记录、备用资源调配）。</w:t>
            </w:r>
          </w:p>
          <w:p w14:paraId="177761F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ascii="宋体" w:hAnsi="宋体" w:cs="宋体"/>
                <w:color w:val="000000"/>
                <w:szCs w:val="21"/>
                <w:highlight w:val="none"/>
                <w:lang w:bidi="ar"/>
              </w:rPr>
            </w:pPr>
            <w:r>
              <w:rPr>
                <w:rFonts w:hint="default" w:ascii="宋体" w:hAnsi="宋体" w:eastAsia="宋体" w:cs="宋体"/>
                <w:kern w:val="0"/>
                <w:sz w:val="21"/>
                <w:szCs w:val="21"/>
                <w:lang w:val="en-US" w:eastAsia="zh-CN" w:bidi="ar-SA"/>
              </w:rPr>
              <w:t>本项满分6分，每环节1分。评委逐项独立核算：括号内5项要素全部具备，且每项要素均载明执行要求（含标准、时限、流程或记录）及责任主体，</w:t>
            </w:r>
            <w:r>
              <w:rPr>
                <w:rFonts w:hint="eastAsia" w:ascii="宋体" w:hAnsi="宋体" w:eastAsia="宋体" w:cs="宋体"/>
                <w:kern w:val="0"/>
                <w:sz w:val="21"/>
                <w:szCs w:val="21"/>
                <w:lang w:val="en-US" w:eastAsia="zh-CN" w:bidi="ar-SA"/>
              </w:rPr>
              <w:t>则</w:t>
            </w:r>
            <w:r>
              <w:rPr>
                <w:rFonts w:hint="default" w:ascii="宋体" w:hAnsi="宋体" w:eastAsia="宋体" w:cs="宋体"/>
                <w:kern w:val="0"/>
                <w:sz w:val="21"/>
                <w:szCs w:val="21"/>
                <w:lang w:val="en-US" w:eastAsia="zh-CN" w:bidi="ar-SA"/>
              </w:rPr>
              <w:t>该环节得1分；缺少括号内任意1项必备要素，或该要素无执行要求、无责任主体，或存在套用其他项目方案、凭空编造、夸大承诺、违反法规标准等情形，该环节不得分。本项得分按6个环节累计。</w:t>
            </w:r>
          </w:p>
        </w:tc>
      </w:tr>
      <w:tr w14:paraId="46A043E8">
        <w:tblPrEx>
          <w:tblCellMar>
            <w:top w:w="0" w:type="dxa"/>
            <w:left w:w="108" w:type="dxa"/>
            <w:bottom w:w="0" w:type="dxa"/>
            <w:right w:w="108" w:type="dxa"/>
          </w:tblCellMar>
        </w:tblPrEx>
        <w:trPr>
          <w:trHeight w:val="700" w:hRule="atLeast"/>
          <w:jc w:val="center"/>
        </w:trPr>
        <w:tc>
          <w:tcPr>
            <w:tcW w:w="581" w:type="dxa"/>
            <w:tcBorders>
              <w:top w:val="single" w:color="000000" w:sz="4" w:space="0"/>
              <w:left w:val="single" w:color="000000" w:sz="4" w:space="0"/>
              <w:bottom w:val="single" w:color="000000" w:sz="4" w:space="0"/>
              <w:right w:val="single" w:color="000000" w:sz="4" w:space="0"/>
            </w:tcBorders>
            <w:noWrap w:val="0"/>
            <w:vAlign w:val="center"/>
          </w:tcPr>
          <w:p w14:paraId="5A5EBF89">
            <w:pPr>
              <w:widowControl/>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5</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A89D656">
            <w:pPr>
              <w:pStyle w:val="36"/>
              <w:ind w:left="0" w:leftChars="0" w:firstLine="0" w:firstLineChars="0"/>
              <w:jc w:val="center"/>
              <w:rPr>
                <w:rFonts w:hint="default" w:eastAsia="仿宋_GB2312"/>
                <w:lang w:val="en-US" w:eastAsia="zh-CN"/>
              </w:rPr>
            </w:pPr>
            <w:r>
              <w:rPr>
                <w:rFonts w:hint="eastAsia" w:ascii="宋体" w:hAnsi="宋体" w:eastAsia="宋体" w:cs="宋体"/>
                <w:color w:val="000000"/>
                <w:sz w:val="21"/>
                <w:szCs w:val="21"/>
                <w:highlight w:val="none"/>
                <w:lang w:val="en-US" w:eastAsia="zh-CN" w:bidi="ar"/>
              </w:rPr>
              <w:t>产品配置</w:t>
            </w:r>
          </w:p>
        </w:tc>
        <w:tc>
          <w:tcPr>
            <w:tcW w:w="651" w:type="dxa"/>
            <w:tcBorders>
              <w:top w:val="single" w:color="000000" w:sz="4" w:space="0"/>
              <w:left w:val="single" w:color="000000" w:sz="4" w:space="0"/>
              <w:bottom w:val="single" w:color="000000" w:sz="4" w:space="0"/>
              <w:right w:val="single" w:color="000000" w:sz="4" w:space="0"/>
            </w:tcBorders>
            <w:noWrap w:val="0"/>
            <w:vAlign w:val="center"/>
          </w:tcPr>
          <w:p w14:paraId="0F09F365">
            <w:pPr>
              <w:widowControl/>
              <w:jc w:val="center"/>
              <w:rPr>
                <w:rFonts w:ascii="宋体" w:hAnsi="宋体" w:cs="宋体"/>
                <w:color w:val="000000"/>
                <w:szCs w:val="21"/>
                <w:highlight w:val="none"/>
              </w:rPr>
            </w:pPr>
            <w:r>
              <w:rPr>
                <w:rFonts w:hint="eastAsia" w:ascii="宋体" w:hAnsi="宋体" w:cs="宋体"/>
                <w:color w:val="000000"/>
                <w:szCs w:val="21"/>
                <w:highlight w:val="none"/>
                <w:lang w:val="en-US" w:eastAsia="zh-CN" w:bidi="ar"/>
              </w:rPr>
              <w:t>8</w:t>
            </w:r>
            <w:r>
              <w:rPr>
                <w:rFonts w:hint="eastAsia" w:ascii="宋体" w:hAnsi="宋体" w:cs="宋体"/>
                <w:color w:val="000000"/>
                <w:szCs w:val="21"/>
                <w:highlight w:val="none"/>
                <w:lang w:bidi="ar"/>
              </w:rPr>
              <w:t>分</w:t>
            </w: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52CE05B6">
            <w:pPr>
              <w:pStyle w:val="13"/>
              <w:rPr>
                <w:rFonts w:hint="default" w:ascii="宋体" w:hAnsi="宋体" w:eastAsia="宋体" w:cs="宋体"/>
                <w:kern w:val="0"/>
                <w:sz w:val="21"/>
                <w:szCs w:val="21"/>
              </w:rPr>
            </w:pPr>
            <w:r>
              <w:rPr>
                <w:rFonts w:hint="default" w:ascii="宋体" w:hAnsi="宋体" w:eastAsia="宋体" w:cs="宋体"/>
                <w:kern w:val="0"/>
                <w:sz w:val="21"/>
                <w:szCs w:val="21"/>
                <w:lang w:val="en-US" w:eastAsia="zh-CN"/>
              </w:rPr>
              <w:t>服务期内拟用于本项目的检测试剂盒，须为取得NMPA批准且在有效期内的医疗器械注册证产品。投标人须提供注册证扫描件、NMPA官网查询截图、试剂合法来源证明，注册证产品名称须与投标产品一致。不满足上述要求的，本项不得分。</w:t>
            </w:r>
          </w:p>
          <w:p w14:paraId="25B9F086">
            <w:pPr>
              <w:pStyle w:val="13"/>
              <w:rPr>
                <w:rFonts w:hint="default" w:ascii="宋体" w:hAnsi="宋体" w:eastAsia="宋体" w:cs="宋体"/>
                <w:kern w:val="0"/>
                <w:sz w:val="21"/>
                <w:szCs w:val="21"/>
              </w:rPr>
            </w:pPr>
            <w:r>
              <w:rPr>
                <w:rFonts w:hint="default" w:ascii="宋体" w:hAnsi="宋体" w:eastAsia="宋体" w:cs="宋体"/>
                <w:kern w:val="0"/>
                <w:sz w:val="21"/>
                <w:szCs w:val="21"/>
                <w:lang w:val="en-US" w:eastAsia="zh-CN"/>
              </w:rPr>
              <w:t>1. 提供的试剂盒具有国家药品监督管理局（NMPA）批准的医疗器械注册证，注册证载明采用高通量测序（NGS）技术、检测基因数量≥5个的肿瘤检测试剂盒，提供全套合规材料（包括：医疗器械注册证扫描件、NMPA官网查询截图、试剂合法来源证明、采购合同及日常使用出入库证明材料）的，得</w:t>
            </w:r>
            <w:r>
              <w:rPr>
                <w:rFonts w:hint="eastAsia" w:ascii="宋体" w:hAnsi="宋体" w:eastAsia="宋体" w:cs="宋体"/>
                <w:kern w:val="0"/>
                <w:sz w:val="21"/>
                <w:szCs w:val="21"/>
                <w:lang w:val="en-US" w:eastAsia="zh-CN"/>
              </w:rPr>
              <w:t>4</w:t>
            </w:r>
            <w:r>
              <w:rPr>
                <w:rFonts w:hint="default" w:ascii="宋体" w:hAnsi="宋体" w:eastAsia="宋体" w:cs="宋体"/>
                <w:kern w:val="0"/>
                <w:sz w:val="21"/>
                <w:szCs w:val="21"/>
                <w:lang w:val="en-US" w:eastAsia="zh-CN"/>
              </w:rPr>
              <w:t>分；</w:t>
            </w:r>
          </w:p>
          <w:p w14:paraId="668B1C33">
            <w:pPr>
              <w:pStyle w:val="13"/>
              <w:rPr>
                <w:rFonts w:hint="default" w:ascii="宋体" w:hAnsi="宋体" w:eastAsia="宋体" w:cs="宋体"/>
                <w:kern w:val="0"/>
                <w:sz w:val="21"/>
                <w:szCs w:val="21"/>
              </w:rPr>
            </w:pPr>
            <w:r>
              <w:rPr>
                <w:rFonts w:hint="default" w:ascii="宋体" w:hAnsi="宋体" w:eastAsia="宋体" w:cs="宋体"/>
                <w:kern w:val="0"/>
                <w:sz w:val="21"/>
                <w:szCs w:val="21"/>
                <w:lang w:val="en-US" w:eastAsia="zh-CN"/>
              </w:rPr>
              <w:t>2. 提供的试剂盒具有国家药品监督管理局（NMPA）批准的医疗器械注册证，注册证载明方法学为PCR且与本项目采购服务内容相关的肿瘤基因检测试剂盒，每提供一套</w:t>
            </w:r>
            <w:r>
              <w:rPr>
                <w:rFonts w:hint="eastAsia" w:ascii="宋体" w:hAnsi="宋体" w:eastAsia="宋体" w:cs="宋体"/>
                <w:kern w:val="0"/>
                <w:sz w:val="21"/>
                <w:szCs w:val="21"/>
                <w:lang w:val="en-US" w:eastAsia="zh-CN"/>
              </w:rPr>
              <w:t>完整</w:t>
            </w:r>
            <w:r>
              <w:rPr>
                <w:rFonts w:hint="default" w:ascii="宋体" w:hAnsi="宋体" w:eastAsia="宋体" w:cs="宋体"/>
                <w:kern w:val="0"/>
                <w:sz w:val="21"/>
                <w:szCs w:val="21"/>
                <w:lang w:val="en-US" w:eastAsia="zh-CN"/>
              </w:rPr>
              <w:t>合规材料（包括：医疗器械注册证扫描件、NMPA官网查询截图、试剂合法来源证明、采购合同及日常使用出入库证明材料）的得2分，本小项累计最高得4分。</w:t>
            </w:r>
          </w:p>
          <w:p w14:paraId="737580BC">
            <w:pPr>
              <w:pStyle w:val="13"/>
              <w:numPr>
                <w:ilvl w:val="0"/>
                <w:numId w:val="0"/>
              </w:numPr>
              <w:ind w:leftChars="0"/>
              <w:rPr>
                <w:rFonts w:ascii="宋体" w:hAnsi="宋体" w:cs="宋体"/>
                <w:szCs w:val="21"/>
                <w:highlight w:val="none"/>
              </w:rPr>
            </w:pPr>
            <w:r>
              <w:rPr>
                <w:rFonts w:hint="eastAsia" w:ascii="宋体" w:hAnsi="宋体" w:cs="宋体"/>
                <w:sz w:val="21"/>
                <w:szCs w:val="21"/>
                <w:lang w:val="en-US" w:eastAsia="zh-CN"/>
              </w:rPr>
              <w:t>注：</w:t>
            </w:r>
            <w:r>
              <w:rPr>
                <w:rFonts w:ascii="宋体" w:hAnsi="宋体" w:eastAsia="宋体" w:cs="宋体"/>
                <w:sz w:val="21"/>
                <w:szCs w:val="21"/>
              </w:rPr>
              <w:t>1.以</w:t>
            </w:r>
            <w:r>
              <w:rPr>
                <w:rStyle w:val="32"/>
                <w:rFonts w:ascii="宋体" w:hAnsi="宋体" w:eastAsia="宋体" w:cs="宋体"/>
                <w:b/>
                <w:bCs/>
                <w:color w:val="000000"/>
                <w:sz w:val="21"/>
                <w:szCs w:val="21"/>
              </w:rPr>
              <w:t>医疗器械注册证号</w:t>
            </w:r>
            <w:r>
              <w:rPr>
                <w:rFonts w:ascii="宋体" w:hAnsi="宋体" w:eastAsia="宋体" w:cs="宋体"/>
                <w:sz w:val="21"/>
                <w:szCs w:val="21"/>
              </w:rPr>
              <w:t>为唯一判定依据，同一注册证号的试剂盒仅计分1次，不得重复计分；2.所有证明材料须</w:t>
            </w:r>
            <w:r>
              <w:rPr>
                <w:rFonts w:hint="eastAsia" w:ascii="宋体" w:hAnsi="宋体" w:cs="宋体"/>
                <w:sz w:val="21"/>
                <w:szCs w:val="21"/>
                <w:lang w:val="en-US" w:eastAsia="zh-CN"/>
              </w:rPr>
              <w:t>真实有效，并</w:t>
            </w:r>
            <w:r>
              <w:rPr>
                <w:rFonts w:ascii="宋体" w:hAnsi="宋体" w:eastAsia="宋体" w:cs="宋体"/>
                <w:sz w:val="21"/>
                <w:szCs w:val="21"/>
              </w:rPr>
              <w:t>加盖投标人公章</w:t>
            </w:r>
            <w:r>
              <w:rPr>
                <w:rFonts w:hint="eastAsia" w:ascii="宋体" w:hAnsi="宋体" w:cs="宋体"/>
                <w:sz w:val="21"/>
                <w:szCs w:val="21"/>
                <w:lang w:val="en-US" w:eastAsia="zh-CN"/>
              </w:rPr>
              <w:t>，</w:t>
            </w:r>
            <w:r>
              <w:rPr>
                <w:rFonts w:ascii="宋体" w:hAnsi="宋体" w:eastAsia="宋体" w:cs="宋体"/>
                <w:sz w:val="21"/>
                <w:szCs w:val="21"/>
              </w:rPr>
              <w:t>未按要求提供的，对应内容不予计分。</w:t>
            </w:r>
          </w:p>
        </w:tc>
      </w:tr>
      <w:tr w14:paraId="47A7F3EF">
        <w:tblPrEx>
          <w:tblCellMar>
            <w:top w:w="0" w:type="dxa"/>
            <w:left w:w="108" w:type="dxa"/>
            <w:bottom w:w="0" w:type="dxa"/>
            <w:right w:w="108" w:type="dxa"/>
          </w:tblCellMar>
        </w:tblPrEx>
        <w:trPr>
          <w:trHeight w:val="2486" w:hRule="atLeast"/>
          <w:jc w:val="center"/>
        </w:trPr>
        <w:tc>
          <w:tcPr>
            <w:tcW w:w="581" w:type="dxa"/>
            <w:tcBorders>
              <w:top w:val="single" w:color="000000" w:sz="4" w:space="0"/>
              <w:left w:val="single" w:color="000000" w:sz="4" w:space="0"/>
              <w:bottom w:val="single" w:color="000000" w:sz="4" w:space="0"/>
              <w:right w:val="single" w:color="000000" w:sz="4" w:space="0"/>
            </w:tcBorders>
            <w:noWrap w:val="0"/>
            <w:vAlign w:val="center"/>
          </w:tcPr>
          <w:p w14:paraId="7548B509">
            <w:pPr>
              <w:widowControl/>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6</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3386902">
            <w:pPr>
              <w:pStyle w:val="36"/>
              <w:ind w:left="0" w:leftChars="0" w:firstLine="0" w:firstLineChars="0"/>
              <w:jc w:val="center"/>
              <w:rPr>
                <w:rFonts w:hint="default" w:eastAsia="仿宋_GB2312"/>
                <w:lang w:val="en-US" w:eastAsia="zh-CN"/>
              </w:rPr>
            </w:pPr>
            <w:r>
              <w:rPr>
                <w:rFonts w:hint="eastAsia" w:ascii="宋体" w:hAnsi="宋体" w:eastAsia="宋体" w:cs="宋体"/>
                <w:color w:val="000000"/>
                <w:sz w:val="21"/>
                <w:szCs w:val="21"/>
                <w:highlight w:val="none"/>
                <w:lang w:val="en-US" w:eastAsia="zh-CN" w:bidi="ar"/>
              </w:rPr>
              <w:t>履约能力</w:t>
            </w:r>
          </w:p>
        </w:tc>
        <w:tc>
          <w:tcPr>
            <w:tcW w:w="651" w:type="dxa"/>
            <w:tcBorders>
              <w:top w:val="single" w:color="000000" w:sz="4" w:space="0"/>
              <w:left w:val="single" w:color="000000" w:sz="4" w:space="0"/>
              <w:bottom w:val="single" w:color="000000" w:sz="4" w:space="0"/>
              <w:right w:val="single" w:color="000000" w:sz="4" w:space="0"/>
            </w:tcBorders>
            <w:noWrap w:val="0"/>
            <w:vAlign w:val="center"/>
          </w:tcPr>
          <w:p w14:paraId="6FB2E007">
            <w:pPr>
              <w:widowControl/>
              <w:jc w:val="center"/>
              <w:rPr>
                <w:rFonts w:ascii="宋体" w:hAnsi="宋体" w:cs="宋体"/>
                <w:szCs w:val="21"/>
                <w:highlight w:val="none"/>
              </w:rPr>
            </w:pPr>
            <w:r>
              <w:rPr>
                <w:rFonts w:hint="eastAsia" w:ascii="宋体" w:hAnsi="宋体" w:cs="宋体"/>
                <w:szCs w:val="21"/>
                <w:highlight w:val="none"/>
                <w:lang w:bidi="ar"/>
              </w:rPr>
              <w:t>12分</w:t>
            </w: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573A52A7">
            <w:pPr>
              <w:keepNext w:val="0"/>
              <w:keepLines w:val="0"/>
              <w:widowControl/>
              <w:numPr>
                <w:ilvl w:val="0"/>
                <w:numId w:val="7"/>
              </w:numPr>
              <w:suppressLineNumbers w:val="0"/>
              <w:jc w:val="left"/>
              <w:rPr>
                <w:rFonts w:ascii="宋体" w:hAnsi="宋体" w:eastAsia="宋体" w:cs="宋体"/>
                <w:color w:val="000000"/>
                <w:sz w:val="21"/>
                <w:szCs w:val="21"/>
                <w:highlight w:val="none"/>
              </w:rPr>
            </w:pPr>
            <w:r>
              <w:rPr>
                <w:rFonts w:hint="default" w:ascii="宋体" w:hAnsi="宋体" w:eastAsia="宋体" w:cs="宋体"/>
                <w:color w:val="000000"/>
                <w:kern w:val="0"/>
                <w:sz w:val="21"/>
                <w:szCs w:val="21"/>
                <w:highlight w:val="none"/>
                <w:lang w:val="en-US" w:eastAsia="zh-CN" w:bidi="ar-SA"/>
              </w:rPr>
              <w:t>投标人提供近三年（含采购公告发布当年度）国家卫生健康委临床检验中心颁发的肿瘤基因高通量测序检测室间质评合格证书，检测项目须为实体瘤体细胞突变高通量测序检测或肿瘤游离DNA基因突变高通量测序检测，每提供1份得2分，本项最高得6分。</w:t>
            </w:r>
          </w:p>
          <w:p w14:paraId="591A511E">
            <w:pPr>
              <w:keepNext w:val="0"/>
              <w:keepLines w:val="0"/>
              <w:widowControl/>
              <w:numPr>
                <w:ilvl w:val="0"/>
                <w:numId w:val="0"/>
              </w:numPr>
              <w:suppressLineNumbers w:val="0"/>
              <w:jc w:val="left"/>
              <w:rPr>
                <w:rFonts w:ascii="宋体" w:hAnsi="宋体" w:eastAsia="宋体" w:cs="宋体"/>
                <w:color w:val="000000"/>
                <w:sz w:val="21"/>
                <w:szCs w:val="21"/>
                <w:highlight w:val="none"/>
              </w:rPr>
            </w:pPr>
            <w:r>
              <w:rPr>
                <w:rFonts w:ascii="宋体" w:hAnsi="宋体" w:eastAsia="宋体" w:cs="宋体"/>
                <w:color w:val="000000"/>
                <w:sz w:val="21"/>
                <w:szCs w:val="21"/>
                <w:highlight w:val="none"/>
              </w:rPr>
              <w:t>2.投标人</w:t>
            </w:r>
            <w:r>
              <w:rPr>
                <w:rFonts w:hint="eastAsia" w:ascii="宋体" w:hAnsi="宋体" w:eastAsia="宋体" w:cs="宋体"/>
                <w:color w:val="000000"/>
                <w:sz w:val="21"/>
                <w:szCs w:val="21"/>
                <w:highlight w:val="none"/>
                <w:lang w:val="en-US" w:eastAsia="zh-CN"/>
              </w:rPr>
              <w:t>提供近三</w:t>
            </w:r>
            <w:r>
              <w:rPr>
                <w:rFonts w:hint="default" w:ascii="宋体" w:hAnsi="宋体" w:eastAsia="宋体" w:cs="宋体"/>
                <w:color w:val="000000"/>
                <w:kern w:val="0"/>
                <w:sz w:val="21"/>
                <w:szCs w:val="21"/>
                <w:highlight w:val="none"/>
                <w:lang w:val="en-US" w:eastAsia="zh-CN" w:bidi="ar-SA"/>
              </w:rPr>
              <w:t>年（含采购公告发布当年度）</w:t>
            </w:r>
            <w:r>
              <w:rPr>
                <w:rFonts w:ascii="宋体" w:hAnsi="宋体" w:eastAsia="宋体" w:cs="宋体"/>
                <w:color w:val="000000"/>
                <w:sz w:val="21"/>
                <w:szCs w:val="21"/>
                <w:highlight w:val="none"/>
              </w:rPr>
              <w:t>获得省级临床检验中心</w:t>
            </w:r>
            <w:r>
              <w:rPr>
                <w:rFonts w:hint="eastAsia" w:ascii="宋体" w:hAnsi="宋体" w:eastAsia="宋体" w:cs="宋体"/>
                <w:color w:val="000000"/>
                <w:sz w:val="21"/>
                <w:szCs w:val="21"/>
                <w:highlight w:val="none"/>
              </w:rPr>
              <w:t>或</w:t>
            </w:r>
            <w:r>
              <w:rPr>
                <w:rFonts w:ascii="宋体" w:hAnsi="宋体" w:eastAsia="宋体" w:cs="宋体"/>
                <w:color w:val="000000"/>
                <w:sz w:val="21"/>
                <w:szCs w:val="21"/>
                <w:highlight w:val="none"/>
              </w:rPr>
              <w:t>省级病理质控中心</w:t>
            </w:r>
            <w:r>
              <w:rPr>
                <w:rFonts w:hint="eastAsia" w:ascii="宋体" w:hAnsi="宋体" w:eastAsia="宋体" w:cs="宋体"/>
                <w:color w:val="000000"/>
                <w:sz w:val="21"/>
                <w:szCs w:val="21"/>
                <w:highlight w:val="none"/>
              </w:rPr>
              <w:t>或</w:t>
            </w:r>
            <w:r>
              <w:rPr>
                <w:rFonts w:ascii="宋体" w:hAnsi="宋体" w:eastAsia="宋体" w:cs="宋体"/>
                <w:color w:val="000000"/>
                <w:sz w:val="21"/>
                <w:szCs w:val="21"/>
                <w:highlight w:val="none"/>
              </w:rPr>
              <w:t>病理专业质控中心颁发的与本次采购项目对应的室间质评合格证书，每提供1份得2分，本项最高得6分。</w:t>
            </w:r>
          </w:p>
          <w:p w14:paraId="3BBB1CD1">
            <w:pPr>
              <w:pStyle w:val="216"/>
              <w:rPr>
                <w:rFonts w:ascii="宋体" w:hAnsi="宋体" w:eastAsia="宋体" w:cs="宋体"/>
                <w:color w:val="000000"/>
                <w:sz w:val="21"/>
                <w:szCs w:val="21"/>
                <w:highlight w:val="none"/>
              </w:rPr>
            </w:pPr>
            <w:r>
              <w:rPr>
                <w:rFonts w:ascii="宋体" w:hAnsi="宋体" w:eastAsia="宋体" w:cs="宋体"/>
                <w:b/>
                <w:bCs/>
                <w:szCs w:val="21"/>
                <w:highlight w:val="none"/>
              </w:rPr>
              <w:t>注：上述证书重复不得分</w:t>
            </w:r>
            <w:r>
              <w:rPr>
                <w:rFonts w:ascii="宋体" w:hAnsi="宋体" w:eastAsia="宋体" w:cs="宋体"/>
                <w:szCs w:val="21"/>
                <w:highlight w:val="none"/>
              </w:rPr>
              <w:t>（已在第1项计分的证书，不得在第2项重复计分）；室间质评不合格</w:t>
            </w:r>
            <w:r>
              <w:rPr>
                <w:rFonts w:hint="eastAsia" w:ascii="宋体" w:hAnsi="宋体" w:eastAsia="宋体" w:cs="宋体"/>
                <w:szCs w:val="21"/>
                <w:highlight w:val="none"/>
              </w:rPr>
              <w:t>或</w:t>
            </w:r>
            <w:r>
              <w:rPr>
                <w:rFonts w:hint="eastAsia" w:ascii="宋体" w:hAnsi="宋体" w:cs="宋体"/>
                <w:szCs w:val="21"/>
                <w:highlight w:val="none"/>
                <w:lang w:val="en-US" w:eastAsia="zh-CN"/>
              </w:rPr>
              <w:t>不通过</w:t>
            </w:r>
            <w:r>
              <w:rPr>
                <w:rFonts w:ascii="宋体" w:hAnsi="宋体" w:eastAsia="宋体" w:cs="宋体"/>
                <w:szCs w:val="21"/>
                <w:highlight w:val="none"/>
              </w:rPr>
              <w:t>的证书</w:t>
            </w:r>
            <w:r>
              <w:rPr>
                <w:rFonts w:hint="eastAsia" w:ascii="宋体" w:hAnsi="宋体" w:cs="宋体"/>
                <w:szCs w:val="21"/>
                <w:highlight w:val="none"/>
                <w:lang w:eastAsia="zh-CN"/>
              </w:rPr>
              <w:t>，</w:t>
            </w:r>
            <w:r>
              <w:rPr>
                <w:rFonts w:hint="eastAsia" w:ascii="宋体" w:hAnsi="宋体" w:cs="宋体"/>
                <w:b/>
                <w:bCs/>
                <w:strike w:val="0"/>
                <w:dstrike w:val="0"/>
                <w:color w:val="auto"/>
                <w:szCs w:val="21"/>
                <w:highlight w:val="none"/>
                <w:lang w:val="en-US" w:eastAsia="zh-CN"/>
              </w:rPr>
              <w:t>视为不符合该项履约能力，不计入得分</w:t>
            </w:r>
            <w:r>
              <w:rPr>
                <w:rFonts w:ascii="宋体" w:hAnsi="宋体" w:eastAsia="宋体" w:cs="宋体"/>
                <w:b/>
                <w:bCs/>
                <w:color w:val="auto"/>
                <w:szCs w:val="21"/>
                <w:highlight w:val="none"/>
              </w:rPr>
              <w:t>。</w:t>
            </w:r>
          </w:p>
        </w:tc>
      </w:tr>
      <w:tr w14:paraId="54CF7EE0">
        <w:tblPrEx>
          <w:tblCellMar>
            <w:top w:w="0" w:type="dxa"/>
            <w:left w:w="108" w:type="dxa"/>
            <w:bottom w:w="0" w:type="dxa"/>
            <w:right w:w="108" w:type="dxa"/>
          </w:tblCellMar>
        </w:tblPrEx>
        <w:trPr>
          <w:trHeight w:val="90" w:hRule="atLeast"/>
          <w:jc w:val="center"/>
        </w:trPr>
        <w:tc>
          <w:tcPr>
            <w:tcW w:w="581" w:type="dxa"/>
            <w:tcBorders>
              <w:top w:val="single" w:color="000000" w:sz="4" w:space="0"/>
              <w:left w:val="single" w:color="000000" w:sz="4" w:space="0"/>
              <w:bottom w:val="single" w:color="000000" w:sz="4" w:space="0"/>
              <w:right w:val="single" w:color="000000" w:sz="4" w:space="0"/>
            </w:tcBorders>
            <w:noWrap w:val="0"/>
            <w:vAlign w:val="center"/>
          </w:tcPr>
          <w:p w14:paraId="4FA4C8D0">
            <w:pPr>
              <w:widowControl/>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7</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4A721A0D">
            <w:pPr>
              <w:widowControl/>
              <w:jc w:val="center"/>
              <w:rPr>
                <w:rFonts w:ascii="宋体" w:hAnsi="宋体" w:cs="宋体"/>
                <w:color w:val="000000"/>
                <w:szCs w:val="21"/>
                <w:highlight w:val="none"/>
              </w:rPr>
            </w:pPr>
            <w:r>
              <w:rPr>
                <w:rFonts w:hint="eastAsia" w:ascii="宋体" w:hAnsi="宋体" w:cs="宋体"/>
                <w:color w:val="000000"/>
                <w:szCs w:val="21"/>
                <w:highlight w:val="none"/>
                <w:lang w:bidi="ar"/>
              </w:rPr>
              <w:t>质量控制</w:t>
            </w:r>
          </w:p>
        </w:tc>
        <w:tc>
          <w:tcPr>
            <w:tcW w:w="651" w:type="dxa"/>
            <w:tcBorders>
              <w:top w:val="single" w:color="000000" w:sz="4" w:space="0"/>
              <w:left w:val="single" w:color="000000" w:sz="4" w:space="0"/>
              <w:bottom w:val="single" w:color="000000" w:sz="4" w:space="0"/>
              <w:right w:val="single" w:color="000000" w:sz="4" w:space="0"/>
            </w:tcBorders>
            <w:noWrap w:val="0"/>
            <w:vAlign w:val="center"/>
          </w:tcPr>
          <w:p w14:paraId="255CB78B">
            <w:pPr>
              <w:widowControl/>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bidi="ar"/>
              </w:rPr>
              <w:t>16分</w:t>
            </w: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09BB788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kern w:val="0"/>
                <w:sz w:val="21"/>
                <w:szCs w:val="21"/>
                <w:lang w:val="en-US" w:eastAsia="zh-CN" w:bidi="ar-SA"/>
              </w:rPr>
              <w:t>1.SOP文件体系（本</w:t>
            </w:r>
            <w:r>
              <w:rPr>
                <w:rFonts w:hint="eastAsia" w:ascii="宋体" w:hAnsi="宋体" w:cs="宋体"/>
                <w:kern w:val="0"/>
                <w:sz w:val="21"/>
                <w:szCs w:val="21"/>
                <w:lang w:val="en-US" w:eastAsia="zh-CN" w:bidi="ar-SA"/>
              </w:rPr>
              <w:t>环节满分</w:t>
            </w:r>
            <w:r>
              <w:rPr>
                <w:rFonts w:hint="default" w:ascii="宋体" w:hAnsi="宋体" w:eastAsia="宋体" w:cs="宋体"/>
                <w:kern w:val="0"/>
                <w:sz w:val="21"/>
                <w:szCs w:val="21"/>
                <w:lang w:val="en-US" w:eastAsia="zh-CN" w:bidi="ar-SA"/>
              </w:rPr>
              <w:t>3分）</w:t>
            </w:r>
          </w:p>
          <w:p w14:paraId="6D174AF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kern w:val="0"/>
                <w:sz w:val="21"/>
                <w:szCs w:val="21"/>
                <w:lang w:val="en-US" w:eastAsia="zh-CN" w:bidi="ar-SA"/>
              </w:rPr>
              <w:t>须提供覆盖以下6个核心环节的完整SOP全文（非目录/框架/节选）：</w:t>
            </w:r>
          </w:p>
          <w:p w14:paraId="18CBE40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①样本接收</w:t>
            </w:r>
            <w:r>
              <w:rPr>
                <w:rFonts w:hint="default" w:ascii="宋体" w:hAnsi="宋体" w:eastAsia="宋体" w:cs="宋体"/>
                <w:kern w:val="0"/>
                <w:sz w:val="21"/>
                <w:szCs w:val="21"/>
                <w:lang w:val="en-US" w:eastAsia="zh-CN" w:bidi="ar-SA"/>
              </w:rPr>
              <w:t>（接收标准、运输状态核查、不合格处置、责任主体）；</w:t>
            </w:r>
          </w:p>
          <w:p w14:paraId="456E953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②核酸提取</w:t>
            </w:r>
            <w:r>
              <w:rPr>
                <w:rFonts w:hint="default" w:ascii="宋体" w:hAnsi="宋体" w:eastAsia="宋体" w:cs="宋体"/>
                <w:kern w:val="0"/>
                <w:sz w:val="21"/>
                <w:szCs w:val="21"/>
                <w:lang w:val="en-US" w:eastAsia="zh-CN" w:bidi="ar-SA"/>
              </w:rPr>
              <w:t>（提取方法、质控标准、不合格处置、责任主体）；</w:t>
            </w:r>
          </w:p>
          <w:p w14:paraId="322DC1D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③文库构建</w:t>
            </w:r>
            <w:r>
              <w:rPr>
                <w:rFonts w:hint="default" w:ascii="宋体" w:hAnsi="宋体" w:eastAsia="宋体" w:cs="宋体"/>
                <w:kern w:val="0"/>
                <w:sz w:val="21"/>
                <w:szCs w:val="21"/>
                <w:lang w:val="en-US" w:eastAsia="zh-CN" w:bidi="ar-SA"/>
              </w:rPr>
              <w:t>（建库方法、质控标准、不合格处置、责任主体）；</w:t>
            </w:r>
          </w:p>
          <w:p w14:paraId="2E29C78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④上机测序</w:t>
            </w:r>
            <w:r>
              <w:rPr>
                <w:rFonts w:hint="default" w:ascii="宋体" w:hAnsi="宋体" w:eastAsia="宋体" w:cs="宋体"/>
                <w:kern w:val="0"/>
                <w:sz w:val="21"/>
                <w:szCs w:val="21"/>
                <w:lang w:val="en-US" w:eastAsia="zh-CN" w:bidi="ar-SA"/>
              </w:rPr>
              <w:t>（测序平台、质控标准、数据量要求、责任主体）；</w:t>
            </w:r>
          </w:p>
          <w:p w14:paraId="7CC311D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⑤生信分析</w:t>
            </w:r>
            <w:r>
              <w:rPr>
                <w:rFonts w:hint="default" w:ascii="宋体" w:hAnsi="宋体" w:eastAsia="宋体" w:cs="宋体"/>
                <w:kern w:val="0"/>
                <w:sz w:val="21"/>
                <w:szCs w:val="21"/>
                <w:lang w:val="en-US" w:eastAsia="zh-CN" w:bidi="ar-SA"/>
              </w:rPr>
              <w:t>（分析流程、质控标准、数据库版本、责任主体）；</w:t>
            </w:r>
          </w:p>
          <w:p w14:paraId="462B5DC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b/>
                <w:bCs/>
                <w:kern w:val="0"/>
                <w:sz w:val="21"/>
                <w:szCs w:val="21"/>
                <w:lang w:val="en-US" w:eastAsia="zh-CN" w:bidi="ar-SA"/>
              </w:rPr>
              <w:t>⑥报告解读</w:t>
            </w:r>
            <w:r>
              <w:rPr>
                <w:rFonts w:hint="default" w:ascii="宋体" w:hAnsi="宋体" w:eastAsia="宋体" w:cs="宋体"/>
                <w:kern w:val="0"/>
                <w:sz w:val="21"/>
                <w:szCs w:val="21"/>
                <w:lang w:val="en-US" w:eastAsia="zh-CN" w:bidi="ar-SA"/>
              </w:rPr>
              <w:t>（解读标准、外送报告回传机制、异常结果处置、责任主体）。每环节0.5分。逐项核算：提供完整文件且括号内4项要素全部具备，贴合</w:t>
            </w:r>
            <w:r>
              <w:rPr>
                <w:rFonts w:hint="eastAsia" w:ascii="宋体" w:hAnsi="宋体" w:eastAsia="宋体" w:cs="宋体"/>
                <w:kern w:val="0"/>
                <w:sz w:val="21"/>
                <w:szCs w:val="21"/>
                <w:lang w:val="en-US" w:eastAsia="zh-CN" w:bidi="ar-SA"/>
              </w:rPr>
              <w:t>本项目检测</w:t>
            </w:r>
            <w:r>
              <w:rPr>
                <w:rFonts w:hint="default" w:ascii="宋体" w:hAnsi="宋体" w:eastAsia="宋体" w:cs="宋体"/>
                <w:kern w:val="0"/>
                <w:sz w:val="21"/>
                <w:szCs w:val="21"/>
                <w:lang w:val="en-US" w:eastAsia="zh-CN" w:bidi="ar-SA"/>
              </w:rPr>
              <w:t>实际需求，得0.5分；未提供完整文件、缺少任意1项必备要素，或存在套用、编造、违反法规标准等情形，该环节不得分。</w:t>
            </w:r>
            <w:r>
              <w:rPr>
                <w:rFonts w:hint="eastAsia" w:ascii="宋体" w:hAnsi="宋体" w:cs="宋体"/>
                <w:kern w:val="0"/>
                <w:sz w:val="21"/>
                <w:szCs w:val="21"/>
                <w:lang w:val="en-US" w:eastAsia="zh-CN" w:bidi="ar-SA"/>
              </w:rPr>
              <w:t>本环节满分3分，</w:t>
            </w:r>
            <w:r>
              <w:rPr>
                <w:rFonts w:hint="default" w:ascii="宋体" w:hAnsi="宋体" w:eastAsia="宋体" w:cs="宋体"/>
                <w:kern w:val="0"/>
                <w:sz w:val="21"/>
                <w:szCs w:val="21"/>
                <w:lang w:val="en-US" w:eastAsia="zh-CN" w:bidi="ar-SA"/>
              </w:rPr>
              <w:t>累计计分。</w:t>
            </w:r>
          </w:p>
          <w:p w14:paraId="5914291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both"/>
              <w:textAlignment w:val="baseline"/>
              <w:rPr>
                <w:rFonts w:hint="default" w:ascii="宋体" w:hAnsi="宋体" w:eastAsia="宋体" w:cs="宋体"/>
                <w:kern w:val="0"/>
                <w:sz w:val="21"/>
                <w:szCs w:val="21"/>
                <w:lang w:val="en-US" w:eastAsia="zh-CN" w:bidi="ar-SA"/>
              </w:rPr>
            </w:pPr>
            <w:r>
              <w:rPr>
                <w:rFonts w:hint="default" w:ascii="宋体" w:hAnsi="宋体" w:eastAsia="宋体" w:cs="宋体"/>
                <w:kern w:val="0"/>
                <w:sz w:val="21"/>
                <w:szCs w:val="21"/>
                <w:lang w:val="en-US" w:eastAsia="zh-CN" w:bidi="ar-SA"/>
              </w:rPr>
              <w:t>2.质控指标体系与合规证明（本</w:t>
            </w:r>
            <w:r>
              <w:rPr>
                <w:rFonts w:hint="eastAsia" w:ascii="宋体" w:hAnsi="宋体" w:cs="宋体"/>
                <w:kern w:val="0"/>
                <w:sz w:val="21"/>
                <w:szCs w:val="21"/>
                <w:lang w:val="en-US" w:eastAsia="zh-CN" w:bidi="ar-SA"/>
              </w:rPr>
              <w:t>环节</w:t>
            </w:r>
            <w:r>
              <w:rPr>
                <w:rFonts w:hint="default" w:ascii="宋体" w:hAnsi="宋体" w:eastAsia="宋体" w:cs="宋体"/>
                <w:kern w:val="0"/>
                <w:sz w:val="21"/>
                <w:szCs w:val="21"/>
                <w:lang w:val="en-US" w:eastAsia="zh-CN" w:bidi="ar-SA"/>
              </w:rPr>
              <w:t>满分</w:t>
            </w:r>
            <w:r>
              <w:rPr>
                <w:rFonts w:hint="eastAsia" w:ascii="宋体" w:hAnsi="宋体" w:eastAsia="宋体" w:cs="宋体"/>
                <w:kern w:val="0"/>
                <w:sz w:val="21"/>
                <w:szCs w:val="21"/>
                <w:lang w:val="en-US" w:eastAsia="zh-CN" w:bidi="ar-SA"/>
              </w:rPr>
              <w:t>8</w:t>
            </w:r>
            <w:r>
              <w:rPr>
                <w:rFonts w:hint="default" w:ascii="宋体" w:hAnsi="宋体" w:eastAsia="宋体" w:cs="宋体"/>
                <w:kern w:val="0"/>
                <w:sz w:val="21"/>
                <w:szCs w:val="21"/>
                <w:lang w:val="en-US" w:eastAsia="zh-CN" w:bidi="ar-SA"/>
              </w:rPr>
              <w:t>分）</w:t>
            </w:r>
          </w:p>
          <w:p w14:paraId="4B710A7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both"/>
              <w:textAlignment w:val="baseline"/>
              <w:rPr>
                <w:rFonts w:hint="default" w:ascii="宋体" w:hAnsi="宋体" w:eastAsia="宋体" w:cs="宋体"/>
                <w:kern w:val="0"/>
                <w:sz w:val="21"/>
                <w:szCs w:val="21"/>
                <w:lang w:val="en-US" w:eastAsia="zh-CN" w:bidi="ar-SA"/>
              </w:rPr>
            </w:pPr>
            <w:r>
              <w:rPr>
                <w:rFonts w:hint="default" w:ascii="宋体" w:hAnsi="宋体" w:eastAsia="宋体" w:cs="宋体"/>
                <w:kern w:val="0"/>
                <w:sz w:val="21"/>
                <w:szCs w:val="21"/>
                <w:lang w:val="en-US" w:eastAsia="zh-CN" w:bidi="ar-SA"/>
              </w:rPr>
              <w:t>投标人须提供加盖公章的证明材料，覆盖以下</w:t>
            </w:r>
            <w:r>
              <w:rPr>
                <w:rFonts w:hint="eastAsia" w:ascii="宋体" w:hAnsi="宋体" w:eastAsia="宋体" w:cs="宋体"/>
                <w:kern w:val="0"/>
                <w:sz w:val="21"/>
                <w:szCs w:val="21"/>
                <w:lang w:val="en-US" w:eastAsia="zh-CN" w:bidi="ar-SA"/>
              </w:rPr>
              <w:t>8</w:t>
            </w:r>
            <w:r>
              <w:rPr>
                <w:rFonts w:hint="default" w:ascii="宋体" w:hAnsi="宋体" w:eastAsia="宋体" w:cs="宋体"/>
                <w:kern w:val="0"/>
                <w:sz w:val="21"/>
                <w:szCs w:val="21"/>
                <w:lang w:val="en-US" w:eastAsia="zh-CN" w:bidi="ar-SA"/>
              </w:rPr>
              <w:t>项：</w:t>
            </w:r>
          </w:p>
          <w:p w14:paraId="7076D5C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both"/>
              <w:textAlignment w:val="baseline"/>
              <w:rPr>
                <w:rFonts w:hint="default" w:ascii="宋体" w:hAnsi="宋体" w:eastAsia="宋体" w:cs="宋体"/>
                <w:kern w:val="0"/>
                <w:sz w:val="21"/>
                <w:szCs w:val="21"/>
                <w:lang w:val="en-US" w:eastAsia="zh-CN" w:bidi="ar-SA"/>
              </w:rPr>
            </w:pPr>
            <w:r>
              <w:rPr>
                <w:rFonts w:hint="default" w:ascii="宋体" w:hAnsi="宋体" w:eastAsia="宋体" w:cs="宋体"/>
                <w:kern w:val="0"/>
                <w:sz w:val="21"/>
                <w:szCs w:val="21"/>
                <w:lang w:val="en-US" w:eastAsia="zh-CN" w:bidi="ar-SA"/>
              </w:rPr>
              <w:t>①RNA核酸总量≥50ng（标准文件及验证记录）；②DNA纯度OD</w:t>
            </w:r>
            <w:r>
              <w:rPr>
                <w:rFonts w:hint="default" w:ascii="宋体" w:hAnsi="宋体" w:eastAsia="宋体" w:cs="宋体"/>
                <w:kern w:val="0"/>
                <w:sz w:val="21"/>
                <w:szCs w:val="21"/>
                <w:vertAlign w:val="subscript"/>
                <w:lang w:val="en-US" w:eastAsia="zh-CN" w:bidi="ar-SA"/>
              </w:rPr>
              <w:t>260</w:t>
            </w:r>
            <w:r>
              <w:rPr>
                <w:rFonts w:hint="default" w:ascii="宋体" w:hAnsi="宋体" w:eastAsia="宋体" w:cs="宋体"/>
                <w:kern w:val="0"/>
                <w:sz w:val="21"/>
                <w:szCs w:val="21"/>
                <w:lang w:val="en-US" w:eastAsia="zh-CN" w:bidi="ar-SA"/>
              </w:rPr>
              <w:t>/OD</w:t>
            </w:r>
            <w:r>
              <w:rPr>
                <w:rFonts w:hint="default" w:ascii="宋体" w:hAnsi="宋体" w:eastAsia="宋体" w:cs="宋体"/>
                <w:kern w:val="0"/>
                <w:sz w:val="21"/>
                <w:szCs w:val="21"/>
                <w:vertAlign w:val="subscript"/>
                <w:lang w:val="en-US" w:eastAsia="zh-CN" w:bidi="ar-SA"/>
              </w:rPr>
              <w:t>280</w:t>
            </w:r>
            <w:r>
              <w:rPr>
                <w:rFonts w:hint="eastAsia" w:ascii="宋体" w:hAnsi="宋体" w:eastAsia="宋体" w:cs="宋体"/>
                <w:kern w:val="0"/>
                <w:sz w:val="21"/>
                <w:szCs w:val="21"/>
                <w:vertAlign w:val="baseline"/>
                <w:lang w:val="en-US" w:eastAsia="zh-CN" w:bidi="ar-SA"/>
              </w:rPr>
              <w:t>为</w:t>
            </w:r>
            <w:r>
              <w:rPr>
                <w:rFonts w:hint="default" w:ascii="宋体" w:hAnsi="宋体" w:eastAsia="宋体" w:cs="宋体"/>
                <w:kern w:val="0"/>
                <w:sz w:val="21"/>
                <w:szCs w:val="21"/>
                <w:lang w:val="en-US" w:eastAsia="zh-CN" w:bidi="ar-SA"/>
              </w:rPr>
              <w:t>1.8～2.0（标准文件及验证记录）；③DNA与RNA数据分别质控（质控方案及记录）；④实体瘤DNA+RNA同时建库方案（如肺癌，技术方案）；⑤全套质控体系文件（加盖公章）；⑥NMPA注册证（明确可基于RNA水平检测融合）</w:t>
            </w:r>
            <w:r>
              <w:rPr>
                <w:rFonts w:hint="eastAsia" w:ascii="宋体" w:hAnsi="宋体" w:eastAsia="宋体" w:cs="宋体"/>
                <w:kern w:val="0"/>
                <w:sz w:val="21"/>
                <w:szCs w:val="21"/>
                <w:lang w:val="en-US" w:eastAsia="zh-CN" w:bidi="ar-SA"/>
              </w:rPr>
              <w:t>；</w:t>
            </w:r>
            <w:r>
              <w:rPr>
                <w:rFonts w:hint="default" w:ascii="宋体" w:hAnsi="宋体" w:eastAsia="宋体" w:cs="宋体"/>
                <w:kern w:val="0"/>
                <w:sz w:val="21"/>
                <w:szCs w:val="21"/>
                <w:lang w:val="en-US" w:eastAsia="zh-CN" w:bidi="ar-SA"/>
              </w:rPr>
              <w:t>⑦采购合同；</w:t>
            </w:r>
            <w:r>
              <w:rPr>
                <w:rFonts w:hint="eastAsia" w:ascii="宋体" w:hAnsi="宋体" w:eastAsia="宋体" w:cs="宋体"/>
                <w:kern w:val="0"/>
                <w:sz w:val="21"/>
                <w:szCs w:val="21"/>
                <w:lang w:val="en-US" w:eastAsia="zh-CN" w:bidi="ar-SA"/>
              </w:rPr>
              <w:t>⑧</w:t>
            </w:r>
            <w:r>
              <w:rPr>
                <w:rFonts w:hint="default" w:ascii="宋体" w:hAnsi="宋体" w:eastAsia="宋体" w:cs="宋体"/>
                <w:kern w:val="0"/>
                <w:sz w:val="21"/>
                <w:szCs w:val="21"/>
                <w:lang w:val="en-US" w:eastAsia="zh-CN" w:bidi="ar-SA"/>
              </w:rPr>
              <w:t>近6个月出入库使用记录。每项1分。逐项核算：提供真实有效材料，得1分；未提供、缺失或无效，该项不得分。</w:t>
            </w:r>
            <w:r>
              <w:rPr>
                <w:rFonts w:hint="eastAsia" w:ascii="宋体" w:hAnsi="宋体" w:cs="宋体"/>
                <w:kern w:val="0"/>
                <w:sz w:val="21"/>
                <w:szCs w:val="21"/>
                <w:lang w:val="en-US" w:eastAsia="zh-CN" w:bidi="ar-SA"/>
              </w:rPr>
              <w:t>本环节满分8分，</w:t>
            </w:r>
            <w:r>
              <w:rPr>
                <w:rFonts w:hint="default" w:ascii="宋体" w:hAnsi="宋体" w:eastAsia="宋体" w:cs="宋体"/>
                <w:kern w:val="0"/>
                <w:sz w:val="21"/>
                <w:szCs w:val="21"/>
                <w:lang w:val="en-US" w:eastAsia="zh-CN" w:bidi="ar-SA"/>
              </w:rPr>
              <w:t>累计计分。</w:t>
            </w:r>
          </w:p>
          <w:p w14:paraId="60C746D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kern w:val="0"/>
                <w:sz w:val="21"/>
                <w:szCs w:val="21"/>
                <w:lang w:val="en-US" w:eastAsia="zh-CN" w:bidi="ar-SA"/>
              </w:rPr>
              <w:t>3.室内质控执行（本</w:t>
            </w:r>
            <w:r>
              <w:rPr>
                <w:rFonts w:hint="eastAsia" w:ascii="宋体" w:hAnsi="宋体" w:cs="宋体"/>
                <w:kern w:val="0"/>
                <w:sz w:val="21"/>
                <w:szCs w:val="21"/>
                <w:lang w:val="en-US" w:eastAsia="zh-CN" w:bidi="ar-SA"/>
              </w:rPr>
              <w:t>环节满分</w:t>
            </w:r>
            <w:r>
              <w:rPr>
                <w:rFonts w:hint="default" w:ascii="宋体" w:hAnsi="宋体" w:eastAsia="宋体" w:cs="宋体"/>
                <w:kern w:val="0"/>
                <w:sz w:val="21"/>
                <w:szCs w:val="21"/>
                <w:lang w:val="en-US" w:eastAsia="zh-CN" w:bidi="ar-SA"/>
              </w:rPr>
              <w:t>5分）</w:t>
            </w:r>
          </w:p>
          <w:p w14:paraId="4D95343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rFonts w:hint="default" w:ascii="宋体" w:hAnsi="宋体" w:eastAsia="宋体" w:cs="宋体"/>
                <w:kern w:val="0"/>
                <w:sz w:val="21"/>
                <w:szCs w:val="21"/>
                <w:lang w:val="en-US" w:eastAsia="zh-CN" w:bidi="ar-SA"/>
              </w:rPr>
            </w:pPr>
            <w:r>
              <w:rPr>
                <w:rFonts w:hint="default" w:ascii="宋体" w:hAnsi="宋体" w:eastAsia="宋体" w:cs="宋体"/>
                <w:kern w:val="0"/>
                <w:sz w:val="21"/>
                <w:szCs w:val="21"/>
                <w:lang w:val="en-US" w:eastAsia="zh-CN" w:bidi="ar-SA"/>
              </w:rPr>
              <w:t>提供投标截止日起近5个月内，每月至少1次的室内质控完整记录（须含质控日期、质控品信息、检测结果、判定结论、操作及审核人员）。</w:t>
            </w:r>
          </w:p>
          <w:p w14:paraId="0D516AC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textAlignment w:val="baseline"/>
              <w:rPr>
                <w:color w:val="000000"/>
                <w:highlight w:val="none"/>
              </w:rPr>
            </w:pPr>
            <w:r>
              <w:rPr>
                <w:rFonts w:hint="default" w:ascii="宋体" w:hAnsi="宋体" w:eastAsia="宋体" w:cs="宋体"/>
                <w:kern w:val="0"/>
                <w:sz w:val="21"/>
                <w:szCs w:val="21"/>
                <w:lang w:val="en-US" w:eastAsia="zh-CN" w:bidi="ar-SA"/>
              </w:rPr>
              <w:t>每月1分。逐月核算：提供完整记录，得1分；当月未提供、记录不完整或存在套用、编造等情形，该月不得分。</w:t>
            </w:r>
            <w:r>
              <w:rPr>
                <w:rFonts w:hint="eastAsia" w:ascii="宋体" w:hAnsi="宋体" w:cs="宋体"/>
                <w:kern w:val="0"/>
                <w:sz w:val="21"/>
                <w:szCs w:val="21"/>
                <w:lang w:val="en-US" w:eastAsia="zh-CN" w:bidi="ar-SA"/>
              </w:rPr>
              <w:t>本环节满分5分，</w:t>
            </w:r>
            <w:r>
              <w:rPr>
                <w:rFonts w:hint="default" w:ascii="宋体" w:hAnsi="宋体" w:eastAsia="宋体" w:cs="宋体"/>
                <w:kern w:val="0"/>
                <w:sz w:val="21"/>
                <w:szCs w:val="21"/>
                <w:lang w:val="en-US" w:eastAsia="zh-CN" w:bidi="ar-SA"/>
              </w:rPr>
              <w:t>累计计分。</w:t>
            </w:r>
          </w:p>
        </w:tc>
      </w:tr>
      <w:tr w14:paraId="7DA3BA5B">
        <w:tblPrEx>
          <w:tblCellMar>
            <w:top w:w="0" w:type="dxa"/>
            <w:left w:w="108" w:type="dxa"/>
            <w:bottom w:w="0" w:type="dxa"/>
            <w:right w:w="108" w:type="dxa"/>
          </w:tblCellMar>
        </w:tblPrEx>
        <w:trPr>
          <w:trHeight w:val="401" w:hRule="atLeast"/>
          <w:jc w:val="center"/>
        </w:trPr>
        <w:tc>
          <w:tcPr>
            <w:tcW w:w="581" w:type="dxa"/>
            <w:tcBorders>
              <w:top w:val="single" w:color="000000" w:sz="4" w:space="0"/>
              <w:left w:val="single" w:color="000000" w:sz="4" w:space="0"/>
              <w:bottom w:val="single" w:color="000000" w:sz="4" w:space="0"/>
              <w:right w:val="single" w:color="000000" w:sz="4" w:space="0"/>
            </w:tcBorders>
            <w:noWrap w:val="0"/>
            <w:vAlign w:val="center"/>
          </w:tcPr>
          <w:p w14:paraId="7BD95FF1">
            <w:pPr>
              <w:widowControl/>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bidi="ar"/>
              </w:rPr>
              <w:t>8</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58704FB2">
            <w:pPr>
              <w:widowControl/>
              <w:jc w:val="center"/>
              <w:rPr>
                <w:rFonts w:ascii="宋体" w:hAnsi="宋体" w:cs="宋体"/>
                <w:color w:val="000000"/>
                <w:szCs w:val="21"/>
                <w:highlight w:val="none"/>
              </w:rPr>
            </w:pPr>
            <w:r>
              <w:rPr>
                <w:rFonts w:hint="eastAsia" w:ascii="宋体" w:hAnsi="宋体" w:cs="宋体"/>
                <w:color w:val="000000"/>
                <w:szCs w:val="21"/>
                <w:highlight w:val="none"/>
                <w:lang w:bidi="ar"/>
              </w:rPr>
              <w:t>项目人员配备</w:t>
            </w:r>
          </w:p>
        </w:tc>
        <w:tc>
          <w:tcPr>
            <w:tcW w:w="651" w:type="dxa"/>
            <w:tcBorders>
              <w:top w:val="single" w:color="000000" w:sz="4" w:space="0"/>
              <w:left w:val="single" w:color="000000" w:sz="4" w:space="0"/>
              <w:bottom w:val="single" w:color="000000" w:sz="4" w:space="0"/>
              <w:right w:val="single" w:color="000000" w:sz="4" w:space="0"/>
            </w:tcBorders>
            <w:noWrap w:val="0"/>
            <w:vAlign w:val="center"/>
          </w:tcPr>
          <w:p w14:paraId="1D136F42">
            <w:pPr>
              <w:widowControl/>
              <w:jc w:val="center"/>
              <w:rPr>
                <w:rFonts w:ascii="宋体" w:hAnsi="宋体" w:cs="宋体"/>
                <w:color w:val="000000"/>
                <w:szCs w:val="21"/>
                <w:highlight w:val="none"/>
              </w:rPr>
            </w:pPr>
            <w:r>
              <w:rPr>
                <w:rFonts w:hint="eastAsia" w:ascii="宋体" w:hAnsi="宋体" w:cs="宋体"/>
                <w:color w:val="000000"/>
                <w:szCs w:val="21"/>
                <w:highlight w:val="none"/>
                <w:lang w:bidi="ar"/>
              </w:rPr>
              <w:t>12分</w:t>
            </w: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24BA0271">
            <w:pPr>
              <w:widowControl/>
              <w:jc w:val="left"/>
              <w:rPr>
                <w:rFonts w:ascii="宋体" w:hAnsi="宋体" w:cs="宋体"/>
                <w:color w:val="000000"/>
                <w:szCs w:val="21"/>
                <w:highlight w:val="none"/>
                <w:lang w:bidi="ar"/>
              </w:rPr>
            </w:pPr>
            <w:r>
              <w:rPr>
                <w:rFonts w:hint="eastAsia" w:ascii="宋体" w:hAnsi="宋体" w:cs="宋体"/>
                <w:color w:val="000000"/>
                <w:szCs w:val="21"/>
                <w:highlight w:val="none"/>
                <w:lang w:bidi="ar"/>
              </w:rPr>
              <w:t>本项目拟投入人员总数（含项目负责人）不少于6人。</w:t>
            </w:r>
          </w:p>
          <w:p w14:paraId="6D321406">
            <w:pPr>
              <w:widowControl/>
              <w:numPr>
                <w:ilvl w:val="0"/>
                <w:numId w:val="8"/>
              </w:numPr>
              <w:jc w:val="left"/>
              <w:rPr>
                <w:rFonts w:ascii="宋体" w:hAnsi="宋体" w:cs="宋体"/>
                <w:color w:val="000000"/>
                <w:szCs w:val="21"/>
                <w:highlight w:val="none"/>
                <w:lang w:bidi="ar"/>
              </w:rPr>
            </w:pPr>
            <w:r>
              <w:rPr>
                <w:rFonts w:hint="eastAsia" w:ascii="宋体" w:hAnsi="宋体" w:cs="宋体"/>
                <w:color w:val="000000"/>
                <w:szCs w:val="21"/>
                <w:highlight w:val="none"/>
                <w:lang w:bidi="ar"/>
              </w:rPr>
              <w:t>项目负责人（6分）：</w:t>
            </w:r>
          </w:p>
          <w:p w14:paraId="0224A5EC">
            <w:pPr>
              <w:widowControl/>
              <w:numPr>
                <w:ilvl w:val="0"/>
                <w:numId w:val="0"/>
              </w:numPr>
              <w:jc w:val="left"/>
              <w:rPr>
                <w:rFonts w:ascii="宋体" w:hAnsi="宋体" w:cs="宋体"/>
                <w:color w:val="000000"/>
                <w:szCs w:val="21"/>
                <w:highlight w:val="none"/>
                <w:lang w:bidi="ar"/>
              </w:rPr>
            </w:pPr>
            <w:r>
              <w:rPr>
                <w:rFonts w:hint="eastAsia" w:ascii="宋体" w:hAnsi="宋体" w:cs="宋体"/>
                <w:color w:val="000000"/>
                <w:szCs w:val="21"/>
                <w:highlight w:val="none"/>
                <w:lang w:bidi="ar"/>
              </w:rPr>
              <w:t>（1）具有医学检验相关工作经历且具备医学检验相关副高级及以上专业技术职称；</w:t>
            </w:r>
          </w:p>
          <w:p w14:paraId="158510F1">
            <w:pPr>
              <w:widowControl/>
              <w:numPr>
                <w:ilvl w:val="0"/>
                <w:numId w:val="0"/>
              </w:numPr>
              <w:jc w:val="left"/>
              <w:rPr>
                <w:rFonts w:ascii="宋体" w:hAnsi="宋体" w:cs="宋体"/>
                <w:color w:val="000000"/>
                <w:szCs w:val="21"/>
                <w:highlight w:val="none"/>
                <w:lang w:bidi="ar"/>
              </w:rPr>
            </w:pPr>
            <w:r>
              <w:rPr>
                <w:rFonts w:hint="eastAsia" w:ascii="宋体" w:hAnsi="宋体" w:cs="宋体"/>
                <w:color w:val="000000"/>
                <w:szCs w:val="21"/>
                <w:highlight w:val="none"/>
                <w:lang w:bidi="ar"/>
              </w:rPr>
              <w:t>（2）持有医学检验</w:t>
            </w:r>
            <w:r>
              <w:rPr>
                <w:rFonts w:hint="eastAsia" w:ascii="宋体" w:hAnsi="宋体" w:cs="宋体"/>
                <w:color w:val="000000"/>
                <w:szCs w:val="21"/>
                <w:highlight w:val="none"/>
                <w:lang w:val="en-US" w:eastAsia="zh-CN" w:bidi="ar"/>
              </w:rPr>
              <w:t>相关的</w:t>
            </w:r>
            <w:r>
              <w:rPr>
                <w:rFonts w:hint="eastAsia" w:ascii="宋体" w:hAnsi="宋体" w:cs="宋体"/>
                <w:color w:val="000000"/>
                <w:szCs w:val="21"/>
                <w:highlight w:val="none"/>
                <w:lang w:bidi="ar"/>
              </w:rPr>
              <w:t>医师执业证书；</w:t>
            </w:r>
          </w:p>
          <w:p w14:paraId="7968BBE9">
            <w:pPr>
              <w:widowControl/>
              <w:numPr>
                <w:ilvl w:val="0"/>
                <w:numId w:val="0"/>
              </w:numPr>
              <w:jc w:val="left"/>
              <w:rPr>
                <w:rFonts w:ascii="宋体" w:hAnsi="宋体" w:cs="宋体"/>
                <w:color w:val="000000"/>
                <w:szCs w:val="21"/>
                <w:highlight w:val="none"/>
                <w:lang w:bidi="ar"/>
              </w:rPr>
            </w:pPr>
            <w:r>
              <w:rPr>
                <w:rFonts w:hint="eastAsia" w:ascii="宋体" w:hAnsi="宋体" w:cs="宋体"/>
                <w:color w:val="000000"/>
                <w:szCs w:val="21"/>
                <w:highlight w:val="none"/>
                <w:lang w:bidi="ar"/>
              </w:rPr>
              <w:t>（3）提供投标人为该项目负责人缴纳近3个月内任意1个月的社保证明或有效的聘用协议。</w:t>
            </w:r>
          </w:p>
          <w:p w14:paraId="6536B00A">
            <w:pPr>
              <w:widowControl/>
              <w:numPr>
                <w:ilvl w:val="0"/>
                <w:numId w:val="0"/>
              </w:numPr>
              <w:jc w:val="left"/>
              <w:rPr>
                <w:rFonts w:ascii="宋体" w:hAnsi="宋体" w:cs="宋体"/>
                <w:color w:val="000000"/>
                <w:szCs w:val="21"/>
                <w:highlight w:val="none"/>
                <w:lang w:bidi="ar"/>
              </w:rPr>
            </w:pPr>
            <w:r>
              <w:rPr>
                <w:rFonts w:hint="eastAsia" w:ascii="宋体" w:hAnsi="宋体" w:cs="宋体"/>
                <w:color w:val="000000"/>
                <w:szCs w:val="21"/>
                <w:highlight w:val="none"/>
                <w:lang w:bidi="ar"/>
              </w:rPr>
              <w:t>同时满足以上三项条件的得6分，</w:t>
            </w:r>
            <w:r>
              <w:rPr>
                <w:rFonts w:hint="eastAsia" w:ascii="宋体" w:hAnsi="宋体" w:cs="宋体"/>
                <w:color w:val="000000"/>
                <w:szCs w:val="21"/>
                <w:highlight w:val="none"/>
                <w:lang w:val="en-US" w:eastAsia="zh-CN" w:bidi="ar"/>
              </w:rPr>
              <w:t>提供不全或不提供</w:t>
            </w:r>
            <w:r>
              <w:rPr>
                <w:rFonts w:hint="eastAsia" w:ascii="宋体" w:hAnsi="宋体" w:cs="宋体"/>
                <w:color w:val="000000"/>
                <w:szCs w:val="21"/>
                <w:highlight w:val="none"/>
                <w:lang w:bidi="ar"/>
              </w:rPr>
              <w:t>不得分。（提供工作履历、职称证书、执业证书、近3个月</w:t>
            </w:r>
            <w:r>
              <w:rPr>
                <w:rFonts w:hint="eastAsia" w:ascii="宋体" w:hAnsi="宋体" w:cs="宋体"/>
                <w:color w:val="000000"/>
                <w:szCs w:val="21"/>
                <w:highlight w:val="none"/>
                <w:lang w:eastAsia="zh-CN" w:bidi="ar"/>
              </w:rPr>
              <w:t>的</w:t>
            </w:r>
            <w:r>
              <w:rPr>
                <w:rFonts w:hint="eastAsia" w:ascii="宋体" w:hAnsi="宋体" w:cs="宋体"/>
                <w:color w:val="000000"/>
                <w:szCs w:val="21"/>
                <w:highlight w:val="none"/>
                <w:lang w:bidi="ar"/>
              </w:rPr>
              <w:t>社保</w:t>
            </w:r>
            <w:r>
              <w:rPr>
                <w:rFonts w:hint="eastAsia" w:ascii="宋体" w:hAnsi="宋体" w:cs="宋体"/>
                <w:color w:val="000000"/>
                <w:szCs w:val="21"/>
                <w:highlight w:val="none"/>
                <w:lang w:val="en-US" w:eastAsia="zh-CN" w:bidi="ar"/>
              </w:rPr>
              <w:t>证明</w:t>
            </w:r>
            <w:r>
              <w:rPr>
                <w:rFonts w:hint="eastAsia" w:ascii="宋体" w:hAnsi="宋体" w:cs="宋体"/>
                <w:color w:val="000000"/>
                <w:szCs w:val="21"/>
                <w:highlight w:val="none"/>
                <w:lang w:bidi="ar"/>
              </w:rPr>
              <w:t>或聘用协议复印件加盖公章）</w:t>
            </w:r>
          </w:p>
          <w:p w14:paraId="0CE1A75A">
            <w:pPr>
              <w:widowControl/>
              <w:jc w:val="left"/>
              <w:rPr>
                <w:rFonts w:ascii="宋体" w:hAnsi="宋体" w:cs="宋体"/>
                <w:color w:val="000000"/>
                <w:szCs w:val="21"/>
                <w:highlight w:val="none"/>
                <w:lang w:bidi="ar"/>
              </w:rPr>
            </w:pPr>
            <w:r>
              <w:rPr>
                <w:rFonts w:hint="eastAsia" w:ascii="宋体" w:hAnsi="宋体" w:cs="宋体"/>
                <w:color w:val="000000"/>
                <w:szCs w:val="21"/>
                <w:highlight w:val="none"/>
                <w:lang w:bidi="ar"/>
              </w:rPr>
              <w:t>2.其他检测人员（6分）：</w:t>
            </w:r>
          </w:p>
          <w:p w14:paraId="41676833">
            <w:pPr>
              <w:widowControl/>
              <w:jc w:val="left"/>
              <w:rPr>
                <w:rFonts w:ascii="宋体" w:hAnsi="宋体" w:cs="宋体"/>
                <w:color w:val="000000"/>
                <w:szCs w:val="21"/>
                <w:highlight w:val="none"/>
                <w:lang w:bidi="ar"/>
              </w:rPr>
            </w:pPr>
            <w:r>
              <w:rPr>
                <w:rFonts w:hint="eastAsia" w:ascii="宋体" w:hAnsi="宋体" w:cs="宋体"/>
                <w:color w:val="000000"/>
                <w:szCs w:val="21"/>
                <w:highlight w:val="none"/>
                <w:lang w:bidi="ar"/>
              </w:rPr>
              <w:t>（1）提供至少2名医学检验相关专业中级职称人员，</w:t>
            </w:r>
            <w:r>
              <w:rPr>
                <w:rFonts w:hint="eastAsia" w:ascii="宋体" w:hAnsi="宋体" w:cs="宋体"/>
                <w:color w:val="000000"/>
                <w:szCs w:val="21"/>
                <w:highlight w:val="none"/>
                <w:lang w:val="en-US" w:eastAsia="zh-CN" w:bidi="ar"/>
              </w:rPr>
              <w:t>且</w:t>
            </w:r>
            <w:r>
              <w:rPr>
                <w:rFonts w:hint="eastAsia" w:ascii="宋体" w:hAnsi="宋体" w:cs="宋体"/>
                <w:color w:val="000000"/>
                <w:szCs w:val="21"/>
                <w:highlight w:val="none"/>
                <w:lang w:bidi="ar"/>
              </w:rPr>
              <w:t>投标人为其缴纳近3个月内任意1个月社保证明或聘用协议，得2分；</w:t>
            </w:r>
          </w:p>
          <w:p w14:paraId="5F47BEA1">
            <w:pPr>
              <w:widowControl/>
              <w:jc w:val="left"/>
              <w:rPr>
                <w:rFonts w:ascii="宋体" w:hAnsi="宋体" w:cs="宋体"/>
                <w:color w:val="000000"/>
                <w:szCs w:val="21"/>
                <w:highlight w:val="none"/>
                <w:lang w:bidi="ar"/>
              </w:rPr>
            </w:pPr>
            <w:r>
              <w:rPr>
                <w:rFonts w:hint="eastAsia" w:ascii="宋体" w:hAnsi="宋体" w:cs="宋体"/>
                <w:color w:val="000000"/>
                <w:szCs w:val="21"/>
                <w:highlight w:val="none"/>
                <w:lang w:bidi="ar"/>
              </w:rPr>
              <w:t>（2）提供至少3名持有临床基因扩增检验技术上岗证书人员，</w:t>
            </w:r>
            <w:r>
              <w:rPr>
                <w:rFonts w:hint="eastAsia" w:ascii="宋体" w:hAnsi="宋体" w:cs="宋体"/>
                <w:color w:val="000000"/>
                <w:szCs w:val="21"/>
                <w:highlight w:val="none"/>
                <w:lang w:val="en-US" w:eastAsia="zh-CN" w:bidi="ar"/>
              </w:rPr>
              <w:t>且</w:t>
            </w:r>
            <w:r>
              <w:rPr>
                <w:rFonts w:hint="eastAsia" w:ascii="宋体" w:hAnsi="宋体" w:cs="宋体"/>
                <w:color w:val="000000"/>
                <w:szCs w:val="21"/>
                <w:highlight w:val="none"/>
                <w:lang w:bidi="ar"/>
              </w:rPr>
              <w:t>投标人为其缴纳近3个月内任意1个月社保证明或聘用协议，得3分；</w:t>
            </w:r>
          </w:p>
          <w:p w14:paraId="72A678FE">
            <w:pPr>
              <w:widowControl/>
              <w:jc w:val="left"/>
              <w:rPr>
                <w:rFonts w:ascii="宋体" w:hAnsi="宋体" w:cs="宋体"/>
                <w:color w:val="000000"/>
                <w:szCs w:val="21"/>
                <w:highlight w:val="none"/>
                <w:lang w:bidi="ar"/>
              </w:rPr>
            </w:pPr>
            <w:r>
              <w:rPr>
                <w:rFonts w:hint="eastAsia" w:ascii="宋体" w:hAnsi="宋体" w:cs="宋体"/>
                <w:color w:val="000000"/>
                <w:szCs w:val="21"/>
                <w:highlight w:val="none"/>
                <w:lang w:bidi="ar"/>
              </w:rPr>
              <w:t>（3）提供至少1名专职生物信息学分析人员（本科及以上学历，医学/遗传学/生物信息学</w:t>
            </w:r>
            <w:r>
              <w:rPr>
                <w:rFonts w:hint="eastAsia" w:ascii="宋体" w:hAnsi="宋体" w:cs="宋体"/>
                <w:color w:val="000000"/>
                <w:szCs w:val="21"/>
                <w:highlight w:val="none"/>
                <w:lang w:val="en-US" w:eastAsia="zh-CN" w:bidi="ar"/>
              </w:rPr>
              <w:t>等</w:t>
            </w:r>
            <w:r>
              <w:rPr>
                <w:rFonts w:hint="eastAsia" w:ascii="宋体" w:hAnsi="宋体" w:cs="宋体"/>
                <w:color w:val="000000"/>
                <w:szCs w:val="21"/>
                <w:highlight w:val="none"/>
                <w:lang w:bidi="ar"/>
              </w:rPr>
              <w:t>相关专业），</w:t>
            </w:r>
            <w:r>
              <w:rPr>
                <w:rFonts w:hint="eastAsia" w:ascii="宋体" w:hAnsi="宋体" w:cs="宋体"/>
                <w:color w:val="000000"/>
                <w:szCs w:val="21"/>
                <w:highlight w:val="none"/>
                <w:lang w:val="en-US" w:eastAsia="zh-CN" w:bidi="ar"/>
              </w:rPr>
              <w:t>且</w:t>
            </w:r>
            <w:r>
              <w:rPr>
                <w:rFonts w:hint="eastAsia" w:ascii="宋体" w:hAnsi="宋体" w:cs="宋体"/>
                <w:color w:val="000000"/>
                <w:szCs w:val="21"/>
                <w:highlight w:val="none"/>
                <w:lang w:bidi="ar"/>
              </w:rPr>
              <w:t>投标人为其缴纳近3个月内任意1个月社保证明或聘用协议，得1分；</w:t>
            </w:r>
          </w:p>
          <w:p w14:paraId="6CBEB5B5">
            <w:pPr>
              <w:widowControl/>
              <w:jc w:val="left"/>
              <w:rPr>
                <w:rFonts w:ascii="宋体" w:hAnsi="宋体" w:cs="宋体"/>
                <w:b/>
                <w:bCs/>
                <w:color w:val="000000"/>
                <w:szCs w:val="21"/>
                <w:highlight w:val="none"/>
              </w:rPr>
            </w:pPr>
            <w:r>
              <w:rPr>
                <w:rFonts w:hint="eastAsia" w:ascii="宋体" w:hAnsi="宋体" w:cs="宋体"/>
                <w:b/>
                <w:bCs/>
                <w:color w:val="000000"/>
                <w:szCs w:val="21"/>
                <w:highlight w:val="none"/>
                <w:lang w:val="en-US" w:eastAsia="zh-CN" w:bidi="ar"/>
              </w:rPr>
              <w:t>注：</w:t>
            </w:r>
            <w:r>
              <w:rPr>
                <w:rFonts w:hint="eastAsia" w:ascii="宋体" w:hAnsi="宋体" w:cs="宋体"/>
                <w:b/>
                <w:bCs/>
                <w:color w:val="000000"/>
                <w:szCs w:val="21"/>
                <w:highlight w:val="none"/>
                <w:lang w:bidi="ar"/>
              </w:rPr>
              <w:t>以上“</w:t>
            </w:r>
            <w:r>
              <w:rPr>
                <w:rFonts w:hint="eastAsia" w:ascii="宋体" w:hAnsi="宋体" w:cs="宋体"/>
                <w:b/>
                <w:bCs/>
                <w:color w:val="000000"/>
                <w:szCs w:val="21"/>
                <w:highlight w:val="none"/>
                <w:lang w:eastAsia="zh-CN" w:bidi="ar"/>
              </w:rPr>
              <w:t>（</w:t>
            </w:r>
            <w:r>
              <w:rPr>
                <w:rFonts w:hint="eastAsia" w:ascii="宋体" w:hAnsi="宋体" w:cs="宋体"/>
                <w:b/>
                <w:bCs/>
                <w:color w:val="000000"/>
                <w:szCs w:val="21"/>
                <w:highlight w:val="none"/>
                <w:lang w:bidi="ar"/>
              </w:rPr>
              <w:t>1</w:t>
            </w:r>
            <w:r>
              <w:rPr>
                <w:rFonts w:hint="eastAsia" w:ascii="宋体" w:hAnsi="宋体" w:cs="宋体"/>
                <w:b/>
                <w:bCs/>
                <w:color w:val="000000"/>
                <w:szCs w:val="21"/>
                <w:highlight w:val="none"/>
                <w:lang w:eastAsia="zh-CN" w:bidi="ar"/>
              </w:rPr>
              <w:t>）</w:t>
            </w:r>
            <w:r>
              <w:rPr>
                <w:rFonts w:hint="eastAsia" w:ascii="宋体" w:hAnsi="宋体" w:cs="宋体"/>
                <w:b/>
                <w:bCs/>
                <w:color w:val="000000"/>
                <w:szCs w:val="21"/>
                <w:highlight w:val="none"/>
                <w:lang w:bidi="ar"/>
              </w:rPr>
              <w:t>、</w:t>
            </w:r>
            <w:r>
              <w:rPr>
                <w:rFonts w:hint="eastAsia" w:ascii="宋体" w:hAnsi="宋体" w:cs="宋体"/>
                <w:b/>
                <w:bCs/>
                <w:color w:val="000000"/>
                <w:szCs w:val="21"/>
                <w:highlight w:val="none"/>
                <w:lang w:eastAsia="zh-CN" w:bidi="ar"/>
              </w:rPr>
              <w:t>（</w:t>
            </w:r>
            <w:r>
              <w:rPr>
                <w:rFonts w:hint="eastAsia" w:ascii="宋体" w:hAnsi="宋体" w:cs="宋体"/>
                <w:b/>
                <w:bCs/>
                <w:color w:val="000000"/>
                <w:szCs w:val="21"/>
                <w:highlight w:val="none"/>
                <w:lang w:bidi="ar"/>
              </w:rPr>
              <w:t>2</w:t>
            </w:r>
            <w:r>
              <w:rPr>
                <w:rFonts w:hint="eastAsia" w:ascii="宋体" w:hAnsi="宋体" w:cs="宋体"/>
                <w:b/>
                <w:bCs/>
                <w:color w:val="000000"/>
                <w:szCs w:val="21"/>
                <w:highlight w:val="none"/>
                <w:lang w:eastAsia="zh-CN" w:bidi="ar"/>
              </w:rPr>
              <w:t>）</w:t>
            </w:r>
            <w:r>
              <w:rPr>
                <w:rFonts w:hint="eastAsia" w:ascii="宋体" w:hAnsi="宋体" w:cs="宋体"/>
                <w:b/>
                <w:bCs/>
                <w:color w:val="000000"/>
                <w:szCs w:val="21"/>
                <w:highlight w:val="none"/>
                <w:lang w:bidi="ar"/>
              </w:rPr>
              <w:t>”两项中同一人员不重复得分。</w:t>
            </w:r>
          </w:p>
        </w:tc>
      </w:tr>
      <w:tr w14:paraId="6EEE4C6E">
        <w:tblPrEx>
          <w:tblCellMar>
            <w:top w:w="0" w:type="dxa"/>
            <w:left w:w="108" w:type="dxa"/>
            <w:bottom w:w="0" w:type="dxa"/>
            <w:right w:w="108" w:type="dxa"/>
          </w:tblCellMar>
        </w:tblPrEx>
        <w:trPr>
          <w:trHeight w:val="401" w:hRule="atLeast"/>
          <w:jc w:val="center"/>
        </w:trPr>
        <w:tc>
          <w:tcPr>
            <w:tcW w:w="581" w:type="dxa"/>
            <w:tcBorders>
              <w:top w:val="single" w:color="000000" w:sz="4" w:space="0"/>
              <w:left w:val="single" w:color="000000" w:sz="4" w:space="0"/>
              <w:bottom w:val="single" w:color="000000" w:sz="4" w:space="0"/>
              <w:right w:val="single" w:color="000000" w:sz="4" w:space="0"/>
            </w:tcBorders>
            <w:noWrap w:val="0"/>
            <w:vAlign w:val="center"/>
          </w:tcPr>
          <w:p w14:paraId="14C8557F">
            <w:pPr>
              <w:widowControl/>
              <w:jc w:val="center"/>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val="en-US" w:eastAsia="zh-CN" w:bidi="ar"/>
              </w:rPr>
              <w:t>9</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BCDA4C7">
            <w:pPr>
              <w:widowControl/>
              <w:jc w:val="center"/>
              <w:rPr>
                <w:rFonts w:ascii="宋体" w:hAnsi="宋体" w:cs="宋体"/>
                <w:color w:val="000000"/>
                <w:szCs w:val="21"/>
                <w:highlight w:val="none"/>
                <w:lang w:bidi="ar"/>
              </w:rPr>
            </w:pPr>
            <w:r>
              <w:rPr>
                <w:rFonts w:hint="eastAsia" w:ascii="宋体" w:hAnsi="宋体" w:cs="宋体"/>
                <w:color w:val="000000"/>
                <w:szCs w:val="21"/>
                <w:highlight w:val="none"/>
                <w:lang w:bidi="ar"/>
              </w:rPr>
              <w:t>技术能力</w:t>
            </w:r>
          </w:p>
        </w:tc>
        <w:tc>
          <w:tcPr>
            <w:tcW w:w="651" w:type="dxa"/>
            <w:tcBorders>
              <w:top w:val="single" w:color="000000" w:sz="4" w:space="0"/>
              <w:left w:val="single" w:color="000000" w:sz="4" w:space="0"/>
              <w:bottom w:val="single" w:color="000000" w:sz="4" w:space="0"/>
              <w:right w:val="single" w:color="000000" w:sz="4" w:space="0"/>
            </w:tcBorders>
            <w:noWrap w:val="0"/>
            <w:vAlign w:val="center"/>
          </w:tcPr>
          <w:p w14:paraId="48500C2C">
            <w:pPr>
              <w:widowControl/>
              <w:jc w:val="center"/>
              <w:rPr>
                <w:rFonts w:ascii="宋体" w:hAnsi="宋体" w:cs="宋体"/>
                <w:color w:val="000000"/>
                <w:szCs w:val="21"/>
                <w:highlight w:val="none"/>
                <w:lang w:bidi="ar"/>
              </w:rPr>
            </w:pPr>
            <w:r>
              <w:rPr>
                <w:rFonts w:hint="eastAsia" w:ascii="宋体" w:hAnsi="宋体" w:cs="宋体"/>
                <w:color w:val="000000"/>
                <w:szCs w:val="21"/>
                <w:highlight w:val="none"/>
                <w:lang w:val="en-US" w:eastAsia="zh-CN" w:bidi="ar"/>
              </w:rPr>
              <w:t>6</w:t>
            </w:r>
            <w:r>
              <w:rPr>
                <w:rFonts w:hint="eastAsia" w:ascii="宋体" w:hAnsi="宋体" w:cs="宋体"/>
                <w:color w:val="000000"/>
                <w:szCs w:val="21"/>
                <w:highlight w:val="none"/>
                <w:lang w:bidi="ar"/>
              </w:rPr>
              <w:t>分</w:t>
            </w: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2AC5FE55">
            <w:pPr>
              <w:widowControl/>
              <w:jc w:val="left"/>
              <w:rPr>
                <w:rFonts w:hint="default" w:ascii="宋体" w:hAnsi="宋体" w:cs="宋体"/>
                <w:b/>
                <w:bCs/>
                <w:color w:val="000000"/>
                <w:szCs w:val="21"/>
                <w:highlight w:val="none"/>
                <w:lang w:val="en-US" w:bidi="ar"/>
              </w:rPr>
            </w:pPr>
            <w:r>
              <w:rPr>
                <w:rFonts w:hint="eastAsia" w:ascii="宋体" w:hAnsi="宋体" w:cs="宋体"/>
                <w:color w:val="000000"/>
                <w:szCs w:val="21"/>
                <w:highlight w:val="none"/>
                <w:lang w:bidi="ar"/>
              </w:rPr>
              <w:t>投标人具备肿瘤基因检测自动化能力，提供用于本项目检测服务的肿瘤基因检测自动化分析相关软件</w:t>
            </w:r>
            <w:r>
              <w:rPr>
                <w:rFonts w:hint="eastAsia" w:ascii="宋体" w:hAnsi="宋体" w:cs="宋体"/>
                <w:b w:val="0"/>
                <w:bCs w:val="0"/>
                <w:color w:val="auto"/>
                <w:szCs w:val="21"/>
                <w:highlight w:val="none"/>
                <w:u w:val="none"/>
                <w:lang w:val="en-US" w:eastAsia="zh-CN" w:bidi="ar"/>
              </w:rPr>
              <w:t>著作权证书</w:t>
            </w:r>
            <w:r>
              <w:rPr>
                <w:rFonts w:hint="eastAsia" w:ascii="宋体" w:hAnsi="宋体" w:cs="宋体"/>
                <w:color w:val="000000"/>
                <w:szCs w:val="21"/>
                <w:highlight w:val="none"/>
                <w:lang w:bidi="ar"/>
              </w:rPr>
              <w:t>，证书主体与投标人一致</w:t>
            </w:r>
            <w:r>
              <w:rPr>
                <w:rFonts w:hint="eastAsia" w:ascii="宋体" w:hAnsi="宋体" w:cs="宋体"/>
                <w:color w:val="000000"/>
                <w:szCs w:val="21"/>
                <w:highlight w:val="none"/>
                <w:lang w:eastAsia="zh-CN" w:bidi="ar"/>
              </w:rPr>
              <w:t>，</w:t>
            </w:r>
            <w:r>
              <w:rPr>
                <w:rFonts w:hint="eastAsia" w:ascii="宋体" w:hAnsi="宋体" w:cs="宋体"/>
                <w:color w:val="000000"/>
                <w:szCs w:val="21"/>
                <w:highlight w:val="none"/>
                <w:lang w:val="en-US" w:eastAsia="zh-CN" w:bidi="ar"/>
              </w:rPr>
              <w:t>每提供一个有效证书</w:t>
            </w:r>
            <w:r>
              <w:rPr>
                <w:rFonts w:hint="eastAsia" w:ascii="宋体" w:hAnsi="宋体" w:cs="宋体"/>
                <w:color w:val="000000"/>
                <w:szCs w:val="21"/>
                <w:highlight w:val="none"/>
                <w:lang w:bidi="ar"/>
              </w:rPr>
              <w:t>扫描件加盖公章</w:t>
            </w:r>
            <w:r>
              <w:rPr>
                <w:rFonts w:hint="eastAsia" w:ascii="宋体" w:hAnsi="宋体" w:cs="宋体"/>
                <w:color w:val="000000"/>
                <w:szCs w:val="21"/>
                <w:highlight w:val="none"/>
                <w:lang w:val="en-US" w:eastAsia="zh-CN" w:bidi="ar"/>
              </w:rPr>
              <w:t>得1分，本项满分6分。</w:t>
            </w:r>
          </w:p>
        </w:tc>
      </w:tr>
      <w:tr w14:paraId="73D6A839">
        <w:tblPrEx>
          <w:tblCellMar>
            <w:top w:w="0" w:type="dxa"/>
            <w:left w:w="108" w:type="dxa"/>
            <w:bottom w:w="0" w:type="dxa"/>
            <w:right w:w="108" w:type="dxa"/>
          </w:tblCellMar>
        </w:tblPrEx>
        <w:trPr>
          <w:trHeight w:val="895" w:hRule="atLeast"/>
          <w:jc w:val="center"/>
        </w:trPr>
        <w:tc>
          <w:tcPr>
            <w:tcW w:w="581" w:type="dxa"/>
            <w:tcBorders>
              <w:top w:val="single" w:color="000000" w:sz="4" w:space="0"/>
              <w:left w:val="single" w:color="000000" w:sz="4" w:space="0"/>
              <w:bottom w:val="single" w:color="000000" w:sz="4" w:space="0"/>
              <w:right w:val="single" w:color="000000" w:sz="4" w:space="0"/>
            </w:tcBorders>
            <w:noWrap w:val="0"/>
            <w:vAlign w:val="center"/>
          </w:tcPr>
          <w:p w14:paraId="5974BAB2">
            <w:pPr>
              <w:widowControl/>
              <w:jc w:val="cente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bidi="ar"/>
              </w:rPr>
              <w:t>10</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315316B7">
            <w:pPr>
              <w:widowControl/>
              <w:jc w:val="center"/>
              <w:rPr>
                <w:rFonts w:ascii="宋体" w:hAnsi="宋体" w:cs="宋体"/>
                <w:color w:val="000000"/>
                <w:szCs w:val="21"/>
                <w:highlight w:val="none"/>
              </w:rPr>
            </w:pPr>
            <w:r>
              <w:rPr>
                <w:rFonts w:hint="eastAsia" w:ascii="宋体" w:hAnsi="宋体" w:cs="宋体"/>
                <w:color w:val="000000"/>
                <w:szCs w:val="21"/>
                <w:highlight w:val="none"/>
                <w:lang w:bidi="ar"/>
              </w:rPr>
              <w:t>同类项目业绩</w:t>
            </w:r>
          </w:p>
        </w:tc>
        <w:tc>
          <w:tcPr>
            <w:tcW w:w="651" w:type="dxa"/>
            <w:tcBorders>
              <w:top w:val="single" w:color="000000" w:sz="4" w:space="0"/>
              <w:left w:val="single" w:color="000000" w:sz="4" w:space="0"/>
              <w:bottom w:val="single" w:color="000000" w:sz="4" w:space="0"/>
              <w:right w:val="single" w:color="000000" w:sz="4" w:space="0"/>
            </w:tcBorders>
            <w:noWrap w:val="0"/>
            <w:vAlign w:val="center"/>
          </w:tcPr>
          <w:p w14:paraId="57FE8A2E">
            <w:pPr>
              <w:widowControl/>
              <w:jc w:val="center"/>
              <w:rPr>
                <w:rFonts w:ascii="宋体" w:hAnsi="宋体" w:cs="宋体"/>
                <w:color w:val="000000"/>
                <w:szCs w:val="21"/>
                <w:highlight w:val="none"/>
              </w:rPr>
            </w:pPr>
            <w:r>
              <w:rPr>
                <w:rFonts w:hint="eastAsia" w:ascii="宋体" w:hAnsi="宋体" w:cs="宋体"/>
                <w:color w:val="000000"/>
                <w:szCs w:val="21"/>
                <w:highlight w:val="none"/>
                <w:lang w:val="en-US" w:eastAsia="zh-CN" w:bidi="ar"/>
              </w:rPr>
              <w:t>2</w:t>
            </w:r>
            <w:r>
              <w:rPr>
                <w:rFonts w:hint="eastAsia" w:ascii="宋体" w:hAnsi="宋体" w:cs="宋体"/>
                <w:color w:val="000000"/>
                <w:szCs w:val="21"/>
                <w:highlight w:val="none"/>
                <w:lang w:bidi="ar"/>
              </w:rPr>
              <w:t>分</w:t>
            </w:r>
          </w:p>
        </w:tc>
        <w:tc>
          <w:tcPr>
            <w:tcW w:w="6939" w:type="dxa"/>
            <w:tcBorders>
              <w:top w:val="single" w:color="000000" w:sz="4" w:space="0"/>
              <w:left w:val="single" w:color="000000" w:sz="4" w:space="0"/>
              <w:bottom w:val="single" w:color="000000" w:sz="4" w:space="0"/>
              <w:right w:val="single" w:color="000000" w:sz="4" w:space="0"/>
            </w:tcBorders>
            <w:noWrap w:val="0"/>
            <w:vAlign w:val="center"/>
          </w:tcPr>
          <w:p w14:paraId="71C005FD">
            <w:pPr>
              <w:widowControl/>
              <w:jc w:val="left"/>
              <w:rPr>
                <w:rFonts w:hint="eastAsia" w:ascii="宋体" w:hAnsi="宋体" w:eastAsia="宋体" w:cs="宋体"/>
                <w:szCs w:val="21"/>
                <w:highlight w:val="none"/>
                <w:lang w:eastAsia="zh-CN"/>
              </w:rPr>
            </w:pPr>
            <w:r>
              <w:rPr>
                <w:rFonts w:hint="eastAsia" w:ascii="宋体" w:hAnsi="宋体" w:cs="宋体"/>
                <w:szCs w:val="21"/>
                <w:highlight w:val="none"/>
              </w:rPr>
              <w:t>投标人提供</w:t>
            </w:r>
            <w:r>
              <w:rPr>
                <w:rFonts w:hint="eastAsia" w:ascii="宋体" w:hAnsi="宋体" w:cs="宋体"/>
                <w:szCs w:val="21"/>
                <w:highlight w:val="none"/>
                <w:lang w:val="en-US" w:eastAsia="zh-CN"/>
              </w:rPr>
              <w:t>近三年</w:t>
            </w:r>
            <w:r>
              <w:rPr>
                <w:rFonts w:hint="eastAsia" w:ascii="宋体" w:hAnsi="宋体" w:cs="宋体"/>
                <w:szCs w:val="21"/>
                <w:highlight w:val="none"/>
              </w:rPr>
              <w:t>（</w:t>
            </w:r>
            <w:r>
              <w:rPr>
                <w:rFonts w:hint="default" w:ascii="宋体" w:hAnsi="宋体" w:eastAsia="宋体" w:cs="宋体"/>
                <w:color w:val="000000"/>
                <w:kern w:val="0"/>
                <w:sz w:val="21"/>
                <w:szCs w:val="21"/>
                <w:highlight w:val="none"/>
                <w:lang w:val="en-US" w:eastAsia="zh-CN" w:bidi="ar-SA"/>
              </w:rPr>
              <w:t>含采购公告发布当年度</w:t>
            </w:r>
            <w:r>
              <w:rPr>
                <w:rFonts w:hint="eastAsia" w:ascii="宋体" w:hAnsi="宋体" w:eastAsia="宋体" w:cs="宋体"/>
                <w:color w:val="000000"/>
                <w:kern w:val="0"/>
                <w:sz w:val="21"/>
                <w:szCs w:val="21"/>
                <w:highlight w:val="none"/>
                <w:lang w:val="en-US" w:eastAsia="zh-CN" w:bidi="ar-SA"/>
              </w:rPr>
              <w:t>，</w:t>
            </w:r>
            <w:r>
              <w:rPr>
                <w:rFonts w:hint="eastAsia" w:ascii="宋体" w:hAnsi="宋体" w:cs="宋体"/>
                <w:szCs w:val="21"/>
                <w:highlight w:val="none"/>
              </w:rPr>
              <w:t>以合同签订时间为准）同类项目业绩：每提供1个有效业绩得</w:t>
            </w:r>
            <w:r>
              <w:rPr>
                <w:rFonts w:hint="eastAsia" w:ascii="宋体" w:hAnsi="宋体" w:cs="宋体"/>
                <w:szCs w:val="21"/>
                <w:highlight w:val="none"/>
                <w:lang w:val="en-US" w:eastAsia="zh-CN"/>
              </w:rPr>
              <w:t>1</w:t>
            </w:r>
            <w:r>
              <w:rPr>
                <w:rFonts w:hint="eastAsia" w:ascii="宋体" w:hAnsi="宋体" w:cs="宋体"/>
                <w:szCs w:val="21"/>
                <w:highlight w:val="none"/>
              </w:rPr>
              <w:t>分，本项最高得</w:t>
            </w:r>
            <w:r>
              <w:rPr>
                <w:rFonts w:hint="eastAsia" w:ascii="宋体" w:hAnsi="宋体" w:cs="宋体"/>
                <w:szCs w:val="21"/>
                <w:highlight w:val="none"/>
                <w:lang w:val="en-US" w:eastAsia="zh-CN"/>
              </w:rPr>
              <w:t>2</w:t>
            </w:r>
            <w:r>
              <w:rPr>
                <w:rFonts w:hint="eastAsia" w:ascii="宋体" w:hAnsi="宋体" w:cs="宋体"/>
                <w:szCs w:val="21"/>
                <w:highlight w:val="none"/>
              </w:rPr>
              <w:t>分。（提供合同扫描件</w:t>
            </w:r>
            <w:r>
              <w:rPr>
                <w:rFonts w:hint="eastAsia" w:ascii="宋体" w:hAnsi="宋体" w:cs="宋体"/>
                <w:szCs w:val="21"/>
                <w:highlight w:val="none"/>
                <w:lang w:val="en-US" w:eastAsia="zh-CN"/>
              </w:rPr>
              <w:t>需</w:t>
            </w:r>
            <w:r>
              <w:rPr>
                <w:rFonts w:hint="eastAsia" w:ascii="宋体" w:hAnsi="宋体" w:cs="宋体"/>
                <w:szCs w:val="21"/>
                <w:highlight w:val="none"/>
              </w:rPr>
              <w:t>含合同首页、服务内容页、签约主体页、签字盖章页、合同签订时间页</w:t>
            </w:r>
            <w:r>
              <w:rPr>
                <w:rFonts w:hint="eastAsia" w:ascii="宋体" w:hAnsi="宋体" w:cs="宋体"/>
                <w:szCs w:val="21"/>
                <w:highlight w:val="none"/>
                <w:lang w:eastAsia="zh-CN"/>
              </w:rPr>
              <w:t>）</w:t>
            </w:r>
          </w:p>
        </w:tc>
      </w:tr>
      <w:tr w14:paraId="7A89D56D">
        <w:tblPrEx>
          <w:tblCellMar>
            <w:top w:w="0" w:type="dxa"/>
            <w:left w:w="108" w:type="dxa"/>
            <w:bottom w:w="0" w:type="dxa"/>
            <w:right w:w="108" w:type="dxa"/>
          </w:tblCellMar>
        </w:tblPrEx>
        <w:trPr>
          <w:trHeight w:val="1198" w:hRule="atLeast"/>
          <w:jc w:val="center"/>
        </w:trPr>
        <w:tc>
          <w:tcPr>
            <w:tcW w:w="9371" w:type="dxa"/>
            <w:gridSpan w:val="4"/>
            <w:tcBorders>
              <w:top w:val="single" w:color="000000" w:sz="4" w:space="0"/>
              <w:left w:val="single" w:color="000000" w:sz="4" w:space="0"/>
              <w:bottom w:val="single" w:color="000000" w:sz="4" w:space="0"/>
              <w:right w:val="single" w:color="000000" w:sz="4" w:space="0"/>
            </w:tcBorders>
            <w:noWrap w:val="0"/>
            <w:vAlign w:val="center"/>
          </w:tcPr>
          <w:p w14:paraId="183DBFF2">
            <w:pPr>
              <w:keepNext w:val="0"/>
              <w:keepLines w:val="0"/>
              <w:widowControl/>
              <w:suppressLineNumbers w:val="0"/>
              <w:jc w:val="left"/>
              <w:rPr>
                <w:rFonts w:hint="eastAsia" w:ascii="宋体" w:hAnsi="宋体" w:cs="宋体"/>
                <w:szCs w:val="21"/>
                <w:highlight w:val="none"/>
              </w:rPr>
            </w:pPr>
            <w:r>
              <w:rPr>
                <w:rFonts w:hint="eastAsia" w:ascii="宋体" w:hAnsi="宋体" w:eastAsia="宋体" w:cs="宋体"/>
                <w:color w:val="FF0000"/>
                <w:sz w:val="21"/>
                <w:szCs w:val="21"/>
                <w:highlight w:val="none"/>
                <w:lang w:val="en-US" w:eastAsia="zh-CN"/>
              </w:rPr>
              <w:t>注：投标人须按评分标准要求提供所有证书、证明文件、合同等材料的清晰扫描件，加盖投标人公章（电子签章有效），核心信息完整可辨，且证书须在投标有效期内。未按要求提供、材料无法核验</w:t>
            </w:r>
            <w:r>
              <w:rPr>
                <w:rFonts w:hint="eastAsia" w:ascii="宋体" w:hAnsi="宋体" w:cs="宋体"/>
                <w:color w:val="FF0000"/>
                <w:sz w:val="21"/>
                <w:szCs w:val="21"/>
                <w:highlight w:val="none"/>
                <w:lang w:val="en-US" w:eastAsia="zh-CN"/>
              </w:rPr>
              <w:t>或</w:t>
            </w:r>
            <w:r>
              <w:rPr>
                <w:rFonts w:hint="eastAsia" w:ascii="宋体" w:hAnsi="宋体" w:eastAsia="宋体" w:cs="宋体"/>
                <w:color w:val="FF0000"/>
                <w:sz w:val="21"/>
                <w:szCs w:val="21"/>
                <w:highlight w:val="none"/>
                <w:lang w:val="en-US" w:eastAsia="zh-CN"/>
              </w:rPr>
              <w:t>逾期未澄清的，对应评分项不得分。</w:t>
            </w:r>
          </w:p>
        </w:tc>
      </w:tr>
    </w:tbl>
    <w:p w14:paraId="12231ED4">
      <w:pPr>
        <w:pStyle w:val="263"/>
        <w:rPr>
          <w:rFonts w:hint="eastAsia"/>
          <w:highlight w:val="none"/>
        </w:rPr>
      </w:pPr>
    </w:p>
    <w:p w14:paraId="4DED1758">
      <w:pPr>
        <w:spacing w:line="560" w:lineRule="exact"/>
        <w:ind w:firstLine="240"/>
        <w:rPr>
          <w:rFonts w:hint="eastAsia" w:ascii="宋体" w:hAnsi="宋体"/>
          <w:b/>
          <w:sz w:val="24"/>
          <w:szCs w:val="24"/>
          <w:highlight w:val="none"/>
        </w:rPr>
      </w:pPr>
      <w:r>
        <w:rPr>
          <w:rFonts w:hint="eastAsia" w:ascii="宋体" w:hAnsi="宋体"/>
          <w:b/>
          <w:sz w:val="24"/>
          <w:szCs w:val="24"/>
          <w:highlight w:val="none"/>
        </w:rPr>
        <w:t>（四）价格分：</w:t>
      </w:r>
      <w:r>
        <w:rPr>
          <w:rFonts w:hint="eastAsia" w:ascii="宋体" w:hAnsi="宋体"/>
          <w:b/>
          <w:sz w:val="24"/>
          <w:szCs w:val="24"/>
          <w:highlight w:val="none"/>
          <w:lang w:val="en-US" w:eastAsia="zh-CN"/>
        </w:rPr>
        <w:t>2</w:t>
      </w:r>
      <w:r>
        <w:rPr>
          <w:rFonts w:hint="eastAsia" w:ascii="宋体" w:hAnsi="宋体"/>
          <w:b/>
          <w:sz w:val="24"/>
          <w:szCs w:val="24"/>
          <w:highlight w:val="none"/>
        </w:rPr>
        <w:t>0分</w:t>
      </w:r>
    </w:p>
    <w:p w14:paraId="04C28B48">
      <w:pPr>
        <w:spacing w:line="560" w:lineRule="exact"/>
        <w:ind w:firstLine="480"/>
        <w:rPr>
          <w:rFonts w:hint="eastAsia" w:ascii="宋体" w:hAnsi="宋体"/>
          <w:sz w:val="24"/>
          <w:szCs w:val="24"/>
          <w:highlight w:val="none"/>
        </w:rPr>
      </w:pPr>
      <w:r>
        <w:rPr>
          <w:rFonts w:hint="eastAsia" w:ascii="宋体" w:hAnsi="宋体"/>
          <w:sz w:val="24"/>
          <w:szCs w:val="24"/>
          <w:highlight w:val="none"/>
        </w:rPr>
        <w:t>价格分统一采用低价优先法计算，即满足磋商文件要求且最后报价最低的供应商的价格为磋商基准价，其价格分为满分。其他供应商的价格分统一按照下列公式计算：</w:t>
      </w:r>
    </w:p>
    <w:p w14:paraId="7AA3275C">
      <w:pPr>
        <w:spacing w:line="560" w:lineRule="exact"/>
        <w:ind w:firstLine="480"/>
        <w:rPr>
          <w:rFonts w:hint="default" w:ascii="宋体" w:hAnsi="宋体" w:eastAsia="宋体" w:cs="宋体"/>
          <w:sz w:val="24"/>
          <w:szCs w:val="24"/>
          <w:lang w:val="en-US" w:eastAsia="zh-CN"/>
        </w:rPr>
      </w:pPr>
      <w:r>
        <w:rPr>
          <w:rFonts w:ascii="宋体" w:hAnsi="宋体" w:eastAsia="宋体" w:cs="宋体"/>
          <w:sz w:val="24"/>
          <w:szCs w:val="24"/>
        </w:rPr>
        <w:t xml:space="preserve">磋商报价得分=（供应商最后有效优惠率÷磋商基准优惠率）× </w:t>
      </w:r>
      <w:r>
        <w:rPr>
          <w:rFonts w:hint="eastAsia" w:ascii="宋体" w:hAnsi="宋体" w:cs="宋体"/>
          <w:sz w:val="24"/>
          <w:szCs w:val="24"/>
          <w:lang w:val="en-US" w:eastAsia="zh-CN"/>
        </w:rPr>
        <w:t>20</w:t>
      </w:r>
    </w:p>
    <w:p w14:paraId="40E0C979">
      <w:pPr>
        <w:spacing w:line="560" w:lineRule="exact"/>
        <w:ind w:firstLine="480"/>
        <w:rPr>
          <w:rFonts w:ascii="宋体" w:hAnsi="宋体"/>
          <w:b/>
          <w:sz w:val="24"/>
          <w:szCs w:val="24"/>
          <w:highlight w:val="none"/>
        </w:rPr>
      </w:pPr>
      <w:r>
        <w:rPr>
          <w:rFonts w:hint="eastAsia" w:ascii="宋体" w:hAnsi="宋体"/>
          <w:b/>
          <w:sz w:val="24"/>
          <w:szCs w:val="24"/>
          <w:highlight w:val="none"/>
        </w:rPr>
        <w:t>出现下列情形之一的，磋商小组应当启动异常低价响应审查程序：</w:t>
      </w:r>
    </w:p>
    <w:p w14:paraId="6D49C3C8">
      <w:pPr>
        <w:spacing w:line="560" w:lineRule="exact"/>
        <w:ind w:firstLine="480"/>
        <w:rPr>
          <w:rFonts w:ascii="宋体" w:hAnsi="宋体"/>
          <w:b/>
          <w:sz w:val="24"/>
          <w:szCs w:val="24"/>
          <w:highlight w:val="none"/>
        </w:rPr>
      </w:pPr>
      <w:r>
        <w:rPr>
          <w:rFonts w:hint="eastAsia" w:ascii="宋体" w:hAnsi="宋体"/>
          <w:b/>
          <w:sz w:val="24"/>
          <w:szCs w:val="24"/>
          <w:highlight w:val="none"/>
        </w:rPr>
        <w:t>1.投标（响应）报价低于全部通过符合性审查供应商投标（响应）报价平均值50%的，即投标（响应）报价&lt;全部通过符合性审查供应商投标（响应）报价平均值×50%；</w:t>
      </w:r>
    </w:p>
    <w:p w14:paraId="603573D7">
      <w:pPr>
        <w:spacing w:line="560" w:lineRule="exact"/>
        <w:ind w:firstLine="480"/>
        <w:rPr>
          <w:rFonts w:ascii="宋体" w:hAnsi="宋体"/>
          <w:b/>
          <w:sz w:val="24"/>
          <w:szCs w:val="24"/>
          <w:highlight w:val="none"/>
        </w:rPr>
      </w:pPr>
      <w:r>
        <w:rPr>
          <w:rFonts w:hint="eastAsia" w:ascii="宋体" w:hAnsi="宋体"/>
          <w:b/>
          <w:sz w:val="24"/>
          <w:szCs w:val="24"/>
          <w:highlight w:val="none"/>
        </w:rPr>
        <w:t>2.投标（响应）报价低于通过符合性审查的次低报价供应商投标（响应）报价50%的，即投标（响应）报价&lt;通过符合性审查的次低报价供应商投标（响应）报价×50%；</w:t>
      </w:r>
    </w:p>
    <w:p w14:paraId="07380287">
      <w:pPr>
        <w:spacing w:line="560" w:lineRule="exact"/>
        <w:ind w:firstLine="480"/>
        <w:rPr>
          <w:rFonts w:ascii="宋体" w:hAnsi="宋体"/>
          <w:b/>
          <w:sz w:val="24"/>
          <w:szCs w:val="24"/>
          <w:highlight w:val="none"/>
        </w:rPr>
      </w:pPr>
      <w:r>
        <w:rPr>
          <w:rFonts w:hint="eastAsia" w:ascii="宋体" w:hAnsi="宋体"/>
          <w:b/>
          <w:sz w:val="24"/>
          <w:szCs w:val="24"/>
          <w:highlight w:val="none"/>
        </w:rPr>
        <w:t>3.投标（响应）报价低于采购项目最高限价45%的，即投标（响应）报价&lt;采购项目最高限价×45%；</w:t>
      </w:r>
    </w:p>
    <w:p w14:paraId="135FABE5">
      <w:pPr>
        <w:spacing w:line="560" w:lineRule="exact"/>
        <w:ind w:firstLine="480"/>
        <w:rPr>
          <w:rFonts w:ascii="宋体" w:hAnsi="宋体"/>
          <w:b/>
          <w:sz w:val="24"/>
          <w:szCs w:val="24"/>
          <w:highlight w:val="none"/>
        </w:rPr>
      </w:pPr>
      <w:r>
        <w:rPr>
          <w:rFonts w:hint="eastAsia" w:ascii="宋体" w:hAnsi="宋体"/>
          <w:b/>
          <w:sz w:val="24"/>
          <w:szCs w:val="24"/>
          <w:highlight w:val="none"/>
        </w:rPr>
        <w:t>4.评审委员会基于专业判断，认为供应商报价过低，有可能影响产品质量或者不能诚信履约的其他情形。</w:t>
      </w:r>
    </w:p>
    <w:p w14:paraId="2B1EA0C3">
      <w:pPr>
        <w:spacing w:line="560" w:lineRule="exact"/>
        <w:ind w:firstLine="480"/>
        <w:rPr>
          <w:rFonts w:hint="eastAsia" w:ascii="宋体" w:hAnsi="宋体"/>
          <w:b/>
          <w:sz w:val="24"/>
          <w:szCs w:val="24"/>
          <w:highlight w:val="none"/>
        </w:rPr>
      </w:pPr>
      <w:r>
        <w:rPr>
          <w:rFonts w:hint="eastAsia" w:ascii="宋体" w:hAnsi="宋体"/>
          <w:b/>
          <w:sz w:val="24"/>
          <w:szCs w:val="24"/>
          <w:highlight w:val="none"/>
        </w:rPr>
        <w:t>磋商小组启动异常低价响应审查后，属于前述第1项至第4项情形的，磋商小组将通过苏采云系统要求相关供应商在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06CD4C1D">
      <w:pPr>
        <w:spacing w:line="560" w:lineRule="exact"/>
        <w:ind w:firstLine="480"/>
        <w:rPr>
          <w:rFonts w:hint="eastAsia" w:ascii="宋体" w:hAnsi="宋体"/>
          <w:b/>
          <w:sz w:val="24"/>
          <w:szCs w:val="24"/>
          <w:highlight w:val="none"/>
        </w:rPr>
      </w:pPr>
      <w:r>
        <w:rPr>
          <w:rFonts w:hint="eastAsia" w:ascii="宋体" w:hAnsi="宋体"/>
          <w:b/>
          <w:sz w:val="24"/>
          <w:szCs w:val="24"/>
          <w:highlight w:val="none"/>
        </w:rPr>
        <w:t>由磋商小组依据专业经验，参考同类项目中标（成交）价格、类似产品市场价格水平、行业人工费用标准、国家有关部门指导行业协会发布的行业平均成本等情况，对报价合理性进行判断。</w:t>
      </w:r>
    </w:p>
    <w:p w14:paraId="49C89360">
      <w:pPr>
        <w:spacing w:line="560" w:lineRule="exact"/>
        <w:ind w:firstLine="480"/>
        <w:rPr>
          <w:rFonts w:hint="eastAsia" w:ascii="宋体" w:hAnsi="宋体"/>
          <w:b/>
          <w:sz w:val="24"/>
          <w:szCs w:val="24"/>
          <w:highlight w:val="none"/>
        </w:rPr>
      </w:pPr>
      <w:r>
        <w:rPr>
          <w:rFonts w:hint="eastAsia" w:ascii="宋体" w:hAnsi="宋体"/>
          <w:b/>
          <w:sz w:val="24"/>
          <w:szCs w:val="24"/>
          <w:highlight w:val="none"/>
        </w:rPr>
        <w:t>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p>
    <w:p w14:paraId="79E04D98">
      <w:pPr>
        <w:spacing w:line="560" w:lineRule="exact"/>
        <w:ind w:firstLine="480"/>
        <w:rPr>
          <w:rFonts w:hint="eastAsia" w:ascii="宋体" w:hAnsi="宋体"/>
          <w:b/>
          <w:sz w:val="24"/>
          <w:szCs w:val="24"/>
          <w:highlight w:val="none"/>
        </w:rPr>
      </w:pPr>
      <w:r>
        <w:rPr>
          <w:rFonts w:hint="eastAsia" w:ascii="宋体" w:hAnsi="宋体"/>
          <w:b/>
          <w:sz w:val="24"/>
          <w:szCs w:val="24"/>
          <w:highlight w:val="none"/>
        </w:rPr>
        <w:t>（五）政府采购政策功能落实</w:t>
      </w:r>
    </w:p>
    <w:p w14:paraId="692C4C7B">
      <w:pPr>
        <w:spacing w:line="560" w:lineRule="exact"/>
        <w:ind w:firstLine="480"/>
        <w:rPr>
          <w:rFonts w:hint="eastAsia" w:ascii="宋体" w:hAnsi="宋体"/>
          <w:b/>
          <w:sz w:val="24"/>
          <w:szCs w:val="24"/>
          <w:highlight w:val="none"/>
        </w:rPr>
      </w:pPr>
      <w:r>
        <w:rPr>
          <w:rFonts w:hint="eastAsia" w:ascii="宋体" w:hAnsi="宋体"/>
          <w:b/>
          <w:sz w:val="24"/>
          <w:szCs w:val="24"/>
          <w:highlight w:val="none"/>
        </w:rPr>
        <w:t>本项目为专门面向中小微企业采购项目。</w:t>
      </w:r>
    </w:p>
    <w:p w14:paraId="745BD1B8">
      <w:pPr>
        <w:spacing w:line="560" w:lineRule="exact"/>
        <w:ind w:firstLine="480"/>
        <w:jc w:val="left"/>
        <w:rPr>
          <w:rFonts w:hint="eastAsia" w:ascii="宋体" w:hAnsi="宋体"/>
          <w:sz w:val="24"/>
          <w:szCs w:val="24"/>
          <w:highlight w:val="none"/>
        </w:rPr>
      </w:pPr>
      <w:r>
        <w:rPr>
          <w:rFonts w:hint="eastAsia" w:ascii="宋体" w:hAnsi="宋体"/>
          <w:sz w:val="24"/>
          <w:szCs w:val="24"/>
          <w:highlight w:val="none"/>
        </w:rPr>
        <w:t>1、小微型企业价格扣除</w:t>
      </w:r>
    </w:p>
    <w:p w14:paraId="7D583447">
      <w:pPr>
        <w:spacing w:line="560" w:lineRule="exact"/>
        <w:ind w:firstLine="480"/>
        <w:jc w:val="left"/>
        <w:rPr>
          <w:rFonts w:hint="eastAsia" w:ascii="宋体" w:hAnsi="宋体"/>
          <w:sz w:val="24"/>
          <w:szCs w:val="24"/>
          <w:highlight w:val="none"/>
        </w:rPr>
      </w:pPr>
      <w:r>
        <w:rPr>
          <w:rFonts w:hint="eastAsia" w:ascii="宋体" w:hAnsi="宋体"/>
          <w:sz w:val="24"/>
          <w:szCs w:val="24"/>
          <w:highlight w:val="none"/>
        </w:rPr>
        <w:t>（1）本项目对小型和微型企业产品给予</w:t>
      </w:r>
      <w:r>
        <w:rPr>
          <w:rFonts w:hint="eastAsia" w:ascii="宋体" w:hAnsi="宋体"/>
          <w:sz w:val="24"/>
          <w:szCs w:val="24"/>
          <w:highlight w:val="none"/>
          <w:u w:val="single"/>
        </w:rPr>
        <w:t>20%</w:t>
      </w:r>
      <w:r>
        <w:rPr>
          <w:rFonts w:hint="eastAsia" w:ascii="宋体" w:hAnsi="宋体"/>
          <w:sz w:val="24"/>
          <w:szCs w:val="24"/>
          <w:highlight w:val="none"/>
        </w:rPr>
        <w:t>的扣除价格，用扣除后的价格参与评审。</w:t>
      </w:r>
    </w:p>
    <w:p w14:paraId="6C76AF3D">
      <w:pPr>
        <w:spacing w:line="560" w:lineRule="exact"/>
        <w:ind w:firstLine="480"/>
        <w:jc w:val="left"/>
        <w:rPr>
          <w:rFonts w:hint="eastAsia" w:ascii="宋体" w:hAnsi="宋体"/>
          <w:sz w:val="24"/>
          <w:szCs w:val="24"/>
          <w:highlight w:val="none"/>
        </w:rPr>
      </w:pPr>
      <w:r>
        <w:rPr>
          <w:rFonts w:hint="eastAsia" w:ascii="宋体" w:hAnsi="宋体"/>
          <w:sz w:val="24"/>
          <w:szCs w:val="24"/>
          <w:highlight w:val="none"/>
        </w:rPr>
        <w:t>（2）供应商需按照采购文件的要求提供相应的《中小企业声明函》。</w:t>
      </w:r>
    </w:p>
    <w:p w14:paraId="0792F1B1">
      <w:pPr>
        <w:spacing w:line="560" w:lineRule="exact"/>
        <w:ind w:firstLine="480"/>
        <w:jc w:val="left"/>
        <w:rPr>
          <w:rFonts w:hint="eastAsia" w:ascii="宋体" w:hAnsi="宋体"/>
          <w:sz w:val="24"/>
          <w:szCs w:val="24"/>
          <w:highlight w:val="none"/>
        </w:rPr>
      </w:pPr>
      <w:r>
        <w:rPr>
          <w:rFonts w:hint="eastAsia" w:ascii="宋体" w:hAnsi="宋体"/>
          <w:sz w:val="24"/>
          <w:szCs w:val="24"/>
          <w:highlight w:val="none"/>
        </w:rPr>
        <w:t>（3）企业标准请参照《关于印发中小企业划型标准规定的通知》（工信部联企业[2011]300号）文件规定自行填写。</w:t>
      </w:r>
    </w:p>
    <w:p w14:paraId="33969BDD">
      <w:pPr>
        <w:spacing w:line="560" w:lineRule="exact"/>
        <w:ind w:firstLine="480"/>
        <w:jc w:val="left"/>
        <w:rPr>
          <w:rFonts w:hint="eastAsia" w:ascii="宋体" w:hAnsi="宋体"/>
          <w:sz w:val="24"/>
          <w:szCs w:val="24"/>
          <w:highlight w:val="none"/>
        </w:rPr>
      </w:pPr>
      <w:r>
        <w:rPr>
          <w:rFonts w:hint="eastAsia" w:ascii="宋体" w:hAnsi="宋体"/>
          <w:sz w:val="24"/>
          <w:szCs w:val="24"/>
          <w:highlight w:val="none"/>
        </w:rPr>
        <w:t>2、残疾人福利单位价格扣除</w:t>
      </w:r>
    </w:p>
    <w:p w14:paraId="0EB96397">
      <w:pPr>
        <w:spacing w:line="560" w:lineRule="exact"/>
        <w:ind w:left="120" w:firstLine="480"/>
        <w:jc w:val="left"/>
        <w:rPr>
          <w:rFonts w:hint="eastAsia" w:ascii="宋体" w:hAnsi="宋体"/>
          <w:sz w:val="24"/>
          <w:szCs w:val="24"/>
          <w:highlight w:val="none"/>
        </w:rPr>
      </w:pPr>
      <w:r>
        <w:rPr>
          <w:rFonts w:hint="eastAsia" w:ascii="宋体" w:hAnsi="宋体"/>
          <w:sz w:val="24"/>
          <w:szCs w:val="24"/>
          <w:highlight w:val="none"/>
        </w:rPr>
        <w:t>（1）本项目对残疾人福利性单位视同小型、微型企业，给予</w:t>
      </w:r>
      <w:r>
        <w:rPr>
          <w:rFonts w:hint="eastAsia" w:ascii="宋体" w:hAnsi="宋体"/>
          <w:sz w:val="24"/>
          <w:szCs w:val="24"/>
          <w:highlight w:val="none"/>
          <w:u w:val="single"/>
        </w:rPr>
        <w:t>20%</w:t>
      </w:r>
      <w:r>
        <w:rPr>
          <w:rFonts w:hint="eastAsia" w:ascii="宋体" w:hAnsi="宋体"/>
          <w:sz w:val="24"/>
          <w:szCs w:val="24"/>
          <w:highlight w:val="none"/>
        </w:rPr>
        <w:t>的价格扣除，用扣除后的价格参与评审。</w:t>
      </w:r>
    </w:p>
    <w:p w14:paraId="405919DB">
      <w:pPr>
        <w:spacing w:line="560" w:lineRule="exact"/>
        <w:ind w:left="120" w:firstLine="480"/>
        <w:jc w:val="left"/>
        <w:rPr>
          <w:rFonts w:hint="eastAsia" w:ascii="宋体" w:hAnsi="宋体"/>
          <w:sz w:val="24"/>
          <w:szCs w:val="24"/>
          <w:highlight w:val="none"/>
        </w:rPr>
      </w:pPr>
      <w:r>
        <w:rPr>
          <w:rFonts w:hint="eastAsia" w:ascii="宋体" w:hAnsi="宋体"/>
          <w:sz w:val="24"/>
          <w:szCs w:val="24"/>
          <w:highlight w:val="none"/>
        </w:rPr>
        <w:t>（2）残疾人福利单位需按照采购文件的要求提供《残疾人福利性单位声明函》。</w:t>
      </w:r>
    </w:p>
    <w:p w14:paraId="16562ED1">
      <w:pPr>
        <w:spacing w:line="560" w:lineRule="exact"/>
        <w:ind w:left="120" w:firstLine="480"/>
        <w:jc w:val="left"/>
        <w:rPr>
          <w:rFonts w:hint="eastAsia" w:ascii="宋体" w:hAnsi="宋体"/>
          <w:sz w:val="24"/>
          <w:szCs w:val="24"/>
          <w:highlight w:val="none"/>
        </w:rPr>
      </w:pPr>
      <w:r>
        <w:rPr>
          <w:rFonts w:hint="eastAsia" w:ascii="宋体" w:hAnsi="宋体"/>
          <w:sz w:val="24"/>
          <w:szCs w:val="24"/>
          <w:highlight w:val="none"/>
        </w:rPr>
        <w:t>（3）残疾人福利单位标准请参照《关于促进残疾人就业政府采购政策的通知》（财库〔2017〕141号）。</w:t>
      </w:r>
    </w:p>
    <w:p w14:paraId="1F47A5DD">
      <w:pPr>
        <w:spacing w:line="560" w:lineRule="exact"/>
        <w:ind w:firstLine="480"/>
        <w:jc w:val="left"/>
        <w:rPr>
          <w:rFonts w:hint="eastAsia" w:ascii="宋体" w:hAnsi="宋体"/>
          <w:sz w:val="24"/>
          <w:szCs w:val="24"/>
          <w:highlight w:val="none"/>
        </w:rPr>
      </w:pPr>
      <w:r>
        <w:rPr>
          <w:rFonts w:hint="eastAsia" w:ascii="宋体" w:hAnsi="宋体"/>
          <w:sz w:val="24"/>
          <w:szCs w:val="24"/>
          <w:highlight w:val="none"/>
        </w:rPr>
        <w:t>3、监狱和戒毒企业价格扣除</w:t>
      </w:r>
    </w:p>
    <w:p w14:paraId="72C3F924">
      <w:pPr>
        <w:spacing w:line="560" w:lineRule="exact"/>
        <w:ind w:firstLine="480"/>
        <w:jc w:val="left"/>
        <w:rPr>
          <w:rFonts w:hint="eastAsia" w:ascii="宋体" w:hAnsi="宋体"/>
          <w:sz w:val="24"/>
          <w:szCs w:val="24"/>
          <w:highlight w:val="none"/>
        </w:rPr>
      </w:pPr>
      <w:r>
        <w:rPr>
          <w:rFonts w:hint="eastAsia" w:ascii="宋体" w:hAnsi="宋体"/>
          <w:sz w:val="24"/>
          <w:szCs w:val="24"/>
          <w:highlight w:val="none"/>
        </w:rPr>
        <w:t>（1）本项目对监狱和戒毒企业（简称监狱企业）视同小型、微型企业，给予</w:t>
      </w:r>
      <w:r>
        <w:rPr>
          <w:rFonts w:hint="eastAsia" w:ascii="宋体" w:hAnsi="宋体"/>
          <w:sz w:val="24"/>
          <w:szCs w:val="24"/>
          <w:highlight w:val="none"/>
          <w:u w:val="single"/>
        </w:rPr>
        <w:t>20%</w:t>
      </w:r>
      <w:r>
        <w:rPr>
          <w:rFonts w:hint="eastAsia" w:ascii="宋体" w:hAnsi="宋体"/>
          <w:sz w:val="24"/>
          <w:szCs w:val="24"/>
          <w:highlight w:val="none"/>
        </w:rPr>
        <w:t>的价格扣除，用扣除后的价格参与评审。</w:t>
      </w:r>
    </w:p>
    <w:p w14:paraId="59F4A6CD">
      <w:pPr>
        <w:spacing w:line="560" w:lineRule="exact"/>
        <w:ind w:firstLine="480"/>
        <w:jc w:val="left"/>
        <w:rPr>
          <w:rFonts w:hint="eastAsia" w:ascii="宋体" w:hAnsi="宋体"/>
          <w:sz w:val="24"/>
          <w:szCs w:val="24"/>
          <w:highlight w:val="none"/>
        </w:rPr>
      </w:pPr>
      <w:r>
        <w:rPr>
          <w:rFonts w:hint="eastAsia" w:ascii="宋体" w:hAnsi="宋体"/>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5945C1A3">
      <w:pPr>
        <w:spacing w:line="560" w:lineRule="exact"/>
        <w:ind w:firstLine="480"/>
        <w:jc w:val="left"/>
        <w:rPr>
          <w:rFonts w:hint="eastAsia" w:ascii="宋体" w:hAnsi="宋体"/>
          <w:sz w:val="24"/>
          <w:szCs w:val="24"/>
          <w:highlight w:val="none"/>
        </w:rPr>
      </w:pPr>
      <w:r>
        <w:rPr>
          <w:rFonts w:hint="eastAsia" w:ascii="宋体" w:hAnsi="宋体"/>
          <w:sz w:val="24"/>
          <w:szCs w:val="24"/>
          <w:highlight w:val="none"/>
        </w:rPr>
        <w:t>（3）监狱企业标准请参照《关于政府采购支持监狱企业发展有关问题的通知》（</w:t>
      </w:r>
      <w:r>
        <w:rPr>
          <w:rFonts w:ascii="宋体" w:hAnsi="宋体"/>
          <w:sz w:val="24"/>
          <w:szCs w:val="24"/>
          <w:highlight w:val="none"/>
        </w:rPr>
        <w:t>财库</w:t>
      </w:r>
      <w:r>
        <w:rPr>
          <w:rFonts w:hint="eastAsia" w:ascii="宋体" w:hAnsi="宋体"/>
          <w:sz w:val="24"/>
          <w:szCs w:val="24"/>
          <w:highlight w:val="none"/>
        </w:rPr>
        <w:t>〔</w:t>
      </w:r>
      <w:r>
        <w:rPr>
          <w:rFonts w:ascii="宋体" w:hAnsi="宋体"/>
          <w:sz w:val="24"/>
          <w:szCs w:val="24"/>
          <w:highlight w:val="none"/>
        </w:rPr>
        <w:t>2014</w:t>
      </w:r>
      <w:r>
        <w:rPr>
          <w:rFonts w:hint="eastAsia" w:ascii="宋体" w:hAnsi="宋体"/>
          <w:sz w:val="24"/>
          <w:szCs w:val="24"/>
          <w:highlight w:val="none"/>
        </w:rPr>
        <w:t>〕</w:t>
      </w:r>
      <w:r>
        <w:rPr>
          <w:rFonts w:ascii="宋体" w:hAnsi="宋体"/>
          <w:sz w:val="24"/>
          <w:szCs w:val="24"/>
          <w:highlight w:val="none"/>
        </w:rPr>
        <w:t>68号</w:t>
      </w:r>
      <w:r>
        <w:rPr>
          <w:rFonts w:hint="eastAsia" w:ascii="宋体" w:hAnsi="宋体"/>
          <w:sz w:val="24"/>
          <w:szCs w:val="24"/>
          <w:highlight w:val="none"/>
        </w:rPr>
        <w:t>）。</w:t>
      </w:r>
    </w:p>
    <w:p w14:paraId="10F52782">
      <w:pPr>
        <w:spacing w:line="560" w:lineRule="exact"/>
        <w:ind w:firstLine="480"/>
        <w:jc w:val="left"/>
        <w:rPr>
          <w:rFonts w:hint="eastAsia" w:ascii="宋体" w:hAnsi="宋体"/>
          <w:sz w:val="24"/>
          <w:szCs w:val="24"/>
          <w:highlight w:val="none"/>
        </w:rPr>
      </w:pPr>
      <w:r>
        <w:rPr>
          <w:rFonts w:hint="eastAsia" w:ascii="宋体" w:hAnsi="宋体"/>
          <w:sz w:val="24"/>
          <w:szCs w:val="24"/>
          <w:highlight w:val="none"/>
        </w:rPr>
        <w:t>4、残疾人福利单位、监狱企业属于小型、微型企业的，不重复享受政策。</w:t>
      </w:r>
    </w:p>
    <w:p w14:paraId="744B209D">
      <w:pPr>
        <w:spacing w:line="560" w:lineRule="exact"/>
        <w:ind w:firstLine="480"/>
        <w:jc w:val="left"/>
        <w:rPr>
          <w:rFonts w:hint="eastAsia" w:ascii="宋体" w:hAnsi="宋体"/>
          <w:sz w:val="24"/>
          <w:szCs w:val="24"/>
          <w:highlight w:val="none"/>
        </w:rPr>
      </w:pPr>
      <w:r>
        <w:rPr>
          <w:rFonts w:hint="eastAsia" w:ascii="宋体" w:hAnsi="宋体"/>
          <w:sz w:val="24"/>
          <w:szCs w:val="24"/>
          <w:highlight w:val="none"/>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highlight w:val="none"/>
          <w:u w:val="single"/>
        </w:rPr>
        <w:t>6%</w:t>
      </w:r>
      <w:r>
        <w:rPr>
          <w:rFonts w:hint="eastAsia" w:ascii="宋体" w:hAnsi="宋体"/>
          <w:sz w:val="24"/>
          <w:szCs w:val="24"/>
          <w:highlight w:val="none"/>
        </w:rPr>
        <w:t>的价格扣除，用扣除后的价格参与评审。</w:t>
      </w:r>
    </w:p>
    <w:p w14:paraId="0B21780B">
      <w:pPr>
        <w:spacing w:line="560" w:lineRule="exact"/>
        <w:ind w:firstLine="480"/>
        <w:jc w:val="left"/>
        <w:rPr>
          <w:rFonts w:hint="eastAsia" w:ascii="宋体" w:hAnsi="宋体"/>
          <w:sz w:val="24"/>
          <w:szCs w:val="24"/>
          <w:highlight w:val="none"/>
        </w:rPr>
      </w:pPr>
      <w:r>
        <w:rPr>
          <w:rFonts w:hint="eastAsia" w:ascii="宋体" w:hAnsi="宋体"/>
          <w:sz w:val="24"/>
          <w:szCs w:val="24"/>
          <w:highlight w:val="none"/>
        </w:rPr>
        <w:t>6、联合体各方均为小型、微型企业（残疾人福利单位、监狱企业）的，联合体享受</w:t>
      </w:r>
      <w:r>
        <w:rPr>
          <w:rFonts w:hint="eastAsia" w:ascii="宋体" w:hAnsi="宋体"/>
          <w:sz w:val="24"/>
          <w:szCs w:val="24"/>
          <w:highlight w:val="none"/>
          <w:u w:val="single"/>
        </w:rPr>
        <w:t>20%</w:t>
      </w:r>
      <w:r>
        <w:rPr>
          <w:rFonts w:hint="eastAsia" w:ascii="宋体" w:hAnsi="宋体"/>
          <w:sz w:val="24"/>
          <w:szCs w:val="24"/>
          <w:highlight w:val="none"/>
        </w:rPr>
        <w:t>价格扣除，用扣除后的价格参与评审。</w:t>
      </w:r>
    </w:p>
    <w:p w14:paraId="5FADA782">
      <w:pPr>
        <w:spacing w:line="560" w:lineRule="exact"/>
        <w:ind w:firstLine="480"/>
        <w:jc w:val="left"/>
        <w:rPr>
          <w:rFonts w:hint="eastAsia" w:ascii="宋体" w:hAnsi="宋体"/>
          <w:sz w:val="24"/>
          <w:szCs w:val="24"/>
          <w:highlight w:val="none"/>
        </w:rPr>
      </w:pPr>
      <w:r>
        <w:rPr>
          <w:rFonts w:hint="eastAsia" w:ascii="宋体" w:hAnsi="宋体"/>
          <w:sz w:val="24"/>
          <w:szCs w:val="24"/>
          <w:highlight w:val="none"/>
        </w:rPr>
        <w:t>7、</w:t>
      </w:r>
      <w:r>
        <w:rPr>
          <w:rFonts w:hint="eastAsia" w:ascii="宋体" w:hAnsi="宋体"/>
          <w:b/>
          <w:bCs/>
          <w:sz w:val="24"/>
          <w:szCs w:val="24"/>
          <w:highlight w:val="none"/>
        </w:rPr>
        <w:t>专门面向中小企业采购的项目或者采购包，不再执行价格评审优惠的扶持政策</w:t>
      </w:r>
      <w:r>
        <w:rPr>
          <w:rFonts w:hint="eastAsia" w:ascii="宋体" w:hAnsi="宋体"/>
          <w:sz w:val="24"/>
          <w:szCs w:val="24"/>
          <w:highlight w:val="none"/>
        </w:rPr>
        <w:t>。</w:t>
      </w:r>
    </w:p>
    <w:p w14:paraId="58D7F25D">
      <w:pPr>
        <w:rPr>
          <w:rFonts w:hint="eastAsia"/>
          <w:szCs w:val="21"/>
          <w:highlight w:val="none"/>
        </w:rPr>
      </w:pPr>
    </w:p>
    <w:p w14:paraId="6E473A3A">
      <w:pPr>
        <w:rPr>
          <w:rFonts w:hint="eastAsia"/>
          <w:szCs w:val="21"/>
          <w:highlight w:val="none"/>
        </w:rPr>
      </w:pPr>
    </w:p>
    <w:p w14:paraId="33EC2B68">
      <w:pPr>
        <w:rPr>
          <w:rFonts w:hint="eastAsia"/>
          <w:szCs w:val="21"/>
          <w:highlight w:val="none"/>
        </w:rPr>
      </w:pPr>
    </w:p>
    <w:p w14:paraId="0D383B0D">
      <w:pPr>
        <w:rPr>
          <w:rFonts w:hint="eastAsia"/>
          <w:szCs w:val="21"/>
          <w:highlight w:val="none"/>
        </w:rPr>
      </w:pPr>
    </w:p>
    <w:p w14:paraId="046D0BEC">
      <w:pPr>
        <w:rPr>
          <w:rFonts w:hint="eastAsia"/>
          <w:szCs w:val="21"/>
          <w:highlight w:val="none"/>
        </w:rPr>
      </w:pPr>
    </w:p>
    <w:p w14:paraId="360A12D9">
      <w:pPr>
        <w:rPr>
          <w:rFonts w:hint="eastAsia"/>
          <w:szCs w:val="21"/>
          <w:highlight w:val="none"/>
        </w:rPr>
      </w:pPr>
    </w:p>
    <w:p w14:paraId="1183A098">
      <w:pPr>
        <w:rPr>
          <w:rFonts w:hint="eastAsia"/>
          <w:szCs w:val="21"/>
          <w:highlight w:val="none"/>
        </w:rPr>
      </w:pPr>
    </w:p>
    <w:p w14:paraId="0077DF58">
      <w:pPr>
        <w:rPr>
          <w:rFonts w:hint="eastAsia"/>
          <w:szCs w:val="21"/>
          <w:highlight w:val="none"/>
        </w:rPr>
      </w:pPr>
    </w:p>
    <w:p w14:paraId="3CE15616">
      <w:pPr>
        <w:rPr>
          <w:rFonts w:hint="eastAsia"/>
          <w:szCs w:val="21"/>
          <w:highlight w:val="none"/>
        </w:rPr>
      </w:pPr>
    </w:p>
    <w:p w14:paraId="1F6390EB">
      <w:pPr>
        <w:keepNext/>
        <w:jc w:val="center"/>
        <w:outlineLvl w:val="0"/>
        <w:rPr>
          <w:rFonts w:hint="eastAsia" w:ascii="黑体" w:eastAsia="黑体"/>
          <w:bCs/>
          <w:sz w:val="44"/>
          <w:szCs w:val="28"/>
          <w:highlight w:val="none"/>
        </w:rPr>
      </w:pPr>
      <w:r>
        <w:rPr>
          <w:rFonts w:hint="eastAsia" w:ascii="黑体" w:eastAsia="黑体"/>
          <w:bCs/>
          <w:sz w:val="44"/>
          <w:szCs w:val="28"/>
          <w:highlight w:val="none"/>
        </w:rPr>
        <w:t xml:space="preserve">第五章  </w:t>
      </w:r>
      <w:bookmarkEnd w:id="176"/>
      <w:bookmarkEnd w:id="177"/>
      <w:bookmarkEnd w:id="181"/>
      <w:r>
        <w:rPr>
          <w:rFonts w:hint="eastAsia" w:ascii="黑体" w:eastAsia="黑体"/>
          <w:bCs/>
          <w:sz w:val="44"/>
          <w:szCs w:val="28"/>
          <w:highlight w:val="none"/>
        </w:rPr>
        <w:t>响应文件格式</w:t>
      </w:r>
    </w:p>
    <w:p w14:paraId="6AB827AB">
      <w:pPr>
        <w:jc w:val="center"/>
        <w:rPr>
          <w:rFonts w:hint="eastAsia" w:ascii="宋体" w:hAnsi="宋体"/>
          <w:b/>
          <w:sz w:val="72"/>
          <w:szCs w:val="21"/>
          <w:highlight w:val="none"/>
        </w:rPr>
      </w:pPr>
      <w:bookmarkStart w:id="182" w:name="_Hlt26955039"/>
      <w:bookmarkEnd w:id="182"/>
      <w:bookmarkStart w:id="183" w:name="_Hlt26671244"/>
      <w:bookmarkEnd w:id="183"/>
      <w:bookmarkStart w:id="184" w:name="_Toc26554094"/>
      <w:bookmarkStart w:id="185" w:name="_Toc49090576"/>
      <w:bookmarkStart w:id="186" w:name="_Toc120614282"/>
    </w:p>
    <w:p w14:paraId="1B3FD88A">
      <w:pPr>
        <w:jc w:val="center"/>
        <w:rPr>
          <w:rFonts w:hint="eastAsia" w:ascii="宋体" w:hAnsi="宋体"/>
          <w:b/>
          <w:sz w:val="72"/>
          <w:szCs w:val="21"/>
          <w:highlight w:val="none"/>
        </w:rPr>
      </w:pPr>
      <w:r>
        <w:rPr>
          <w:rFonts w:hint="eastAsia" w:ascii="宋体" w:hAnsi="宋体"/>
          <w:b/>
          <w:sz w:val="72"/>
          <w:szCs w:val="21"/>
          <w:highlight w:val="none"/>
        </w:rPr>
        <w:t>响  应  文  件</w:t>
      </w:r>
    </w:p>
    <w:p w14:paraId="08B42C03">
      <w:pPr>
        <w:jc w:val="center"/>
        <w:rPr>
          <w:rFonts w:hint="eastAsia" w:ascii="宋体" w:hAnsi="宋体"/>
          <w:b/>
          <w:sz w:val="72"/>
          <w:szCs w:val="21"/>
          <w:highlight w:val="none"/>
        </w:rPr>
      </w:pPr>
    </w:p>
    <w:p w14:paraId="18762370">
      <w:pPr>
        <w:jc w:val="center"/>
        <w:rPr>
          <w:rFonts w:hint="eastAsia" w:ascii="宋体" w:hAnsi="宋体"/>
          <w:b/>
          <w:sz w:val="72"/>
          <w:szCs w:val="21"/>
          <w:highlight w:val="none"/>
        </w:rPr>
      </w:pPr>
    </w:p>
    <w:p w14:paraId="2328D924">
      <w:pPr>
        <w:jc w:val="center"/>
        <w:rPr>
          <w:rFonts w:hint="eastAsia" w:ascii="宋体" w:hAnsi="宋体"/>
          <w:b/>
          <w:sz w:val="36"/>
          <w:szCs w:val="21"/>
          <w:highlight w:val="none"/>
        </w:rPr>
      </w:pPr>
    </w:p>
    <w:p w14:paraId="39F13259">
      <w:pPr>
        <w:jc w:val="center"/>
        <w:rPr>
          <w:rFonts w:hint="eastAsia" w:ascii="宋体" w:hAnsi="宋体"/>
          <w:b/>
          <w:sz w:val="36"/>
          <w:szCs w:val="21"/>
          <w:highlight w:val="none"/>
        </w:rPr>
      </w:pPr>
    </w:p>
    <w:p w14:paraId="4E2B9AB1">
      <w:pPr>
        <w:jc w:val="center"/>
        <w:rPr>
          <w:rFonts w:hint="eastAsia" w:ascii="宋体" w:hAnsi="宋体"/>
          <w:b/>
          <w:sz w:val="36"/>
          <w:szCs w:val="21"/>
          <w:highlight w:val="none"/>
        </w:rPr>
      </w:pPr>
    </w:p>
    <w:p w14:paraId="24D86CE2">
      <w:pPr>
        <w:ind w:firstLine="1080"/>
        <w:rPr>
          <w:rFonts w:hint="eastAsia" w:ascii="宋体" w:hAnsi="宋体"/>
          <w:b/>
          <w:sz w:val="36"/>
          <w:szCs w:val="21"/>
          <w:highlight w:val="none"/>
        </w:rPr>
      </w:pPr>
      <w:r>
        <w:rPr>
          <w:rFonts w:hint="eastAsia" w:ascii="宋体" w:hAnsi="宋体"/>
          <w:b/>
          <w:sz w:val="36"/>
          <w:szCs w:val="21"/>
          <w:highlight w:val="none"/>
        </w:rPr>
        <w:t>项 目 名 称：</w:t>
      </w:r>
      <w:r>
        <w:rPr>
          <w:rFonts w:hint="eastAsia" w:ascii="宋体" w:hAnsi="宋体"/>
          <w:b/>
          <w:sz w:val="36"/>
          <w:szCs w:val="21"/>
          <w:highlight w:val="none"/>
          <w:u w:val="single"/>
        </w:rPr>
        <w:t xml:space="preserve">               </w:t>
      </w:r>
    </w:p>
    <w:p w14:paraId="27CEB84A">
      <w:pPr>
        <w:ind w:firstLine="1080"/>
        <w:rPr>
          <w:rFonts w:hint="eastAsia" w:ascii="宋体" w:hAnsi="宋体"/>
          <w:b/>
          <w:sz w:val="36"/>
          <w:szCs w:val="21"/>
          <w:highlight w:val="none"/>
          <w:u w:val="single"/>
        </w:rPr>
      </w:pPr>
      <w:r>
        <w:rPr>
          <w:rFonts w:hint="eastAsia" w:ascii="宋体" w:hAnsi="宋体"/>
          <w:b/>
          <w:sz w:val="36"/>
          <w:szCs w:val="21"/>
          <w:highlight w:val="none"/>
        </w:rPr>
        <w:t>项 目 编 号：</w:t>
      </w:r>
      <w:r>
        <w:rPr>
          <w:rFonts w:hint="eastAsia" w:ascii="宋体" w:hAnsi="宋体"/>
          <w:b/>
          <w:sz w:val="36"/>
          <w:szCs w:val="21"/>
          <w:highlight w:val="none"/>
          <w:u w:val="single"/>
        </w:rPr>
        <w:t xml:space="preserve">               </w:t>
      </w:r>
    </w:p>
    <w:p w14:paraId="65256FAD">
      <w:pPr>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（加盖CA电子公章）</w:t>
      </w:r>
    </w:p>
    <w:p w14:paraId="483F28F6">
      <w:pPr>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p>
    <w:p w14:paraId="6B434417">
      <w:pPr>
        <w:spacing w:line="440" w:lineRule="exact"/>
        <w:jc w:val="center"/>
        <w:rPr>
          <w:rFonts w:hint="eastAsia" w:ascii="宋体" w:hAnsi="宋体"/>
          <w:b/>
          <w:bCs/>
          <w:sz w:val="32"/>
          <w:szCs w:val="32"/>
          <w:highlight w:val="none"/>
        </w:rPr>
      </w:pPr>
    </w:p>
    <w:p w14:paraId="1AD5C25E">
      <w:pPr>
        <w:rPr>
          <w:rFonts w:hint="eastAsia" w:ascii="宋体" w:hAnsi="宋体"/>
          <w:b/>
          <w:sz w:val="36"/>
          <w:szCs w:val="21"/>
          <w:highlight w:val="none"/>
          <w:u w:val="single"/>
        </w:rPr>
      </w:pPr>
    </w:p>
    <w:p w14:paraId="1A9E33EF">
      <w:pPr>
        <w:rPr>
          <w:rFonts w:hint="eastAsia" w:ascii="宋体" w:hAnsi="宋体"/>
          <w:b/>
          <w:sz w:val="36"/>
          <w:szCs w:val="21"/>
          <w:highlight w:val="none"/>
          <w:u w:val="single"/>
        </w:rPr>
      </w:pPr>
    </w:p>
    <w:p w14:paraId="11499974">
      <w:pPr>
        <w:rPr>
          <w:rFonts w:hint="eastAsia" w:ascii="宋体" w:hAnsi="宋体"/>
          <w:b/>
          <w:sz w:val="36"/>
          <w:szCs w:val="21"/>
          <w:highlight w:val="none"/>
          <w:u w:val="single"/>
        </w:rPr>
      </w:pPr>
    </w:p>
    <w:p w14:paraId="7D1DDE55">
      <w:pPr>
        <w:rPr>
          <w:rFonts w:hint="eastAsia" w:ascii="宋体" w:hAnsi="宋体"/>
          <w:b/>
          <w:sz w:val="36"/>
          <w:szCs w:val="21"/>
          <w:highlight w:val="none"/>
          <w:u w:val="single"/>
        </w:rPr>
      </w:pPr>
    </w:p>
    <w:p w14:paraId="35536EF8">
      <w:pPr>
        <w:pStyle w:val="263"/>
        <w:rPr>
          <w:rFonts w:ascii="宋体" w:hAnsi="宋体"/>
          <w:b/>
          <w:bCs/>
          <w:sz w:val="32"/>
          <w:szCs w:val="32"/>
          <w:highlight w:val="none"/>
        </w:rPr>
      </w:pPr>
    </w:p>
    <w:p w14:paraId="6A9BBA23">
      <w:pPr>
        <w:pStyle w:val="263"/>
        <w:rPr>
          <w:rFonts w:ascii="宋体" w:hAnsi="宋体"/>
          <w:b/>
          <w:bCs/>
          <w:sz w:val="32"/>
          <w:szCs w:val="32"/>
          <w:highlight w:val="none"/>
        </w:rPr>
      </w:pPr>
    </w:p>
    <w:p w14:paraId="544C69EE">
      <w:pPr>
        <w:spacing w:line="560" w:lineRule="exact"/>
        <w:jc w:val="center"/>
        <w:rPr>
          <w:rFonts w:hint="eastAsia" w:ascii="宋体" w:hAnsi="宋体"/>
          <w:b/>
          <w:bCs/>
          <w:sz w:val="44"/>
          <w:szCs w:val="44"/>
          <w:highlight w:val="none"/>
        </w:rPr>
      </w:pPr>
      <w:r>
        <w:rPr>
          <w:rFonts w:hint="eastAsia" w:ascii="宋体" w:hAnsi="宋体"/>
          <w:b/>
          <w:bCs/>
          <w:sz w:val="44"/>
          <w:szCs w:val="44"/>
          <w:highlight w:val="none"/>
        </w:rPr>
        <w:t>响应文件目录</w:t>
      </w:r>
    </w:p>
    <w:p w14:paraId="42AB47C0">
      <w:pPr>
        <w:spacing w:line="560" w:lineRule="exact"/>
        <w:jc w:val="center"/>
        <w:rPr>
          <w:rFonts w:hint="eastAsia" w:ascii="宋体" w:hAnsi="宋体"/>
          <w:b/>
          <w:bCs/>
          <w:sz w:val="32"/>
          <w:szCs w:val="32"/>
          <w:highlight w:val="none"/>
        </w:rPr>
      </w:pPr>
    </w:p>
    <w:p w14:paraId="0DEA1F44">
      <w:pPr>
        <w:spacing w:line="720" w:lineRule="exact"/>
        <w:ind w:left="482"/>
        <w:rPr>
          <w:rFonts w:hint="eastAsia" w:ascii="黑体" w:hAnsi="黑体" w:eastAsia="黑体"/>
          <w:sz w:val="32"/>
          <w:szCs w:val="32"/>
          <w:highlight w:val="none"/>
        </w:rPr>
      </w:pPr>
      <w:r>
        <w:rPr>
          <w:rFonts w:hint="eastAsia" w:ascii="黑体" w:hAnsi="黑体" w:eastAsia="黑体"/>
          <w:sz w:val="32"/>
          <w:szCs w:val="32"/>
          <w:highlight w:val="none"/>
        </w:rPr>
        <w:t>一、资格审查证明材料</w:t>
      </w:r>
    </w:p>
    <w:p w14:paraId="5D175009">
      <w:pPr>
        <w:spacing w:line="720" w:lineRule="exact"/>
        <w:ind w:left="482"/>
        <w:rPr>
          <w:rFonts w:hint="eastAsia" w:ascii="黑体" w:hAnsi="黑体" w:eastAsia="黑体"/>
          <w:sz w:val="32"/>
          <w:szCs w:val="32"/>
          <w:highlight w:val="none"/>
        </w:rPr>
      </w:pPr>
      <w:r>
        <w:rPr>
          <w:rFonts w:hint="eastAsia" w:ascii="黑体" w:hAnsi="黑体" w:eastAsia="黑体"/>
          <w:sz w:val="32"/>
          <w:szCs w:val="32"/>
          <w:highlight w:val="none"/>
        </w:rPr>
        <w:t>二、商务、技术标</w:t>
      </w:r>
    </w:p>
    <w:p w14:paraId="64BC0C75">
      <w:pPr>
        <w:spacing w:line="720" w:lineRule="exact"/>
        <w:ind w:left="482"/>
        <w:rPr>
          <w:rFonts w:hint="eastAsia" w:ascii="黑体" w:hAnsi="黑体" w:eastAsia="黑体"/>
          <w:sz w:val="32"/>
          <w:szCs w:val="32"/>
          <w:highlight w:val="none"/>
        </w:rPr>
      </w:pPr>
      <w:r>
        <w:rPr>
          <w:rFonts w:hint="eastAsia" w:ascii="黑体" w:hAnsi="黑体" w:eastAsia="黑体"/>
          <w:sz w:val="32"/>
          <w:szCs w:val="32"/>
          <w:highlight w:val="none"/>
        </w:rPr>
        <w:t>三、价格标</w:t>
      </w:r>
    </w:p>
    <w:p w14:paraId="40DFF83B">
      <w:pPr>
        <w:spacing w:line="720" w:lineRule="exact"/>
        <w:ind w:left="482"/>
        <w:rPr>
          <w:rFonts w:hint="eastAsia" w:ascii="黑体" w:hAnsi="黑体" w:eastAsia="黑体"/>
          <w:sz w:val="32"/>
          <w:szCs w:val="32"/>
          <w:highlight w:val="none"/>
        </w:rPr>
      </w:pPr>
      <w:r>
        <w:rPr>
          <w:rFonts w:hint="eastAsia" w:ascii="黑体" w:hAnsi="黑体" w:eastAsia="黑体"/>
          <w:sz w:val="32"/>
          <w:szCs w:val="32"/>
          <w:highlight w:val="none"/>
        </w:rPr>
        <w:t>四、其他资料（如有）</w:t>
      </w:r>
    </w:p>
    <w:p w14:paraId="32D29D3A">
      <w:pPr>
        <w:spacing w:line="440" w:lineRule="exact"/>
        <w:ind w:firstLine="480"/>
        <w:rPr>
          <w:rFonts w:ascii="宋体" w:hAnsi="宋体"/>
          <w:i/>
          <w:sz w:val="24"/>
          <w:szCs w:val="21"/>
          <w:highlight w:val="none"/>
          <w:u w:val="single"/>
        </w:rPr>
      </w:pPr>
    </w:p>
    <w:p w14:paraId="1D26885D">
      <w:pPr>
        <w:spacing w:line="440" w:lineRule="exact"/>
        <w:ind w:firstLine="480"/>
        <w:rPr>
          <w:rFonts w:ascii="宋体" w:hAnsi="宋体"/>
          <w:sz w:val="24"/>
          <w:szCs w:val="21"/>
          <w:highlight w:val="none"/>
        </w:rPr>
      </w:pPr>
    </w:p>
    <w:p w14:paraId="0FE2E547">
      <w:pPr>
        <w:spacing w:line="440" w:lineRule="exact"/>
        <w:ind w:firstLine="480"/>
        <w:rPr>
          <w:rFonts w:ascii="宋体" w:hAnsi="宋体"/>
          <w:sz w:val="24"/>
          <w:szCs w:val="21"/>
          <w:highlight w:val="none"/>
        </w:rPr>
      </w:pPr>
    </w:p>
    <w:p w14:paraId="1CAB9505">
      <w:pPr>
        <w:spacing w:line="440" w:lineRule="exact"/>
        <w:ind w:firstLine="480"/>
        <w:rPr>
          <w:rFonts w:ascii="宋体" w:hAnsi="宋体"/>
          <w:sz w:val="24"/>
          <w:szCs w:val="21"/>
          <w:highlight w:val="none"/>
        </w:rPr>
      </w:pPr>
    </w:p>
    <w:p w14:paraId="44FAC359">
      <w:pPr>
        <w:spacing w:line="440" w:lineRule="exact"/>
        <w:ind w:firstLine="480"/>
        <w:rPr>
          <w:rFonts w:hint="eastAsia" w:ascii="宋体" w:hAnsi="宋体"/>
          <w:sz w:val="24"/>
          <w:szCs w:val="21"/>
          <w:highlight w:val="none"/>
        </w:rPr>
      </w:pPr>
    </w:p>
    <w:p w14:paraId="6E4637B8">
      <w:pPr>
        <w:spacing w:line="440" w:lineRule="exact"/>
        <w:ind w:firstLine="480"/>
        <w:rPr>
          <w:rFonts w:hint="eastAsia" w:ascii="宋体" w:hAnsi="宋体"/>
          <w:sz w:val="24"/>
          <w:szCs w:val="21"/>
          <w:highlight w:val="none"/>
        </w:rPr>
      </w:pPr>
    </w:p>
    <w:p w14:paraId="2E56D37C">
      <w:pPr>
        <w:spacing w:line="440" w:lineRule="exact"/>
        <w:ind w:firstLine="480"/>
        <w:rPr>
          <w:rFonts w:hint="eastAsia" w:ascii="宋体" w:hAnsi="宋体"/>
          <w:sz w:val="24"/>
          <w:szCs w:val="21"/>
          <w:highlight w:val="none"/>
        </w:rPr>
      </w:pPr>
    </w:p>
    <w:p w14:paraId="0335E68D">
      <w:pPr>
        <w:spacing w:line="440" w:lineRule="exact"/>
        <w:ind w:firstLine="480"/>
        <w:rPr>
          <w:rFonts w:hint="eastAsia" w:ascii="宋体" w:hAnsi="宋体"/>
          <w:sz w:val="24"/>
          <w:szCs w:val="21"/>
          <w:highlight w:val="none"/>
        </w:rPr>
      </w:pPr>
    </w:p>
    <w:p w14:paraId="3B5332F6">
      <w:pPr>
        <w:spacing w:line="440" w:lineRule="exact"/>
        <w:ind w:firstLine="480"/>
        <w:rPr>
          <w:rFonts w:hint="eastAsia" w:ascii="宋体" w:hAnsi="宋体"/>
          <w:sz w:val="24"/>
          <w:szCs w:val="21"/>
          <w:highlight w:val="none"/>
        </w:rPr>
      </w:pPr>
    </w:p>
    <w:p w14:paraId="1FD82BDA">
      <w:pPr>
        <w:spacing w:line="440" w:lineRule="exact"/>
        <w:ind w:firstLine="480"/>
        <w:rPr>
          <w:rFonts w:hint="eastAsia" w:ascii="宋体" w:hAnsi="宋体"/>
          <w:sz w:val="24"/>
          <w:szCs w:val="21"/>
          <w:highlight w:val="none"/>
        </w:rPr>
      </w:pPr>
    </w:p>
    <w:p w14:paraId="197B4FDB">
      <w:pPr>
        <w:spacing w:line="440" w:lineRule="exact"/>
        <w:ind w:firstLine="480"/>
        <w:rPr>
          <w:rFonts w:ascii="宋体" w:hAnsi="宋体"/>
          <w:sz w:val="24"/>
          <w:szCs w:val="21"/>
          <w:highlight w:val="none"/>
        </w:rPr>
      </w:pPr>
    </w:p>
    <w:p w14:paraId="4C6C010D">
      <w:pPr>
        <w:spacing w:line="440" w:lineRule="exact"/>
        <w:ind w:firstLine="480"/>
        <w:rPr>
          <w:rFonts w:ascii="宋体" w:hAnsi="宋体"/>
          <w:sz w:val="24"/>
          <w:szCs w:val="21"/>
          <w:highlight w:val="none"/>
        </w:rPr>
      </w:pPr>
    </w:p>
    <w:p w14:paraId="4C3D677E">
      <w:pPr>
        <w:spacing w:line="440" w:lineRule="exact"/>
        <w:ind w:firstLine="480"/>
        <w:rPr>
          <w:rFonts w:ascii="宋体" w:hAnsi="宋体"/>
          <w:sz w:val="24"/>
          <w:szCs w:val="21"/>
          <w:highlight w:val="none"/>
        </w:rPr>
      </w:pPr>
    </w:p>
    <w:p w14:paraId="6DEA497B">
      <w:pPr>
        <w:spacing w:line="440" w:lineRule="exact"/>
        <w:ind w:firstLine="480"/>
        <w:rPr>
          <w:rFonts w:ascii="宋体" w:hAnsi="宋体"/>
          <w:sz w:val="24"/>
          <w:szCs w:val="21"/>
          <w:highlight w:val="none"/>
        </w:rPr>
      </w:pPr>
    </w:p>
    <w:p w14:paraId="7550FCEA">
      <w:pPr>
        <w:spacing w:line="440" w:lineRule="exact"/>
        <w:ind w:firstLine="480"/>
        <w:rPr>
          <w:rFonts w:hint="eastAsia" w:ascii="宋体" w:hAnsi="宋体"/>
          <w:sz w:val="24"/>
          <w:szCs w:val="21"/>
          <w:highlight w:val="none"/>
        </w:rPr>
      </w:pPr>
    </w:p>
    <w:p w14:paraId="27D035D2">
      <w:pPr>
        <w:spacing w:line="440" w:lineRule="exact"/>
        <w:ind w:firstLine="480"/>
        <w:rPr>
          <w:rFonts w:hint="eastAsia" w:ascii="宋体" w:hAnsi="宋体"/>
          <w:sz w:val="24"/>
          <w:szCs w:val="21"/>
          <w:highlight w:val="none"/>
        </w:rPr>
      </w:pPr>
    </w:p>
    <w:p w14:paraId="36859F0B">
      <w:pPr>
        <w:spacing w:line="440" w:lineRule="exact"/>
        <w:ind w:firstLine="480"/>
        <w:rPr>
          <w:rFonts w:hint="eastAsia" w:ascii="宋体" w:hAnsi="宋体"/>
          <w:sz w:val="24"/>
          <w:szCs w:val="21"/>
          <w:highlight w:val="none"/>
        </w:rPr>
      </w:pPr>
    </w:p>
    <w:p w14:paraId="5CF726E3">
      <w:pPr>
        <w:spacing w:line="440" w:lineRule="exact"/>
        <w:ind w:firstLine="480"/>
        <w:rPr>
          <w:rFonts w:hint="eastAsia" w:ascii="宋体" w:hAnsi="宋体"/>
          <w:sz w:val="24"/>
          <w:szCs w:val="21"/>
          <w:highlight w:val="none"/>
        </w:rPr>
      </w:pPr>
    </w:p>
    <w:p w14:paraId="77F2213E">
      <w:pPr>
        <w:spacing w:line="560" w:lineRule="exact"/>
        <w:ind w:firstLine="480"/>
        <w:rPr>
          <w:rFonts w:hint="eastAsia" w:ascii="黑体" w:hAnsi="黑体" w:eastAsia="黑体"/>
          <w:sz w:val="32"/>
          <w:szCs w:val="32"/>
          <w:highlight w:val="none"/>
        </w:rPr>
      </w:pPr>
      <w:r>
        <w:rPr>
          <w:rFonts w:ascii="宋体" w:hAnsi="宋体"/>
          <w:sz w:val="24"/>
          <w:szCs w:val="21"/>
          <w:highlight w:val="none"/>
        </w:rPr>
        <w:br w:type="page" w:clear="all"/>
      </w:r>
      <w:r>
        <w:rPr>
          <w:rFonts w:hint="eastAsia" w:ascii="黑体" w:hAnsi="黑体" w:eastAsia="黑体"/>
          <w:sz w:val="32"/>
          <w:szCs w:val="32"/>
          <w:highlight w:val="none"/>
        </w:rPr>
        <w:t>一、资格审查证明材料</w:t>
      </w:r>
    </w:p>
    <w:p w14:paraId="1B546343">
      <w:pPr>
        <w:spacing w:line="560" w:lineRule="exact"/>
        <w:ind w:firstLine="480"/>
        <w:rPr>
          <w:rFonts w:hint="eastAsia" w:ascii="宋体" w:hAnsi="宋体"/>
          <w:sz w:val="24"/>
          <w:szCs w:val="24"/>
          <w:highlight w:val="none"/>
        </w:rPr>
      </w:pPr>
      <w:r>
        <w:rPr>
          <w:rFonts w:hint="eastAsia" w:ascii="宋体" w:hAnsi="宋体"/>
          <w:sz w:val="24"/>
          <w:szCs w:val="24"/>
          <w:highlight w:val="none"/>
        </w:rPr>
        <w:t>1.供应商符合《政府采购法》第二十二条规定条件的承诺函（格式见附件1）；</w:t>
      </w:r>
    </w:p>
    <w:p w14:paraId="57DB78AF">
      <w:pPr>
        <w:spacing w:line="560" w:lineRule="exact"/>
        <w:ind w:firstLine="480"/>
        <w:rPr>
          <w:rFonts w:hint="eastAsia" w:ascii="宋体" w:hAnsi="宋体"/>
          <w:sz w:val="24"/>
          <w:szCs w:val="24"/>
          <w:highlight w:val="none"/>
        </w:rPr>
      </w:pPr>
      <w:r>
        <w:rPr>
          <w:rFonts w:hint="eastAsia" w:ascii="宋体" w:hAnsi="宋体"/>
          <w:sz w:val="24"/>
          <w:szCs w:val="24"/>
          <w:highlight w:val="none"/>
        </w:rPr>
        <w:t>2.法定代表人身份证明书（格式见附件2）；</w:t>
      </w:r>
    </w:p>
    <w:p w14:paraId="3742EED2">
      <w:pPr>
        <w:spacing w:line="560" w:lineRule="exact"/>
        <w:ind w:firstLine="480"/>
        <w:rPr>
          <w:rFonts w:hint="eastAsia" w:ascii="宋体" w:hAnsi="宋体"/>
          <w:sz w:val="24"/>
          <w:szCs w:val="24"/>
          <w:highlight w:val="none"/>
        </w:rPr>
      </w:pPr>
      <w:r>
        <w:rPr>
          <w:rFonts w:hint="eastAsia" w:ascii="宋体" w:hAnsi="宋体"/>
          <w:sz w:val="24"/>
          <w:szCs w:val="24"/>
          <w:highlight w:val="none"/>
        </w:rPr>
        <w:t>3.法人授权书（格式见附件3）；</w:t>
      </w:r>
    </w:p>
    <w:p w14:paraId="1ECFE578">
      <w:pPr>
        <w:spacing w:line="56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rPr>
        <w:t>4.磋商响应函（格式见附件4）</w:t>
      </w:r>
      <w:r>
        <w:rPr>
          <w:rFonts w:hint="eastAsia" w:ascii="宋体" w:hAnsi="宋体"/>
          <w:sz w:val="24"/>
          <w:szCs w:val="24"/>
          <w:highlight w:val="none"/>
          <w:lang w:eastAsia="zh-CN"/>
        </w:rPr>
        <w:t>；</w:t>
      </w:r>
    </w:p>
    <w:p w14:paraId="4A936874">
      <w:pPr>
        <w:spacing w:line="560" w:lineRule="exact"/>
        <w:ind w:firstLine="480"/>
        <w:rPr>
          <w:rFonts w:hint="eastAsia" w:ascii="宋体" w:hAnsi="宋体"/>
          <w:sz w:val="24"/>
          <w:szCs w:val="24"/>
          <w:highlight w:val="none"/>
        </w:rPr>
      </w:pPr>
      <w:r>
        <w:rPr>
          <w:rFonts w:hint="eastAsia" w:ascii="宋体" w:hAnsi="宋体"/>
          <w:sz w:val="24"/>
          <w:szCs w:val="24"/>
          <w:highlight w:val="none"/>
        </w:rPr>
        <w:t>5.采购公告中“二、申请人的资格要求”提供相应的佐证材料；</w:t>
      </w:r>
    </w:p>
    <w:p w14:paraId="1BD457C3">
      <w:pPr>
        <w:spacing w:line="560" w:lineRule="exact"/>
        <w:ind w:firstLine="480"/>
        <w:rPr>
          <w:rFonts w:hint="eastAsia" w:ascii="宋体" w:hAnsi="宋体"/>
          <w:sz w:val="24"/>
          <w:szCs w:val="24"/>
          <w:highlight w:val="none"/>
        </w:rPr>
      </w:pPr>
      <w:r>
        <w:rPr>
          <w:rFonts w:hint="eastAsia" w:ascii="宋体" w:hAnsi="宋体"/>
          <w:sz w:val="24"/>
          <w:szCs w:val="24"/>
          <w:highlight w:val="none"/>
        </w:rPr>
        <w:t>6.其它需要提交的资格审查证明材料。</w:t>
      </w:r>
    </w:p>
    <w:p w14:paraId="088E6CE4">
      <w:pPr>
        <w:spacing w:line="560" w:lineRule="exact"/>
        <w:ind w:firstLine="640"/>
        <w:rPr>
          <w:rFonts w:hint="eastAsia" w:ascii="黑体" w:hAnsi="黑体" w:eastAsia="黑体"/>
          <w:sz w:val="32"/>
          <w:szCs w:val="32"/>
          <w:highlight w:val="none"/>
        </w:rPr>
      </w:pPr>
      <w:r>
        <w:rPr>
          <w:rFonts w:hint="eastAsia" w:ascii="黑体" w:hAnsi="黑体" w:eastAsia="黑体"/>
          <w:sz w:val="32"/>
          <w:szCs w:val="32"/>
          <w:highlight w:val="none"/>
        </w:rPr>
        <w:t>二、商务、技术标</w:t>
      </w:r>
    </w:p>
    <w:p w14:paraId="60FE2044">
      <w:pPr>
        <w:spacing w:line="560" w:lineRule="exact"/>
        <w:ind w:firstLine="480"/>
        <w:rPr>
          <w:rFonts w:hint="eastAsia" w:ascii="宋体" w:hAnsi="宋体"/>
          <w:sz w:val="24"/>
          <w:szCs w:val="24"/>
          <w:highlight w:val="none"/>
        </w:rPr>
      </w:pPr>
      <w:r>
        <w:rPr>
          <w:rFonts w:hint="eastAsia" w:ascii="宋体" w:hAnsi="宋体"/>
          <w:sz w:val="24"/>
          <w:szCs w:val="24"/>
          <w:highlight w:val="none"/>
        </w:rPr>
        <w:t>1.商务部分正负偏离表；（格式见附件5）</w:t>
      </w:r>
    </w:p>
    <w:p w14:paraId="40159CFD">
      <w:pPr>
        <w:spacing w:line="560" w:lineRule="exact"/>
        <w:ind w:firstLine="480"/>
        <w:rPr>
          <w:rFonts w:hint="eastAsia" w:ascii="宋体" w:hAnsi="宋体"/>
          <w:sz w:val="24"/>
          <w:szCs w:val="24"/>
          <w:highlight w:val="none"/>
        </w:rPr>
      </w:pPr>
      <w:r>
        <w:rPr>
          <w:rFonts w:hint="eastAsia" w:ascii="宋体" w:hAnsi="宋体"/>
          <w:sz w:val="24"/>
          <w:szCs w:val="24"/>
          <w:highlight w:val="none"/>
        </w:rPr>
        <w:t>2.技术部分正负偏离表；（格式见附件6）</w:t>
      </w:r>
    </w:p>
    <w:p w14:paraId="3548E517">
      <w:pPr>
        <w:spacing w:line="560" w:lineRule="exact"/>
        <w:ind w:firstLine="480"/>
        <w:rPr>
          <w:rFonts w:hint="eastAsia" w:ascii="宋体" w:hAnsi="宋体"/>
          <w:sz w:val="24"/>
          <w:szCs w:val="24"/>
          <w:highlight w:val="none"/>
        </w:rPr>
      </w:pPr>
      <w:r>
        <w:rPr>
          <w:rFonts w:hint="eastAsia" w:ascii="宋体" w:hAnsi="宋体"/>
          <w:sz w:val="24"/>
          <w:szCs w:val="24"/>
          <w:highlight w:val="none"/>
        </w:rPr>
        <w:t>3.响应方案、货物（服务）清单。具有项目、数量、品牌、型号、配置性能等；</w:t>
      </w:r>
    </w:p>
    <w:p w14:paraId="51B75CD1">
      <w:pPr>
        <w:spacing w:line="560" w:lineRule="exact"/>
        <w:ind w:firstLine="480"/>
        <w:rPr>
          <w:rFonts w:hint="eastAsia" w:ascii="宋体" w:hAnsi="宋体"/>
          <w:sz w:val="24"/>
          <w:szCs w:val="24"/>
          <w:highlight w:val="none"/>
        </w:rPr>
      </w:pPr>
      <w:r>
        <w:rPr>
          <w:rFonts w:hint="eastAsia" w:ascii="宋体" w:hAnsi="宋体"/>
          <w:sz w:val="24"/>
          <w:szCs w:val="24"/>
          <w:highlight w:val="none"/>
        </w:rPr>
        <w:t>4.商务、技术评分标准中须提供的相关得分佐证材料；</w:t>
      </w:r>
    </w:p>
    <w:p w14:paraId="0D9A1F09">
      <w:pPr>
        <w:spacing w:line="560" w:lineRule="exact"/>
        <w:ind w:firstLine="480"/>
        <w:rPr>
          <w:rFonts w:hint="eastAsia" w:ascii="宋体" w:hAnsi="宋体"/>
          <w:sz w:val="24"/>
          <w:szCs w:val="24"/>
          <w:highlight w:val="none"/>
        </w:rPr>
      </w:pPr>
      <w:r>
        <w:rPr>
          <w:rFonts w:hint="eastAsia" w:ascii="宋体" w:hAnsi="宋体"/>
          <w:sz w:val="24"/>
          <w:szCs w:val="24"/>
          <w:highlight w:val="none"/>
        </w:rPr>
        <w:t>5.供应商认为需要提交的其他商务、技术材料。</w:t>
      </w:r>
    </w:p>
    <w:p w14:paraId="73485BB5">
      <w:pPr>
        <w:spacing w:line="560" w:lineRule="exact"/>
        <w:ind w:firstLine="640"/>
        <w:rPr>
          <w:rFonts w:ascii="黑体" w:hAnsi="黑体" w:eastAsia="黑体"/>
          <w:sz w:val="32"/>
          <w:szCs w:val="32"/>
          <w:highlight w:val="none"/>
          <w:lang w:val="en-US" w:eastAsia="zh-CN"/>
        </w:rPr>
      </w:pPr>
      <w:r>
        <w:rPr>
          <w:rFonts w:hint="eastAsia" w:ascii="黑体" w:hAnsi="黑体" w:eastAsia="黑体"/>
          <w:sz w:val="32"/>
          <w:szCs w:val="32"/>
          <w:highlight w:val="none"/>
        </w:rPr>
        <w:t>三、价格标</w:t>
      </w:r>
      <w:r>
        <w:rPr>
          <w:rFonts w:hint="eastAsia" w:ascii="黑体" w:hAnsi="黑体" w:eastAsia="黑体"/>
          <w:sz w:val="32"/>
          <w:szCs w:val="32"/>
          <w:highlight w:val="none"/>
          <w:lang w:eastAsia="zh-CN"/>
        </w:rPr>
        <w:t>（</w:t>
      </w:r>
      <w:r>
        <w:rPr>
          <w:rFonts w:hint="eastAsia" w:ascii="黑体" w:hAnsi="黑体" w:eastAsia="黑体"/>
          <w:sz w:val="32"/>
          <w:szCs w:val="32"/>
          <w:highlight w:val="none"/>
          <w:lang w:val="en-US" w:eastAsia="zh-CN"/>
        </w:rPr>
        <w:t>格式见附件）</w:t>
      </w:r>
    </w:p>
    <w:p w14:paraId="7AFDD3EF">
      <w:pPr>
        <w:spacing w:line="560" w:lineRule="exact"/>
        <w:ind w:firstLine="480"/>
        <w:rPr>
          <w:rFonts w:hint="eastAsia" w:ascii="宋体" w:hAnsi="宋体"/>
          <w:sz w:val="24"/>
          <w:szCs w:val="24"/>
          <w:highlight w:val="none"/>
        </w:rPr>
      </w:pPr>
      <w:r>
        <w:rPr>
          <w:rFonts w:hint="eastAsia" w:ascii="宋体" w:hAnsi="宋体"/>
          <w:sz w:val="24"/>
          <w:szCs w:val="24"/>
          <w:highlight w:val="none"/>
        </w:rPr>
        <w:t>1.报价总表；</w:t>
      </w:r>
    </w:p>
    <w:p w14:paraId="213E7B62">
      <w:pPr>
        <w:spacing w:line="56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2</w:t>
      </w:r>
      <w:r>
        <w:rPr>
          <w:rFonts w:hint="eastAsia" w:ascii="宋体" w:hAnsi="宋体"/>
          <w:sz w:val="24"/>
          <w:szCs w:val="24"/>
          <w:highlight w:val="none"/>
        </w:rPr>
        <w:t>.中小企业声明函</w:t>
      </w:r>
      <w:r>
        <w:rPr>
          <w:rFonts w:hint="eastAsia" w:ascii="宋体" w:hAnsi="宋体"/>
          <w:sz w:val="24"/>
          <w:szCs w:val="24"/>
          <w:highlight w:val="none"/>
          <w:lang w:eastAsia="zh-CN"/>
        </w:rPr>
        <w:t>；</w:t>
      </w:r>
    </w:p>
    <w:p w14:paraId="1EB240F2">
      <w:pPr>
        <w:spacing w:line="56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3</w:t>
      </w:r>
      <w:r>
        <w:rPr>
          <w:rFonts w:hint="eastAsia" w:ascii="宋体" w:hAnsi="宋体"/>
          <w:sz w:val="24"/>
          <w:szCs w:val="24"/>
          <w:highlight w:val="none"/>
        </w:rPr>
        <w:t>.残疾人福利性单位声明函（如有）</w:t>
      </w:r>
      <w:r>
        <w:rPr>
          <w:rFonts w:hint="eastAsia" w:ascii="宋体" w:hAnsi="宋体"/>
          <w:sz w:val="24"/>
          <w:szCs w:val="24"/>
          <w:highlight w:val="none"/>
          <w:lang w:eastAsia="zh-CN"/>
        </w:rPr>
        <w:t>；</w:t>
      </w:r>
    </w:p>
    <w:p w14:paraId="09F32A69">
      <w:pPr>
        <w:spacing w:line="560" w:lineRule="exact"/>
        <w:ind w:firstLine="480"/>
        <w:rPr>
          <w:rFonts w:hint="eastAsia" w:ascii="黑体" w:hAnsi="黑体" w:eastAsia="宋体"/>
          <w:sz w:val="32"/>
          <w:szCs w:val="32"/>
          <w:highlight w:val="none"/>
          <w:u w:val="single"/>
          <w:lang w:eastAsia="zh-CN"/>
        </w:rPr>
      </w:pPr>
      <w:r>
        <w:rPr>
          <w:rFonts w:hint="eastAsia" w:ascii="宋体" w:hAnsi="宋体"/>
          <w:sz w:val="24"/>
          <w:szCs w:val="24"/>
          <w:highlight w:val="none"/>
          <w:lang w:val="en-US" w:eastAsia="zh-CN"/>
        </w:rPr>
        <w:t>4</w:t>
      </w:r>
      <w:r>
        <w:rPr>
          <w:rFonts w:hint="eastAsia" w:ascii="宋体" w:hAnsi="宋体"/>
          <w:sz w:val="24"/>
          <w:szCs w:val="24"/>
          <w:highlight w:val="none"/>
        </w:rPr>
        <w:t>.监狱和戒毒企业证明材料（如有）</w:t>
      </w:r>
      <w:r>
        <w:rPr>
          <w:rFonts w:hint="eastAsia" w:ascii="宋体" w:hAnsi="宋体"/>
          <w:sz w:val="24"/>
          <w:szCs w:val="24"/>
          <w:highlight w:val="none"/>
          <w:lang w:eastAsia="zh-CN"/>
        </w:rPr>
        <w:t>；</w:t>
      </w:r>
    </w:p>
    <w:p w14:paraId="504A792B">
      <w:pPr>
        <w:spacing w:line="440" w:lineRule="exact"/>
        <w:ind w:firstLine="480"/>
        <w:rPr>
          <w:rFonts w:ascii="宋体" w:hAnsi="宋体"/>
          <w:sz w:val="24"/>
          <w:szCs w:val="21"/>
          <w:highlight w:val="none"/>
        </w:rPr>
      </w:pPr>
    </w:p>
    <w:p w14:paraId="0F2AA251">
      <w:pPr>
        <w:spacing w:line="400" w:lineRule="exact"/>
        <w:contextualSpacing/>
        <w:rPr>
          <w:rFonts w:ascii="宋体" w:hAnsi="宋体"/>
          <w:sz w:val="24"/>
          <w:szCs w:val="21"/>
          <w:highlight w:val="none"/>
        </w:rPr>
      </w:pPr>
    </w:p>
    <w:p w14:paraId="37DEB9B5">
      <w:pPr>
        <w:spacing w:line="400" w:lineRule="exact"/>
        <w:contextualSpacing/>
        <w:rPr>
          <w:rFonts w:ascii="宋体" w:hAnsi="宋体"/>
          <w:sz w:val="24"/>
          <w:szCs w:val="21"/>
          <w:highlight w:val="none"/>
        </w:rPr>
      </w:pPr>
    </w:p>
    <w:p w14:paraId="545ADA6F">
      <w:pPr>
        <w:spacing w:line="400" w:lineRule="exact"/>
        <w:contextualSpacing/>
        <w:rPr>
          <w:rFonts w:ascii="宋体" w:hAnsi="宋体"/>
          <w:sz w:val="24"/>
          <w:szCs w:val="21"/>
          <w:highlight w:val="none"/>
        </w:rPr>
      </w:pPr>
    </w:p>
    <w:p w14:paraId="6F773D1B">
      <w:pPr>
        <w:spacing w:line="400" w:lineRule="exact"/>
        <w:contextualSpacing/>
        <w:rPr>
          <w:rFonts w:ascii="宋体" w:hAnsi="宋体"/>
          <w:sz w:val="24"/>
          <w:szCs w:val="21"/>
          <w:highlight w:val="none"/>
        </w:rPr>
      </w:pPr>
    </w:p>
    <w:p w14:paraId="3354D154">
      <w:pPr>
        <w:spacing w:line="400" w:lineRule="exact"/>
        <w:contextualSpacing/>
        <w:rPr>
          <w:rFonts w:ascii="宋体" w:hAnsi="宋体"/>
          <w:sz w:val="24"/>
          <w:szCs w:val="21"/>
          <w:highlight w:val="none"/>
        </w:rPr>
      </w:pPr>
    </w:p>
    <w:p w14:paraId="1546604C">
      <w:pPr>
        <w:spacing w:line="400" w:lineRule="exact"/>
        <w:contextualSpacing/>
        <w:rPr>
          <w:rFonts w:ascii="宋体" w:hAnsi="宋体"/>
          <w:sz w:val="24"/>
          <w:szCs w:val="21"/>
          <w:highlight w:val="none"/>
        </w:rPr>
      </w:pPr>
    </w:p>
    <w:p w14:paraId="380DD472">
      <w:pPr>
        <w:spacing w:line="400" w:lineRule="exact"/>
        <w:contextualSpacing/>
        <w:rPr>
          <w:rFonts w:ascii="宋体" w:hAnsi="宋体"/>
          <w:sz w:val="24"/>
          <w:szCs w:val="21"/>
          <w:highlight w:val="none"/>
        </w:rPr>
      </w:pPr>
    </w:p>
    <w:p w14:paraId="7D4E01AB">
      <w:pPr>
        <w:spacing w:line="400" w:lineRule="exact"/>
        <w:contextualSpacing/>
        <w:rPr>
          <w:rFonts w:ascii="宋体" w:hAnsi="宋体"/>
          <w:sz w:val="24"/>
          <w:szCs w:val="21"/>
          <w:highlight w:val="none"/>
        </w:rPr>
      </w:pPr>
    </w:p>
    <w:p w14:paraId="2A5B5460">
      <w:pPr>
        <w:spacing w:line="400" w:lineRule="exact"/>
        <w:contextualSpacing/>
        <w:rPr>
          <w:rFonts w:eastAsia="方正黑体_GBK"/>
          <w:sz w:val="32"/>
          <w:szCs w:val="32"/>
          <w:highlight w:val="none"/>
          <w:lang w:val="zh-CN"/>
        </w:rPr>
      </w:pPr>
      <w:r>
        <w:rPr>
          <w:rFonts w:eastAsia="方正黑体_GBK"/>
          <w:sz w:val="32"/>
          <w:szCs w:val="32"/>
          <w:highlight w:val="none"/>
          <w:lang w:val="zh-CN"/>
        </w:rPr>
        <w:t>附件1</w:t>
      </w:r>
    </w:p>
    <w:p w14:paraId="53EE4A54">
      <w:pPr>
        <w:jc w:val="center"/>
        <w:rPr>
          <w:rFonts w:hint="eastAsia" w:ascii="宋体" w:hAnsi="宋体"/>
          <w:b/>
          <w:sz w:val="30"/>
          <w:szCs w:val="30"/>
          <w:highlight w:val="none"/>
        </w:rPr>
      </w:pPr>
      <w:r>
        <w:rPr>
          <w:rFonts w:hint="eastAsia" w:ascii="宋体" w:hAnsi="宋体"/>
          <w:b/>
          <w:sz w:val="30"/>
          <w:szCs w:val="30"/>
          <w:highlight w:val="none"/>
        </w:rPr>
        <w:t>供应商符合《政府采购法》第二十二条规定条件的声明函</w:t>
      </w:r>
    </w:p>
    <w:p w14:paraId="3F721AF5">
      <w:pPr>
        <w:spacing w:line="460" w:lineRule="exact"/>
        <w:rPr>
          <w:rFonts w:hint="eastAsia" w:ascii="宋体" w:hAnsi="宋体"/>
          <w:b/>
          <w:bCs/>
          <w:sz w:val="44"/>
          <w:szCs w:val="44"/>
          <w:highlight w:val="none"/>
        </w:rPr>
      </w:pPr>
      <w:r>
        <w:rPr>
          <w:rFonts w:hint="eastAsia" w:ascii="宋体" w:hAnsi="宋体"/>
          <w:b/>
          <w:bCs/>
          <w:sz w:val="24"/>
          <w:szCs w:val="21"/>
          <w:highlight w:val="none"/>
        </w:rPr>
        <w:t xml:space="preserve">                       </w:t>
      </w:r>
      <w:r>
        <w:rPr>
          <w:rFonts w:hint="eastAsia" w:ascii="宋体" w:hAnsi="宋体"/>
          <w:b/>
          <w:bCs/>
          <w:sz w:val="44"/>
          <w:szCs w:val="44"/>
          <w:highlight w:val="none"/>
        </w:rPr>
        <w:t xml:space="preserve">   </w:t>
      </w:r>
    </w:p>
    <w:p w14:paraId="01E12479">
      <w:pPr>
        <w:spacing w:line="520" w:lineRule="exact"/>
        <w:ind w:firstLine="480"/>
        <w:rPr>
          <w:rFonts w:hint="eastAsia" w:ascii="宋体" w:hAnsi="宋体"/>
          <w:b/>
          <w:bCs/>
          <w:sz w:val="24"/>
          <w:szCs w:val="24"/>
          <w:highlight w:val="none"/>
        </w:rPr>
      </w:pPr>
      <w:r>
        <w:rPr>
          <w:rFonts w:hint="eastAsia" w:ascii="宋体" w:hAnsi="宋体"/>
          <w:bCs/>
          <w:sz w:val="24"/>
          <w:szCs w:val="24"/>
          <w:highlight w:val="none"/>
        </w:rPr>
        <w:t>我单位参加</w:t>
      </w:r>
      <w:r>
        <w:rPr>
          <w:rFonts w:hint="eastAsia" w:ascii="宋体" w:hAnsi="宋体"/>
          <w:bCs/>
          <w:sz w:val="24"/>
          <w:szCs w:val="21"/>
          <w:highlight w:val="none"/>
          <w:u w:val="single"/>
        </w:rPr>
        <w:t>________________ _</w:t>
      </w:r>
      <w:r>
        <w:rPr>
          <w:rFonts w:hint="eastAsia" w:ascii="宋体" w:hAnsi="宋体"/>
          <w:bCs/>
          <w:sz w:val="24"/>
          <w:szCs w:val="21"/>
          <w:highlight w:val="none"/>
        </w:rPr>
        <w:t>（项目名称），</w:t>
      </w:r>
      <w:r>
        <w:rPr>
          <w:rFonts w:hint="eastAsia" w:ascii="宋体" w:hAnsi="宋体"/>
          <w:bCs/>
          <w:sz w:val="24"/>
          <w:szCs w:val="21"/>
          <w:highlight w:val="none"/>
          <w:u w:val="single"/>
        </w:rPr>
        <w:t>_______ __________</w:t>
      </w:r>
      <w:r>
        <w:rPr>
          <w:rFonts w:hint="eastAsia" w:ascii="宋体" w:hAnsi="宋体"/>
          <w:bCs/>
          <w:sz w:val="24"/>
          <w:szCs w:val="21"/>
          <w:highlight w:val="none"/>
        </w:rPr>
        <w:t>（项目编号）采购活动。针对《中华人民共和国政府采购法》第二十二条规定做出如下声明：</w:t>
      </w:r>
    </w:p>
    <w:p w14:paraId="55DA0635">
      <w:pPr>
        <w:spacing w:line="520" w:lineRule="exact"/>
        <w:ind w:firstLine="482"/>
        <w:rPr>
          <w:rFonts w:hint="eastAsia" w:ascii="宋体" w:hAnsi="宋体"/>
          <w:sz w:val="24"/>
          <w:szCs w:val="24"/>
          <w:highlight w:val="none"/>
        </w:rPr>
      </w:pPr>
      <w:r>
        <w:rPr>
          <w:rFonts w:hint="eastAsia" w:ascii="宋体" w:hAnsi="宋体"/>
          <w:bCs/>
          <w:sz w:val="24"/>
          <w:szCs w:val="21"/>
          <w:highlight w:val="none"/>
        </w:rPr>
        <w:t>1.我单位具有独立承担民事责任的能力；</w:t>
      </w:r>
    </w:p>
    <w:p w14:paraId="39355061">
      <w:pPr>
        <w:spacing w:line="520" w:lineRule="exact"/>
        <w:ind w:firstLine="482"/>
        <w:rPr>
          <w:rFonts w:hint="eastAsia" w:ascii="宋体" w:hAnsi="宋体"/>
          <w:sz w:val="24"/>
          <w:szCs w:val="24"/>
          <w:highlight w:val="none"/>
        </w:rPr>
      </w:pPr>
      <w:r>
        <w:rPr>
          <w:rFonts w:hint="eastAsia" w:ascii="宋体" w:hAnsi="宋体"/>
          <w:sz w:val="24"/>
          <w:szCs w:val="24"/>
          <w:highlight w:val="none"/>
        </w:rPr>
        <w:t>2.我单位具有良好的商业信誉和健全的财务会计制度；</w:t>
      </w:r>
    </w:p>
    <w:p w14:paraId="3A33A734">
      <w:pPr>
        <w:spacing w:line="520" w:lineRule="exact"/>
        <w:ind w:firstLine="482"/>
        <w:rPr>
          <w:rFonts w:hint="eastAsia" w:ascii="宋体" w:hAnsi="宋体"/>
          <w:sz w:val="24"/>
          <w:szCs w:val="24"/>
          <w:highlight w:val="none"/>
        </w:rPr>
      </w:pPr>
      <w:r>
        <w:rPr>
          <w:rFonts w:hint="eastAsia" w:ascii="宋体" w:hAnsi="宋体"/>
          <w:sz w:val="24"/>
          <w:szCs w:val="24"/>
          <w:highlight w:val="none"/>
        </w:rPr>
        <w:t>3.我单位具有履行合同所必需的设备和专业技术能力；</w:t>
      </w:r>
    </w:p>
    <w:p w14:paraId="5E8F034A">
      <w:pPr>
        <w:spacing w:line="520" w:lineRule="exact"/>
        <w:ind w:firstLine="482"/>
        <w:rPr>
          <w:rFonts w:hint="eastAsia" w:ascii="宋体" w:hAnsi="宋体"/>
          <w:sz w:val="24"/>
          <w:szCs w:val="24"/>
          <w:highlight w:val="none"/>
        </w:rPr>
      </w:pPr>
      <w:r>
        <w:rPr>
          <w:rFonts w:hint="eastAsia" w:ascii="宋体" w:hAnsi="宋体"/>
          <w:sz w:val="24"/>
          <w:szCs w:val="24"/>
          <w:highlight w:val="none"/>
        </w:rPr>
        <w:t>4.我单位有依法缴纳税收和社会保障资金的良好记录；</w:t>
      </w:r>
    </w:p>
    <w:p w14:paraId="2D19BDB2">
      <w:pPr>
        <w:spacing w:line="520" w:lineRule="exact"/>
        <w:ind w:firstLine="482"/>
        <w:rPr>
          <w:rFonts w:hint="eastAsia" w:ascii="宋体" w:hAnsi="宋体"/>
          <w:sz w:val="24"/>
          <w:szCs w:val="24"/>
          <w:highlight w:val="none"/>
        </w:rPr>
      </w:pPr>
      <w:r>
        <w:rPr>
          <w:rFonts w:hint="eastAsia" w:ascii="宋体" w:hAnsi="宋体"/>
          <w:sz w:val="24"/>
          <w:szCs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C255820">
      <w:pPr>
        <w:spacing w:line="520" w:lineRule="exact"/>
        <w:ind w:firstLine="482"/>
        <w:rPr>
          <w:rFonts w:hint="eastAsia" w:ascii="宋体" w:hAnsi="宋体"/>
          <w:sz w:val="24"/>
          <w:szCs w:val="24"/>
          <w:highlight w:val="none"/>
        </w:rPr>
      </w:pPr>
      <w:r>
        <w:rPr>
          <w:rFonts w:hint="eastAsia" w:ascii="宋体" w:hAnsi="宋体"/>
          <w:sz w:val="24"/>
          <w:szCs w:val="24"/>
          <w:highlight w:val="none"/>
        </w:rPr>
        <w:t>6.我单位满足法律、行政法规规定的其他条件。</w:t>
      </w:r>
    </w:p>
    <w:p w14:paraId="6D595ED3">
      <w:pPr>
        <w:spacing w:line="500" w:lineRule="exact"/>
        <w:ind w:firstLine="482"/>
        <w:rPr>
          <w:rFonts w:hint="eastAsia" w:ascii="宋体" w:hAnsi="宋体"/>
          <w:sz w:val="24"/>
          <w:szCs w:val="24"/>
          <w:highlight w:val="none"/>
        </w:rPr>
      </w:pPr>
    </w:p>
    <w:p w14:paraId="5F64DA4F">
      <w:pPr>
        <w:spacing w:line="500" w:lineRule="exact"/>
        <w:rPr>
          <w:rFonts w:hint="eastAsia" w:ascii="宋体" w:hAnsi="宋体"/>
          <w:sz w:val="24"/>
          <w:szCs w:val="24"/>
          <w:highlight w:val="none"/>
        </w:rPr>
      </w:pPr>
    </w:p>
    <w:p w14:paraId="5EFC879C">
      <w:pPr>
        <w:spacing w:line="500" w:lineRule="exact"/>
        <w:rPr>
          <w:rFonts w:hint="eastAsia" w:ascii="宋体" w:hAnsi="宋体"/>
          <w:bCs/>
          <w:sz w:val="24"/>
          <w:szCs w:val="21"/>
          <w:highlight w:val="none"/>
        </w:rPr>
      </w:pPr>
    </w:p>
    <w:p w14:paraId="671095AB">
      <w:pPr>
        <w:spacing w:line="500" w:lineRule="exact"/>
        <w:rPr>
          <w:rFonts w:hint="eastAsia" w:ascii="宋体" w:hAnsi="宋体"/>
          <w:bCs/>
          <w:sz w:val="24"/>
          <w:szCs w:val="21"/>
          <w:highlight w:val="none"/>
        </w:rPr>
      </w:pPr>
    </w:p>
    <w:p w14:paraId="22241FEF">
      <w:pPr>
        <w:spacing w:line="500" w:lineRule="exact"/>
        <w:rPr>
          <w:rFonts w:hint="eastAsia" w:ascii="宋体" w:hAnsi="宋体"/>
          <w:bCs/>
          <w:sz w:val="24"/>
          <w:szCs w:val="21"/>
          <w:highlight w:val="none"/>
        </w:rPr>
      </w:pPr>
    </w:p>
    <w:p w14:paraId="70C67637">
      <w:pPr>
        <w:spacing w:line="460" w:lineRule="exact"/>
        <w:jc w:val="center"/>
        <w:rPr>
          <w:rFonts w:hint="eastAsia" w:ascii="宋体" w:hAnsi="宋体"/>
          <w:bCs/>
          <w:sz w:val="24"/>
          <w:szCs w:val="21"/>
          <w:highlight w:val="none"/>
        </w:rPr>
      </w:pPr>
      <w:r>
        <w:rPr>
          <w:rFonts w:hint="eastAsia" w:ascii="宋体" w:hAnsi="宋体"/>
          <w:bCs/>
          <w:sz w:val="24"/>
          <w:szCs w:val="21"/>
          <w:highlight w:val="none"/>
        </w:rPr>
        <w:t xml:space="preserve">                                             承诺人名称（公章）：</w:t>
      </w:r>
    </w:p>
    <w:p w14:paraId="7F13973F">
      <w:pPr>
        <w:spacing w:line="460" w:lineRule="exact"/>
        <w:jc w:val="right"/>
        <w:rPr>
          <w:rFonts w:hint="eastAsia" w:ascii="宋体" w:hAnsi="宋体"/>
          <w:bCs/>
          <w:sz w:val="24"/>
          <w:szCs w:val="21"/>
          <w:highlight w:val="none"/>
        </w:rPr>
      </w:pPr>
      <w:r>
        <w:rPr>
          <w:rFonts w:hint="eastAsia" w:ascii="宋体" w:hAnsi="宋体"/>
          <w:bCs/>
          <w:sz w:val="24"/>
          <w:szCs w:val="21"/>
          <w:highlight w:val="none"/>
        </w:rPr>
        <w:t xml:space="preserve">    </w:t>
      </w:r>
    </w:p>
    <w:p w14:paraId="32DC73E0">
      <w:pPr>
        <w:spacing w:line="460" w:lineRule="exact"/>
        <w:jc w:val="right"/>
        <w:rPr>
          <w:rFonts w:hint="eastAsia" w:ascii="宋体" w:hAnsi="宋体"/>
          <w:bCs/>
          <w:sz w:val="24"/>
          <w:szCs w:val="21"/>
          <w:highlight w:val="none"/>
        </w:rPr>
      </w:pPr>
      <w:r>
        <w:rPr>
          <w:rFonts w:hint="eastAsia" w:ascii="宋体" w:hAnsi="宋体"/>
          <w:bCs/>
          <w:sz w:val="24"/>
          <w:szCs w:val="21"/>
          <w:highlight w:val="none"/>
        </w:rPr>
        <w:t xml:space="preserve">                                 日期：</w:t>
      </w:r>
      <w:r>
        <w:rPr>
          <w:rFonts w:hint="eastAsia" w:ascii="宋体" w:hAnsi="宋体"/>
          <w:bCs/>
          <w:sz w:val="24"/>
          <w:szCs w:val="21"/>
          <w:highlight w:val="none"/>
          <w:u w:val="single"/>
        </w:rPr>
        <w:t>______</w:t>
      </w:r>
      <w:r>
        <w:rPr>
          <w:rFonts w:hint="eastAsia" w:ascii="宋体" w:hAnsi="宋体"/>
          <w:bCs/>
          <w:sz w:val="24"/>
          <w:szCs w:val="21"/>
          <w:highlight w:val="none"/>
        </w:rPr>
        <w:t>年</w:t>
      </w:r>
      <w:r>
        <w:rPr>
          <w:rFonts w:hint="eastAsia" w:ascii="宋体" w:hAnsi="宋体"/>
          <w:bCs/>
          <w:sz w:val="24"/>
          <w:szCs w:val="21"/>
          <w:highlight w:val="none"/>
          <w:u w:val="single"/>
        </w:rPr>
        <w:t xml:space="preserve">    </w:t>
      </w:r>
      <w:r>
        <w:rPr>
          <w:rFonts w:hint="eastAsia" w:ascii="宋体" w:hAnsi="宋体"/>
          <w:bCs/>
          <w:sz w:val="24"/>
          <w:szCs w:val="21"/>
          <w:highlight w:val="none"/>
        </w:rPr>
        <w:t>月</w:t>
      </w:r>
      <w:r>
        <w:rPr>
          <w:rFonts w:hint="eastAsia" w:ascii="宋体" w:hAnsi="宋体"/>
          <w:bCs/>
          <w:sz w:val="24"/>
          <w:szCs w:val="21"/>
          <w:highlight w:val="none"/>
          <w:u w:val="single"/>
        </w:rPr>
        <w:t xml:space="preserve">    </w:t>
      </w:r>
      <w:r>
        <w:rPr>
          <w:rFonts w:hint="eastAsia" w:ascii="宋体" w:hAnsi="宋体"/>
          <w:bCs/>
          <w:sz w:val="24"/>
          <w:szCs w:val="21"/>
          <w:highlight w:val="none"/>
        </w:rPr>
        <w:t>日</w:t>
      </w:r>
    </w:p>
    <w:p w14:paraId="51F765F1">
      <w:pPr>
        <w:spacing w:line="440" w:lineRule="exact"/>
        <w:ind w:firstLine="480"/>
        <w:rPr>
          <w:rFonts w:ascii="宋体" w:hAnsi="宋体"/>
          <w:sz w:val="24"/>
          <w:szCs w:val="21"/>
          <w:highlight w:val="none"/>
        </w:rPr>
      </w:pPr>
    </w:p>
    <w:p w14:paraId="55F83521">
      <w:pPr>
        <w:spacing w:line="400" w:lineRule="exact"/>
        <w:contextualSpacing/>
        <w:rPr>
          <w:rFonts w:eastAsia="方正黑体_GBK"/>
          <w:sz w:val="32"/>
          <w:szCs w:val="32"/>
          <w:highlight w:val="none"/>
          <w:lang w:val="zh-CN"/>
        </w:rPr>
      </w:pPr>
      <w:r>
        <w:rPr>
          <w:rFonts w:ascii="宋体" w:hAnsi="宋体"/>
          <w:sz w:val="24"/>
          <w:szCs w:val="21"/>
          <w:highlight w:val="none"/>
        </w:rPr>
        <w:br w:type="page" w:clear="all"/>
      </w:r>
      <w:r>
        <w:rPr>
          <w:rFonts w:eastAsia="方正黑体_GBK"/>
          <w:sz w:val="32"/>
          <w:szCs w:val="32"/>
          <w:highlight w:val="none"/>
          <w:lang w:val="zh-CN"/>
        </w:rPr>
        <w:t>附件2</w:t>
      </w:r>
    </w:p>
    <w:p w14:paraId="58EAF7E9">
      <w:pPr>
        <w:spacing w:line="560" w:lineRule="exact"/>
        <w:jc w:val="center"/>
        <w:rPr>
          <w:rFonts w:ascii="宋体" w:hAnsi="宋体"/>
          <w:b/>
          <w:bCs/>
          <w:sz w:val="32"/>
          <w:szCs w:val="32"/>
          <w:highlight w:val="none"/>
        </w:rPr>
      </w:pPr>
      <w:r>
        <w:rPr>
          <w:rFonts w:hint="eastAsia" w:ascii="宋体" w:hAnsi="宋体"/>
          <w:b/>
          <w:bCs/>
          <w:sz w:val="32"/>
          <w:szCs w:val="32"/>
          <w:highlight w:val="none"/>
        </w:rPr>
        <w:t>法定代表人身份证明</w:t>
      </w:r>
    </w:p>
    <w:p w14:paraId="1AA227AC">
      <w:pPr>
        <w:spacing w:line="480" w:lineRule="exact"/>
        <w:rPr>
          <w:rFonts w:ascii="宋体" w:hAnsi="宋体"/>
          <w:sz w:val="24"/>
          <w:szCs w:val="24"/>
          <w:highlight w:val="none"/>
        </w:rPr>
      </w:pPr>
    </w:p>
    <w:p w14:paraId="0D64DDE8">
      <w:pPr>
        <w:spacing w:line="480" w:lineRule="exact"/>
        <w:ind w:firstLine="480"/>
        <w:rPr>
          <w:rFonts w:ascii="宋体" w:hAnsi="宋体"/>
          <w:sz w:val="24"/>
          <w:szCs w:val="24"/>
          <w:highlight w:val="none"/>
        </w:rPr>
      </w:pPr>
      <w:r>
        <w:rPr>
          <w:rFonts w:ascii="宋体" w:hAnsi="宋体"/>
          <w:sz w:val="24"/>
          <w:szCs w:val="24"/>
          <w:highlight w:val="none"/>
          <w:u w:val="single"/>
        </w:rPr>
        <w:t xml:space="preserve">        </w:t>
      </w:r>
      <w:r>
        <w:rPr>
          <w:rFonts w:hint="eastAsia" w:ascii="宋体" w:hAnsi="宋体"/>
          <w:sz w:val="24"/>
          <w:szCs w:val="24"/>
          <w:highlight w:val="none"/>
        </w:rPr>
        <w:t>先生/女士：</w:t>
      </w:r>
      <w:r>
        <w:rPr>
          <w:rFonts w:ascii="宋体" w:hAnsi="宋体"/>
          <w:sz w:val="24"/>
          <w:szCs w:val="24"/>
          <w:highlight w:val="none"/>
        </w:rPr>
        <w:t xml:space="preserve"> </w:t>
      </w:r>
      <w:r>
        <w:rPr>
          <w:rFonts w:hint="eastAsia" w:ascii="宋体" w:hAnsi="宋体"/>
          <w:sz w:val="24"/>
          <w:szCs w:val="24"/>
          <w:highlight w:val="none"/>
        </w:rPr>
        <w:t>现任我单位</w:t>
      </w:r>
      <w:r>
        <w:rPr>
          <w:rFonts w:ascii="宋体" w:hAnsi="宋体"/>
          <w:sz w:val="24"/>
          <w:szCs w:val="24"/>
          <w:highlight w:val="none"/>
          <w:u w:val="single"/>
        </w:rPr>
        <w:t xml:space="preserve">        </w:t>
      </w:r>
      <w:r>
        <w:rPr>
          <w:rFonts w:hint="eastAsia" w:ascii="宋体" w:hAnsi="宋体"/>
          <w:sz w:val="24"/>
          <w:szCs w:val="24"/>
          <w:highlight w:val="none"/>
        </w:rPr>
        <w:t>职务，为法定代表人，特此证明。</w:t>
      </w:r>
    </w:p>
    <w:p w14:paraId="0D67F9AA">
      <w:pPr>
        <w:spacing w:line="480" w:lineRule="exact"/>
        <w:ind w:firstLine="480"/>
        <w:rPr>
          <w:rFonts w:ascii="宋体" w:hAnsi="宋体"/>
          <w:sz w:val="24"/>
          <w:szCs w:val="24"/>
          <w:highlight w:val="none"/>
          <w:u w:val="single"/>
        </w:rPr>
      </w:pPr>
      <w:r>
        <w:rPr>
          <w:rFonts w:hint="eastAsia" w:ascii="宋体" w:hAnsi="宋体"/>
          <w:sz w:val="24"/>
          <w:szCs w:val="24"/>
          <w:highlight w:val="none"/>
        </w:rPr>
        <w:t>身份证号码：</w:t>
      </w:r>
      <w:r>
        <w:rPr>
          <w:rFonts w:ascii="宋体" w:hAnsi="宋体"/>
          <w:sz w:val="24"/>
          <w:szCs w:val="24"/>
          <w:highlight w:val="none"/>
          <w:u w:val="single"/>
        </w:rPr>
        <w:t xml:space="preserve">                                               </w:t>
      </w:r>
    </w:p>
    <w:p w14:paraId="0DF611D5">
      <w:pPr>
        <w:spacing w:line="480" w:lineRule="exact"/>
        <w:ind w:firstLine="480"/>
        <w:rPr>
          <w:rFonts w:ascii="宋体" w:hAnsi="宋体"/>
          <w:sz w:val="24"/>
          <w:szCs w:val="24"/>
          <w:highlight w:val="none"/>
        </w:rPr>
      </w:pPr>
    </w:p>
    <w:p w14:paraId="5CB2F59F">
      <w:pPr>
        <w:spacing w:line="600" w:lineRule="exact"/>
        <w:rPr>
          <w:rFonts w:ascii="宋体" w:hAnsi="宋体"/>
          <w:b/>
          <w:sz w:val="24"/>
          <w:szCs w:val="24"/>
          <w:highlight w:val="none"/>
        </w:rPr>
      </w:pPr>
      <w:r>
        <w:rPr>
          <w:rFonts w:hint="eastAsia" w:ascii="宋体" w:hAnsi="宋体"/>
          <w:b/>
          <w:sz w:val="24"/>
          <w:szCs w:val="24"/>
          <w:highlight w:val="none"/>
        </w:rPr>
        <w:t>注：提供法定代表人的身份证复印件盖公章</w:t>
      </w:r>
    </w:p>
    <w:p w14:paraId="221198FD">
      <w:pPr>
        <w:spacing w:line="440" w:lineRule="exact"/>
        <w:ind w:firstLine="480"/>
        <w:rPr>
          <w:rFonts w:ascii="宋体" w:hAnsi="宋体"/>
          <w:sz w:val="24"/>
          <w:szCs w:val="21"/>
          <w:highlight w:val="none"/>
        </w:rPr>
      </w:pPr>
    </w:p>
    <w:bookmarkEnd w:id="184"/>
    <w:bookmarkEnd w:id="185"/>
    <w:bookmarkEnd w:id="186"/>
    <w:p w14:paraId="41184C4F">
      <w:pPr>
        <w:spacing w:line="460" w:lineRule="exact"/>
        <w:rPr>
          <w:rFonts w:ascii="宋体" w:hAnsi="宋体"/>
          <w:bCs/>
          <w:sz w:val="24"/>
          <w:szCs w:val="21"/>
          <w:highlight w:val="none"/>
        </w:rPr>
      </w:pPr>
      <w:bookmarkStart w:id="187" w:name="_Toc120614284"/>
    </w:p>
    <w:p w14:paraId="3AD936BA">
      <w:pPr>
        <w:spacing w:line="400" w:lineRule="exact"/>
        <w:contextualSpacing/>
        <w:rPr>
          <w:rFonts w:eastAsia="方正黑体_GBK"/>
          <w:sz w:val="32"/>
          <w:szCs w:val="32"/>
          <w:highlight w:val="none"/>
          <w:lang w:val="zh-CN"/>
        </w:rPr>
      </w:pPr>
      <w:r>
        <w:rPr>
          <w:rFonts w:ascii="宋体" w:hAnsi="宋体"/>
          <w:bCs/>
          <w:sz w:val="24"/>
          <w:szCs w:val="21"/>
          <w:highlight w:val="none"/>
        </w:rPr>
        <w:br w:type="page" w:clear="all"/>
      </w:r>
      <w:r>
        <w:rPr>
          <w:rFonts w:eastAsia="方正黑体_GBK"/>
          <w:sz w:val="32"/>
          <w:szCs w:val="32"/>
          <w:highlight w:val="none"/>
          <w:lang w:val="zh-CN"/>
        </w:rPr>
        <w:t>附件3</w:t>
      </w:r>
    </w:p>
    <w:p w14:paraId="1E297BD8">
      <w:pPr>
        <w:spacing w:line="560" w:lineRule="exact"/>
        <w:jc w:val="center"/>
        <w:rPr>
          <w:rFonts w:hint="eastAsia" w:ascii="宋体" w:hAnsi="宋体"/>
          <w:b/>
          <w:bCs/>
          <w:sz w:val="32"/>
          <w:szCs w:val="32"/>
          <w:highlight w:val="none"/>
        </w:rPr>
      </w:pPr>
      <w:r>
        <w:rPr>
          <w:rFonts w:hint="eastAsia" w:ascii="宋体" w:hAnsi="宋体"/>
          <w:b/>
          <w:bCs/>
          <w:sz w:val="32"/>
          <w:szCs w:val="32"/>
          <w:highlight w:val="none"/>
        </w:rPr>
        <w:t>法人授权书</w:t>
      </w:r>
    </w:p>
    <w:p w14:paraId="5E2C3359">
      <w:pPr>
        <w:tabs>
          <w:tab w:val="left" w:pos="360"/>
        </w:tabs>
        <w:ind w:firstLine="480"/>
        <w:rPr>
          <w:rFonts w:hint="eastAsia"/>
          <w:sz w:val="24"/>
          <w:szCs w:val="24"/>
          <w:highlight w:val="none"/>
        </w:rPr>
      </w:pPr>
      <w:r>
        <w:rPr>
          <w:rFonts w:hint="eastAsia"/>
          <w:sz w:val="24"/>
          <w:szCs w:val="24"/>
          <w:highlight w:val="none"/>
        </w:rPr>
        <w:t>本授权书声明：____________（供应商名称）授权________________（被授权人的姓名）为我方就JSZC-</w:t>
      </w:r>
      <w:r>
        <w:rPr>
          <w:rFonts w:hint="eastAsia"/>
          <w:sz w:val="24"/>
          <w:szCs w:val="24"/>
          <w:highlight w:val="none"/>
          <w:u w:val="single"/>
        </w:rPr>
        <w:t xml:space="preserve">        </w:t>
      </w:r>
      <w:r>
        <w:rPr>
          <w:rFonts w:hint="eastAsia"/>
          <w:sz w:val="24"/>
          <w:szCs w:val="24"/>
          <w:highlight w:val="none"/>
        </w:rPr>
        <w:t>号项目采购活动的合法代理人，以本单位名义全权处理一切与该项目采购有关的事务。</w:t>
      </w:r>
    </w:p>
    <w:p w14:paraId="2366F2B7">
      <w:pPr>
        <w:tabs>
          <w:tab w:val="left" w:pos="360"/>
        </w:tabs>
        <w:ind w:firstLine="480"/>
        <w:rPr>
          <w:rFonts w:hint="eastAsia"/>
          <w:sz w:val="24"/>
          <w:szCs w:val="24"/>
          <w:highlight w:val="none"/>
        </w:rPr>
      </w:pPr>
      <w:r>
        <w:rPr>
          <w:rFonts w:hint="eastAsia"/>
          <w:sz w:val="24"/>
          <w:szCs w:val="24"/>
          <w:highlight w:val="none"/>
        </w:rPr>
        <w:t>本授权书于______年____月____日起生效，特此声明。</w:t>
      </w:r>
    </w:p>
    <w:p w14:paraId="1CB412BE">
      <w:pPr>
        <w:tabs>
          <w:tab w:val="left" w:pos="360"/>
        </w:tabs>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p>
    <w:p w14:paraId="1E9BE78D">
      <w:pPr>
        <w:tabs>
          <w:tab w:val="left" w:pos="360"/>
        </w:tabs>
        <w:rPr>
          <w:rFonts w:hint="eastAsia"/>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p>
    <w:p w14:paraId="16839839">
      <w:pPr>
        <w:tabs>
          <w:tab w:val="left" w:pos="360"/>
        </w:tabs>
        <w:ind w:firstLine="1200"/>
        <w:rPr>
          <w:rFonts w:hint="eastAsia"/>
          <w:sz w:val="24"/>
          <w:szCs w:val="24"/>
          <w:highlight w:val="none"/>
        </w:rPr>
      </w:pPr>
      <w:r>
        <w:rPr>
          <w:rFonts w:hint="eastAsia"/>
          <w:sz w:val="24"/>
          <w:szCs w:val="24"/>
          <w:highlight w:val="none"/>
        </w:rPr>
        <w:t>授权单位名称：</w:t>
      </w:r>
      <w:r>
        <w:rPr>
          <w:rFonts w:hint="eastAsia"/>
          <w:sz w:val="24"/>
          <w:szCs w:val="24"/>
          <w:highlight w:val="none"/>
          <w:u w:val="single"/>
        </w:rPr>
        <w:t>（加盖CA电子公章）</w:t>
      </w:r>
    </w:p>
    <w:p w14:paraId="2303F65C">
      <w:pPr>
        <w:tabs>
          <w:tab w:val="left" w:pos="360"/>
        </w:tabs>
        <w:ind w:firstLine="480"/>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p>
    <w:p w14:paraId="1360046D">
      <w:pPr>
        <w:tabs>
          <w:tab w:val="left" w:pos="360"/>
        </w:tabs>
        <w:ind w:firstLine="480"/>
        <w:rPr>
          <w:rFonts w:hint="eastAsia"/>
          <w:sz w:val="24"/>
          <w:szCs w:val="24"/>
          <w:highlight w:val="none"/>
        </w:rPr>
      </w:pPr>
      <w:r>
        <w:rPr>
          <w:rFonts w:hint="eastAsia"/>
          <w:sz w:val="24"/>
          <w:szCs w:val="24"/>
          <w:highlight w:val="none"/>
        </w:rPr>
        <w:t xml:space="preserve">      日期：</w:t>
      </w:r>
      <w:r>
        <w:rPr>
          <w:rFonts w:hint="eastAsia"/>
          <w:sz w:val="24"/>
          <w:szCs w:val="24"/>
          <w:highlight w:val="none"/>
          <w:u w:val="single"/>
        </w:rPr>
        <w:t xml:space="preserve">                                         </w:t>
      </w:r>
    </w:p>
    <w:p w14:paraId="6734E279">
      <w:pPr>
        <w:ind w:firstLine="420"/>
        <w:rPr>
          <w:rFonts w:hint="eastAsia"/>
          <w:i/>
          <w:sz w:val="24"/>
          <w:szCs w:val="24"/>
          <w:highlight w:val="none"/>
          <w:u w:val="single"/>
        </w:rPr>
      </w:pPr>
    </w:p>
    <w:p w14:paraId="4778B576">
      <w:pPr>
        <w:rPr>
          <w:rFonts w:hint="eastAsia"/>
          <w:szCs w:val="21"/>
          <w:highlight w:val="none"/>
        </w:rPr>
      </w:pPr>
    </w:p>
    <w:p w14:paraId="5B39967C">
      <w:pPr>
        <w:spacing w:line="460" w:lineRule="exact"/>
        <w:rPr>
          <w:rFonts w:ascii="宋体" w:hAnsi="宋体"/>
          <w:bCs/>
          <w:sz w:val="24"/>
          <w:szCs w:val="21"/>
          <w:highlight w:val="none"/>
        </w:rPr>
      </w:pPr>
    </w:p>
    <w:p w14:paraId="04E11E31">
      <w:pPr>
        <w:spacing w:line="400" w:lineRule="exact"/>
        <w:contextualSpacing/>
        <w:rPr>
          <w:rFonts w:eastAsia="方正黑体_GBK"/>
          <w:sz w:val="32"/>
          <w:szCs w:val="32"/>
          <w:highlight w:val="none"/>
        </w:rPr>
      </w:pPr>
      <w:r>
        <w:rPr>
          <w:rFonts w:ascii="宋体" w:hAnsi="宋体"/>
          <w:bCs/>
          <w:sz w:val="24"/>
          <w:szCs w:val="21"/>
          <w:highlight w:val="none"/>
        </w:rPr>
        <w:br w:type="page" w:clear="all"/>
      </w:r>
      <w:r>
        <w:rPr>
          <w:rFonts w:eastAsia="方正黑体_GBK"/>
          <w:sz w:val="32"/>
          <w:szCs w:val="32"/>
          <w:highlight w:val="none"/>
        </w:rPr>
        <w:t>附件4</w:t>
      </w:r>
    </w:p>
    <w:p w14:paraId="3EBAFB62">
      <w:pPr>
        <w:spacing w:line="560" w:lineRule="exact"/>
        <w:jc w:val="center"/>
        <w:rPr>
          <w:rFonts w:ascii="宋体" w:hAnsi="宋体"/>
          <w:b/>
          <w:bCs/>
          <w:sz w:val="32"/>
          <w:szCs w:val="32"/>
          <w:highlight w:val="none"/>
        </w:rPr>
      </w:pPr>
      <w:r>
        <w:rPr>
          <w:rFonts w:hint="eastAsia" w:ascii="宋体" w:hAnsi="宋体"/>
          <w:b/>
          <w:bCs/>
          <w:sz w:val="32"/>
          <w:szCs w:val="32"/>
          <w:highlight w:val="none"/>
        </w:rPr>
        <w:t>磋商响应函</w:t>
      </w:r>
    </w:p>
    <w:p w14:paraId="7BC6007B">
      <w:pPr>
        <w:spacing w:line="420" w:lineRule="exact"/>
        <w:jc w:val="left"/>
        <w:rPr>
          <w:rFonts w:hint="eastAsia" w:ascii="宋体" w:hAnsi="宋体" w:eastAsia="宋体"/>
          <w:sz w:val="24"/>
          <w:szCs w:val="21"/>
          <w:highlight w:val="none"/>
          <w:u w:val="single"/>
          <w:lang w:eastAsia="zh-CN"/>
        </w:rPr>
      </w:pPr>
      <w:r>
        <w:rPr>
          <w:rFonts w:hint="eastAsia" w:ascii="宋体" w:hAnsi="宋体"/>
          <w:sz w:val="24"/>
          <w:szCs w:val="21"/>
          <w:highlight w:val="none"/>
        </w:rPr>
        <w:t>致：</w:t>
      </w:r>
      <w:r>
        <w:rPr>
          <w:rFonts w:hint="eastAsia" w:ascii="宋体" w:hAnsi="宋体"/>
          <w:sz w:val="24"/>
          <w:szCs w:val="21"/>
          <w:highlight w:val="none"/>
          <w:u w:val="single"/>
          <w:lang w:eastAsia="zh-CN"/>
        </w:rPr>
        <w:t>海安市人民医院</w:t>
      </w:r>
    </w:p>
    <w:p w14:paraId="098765A1">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根据贵方的JSZC-</w:t>
      </w:r>
      <w:r>
        <w:rPr>
          <w:rFonts w:ascii="宋体" w:hAnsi="宋体"/>
          <w:sz w:val="24"/>
          <w:szCs w:val="21"/>
          <w:highlight w:val="none"/>
        </w:rPr>
        <w:t>***-***</w:t>
      </w:r>
      <w:r>
        <w:rPr>
          <w:rFonts w:hint="eastAsia" w:ascii="宋体" w:hAnsi="宋体"/>
          <w:b/>
          <w:sz w:val="36"/>
          <w:szCs w:val="24"/>
          <w:highlight w:val="none"/>
          <w:u w:val="single"/>
        </w:rPr>
        <w:t xml:space="preserve">    </w:t>
      </w:r>
      <w:r>
        <w:rPr>
          <w:rFonts w:hint="eastAsia" w:ascii="宋体" w:hAnsi="宋体"/>
          <w:sz w:val="24"/>
          <w:szCs w:val="21"/>
          <w:highlight w:val="none"/>
        </w:rPr>
        <w:t>号磋商文件，正式授权下述签字人______(姓名)代表我方______________（供应商的名称），全权处理本次项目磋商的有关事宜。</w:t>
      </w:r>
    </w:p>
    <w:p w14:paraId="313BF3D5">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据此函，__________签字人兹宣布同意如下：</w:t>
      </w:r>
    </w:p>
    <w:p w14:paraId="04EAF03E">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1.按磋商文件规定的各项要求，向买方提供所需货物、服务（包含与货物相关的服务及与服务相关的货物）。</w:t>
      </w:r>
    </w:p>
    <w:p w14:paraId="3F3AB6FA">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2.我们完全理解贵方不一定将合同授予最低报价的供应商。</w:t>
      </w:r>
    </w:p>
    <w:p w14:paraId="45994D65">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3.我们已详细审核全部磋商文件及其有效补充文件，我们知道必须放弃提出含糊不清或误解问题的权利。</w:t>
      </w:r>
    </w:p>
    <w:p w14:paraId="5C39B553">
      <w:pPr>
        <w:spacing w:line="420" w:lineRule="exact"/>
        <w:ind w:firstLine="480"/>
        <w:jc w:val="left"/>
        <w:rPr>
          <w:rFonts w:hint="eastAsia" w:ascii="宋体" w:hAnsi="宋体"/>
          <w:sz w:val="24"/>
          <w:szCs w:val="21"/>
          <w:highlight w:val="none"/>
        </w:rPr>
      </w:pPr>
      <w:r>
        <w:rPr>
          <w:rFonts w:hint="eastAsia" w:ascii="宋体" w:hAnsi="宋体"/>
          <w:sz w:val="24"/>
          <w:szCs w:val="21"/>
          <w:highlight w:val="none"/>
        </w:rPr>
        <w:t>4.我们同意从规定的开标日期起遵循本响应文件，并在规定的磋商有效期期满之前均具有约束力。</w:t>
      </w:r>
    </w:p>
    <w:p w14:paraId="5A860524">
      <w:pPr>
        <w:spacing w:line="420" w:lineRule="exact"/>
        <w:ind w:firstLine="480"/>
        <w:jc w:val="left"/>
        <w:rPr>
          <w:rFonts w:hint="eastAsia" w:ascii="宋体" w:hAnsi="宋体"/>
          <w:sz w:val="24"/>
          <w:szCs w:val="21"/>
          <w:highlight w:val="none"/>
        </w:rPr>
      </w:pPr>
      <w:r>
        <w:rPr>
          <w:rFonts w:ascii="宋体" w:hAnsi="宋体"/>
          <w:sz w:val="24"/>
          <w:szCs w:val="21"/>
          <w:highlight w:val="none"/>
        </w:rPr>
        <w:t>5</w:t>
      </w:r>
      <w:r>
        <w:rPr>
          <w:rFonts w:hint="eastAsia" w:ascii="宋体" w:hAnsi="宋体"/>
          <w:sz w:val="24"/>
          <w:szCs w:val="21"/>
          <w:highlight w:val="none"/>
        </w:rPr>
        <w:t>.同意向贵方提供贵方可能另外要求的与磋商有关的任何证据或资料，并保证我方已提供和将要提供的文件是真实的、准确的。</w:t>
      </w:r>
    </w:p>
    <w:p w14:paraId="4768C507">
      <w:pPr>
        <w:spacing w:line="420" w:lineRule="exact"/>
        <w:ind w:firstLine="480"/>
        <w:jc w:val="left"/>
        <w:rPr>
          <w:rFonts w:hint="eastAsia" w:ascii="宋体" w:hAnsi="宋体"/>
          <w:sz w:val="24"/>
          <w:szCs w:val="21"/>
          <w:highlight w:val="none"/>
        </w:rPr>
      </w:pPr>
      <w:r>
        <w:rPr>
          <w:rFonts w:ascii="宋体" w:hAnsi="宋体"/>
          <w:sz w:val="24"/>
          <w:szCs w:val="21"/>
          <w:highlight w:val="none"/>
        </w:rPr>
        <w:t>6</w:t>
      </w:r>
      <w:r>
        <w:rPr>
          <w:rFonts w:hint="eastAsia" w:ascii="宋体" w:hAnsi="宋体"/>
          <w:sz w:val="24"/>
          <w:szCs w:val="21"/>
          <w:highlight w:val="none"/>
        </w:rPr>
        <w:t>.一旦我方成交,我方将根据磋商文件的规定，严格履行合同的责任和义务,并保证在磋商文件规定的时间完成项目，交付买方验收、使用。</w:t>
      </w:r>
    </w:p>
    <w:p w14:paraId="600947D4">
      <w:pPr>
        <w:spacing w:line="420" w:lineRule="exact"/>
        <w:ind w:left="425"/>
        <w:jc w:val="left"/>
        <w:rPr>
          <w:rFonts w:hint="eastAsia" w:ascii="宋体" w:hAnsi="宋体"/>
          <w:sz w:val="24"/>
          <w:szCs w:val="21"/>
          <w:highlight w:val="none"/>
        </w:rPr>
      </w:pPr>
      <w:r>
        <w:rPr>
          <w:rFonts w:ascii="宋体" w:hAnsi="宋体"/>
          <w:sz w:val="24"/>
          <w:szCs w:val="21"/>
          <w:highlight w:val="none"/>
        </w:rPr>
        <w:t>7</w:t>
      </w:r>
      <w:r>
        <w:rPr>
          <w:rFonts w:hint="eastAsia" w:ascii="宋体" w:hAnsi="宋体"/>
          <w:sz w:val="24"/>
          <w:szCs w:val="21"/>
          <w:highlight w:val="none"/>
        </w:rPr>
        <w:t>.我方与本磋商有关的正式通讯地址为：</w:t>
      </w:r>
    </w:p>
    <w:p w14:paraId="5A0397CD">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地          址：</w:t>
      </w:r>
    </w:p>
    <w:p w14:paraId="719AC0C2">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邮          编：</w:t>
      </w:r>
    </w:p>
    <w:p w14:paraId="0EF128E9">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电          话：</w:t>
      </w:r>
    </w:p>
    <w:p w14:paraId="7FADEE90">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传          真：</w:t>
      </w:r>
    </w:p>
    <w:p w14:paraId="719CBAE8">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供应商开户行：</w:t>
      </w:r>
    </w:p>
    <w:p w14:paraId="06DD79EC">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 xml:space="preserve">账          号： </w:t>
      </w:r>
    </w:p>
    <w:p w14:paraId="35FF6025">
      <w:pPr>
        <w:spacing w:line="420" w:lineRule="exact"/>
        <w:ind w:left="420" w:firstLine="480"/>
        <w:jc w:val="left"/>
        <w:rPr>
          <w:rFonts w:hint="eastAsia" w:ascii="宋体" w:hAnsi="宋体"/>
          <w:sz w:val="24"/>
          <w:szCs w:val="21"/>
          <w:highlight w:val="none"/>
        </w:rPr>
      </w:pPr>
      <w:r>
        <w:rPr>
          <w:rFonts w:hint="eastAsia" w:ascii="宋体" w:hAnsi="宋体"/>
          <w:sz w:val="24"/>
          <w:szCs w:val="21"/>
          <w:highlight w:val="none"/>
        </w:rPr>
        <w:t>日           期：________年____月____日</w:t>
      </w:r>
    </w:p>
    <w:p w14:paraId="044901FE">
      <w:pPr>
        <w:spacing w:line="400" w:lineRule="exact"/>
        <w:contextualSpacing/>
        <w:rPr>
          <w:rFonts w:ascii="宋体" w:hAnsi="宋体"/>
          <w:bCs/>
          <w:sz w:val="24"/>
          <w:szCs w:val="21"/>
          <w:highlight w:val="none"/>
        </w:rPr>
      </w:pPr>
    </w:p>
    <w:p w14:paraId="5EB92049">
      <w:pPr>
        <w:spacing w:line="440" w:lineRule="exact"/>
        <w:ind w:left="420" w:firstLine="480"/>
        <w:jc w:val="left"/>
        <w:rPr>
          <w:rFonts w:hint="eastAsia" w:ascii="宋体" w:hAnsi="宋体"/>
          <w:sz w:val="24"/>
          <w:szCs w:val="21"/>
          <w:highlight w:val="none"/>
        </w:rPr>
      </w:pPr>
    </w:p>
    <w:p w14:paraId="4CAF89E3">
      <w:pPr>
        <w:spacing w:line="440" w:lineRule="exact"/>
        <w:ind w:left="420" w:firstLine="2400"/>
        <w:jc w:val="left"/>
        <w:rPr>
          <w:rFonts w:hint="eastAsia" w:ascii="宋体" w:hAnsi="宋体"/>
          <w:sz w:val="24"/>
          <w:szCs w:val="21"/>
          <w:highlight w:val="none"/>
        </w:rPr>
      </w:pPr>
      <w:r>
        <w:rPr>
          <w:rFonts w:hint="eastAsia" w:ascii="宋体" w:hAnsi="宋体"/>
          <w:sz w:val="24"/>
          <w:szCs w:val="21"/>
          <w:highlight w:val="none"/>
        </w:rPr>
        <w:t>响应供应商全称(盖公章)：</w:t>
      </w:r>
    </w:p>
    <w:p w14:paraId="4E61024D">
      <w:pPr>
        <w:spacing w:line="440" w:lineRule="exact"/>
        <w:ind w:left="420" w:firstLine="2400"/>
        <w:jc w:val="left"/>
        <w:rPr>
          <w:rFonts w:hint="eastAsia" w:ascii="宋体" w:hAnsi="宋体"/>
          <w:sz w:val="24"/>
          <w:szCs w:val="21"/>
          <w:highlight w:val="none"/>
        </w:rPr>
      </w:pPr>
      <w:r>
        <w:rPr>
          <w:rFonts w:hint="eastAsia" w:ascii="宋体" w:hAnsi="宋体"/>
          <w:sz w:val="24"/>
          <w:szCs w:val="21"/>
          <w:highlight w:val="none"/>
        </w:rPr>
        <w:t>法定代表人（签字或盖章）：</w:t>
      </w:r>
    </w:p>
    <w:p w14:paraId="6C180F51">
      <w:pPr>
        <w:spacing w:line="460" w:lineRule="exact"/>
        <w:rPr>
          <w:rFonts w:ascii="宋体" w:hAnsi="宋体"/>
          <w:bCs/>
          <w:sz w:val="24"/>
          <w:szCs w:val="21"/>
          <w:highlight w:val="none"/>
        </w:rPr>
      </w:pPr>
    </w:p>
    <w:p w14:paraId="167CC694">
      <w:pPr>
        <w:spacing w:line="460" w:lineRule="exact"/>
        <w:rPr>
          <w:rFonts w:eastAsia="方正黑体_GBK"/>
          <w:sz w:val="32"/>
          <w:szCs w:val="32"/>
          <w:highlight w:val="none"/>
        </w:rPr>
      </w:pPr>
    </w:p>
    <w:p w14:paraId="26B43C30">
      <w:pPr>
        <w:spacing w:line="460" w:lineRule="exact"/>
        <w:rPr>
          <w:rFonts w:eastAsia="方正黑体_GBK"/>
          <w:sz w:val="32"/>
          <w:szCs w:val="32"/>
          <w:highlight w:val="none"/>
        </w:rPr>
      </w:pPr>
    </w:p>
    <w:p w14:paraId="5833A275">
      <w:pPr>
        <w:spacing w:line="400" w:lineRule="exact"/>
        <w:contextualSpacing/>
        <w:rPr>
          <w:rFonts w:eastAsia="方正黑体_GBK"/>
          <w:sz w:val="32"/>
          <w:szCs w:val="32"/>
          <w:highlight w:val="none"/>
        </w:rPr>
      </w:pPr>
      <w:r>
        <w:rPr>
          <w:rFonts w:eastAsia="方正黑体_GBK"/>
          <w:sz w:val="32"/>
          <w:szCs w:val="32"/>
          <w:highlight w:val="none"/>
        </w:rPr>
        <w:t>附件5</w:t>
      </w:r>
    </w:p>
    <w:p w14:paraId="4C22BD37">
      <w:pPr>
        <w:spacing w:line="300" w:lineRule="auto"/>
        <w:contextualSpacing/>
        <w:jc w:val="center"/>
        <w:rPr>
          <w:rFonts w:hint="eastAsia" w:ascii="宋体" w:hAnsi="宋体"/>
          <w:b/>
          <w:sz w:val="32"/>
          <w:szCs w:val="32"/>
          <w:highlight w:val="none"/>
        </w:rPr>
      </w:pPr>
      <w:r>
        <w:rPr>
          <w:rFonts w:hint="eastAsia" w:ascii="宋体" w:hAnsi="宋体"/>
          <w:b/>
          <w:sz w:val="32"/>
          <w:szCs w:val="32"/>
          <w:highlight w:val="none"/>
        </w:rPr>
        <w:t>商务部分正负偏离表</w:t>
      </w:r>
    </w:p>
    <w:p w14:paraId="2D12DA3A">
      <w:pPr>
        <w:ind w:firstLine="560"/>
        <w:jc w:val="center"/>
        <w:rPr>
          <w:rFonts w:ascii="宋体" w:hAnsi="宋体"/>
          <w:sz w:val="28"/>
          <w:szCs w:val="28"/>
          <w:highlight w:val="none"/>
        </w:rPr>
      </w:pPr>
      <w:r>
        <w:rPr>
          <w:rFonts w:hint="eastAsia" w:ascii="宋体" w:hAnsi="宋体"/>
          <w:sz w:val="28"/>
          <w:szCs w:val="28"/>
          <w:highlight w:val="none"/>
        </w:rPr>
        <w:t>（由供应商据实填写，表格不够自行添加）</w:t>
      </w:r>
    </w:p>
    <w:tbl>
      <w:tblPr>
        <w:tblStyle w:val="29"/>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43"/>
        <w:gridCol w:w="2300"/>
        <w:gridCol w:w="2008"/>
        <w:gridCol w:w="2591"/>
        <w:gridCol w:w="1427"/>
      </w:tblGrid>
      <w:tr w14:paraId="2A8592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843" w:type="dxa"/>
            <w:tcBorders>
              <w:top w:val="single" w:color="000000" w:sz="12" w:space="0"/>
              <w:left w:val="single" w:color="000000" w:sz="12" w:space="0"/>
              <w:bottom w:val="single" w:color="000000" w:sz="6" w:space="0"/>
              <w:right w:val="single" w:color="000000" w:sz="6" w:space="0"/>
            </w:tcBorders>
            <w:noWrap w:val="0"/>
            <w:vAlign w:val="center"/>
          </w:tcPr>
          <w:p w14:paraId="7CB11416">
            <w:pPr>
              <w:spacing w:line="340" w:lineRule="exact"/>
              <w:jc w:val="center"/>
              <w:rPr>
                <w:rFonts w:ascii="宋体" w:hAnsi="宋体"/>
                <w:sz w:val="24"/>
                <w:szCs w:val="24"/>
                <w:highlight w:val="none"/>
              </w:rPr>
            </w:pPr>
            <w:r>
              <w:rPr>
                <w:rFonts w:hint="eastAsia" w:ascii="宋体" w:hAnsi="宋体"/>
                <w:sz w:val="24"/>
                <w:szCs w:val="24"/>
                <w:highlight w:val="none"/>
              </w:rPr>
              <w:t>序号</w:t>
            </w:r>
          </w:p>
        </w:tc>
        <w:tc>
          <w:tcPr>
            <w:tcW w:w="2300" w:type="dxa"/>
            <w:tcBorders>
              <w:top w:val="single" w:color="000000" w:sz="12" w:space="0"/>
              <w:left w:val="single" w:color="000000" w:sz="6" w:space="0"/>
              <w:bottom w:val="single" w:color="000000" w:sz="6" w:space="0"/>
              <w:right w:val="single" w:color="000000" w:sz="6" w:space="0"/>
            </w:tcBorders>
            <w:noWrap w:val="0"/>
            <w:vAlign w:val="center"/>
          </w:tcPr>
          <w:p w14:paraId="24FC15CF">
            <w:pPr>
              <w:spacing w:line="340" w:lineRule="exact"/>
              <w:jc w:val="center"/>
              <w:rPr>
                <w:rFonts w:ascii="宋体" w:hAnsi="宋体"/>
                <w:sz w:val="24"/>
                <w:szCs w:val="24"/>
                <w:highlight w:val="none"/>
              </w:rPr>
            </w:pPr>
            <w:r>
              <w:rPr>
                <w:rFonts w:hint="eastAsia" w:ascii="宋体" w:hAnsi="宋体"/>
                <w:sz w:val="24"/>
                <w:szCs w:val="24"/>
                <w:highlight w:val="none"/>
              </w:rPr>
              <w:t>货物或服务名称</w:t>
            </w:r>
          </w:p>
        </w:tc>
        <w:tc>
          <w:tcPr>
            <w:tcW w:w="2008" w:type="dxa"/>
            <w:tcBorders>
              <w:top w:val="single" w:color="000000" w:sz="12" w:space="0"/>
              <w:left w:val="single" w:color="000000" w:sz="6" w:space="0"/>
              <w:bottom w:val="single" w:color="000000" w:sz="6" w:space="0"/>
              <w:right w:val="single" w:color="000000" w:sz="6" w:space="0"/>
            </w:tcBorders>
            <w:noWrap w:val="0"/>
            <w:vAlign w:val="center"/>
          </w:tcPr>
          <w:p w14:paraId="2AF267EF">
            <w:pPr>
              <w:spacing w:line="340" w:lineRule="exact"/>
              <w:jc w:val="center"/>
              <w:rPr>
                <w:rFonts w:ascii="宋体" w:hAnsi="宋体"/>
                <w:sz w:val="24"/>
                <w:szCs w:val="24"/>
                <w:highlight w:val="none"/>
              </w:rPr>
            </w:pPr>
            <w:r>
              <w:rPr>
                <w:rFonts w:hint="eastAsia" w:ascii="宋体" w:hAnsi="宋体"/>
                <w:sz w:val="24"/>
                <w:szCs w:val="24"/>
                <w:highlight w:val="none"/>
              </w:rPr>
              <w:t>磋商文件要求的商务条款</w:t>
            </w:r>
          </w:p>
        </w:tc>
        <w:tc>
          <w:tcPr>
            <w:tcW w:w="2591" w:type="dxa"/>
            <w:tcBorders>
              <w:top w:val="single" w:color="000000" w:sz="12" w:space="0"/>
              <w:left w:val="single" w:color="000000" w:sz="6" w:space="0"/>
              <w:bottom w:val="single" w:color="000000" w:sz="6" w:space="0"/>
              <w:right w:val="single" w:color="000000" w:sz="6" w:space="0"/>
            </w:tcBorders>
            <w:noWrap w:val="0"/>
            <w:vAlign w:val="center"/>
          </w:tcPr>
          <w:p w14:paraId="53DB1F63">
            <w:pPr>
              <w:spacing w:line="340" w:lineRule="exact"/>
              <w:jc w:val="center"/>
              <w:rPr>
                <w:rFonts w:ascii="宋体" w:hAnsi="宋体"/>
                <w:sz w:val="24"/>
                <w:szCs w:val="24"/>
                <w:highlight w:val="none"/>
              </w:rPr>
            </w:pPr>
            <w:r>
              <w:rPr>
                <w:rFonts w:hint="eastAsia" w:ascii="宋体" w:hAnsi="宋体"/>
                <w:sz w:val="24"/>
                <w:szCs w:val="24"/>
                <w:highlight w:val="none"/>
              </w:rPr>
              <w:t>响应文件响应情况</w:t>
            </w:r>
          </w:p>
        </w:tc>
        <w:tc>
          <w:tcPr>
            <w:tcW w:w="1427" w:type="dxa"/>
            <w:tcBorders>
              <w:top w:val="single" w:color="000000" w:sz="12" w:space="0"/>
              <w:left w:val="single" w:color="000000" w:sz="6" w:space="0"/>
              <w:bottom w:val="single" w:color="000000" w:sz="6" w:space="0"/>
              <w:right w:val="single" w:color="000000" w:sz="12" w:space="0"/>
            </w:tcBorders>
            <w:noWrap w:val="0"/>
            <w:vAlign w:val="top"/>
          </w:tcPr>
          <w:p w14:paraId="2F77B101">
            <w:pPr>
              <w:spacing w:line="340" w:lineRule="exact"/>
              <w:jc w:val="center"/>
              <w:rPr>
                <w:rFonts w:ascii="宋体" w:hAnsi="宋体"/>
                <w:sz w:val="24"/>
                <w:szCs w:val="24"/>
                <w:highlight w:val="none"/>
              </w:rPr>
            </w:pPr>
          </w:p>
          <w:p w14:paraId="6DEA6E7C">
            <w:pPr>
              <w:spacing w:line="340" w:lineRule="exact"/>
              <w:jc w:val="center"/>
              <w:rPr>
                <w:rFonts w:ascii="宋体" w:hAnsi="宋体"/>
                <w:sz w:val="24"/>
                <w:szCs w:val="24"/>
                <w:highlight w:val="none"/>
              </w:rPr>
            </w:pPr>
            <w:r>
              <w:rPr>
                <w:rFonts w:hint="eastAsia" w:ascii="宋体" w:hAnsi="宋体"/>
                <w:sz w:val="24"/>
                <w:szCs w:val="24"/>
                <w:highlight w:val="none"/>
              </w:rPr>
              <w:t>偏离说明</w:t>
            </w:r>
          </w:p>
        </w:tc>
      </w:tr>
      <w:tr w14:paraId="07A8DB3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843" w:type="dxa"/>
            <w:tcBorders>
              <w:top w:val="single" w:color="000000" w:sz="6" w:space="0"/>
              <w:left w:val="single" w:color="000000" w:sz="12" w:space="0"/>
              <w:bottom w:val="single" w:color="000000" w:sz="6" w:space="0"/>
              <w:right w:val="single" w:color="000000" w:sz="6" w:space="0"/>
            </w:tcBorders>
            <w:noWrap w:val="0"/>
            <w:vAlign w:val="top"/>
          </w:tcPr>
          <w:p w14:paraId="353FA46D">
            <w:pPr>
              <w:spacing w:line="340" w:lineRule="exact"/>
              <w:jc w:val="center"/>
              <w:rPr>
                <w:rFonts w:ascii="宋体" w:hAnsi="宋体"/>
                <w:sz w:val="24"/>
                <w:szCs w:val="24"/>
                <w:highlight w:val="none"/>
              </w:rPr>
            </w:pPr>
            <w:r>
              <w:rPr>
                <w:rFonts w:hint="eastAsia" w:ascii="宋体" w:hAnsi="宋体"/>
                <w:sz w:val="24"/>
                <w:szCs w:val="24"/>
                <w:highlight w:val="none"/>
              </w:rPr>
              <w:t>1</w:t>
            </w:r>
          </w:p>
        </w:tc>
        <w:tc>
          <w:tcPr>
            <w:tcW w:w="2300" w:type="dxa"/>
            <w:tcBorders>
              <w:top w:val="single" w:color="000000" w:sz="6" w:space="0"/>
              <w:left w:val="single" w:color="000000" w:sz="6" w:space="0"/>
              <w:bottom w:val="single" w:color="000000" w:sz="6" w:space="0"/>
              <w:right w:val="single" w:color="000000" w:sz="6" w:space="0"/>
            </w:tcBorders>
            <w:noWrap w:val="0"/>
            <w:vAlign w:val="center"/>
          </w:tcPr>
          <w:p w14:paraId="2AA82FD7">
            <w:pPr>
              <w:spacing w:line="340" w:lineRule="exact"/>
              <w:jc w:val="left"/>
              <w:rPr>
                <w:rFonts w:ascii="宋体" w:hAnsi="宋体"/>
                <w:sz w:val="24"/>
                <w:szCs w:val="24"/>
                <w:highlight w:val="none"/>
              </w:rPr>
            </w:pPr>
          </w:p>
        </w:tc>
        <w:tc>
          <w:tcPr>
            <w:tcW w:w="2008" w:type="dxa"/>
            <w:tcBorders>
              <w:top w:val="single" w:color="000000" w:sz="6" w:space="0"/>
              <w:left w:val="single" w:color="000000" w:sz="6" w:space="0"/>
              <w:bottom w:val="single" w:color="000000" w:sz="6" w:space="0"/>
              <w:right w:val="single" w:color="000000" w:sz="6" w:space="0"/>
            </w:tcBorders>
            <w:noWrap w:val="0"/>
            <w:vAlign w:val="center"/>
          </w:tcPr>
          <w:p w14:paraId="711844CA">
            <w:pPr>
              <w:spacing w:line="340" w:lineRule="exact"/>
              <w:jc w:val="left"/>
              <w:rPr>
                <w:rFonts w:ascii="宋体" w:hAnsi="宋体"/>
                <w:sz w:val="24"/>
                <w:szCs w:val="24"/>
                <w:highlight w:val="none"/>
              </w:rPr>
            </w:pPr>
          </w:p>
        </w:tc>
        <w:tc>
          <w:tcPr>
            <w:tcW w:w="2591" w:type="dxa"/>
            <w:tcBorders>
              <w:top w:val="single" w:color="000000" w:sz="6" w:space="0"/>
              <w:left w:val="single" w:color="000000" w:sz="6" w:space="0"/>
              <w:bottom w:val="single" w:color="000000" w:sz="6" w:space="0"/>
              <w:right w:val="single" w:color="000000" w:sz="6" w:space="0"/>
            </w:tcBorders>
            <w:noWrap w:val="0"/>
            <w:vAlign w:val="center"/>
          </w:tcPr>
          <w:p w14:paraId="0F83C40F">
            <w:pPr>
              <w:spacing w:line="340" w:lineRule="exact"/>
              <w:jc w:val="left"/>
              <w:rPr>
                <w:sz w:val="24"/>
                <w:szCs w:val="24"/>
                <w:highlight w:val="none"/>
              </w:rPr>
            </w:pPr>
          </w:p>
        </w:tc>
        <w:tc>
          <w:tcPr>
            <w:tcW w:w="1427" w:type="dxa"/>
            <w:tcBorders>
              <w:top w:val="single" w:color="000000" w:sz="6" w:space="0"/>
              <w:left w:val="single" w:color="000000" w:sz="6" w:space="0"/>
              <w:bottom w:val="single" w:color="000000" w:sz="6" w:space="0"/>
              <w:right w:val="single" w:color="000000" w:sz="12" w:space="0"/>
            </w:tcBorders>
            <w:noWrap w:val="0"/>
            <w:vAlign w:val="top"/>
          </w:tcPr>
          <w:p w14:paraId="68A5C32D">
            <w:pPr>
              <w:spacing w:line="340" w:lineRule="exact"/>
              <w:jc w:val="left"/>
              <w:rPr>
                <w:sz w:val="24"/>
                <w:szCs w:val="24"/>
                <w:highlight w:val="none"/>
              </w:rPr>
            </w:pPr>
          </w:p>
        </w:tc>
      </w:tr>
      <w:tr w14:paraId="196246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843" w:type="dxa"/>
            <w:tcBorders>
              <w:top w:val="single" w:color="000000" w:sz="6" w:space="0"/>
              <w:left w:val="single" w:color="000000" w:sz="12" w:space="0"/>
              <w:bottom w:val="single" w:color="000000" w:sz="6" w:space="0"/>
              <w:right w:val="single" w:color="000000" w:sz="6" w:space="0"/>
            </w:tcBorders>
            <w:noWrap w:val="0"/>
            <w:vAlign w:val="top"/>
          </w:tcPr>
          <w:p w14:paraId="29800555">
            <w:pPr>
              <w:spacing w:line="340" w:lineRule="exact"/>
              <w:jc w:val="center"/>
              <w:rPr>
                <w:rFonts w:ascii="宋体" w:hAnsi="宋体"/>
                <w:sz w:val="24"/>
                <w:szCs w:val="24"/>
                <w:highlight w:val="none"/>
              </w:rPr>
            </w:pPr>
            <w:r>
              <w:rPr>
                <w:rFonts w:hint="eastAsia" w:ascii="宋体" w:hAnsi="宋体"/>
                <w:sz w:val="24"/>
                <w:szCs w:val="24"/>
                <w:highlight w:val="none"/>
              </w:rPr>
              <w:t>2</w:t>
            </w:r>
          </w:p>
        </w:tc>
        <w:tc>
          <w:tcPr>
            <w:tcW w:w="2300" w:type="dxa"/>
            <w:tcBorders>
              <w:top w:val="single" w:color="000000" w:sz="6" w:space="0"/>
              <w:left w:val="single" w:color="000000" w:sz="6" w:space="0"/>
              <w:bottom w:val="single" w:color="000000" w:sz="6" w:space="0"/>
              <w:right w:val="single" w:color="000000" w:sz="6" w:space="0"/>
            </w:tcBorders>
            <w:noWrap w:val="0"/>
            <w:vAlign w:val="center"/>
          </w:tcPr>
          <w:p w14:paraId="6F728F0D">
            <w:pPr>
              <w:spacing w:line="340" w:lineRule="exact"/>
              <w:jc w:val="left"/>
              <w:rPr>
                <w:rFonts w:ascii="宋体" w:hAnsi="宋体"/>
                <w:sz w:val="24"/>
                <w:szCs w:val="24"/>
                <w:highlight w:val="none"/>
              </w:rPr>
            </w:pPr>
          </w:p>
        </w:tc>
        <w:tc>
          <w:tcPr>
            <w:tcW w:w="2008" w:type="dxa"/>
            <w:tcBorders>
              <w:top w:val="single" w:color="000000" w:sz="6" w:space="0"/>
              <w:left w:val="single" w:color="000000" w:sz="6" w:space="0"/>
              <w:bottom w:val="single" w:color="000000" w:sz="6" w:space="0"/>
              <w:right w:val="single" w:color="000000" w:sz="6" w:space="0"/>
            </w:tcBorders>
            <w:noWrap w:val="0"/>
            <w:vAlign w:val="center"/>
          </w:tcPr>
          <w:p w14:paraId="0D159EFD">
            <w:pPr>
              <w:spacing w:line="340" w:lineRule="exact"/>
              <w:jc w:val="left"/>
              <w:rPr>
                <w:rFonts w:ascii="宋体" w:hAnsi="宋体"/>
                <w:sz w:val="24"/>
                <w:szCs w:val="24"/>
                <w:highlight w:val="none"/>
              </w:rPr>
            </w:pPr>
          </w:p>
        </w:tc>
        <w:tc>
          <w:tcPr>
            <w:tcW w:w="2591" w:type="dxa"/>
            <w:tcBorders>
              <w:top w:val="single" w:color="000000" w:sz="6" w:space="0"/>
              <w:left w:val="single" w:color="000000" w:sz="6" w:space="0"/>
              <w:bottom w:val="single" w:color="000000" w:sz="6" w:space="0"/>
              <w:right w:val="single" w:color="000000" w:sz="6" w:space="0"/>
            </w:tcBorders>
            <w:noWrap w:val="0"/>
            <w:vAlign w:val="center"/>
          </w:tcPr>
          <w:p w14:paraId="12C81DA9">
            <w:pPr>
              <w:spacing w:line="340" w:lineRule="exact"/>
              <w:jc w:val="left"/>
              <w:rPr>
                <w:sz w:val="24"/>
                <w:szCs w:val="24"/>
                <w:highlight w:val="none"/>
              </w:rPr>
            </w:pPr>
          </w:p>
        </w:tc>
        <w:tc>
          <w:tcPr>
            <w:tcW w:w="1427" w:type="dxa"/>
            <w:tcBorders>
              <w:top w:val="single" w:color="000000" w:sz="6" w:space="0"/>
              <w:left w:val="single" w:color="000000" w:sz="6" w:space="0"/>
              <w:bottom w:val="single" w:color="000000" w:sz="6" w:space="0"/>
              <w:right w:val="single" w:color="000000" w:sz="12" w:space="0"/>
            </w:tcBorders>
            <w:noWrap w:val="0"/>
            <w:vAlign w:val="top"/>
          </w:tcPr>
          <w:p w14:paraId="32D5D50F">
            <w:pPr>
              <w:spacing w:line="340" w:lineRule="exact"/>
              <w:jc w:val="left"/>
              <w:rPr>
                <w:sz w:val="24"/>
                <w:szCs w:val="24"/>
                <w:highlight w:val="none"/>
              </w:rPr>
            </w:pPr>
          </w:p>
        </w:tc>
      </w:tr>
      <w:tr w14:paraId="506CC5A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843" w:type="dxa"/>
            <w:tcBorders>
              <w:top w:val="single" w:color="000000" w:sz="6" w:space="0"/>
              <w:left w:val="single" w:color="000000" w:sz="12" w:space="0"/>
              <w:bottom w:val="single" w:color="000000" w:sz="6" w:space="0"/>
              <w:right w:val="single" w:color="000000" w:sz="6" w:space="0"/>
            </w:tcBorders>
            <w:noWrap w:val="0"/>
            <w:vAlign w:val="top"/>
          </w:tcPr>
          <w:p w14:paraId="4E495A7C">
            <w:pPr>
              <w:spacing w:line="340" w:lineRule="exact"/>
              <w:jc w:val="center"/>
              <w:rPr>
                <w:rFonts w:ascii="宋体" w:hAnsi="宋体"/>
                <w:sz w:val="24"/>
                <w:szCs w:val="24"/>
                <w:highlight w:val="none"/>
              </w:rPr>
            </w:pPr>
            <w:r>
              <w:rPr>
                <w:rFonts w:hint="eastAsia" w:ascii="宋体" w:hAnsi="宋体"/>
                <w:sz w:val="24"/>
                <w:szCs w:val="24"/>
                <w:highlight w:val="none"/>
              </w:rPr>
              <w:t>3</w:t>
            </w:r>
          </w:p>
        </w:tc>
        <w:tc>
          <w:tcPr>
            <w:tcW w:w="2300" w:type="dxa"/>
            <w:tcBorders>
              <w:top w:val="single" w:color="000000" w:sz="6" w:space="0"/>
              <w:left w:val="single" w:color="000000" w:sz="6" w:space="0"/>
              <w:bottom w:val="single" w:color="000000" w:sz="6" w:space="0"/>
              <w:right w:val="single" w:color="000000" w:sz="6" w:space="0"/>
            </w:tcBorders>
            <w:noWrap w:val="0"/>
            <w:vAlign w:val="center"/>
          </w:tcPr>
          <w:p w14:paraId="2AF05BA0">
            <w:pPr>
              <w:spacing w:line="340" w:lineRule="exact"/>
              <w:jc w:val="left"/>
              <w:rPr>
                <w:rFonts w:ascii="宋体" w:hAnsi="宋体"/>
                <w:sz w:val="24"/>
                <w:szCs w:val="24"/>
                <w:highlight w:val="none"/>
              </w:rPr>
            </w:pPr>
          </w:p>
        </w:tc>
        <w:tc>
          <w:tcPr>
            <w:tcW w:w="2008" w:type="dxa"/>
            <w:tcBorders>
              <w:top w:val="single" w:color="000000" w:sz="6" w:space="0"/>
              <w:left w:val="single" w:color="000000" w:sz="6" w:space="0"/>
              <w:bottom w:val="single" w:color="000000" w:sz="6" w:space="0"/>
              <w:right w:val="single" w:color="000000" w:sz="6" w:space="0"/>
            </w:tcBorders>
            <w:noWrap w:val="0"/>
            <w:vAlign w:val="center"/>
          </w:tcPr>
          <w:p w14:paraId="2E5659B3">
            <w:pPr>
              <w:spacing w:line="340" w:lineRule="exact"/>
              <w:jc w:val="left"/>
              <w:rPr>
                <w:sz w:val="24"/>
                <w:szCs w:val="24"/>
                <w:highlight w:val="none"/>
              </w:rPr>
            </w:pPr>
          </w:p>
        </w:tc>
        <w:tc>
          <w:tcPr>
            <w:tcW w:w="2591" w:type="dxa"/>
            <w:tcBorders>
              <w:top w:val="single" w:color="000000" w:sz="6" w:space="0"/>
              <w:left w:val="single" w:color="000000" w:sz="6" w:space="0"/>
              <w:bottom w:val="single" w:color="000000" w:sz="6" w:space="0"/>
              <w:right w:val="single" w:color="000000" w:sz="6" w:space="0"/>
            </w:tcBorders>
            <w:noWrap w:val="0"/>
            <w:vAlign w:val="center"/>
          </w:tcPr>
          <w:p w14:paraId="60DD611C">
            <w:pPr>
              <w:spacing w:line="340" w:lineRule="exact"/>
              <w:jc w:val="left"/>
              <w:rPr>
                <w:sz w:val="24"/>
                <w:szCs w:val="24"/>
                <w:highlight w:val="none"/>
              </w:rPr>
            </w:pPr>
          </w:p>
        </w:tc>
        <w:tc>
          <w:tcPr>
            <w:tcW w:w="1427" w:type="dxa"/>
            <w:tcBorders>
              <w:top w:val="single" w:color="000000" w:sz="6" w:space="0"/>
              <w:left w:val="single" w:color="000000" w:sz="6" w:space="0"/>
              <w:bottom w:val="single" w:color="000000" w:sz="6" w:space="0"/>
              <w:right w:val="single" w:color="000000" w:sz="12" w:space="0"/>
            </w:tcBorders>
            <w:noWrap w:val="0"/>
            <w:vAlign w:val="top"/>
          </w:tcPr>
          <w:p w14:paraId="02DCCBEE">
            <w:pPr>
              <w:spacing w:line="340" w:lineRule="exact"/>
              <w:jc w:val="left"/>
              <w:rPr>
                <w:sz w:val="24"/>
                <w:szCs w:val="24"/>
                <w:highlight w:val="none"/>
              </w:rPr>
            </w:pPr>
          </w:p>
        </w:tc>
      </w:tr>
      <w:tr w14:paraId="4B6BDA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843" w:type="dxa"/>
            <w:tcBorders>
              <w:top w:val="single" w:color="000000" w:sz="6" w:space="0"/>
              <w:left w:val="single" w:color="000000" w:sz="12" w:space="0"/>
              <w:bottom w:val="single" w:color="000000" w:sz="6" w:space="0"/>
              <w:right w:val="single" w:color="000000" w:sz="6" w:space="0"/>
            </w:tcBorders>
            <w:noWrap w:val="0"/>
            <w:vAlign w:val="top"/>
          </w:tcPr>
          <w:p w14:paraId="7C508702">
            <w:pPr>
              <w:spacing w:line="340" w:lineRule="exact"/>
              <w:jc w:val="center"/>
              <w:rPr>
                <w:rFonts w:ascii="宋体" w:hAnsi="宋体"/>
                <w:sz w:val="24"/>
                <w:szCs w:val="24"/>
                <w:highlight w:val="none"/>
              </w:rPr>
            </w:pPr>
            <w:r>
              <w:rPr>
                <w:rFonts w:hint="eastAsia" w:ascii="宋体" w:hAnsi="宋体"/>
                <w:sz w:val="24"/>
                <w:szCs w:val="24"/>
                <w:highlight w:val="none"/>
              </w:rPr>
              <w:t>4</w:t>
            </w:r>
          </w:p>
        </w:tc>
        <w:tc>
          <w:tcPr>
            <w:tcW w:w="2300" w:type="dxa"/>
            <w:tcBorders>
              <w:top w:val="single" w:color="000000" w:sz="6" w:space="0"/>
              <w:left w:val="single" w:color="000000" w:sz="6" w:space="0"/>
              <w:bottom w:val="single" w:color="000000" w:sz="6" w:space="0"/>
              <w:right w:val="single" w:color="000000" w:sz="6" w:space="0"/>
            </w:tcBorders>
            <w:noWrap w:val="0"/>
            <w:vAlign w:val="center"/>
          </w:tcPr>
          <w:p w14:paraId="0B74454F">
            <w:pPr>
              <w:spacing w:line="340" w:lineRule="exact"/>
              <w:jc w:val="left"/>
              <w:rPr>
                <w:rFonts w:ascii="宋体" w:hAnsi="宋体"/>
                <w:sz w:val="24"/>
                <w:szCs w:val="24"/>
                <w:highlight w:val="none"/>
              </w:rPr>
            </w:pPr>
          </w:p>
        </w:tc>
        <w:tc>
          <w:tcPr>
            <w:tcW w:w="2008" w:type="dxa"/>
            <w:tcBorders>
              <w:top w:val="single" w:color="000000" w:sz="6" w:space="0"/>
              <w:left w:val="single" w:color="000000" w:sz="6" w:space="0"/>
              <w:bottom w:val="single" w:color="000000" w:sz="6" w:space="0"/>
              <w:right w:val="single" w:color="000000" w:sz="6" w:space="0"/>
            </w:tcBorders>
            <w:noWrap w:val="0"/>
            <w:vAlign w:val="center"/>
          </w:tcPr>
          <w:p w14:paraId="57B6CF05">
            <w:pPr>
              <w:spacing w:line="340" w:lineRule="exact"/>
              <w:jc w:val="left"/>
              <w:rPr>
                <w:rFonts w:ascii="宋体" w:hAnsi="宋体"/>
                <w:sz w:val="24"/>
                <w:szCs w:val="24"/>
                <w:highlight w:val="none"/>
              </w:rPr>
            </w:pPr>
          </w:p>
        </w:tc>
        <w:tc>
          <w:tcPr>
            <w:tcW w:w="2591" w:type="dxa"/>
            <w:tcBorders>
              <w:top w:val="single" w:color="000000" w:sz="6" w:space="0"/>
              <w:left w:val="single" w:color="000000" w:sz="6" w:space="0"/>
              <w:bottom w:val="single" w:color="000000" w:sz="6" w:space="0"/>
              <w:right w:val="single" w:color="000000" w:sz="6" w:space="0"/>
            </w:tcBorders>
            <w:noWrap w:val="0"/>
            <w:vAlign w:val="center"/>
          </w:tcPr>
          <w:p w14:paraId="591301D1">
            <w:pPr>
              <w:spacing w:line="340" w:lineRule="exact"/>
              <w:jc w:val="left"/>
              <w:rPr>
                <w:sz w:val="24"/>
                <w:szCs w:val="24"/>
                <w:highlight w:val="none"/>
              </w:rPr>
            </w:pPr>
          </w:p>
        </w:tc>
        <w:tc>
          <w:tcPr>
            <w:tcW w:w="1427" w:type="dxa"/>
            <w:tcBorders>
              <w:top w:val="single" w:color="000000" w:sz="6" w:space="0"/>
              <w:left w:val="single" w:color="000000" w:sz="6" w:space="0"/>
              <w:bottom w:val="single" w:color="000000" w:sz="6" w:space="0"/>
              <w:right w:val="single" w:color="000000" w:sz="12" w:space="0"/>
            </w:tcBorders>
            <w:noWrap w:val="0"/>
            <w:vAlign w:val="top"/>
          </w:tcPr>
          <w:p w14:paraId="05490F4C">
            <w:pPr>
              <w:spacing w:line="340" w:lineRule="exact"/>
              <w:jc w:val="left"/>
              <w:rPr>
                <w:sz w:val="24"/>
                <w:szCs w:val="24"/>
                <w:highlight w:val="none"/>
              </w:rPr>
            </w:pPr>
          </w:p>
        </w:tc>
      </w:tr>
    </w:tbl>
    <w:p w14:paraId="4C4F0268">
      <w:pPr>
        <w:spacing w:line="560" w:lineRule="exact"/>
        <w:contextualSpacing/>
        <w:rPr>
          <w:rFonts w:hint="eastAsia" w:ascii="宋体" w:hAnsi="宋体"/>
          <w:b/>
          <w:sz w:val="24"/>
          <w:szCs w:val="24"/>
          <w:highlight w:val="none"/>
        </w:rPr>
      </w:pPr>
      <w:r>
        <w:rPr>
          <w:rFonts w:hint="eastAsia" w:ascii="宋体" w:hAnsi="宋体"/>
          <w:b/>
          <w:sz w:val="24"/>
          <w:szCs w:val="24"/>
          <w:highlight w:val="none"/>
        </w:rPr>
        <w:t>注：</w:t>
      </w:r>
    </w:p>
    <w:p w14:paraId="0790C6AE">
      <w:pPr>
        <w:spacing w:line="560" w:lineRule="exact"/>
        <w:ind w:firstLine="480"/>
        <w:contextualSpacing/>
        <w:rPr>
          <w:rFonts w:hint="eastAsia" w:ascii="宋体" w:hAnsi="宋体"/>
          <w:sz w:val="24"/>
          <w:szCs w:val="24"/>
          <w:highlight w:val="none"/>
        </w:rPr>
      </w:pPr>
      <w:r>
        <w:rPr>
          <w:rFonts w:hint="eastAsia" w:ascii="宋体" w:hAnsi="宋体"/>
          <w:sz w:val="24"/>
          <w:szCs w:val="24"/>
          <w:highlight w:val="none"/>
        </w:rPr>
        <w:t>1.供应商提交的响应文件中与磋商文件第三部分“项目需求”中的商务部分的要求，应逐条填列在偏离表中。</w:t>
      </w:r>
    </w:p>
    <w:p w14:paraId="3ABC5074">
      <w:pPr>
        <w:spacing w:line="560" w:lineRule="exact"/>
        <w:ind w:firstLine="480"/>
        <w:contextualSpacing/>
        <w:rPr>
          <w:rFonts w:hint="eastAsia" w:ascii="宋体" w:hAnsi="宋体"/>
          <w:sz w:val="24"/>
          <w:szCs w:val="24"/>
          <w:highlight w:val="none"/>
        </w:rPr>
      </w:pPr>
      <w:r>
        <w:rPr>
          <w:rFonts w:hint="eastAsia" w:ascii="宋体" w:hAnsi="宋体"/>
          <w:sz w:val="24"/>
          <w:szCs w:val="24"/>
          <w:highlight w:val="none"/>
        </w:rPr>
        <w:t>2.</w:t>
      </w:r>
      <w:r>
        <w:rPr>
          <w:rFonts w:hint="eastAsia"/>
          <w:szCs w:val="24"/>
          <w:highlight w:val="none"/>
        </w:rPr>
        <w:t xml:space="preserve"> </w:t>
      </w:r>
      <w:r>
        <w:rPr>
          <w:rFonts w:hint="eastAsia" w:ascii="宋体" w:hAnsi="宋体"/>
          <w:sz w:val="24"/>
          <w:szCs w:val="24"/>
          <w:highlight w:val="none"/>
        </w:rPr>
        <w:t>“偏离说明”一栏选择“正偏离”、“无偏离”、“负偏离”进行填写。正偏离、无偏离的确认和负偏离的是否响应采购文件，由磋商小组认定。</w:t>
      </w:r>
    </w:p>
    <w:p w14:paraId="236EEEE3">
      <w:pPr>
        <w:spacing w:line="560" w:lineRule="exact"/>
        <w:ind w:firstLine="480"/>
        <w:contextualSpacing/>
        <w:rPr>
          <w:rFonts w:hint="eastAsia" w:ascii="宋体" w:hAnsi="宋体"/>
          <w:sz w:val="24"/>
          <w:szCs w:val="24"/>
          <w:highlight w:val="none"/>
        </w:rPr>
      </w:pPr>
      <w:r>
        <w:rPr>
          <w:rFonts w:hint="eastAsia" w:ascii="宋体" w:hAnsi="宋体"/>
          <w:sz w:val="24"/>
          <w:szCs w:val="24"/>
          <w:highlight w:val="none"/>
        </w:rPr>
        <w:t>3.供应商如果虚假响应，将被暂停参加采购人组织政府采购活动。</w:t>
      </w:r>
    </w:p>
    <w:p w14:paraId="79807CCC">
      <w:pPr>
        <w:spacing w:line="560" w:lineRule="exact"/>
        <w:ind w:firstLine="480"/>
        <w:contextualSpacing/>
        <w:rPr>
          <w:rFonts w:hint="eastAsia" w:ascii="宋体" w:hAnsi="宋体"/>
          <w:bCs/>
          <w:sz w:val="24"/>
          <w:szCs w:val="24"/>
          <w:highlight w:val="none"/>
        </w:rPr>
      </w:pPr>
      <w:r>
        <w:rPr>
          <w:rFonts w:hint="eastAsia" w:ascii="宋体" w:hAnsi="宋体"/>
          <w:bCs/>
          <w:sz w:val="24"/>
          <w:szCs w:val="24"/>
          <w:highlight w:val="none"/>
        </w:rPr>
        <w:t>4.供应商若提供其他增值服务，可以在表中自行据实填写。</w:t>
      </w:r>
    </w:p>
    <w:p w14:paraId="055E0AC4">
      <w:pPr>
        <w:spacing w:line="560" w:lineRule="exact"/>
        <w:ind w:firstLine="538"/>
        <w:contextualSpacing/>
        <w:rPr>
          <w:rFonts w:hint="eastAsia" w:ascii="宋体" w:hAnsi="宋体" w:cs="宋体"/>
          <w:b/>
          <w:sz w:val="28"/>
          <w:szCs w:val="28"/>
          <w:highlight w:val="none"/>
        </w:rPr>
      </w:pPr>
    </w:p>
    <w:p w14:paraId="70AB7B60">
      <w:pPr>
        <w:spacing w:line="460" w:lineRule="exact"/>
        <w:rPr>
          <w:rFonts w:ascii="宋体" w:hAnsi="宋体"/>
          <w:bCs/>
          <w:sz w:val="24"/>
          <w:szCs w:val="21"/>
          <w:highlight w:val="none"/>
        </w:rPr>
      </w:pPr>
    </w:p>
    <w:p w14:paraId="3050ADD0">
      <w:pPr>
        <w:spacing w:line="400" w:lineRule="exact"/>
        <w:contextualSpacing/>
        <w:rPr>
          <w:rFonts w:eastAsia="方正黑体_GBK"/>
          <w:sz w:val="32"/>
          <w:szCs w:val="32"/>
          <w:highlight w:val="none"/>
        </w:rPr>
      </w:pPr>
      <w:r>
        <w:rPr>
          <w:rFonts w:ascii="宋体" w:hAnsi="宋体"/>
          <w:bCs/>
          <w:sz w:val="24"/>
          <w:szCs w:val="21"/>
          <w:highlight w:val="none"/>
        </w:rPr>
        <w:br w:type="page" w:clear="all"/>
      </w:r>
      <w:r>
        <w:rPr>
          <w:rFonts w:eastAsia="方正黑体_GBK"/>
          <w:sz w:val="32"/>
          <w:szCs w:val="32"/>
          <w:highlight w:val="none"/>
        </w:rPr>
        <w:t>附件6</w:t>
      </w:r>
    </w:p>
    <w:p w14:paraId="3E297625">
      <w:pPr>
        <w:spacing w:line="300" w:lineRule="auto"/>
        <w:contextualSpacing/>
        <w:jc w:val="center"/>
        <w:rPr>
          <w:rFonts w:hint="eastAsia" w:ascii="宋体" w:hAnsi="宋体"/>
          <w:b/>
          <w:sz w:val="32"/>
          <w:szCs w:val="32"/>
          <w:highlight w:val="none"/>
        </w:rPr>
      </w:pPr>
      <w:r>
        <w:rPr>
          <w:rFonts w:hint="eastAsia" w:ascii="宋体" w:hAnsi="宋体"/>
          <w:b/>
          <w:sz w:val="32"/>
          <w:szCs w:val="32"/>
          <w:highlight w:val="none"/>
        </w:rPr>
        <w:t>技术部分正负偏离表</w:t>
      </w:r>
    </w:p>
    <w:p w14:paraId="7C555CB0">
      <w:pPr>
        <w:ind w:firstLine="560"/>
        <w:jc w:val="center"/>
        <w:rPr>
          <w:rFonts w:ascii="宋体" w:hAnsi="宋体"/>
          <w:sz w:val="28"/>
          <w:szCs w:val="28"/>
          <w:highlight w:val="none"/>
        </w:rPr>
      </w:pPr>
      <w:r>
        <w:rPr>
          <w:rFonts w:hint="eastAsia" w:ascii="宋体" w:hAnsi="宋体"/>
          <w:sz w:val="28"/>
          <w:szCs w:val="28"/>
          <w:highlight w:val="none"/>
        </w:rPr>
        <w:t>（由供应商据实填写，表格不够自行添加）</w:t>
      </w:r>
    </w:p>
    <w:tbl>
      <w:tblPr>
        <w:tblStyle w:val="29"/>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43"/>
        <w:gridCol w:w="2300"/>
        <w:gridCol w:w="2008"/>
        <w:gridCol w:w="2591"/>
        <w:gridCol w:w="1427"/>
      </w:tblGrid>
      <w:tr w14:paraId="311F62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843" w:type="dxa"/>
            <w:tcBorders>
              <w:top w:val="single" w:color="000000" w:sz="12" w:space="0"/>
              <w:left w:val="single" w:color="000000" w:sz="12" w:space="0"/>
              <w:bottom w:val="single" w:color="000000" w:sz="6" w:space="0"/>
              <w:right w:val="single" w:color="000000" w:sz="6" w:space="0"/>
            </w:tcBorders>
            <w:noWrap w:val="0"/>
            <w:vAlign w:val="center"/>
          </w:tcPr>
          <w:p w14:paraId="3A459B67">
            <w:pPr>
              <w:spacing w:line="340" w:lineRule="exact"/>
              <w:jc w:val="center"/>
              <w:rPr>
                <w:rFonts w:ascii="宋体" w:hAnsi="宋体"/>
                <w:sz w:val="24"/>
                <w:szCs w:val="24"/>
                <w:highlight w:val="none"/>
              </w:rPr>
            </w:pPr>
            <w:r>
              <w:rPr>
                <w:rFonts w:hint="eastAsia" w:ascii="宋体" w:hAnsi="宋体"/>
                <w:sz w:val="24"/>
                <w:szCs w:val="24"/>
                <w:highlight w:val="none"/>
              </w:rPr>
              <w:t>序号</w:t>
            </w:r>
          </w:p>
        </w:tc>
        <w:tc>
          <w:tcPr>
            <w:tcW w:w="2300" w:type="dxa"/>
            <w:tcBorders>
              <w:top w:val="single" w:color="000000" w:sz="12" w:space="0"/>
              <w:left w:val="single" w:color="000000" w:sz="6" w:space="0"/>
              <w:bottom w:val="single" w:color="000000" w:sz="6" w:space="0"/>
              <w:right w:val="single" w:color="000000" w:sz="6" w:space="0"/>
            </w:tcBorders>
            <w:noWrap w:val="0"/>
            <w:vAlign w:val="center"/>
          </w:tcPr>
          <w:p w14:paraId="3E4B9DC1">
            <w:pPr>
              <w:spacing w:line="340" w:lineRule="exact"/>
              <w:jc w:val="center"/>
              <w:rPr>
                <w:rFonts w:ascii="宋体" w:hAnsi="宋体"/>
                <w:sz w:val="24"/>
                <w:szCs w:val="24"/>
                <w:highlight w:val="none"/>
              </w:rPr>
            </w:pPr>
            <w:r>
              <w:rPr>
                <w:rFonts w:hint="eastAsia" w:ascii="宋体" w:hAnsi="宋体"/>
                <w:sz w:val="24"/>
                <w:szCs w:val="24"/>
                <w:highlight w:val="none"/>
              </w:rPr>
              <w:t>货物或服务名称</w:t>
            </w:r>
          </w:p>
        </w:tc>
        <w:tc>
          <w:tcPr>
            <w:tcW w:w="2008" w:type="dxa"/>
            <w:tcBorders>
              <w:top w:val="single" w:color="000000" w:sz="12" w:space="0"/>
              <w:left w:val="single" w:color="000000" w:sz="6" w:space="0"/>
              <w:bottom w:val="single" w:color="000000" w:sz="6" w:space="0"/>
              <w:right w:val="single" w:color="000000" w:sz="6" w:space="0"/>
            </w:tcBorders>
            <w:noWrap w:val="0"/>
            <w:vAlign w:val="center"/>
          </w:tcPr>
          <w:p w14:paraId="3716CC07">
            <w:pPr>
              <w:spacing w:line="340" w:lineRule="exact"/>
              <w:jc w:val="center"/>
              <w:rPr>
                <w:rFonts w:ascii="宋体" w:hAnsi="宋体"/>
                <w:sz w:val="24"/>
                <w:szCs w:val="24"/>
                <w:highlight w:val="none"/>
              </w:rPr>
            </w:pPr>
            <w:r>
              <w:rPr>
                <w:rFonts w:hint="eastAsia" w:ascii="宋体" w:hAnsi="宋体"/>
                <w:sz w:val="24"/>
                <w:szCs w:val="24"/>
                <w:highlight w:val="none"/>
              </w:rPr>
              <w:t>磋商文件要求的技术要求</w:t>
            </w:r>
          </w:p>
        </w:tc>
        <w:tc>
          <w:tcPr>
            <w:tcW w:w="2591" w:type="dxa"/>
            <w:tcBorders>
              <w:top w:val="single" w:color="000000" w:sz="12" w:space="0"/>
              <w:left w:val="single" w:color="000000" w:sz="6" w:space="0"/>
              <w:bottom w:val="single" w:color="000000" w:sz="6" w:space="0"/>
              <w:right w:val="single" w:color="000000" w:sz="6" w:space="0"/>
            </w:tcBorders>
            <w:noWrap w:val="0"/>
            <w:vAlign w:val="center"/>
          </w:tcPr>
          <w:p w14:paraId="0CB78680">
            <w:pPr>
              <w:spacing w:line="340" w:lineRule="exact"/>
              <w:jc w:val="center"/>
              <w:rPr>
                <w:rFonts w:ascii="宋体" w:hAnsi="宋体"/>
                <w:sz w:val="24"/>
                <w:szCs w:val="24"/>
                <w:highlight w:val="none"/>
              </w:rPr>
            </w:pPr>
            <w:r>
              <w:rPr>
                <w:rFonts w:hint="eastAsia" w:ascii="宋体" w:hAnsi="宋体"/>
                <w:sz w:val="24"/>
                <w:szCs w:val="24"/>
                <w:highlight w:val="none"/>
              </w:rPr>
              <w:t>响应文件响应情况</w:t>
            </w:r>
          </w:p>
        </w:tc>
        <w:tc>
          <w:tcPr>
            <w:tcW w:w="1427" w:type="dxa"/>
            <w:tcBorders>
              <w:top w:val="single" w:color="000000" w:sz="12" w:space="0"/>
              <w:left w:val="single" w:color="000000" w:sz="6" w:space="0"/>
              <w:bottom w:val="single" w:color="000000" w:sz="6" w:space="0"/>
              <w:right w:val="single" w:color="000000" w:sz="12" w:space="0"/>
            </w:tcBorders>
            <w:noWrap w:val="0"/>
            <w:vAlign w:val="top"/>
          </w:tcPr>
          <w:p w14:paraId="5A60708D">
            <w:pPr>
              <w:spacing w:line="340" w:lineRule="exact"/>
              <w:jc w:val="center"/>
              <w:rPr>
                <w:rFonts w:ascii="宋体" w:hAnsi="宋体"/>
                <w:sz w:val="24"/>
                <w:szCs w:val="24"/>
                <w:highlight w:val="none"/>
              </w:rPr>
            </w:pPr>
          </w:p>
          <w:p w14:paraId="03EE299D">
            <w:pPr>
              <w:spacing w:line="340" w:lineRule="exact"/>
              <w:jc w:val="center"/>
              <w:rPr>
                <w:rFonts w:ascii="宋体" w:hAnsi="宋体"/>
                <w:sz w:val="24"/>
                <w:szCs w:val="24"/>
                <w:highlight w:val="none"/>
              </w:rPr>
            </w:pPr>
            <w:r>
              <w:rPr>
                <w:rFonts w:hint="eastAsia" w:ascii="宋体" w:hAnsi="宋体"/>
                <w:sz w:val="24"/>
                <w:szCs w:val="24"/>
                <w:highlight w:val="none"/>
              </w:rPr>
              <w:t>偏离说明</w:t>
            </w:r>
          </w:p>
        </w:tc>
      </w:tr>
      <w:tr w14:paraId="440BA2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843" w:type="dxa"/>
            <w:tcBorders>
              <w:top w:val="single" w:color="000000" w:sz="6" w:space="0"/>
              <w:left w:val="single" w:color="000000" w:sz="12" w:space="0"/>
              <w:bottom w:val="single" w:color="000000" w:sz="6" w:space="0"/>
              <w:right w:val="single" w:color="000000" w:sz="6" w:space="0"/>
            </w:tcBorders>
            <w:noWrap w:val="0"/>
            <w:vAlign w:val="top"/>
          </w:tcPr>
          <w:p w14:paraId="07E70F78">
            <w:pPr>
              <w:spacing w:line="340" w:lineRule="exact"/>
              <w:jc w:val="center"/>
              <w:rPr>
                <w:rFonts w:ascii="宋体" w:hAnsi="宋体"/>
                <w:sz w:val="24"/>
                <w:szCs w:val="24"/>
                <w:highlight w:val="none"/>
              </w:rPr>
            </w:pPr>
            <w:r>
              <w:rPr>
                <w:rFonts w:hint="eastAsia" w:ascii="宋体" w:hAnsi="宋体"/>
                <w:sz w:val="24"/>
                <w:szCs w:val="24"/>
                <w:highlight w:val="none"/>
              </w:rPr>
              <w:t>1</w:t>
            </w:r>
          </w:p>
        </w:tc>
        <w:tc>
          <w:tcPr>
            <w:tcW w:w="2300" w:type="dxa"/>
            <w:tcBorders>
              <w:top w:val="single" w:color="000000" w:sz="6" w:space="0"/>
              <w:left w:val="single" w:color="000000" w:sz="6" w:space="0"/>
              <w:bottom w:val="single" w:color="000000" w:sz="6" w:space="0"/>
              <w:right w:val="single" w:color="000000" w:sz="6" w:space="0"/>
            </w:tcBorders>
            <w:noWrap w:val="0"/>
            <w:vAlign w:val="center"/>
          </w:tcPr>
          <w:p w14:paraId="210910EB">
            <w:pPr>
              <w:spacing w:line="340" w:lineRule="exact"/>
              <w:jc w:val="left"/>
              <w:rPr>
                <w:rFonts w:ascii="宋体" w:hAnsi="宋体"/>
                <w:sz w:val="24"/>
                <w:szCs w:val="24"/>
                <w:highlight w:val="none"/>
              </w:rPr>
            </w:pPr>
          </w:p>
        </w:tc>
        <w:tc>
          <w:tcPr>
            <w:tcW w:w="2008" w:type="dxa"/>
            <w:tcBorders>
              <w:top w:val="single" w:color="000000" w:sz="6" w:space="0"/>
              <w:left w:val="single" w:color="000000" w:sz="6" w:space="0"/>
              <w:bottom w:val="single" w:color="000000" w:sz="6" w:space="0"/>
              <w:right w:val="single" w:color="000000" w:sz="6" w:space="0"/>
            </w:tcBorders>
            <w:noWrap w:val="0"/>
            <w:vAlign w:val="center"/>
          </w:tcPr>
          <w:p w14:paraId="3CFA479B">
            <w:pPr>
              <w:spacing w:line="340" w:lineRule="exact"/>
              <w:jc w:val="left"/>
              <w:rPr>
                <w:rFonts w:ascii="宋体" w:hAnsi="宋体"/>
                <w:sz w:val="24"/>
                <w:szCs w:val="24"/>
                <w:highlight w:val="none"/>
              </w:rPr>
            </w:pPr>
          </w:p>
        </w:tc>
        <w:tc>
          <w:tcPr>
            <w:tcW w:w="2591" w:type="dxa"/>
            <w:tcBorders>
              <w:top w:val="single" w:color="000000" w:sz="6" w:space="0"/>
              <w:left w:val="single" w:color="000000" w:sz="6" w:space="0"/>
              <w:bottom w:val="single" w:color="000000" w:sz="6" w:space="0"/>
              <w:right w:val="single" w:color="000000" w:sz="6" w:space="0"/>
            </w:tcBorders>
            <w:noWrap w:val="0"/>
            <w:vAlign w:val="center"/>
          </w:tcPr>
          <w:p w14:paraId="514C30B5">
            <w:pPr>
              <w:spacing w:line="340" w:lineRule="exact"/>
              <w:jc w:val="left"/>
              <w:rPr>
                <w:sz w:val="24"/>
                <w:szCs w:val="24"/>
                <w:highlight w:val="none"/>
              </w:rPr>
            </w:pPr>
          </w:p>
        </w:tc>
        <w:tc>
          <w:tcPr>
            <w:tcW w:w="1427" w:type="dxa"/>
            <w:tcBorders>
              <w:top w:val="single" w:color="000000" w:sz="6" w:space="0"/>
              <w:left w:val="single" w:color="000000" w:sz="6" w:space="0"/>
              <w:bottom w:val="single" w:color="000000" w:sz="6" w:space="0"/>
              <w:right w:val="single" w:color="000000" w:sz="12" w:space="0"/>
            </w:tcBorders>
            <w:noWrap w:val="0"/>
            <w:vAlign w:val="top"/>
          </w:tcPr>
          <w:p w14:paraId="71907D26">
            <w:pPr>
              <w:spacing w:line="340" w:lineRule="exact"/>
              <w:jc w:val="left"/>
              <w:rPr>
                <w:sz w:val="24"/>
                <w:szCs w:val="24"/>
                <w:highlight w:val="none"/>
              </w:rPr>
            </w:pPr>
          </w:p>
        </w:tc>
      </w:tr>
      <w:tr w14:paraId="5F533B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843" w:type="dxa"/>
            <w:tcBorders>
              <w:top w:val="single" w:color="000000" w:sz="6" w:space="0"/>
              <w:left w:val="single" w:color="000000" w:sz="12" w:space="0"/>
              <w:bottom w:val="single" w:color="000000" w:sz="6" w:space="0"/>
              <w:right w:val="single" w:color="000000" w:sz="6" w:space="0"/>
            </w:tcBorders>
            <w:noWrap w:val="0"/>
            <w:vAlign w:val="top"/>
          </w:tcPr>
          <w:p w14:paraId="2C1845D3">
            <w:pPr>
              <w:spacing w:line="340" w:lineRule="exact"/>
              <w:jc w:val="center"/>
              <w:rPr>
                <w:rFonts w:ascii="宋体" w:hAnsi="宋体"/>
                <w:sz w:val="24"/>
                <w:szCs w:val="24"/>
                <w:highlight w:val="none"/>
              </w:rPr>
            </w:pPr>
            <w:r>
              <w:rPr>
                <w:rFonts w:hint="eastAsia" w:ascii="宋体" w:hAnsi="宋体"/>
                <w:sz w:val="24"/>
                <w:szCs w:val="24"/>
                <w:highlight w:val="none"/>
              </w:rPr>
              <w:t>2</w:t>
            </w:r>
          </w:p>
        </w:tc>
        <w:tc>
          <w:tcPr>
            <w:tcW w:w="2300" w:type="dxa"/>
            <w:tcBorders>
              <w:top w:val="single" w:color="000000" w:sz="6" w:space="0"/>
              <w:left w:val="single" w:color="000000" w:sz="6" w:space="0"/>
              <w:bottom w:val="single" w:color="000000" w:sz="6" w:space="0"/>
              <w:right w:val="single" w:color="000000" w:sz="6" w:space="0"/>
            </w:tcBorders>
            <w:noWrap w:val="0"/>
            <w:vAlign w:val="center"/>
          </w:tcPr>
          <w:p w14:paraId="07EBAFEC">
            <w:pPr>
              <w:spacing w:line="340" w:lineRule="exact"/>
              <w:jc w:val="left"/>
              <w:rPr>
                <w:rFonts w:ascii="宋体" w:hAnsi="宋体"/>
                <w:sz w:val="24"/>
                <w:szCs w:val="24"/>
                <w:highlight w:val="none"/>
              </w:rPr>
            </w:pPr>
          </w:p>
        </w:tc>
        <w:tc>
          <w:tcPr>
            <w:tcW w:w="2008" w:type="dxa"/>
            <w:tcBorders>
              <w:top w:val="single" w:color="000000" w:sz="6" w:space="0"/>
              <w:left w:val="single" w:color="000000" w:sz="6" w:space="0"/>
              <w:bottom w:val="single" w:color="000000" w:sz="6" w:space="0"/>
              <w:right w:val="single" w:color="000000" w:sz="6" w:space="0"/>
            </w:tcBorders>
            <w:noWrap w:val="0"/>
            <w:vAlign w:val="center"/>
          </w:tcPr>
          <w:p w14:paraId="1B2E2963">
            <w:pPr>
              <w:spacing w:line="340" w:lineRule="exact"/>
              <w:jc w:val="left"/>
              <w:rPr>
                <w:rFonts w:ascii="宋体" w:hAnsi="宋体"/>
                <w:sz w:val="24"/>
                <w:szCs w:val="24"/>
                <w:highlight w:val="none"/>
              </w:rPr>
            </w:pPr>
          </w:p>
        </w:tc>
        <w:tc>
          <w:tcPr>
            <w:tcW w:w="2591" w:type="dxa"/>
            <w:tcBorders>
              <w:top w:val="single" w:color="000000" w:sz="6" w:space="0"/>
              <w:left w:val="single" w:color="000000" w:sz="6" w:space="0"/>
              <w:bottom w:val="single" w:color="000000" w:sz="6" w:space="0"/>
              <w:right w:val="single" w:color="000000" w:sz="6" w:space="0"/>
            </w:tcBorders>
            <w:noWrap w:val="0"/>
            <w:vAlign w:val="center"/>
          </w:tcPr>
          <w:p w14:paraId="3B3E820B">
            <w:pPr>
              <w:spacing w:line="340" w:lineRule="exact"/>
              <w:jc w:val="left"/>
              <w:rPr>
                <w:sz w:val="24"/>
                <w:szCs w:val="24"/>
                <w:highlight w:val="none"/>
              </w:rPr>
            </w:pPr>
          </w:p>
        </w:tc>
        <w:tc>
          <w:tcPr>
            <w:tcW w:w="1427" w:type="dxa"/>
            <w:tcBorders>
              <w:top w:val="single" w:color="000000" w:sz="6" w:space="0"/>
              <w:left w:val="single" w:color="000000" w:sz="6" w:space="0"/>
              <w:bottom w:val="single" w:color="000000" w:sz="6" w:space="0"/>
              <w:right w:val="single" w:color="000000" w:sz="12" w:space="0"/>
            </w:tcBorders>
            <w:noWrap w:val="0"/>
            <w:vAlign w:val="top"/>
          </w:tcPr>
          <w:p w14:paraId="142C64B5">
            <w:pPr>
              <w:spacing w:line="340" w:lineRule="exact"/>
              <w:jc w:val="left"/>
              <w:rPr>
                <w:sz w:val="24"/>
                <w:szCs w:val="24"/>
                <w:highlight w:val="none"/>
              </w:rPr>
            </w:pPr>
          </w:p>
        </w:tc>
      </w:tr>
      <w:tr w14:paraId="023263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843" w:type="dxa"/>
            <w:tcBorders>
              <w:top w:val="single" w:color="000000" w:sz="6" w:space="0"/>
              <w:left w:val="single" w:color="000000" w:sz="12" w:space="0"/>
              <w:bottom w:val="single" w:color="000000" w:sz="6" w:space="0"/>
              <w:right w:val="single" w:color="000000" w:sz="6" w:space="0"/>
            </w:tcBorders>
            <w:noWrap w:val="0"/>
            <w:vAlign w:val="top"/>
          </w:tcPr>
          <w:p w14:paraId="50760538">
            <w:pPr>
              <w:spacing w:line="340" w:lineRule="exact"/>
              <w:jc w:val="center"/>
              <w:rPr>
                <w:rFonts w:ascii="宋体" w:hAnsi="宋体"/>
                <w:sz w:val="24"/>
                <w:szCs w:val="24"/>
                <w:highlight w:val="none"/>
              </w:rPr>
            </w:pPr>
            <w:r>
              <w:rPr>
                <w:rFonts w:hint="eastAsia" w:ascii="宋体" w:hAnsi="宋体"/>
                <w:sz w:val="24"/>
                <w:szCs w:val="24"/>
                <w:highlight w:val="none"/>
              </w:rPr>
              <w:t>3</w:t>
            </w:r>
          </w:p>
        </w:tc>
        <w:tc>
          <w:tcPr>
            <w:tcW w:w="2300" w:type="dxa"/>
            <w:tcBorders>
              <w:top w:val="single" w:color="000000" w:sz="6" w:space="0"/>
              <w:left w:val="single" w:color="000000" w:sz="6" w:space="0"/>
              <w:bottom w:val="single" w:color="000000" w:sz="6" w:space="0"/>
              <w:right w:val="single" w:color="000000" w:sz="6" w:space="0"/>
            </w:tcBorders>
            <w:noWrap w:val="0"/>
            <w:vAlign w:val="center"/>
          </w:tcPr>
          <w:p w14:paraId="4B3F9748">
            <w:pPr>
              <w:spacing w:line="340" w:lineRule="exact"/>
              <w:jc w:val="left"/>
              <w:rPr>
                <w:rFonts w:ascii="宋体" w:hAnsi="宋体"/>
                <w:sz w:val="24"/>
                <w:szCs w:val="24"/>
                <w:highlight w:val="none"/>
              </w:rPr>
            </w:pPr>
          </w:p>
        </w:tc>
        <w:tc>
          <w:tcPr>
            <w:tcW w:w="2008" w:type="dxa"/>
            <w:tcBorders>
              <w:top w:val="single" w:color="000000" w:sz="6" w:space="0"/>
              <w:left w:val="single" w:color="000000" w:sz="6" w:space="0"/>
              <w:bottom w:val="single" w:color="000000" w:sz="6" w:space="0"/>
              <w:right w:val="single" w:color="000000" w:sz="6" w:space="0"/>
            </w:tcBorders>
            <w:noWrap w:val="0"/>
            <w:vAlign w:val="center"/>
          </w:tcPr>
          <w:p w14:paraId="59917051">
            <w:pPr>
              <w:spacing w:line="340" w:lineRule="exact"/>
              <w:jc w:val="left"/>
              <w:rPr>
                <w:sz w:val="24"/>
                <w:szCs w:val="24"/>
                <w:highlight w:val="none"/>
              </w:rPr>
            </w:pPr>
          </w:p>
        </w:tc>
        <w:tc>
          <w:tcPr>
            <w:tcW w:w="2591" w:type="dxa"/>
            <w:tcBorders>
              <w:top w:val="single" w:color="000000" w:sz="6" w:space="0"/>
              <w:left w:val="single" w:color="000000" w:sz="6" w:space="0"/>
              <w:bottom w:val="single" w:color="000000" w:sz="6" w:space="0"/>
              <w:right w:val="single" w:color="000000" w:sz="6" w:space="0"/>
            </w:tcBorders>
            <w:noWrap w:val="0"/>
            <w:vAlign w:val="center"/>
          </w:tcPr>
          <w:p w14:paraId="13D0CBC5">
            <w:pPr>
              <w:spacing w:line="340" w:lineRule="exact"/>
              <w:jc w:val="left"/>
              <w:rPr>
                <w:sz w:val="24"/>
                <w:szCs w:val="24"/>
                <w:highlight w:val="none"/>
              </w:rPr>
            </w:pPr>
          </w:p>
        </w:tc>
        <w:tc>
          <w:tcPr>
            <w:tcW w:w="1427" w:type="dxa"/>
            <w:tcBorders>
              <w:top w:val="single" w:color="000000" w:sz="6" w:space="0"/>
              <w:left w:val="single" w:color="000000" w:sz="6" w:space="0"/>
              <w:bottom w:val="single" w:color="000000" w:sz="6" w:space="0"/>
              <w:right w:val="single" w:color="000000" w:sz="12" w:space="0"/>
            </w:tcBorders>
            <w:noWrap w:val="0"/>
            <w:vAlign w:val="top"/>
          </w:tcPr>
          <w:p w14:paraId="0648E1B9">
            <w:pPr>
              <w:spacing w:line="340" w:lineRule="exact"/>
              <w:jc w:val="left"/>
              <w:rPr>
                <w:sz w:val="24"/>
                <w:szCs w:val="24"/>
                <w:highlight w:val="none"/>
              </w:rPr>
            </w:pPr>
          </w:p>
        </w:tc>
      </w:tr>
      <w:tr w14:paraId="7C2A2B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843" w:type="dxa"/>
            <w:tcBorders>
              <w:top w:val="single" w:color="000000" w:sz="6" w:space="0"/>
              <w:left w:val="single" w:color="000000" w:sz="12" w:space="0"/>
              <w:bottom w:val="single" w:color="000000" w:sz="6" w:space="0"/>
              <w:right w:val="single" w:color="000000" w:sz="6" w:space="0"/>
            </w:tcBorders>
            <w:noWrap w:val="0"/>
            <w:vAlign w:val="top"/>
          </w:tcPr>
          <w:p w14:paraId="4BF3BCEF">
            <w:pPr>
              <w:spacing w:line="340" w:lineRule="exact"/>
              <w:jc w:val="center"/>
              <w:rPr>
                <w:rFonts w:ascii="宋体" w:hAnsi="宋体"/>
                <w:sz w:val="24"/>
                <w:szCs w:val="24"/>
                <w:highlight w:val="none"/>
              </w:rPr>
            </w:pPr>
            <w:r>
              <w:rPr>
                <w:rFonts w:hint="eastAsia" w:ascii="宋体" w:hAnsi="宋体"/>
                <w:sz w:val="24"/>
                <w:szCs w:val="24"/>
                <w:highlight w:val="none"/>
              </w:rPr>
              <w:t>4</w:t>
            </w:r>
          </w:p>
        </w:tc>
        <w:tc>
          <w:tcPr>
            <w:tcW w:w="2300" w:type="dxa"/>
            <w:tcBorders>
              <w:top w:val="single" w:color="000000" w:sz="6" w:space="0"/>
              <w:left w:val="single" w:color="000000" w:sz="6" w:space="0"/>
              <w:bottom w:val="single" w:color="000000" w:sz="6" w:space="0"/>
              <w:right w:val="single" w:color="000000" w:sz="6" w:space="0"/>
            </w:tcBorders>
            <w:noWrap w:val="0"/>
            <w:vAlign w:val="center"/>
          </w:tcPr>
          <w:p w14:paraId="0B52F883">
            <w:pPr>
              <w:spacing w:line="340" w:lineRule="exact"/>
              <w:jc w:val="left"/>
              <w:rPr>
                <w:rFonts w:ascii="宋体" w:hAnsi="宋体"/>
                <w:sz w:val="24"/>
                <w:szCs w:val="24"/>
                <w:highlight w:val="none"/>
              </w:rPr>
            </w:pPr>
          </w:p>
        </w:tc>
        <w:tc>
          <w:tcPr>
            <w:tcW w:w="2008" w:type="dxa"/>
            <w:tcBorders>
              <w:top w:val="single" w:color="000000" w:sz="6" w:space="0"/>
              <w:left w:val="single" w:color="000000" w:sz="6" w:space="0"/>
              <w:bottom w:val="single" w:color="000000" w:sz="6" w:space="0"/>
              <w:right w:val="single" w:color="000000" w:sz="6" w:space="0"/>
            </w:tcBorders>
            <w:noWrap w:val="0"/>
            <w:vAlign w:val="center"/>
          </w:tcPr>
          <w:p w14:paraId="45D75D6C">
            <w:pPr>
              <w:spacing w:line="340" w:lineRule="exact"/>
              <w:jc w:val="left"/>
              <w:rPr>
                <w:rFonts w:ascii="宋体" w:hAnsi="宋体"/>
                <w:sz w:val="24"/>
                <w:szCs w:val="24"/>
                <w:highlight w:val="none"/>
              </w:rPr>
            </w:pPr>
          </w:p>
        </w:tc>
        <w:tc>
          <w:tcPr>
            <w:tcW w:w="2591" w:type="dxa"/>
            <w:tcBorders>
              <w:top w:val="single" w:color="000000" w:sz="6" w:space="0"/>
              <w:left w:val="single" w:color="000000" w:sz="6" w:space="0"/>
              <w:bottom w:val="single" w:color="000000" w:sz="6" w:space="0"/>
              <w:right w:val="single" w:color="000000" w:sz="6" w:space="0"/>
            </w:tcBorders>
            <w:noWrap w:val="0"/>
            <w:vAlign w:val="center"/>
          </w:tcPr>
          <w:p w14:paraId="2211BD2A">
            <w:pPr>
              <w:spacing w:line="340" w:lineRule="exact"/>
              <w:jc w:val="left"/>
              <w:rPr>
                <w:sz w:val="24"/>
                <w:szCs w:val="24"/>
                <w:highlight w:val="none"/>
              </w:rPr>
            </w:pPr>
          </w:p>
        </w:tc>
        <w:tc>
          <w:tcPr>
            <w:tcW w:w="1427" w:type="dxa"/>
            <w:tcBorders>
              <w:top w:val="single" w:color="000000" w:sz="6" w:space="0"/>
              <w:left w:val="single" w:color="000000" w:sz="6" w:space="0"/>
              <w:bottom w:val="single" w:color="000000" w:sz="6" w:space="0"/>
              <w:right w:val="single" w:color="000000" w:sz="12" w:space="0"/>
            </w:tcBorders>
            <w:noWrap w:val="0"/>
            <w:vAlign w:val="top"/>
          </w:tcPr>
          <w:p w14:paraId="0D12200E">
            <w:pPr>
              <w:spacing w:line="340" w:lineRule="exact"/>
              <w:jc w:val="left"/>
              <w:rPr>
                <w:sz w:val="24"/>
                <w:szCs w:val="24"/>
                <w:highlight w:val="none"/>
              </w:rPr>
            </w:pPr>
          </w:p>
        </w:tc>
      </w:tr>
    </w:tbl>
    <w:p w14:paraId="3B5477BD">
      <w:pPr>
        <w:spacing w:line="560" w:lineRule="exact"/>
        <w:contextualSpacing/>
        <w:rPr>
          <w:rFonts w:hint="eastAsia" w:ascii="宋体" w:hAnsi="宋体"/>
          <w:b/>
          <w:sz w:val="24"/>
          <w:szCs w:val="24"/>
          <w:highlight w:val="none"/>
        </w:rPr>
      </w:pPr>
      <w:r>
        <w:rPr>
          <w:rFonts w:hint="eastAsia" w:ascii="宋体" w:hAnsi="宋体"/>
          <w:b/>
          <w:sz w:val="24"/>
          <w:szCs w:val="24"/>
          <w:highlight w:val="none"/>
        </w:rPr>
        <w:t>注：</w:t>
      </w:r>
    </w:p>
    <w:p w14:paraId="48A779D1">
      <w:pPr>
        <w:spacing w:line="560" w:lineRule="exact"/>
        <w:ind w:firstLine="480"/>
        <w:contextualSpacing/>
        <w:rPr>
          <w:rFonts w:hint="eastAsia" w:ascii="宋体" w:hAnsi="宋体"/>
          <w:sz w:val="24"/>
          <w:szCs w:val="24"/>
          <w:highlight w:val="none"/>
        </w:rPr>
      </w:pPr>
      <w:r>
        <w:rPr>
          <w:rFonts w:hint="eastAsia" w:ascii="宋体" w:hAnsi="宋体"/>
          <w:sz w:val="24"/>
          <w:szCs w:val="24"/>
          <w:highlight w:val="none"/>
        </w:rPr>
        <w:t>1.供应商提交的响应文件中与磋商文件第三部分“项目需求”中的技术部分的要求，应逐条填列在偏离表中。</w:t>
      </w:r>
    </w:p>
    <w:p w14:paraId="6F10348E">
      <w:pPr>
        <w:spacing w:line="560" w:lineRule="exact"/>
        <w:ind w:firstLine="480"/>
        <w:contextualSpacing/>
        <w:rPr>
          <w:rFonts w:hint="eastAsia" w:ascii="宋体" w:hAnsi="宋体"/>
          <w:sz w:val="24"/>
          <w:szCs w:val="24"/>
          <w:highlight w:val="none"/>
        </w:rPr>
      </w:pPr>
      <w:r>
        <w:rPr>
          <w:rFonts w:hint="eastAsia" w:ascii="宋体" w:hAnsi="宋体"/>
          <w:sz w:val="24"/>
          <w:szCs w:val="24"/>
          <w:highlight w:val="none"/>
        </w:rPr>
        <w:t>2.</w:t>
      </w:r>
      <w:r>
        <w:rPr>
          <w:rFonts w:hint="eastAsia"/>
          <w:szCs w:val="24"/>
          <w:highlight w:val="none"/>
        </w:rPr>
        <w:t xml:space="preserve"> </w:t>
      </w:r>
      <w:r>
        <w:rPr>
          <w:rFonts w:hint="eastAsia" w:ascii="宋体" w:hAnsi="宋体"/>
          <w:sz w:val="24"/>
          <w:szCs w:val="24"/>
          <w:highlight w:val="none"/>
        </w:rPr>
        <w:t>“偏离说明”一栏选择“正偏离”、“无偏离”、“负偏离”进行填写。正偏离、无偏离的确认和负偏离的是否响应采购文件，由磋商小组认定。</w:t>
      </w:r>
    </w:p>
    <w:p w14:paraId="5340E828">
      <w:pPr>
        <w:spacing w:line="560" w:lineRule="exact"/>
        <w:ind w:firstLine="480"/>
        <w:contextualSpacing/>
        <w:rPr>
          <w:rFonts w:hint="eastAsia" w:ascii="宋体" w:hAnsi="宋体"/>
          <w:sz w:val="24"/>
          <w:szCs w:val="24"/>
          <w:highlight w:val="none"/>
        </w:rPr>
      </w:pPr>
      <w:r>
        <w:rPr>
          <w:rFonts w:hint="eastAsia" w:ascii="宋体" w:hAnsi="宋体"/>
          <w:sz w:val="24"/>
          <w:szCs w:val="24"/>
          <w:highlight w:val="none"/>
        </w:rPr>
        <w:t>3.供应商如果虚假响应，将被暂停参加采购人组织政府采购活动。</w:t>
      </w:r>
    </w:p>
    <w:p w14:paraId="33D4ED83">
      <w:pPr>
        <w:spacing w:line="560" w:lineRule="exact"/>
        <w:ind w:firstLine="480"/>
        <w:contextualSpacing/>
        <w:rPr>
          <w:rFonts w:hint="eastAsia" w:ascii="宋体" w:hAnsi="宋体"/>
          <w:bCs/>
          <w:sz w:val="24"/>
          <w:szCs w:val="24"/>
          <w:highlight w:val="none"/>
        </w:rPr>
      </w:pPr>
      <w:r>
        <w:rPr>
          <w:rFonts w:hint="eastAsia" w:ascii="宋体" w:hAnsi="宋体"/>
          <w:bCs/>
          <w:sz w:val="24"/>
          <w:szCs w:val="24"/>
          <w:highlight w:val="none"/>
        </w:rPr>
        <w:t>4.供应商若提供其他增值服务，可以在表中自行据实填写。</w:t>
      </w:r>
    </w:p>
    <w:p w14:paraId="33B39734">
      <w:pPr>
        <w:spacing w:line="460" w:lineRule="exact"/>
        <w:rPr>
          <w:rFonts w:ascii="宋体" w:hAnsi="宋体"/>
          <w:bCs/>
          <w:sz w:val="24"/>
          <w:szCs w:val="21"/>
          <w:highlight w:val="none"/>
        </w:rPr>
      </w:pPr>
    </w:p>
    <w:p w14:paraId="777EC6F4">
      <w:pPr>
        <w:spacing w:line="400" w:lineRule="exact"/>
        <w:contextualSpacing/>
        <w:rPr>
          <w:rFonts w:eastAsia="方正黑体_GBK"/>
          <w:sz w:val="32"/>
          <w:szCs w:val="32"/>
          <w:highlight w:val="none"/>
        </w:rPr>
      </w:pPr>
      <w:r>
        <w:rPr>
          <w:rFonts w:ascii="宋体" w:hAnsi="宋体"/>
          <w:bCs/>
          <w:sz w:val="24"/>
          <w:szCs w:val="21"/>
          <w:highlight w:val="none"/>
        </w:rPr>
        <w:br w:type="page" w:clear="all"/>
      </w:r>
      <w:r>
        <w:rPr>
          <w:rFonts w:eastAsia="方正黑体_GBK"/>
          <w:sz w:val="32"/>
          <w:szCs w:val="32"/>
          <w:highlight w:val="none"/>
        </w:rPr>
        <w:t>附件7</w:t>
      </w:r>
    </w:p>
    <w:p w14:paraId="0D06CFB8">
      <w:pPr>
        <w:widowControl/>
        <w:spacing w:before="100" w:beforeAutospacing="1" w:after="100" w:afterAutospacing="1" w:line="500" w:lineRule="atLeast"/>
        <w:jc w:val="center"/>
        <w:rPr>
          <w:rFonts w:ascii="宋体" w:hAnsi="宋体" w:cs="宋体"/>
          <w:sz w:val="32"/>
          <w:szCs w:val="32"/>
          <w:highlight w:val="none"/>
        </w:rPr>
      </w:pPr>
      <w:r>
        <w:rPr>
          <w:rFonts w:hint="eastAsia" w:ascii="宋体" w:hAnsi="宋体" w:cs="宋体"/>
          <w:b/>
          <w:bCs/>
          <w:sz w:val="32"/>
          <w:szCs w:val="32"/>
          <w:highlight w:val="none"/>
        </w:rPr>
        <w:t>报价总表</w:t>
      </w:r>
    </w:p>
    <w:p w14:paraId="052BB73B">
      <w:pPr>
        <w:rPr>
          <w:rFonts w:ascii="宋体" w:hAnsi="宋体" w:cs="宋体"/>
          <w:sz w:val="28"/>
          <w:szCs w:val="28"/>
          <w:highlight w:val="none"/>
          <w:u w:val="single"/>
        </w:rPr>
      </w:pPr>
      <w:r>
        <w:rPr>
          <w:rFonts w:ascii="宋体" w:hAnsi="宋体" w:cs="宋体"/>
          <w:sz w:val="28"/>
          <w:szCs w:val="28"/>
          <w:highlight w:val="none"/>
        </w:rPr>
        <w:t>供应商全称（加盖公章）：</w:t>
      </w:r>
    </w:p>
    <w:p w14:paraId="09059A99">
      <w:pPr>
        <w:rPr>
          <w:rFonts w:ascii="宋体" w:hAnsi="宋体" w:cs="宋体"/>
          <w:sz w:val="28"/>
          <w:szCs w:val="28"/>
          <w:highlight w:val="none"/>
          <w:u w:val="single"/>
        </w:rPr>
      </w:pPr>
      <w:r>
        <w:rPr>
          <w:rFonts w:ascii="宋体" w:hAnsi="宋体" w:cs="宋体"/>
          <w:sz w:val="28"/>
          <w:szCs w:val="28"/>
          <w:highlight w:val="none"/>
        </w:rPr>
        <w:t>项目名称：</w:t>
      </w:r>
    </w:p>
    <w:p w14:paraId="572ED67E">
      <w:pPr>
        <w:rPr>
          <w:rFonts w:ascii="宋体" w:hAnsi="宋体" w:cs="宋体"/>
          <w:sz w:val="28"/>
          <w:szCs w:val="28"/>
          <w:highlight w:val="none"/>
        </w:rPr>
      </w:pPr>
      <w:r>
        <w:rPr>
          <w:rFonts w:ascii="宋体" w:hAnsi="宋体" w:cs="宋体"/>
          <w:sz w:val="28"/>
          <w:szCs w:val="28"/>
          <w:highlight w:val="none"/>
        </w:rPr>
        <w:t>项目编号：</w:t>
      </w:r>
    </w:p>
    <w:p w14:paraId="342C5745">
      <w:pPr>
        <w:spacing w:line="560" w:lineRule="exact"/>
        <w:rPr>
          <w:rFonts w:ascii="宋体" w:hAnsi="宋体" w:cs="宋体"/>
          <w:sz w:val="28"/>
          <w:szCs w:val="28"/>
          <w:highlight w:val="none"/>
        </w:rPr>
      </w:pPr>
      <w:r>
        <w:rPr>
          <w:rFonts w:ascii="宋体" w:hAnsi="宋体" w:cs="宋体"/>
          <w:sz w:val="28"/>
          <w:szCs w:val="28"/>
          <w:highlight w:val="none"/>
        </w:rPr>
        <w:t>分包号：</w:t>
      </w:r>
    </w:p>
    <w:tbl>
      <w:tblPr>
        <w:tblStyle w:val="29"/>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48"/>
        <w:gridCol w:w="4607"/>
      </w:tblGrid>
      <w:tr w14:paraId="06146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148" w:type="dxa"/>
            <w:noWrap w:val="0"/>
            <w:vAlign w:val="top"/>
          </w:tcPr>
          <w:p w14:paraId="7902062E">
            <w:pPr>
              <w:spacing w:line="560" w:lineRule="exact"/>
              <w:jc w:val="center"/>
              <w:rPr>
                <w:rFonts w:ascii="等线" w:hAnsi="等线" w:eastAsia="等线"/>
                <w:highlight w:val="none"/>
              </w:rPr>
            </w:pPr>
            <w:r>
              <w:rPr>
                <w:rFonts w:hint="eastAsia" w:ascii="宋体" w:hAnsi="宋体" w:cs="宋体"/>
                <w:sz w:val="28"/>
                <w:szCs w:val="28"/>
                <w:highlight w:val="none"/>
              </w:rPr>
              <w:t>磋商</w:t>
            </w:r>
            <w:r>
              <w:rPr>
                <w:rFonts w:ascii="宋体" w:hAnsi="宋体" w:cs="宋体"/>
                <w:sz w:val="28"/>
                <w:szCs w:val="28"/>
                <w:highlight w:val="none"/>
              </w:rPr>
              <w:t>服务名称</w:t>
            </w:r>
          </w:p>
        </w:tc>
        <w:tc>
          <w:tcPr>
            <w:tcW w:w="4607" w:type="dxa"/>
            <w:noWrap w:val="0"/>
            <w:vAlign w:val="top"/>
          </w:tcPr>
          <w:p w14:paraId="63F0AC8C">
            <w:pPr>
              <w:spacing w:line="560" w:lineRule="exact"/>
              <w:jc w:val="center"/>
              <w:rPr>
                <w:rFonts w:hint="eastAsia" w:ascii="等线" w:hAnsi="等线" w:eastAsia="宋体"/>
                <w:highlight w:val="none"/>
                <w:lang w:val="en-US" w:eastAsia="zh-CN"/>
              </w:rPr>
            </w:pPr>
            <w:r>
              <w:rPr>
                <w:rFonts w:hint="eastAsia" w:ascii="宋体" w:hAnsi="宋体" w:cs="宋体"/>
                <w:sz w:val="28"/>
                <w:szCs w:val="28"/>
                <w:highlight w:val="none"/>
                <w:lang w:val="en-US" w:eastAsia="zh-CN"/>
              </w:rPr>
              <w:t>优惠率</w:t>
            </w:r>
          </w:p>
        </w:tc>
      </w:tr>
      <w:tr w14:paraId="58E38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1" w:hRule="atLeast"/>
        </w:trPr>
        <w:tc>
          <w:tcPr>
            <w:tcW w:w="4148" w:type="dxa"/>
            <w:noWrap w:val="0"/>
            <w:vAlign w:val="top"/>
          </w:tcPr>
          <w:p w14:paraId="570CB9D9">
            <w:pPr>
              <w:spacing w:line="560" w:lineRule="exact"/>
              <w:rPr>
                <w:rFonts w:ascii="等线" w:hAnsi="等线" w:eastAsia="等线"/>
                <w:highlight w:val="none"/>
              </w:rPr>
            </w:pPr>
          </w:p>
        </w:tc>
        <w:tc>
          <w:tcPr>
            <w:tcW w:w="4607" w:type="dxa"/>
            <w:noWrap w:val="0"/>
            <w:vAlign w:val="top"/>
          </w:tcPr>
          <w:p w14:paraId="79B18F55">
            <w:pPr>
              <w:spacing w:line="560" w:lineRule="exact"/>
              <w:rPr>
                <w:rFonts w:ascii="等线" w:hAnsi="等线" w:eastAsia="等线"/>
                <w:highlight w:val="none"/>
                <w:u w:val="single"/>
                <w:lang w:val="en-US" w:eastAsia="zh-CN"/>
              </w:rPr>
            </w:pPr>
            <w:r>
              <w:rPr>
                <w:rFonts w:hint="eastAsia" w:ascii="等线" w:hAnsi="等线" w:eastAsia="等线"/>
                <w:highlight w:val="none"/>
                <w:u w:val="single"/>
                <w:lang w:val="en-US" w:eastAsia="zh-CN"/>
              </w:rPr>
              <w:t xml:space="preserve">                  %</w:t>
            </w:r>
          </w:p>
        </w:tc>
      </w:tr>
    </w:tbl>
    <w:p w14:paraId="0B5A8485">
      <w:pPr>
        <w:spacing w:line="560" w:lineRule="exact"/>
        <w:rPr>
          <w:rFonts w:ascii="宋体" w:hAnsi="宋体" w:cs="宋体"/>
          <w:sz w:val="28"/>
          <w:szCs w:val="28"/>
          <w:highlight w:val="none"/>
        </w:rPr>
      </w:pPr>
    </w:p>
    <w:p w14:paraId="548E64DD">
      <w:pPr>
        <w:spacing w:line="560" w:lineRule="exact"/>
        <w:rPr>
          <w:rFonts w:ascii="宋体" w:hAnsi="宋体" w:cs="宋体"/>
          <w:sz w:val="28"/>
          <w:szCs w:val="28"/>
          <w:highlight w:val="none"/>
        </w:rPr>
      </w:pPr>
      <w:r>
        <w:rPr>
          <w:rFonts w:ascii="宋体" w:hAnsi="宋体" w:cs="宋体"/>
          <w:sz w:val="28"/>
          <w:szCs w:val="28"/>
          <w:highlight w:val="none"/>
        </w:rPr>
        <w:t>日期：</w:t>
      </w:r>
    </w:p>
    <w:p w14:paraId="0E03C311">
      <w:pPr>
        <w:spacing w:line="520" w:lineRule="exact"/>
        <w:rPr>
          <w:rFonts w:ascii="宋体" w:hAnsi="宋体" w:cs="宋体"/>
          <w:sz w:val="24"/>
          <w:szCs w:val="24"/>
          <w:highlight w:val="none"/>
        </w:rPr>
      </w:pPr>
      <w:r>
        <w:rPr>
          <w:rFonts w:ascii="宋体" w:hAnsi="宋体" w:cs="宋体"/>
          <w:sz w:val="24"/>
          <w:szCs w:val="24"/>
          <w:highlight w:val="none"/>
        </w:rPr>
        <w:t>填写说明：</w:t>
      </w:r>
    </w:p>
    <w:p w14:paraId="4EC1F465">
      <w:pPr>
        <w:spacing w:line="520" w:lineRule="exact"/>
        <w:rPr>
          <w:rFonts w:ascii="宋体" w:hAnsi="宋体" w:cs="宋体"/>
          <w:sz w:val="24"/>
          <w:szCs w:val="24"/>
          <w:highlight w:val="none"/>
        </w:rPr>
      </w:pPr>
      <w:r>
        <w:rPr>
          <w:rFonts w:hint="eastAsia" w:ascii="宋体" w:hAnsi="宋体" w:cs="宋体"/>
          <w:sz w:val="24"/>
          <w:szCs w:val="24"/>
          <w:highlight w:val="none"/>
        </w:rPr>
        <w:t>1</w:t>
      </w:r>
      <w:r>
        <w:rPr>
          <w:rFonts w:ascii="宋体" w:hAnsi="宋体" w:cs="宋体"/>
          <w:sz w:val="24"/>
          <w:szCs w:val="24"/>
          <w:highlight w:val="none"/>
        </w:rPr>
        <w:t>、</w:t>
      </w:r>
      <w:r>
        <w:rPr>
          <w:rFonts w:hint="eastAsia" w:ascii="宋体" w:hAnsi="宋体" w:cs="宋体"/>
          <w:sz w:val="24"/>
          <w:szCs w:val="24"/>
          <w:highlight w:val="none"/>
        </w:rPr>
        <w:t>报价总表</w:t>
      </w:r>
      <w:r>
        <w:rPr>
          <w:rFonts w:ascii="宋体" w:hAnsi="宋体" w:cs="宋体"/>
          <w:sz w:val="24"/>
          <w:szCs w:val="24"/>
          <w:highlight w:val="none"/>
        </w:rPr>
        <w:t>必须加盖</w:t>
      </w:r>
      <w:r>
        <w:rPr>
          <w:rFonts w:hint="eastAsia" w:ascii="宋体" w:hAnsi="宋体" w:cs="宋体"/>
          <w:sz w:val="24"/>
          <w:szCs w:val="24"/>
          <w:highlight w:val="none"/>
        </w:rPr>
        <w:t>供应商</w:t>
      </w:r>
      <w:r>
        <w:rPr>
          <w:rFonts w:ascii="宋体" w:hAnsi="宋体" w:cs="宋体"/>
          <w:sz w:val="24"/>
          <w:szCs w:val="24"/>
          <w:highlight w:val="none"/>
        </w:rPr>
        <w:t>公章（复印件无效）。</w:t>
      </w:r>
    </w:p>
    <w:p w14:paraId="3BCDB5F6">
      <w:pPr>
        <w:spacing w:line="520" w:lineRule="exact"/>
        <w:rPr>
          <w:rFonts w:hint="eastAsia" w:ascii="宋体" w:hAnsi="宋体" w:cs="宋体"/>
          <w:sz w:val="24"/>
          <w:szCs w:val="24"/>
          <w:highlight w:val="none"/>
          <w:lang w:val="en-US" w:eastAsia="zh-CN"/>
        </w:rPr>
      </w:pPr>
      <w:r>
        <w:rPr>
          <w:rFonts w:hint="eastAsia" w:ascii="宋体" w:hAnsi="宋体" w:cs="宋体"/>
          <w:sz w:val="24"/>
          <w:szCs w:val="24"/>
          <w:highlight w:val="none"/>
        </w:rPr>
        <w:t>2</w:t>
      </w:r>
      <w:r>
        <w:rPr>
          <w:rFonts w:ascii="宋体" w:hAnsi="宋体" w:cs="宋体"/>
          <w:sz w:val="24"/>
          <w:szCs w:val="24"/>
          <w:highlight w:val="none"/>
        </w:rPr>
        <w:t>、</w:t>
      </w:r>
      <w:r>
        <w:rPr>
          <w:rFonts w:hint="eastAsia" w:ascii="宋体" w:hAnsi="宋体" w:cs="宋体"/>
          <w:sz w:val="24"/>
          <w:szCs w:val="24"/>
          <w:highlight w:val="none"/>
          <w:lang w:val="en-US" w:eastAsia="zh-CN"/>
        </w:rPr>
        <w:t>报价优惠率需保留小数点后两位，报价未按要求保留小数点后两位的，均视为无效报价。</w:t>
      </w:r>
    </w:p>
    <w:p w14:paraId="33F17F0C">
      <w:pPr>
        <w:spacing w:line="520" w:lineRule="exact"/>
        <w:rPr>
          <w:rFonts w:ascii="宋体" w:hAnsi="宋体" w:cs="宋体"/>
          <w:sz w:val="24"/>
          <w:szCs w:val="24"/>
          <w:highlight w:val="none"/>
        </w:rPr>
      </w:pPr>
    </w:p>
    <w:p w14:paraId="58055B54">
      <w:pPr>
        <w:spacing w:line="520" w:lineRule="exact"/>
        <w:rPr>
          <w:rFonts w:hint="eastAsia" w:ascii="宋体" w:hAnsi="宋体" w:cs="宋体"/>
          <w:sz w:val="24"/>
          <w:szCs w:val="24"/>
          <w:highlight w:val="none"/>
        </w:rPr>
      </w:pPr>
    </w:p>
    <w:p w14:paraId="25AE9340">
      <w:pPr>
        <w:spacing w:line="400" w:lineRule="exact"/>
        <w:contextualSpacing/>
        <w:rPr>
          <w:rFonts w:hint="eastAsia" w:ascii="宋体" w:hAnsi="宋体"/>
          <w:bCs/>
          <w:sz w:val="24"/>
          <w:szCs w:val="21"/>
          <w:highlight w:val="none"/>
        </w:rPr>
      </w:pPr>
    </w:p>
    <w:p w14:paraId="61C73D0E">
      <w:pPr>
        <w:spacing w:line="400" w:lineRule="exact"/>
        <w:contextualSpacing/>
        <w:rPr>
          <w:rFonts w:hint="eastAsia" w:ascii="宋体" w:hAnsi="宋体"/>
          <w:bCs/>
          <w:sz w:val="24"/>
          <w:szCs w:val="21"/>
          <w:highlight w:val="none"/>
        </w:rPr>
      </w:pPr>
    </w:p>
    <w:p w14:paraId="004770B5">
      <w:pPr>
        <w:spacing w:line="400" w:lineRule="exact"/>
        <w:contextualSpacing/>
        <w:rPr>
          <w:rFonts w:hint="eastAsia" w:ascii="宋体" w:hAnsi="宋体"/>
          <w:bCs/>
          <w:sz w:val="24"/>
          <w:szCs w:val="21"/>
          <w:highlight w:val="none"/>
        </w:rPr>
      </w:pPr>
    </w:p>
    <w:p w14:paraId="5FFD6AEE">
      <w:pPr>
        <w:spacing w:line="400" w:lineRule="exact"/>
        <w:contextualSpacing/>
        <w:rPr>
          <w:rFonts w:hint="eastAsia" w:ascii="宋体" w:hAnsi="宋体"/>
          <w:bCs/>
          <w:sz w:val="24"/>
          <w:szCs w:val="21"/>
          <w:highlight w:val="none"/>
        </w:rPr>
      </w:pPr>
    </w:p>
    <w:p w14:paraId="53EA3F7D">
      <w:pPr>
        <w:spacing w:line="400" w:lineRule="exact"/>
        <w:contextualSpacing/>
        <w:rPr>
          <w:rFonts w:hint="eastAsia" w:ascii="宋体" w:hAnsi="宋体"/>
          <w:bCs/>
          <w:sz w:val="24"/>
          <w:szCs w:val="21"/>
          <w:highlight w:val="none"/>
        </w:rPr>
      </w:pPr>
    </w:p>
    <w:p w14:paraId="02D934D2">
      <w:pPr>
        <w:spacing w:line="400" w:lineRule="exact"/>
        <w:contextualSpacing/>
        <w:rPr>
          <w:rFonts w:hint="eastAsia" w:ascii="宋体" w:hAnsi="宋体"/>
          <w:bCs/>
          <w:sz w:val="24"/>
          <w:szCs w:val="21"/>
          <w:highlight w:val="none"/>
        </w:rPr>
      </w:pPr>
    </w:p>
    <w:p w14:paraId="690454B8">
      <w:pPr>
        <w:spacing w:line="400" w:lineRule="exact"/>
        <w:contextualSpacing/>
        <w:rPr>
          <w:rFonts w:hint="eastAsia" w:ascii="宋体" w:hAnsi="宋体"/>
          <w:bCs/>
          <w:sz w:val="24"/>
          <w:szCs w:val="21"/>
          <w:highlight w:val="none"/>
        </w:rPr>
      </w:pPr>
    </w:p>
    <w:p w14:paraId="6771DC26">
      <w:pPr>
        <w:spacing w:line="400" w:lineRule="exact"/>
        <w:contextualSpacing/>
        <w:rPr>
          <w:rFonts w:hint="eastAsia" w:ascii="宋体" w:hAnsi="宋体"/>
          <w:bCs/>
          <w:sz w:val="24"/>
          <w:szCs w:val="21"/>
          <w:highlight w:val="none"/>
        </w:rPr>
      </w:pPr>
    </w:p>
    <w:p w14:paraId="707231A6">
      <w:pPr>
        <w:spacing w:line="400" w:lineRule="exact"/>
        <w:contextualSpacing/>
        <w:rPr>
          <w:rFonts w:hint="eastAsia" w:ascii="宋体" w:hAnsi="宋体"/>
          <w:bCs/>
          <w:sz w:val="24"/>
          <w:szCs w:val="21"/>
          <w:highlight w:val="none"/>
        </w:rPr>
      </w:pPr>
    </w:p>
    <w:p w14:paraId="62CD1014">
      <w:pPr>
        <w:spacing w:line="400" w:lineRule="exact"/>
        <w:contextualSpacing/>
        <w:rPr>
          <w:rFonts w:hint="eastAsia" w:ascii="宋体" w:hAnsi="宋体"/>
          <w:bCs/>
          <w:sz w:val="24"/>
          <w:szCs w:val="21"/>
          <w:highlight w:val="none"/>
        </w:rPr>
      </w:pPr>
    </w:p>
    <w:p w14:paraId="374E3C01">
      <w:pPr>
        <w:spacing w:line="400" w:lineRule="exact"/>
        <w:contextualSpacing/>
        <w:rPr>
          <w:rFonts w:hint="eastAsia" w:ascii="宋体" w:hAnsi="宋体"/>
          <w:bCs/>
          <w:sz w:val="24"/>
          <w:szCs w:val="21"/>
          <w:highlight w:val="none"/>
        </w:rPr>
      </w:pPr>
    </w:p>
    <w:p w14:paraId="63B0DC25">
      <w:pPr>
        <w:spacing w:line="400" w:lineRule="exact"/>
        <w:contextualSpacing/>
        <w:rPr>
          <w:rFonts w:eastAsia="方正黑体_GBK"/>
          <w:sz w:val="32"/>
          <w:szCs w:val="32"/>
          <w:highlight w:val="none"/>
        </w:rPr>
      </w:pPr>
    </w:p>
    <w:p w14:paraId="7615278A">
      <w:pPr>
        <w:spacing w:line="400" w:lineRule="exact"/>
        <w:contextualSpacing/>
        <w:rPr>
          <w:rFonts w:hint="eastAsia" w:eastAsia="方正黑体_GBK"/>
          <w:b/>
          <w:bCs/>
          <w:sz w:val="28"/>
          <w:szCs w:val="28"/>
          <w:highlight w:val="none"/>
          <w:lang w:val="en-US" w:eastAsia="zh-CN" w:bidi="zh-CN"/>
        </w:rPr>
      </w:pPr>
      <w:r>
        <w:rPr>
          <w:rFonts w:eastAsia="方正黑体_GBK"/>
          <w:sz w:val="32"/>
          <w:szCs w:val="32"/>
          <w:highlight w:val="none"/>
        </w:rPr>
        <w:t>附件</w:t>
      </w:r>
      <w:r>
        <w:rPr>
          <w:rFonts w:hint="eastAsia" w:eastAsia="方正黑体_GBK"/>
          <w:sz w:val="32"/>
          <w:szCs w:val="32"/>
          <w:highlight w:val="none"/>
          <w:lang w:val="en-US" w:eastAsia="zh-CN"/>
        </w:rPr>
        <w:t>8</w:t>
      </w:r>
    </w:p>
    <w:p w14:paraId="3D2F25D3">
      <w:pPr>
        <w:spacing w:line="300" w:lineRule="auto"/>
        <w:jc w:val="center"/>
        <w:outlineLvl w:val="0"/>
        <w:rPr>
          <w:b/>
          <w:bCs/>
          <w:sz w:val="28"/>
          <w:szCs w:val="28"/>
          <w:highlight w:val="none"/>
          <w:lang w:bidi="zh-CN"/>
        </w:rPr>
      </w:pPr>
      <w:r>
        <w:rPr>
          <w:b/>
          <w:bCs/>
          <w:sz w:val="28"/>
          <w:szCs w:val="28"/>
          <w:highlight w:val="none"/>
          <w:lang w:bidi="zh-CN"/>
        </w:rPr>
        <w:t>中小企业声明函（工程、服务）</w:t>
      </w:r>
    </w:p>
    <w:p w14:paraId="77FF3F55">
      <w:pPr>
        <w:spacing w:line="360" w:lineRule="auto"/>
        <w:ind w:firstLine="560"/>
        <w:outlineLvl w:val="0"/>
        <w:rPr>
          <w:sz w:val="28"/>
          <w:szCs w:val="28"/>
          <w:highlight w:val="none"/>
          <w:lang w:bidi="zh-CN"/>
        </w:rPr>
      </w:pPr>
      <w:r>
        <w:rPr>
          <w:sz w:val="28"/>
          <w:szCs w:val="28"/>
          <w:highlight w:val="none"/>
          <w:lang w:bidi="zh-CN"/>
        </w:rPr>
        <w:t>本公司（联合体）郑重声明，根据《政府采购促进中小企业发展管理办法》（财库</w:t>
      </w:r>
      <w:r>
        <w:rPr>
          <w:rFonts w:hint="eastAsia"/>
          <w:sz w:val="28"/>
          <w:szCs w:val="28"/>
          <w:highlight w:val="none"/>
          <w:lang w:bidi="zh-CN"/>
        </w:rPr>
        <w:t>﹝</w:t>
      </w:r>
      <w:r>
        <w:rPr>
          <w:sz w:val="28"/>
          <w:szCs w:val="28"/>
          <w:highlight w:val="none"/>
          <w:lang w:bidi="zh-CN"/>
        </w:rPr>
        <w:t>2020</w:t>
      </w:r>
      <w:r>
        <w:rPr>
          <w:rFonts w:hint="eastAsia"/>
          <w:sz w:val="28"/>
          <w:szCs w:val="28"/>
          <w:highlight w:val="none"/>
          <w:lang w:bidi="zh-CN"/>
        </w:rPr>
        <w:t>﹞</w:t>
      </w:r>
      <w:r>
        <w:rPr>
          <w:sz w:val="28"/>
          <w:szCs w:val="28"/>
          <w:highlight w:val="none"/>
          <w:lang w:bidi="zh-CN"/>
        </w:rPr>
        <w:t>46 号）的规定，本公司（联合体）参加</w:t>
      </w:r>
      <w:r>
        <w:rPr>
          <w:sz w:val="28"/>
          <w:szCs w:val="28"/>
          <w:highlight w:val="none"/>
          <w:u w:val="single"/>
          <w:lang w:bidi="zh-CN"/>
        </w:rPr>
        <w:t>（单位名称）</w:t>
      </w:r>
      <w:r>
        <w:rPr>
          <w:sz w:val="28"/>
          <w:szCs w:val="28"/>
          <w:highlight w:val="none"/>
          <w:lang w:bidi="zh-CN"/>
        </w:rPr>
        <w:t>的</w:t>
      </w:r>
      <w:r>
        <w:rPr>
          <w:sz w:val="28"/>
          <w:szCs w:val="28"/>
          <w:highlight w:val="none"/>
          <w:u w:val="single"/>
          <w:lang w:bidi="zh-CN"/>
        </w:rPr>
        <w:t>（项目名称）</w:t>
      </w:r>
      <w:r>
        <w:rPr>
          <w:sz w:val="28"/>
          <w:szCs w:val="28"/>
          <w:highlight w:val="none"/>
          <w:lang w:bidi="zh-CN"/>
        </w:rPr>
        <w:t>采购活动，工程的施工单位全部为符合政策要求的中小企业（或者：服务全部由符合政策要求的中小企业承接）。相关企业（含联合体中的中小企业、签订分包意向协议的中小企业）的具体情况如下：</w:t>
      </w:r>
    </w:p>
    <w:p w14:paraId="518F3C6F">
      <w:pPr>
        <w:spacing w:line="360" w:lineRule="auto"/>
        <w:jc w:val="left"/>
        <w:outlineLvl w:val="0"/>
        <w:rPr>
          <w:sz w:val="28"/>
          <w:szCs w:val="28"/>
          <w:highlight w:val="none"/>
          <w:lang w:bidi="zh-CN"/>
        </w:rPr>
      </w:pPr>
      <w:r>
        <w:rPr>
          <w:rFonts w:hint="eastAsia"/>
          <w:sz w:val="28"/>
          <w:szCs w:val="28"/>
          <w:highlight w:val="none"/>
          <w:lang w:bidi="zh-CN"/>
        </w:rPr>
        <w:t>1.</w:t>
      </w:r>
      <w:r>
        <w:rPr>
          <w:sz w:val="28"/>
          <w:szCs w:val="28"/>
          <w:highlight w:val="none"/>
          <w:u w:val="single"/>
          <w:lang w:bidi="zh-CN"/>
        </w:rPr>
        <w:t>（标的名称）</w:t>
      </w:r>
      <w:r>
        <w:rPr>
          <w:sz w:val="28"/>
          <w:szCs w:val="28"/>
          <w:highlight w:val="none"/>
          <w:lang w:bidi="zh-CN"/>
        </w:rPr>
        <w:t>，属于（</w:t>
      </w:r>
      <w:r>
        <w:rPr>
          <w:sz w:val="28"/>
          <w:szCs w:val="28"/>
          <w:highlight w:val="none"/>
          <w:u w:val="single"/>
          <w:lang w:bidi="zh-CN"/>
        </w:rPr>
        <w:t>采购文件中明确的所属行业）</w:t>
      </w:r>
      <w:r>
        <w:rPr>
          <w:sz w:val="28"/>
          <w:szCs w:val="28"/>
          <w:highlight w:val="none"/>
          <w:lang w:bidi="zh-CN"/>
        </w:rPr>
        <w:t>；承建（承接）企业为</w:t>
      </w:r>
      <w:r>
        <w:rPr>
          <w:sz w:val="28"/>
          <w:szCs w:val="28"/>
          <w:highlight w:val="none"/>
          <w:u w:val="single"/>
          <w:lang w:bidi="zh-CN"/>
        </w:rPr>
        <w:t>（企业名称）</w:t>
      </w:r>
      <w:r>
        <w:rPr>
          <w:sz w:val="28"/>
          <w:szCs w:val="28"/>
          <w:highlight w:val="none"/>
          <w:lang w:bidi="zh-CN"/>
        </w:rPr>
        <w:t>，从业人员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万元，属于</w:t>
      </w:r>
      <w:r>
        <w:rPr>
          <w:sz w:val="28"/>
          <w:szCs w:val="28"/>
          <w:highlight w:val="none"/>
          <w:u w:val="single"/>
          <w:lang w:bidi="zh-CN"/>
        </w:rPr>
        <w:t>（中型企业、小型企业、微型企业）</w:t>
      </w:r>
      <w:r>
        <w:rPr>
          <w:sz w:val="28"/>
          <w:szCs w:val="28"/>
          <w:highlight w:val="none"/>
          <w:lang w:bidi="zh-CN"/>
        </w:rPr>
        <w:t>；</w:t>
      </w:r>
    </w:p>
    <w:p w14:paraId="327773D2">
      <w:pPr>
        <w:spacing w:line="360" w:lineRule="auto"/>
        <w:jc w:val="left"/>
        <w:outlineLvl w:val="0"/>
        <w:rPr>
          <w:sz w:val="28"/>
          <w:szCs w:val="28"/>
          <w:highlight w:val="none"/>
          <w:lang w:bidi="zh-CN"/>
        </w:rPr>
      </w:pPr>
      <w:r>
        <w:rPr>
          <w:rFonts w:hint="eastAsia"/>
          <w:sz w:val="28"/>
          <w:szCs w:val="28"/>
          <w:highlight w:val="none"/>
          <w:lang w:bidi="zh-CN"/>
        </w:rPr>
        <w:t>2.</w:t>
      </w:r>
      <w:r>
        <w:rPr>
          <w:sz w:val="28"/>
          <w:szCs w:val="28"/>
          <w:highlight w:val="none"/>
          <w:u w:val="single"/>
          <w:lang w:bidi="zh-CN"/>
        </w:rPr>
        <w:t>（标的名称）</w:t>
      </w:r>
      <w:r>
        <w:rPr>
          <w:sz w:val="28"/>
          <w:szCs w:val="28"/>
          <w:highlight w:val="none"/>
          <w:lang w:bidi="zh-CN"/>
        </w:rPr>
        <w:t>，属于（</w:t>
      </w:r>
      <w:r>
        <w:rPr>
          <w:sz w:val="28"/>
          <w:szCs w:val="28"/>
          <w:highlight w:val="none"/>
          <w:u w:val="single"/>
          <w:lang w:bidi="zh-CN"/>
        </w:rPr>
        <w:t>采购文件中明确的所属行业）</w:t>
      </w:r>
      <w:r>
        <w:rPr>
          <w:sz w:val="28"/>
          <w:szCs w:val="28"/>
          <w:highlight w:val="none"/>
          <w:lang w:bidi="zh-CN"/>
        </w:rPr>
        <w:t>；承建（承接）企业为</w:t>
      </w:r>
      <w:r>
        <w:rPr>
          <w:sz w:val="28"/>
          <w:szCs w:val="28"/>
          <w:highlight w:val="none"/>
          <w:u w:val="single"/>
          <w:lang w:bidi="zh-CN"/>
        </w:rPr>
        <w:t>（企业名称）</w:t>
      </w:r>
      <w:r>
        <w:rPr>
          <w:sz w:val="28"/>
          <w:szCs w:val="28"/>
          <w:highlight w:val="none"/>
          <w:lang w:bidi="zh-CN"/>
        </w:rPr>
        <w:t>，从业人员</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人，营业收入为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万元，资产总额为</w:t>
      </w:r>
      <w:r>
        <w:rPr>
          <w:sz w:val="28"/>
          <w:szCs w:val="28"/>
          <w:highlight w:val="none"/>
          <w:u w:val="single"/>
          <w:lang w:bidi="zh-CN"/>
        </w:rPr>
        <w:t xml:space="preserve"> </w:t>
      </w:r>
      <w:r>
        <w:rPr>
          <w:sz w:val="28"/>
          <w:szCs w:val="28"/>
          <w:highlight w:val="none"/>
          <w:u w:val="single"/>
          <w:lang w:bidi="zh-CN"/>
        </w:rPr>
        <w:tab/>
      </w:r>
      <w:r>
        <w:rPr>
          <w:sz w:val="28"/>
          <w:szCs w:val="28"/>
          <w:highlight w:val="none"/>
          <w:lang w:bidi="zh-CN"/>
        </w:rPr>
        <w:t>万元，属于</w:t>
      </w:r>
      <w:r>
        <w:rPr>
          <w:sz w:val="28"/>
          <w:szCs w:val="28"/>
          <w:highlight w:val="none"/>
          <w:u w:val="single"/>
          <w:lang w:bidi="zh-CN"/>
        </w:rPr>
        <w:t>（中型企业、小型企业、微型企业）</w:t>
      </w:r>
      <w:r>
        <w:rPr>
          <w:sz w:val="28"/>
          <w:szCs w:val="28"/>
          <w:highlight w:val="none"/>
          <w:lang w:bidi="zh-CN"/>
        </w:rPr>
        <w:t>；</w:t>
      </w:r>
    </w:p>
    <w:p w14:paraId="68E430EC">
      <w:pPr>
        <w:spacing w:line="360" w:lineRule="auto"/>
        <w:jc w:val="left"/>
        <w:outlineLvl w:val="0"/>
        <w:rPr>
          <w:sz w:val="28"/>
          <w:szCs w:val="28"/>
          <w:highlight w:val="none"/>
          <w:lang w:bidi="zh-CN"/>
        </w:rPr>
      </w:pPr>
      <w:r>
        <w:rPr>
          <w:sz w:val="28"/>
          <w:szCs w:val="28"/>
          <w:highlight w:val="none"/>
          <w:lang w:bidi="zh-CN"/>
        </w:rPr>
        <w:t>……</w:t>
      </w:r>
    </w:p>
    <w:p w14:paraId="28B2BF3B">
      <w:pPr>
        <w:spacing w:line="360" w:lineRule="auto"/>
        <w:ind w:firstLine="560"/>
        <w:outlineLvl w:val="0"/>
        <w:rPr>
          <w:sz w:val="28"/>
          <w:szCs w:val="28"/>
          <w:highlight w:val="none"/>
          <w:lang w:bidi="zh-CN"/>
        </w:rPr>
      </w:pPr>
      <w:r>
        <w:rPr>
          <w:sz w:val="28"/>
          <w:szCs w:val="28"/>
          <w:highlight w:val="none"/>
          <w:lang w:bidi="zh-CN"/>
        </w:rPr>
        <w:t>以上企业，不属于大企业的分支机构，不存在控股股东为大企业的情形，也不存在与大企业的负责人为同一人的情形。</w:t>
      </w:r>
    </w:p>
    <w:p w14:paraId="1B62C6CB">
      <w:pPr>
        <w:spacing w:line="360" w:lineRule="auto"/>
        <w:ind w:firstLine="560"/>
        <w:outlineLvl w:val="0"/>
        <w:rPr>
          <w:rFonts w:hint="eastAsia"/>
          <w:sz w:val="28"/>
          <w:szCs w:val="28"/>
          <w:highlight w:val="none"/>
          <w:lang w:bidi="zh-CN"/>
        </w:rPr>
      </w:pPr>
      <w:r>
        <w:rPr>
          <w:sz w:val="28"/>
          <w:szCs w:val="28"/>
          <w:highlight w:val="none"/>
          <w:lang w:bidi="zh-CN"/>
        </w:rPr>
        <w:t>本企业对上述声明内容的真实性负责。如有虚假，将依法承担相应责任。</w:t>
      </w:r>
    </w:p>
    <w:p w14:paraId="7F8576CB">
      <w:pPr>
        <w:spacing w:line="360" w:lineRule="auto"/>
        <w:ind w:firstLine="560"/>
        <w:outlineLvl w:val="0"/>
        <w:rPr>
          <w:rFonts w:hint="eastAsia"/>
          <w:sz w:val="28"/>
          <w:szCs w:val="28"/>
          <w:highlight w:val="none"/>
          <w:lang w:bidi="zh-CN"/>
        </w:rPr>
      </w:pPr>
    </w:p>
    <w:p w14:paraId="7EB9968F">
      <w:pPr>
        <w:spacing w:line="360" w:lineRule="auto"/>
        <w:ind w:firstLine="560"/>
        <w:outlineLvl w:val="0"/>
        <w:rPr>
          <w:sz w:val="28"/>
          <w:szCs w:val="28"/>
          <w:highlight w:val="none"/>
          <w:lang w:bidi="zh-CN"/>
        </w:rPr>
      </w:pPr>
    </w:p>
    <w:p w14:paraId="7E1FCE48">
      <w:pPr>
        <w:spacing w:line="300" w:lineRule="auto"/>
        <w:outlineLvl w:val="0"/>
        <w:rPr>
          <w:rFonts w:hint="eastAsia" w:ascii="宋体" w:hAnsi="宋体" w:cs="宋体"/>
          <w:szCs w:val="21"/>
          <w:highlight w:val="none"/>
          <w:lang w:bidi="zh-CN"/>
        </w:rPr>
      </w:pPr>
      <w:r>
        <w:rPr>
          <w:rFonts w:hint="eastAsia" w:ascii="宋体" w:hAnsi="宋体" w:cs="宋体"/>
          <w:szCs w:val="21"/>
          <w:highlight w:val="none"/>
          <w:lang w:bidi="zh-CN"/>
        </w:rPr>
        <w:t>注：1.如项目属性为“服务”或“工程”，请按本表填写。</w:t>
      </w:r>
    </w:p>
    <w:p w14:paraId="66511FBC">
      <w:pPr>
        <w:spacing w:line="300" w:lineRule="auto"/>
        <w:ind w:firstLine="420"/>
        <w:outlineLvl w:val="0"/>
        <w:rPr>
          <w:rFonts w:hint="eastAsia" w:ascii="宋体" w:hAnsi="宋体" w:cs="宋体"/>
          <w:szCs w:val="21"/>
          <w:highlight w:val="none"/>
          <w:lang w:bidi="zh-CN"/>
        </w:rPr>
      </w:pPr>
      <w:r>
        <w:rPr>
          <w:rFonts w:hint="eastAsia" w:ascii="宋体" w:hAnsi="宋体" w:cs="宋体"/>
          <w:szCs w:val="21"/>
          <w:highlight w:val="none"/>
          <w:lang w:bidi="zh-CN"/>
        </w:rPr>
        <w:t>2.从业人员、营业收入、资产总额填报上一年度数据，无上一年度数据的新成立企业可不填报。</w:t>
      </w:r>
    </w:p>
    <w:p w14:paraId="43A8AA42">
      <w:pPr>
        <w:spacing w:line="300" w:lineRule="auto"/>
        <w:ind w:firstLine="420"/>
        <w:outlineLvl w:val="0"/>
        <w:rPr>
          <w:rFonts w:hint="eastAsia"/>
          <w:sz w:val="28"/>
          <w:szCs w:val="28"/>
          <w:highlight w:val="none"/>
          <w:lang w:bidi="zh-CN"/>
        </w:rPr>
      </w:pPr>
      <w:r>
        <w:rPr>
          <w:rFonts w:hint="eastAsia" w:ascii="宋体" w:hAnsi="宋体" w:cs="宋体"/>
          <w:szCs w:val="21"/>
          <w:highlight w:val="none"/>
          <w:lang w:bidi="zh-CN"/>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7FB3A182">
      <w:pPr>
        <w:spacing w:line="300" w:lineRule="auto"/>
        <w:ind w:firstLine="4900"/>
        <w:outlineLvl w:val="0"/>
        <w:rPr>
          <w:rFonts w:hint="eastAsia"/>
          <w:sz w:val="28"/>
          <w:szCs w:val="28"/>
          <w:highlight w:val="none"/>
          <w:lang w:bidi="zh-CN"/>
        </w:rPr>
      </w:pPr>
      <w:r>
        <w:rPr>
          <w:sz w:val="28"/>
          <w:szCs w:val="28"/>
          <w:highlight w:val="none"/>
          <w:lang w:bidi="zh-CN"/>
        </w:rPr>
        <w:t>企业名称（盖章）：</w:t>
      </w:r>
    </w:p>
    <w:p w14:paraId="4C7903C1">
      <w:pPr>
        <w:spacing w:line="300" w:lineRule="auto"/>
        <w:ind w:firstLine="4900"/>
        <w:outlineLvl w:val="0"/>
        <w:rPr>
          <w:rFonts w:hint="eastAsia" w:ascii="宋体" w:hAnsi="宋体"/>
          <w:bCs/>
          <w:sz w:val="24"/>
          <w:szCs w:val="21"/>
          <w:highlight w:val="none"/>
        </w:rPr>
      </w:pPr>
      <w:r>
        <w:rPr>
          <w:sz w:val="28"/>
          <w:szCs w:val="28"/>
          <w:highlight w:val="none"/>
          <w:lang w:bidi="zh-CN"/>
        </w:rPr>
        <w:t>日期：</w:t>
      </w:r>
    </w:p>
    <w:p w14:paraId="761C6810">
      <w:pPr>
        <w:spacing w:line="300" w:lineRule="auto"/>
        <w:outlineLvl w:val="0"/>
        <w:rPr>
          <w:rFonts w:hint="eastAsia" w:eastAsia="方正黑体_GBK"/>
          <w:sz w:val="32"/>
          <w:szCs w:val="32"/>
          <w:highlight w:val="none"/>
          <w:lang w:val="en-US" w:eastAsia="zh-CN"/>
        </w:rPr>
      </w:pPr>
      <w:r>
        <w:rPr>
          <w:rFonts w:eastAsia="方正黑体_GBK"/>
          <w:sz w:val="32"/>
          <w:szCs w:val="32"/>
          <w:highlight w:val="none"/>
        </w:rPr>
        <w:t>附件</w:t>
      </w:r>
      <w:r>
        <w:rPr>
          <w:rFonts w:hint="eastAsia" w:eastAsia="方正黑体_GBK"/>
          <w:sz w:val="32"/>
          <w:szCs w:val="32"/>
          <w:highlight w:val="none"/>
          <w:lang w:val="en-US" w:eastAsia="zh-CN"/>
        </w:rPr>
        <w:t>9</w:t>
      </w:r>
    </w:p>
    <w:p w14:paraId="4D16349A">
      <w:pPr>
        <w:spacing w:line="460" w:lineRule="exact"/>
        <w:jc w:val="center"/>
        <w:rPr>
          <w:rFonts w:hint="eastAsia" w:ascii="宋体" w:hAnsi="宋体"/>
          <w:b/>
          <w:sz w:val="32"/>
          <w:szCs w:val="32"/>
          <w:highlight w:val="none"/>
        </w:rPr>
      </w:pPr>
      <w:r>
        <w:rPr>
          <w:rFonts w:hint="eastAsia" w:ascii="宋体" w:hAnsi="宋体"/>
          <w:b/>
          <w:sz w:val="32"/>
          <w:szCs w:val="32"/>
          <w:highlight w:val="none"/>
        </w:rPr>
        <w:t>残疾人福利性单位声明函</w:t>
      </w:r>
    </w:p>
    <w:p w14:paraId="5D677DEE">
      <w:pPr>
        <w:spacing w:line="588" w:lineRule="exact"/>
        <w:ind w:firstLine="560"/>
        <w:rPr>
          <w:rFonts w:hint="eastAsia" w:ascii="宋体" w:hAnsi="宋体"/>
          <w:sz w:val="28"/>
          <w:szCs w:val="28"/>
          <w:highlight w:val="none"/>
        </w:rPr>
      </w:pPr>
      <w:r>
        <w:rPr>
          <w:rFonts w:hint="eastAsia" w:ascii="宋体" w:hAnsi="宋体"/>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highlight w:val="none"/>
          <w:u w:val="single"/>
        </w:rPr>
        <w:t xml:space="preserve">       </w:t>
      </w:r>
      <w:r>
        <w:rPr>
          <w:rFonts w:hint="eastAsia" w:ascii="宋体" w:hAnsi="宋体"/>
          <w:sz w:val="28"/>
          <w:szCs w:val="28"/>
          <w:highlight w:val="none"/>
        </w:rPr>
        <w:t>项目采购活动提供本单位制造的货物（由本单位承担工程/提供服务），或者提供其他残疾人福利性单位制造的货物（不包括使用非残疾人福利性单位注册商标的货物）。</w:t>
      </w:r>
    </w:p>
    <w:p w14:paraId="20D9F8A7">
      <w:pPr>
        <w:spacing w:line="588" w:lineRule="exact"/>
        <w:ind w:firstLine="560"/>
        <w:rPr>
          <w:rFonts w:hint="eastAsia" w:ascii="宋体" w:hAnsi="宋体"/>
          <w:sz w:val="28"/>
          <w:szCs w:val="28"/>
          <w:highlight w:val="none"/>
        </w:rPr>
      </w:pPr>
      <w:r>
        <w:rPr>
          <w:rFonts w:hint="eastAsia" w:ascii="宋体" w:hAnsi="宋体"/>
          <w:sz w:val="28"/>
          <w:szCs w:val="28"/>
          <w:highlight w:val="none"/>
        </w:rPr>
        <w:t>本单位对上述声明的真实性负责。如有虚假，将依法承担相应责任。</w:t>
      </w:r>
    </w:p>
    <w:p w14:paraId="452E3F47">
      <w:pPr>
        <w:spacing w:line="588" w:lineRule="exact"/>
        <w:ind w:firstLine="560"/>
        <w:rPr>
          <w:rFonts w:hint="eastAsia" w:ascii="宋体" w:hAnsi="宋体"/>
          <w:sz w:val="28"/>
          <w:szCs w:val="28"/>
          <w:highlight w:val="none"/>
        </w:rPr>
      </w:pPr>
    </w:p>
    <w:p w14:paraId="05B2410C">
      <w:pPr>
        <w:spacing w:line="588" w:lineRule="exact"/>
        <w:ind w:firstLine="560"/>
        <w:rPr>
          <w:rFonts w:hint="eastAsia" w:ascii="宋体" w:hAnsi="宋体"/>
          <w:sz w:val="28"/>
          <w:szCs w:val="28"/>
          <w:highlight w:val="none"/>
        </w:rPr>
      </w:pPr>
    </w:p>
    <w:p w14:paraId="051262CB">
      <w:pPr>
        <w:spacing w:line="588" w:lineRule="exact"/>
        <w:ind w:firstLine="560"/>
        <w:rPr>
          <w:rFonts w:hint="eastAsia" w:ascii="宋体" w:hAnsi="宋体"/>
          <w:sz w:val="28"/>
          <w:szCs w:val="28"/>
          <w:highlight w:val="none"/>
        </w:rPr>
      </w:pPr>
    </w:p>
    <w:p w14:paraId="4FD8A913">
      <w:pPr>
        <w:spacing w:line="588" w:lineRule="exact"/>
        <w:ind w:firstLine="560"/>
        <w:rPr>
          <w:rFonts w:hint="eastAsia" w:ascii="宋体" w:hAnsi="宋体"/>
          <w:sz w:val="28"/>
          <w:szCs w:val="28"/>
          <w:highlight w:val="none"/>
        </w:rPr>
      </w:pPr>
    </w:p>
    <w:p w14:paraId="315CF264">
      <w:pPr>
        <w:spacing w:line="300" w:lineRule="auto"/>
        <w:outlineLvl w:val="0"/>
        <w:rPr>
          <w:rFonts w:hint="eastAsia" w:ascii="宋体" w:hAnsi="宋体" w:cs="宋体"/>
          <w:sz w:val="28"/>
          <w:szCs w:val="28"/>
          <w:highlight w:val="none"/>
          <w:lang w:bidi="zh-CN"/>
        </w:rPr>
      </w:pPr>
      <w:r>
        <w:rPr>
          <w:rFonts w:hint="eastAsia" w:ascii="宋体" w:hAnsi="宋体" w:cs="宋体"/>
          <w:sz w:val="28"/>
          <w:szCs w:val="28"/>
          <w:highlight w:val="none"/>
          <w:lang w:bidi="zh-CN"/>
        </w:rPr>
        <w:t>注：1、供应商如不提供此声明函，价格将不做相应扣除。</w:t>
      </w:r>
    </w:p>
    <w:p w14:paraId="16A71869">
      <w:pPr>
        <w:spacing w:line="588" w:lineRule="exact"/>
        <w:ind w:firstLine="560"/>
        <w:rPr>
          <w:rFonts w:hint="eastAsia" w:ascii="仿宋_GB2312" w:eastAsia="仿宋_GB2312"/>
          <w:spacing w:val="6"/>
          <w:sz w:val="28"/>
          <w:szCs w:val="28"/>
          <w:highlight w:val="none"/>
        </w:rPr>
      </w:pPr>
      <w:r>
        <w:rPr>
          <w:rFonts w:hint="eastAsia" w:ascii="宋体" w:hAnsi="宋体" w:cs="宋体"/>
          <w:sz w:val="28"/>
          <w:szCs w:val="28"/>
          <w:highlight w:val="none"/>
          <w:lang w:bidi="zh-CN"/>
        </w:rPr>
        <w:t>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4CD70330">
      <w:pPr>
        <w:spacing w:line="588" w:lineRule="exact"/>
        <w:ind w:firstLine="560"/>
        <w:rPr>
          <w:rFonts w:ascii="仿宋_GB2312" w:eastAsia="仿宋_GB2312"/>
          <w:spacing w:val="6"/>
          <w:sz w:val="28"/>
          <w:szCs w:val="28"/>
          <w:highlight w:val="none"/>
        </w:rPr>
      </w:pPr>
    </w:p>
    <w:p w14:paraId="2C5129B6">
      <w:pPr>
        <w:tabs>
          <w:tab w:val="left" w:pos="4860"/>
        </w:tabs>
        <w:spacing w:line="588" w:lineRule="exact"/>
        <w:ind w:right="1560" w:firstLine="560"/>
        <w:jc w:val="center"/>
        <w:rPr>
          <w:rFonts w:ascii="宋体" w:hAnsi="宋体"/>
          <w:sz w:val="28"/>
          <w:szCs w:val="28"/>
          <w:highlight w:val="none"/>
        </w:rPr>
      </w:pPr>
      <w:r>
        <w:rPr>
          <w:rFonts w:hint="eastAsia" w:ascii="仿宋_GB2312" w:eastAsia="仿宋_GB2312"/>
          <w:spacing w:val="6"/>
          <w:sz w:val="28"/>
          <w:szCs w:val="28"/>
          <w:highlight w:val="none"/>
        </w:rPr>
        <w:t xml:space="preserve">             </w:t>
      </w:r>
      <w:r>
        <w:rPr>
          <w:rFonts w:hint="eastAsia" w:ascii="宋体" w:hAnsi="宋体"/>
          <w:sz w:val="28"/>
          <w:szCs w:val="28"/>
          <w:highlight w:val="none"/>
        </w:rPr>
        <w:t xml:space="preserve">           供应商全称（盖章）：</w:t>
      </w:r>
    </w:p>
    <w:p w14:paraId="088060FF">
      <w:pPr>
        <w:tabs>
          <w:tab w:val="left" w:pos="4860"/>
        </w:tabs>
        <w:spacing w:line="588" w:lineRule="exact"/>
        <w:ind w:right="1560" w:firstLine="560"/>
        <w:jc w:val="center"/>
        <w:rPr>
          <w:rFonts w:ascii="宋体" w:hAnsi="宋体"/>
          <w:sz w:val="28"/>
          <w:szCs w:val="28"/>
          <w:highlight w:val="none"/>
        </w:rPr>
      </w:pPr>
      <w:r>
        <w:rPr>
          <w:rFonts w:hint="eastAsia" w:ascii="宋体" w:hAnsi="宋体"/>
          <w:sz w:val="28"/>
          <w:szCs w:val="28"/>
          <w:highlight w:val="none"/>
        </w:rPr>
        <w:t xml:space="preserve">              日  期：</w:t>
      </w:r>
    </w:p>
    <w:p w14:paraId="58472932">
      <w:pPr>
        <w:spacing w:line="560" w:lineRule="exact"/>
        <w:ind w:firstLine="240"/>
        <w:jc w:val="center"/>
        <w:rPr>
          <w:rFonts w:hint="eastAsia" w:ascii="宋体" w:hAnsi="宋体"/>
          <w:bCs/>
          <w:sz w:val="24"/>
          <w:szCs w:val="21"/>
          <w:highlight w:val="none"/>
        </w:rPr>
      </w:pPr>
    </w:p>
    <w:p w14:paraId="2A57B225">
      <w:pPr>
        <w:spacing w:line="560" w:lineRule="exact"/>
        <w:jc w:val="both"/>
        <w:rPr>
          <w:rFonts w:ascii="宋体" w:hAnsi="宋体"/>
          <w:bCs/>
          <w:sz w:val="24"/>
          <w:szCs w:val="21"/>
          <w:highlight w:val="none"/>
        </w:rPr>
      </w:pPr>
    </w:p>
    <w:p w14:paraId="2BE3B3CF">
      <w:pPr>
        <w:pStyle w:val="263"/>
        <w:rPr>
          <w:highlight w:val="none"/>
        </w:rPr>
      </w:pPr>
    </w:p>
    <w:p w14:paraId="7C18ACFB">
      <w:pPr>
        <w:spacing w:line="300" w:lineRule="auto"/>
        <w:outlineLvl w:val="0"/>
        <w:rPr>
          <w:rFonts w:hint="eastAsia" w:eastAsia="方正黑体_GBK"/>
          <w:sz w:val="32"/>
          <w:szCs w:val="32"/>
          <w:highlight w:val="none"/>
          <w:lang w:val="en-US" w:eastAsia="zh-CN"/>
        </w:rPr>
      </w:pPr>
      <w:r>
        <w:rPr>
          <w:rFonts w:eastAsia="方正黑体_GBK"/>
          <w:sz w:val="32"/>
          <w:szCs w:val="32"/>
          <w:highlight w:val="none"/>
        </w:rPr>
        <w:t>附件1</w:t>
      </w:r>
      <w:r>
        <w:rPr>
          <w:rFonts w:hint="eastAsia" w:eastAsia="方正黑体_GBK"/>
          <w:sz w:val="32"/>
          <w:szCs w:val="32"/>
          <w:highlight w:val="none"/>
          <w:lang w:val="en-US" w:eastAsia="zh-CN"/>
        </w:rPr>
        <w:t>0</w:t>
      </w:r>
    </w:p>
    <w:p w14:paraId="26F31B87">
      <w:pPr>
        <w:spacing w:line="420" w:lineRule="exact"/>
        <w:jc w:val="center"/>
        <w:outlineLvl w:val="3"/>
        <w:rPr>
          <w:b/>
          <w:bCs/>
          <w:sz w:val="32"/>
          <w:szCs w:val="32"/>
          <w:highlight w:val="none"/>
        </w:rPr>
      </w:pPr>
      <w:r>
        <w:rPr>
          <w:rFonts w:hint="eastAsia"/>
          <w:b/>
          <w:bCs/>
          <w:sz w:val="32"/>
          <w:szCs w:val="32"/>
          <w:highlight w:val="none"/>
        </w:rPr>
        <w:t>监狱和戒毒企业证明材料</w:t>
      </w:r>
    </w:p>
    <w:p w14:paraId="577E5CBF">
      <w:pPr>
        <w:spacing w:line="420" w:lineRule="exact"/>
        <w:ind w:firstLine="496"/>
        <w:rPr>
          <w:rFonts w:hint="eastAsia" w:ascii="宋体" w:hAnsi="宋体" w:cs="宋体"/>
          <w:sz w:val="28"/>
          <w:szCs w:val="28"/>
          <w:highlight w:val="none"/>
        </w:rPr>
      </w:pPr>
    </w:p>
    <w:p w14:paraId="1FA08A0B">
      <w:pPr>
        <w:spacing w:line="420" w:lineRule="exact"/>
        <w:ind w:firstLine="496"/>
        <w:rPr>
          <w:rFonts w:hint="eastAsia" w:ascii="宋体" w:hAnsi="宋体" w:cs="宋体"/>
          <w:b/>
          <w:sz w:val="28"/>
          <w:szCs w:val="28"/>
          <w:highlight w:val="none"/>
        </w:rPr>
      </w:pPr>
      <w:r>
        <w:rPr>
          <w:rFonts w:hint="eastAsia" w:ascii="宋体" w:hAnsi="宋体" w:cs="宋体"/>
          <w:b/>
          <w:sz w:val="28"/>
          <w:szCs w:val="28"/>
          <w:highlight w:val="none"/>
        </w:rPr>
        <w:t>（格式自拟）</w:t>
      </w:r>
    </w:p>
    <w:p w14:paraId="6F50B3BB">
      <w:pPr>
        <w:spacing w:line="420" w:lineRule="exact"/>
        <w:ind w:firstLine="496"/>
        <w:rPr>
          <w:rFonts w:ascii="宋体" w:hAnsi="宋体" w:cs="宋体"/>
          <w:sz w:val="28"/>
          <w:szCs w:val="28"/>
          <w:highlight w:val="none"/>
        </w:rPr>
      </w:pPr>
    </w:p>
    <w:p w14:paraId="4AD5BFAE">
      <w:pPr>
        <w:spacing w:line="420" w:lineRule="exact"/>
        <w:ind w:firstLine="661"/>
        <w:rPr>
          <w:rFonts w:ascii="宋体" w:hAnsi="宋体" w:cs="宋体"/>
          <w:sz w:val="28"/>
          <w:szCs w:val="28"/>
          <w:highlight w:val="none"/>
        </w:rPr>
      </w:pPr>
      <w:r>
        <w:rPr>
          <w:rFonts w:hint="eastAsia" w:ascii="宋体" w:hAnsi="宋体" w:cs="宋体"/>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63867BED">
      <w:pPr>
        <w:spacing w:line="300" w:lineRule="auto"/>
        <w:outlineLvl w:val="0"/>
        <w:rPr>
          <w:rFonts w:hint="eastAsia"/>
          <w:sz w:val="28"/>
          <w:szCs w:val="28"/>
          <w:highlight w:val="none"/>
        </w:rPr>
      </w:pPr>
    </w:p>
    <w:p w14:paraId="1B0CECD8">
      <w:pPr>
        <w:spacing w:line="300" w:lineRule="auto"/>
        <w:outlineLvl w:val="0"/>
        <w:rPr>
          <w:rFonts w:hint="eastAsia"/>
          <w:sz w:val="28"/>
          <w:szCs w:val="28"/>
          <w:highlight w:val="none"/>
        </w:rPr>
      </w:pPr>
    </w:p>
    <w:p w14:paraId="549F514D">
      <w:pPr>
        <w:spacing w:line="300" w:lineRule="auto"/>
        <w:outlineLvl w:val="0"/>
        <w:rPr>
          <w:rFonts w:hint="eastAsia"/>
          <w:sz w:val="28"/>
          <w:szCs w:val="28"/>
          <w:highlight w:val="none"/>
        </w:rPr>
      </w:pPr>
    </w:p>
    <w:p w14:paraId="0D9546C1">
      <w:pPr>
        <w:spacing w:line="300" w:lineRule="auto"/>
        <w:outlineLvl w:val="0"/>
        <w:rPr>
          <w:rFonts w:hint="eastAsia"/>
          <w:sz w:val="28"/>
          <w:szCs w:val="28"/>
          <w:highlight w:val="none"/>
        </w:rPr>
      </w:pPr>
    </w:p>
    <w:p w14:paraId="079306D1">
      <w:pPr>
        <w:spacing w:line="300" w:lineRule="auto"/>
        <w:outlineLvl w:val="0"/>
        <w:rPr>
          <w:rFonts w:hint="eastAsia"/>
          <w:sz w:val="28"/>
          <w:szCs w:val="28"/>
          <w:highlight w:val="none"/>
        </w:rPr>
      </w:pPr>
    </w:p>
    <w:p w14:paraId="05541E05">
      <w:pPr>
        <w:spacing w:line="300" w:lineRule="auto"/>
        <w:outlineLvl w:val="0"/>
        <w:rPr>
          <w:rFonts w:hint="eastAsia"/>
          <w:sz w:val="28"/>
          <w:szCs w:val="28"/>
          <w:highlight w:val="none"/>
        </w:rPr>
      </w:pPr>
    </w:p>
    <w:p w14:paraId="351AC487">
      <w:pPr>
        <w:spacing w:line="300" w:lineRule="auto"/>
        <w:outlineLvl w:val="0"/>
        <w:rPr>
          <w:rFonts w:hint="eastAsia"/>
          <w:sz w:val="28"/>
          <w:szCs w:val="28"/>
          <w:highlight w:val="none"/>
        </w:rPr>
      </w:pPr>
      <w:r>
        <w:rPr>
          <w:rFonts w:hint="eastAsia"/>
          <w:sz w:val="28"/>
          <w:szCs w:val="28"/>
          <w:highlight w:val="none"/>
        </w:rPr>
        <w:t>注：1、供应商如不提供此声明函，价格将不做相应扣除。</w:t>
      </w:r>
    </w:p>
    <w:p w14:paraId="19FE30C8">
      <w:pPr>
        <w:spacing w:line="300" w:lineRule="auto"/>
        <w:ind w:firstLine="560"/>
        <w:outlineLvl w:val="0"/>
        <w:rPr>
          <w:rFonts w:hint="eastAsia"/>
          <w:sz w:val="28"/>
          <w:szCs w:val="28"/>
          <w:highlight w:val="none"/>
        </w:rPr>
      </w:pPr>
      <w:r>
        <w:rPr>
          <w:rFonts w:hint="eastAsia"/>
          <w:sz w:val="28"/>
          <w:szCs w:val="28"/>
          <w:highlight w:val="none"/>
        </w:rPr>
        <w:t>2、成交供应商为监狱企业的，此声明函将随成交结果同时公告，</w:t>
      </w:r>
    </w:p>
    <w:p w14:paraId="1959D5D7">
      <w:pPr>
        <w:spacing w:line="300" w:lineRule="auto"/>
        <w:outlineLvl w:val="0"/>
        <w:rPr>
          <w:rFonts w:hint="eastAsia"/>
          <w:sz w:val="28"/>
          <w:szCs w:val="28"/>
          <w:highlight w:val="none"/>
        </w:rPr>
      </w:pPr>
      <w:r>
        <w:rPr>
          <w:rFonts w:hint="eastAsia"/>
          <w:sz w:val="28"/>
          <w:szCs w:val="28"/>
          <w:highlight w:val="none"/>
        </w:rPr>
        <w:t>接受社会监督。供应商按照本办法规定提供声明函内容不实的，属于</w:t>
      </w:r>
    </w:p>
    <w:p w14:paraId="139776EA">
      <w:pPr>
        <w:spacing w:line="300" w:lineRule="auto"/>
        <w:outlineLvl w:val="0"/>
        <w:rPr>
          <w:rFonts w:hint="eastAsia"/>
          <w:sz w:val="28"/>
          <w:szCs w:val="28"/>
          <w:highlight w:val="none"/>
        </w:rPr>
      </w:pPr>
      <w:r>
        <w:rPr>
          <w:rFonts w:hint="eastAsia"/>
          <w:sz w:val="28"/>
          <w:szCs w:val="28"/>
          <w:highlight w:val="none"/>
        </w:rPr>
        <w:t>提供虚假材料谋取中标、成交，依照《中华人民共和国政府采购法》</w:t>
      </w:r>
    </w:p>
    <w:p w14:paraId="5C16C3A7">
      <w:pPr>
        <w:spacing w:line="300" w:lineRule="auto"/>
        <w:outlineLvl w:val="0"/>
        <w:rPr>
          <w:rFonts w:hint="eastAsia"/>
          <w:sz w:val="28"/>
          <w:szCs w:val="28"/>
          <w:highlight w:val="none"/>
        </w:rPr>
      </w:pPr>
      <w:r>
        <w:rPr>
          <w:rFonts w:hint="eastAsia"/>
          <w:sz w:val="28"/>
          <w:szCs w:val="28"/>
          <w:highlight w:val="none"/>
        </w:rPr>
        <w:t>等国家有关规定追究相应责任。</w:t>
      </w:r>
    </w:p>
    <w:p w14:paraId="5A465D10">
      <w:pPr>
        <w:spacing w:line="300" w:lineRule="auto"/>
        <w:outlineLvl w:val="0"/>
        <w:rPr>
          <w:rFonts w:hint="eastAsia"/>
          <w:sz w:val="28"/>
          <w:szCs w:val="28"/>
          <w:highlight w:val="none"/>
        </w:rPr>
      </w:pPr>
    </w:p>
    <w:p w14:paraId="298A9D0D">
      <w:pPr>
        <w:spacing w:line="560" w:lineRule="exact"/>
        <w:ind w:firstLine="360"/>
        <w:rPr>
          <w:rFonts w:hint="eastAsia" w:ascii="华文新魏" w:hAnsi="宋体" w:eastAsia="华文新魏"/>
          <w:sz w:val="36"/>
          <w:szCs w:val="36"/>
          <w:highlight w:val="none"/>
        </w:rPr>
      </w:pPr>
    </w:p>
    <w:p w14:paraId="2F9C67EF">
      <w:pPr>
        <w:rPr>
          <w:rFonts w:hint="eastAsia" w:ascii="黑体" w:hAnsi="黑体" w:eastAsia="黑体"/>
          <w:b/>
          <w:sz w:val="32"/>
          <w:szCs w:val="32"/>
          <w:highlight w:val="none"/>
        </w:rPr>
      </w:pPr>
    </w:p>
    <w:p w14:paraId="7F128A7D">
      <w:pPr>
        <w:rPr>
          <w:rFonts w:hint="eastAsia" w:ascii="黑体" w:hAnsi="黑体" w:eastAsia="黑体"/>
          <w:b/>
          <w:sz w:val="32"/>
          <w:szCs w:val="32"/>
          <w:highlight w:val="none"/>
        </w:rPr>
      </w:pPr>
    </w:p>
    <w:p w14:paraId="6E4B405F">
      <w:pPr>
        <w:rPr>
          <w:rFonts w:hint="eastAsia" w:ascii="黑体" w:hAnsi="黑体" w:eastAsia="黑体"/>
          <w:b/>
          <w:sz w:val="32"/>
          <w:szCs w:val="32"/>
          <w:highlight w:val="none"/>
        </w:rPr>
      </w:pPr>
    </w:p>
    <w:p w14:paraId="6AA9809C">
      <w:pPr>
        <w:rPr>
          <w:rFonts w:hint="eastAsia" w:ascii="黑体" w:hAnsi="黑体" w:eastAsia="黑体"/>
          <w:b/>
          <w:sz w:val="32"/>
          <w:szCs w:val="32"/>
          <w:highlight w:val="none"/>
        </w:rPr>
      </w:pPr>
    </w:p>
    <w:p w14:paraId="2809AB64">
      <w:pPr>
        <w:rPr>
          <w:rFonts w:hint="eastAsia" w:ascii="黑体" w:hAnsi="黑体" w:eastAsia="黑体"/>
          <w:b/>
          <w:sz w:val="32"/>
          <w:szCs w:val="32"/>
          <w:highlight w:val="none"/>
        </w:rPr>
      </w:pPr>
    </w:p>
    <w:p w14:paraId="7A2BD9C1">
      <w:pPr>
        <w:spacing w:line="560" w:lineRule="exact"/>
        <w:jc w:val="center"/>
        <w:rPr>
          <w:rFonts w:hint="eastAsia" w:ascii="黑体" w:hAnsi="黑体" w:eastAsia="黑体"/>
          <w:b/>
          <w:sz w:val="32"/>
          <w:szCs w:val="32"/>
          <w:highlight w:val="none"/>
        </w:rPr>
      </w:pPr>
    </w:p>
    <w:p w14:paraId="732CD0AE">
      <w:pPr>
        <w:spacing w:line="520" w:lineRule="exact"/>
        <w:outlineLvl w:val="0"/>
        <w:rPr>
          <w:rFonts w:eastAsia="方正黑体_GBK"/>
          <w:sz w:val="32"/>
          <w:szCs w:val="32"/>
          <w:highlight w:val="none"/>
        </w:rPr>
      </w:pPr>
    </w:p>
    <w:p w14:paraId="7DD58ED3">
      <w:pPr>
        <w:spacing w:line="520" w:lineRule="exact"/>
        <w:outlineLvl w:val="0"/>
        <w:rPr>
          <w:rFonts w:eastAsia="方正黑体_GBK"/>
          <w:sz w:val="32"/>
          <w:szCs w:val="32"/>
          <w:highlight w:val="none"/>
        </w:rPr>
      </w:pPr>
    </w:p>
    <w:p w14:paraId="032EB2F3">
      <w:pPr>
        <w:spacing w:line="520" w:lineRule="exact"/>
        <w:outlineLvl w:val="0"/>
        <w:rPr>
          <w:rFonts w:eastAsia="方正黑体_GBK"/>
          <w:sz w:val="32"/>
          <w:szCs w:val="32"/>
          <w:highlight w:val="none"/>
        </w:rPr>
      </w:pPr>
    </w:p>
    <w:p w14:paraId="76EA30D5">
      <w:pPr>
        <w:spacing w:line="520" w:lineRule="exact"/>
        <w:outlineLvl w:val="0"/>
        <w:rPr>
          <w:rFonts w:hint="eastAsia" w:eastAsia="方正黑体_GBK"/>
          <w:sz w:val="32"/>
          <w:szCs w:val="32"/>
          <w:highlight w:val="none"/>
          <w:lang w:val="en-US" w:eastAsia="zh-CN"/>
        </w:rPr>
      </w:pPr>
      <w:r>
        <w:rPr>
          <w:rFonts w:eastAsia="方正黑体_GBK"/>
          <w:sz w:val="32"/>
          <w:szCs w:val="32"/>
          <w:highlight w:val="none"/>
        </w:rPr>
        <w:t>附件1</w:t>
      </w:r>
      <w:r>
        <w:rPr>
          <w:rFonts w:hint="eastAsia" w:eastAsia="方正黑体_GBK"/>
          <w:sz w:val="32"/>
          <w:szCs w:val="32"/>
          <w:highlight w:val="none"/>
          <w:lang w:val="en-US" w:eastAsia="zh-CN"/>
        </w:rPr>
        <w:t>1</w:t>
      </w:r>
    </w:p>
    <w:p w14:paraId="4F63AE01">
      <w:pPr>
        <w:spacing w:line="520" w:lineRule="exact"/>
        <w:jc w:val="center"/>
        <w:rPr>
          <w:rFonts w:ascii="宋体" w:hAnsi="宋体" w:cs="仿宋"/>
          <w:b/>
          <w:bCs/>
          <w:sz w:val="32"/>
          <w:szCs w:val="32"/>
          <w:highlight w:val="none"/>
        </w:rPr>
      </w:pPr>
      <w:r>
        <w:rPr>
          <w:rFonts w:hint="eastAsia" w:ascii="宋体" w:hAnsi="宋体" w:cs="仿宋"/>
          <w:b/>
          <w:bCs/>
          <w:sz w:val="32"/>
          <w:szCs w:val="32"/>
          <w:highlight w:val="none"/>
        </w:rPr>
        <w:t>质疑函范本</w:t>
      </w:r>
    </w:p>
    <w:p w14:paraId="60CD9F4E">
      <w:pPr>
        <w:spacing w:line="520" w:lineRule="exact"/>
        <w:rPr>
          <w:rFonts w:ascii="宋体" w:hAnsi="宋体" w:cs="仿宋"/>
          <w:bCs/>
          <w:sz w:val="24"/>
          <w:szCs w:val="24"/>
          <w:highlight w:val="none"/>
        </w:rPr>
      </w:pPr>
      <w:r>
        <w:rPr>
          <w:rFonts w:hint="eastAsia" w:ascii="宋体" w:hAnsi="宋体" w:cs="仿宋"/>
          <w:bCs/>
          <w:sz w:val="24"/>
          <w:szCs w:val="24"/>
          <w:highlight w:val="none"/>
        </w:rPr>
        <w:t>一、质疑供应商基本信息</w:t>
      </w:r>
    </w:p>
    <w:p w14:paraId="46118716">
      <w:pPr>
        <w:spacing w:line="520" w:lineRule="exact"/>
        <w:rPr>
          <w:rFonts w:ascii="宋体" w:hAnsi="宋体" w:cs="仿宋"/>
          <w:sz w:val="24"/>
          <w:szCs w:val="24"/>
          <w:highlight w:val="none"/>
          <w:u w:val="single"/>
        </w:rPr>
      </w:pPr>
      <w:r>
        <w:rPr>
          <w:rFonts w:hint="eastAsia" w:ascii="宋体" w:hAnsi="宋体" w:cs="仿宋"/>
          <w:sz w:val="24"/>
          <w:szCs w:val="24"/>
          <w:highlight w:val="none"/>
        </w:rPr>
        <w:t>质疑供应商：</w:t>
      </w:r>
      <w:r>
        <w:rPr>
          <w:rFonts w:hint="eastAsia" w:ascii="宋体" w:hAnsi="宋体" w:cs="仿宋"/>
          <w:sz w:val="24"/>
          <w:szCs w:val="24"/>
          <w:highlight w:val="none"/>
          <w:u w:val="single"/>
        </w:rPr>
        <w:t xml:space="preserve">                                                              </w:t>
      </w:r>
    </w:p>
    <w:p w14:paraId="537DBE37">
      <w:pPr>
        <w:spacing w:line="520" w:lineRule="exact"/>
        <w:rPr>
          <w:rFonts w:ascii="宋体" w:hAnsi="宋体" w:cs="仿宋"/>
          <w:sz w:val="24"/>
          <w:szCs w:val="24"/>
          <w:highlight w:val="none"/>
        </w:rPr>
      </w:pPr>
      <w:r>
        <w:rPr>
          <w:rFonts w:hint="eastAsia" w:ascii="宋体" w:hAnsi="宋体" w:cs="仿宋"/>
          <w:sz w:val="24"/>
          <w:szCs w:val="24"/>
          <w:highlight w:val="none"/>
        </w:rPr>
        <w:t>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邮编：</w:t>
      </w:r>
      <w:r>
        <w:rPr>
          <w:rFonts w:hint="eastAsia" w:ascii="宋体" w:hAnsi="宋体" w:cs="仿宋"/>
          <w:sz w:val="24"/>
          <w:szCs w:val="24"/>
          <w:highlight w:val="none"/>
          <w:u w:val="single"/>
        </w:rPr>
        <w:t xml:space="preserve">                                    </w:t>
      </w:r>
    </w:p>
    <w:p w14:paraId="4093A6C7">
      <w:pPr>
        <w:spacing w:line="520" w:lineRule="exact"/>
        <w:rPr>
          <w:rFonts w:ascii="宋体" w:hAnsi="宋体" w:cs="仿宋"/>
          <w:sz w:val="24"/>
          <w:szCs w:val="24"/>
          <w:highlight w:val="none"/>
        </w:rPr>
      </w:pPr>
      <w:r>
        <w:rPr>
          <w:rFonts w:hint="eastAsia" w:ascii="宋体" w:hAnsi="宋体" w:cs="仿宋"/>
          <w:sz w:val="24"/>
          <w:szCs w:val="24"/>
          <w:highlight w:val="none"/>
        </w:rPr>
        <w:t>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联系电话：</w:t>
      </w:r>
      <w:r>
        <w:rPr>
          <w:rFonts w:hint="eastAsia" w:ascii="宋体" w:hAnsi="宋体" w:cs="仿宋"/>
          <w:sz w:val="24"/>
          <w:szCs w:val="24"/>
          <w:highlight w:val="none"/>
          <w:u w:val="single"/>
        </w:rPr>
        <w:t xml:space="preserve">                                       </w:t>
      </w:r>
    </w:p>
    <w:p w14:paraId="75F1151C">
      <w:pPr>
        <w:spacing w:line="520" w:lineRule="exact"/>
        <w:rPr>
          <w:rFonts w:ascii="宋体" w:hAnsi="宋体" w:cs="仿宋"/>
          <w:sz w:val="24"/>
          <w:szCs w:val="24"/>
          <w:highlight w:val="none"/>
          <w:u w:val="single"/>
        </w:rPr>
      </w:pPr>
      <w:r>
        <w:rPr>
          <w:rFonts w:hint="eastAsia" w:ascii="宋体" w:hAnsi="宋体" w:cs="仿宋"/>
          <w:sz w:val="24"/>
          <w:szCs w:val="24"/>
          <w:highlight w:val="none"/>
        </w:rPr>
        <w:t>授权代表：</w:t>
      </w:r>
      <w:r>
        <w:rPr>
          <w:rFonts w:hint="eastAsia" w:ascii="宋体" w:hAnsi="宋体" w:cs="仿宋"/>
          <w:sz w:val="24"/>
          <w:szCs w:val="24"/>
          <w:highlight w:val="none"/>
          <w:u w:val="single"/>
        </w:rPr>
        <w:t xml:space="preserve">                                                                 </w:t>
      </w:r>
    </w:p>
    <w:p w14:paraId="316EB82F">
      <w:pPr>
        <w:spacing w:line="520" w:lineRule="exact"/>
        <w:rPr>
          <w:rFonts w:ascii="宋体" w:hAnsi="宋体" w:cs="仿宋"/>
          <w:sz w:val="24"/>
          <w:szCs w:val="24"/>
          <w:highlight w:val="none"/>
        </w:rPr>
      </w:pPr>
      <w:r>
        <w:rPr>
          <w:rFonts w:hint="eastAsia" w:ascii="宋体" w:hAnsi="宋体" w:cs="仿宋"/>
          <w:sz w:val="24"/>
          <w:szCs w:val="24"/>
          <w:highlight w:val="none"/>
        </w:rPr>
        <w:t>联系电话：</w:t>
      </w:r>
      <w:r>
        <w:rPr>
          <w:rFonts w:hint="eastAsia" w:ascii="宋体" w:hAnsi="宋体" w:cs="仿宋"/>
          <w:sz w:val="24"/>
          <w:szCs w:val="24"/>
          <w:highlight w:val="none"/>
          <w:u w:val="single"/>
        </w:rPr>
        <w:t xml:space="preserve">                                                                </w:t>
      </w:r>
    </w:p>
    <w:p w14:paraId="44AB5BD7">
      <w:pPr>
        <w:spacing w:line="520" w:lineRule="exact"/>
        <w:rPr>
          <w:rFonts w:ascii="宋体" w:hAnsi="宋体" w:cs="仿宋"/>
          <w:sz w:val="24"/>
          <w:szCs w:val="24"/>
          <w:highlight w:val="none"/>
        </w:rPr>
      </w:pPr>
      <w:r>
        <w:rPr>
          <w:rFonts w:hint="eastAsia" w:ascii="宋体" w:hAnsi="宋体" w:cs="仿宋"/>
          <w:sz w:val="24"/>
          <w:szCs w:val="24"/>
          <w:highlight w:val="none"/>
        </w:rPr>
        <w:t>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邮编：</w:t>
      </w:r>
      <w:r>
        <w:rPr>
          <w:rFonts w:hint="eastAsia" w:ascii="宋体" w:hAnsi="宋体" w:cs="仿宋"/>
          <w:sz w:val="24"/>
          <w:szCs w:val="24"/>
          <w:highlight w:val="none"/>
          <w:u w:val="single"/>
        </w:rPr>
        <w:t xml:space="preserve">                                     </w:t>
      </w:r>
    </w:p>
    <w:p w14:paraId="7AEF4106">
      <w:pPr>
        <w:spacing w:line="520" w:lineRule="exact"/>
        <w:rPr>
          <w:rFonts w:ascii="宋体" w:hAnsi="宋体" w:cs="仿宋"/>
          <w:bCs/>
          <w:sz w:val="24"/>
          <w:szCs w:val="24"/>
          <w:highlight w:val="none"/>
        </w:rPr>
      </w:pPr>
      <w:r>
        <w:rPr>
          <w:rFonts w:hint="eastAsia" w:ascii="宋体" w:hAnsi="宋体" w:cs="仿宋"/>
          <w:bCs/>
          <w:sz w:val="24"/>
          <w:szCs w:val="24"/>
          <w:highlight w:val="none"/>
        </w:rPr>
        <w:t>二、质疑项目基本情况</w:t>
      </w:r>
    </w:p>
    <w:p w14:paraId="4EC78117">
      <w:pPr>
        <w:spacing w:line="520" w:lineRule="exact"/>
        <w:rPr>
          <w:rFonts w:ascii="宋体" w:hAnsi="宋体" w:cs="仿宋"/>
          <w:sz w:val="24"/>
          <w:szCs w:val="24"/>
          <w:highlight w:val="none"/>
        </w:rPr>
      </w:pPr>
      <w:r>
        <w:rPr>
          <w:rFonts w:hint="eastAsia" w:ascii="宋体" w:hAnsi="宋体" w:cs="仿宋"/>
          <w:sz w:val="24"/>
          <w:szCs w:val="24"/>
          <w:highlight w:val="none"/>
        </w:rPr>
        <w:t>质疑项目的名称：</w:t>
      </w:r>
      <w:r>
        <w:rPr>
          <w:rFonts w:hint="eastAsia" w:ascii="宋体" w:hAnsi="宋体" w:cs="仿宋"/>
          <w:sz w:val="24"/>
          <w:szCs w:val="24"/>
          <w:highlight w:val="none"/>
          <w:u w:val="single"/>
        </w:rPr>
        <w:t xml:space="preserve">                                                          </w:t>
      </w:r>
    </w:p>
    <w:p w14:paraId="3EC0E168">
      <w:pPr>
        <w:spacing w:line="520" w:lineRule="exact"/>
        <w:rPr>
          <w:rFonts w:ascii="宋体" w:hAnsi="宋体" w:cs="仿宋"/>
          <w:sz w:val="24"/>
          <w:szCs w:val="24"/>
          <w:highlight w:val="none"/>
        </w:rPr>
      </w:pPr>
      <w:r>
        <w:rPr>
          <w:rFonts w:hint="eastAsia" w:ascii="宋体" w:hAnsi="宋体" w:cs="仿宋"/>
          <w:sz w:val="24"/>
          <w:szCs w:val="24"/>
          <w:highlight w:val="none"/>
        </w:rPr>
        <w:t>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包号：</w:t>
      </w:r>
      <w:r>
        <w:rPr>
          <w:rFonts w:hint="eastAsia" w:ascii="宋体" w:hAnsi="宋体" w:cs="仿宋"/>
          <w:sz w:val="24"/>
          <w:szCs w:val="24"/>
          <w:highlight w:val="none"/>
          <w:u w:val="single"/>
        </w:rPr>
        <w:t xml:space="preserve">                           </w:t>
      </w:r>
    </w:p>
    <w:p w14:paraId="3B218097">
      <w:pPr>
        <w:spacing w:line="520" w:lineRule="exact"/>
        <w:rPr>
          <w:rFonts w:ascii="宋体" w:hAnsi="宋体" w:cs="仿宋"/>
          <w:sz w:val="24"/>
          <w:szCs w:val="24"/>
          <w:highlight w:val="none"/>
          <w:u w:val="single"/>
        </w:rPr>
      </w:pPr>
      <w:r>
        <w:rPr>
          <w:rFonts w:hint="eastAsia" w:ascii="宋体" w:hAnsi="宋体" w:cs="仿宋"/>
          <w:sz w:val="24"/>
          <w:szCs w:val="24"/>
          <w:highlight w:val="none"/>
        </w:rPr>
        <w:t>采购人名称：</w:t>
      </w:r>
      <w:r>
        <w:rPr>
          <w:rFonts w:hint="eastAsia" w:ascii="宋体" w:hAnsi="宋体" w:cs="仿宋"/>
          <w:sz w:val="24"/>
          <w:szCs w:val="24"/>
          <w:highlight w:val="none"/>
          <w:u w:val="single"/>
        </w:rPr>
        <w:t xml:space="preserve">                                                              </w:t>
      </w:r>
    </w:p>
    <w:p w14:paraId="6DDCA063">
      <w:pPr>
        <w:spacing w:line="520" w:lineRule="exact"/>
        <w:rPr>
          <w:rFonts w:ascii="宋体" w:hAnsi="宋体" w:cs="仿宋"/>
          <w:sz w:val="24"/>
          <w:szCs w:val="24"/>
          <w:highlight w:val="none"/>
        </w:rPr>
      </w:pPr>
      <w:r>
        <w:rPr>
          <w:rFonts w:hint="eastAsia" w:ascii="宋体" w:hAnsi="宋体" w:cs="仿宋"/>
          <w:sz w:val="24"/>
          <w:szCs w:val="24"/>
          <w:highlight w:val="none"/>
        </w:rPr>
        <w:t>采购文件获取日期：</w:t>
      </w:r>
      <w:r>
        <w:rPr>
          <w:rFonts w:hint="eastAsia" w:ascii="宋体" w:hAnsi="宋体" w:cs="仿宋"/>
          <w:sz w:val="24"/>
          <w:szCs w:val="24"/>
          <w:highlight w:val="none"/>
          <w:u w:val="single"/>
        </w:rPr>
        <w:t xml:space="preserve">                                                        </w:t>
      </w:r>
    </w:p>
    <w:p w14:paraId="0E01A985">
      <w:pPr>
        <w:spacing w:line="520" w:lineRule="exact"/>
        <w:rPr>
          <w:rFonts w:ascii="宋体" w:hAnsi="宋体" w:cs="仿宋"/>
          <w:bCs/>
          <w:sz w:val="24"/>
          <w:szCs w:val="24"/>
          <w:highlight w:val="none"/>
        </w:rPr>
      </w:pPr>
      <w:r>
        <w:rPr>
          <w:rFonts w:hint="eastAsia" w:ascii="宋体" w:hAnsi="宋体" w:cs="仿宋"/>
          <w:bCs/>
          <w:sz w:val="24"/>
          <w:szCs w:val="24"/>
          <w:highlight w:val="none"/>
        </w:rPr>
        <w:t>三、质疑事项具体内容</w:t>
      </w:r>
    </w:p>
    <w:p w14:paraId="01C52703">
      <w:pPr>
        <w:spacing w:line="520" w:lineRule="exact"/>
        <w:rPr>
          <w:rFonts w:ascii="宋体" w:hAnsi="宋体" w:cs="仿宋"/>
          <w:sz w:val="24"/>
          <w:szCs w:val="24"/>
          <w:highlight w:val="none"/>
          <w:u w:val="single"/>
        </w:rPr>
      </w:pPr>
      <w:r>
        <w:rPr>
          <w:rFonts w:hint="eastAsia" w:ascii="宋体" w:hAnsi="宋体" w:cs="仿宋"/>
          <w:sz w:val="24"/>
          <w:szCs w:val="24"/>
          <w:highlight w:val="none"/>
        </w:rPr>
        <w:t>质疑事项1：</w:t>
      </w:r>
      <w:r>
        <w:rPr>
          <w:rFonts w:hint="eastAsia" w:ascii="宋体" w:hAnsi="宋体" w:cs="仿宋"/>
          <w:sz w:val="24"/>
          <w:szCs w:val="24"/>
          <w:highlight w:val="none"/>
          <w:u w:val="single"/>
        </w:rPr>
        <w:t xml:space="preserve">                                                              </w:t>
      </w:r>
    </w:p>
    <w:p w14:paraId="0FB2CB76">
      <w:pPr>
        <w:spacing w:line="520" w:lineRule="exact"/>
        <w:rPr>
          <w:rFonts w:ascii="宋体" w:hAnsi="宋体" w:cs="仿宋"/>
          <w:sz w:val="24"/>
          <w:szCs w:val="24"/>
          <w:highlight w:val="none"/>
          <w:u w:val="single"/>
        </w:rPr>
      </w:pPr>
      <w:r>
        <w:rPr>
          <w:rFonts w:hint="eastAsia" w:ascii="宋体" w:hAnsi="宋体" w:cs="仿宋"/>
          <w:sz w:val="24"/>
          <w:szCs w:val="24"/>
          <w:highlight w:val="none"/>
        </w:rPr>
        <w:t>事实依据：</w:t>
      </w:r>
      <w:r>
        <w:rPr>
          <w:rFonts w:hint="eastAsia" w:ascii="宋体" w:hAnsi="宋体" w:cs="仿宋"/>
          <w:sz w:val="24"/>
          <w:szCs w:val="24"/>
          <w:highlight w:val="none"/>
          <w:u w:val="single"/>
        </w:rPr>
        <w:t xml:space="preserve">                                                                </w:t>
      </w:r>
    </w:p>
    <w:p w14:paraId="44919300">
      <w:pPr>
        <w:spacing w:line="520" w:lineRule="exact"/>
        <w:rPr>
          <w:rFonts w:ascii="宋体" w:hAnsi="宋体" w:cs="仿宋"/>
          <w:sz w:val="24"/>
          <w:szCs w:val="24"/>
          <w:highlight w:val="none"/>
        </w:rPr>
      </w:pPr>
      <w:r>
        <w:rPr>
          <w:rFonts w:hint="eastAsia" w:ascii="宋体" w:hAnsi="宋体" w:cs="仿宋"/>
          <w:sz w:val="24"/>
          <w:szCs w:val="24"/>
          <w:highlight w:val="none"/>
          <w:u w:val="single"/>
        </w:rPr>
        <w:t xml:space="preserve">                                                                           </w:t>
      </w:r>
    </w:p>
    <w:p w14:paraId="0D503312">
      <w:pPr>
        <w:spacing w:line="520" w:lineRule="exact"/>
        <w:rPr>
          <w:rFonts w:ascii="宋体" w:hAnsi="宋体" w:cs="仿宋"/>
          <w:sz w:val="24"/>
          <w:szCs w:val="24"/>
          <w:highlight w:val="none"/>
          <w:u w:val="single"/>
        </w:rPr>
      </w:pPr>
      <w:r>
        <w:rPr>
          <w:rFonts w:hint="eastAsia" w:ascii="宋体" w:hAnsi="宋体" w:cs="仿宋"/>
          <w:sz w:val="24"/>
          <w:szCs w:val="24"/>
          <w:highlight w:val="none"/>
        </w:rPr>
        <w:t>法律依据：</w:t>
      </w:r>
      <w:r>
        <w:rPr>
          <w:rFonts w:hint="eastAsia" w:ascii="宋体" w:hAnsi="宋体" w:cs="仿宋"/>
          <w:sz w:val="24"/>
          <w:szCs w:val="24"/>
          <w:highlight w:val="none"/>
          <w:u w:val="single"/>
        </w:rPr>
        <w:t xml:space="preserve">                                                                 </w:t>
      </w:r>
    </w:p>
    <w:p w14:paraId="00DFA64E">
      <w:pPr>
        <w:spacing w:line="520" w:lineRule="exact"/>
        <w:rPr>
          <w:rFonts w:ascii="宋体" w:hAnsi="宋体" w:cs="仿宋"/>
          <w:sz w:val="24"/>
          <w:szCs w:val="24"/>
          <w:highlight w:val="none"/>
          <w:u w:val="single"/>
        </w:rPr>
      </w:pPr>
      <w:r>
        <w:rPr>
          <w:rFonts w:hint="eastAsia" w:ascii="宋体" w:hAnsi="宋体" w:cs="仿宋"/>
          <w:sz w:val="24"/>
          <w:szCs w:val="24"/>
          <w:highlight w:val="none"/>
          <w:u w:val="single"/>
        </w:rPr>
        <w:t xml:space="preserve">                                                                           </w:t>
      </w:r>
    </w:p>
    <w:p w14:paraId="775A4AAB">
      <w:pPr>
        <w:spacing w:line="520" w:lineRule="exact"/>
        <w:rPr>
          <w:rFonts w:ascii="宋体" w:hAnsi="宋体" w:cs="仿宋"/>
          <w:sz w:val="24"/>
          <w:szCs w:val="24"/>
          <w:highlight w:val="none"/>
          <w:u w:val="single"/>
        </w:rPr>
      </w:pPr>
      <w:r>
        <w:rPr>
          <w:rFonts w:hint="eastAsia" w:ascii="宋体" w:hAnsi="宋体" w:cs="仿宋"/>
          <w:sz w:val="24"/>
          <w:szCs w:val="24"/>
          <w:highlight w:val="none"/>
        </w:rPr>
        <w:t>质疑事项2</w:t>
      </w:r>
    </w:p>
    <w:p w14:paraId="3DE129ED">
      <w:pPr>
        <w:spacing w:line="520" w:lineRule="exact"/>
        <w:rPr>
          <w:rFonts w:ascii="宋体" w:hAnsi="宋体" w:cs="仿宋"/>
          <w:sz w:val="24"/>
          <w:szCs w:val="24"/>
          <w:highlight w:val="none"/>
        </w:rPr>
      </w:pPr>
      <w:r>
        <w:rPr>
          <w:rFonts w:hint="eastAsia" w:ascii="宋体" w:hAnsi="宋体" w:cs="仿宋"/>
          <w:sz w:val="24"/>
          <w:szCs w:val="24"/>
          <w:highlight w:val="none"/>
        </w:rPr>
        <w:t>……</w:t>
      </w:r>
    </w:p>
    <w:p w14:paraId="02948F65">
      <w:pPr>
        <w:spacing w:line="520" w:lineRule="exact"/>
        <w:rPr>
          <w:rFonts w:ascii="宋体" w:hAnsi="宋体" w:cs="仿宋"/>
          <w:bCs/>
          <w:sz w:val="24"/>
          <w:szCs w:val="24"/>
          <w:highlight w:val="none"/>
        </w:rPr>
      </w:pPr>
      <w:r>
        <w:rPr>
          <w:rFonts w:hint="eastAsia" w:ascii="宋体" w:hAnsi="宋体" w:cs="仿宋"/>
          <w:bCs/>
          <w:sz w:val="24"/>
          <w:szCs w:val="24"/>
          <w:highlight w:val="none"/>
        </w:rPr>
        <w:t>四、与质疑事项相关的质疑请求</w:t>
      </w:r>
    </w:p>
    <w:p w14:paraId="37EC32CD">
      <w:pPr>
        <w:spacing w:line="520" w:lineRule="exact"/>
        <w:rPr>
          <w:rFonts w:ascii="宋体" w:hAnsi="宋体" w:cs="仿宋"/>
          <w:sz w:val="24"/>
          <w:szCs w:val="24"/>
          <w:highlight w:val="none"/>
          <w:u w:val="single"/>
        </w:rPr>
      </w:pPr>
      <w:r>
        <w:rPr>
          <w:rFonts w:hint="eastAsia" w:ascii="宋体" w:hAnsi="宋体" w:cs="仿宋"/>
          <w:sz w:val="24"/>
          <w:szCs w:val="24"/>
          <w:highlight w:val="none"/>
        </w:rPr>
        <w:t>请求：</w:t>
      </w:r>
      <w:r>
        <w:rPr>
          <w:rFonts w:hint="eastAsia" w:ascii="宋体" w:hAnsi="宋体" w:cs="仿宋"/>
          <w:sz w:val="24"/>
          <w:szCs w:val="24"/>
          <w:highlight w:val="none"/>
          <w:u w:val="single"/>
        </w:rPr>
        <w:t xml:space="preserve">                                                                     </w:t>
      </w:r>
    </w:p>
    <w:p w14:paraId="210AE07E">
      <w:pPr>
        <w:spacing w:line="520" w:lineRule="exact"/>
        <w:rPr>
          <w:rFonts w:ascii="宋体" w:hAnsi="宋体"/>
          <w:sz w:val="24"/>
          <w:szCs w:val="24"/>
          <w:highlight w:val="none"/>
        </w:rPr>
      </w:pPr>
      <w:r>
        <w:rPr>
          <w:rFonts w:hint="eastAsia" w:ascii="宋体" w:hAnsi="宋体"/>
          <w:sz w:val="24"/>
          <w:szCs w:val="24"/>
          <w:highlight w:val="none"/>
        </w:rPr>
        <w:t xml:space="preserve">签字(签章)：                   公章：                      </w:t>
      </w:r>
    </w:p>
    <w:p w14:paraId="55E967C6">
      <w:pPr>
        <w:spacing w:line="520" w:lineRule="exact"/>
        <w:rPr>
          <w:rFonts w:ascii="宋体" w:hAnsi="宋体"/>
          <w:sz w:val="24"/>
          <w:szCs w:val="24"/>
          <w:highlight w:val="none"/>
        </w:rPr>
      </w:pPr>
      <w:r>
        <w:rPr>
          <w:rFonts w:hint="eastAsia" w:ascii="宋体" w:hAnsi="宋体"/>
          <w:sz w:val="24"/>
          <w:szCs w:val="24"/>
          <w:highlight w:val="none"/>
        </w:rPr>
        <w:t xml:space="preserve">日期：    </w:t>
      </w:r>
    </w:p>
    <w:p w14:paraId="229B5AA1">
      <w:pPr>
        <w:spacing w:line="520" w:lineRule="exact"/>
        <w:rPr>
          <w:rFonts w:ascii="宋体" w:hAnsi="宋体"/>
          <w:b/>
          <w:sz w:val="24"/>
          <w:szCs w:val="24"/>
          <w:highlight w:val="none"/>
        </w:rPr>
      </w:pPr>
      <w:r>
        <w:rPr>
          <w:rFonts w:hint="eastAsia" w:ascii="宋体" w:hAnsi="宋体"/>
          <w:b/>
          <w:sz w:val="24"/>
          <w:szCs w:val="24"/>
          <w:highlight w:val="none"/>
        </w:rPr>
        <w:t>质疑函制作说明：</w:t>
      </w:r>
    </w:p>
    <w:p w14:paraId="43808B43">
      <w:pPr>
        <w:widowControl/>
        <w:spacing w:line="520" w:lineRule="exact"/>
        <w:ind w:firstLine="480"/>
        <w:jc w:val="left"/>
        <w:rPr>
          <w:rFonts w:ascii="宋体" w:hAnsi="宋体"/>
          <w:sz w:val="24"/>
          <w:szCs w:val="24"/>
          <w:highlight w:val="none"/>
        </w:rPr>
      </w:pPr>
      <w:r>
        <w:rPr>
          <w:rFonts w:hint="eastAsia" w:ascii="宋体" w:hAnsi="宋体"/>
          <w:sz w:val="24"/>
          <w:szCs w:val="24"/>
          <w:highlight w:val="none"/>
        </w:rPr>
        <w:t>1.供应商提出质疑时，应提交质疑函和必要的证明材料。</w:t>
      </w:r>
    </w:p>
    <w:p w14:paraId="7387DCB9">
      <w:pPr>
        <w:widowControl/>
        <w:spacing w:line="520" w:lineRule="exact"/>
        <w:ind w:firstLine="480"/>
        <w:jc w:val="left"/>
        <w:rPr>
          <w:rFonts w:ascii="宋体" w:hAnsi="宋体"/>
          <w:sz w:val="24"/>
          <w:szCs w:val="24"/>
          <w:highlight w:val="none"/>
        </w:rPr>
      </w:pPr>
      <w:r>
        <w:rPr>
          <w:rFonts w:hint="eastAsia" w:ascii="宋体" w:hAnsi="宋体"/>
          <w:sz w:val="24"/>
          <w:szCs w:val="24"/>
          <w:highlight w:val="none"/>
        </w:rPr>
        <w:t>2.质疑供应商若委托代理人进行质疑的，质疑函应按要求列明“授权代表”的有关内容，并在附件中提交由质疑</w:t>
      </w:r>
      <w:r>
        <w:rPr>
          <w:rFonts w:hint="eastAsia" w:ascii="宋体" w:hAnsi="宋体" w:cs="宋体"/>
          <w:sz w:val="24"/>
          <w:szCs w:val="24"/>
          <w:highlight w:val="none"/>
        </w:rPr>
        <w:t>供应商签署的授权委托书。授权委托书应载明代理人的姓名或者名称、代理事项、具体权限、期限和相关事项。</w:t>
      </w:r>
    </w:p>
    <w:p w14:paraId="571403AF">
      <w:pPr>
        <w:widowControl/>
        <w:spacing w:line="520" w:lineRule="exact"/>
        <w:ind w:firstLine="480"/>
        <w:jc w:val="left"/>
        <w:rPr>
          <w:rFonts w:ascii="宋体" w:hAnsi="宋体"/>
          <w:sz w:val="24"/>
          <w:szCs w:val="24"/>
          <w:highlight w:val="none"/>
        </w:rPr>
      </w:pPr>
      <w:r>
        <w:rPr>
          <w:rFonts w:hint="eastAsia" w:ascii="宋体" w:hAnsi="宋体"/>
          <w:sz w:val="24"/>
          <w:szCs w:val="24"/>
          <w:highlight w:val="none"/>
        </w:rPr>
        <w:t>3.质疑供应商若对项目的某一分包进行质疑，质疑函中应列明具体分包号。</w:t>
      </w:r>
    </w:p>
    <w:p w14:paraId="706D208A">
      <w:pPr>
        <w:widowControl/>
        <w:spacing w:line="520" w:lineRule="exact"/>
        <w:ind w:firstLine="480"/>
        <w:jc w:val="left"/>
        <w:rPr>
          <w:rFonts w:ascii="宋体" w:hAnsi="宋体"/>
          <w:sz w:val="24"/>
          <w:szCs w:val="24"/>
          <w:highlight w:val="none"/>
        </w:rPr>
      </w:pPr>
      <w:r>
        <w:rPr>
          <w:rFonts w:hint="eastAsia" w:ascii="宋体" w:hAnsi="宋体"/>
          <w:sz w:val="24"/>
          <w:szCs w:val="24"/>
          <w:highlight w:val="none"/>
        </w:rPr>
        <w:t>4.质疑函的质疑事项应具体、明确，并有必要的事实依据和法律依据。</w:t>
      </w:r>
    </w:p>
    <w:p w14:paraId="06CBB391">
      <w:pPr>
        <w:widowControl/>
        <w:spacing w:line="520" w:lineRule="exact"/>
        <w:ind w:firstLine="480"/>
        <w:jc w:val="left"/>
        <w:rPr>
          <w:rFonts w:ascii="宋体" w:hAnsi="宋体"/>
          <w:sz w:val="24"/>
          <w:szCs w:val="24"/>
          <w:highlight w:val="none"/>
        </w:rPr>
      </w:pPr>
      <w:r>
        <w:rPr>
          <w:rFonts w:hint="eastAsia" w:ascii="宋体" w:hAnsi="宋体"/>
          <w:sz w:val="24"/>
          <w:szCs w:val="24"/>
          <w:highlight w:val="none"/>
        </w:rPr>
        <w:t>5.质疑函的质疑请求应与质疑事项相关。</w:t>
      </w:r>
    </w:p>
    <w:p w14:paraId="5F5DF4B2">
      <w:pPr>
        <w:widowControl/>
        <w:spacing w:line="520" w:lineRule="exact"/>
        <w:ind w:firstLine="480"/>
        <w:jc w:val="left"/>
        <w:rPr>
          <w:rFonts w:hint="eastAsia" w:ascii="宋体" w:hAnsi="宋体"/>
          <w:sz w:val="24"/>
          <w:szCs w:val="24"/>
          <w:highlight w:val="none"/>
        </w:rPr>
      </w:pPr>
      <w:r>
        <w:rPr>
          <w:rFonts w:hint="eastAsia" w:ascii="宋体" w:hAnsi="宋体"/>
          <w:sz w:val="24"/>
          <w:szCs w:val="24"/>
          <w:highlight w:val="none"/>
        </w:rPr>
        <w:t>6.质疑供应商为自然人的，质疑函应由本人签字；质疑供应商为法人或者其他组织的，质疑函应由法定代表人、主要负责人，或者其授权代表签字或者盖章，并加盖公章。</w:t>
      </w:r>
    </w:p>
    <w:p w14:paraId="0F6414D1">
      <w:pPr>
        <w:spacing w:line="560" w:lineRule="exact"/>
        <w:jc w:val="center"/>
        <w:rPr>
          <w:rFonts w:hint="eastAsia" w:ascii="黑体" w:hAnsi="黑体" w:eastAsia="黑体"/>
          <w:b/>
          <w:sz w:val="32"/>
          <w:szCs w:val="32"/>
          <w:highlight w:val="none"/>
        </w:rPr>
      </w:pPr>
    </w:p>
    <w:p w14:paraId="7F043996">
      <w:pPr>
        <w:spacing w:line="560" w:lineRule="exact"/>
        <w:jc w:val="center"/>
        <w:rPr>
          <w:rFonts w:hint="eastAsia" w:ascii="黑体" w:hAnsi="黑体" w:eastAsia="黑体"/>
          <w:b/>
          <w:sz w:val="32"/>
          <w:szCs w:val="32"/>
          <w:highlight w:val="none"/>
        </w:rPr>
      </w:pPr>
    </w:p>
    <w:p w14:paraId="68D1C581">
      <w:pPr>
        <w:spacing w:line="560" w:lineRule="exact"/>
        <w:jc w:val="center"/>
        <w:rPr>
          <w:rFonts w:hint="eastAsia" w:ascii="黑体" w:hAnsi="黑体" w:eastAsia="黑体"/>
          <w:b/>
          <w:sz w:val="32"/>
          <w:szCs w:val="32"/>
          <w:highlight w:val="none"/>
        </w:rPr>
      </w:pPr>
    </w:p>
    <w:p w14:paraId="6119789E">
      <w:pPr>
        <w:spacing w:line="560" w:lineRule="exact"/>
        <w:jc w:val="center"/>
        <w:rPr>
          <w:rFonts w:hint="eastAsia" w:ascii="黑体" w:hAnsi="黑体" w:eastAsia="黑体"/>
          <w:b/>
          <w:sz w:val="32"/>
          <w:szCs w:val="32"/>
          <w:highlight w:val="none"/>
        </w:rPr>
      </w:pPr>
    </w:p>
    <w:p w14:paraId="558DCB65">
      <w:pPr>
        <w:spacing w:line="560" w:lineRule="exact"/>
        <w:jc w:val="center"/>
        <w:rPr>
          <w:rFonts w:hint="eastAsia" w:ascii="黑体" w:hAnsi="黑体" w:eastAsia="黑体"/>
          <w:b/>
          <w:sz w:val="32"/>
          <w:szCs w:val="32"/>
          <w:highlight w:val="none"/>
        </w:rPr>
      </w:pPr>
    </w:p>
    <w:p w14:paraId="3DD39F1E">
      <w:pPr>
        <w:spacing w:line="560" w:lineRule="exact"/>
        <w:jc w:val="center"/>
        <w:rPr>
          <w:rFonts w:hint="eastAsia" w:ascii="黑体" w:hAnsi="黑体" w:eastAsia="黑体"/>
          <w:b/>
          <w:sz w:val="32"/>
          <w:szCs w:val="32"/>
          <w:highlight w:val="none"/>
        </w:rPr>
      </w:pPr>
    </w:p>
    <w:p w14:paraId="40D3FC29">
      <w:pPr>
        <w:spacing w:line="560" w:lineRule="exact"/>
        <w:jc w:val="center"/>
        <w:rPr>
          <w:rFonts w:hint="eastAsia" w:ascii="黑体" w:hAnsi="黑体" w:eastAsia="黑体"/>
          <w:b/>
          <w:sz w:val="32"/>
          <w:szCs w:val="32"/>
          <w:highlight w:val="none"/>
        </w:rPr>
      </w:pPr>
    </w:p>
    <w:p w14:paraId="09CBF6AB">
      <w:pPr>
        <w:spacing w:line="560" w:lineRule="exact"/>
        <w:jc w:val="center"/>
        <w:rPr>
          <w:rFonts w:hint="eastAsia" w:ascii="黑体" w:hAnsi="黑体" w:eastAsia="黑体"/>
          <w:b/>
          <w:sz w:val="32"/>
          <w:szCs w:val="32"/>
          <w:highlight w:val="none"/>
        </w:rPr>
      </w:pPr>
    </w:p>
    <w:p w14:paraId="7150705F">
      <w:pPr>
        <w:spacing w:line="560" w:lineRule="exact"/>
        <w:jc w:val="center"/>
        <w:rPr>
          <w:rFonts w:hint="eastAsia" w:ascii="黑体" w:hAnsi="黑体" w:eastAsia="黑体"/>
          <w:b/>
          <w:sz w:val="32"/>
          <w:szCs w:val="32"/>
          <w:highlight w:val="none"/>
        </w:rPr>
      </w:pPr>
    </w:p>
    <w:p w14:paraId="5FACBB55">
      <w:pPr>
        <w:spacing w:line="560" w:lineRule="exact"/>
        <w:jc w:val="center"/>
        <w:rPr>
          <w:rFonts w:hint="eastAsia" w:ascii="黑体" w:hAnsi="黑体" w:eastAsia="黑体"/>
          <w:b/>
          <w:sz w:val="32"/>
          <w:szCs w:val="32"/>
          <w:highlight w:val="none"/>
        </w:rPr>
      </w:pPr>
    </w:p>
    <w:p w14:paraId="64DA1A97">
      <w:pPr>
        <w:spacing w:line="560" w:lineRule="exact"/>
        <w:jc w:val="center"/>
        <w:rPr>
          <w:rFonts w:hint="eastAsia" w:ascii="黑体" w:hAnsi="黑体" w:eastAsia="黑体"/>
          <w:b/>
          <w:sz w:val="32"/>
          <w:szCs w:val="32"/>
          <w:highlight w:val="none"/>
        </w:rPr>
      </w:pPr>
    </w:p>
    <w:p w14:paraId="06F392F0">
      <w:pPr>
        <w:spacing w:line="560" w:lineRule="exact"/>
        <w:jc w:val="center"/>
        <w:rPr>
          <w:rFonts w:hint="eastAsia" w:ascii="黑体" w:hAnsi="黑体" w:eastAsia="黑体"/>
          <w:b/>
          <w:sz w:val="32"/>
          <w:szCs w:val="32"/>
          <w:highlight w:val="none"/>
        </w:rPr>
      </w:pPr>
    </w:p>
    <w:p w14:paraId="112867BB">
      <w:pPr>
        <w:spacing w:line="560" w:lineRule="exact"/>
        <w:jc w:val="center"/>
        <w:rPr>
          <w:rFonts w:hint="eastAsia" w:ascii="黑体" w:hAnsi="黑体" w:eastAsia="黑体"/>
          <w:b/>
          <w:sz w:val="32"/>
          <w:szCs w:val="32"/>
          <w:highlight w:val="none"/>
        </w:rPr>
      </w:pPr>
    </w:p>
    <w:p w14:paraId="43837D6F">
      <w:pPr>
        <w:spacing w:line="560" w:lineRule="exact"/>
        <w:jc w:val="center"/>
        <w:rPr>
          <w:rFonts w:hint="eastAsia" w:ascii="黑体" w:hAnsi="黑体" w:eastAsia="黑体"/>
          <w:b/>
          <w:sz w:val="32"/>
          <w:szCs w:val="32"/>
          <w:highlight w:val="none"/>
        </w:rPr>
      </w:pPr>
    </w:p>
    <w:bookmarkEnd w:id="174"/>
    <w:bookmarkEnd w:id="175"/>
    <w:bookmarkEnd w:id="187"/>
    <w:p w14:paraId="73947BD7">
      <w:pPr>
        <w:spacing w:line="300" w:lineRule="auto"/>
        <w:outlineLvl w:val="0"/>
        <w:rPr>
          <w:rFonts w:hint="eastAsia" w:ascii="仿宋_GB2312" w:eastAsia="方正黑体_GBK"/>
          <w:b/>
          <w:sz w:val="32"/>
          <w:szCs w:val="32"/>
          <w:highlight w:val="none"/>
          <w:lang w:val="en-US" w:eastAsia="zh-CN"/>
        </w:rPr>
      </w:pPr>
      <w:r>
        <w:rPr>
          <w:rFonts w:eastAsia="方正黑体_GBK"/>
          <w:sz w:val="32"/>
          <w:szCs w:val="32"/>
          <w:highlight w:val="none"/>
        </w:rPr>
        <w:t>附件</w:t>
      </w:r>
      <w:r>
        <w:rPr>
          <w:rFonts w:hint="eastAsia" w:eastAsia="方正黑体_GBK"/>
          <w:sz w:val="32"/>
          <w:szCs w:val="32"/>
          <w:highlight w:val="none"/>
        </w:rPr>
        <w:t>1</w:t>
      </w:r>
      <w:r>
        <w:rPr>
          <w:rFonts w:hint="eastAsia" w:eastAsia="方正黑体_GBK"/>
          <w:sz w:val="32"/>
          <w:szCs w:val="32"/>
          <w:highlight w:val="none"/>
          <w:lang w:val="en-US" w:eastAsia="zh-CN"/>
        </w:rPr>
        <w:t>2</w:t>
      </w:r>
    </w:p>
    <w:p w14:paraId="4913C6CE">
      <w:pPr>
        <w:spacing w:line="580" w:lineRule="exact"/>
        <w:jc w:val="center"/>
        <w:rPr>
          <w:rFonts w:ascii="方正小标宋简体" w:eastAsia="方正小标宋简体"/>
          <w:sz w:val="44"/>
          <w:highlight w:val="none"/>
        </w:rPr>
      </w:pPr>
      <w:r>
        <w:rPr>
          <w:rFonts w:hint="eastAsia" w:eastAsia="方正大标宋_GBK"/>
          <w:bCs/>
          <w:sz w:val="44"/>
          <w:szCs w:val="44"/>
          <w:highlight w:val="none"/>
        </w:rPr>
        <w:t>办理政采贷和</w:t>
      </w:r>
      <w:r>
        <w:rPr>
          <w:rFonts w:eastAsia="方正大标宋_GBK"/>
          <w:bCs/>
          <w:sz w:val="44"/>
          <w:szCs w:val="44"/>
          <w:highlight w:val="none"/>
        </w:rPr>
        <w:t>履</w:t>
      </w:r>
      <w:r>
        <w:rPr>
          <w:rFonts w:hint="eastAsia" w:eastAsia="方正大标宋_GBK"/>
          <w:bCs/>
          <w:sz w:val="44"/>
          <w:szCs w:val="44"/>
          <w:highlight w:val="none"/>
        </w:rPr>
        <w:t>约保函（</w:t>
      </w:r>
      <w:r>
        <w:rPr>
          <w:rFonts w:eastAsia="方正大标宋_GBK"/>
          <w:bCs/>
          <w:sz w:val="44"/>
          <w:szCs w:val="44"/>
          <w:highlight w:val="none"/>
        </w:rPr>
        <w:t>保险</w:t>
      </w:r>
      <w:r>
        <w:rPr>
          <w:rFonts w:hint="eastAsia" w:eastAsia="方正大标宋_GBK"/>
          <w:bCs/>
          <w:sz w:val="44"/>
          <w:szCs w:val="44"/>
          <w:highlight w:val="none"/>
        </w:rPr>
        <w:t>）告知函</w:t>
      </w:r>
    </w:p>
    <w:p w14:paraId="19CC1F8F">
      <w:pPr>
        <w:rPr>
          <w:rFonts w:eastAsia="仿宋_GB2312"/>
          <w:sz w:val="32"/>
          <w:highlight w:val="none"/>
        </w:rPr>
      </w:pPr>
    </w:p>
    <w:p w14:paraId="142968D9">
      <w:pPr>
        <w:rPr>
          <w:rFonts w:eastAsia="仿宋_GB2312"/>
          <w:sz w:val="32"/>
          <w:highlight w:val="none"/>
        </w:rPr>
      </w:pPr>
      <w:r>
        <w:rPr>
          <w:rFonts w:hint="eastAsia" w:eastAsia="仿宋_GB2312"/>
          <w:sz w:val="32"/>
          <w:highlight w:val="none"/>
        </w:rPr>
        <w:t>各政府采购供应商：</w:t>
      </w:r>
    </w:p>
    <w:p w14:paraId="6A4E4258">
      <w:pPr>
        <w:ind w:firstLine="640"/>
        <w:rPr>
          <w:rFonts w:eastAsia="仿宋_GB2312"/>
          <w:sz w:val="32"/>
          <w:highlight w:val="none"/>
        </w:rPr>
      </w:pPr>
      <w:r>
        <w:rPr>
          <w:rFonts w:hint="eastAsia" w:eastAsia="仿宋_GB2312"/>
          <w:sz w:val="32"/>
          <w:highlight w:val="none"/>
        </w:rPr>
        <w:t>欢迎贵公司参与南通市政府采购活动！</w:t>
      </w:r>
    </w:p>
    <w:p w14:paraId="162428F2">
      <w:pPr>
        <w:ind w:firstLine="640"/>
        <w:rPr>
          <w:rFonts w:eastAsia="仿宋_GB2312"/>
          <w:sz w:val="32"/>
          <w:highlight w:val="none"/>
        </w:rPr>
      </w:pPr>
      <w:r>
        <w:rPr>
          <w:rFonts w:hint="eastAsia" w:eastAsia="仿宋_GB2312"/>
          <w:sz w:val="32"/>
          <w:highlight w:val="none"/>
        </w:rPr>
        <w:t>政府采购线上合同信用融资和</w:t>
      </w:r>
      <w:r>
        <w:rPr>
          <w:rFonts w:eastAsia="仿宋_GB2312"/>
          <w:sz w:val="32"/>
          <w:highlight w:val="none"/>
        </w:rPr>
        <w:t>履</w:t>
      </w:r>
      <w:r>
        <w:rPr>
          <w:rFonts w:hint="eastAsia" w:eastAsia="仿宋_GB2312"/>
          <w:sz w:val="32"/>
          <w:highlight w:val="none"/>
        </w:rPr>
        <w:t>约保函（</w:t>
      </w:r>
      <w:r>
        <w:rPr>
          <w:rFonts w:eastAsia="仿宋_GB2312"/>
          <w:sz w:val="32"/>
          <w:highlight w:val="none"/>
        </w:rPr>
        <w:t>保险</w:t>
      </w:r>
      <w:r>
        <w:rPr>
          <w:rFonts w:hint="eastAsia" w:eastAsia="仿宋_GB2312"/>
          <w:sz w:val="32"/>
          <w:highlight w:val="none"/>
        </w:rPr>
        <w:t>）是支持企业发展，针对参与政府采购活动的企业融资难、现金流不足等问题推出的一项服务举措。</w:t>
      </w:r>
    </w:p>
    <w:p w14:paraId="7400DD03">
      <w:pPr>
        <w:spacing w:line="580" w:lineRule="exact"/>
        <w:ind w:firstLine="640"/>
        <w:rPr>
          <w:rFonts w:eastAsia="仿宋_GB2312"/>
          <w:sz w:val="32"/>
          <w:szCs w:val="32"/>
          <w:highlight w:val="none"/>
        </w:rPr>
      </w:pPr>
      <w:r>
        <w:rPr>
          <w:rFonts w:hint="eastAsia" w:eastAsia="仿宋_GB2312"/>
          <w:sz w:val="32"/>
          <w:highlight w:val="none"/>
        </w:rPr>
        <w:t>贵公司若成为本次政府采购项目的中标（成交）供应商，</w:t>
      </w:r>
      <w:r>
        <w:rPr>
          <w:rFonts w:hint="eastAsia" w:ascii="仿宋_GB2312" w:eastAsia="仿宋_GB2312"/>
          <w:sz w:val="32"/>
          <w:szCs w:val="32"/>
          <w:highlight w:val="none"/>
        </w:rPr>
        <w:t>可自愿选择</w:t>
      </w:r>
      <w:r>
        <w:rPr>
          <w:rFonts w:eastAsia="仿宋_GB2312"/>
          <w:sz w:val="32"/>
          <w:highlight w:val="none"/>
        </w:rPr>
        <w:t>履</w:t>
      </w:r>
      <w:r>
        <w:rPr>
          <w:rFonts w:hint="eastAsia" w:eastAsia="仿宋_GB2312"/>
          <w:sz w:val="32"/>
          <w:highlight w:val="none"/>
        </w:rPr>
        <w:t>约保函（</w:t>
      </w:r>
      <w:r>
        <w:rPr>
          <w:rFonts w:eastAsia="仿宋_GB2312"/>
          <w:sz w:val="32"/>
          <w:highlight w:val="none"/>
        </w:rPr>
        <w:t>保险</w:t>
      </w:r>
      <w:r>
        <w:rPr>
          <w:rFonts w:hint="eastAsia" w:eastAsia="仿宋_GB2312"/>
          <w:sz w:val="32"/>
          <w:highlight w:val="none"/>
        </w:rPr>
        <w:t>）</w:t>
      </w:r>
      <w:r>
        <w:rPr>
          <w:rFonts w:hint="eastAsia" w:ascii="仿宋_GB2312" w:eastAsia="仿宋_GB2312"/>
          <w:sz w:val="32"/>
          <w:szCs w:val="32"/>
          <w:highlight w:val="none"/>
        </w:rPr>
        <w:t>形式替代履约保证金，也</w:t>
      </w:r>
      <w:r>
        <w:rPr>
          <w:rFonts w:hint="eastAsia" w:eastAsia="仿宋_GB2312"/>
          <w:sz w:val="32"/>
          <w:highlight w:val="none"/>
        </w:rPr>
        <w:t>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659119F3">
      <w:pPr>
        <w:widowControl/>
        <w:ind w:firstLine="560"/>
        <w:jc w:val="left"/>
        <w:rPr>
          <w:rFonts w:hint="eastAsia"/>
          <w:sz w:val="28"/>
          <w:szCs w:val="28"/>
          <w:highlight w:val="none"/>
        </w:rPr>
      </w:pPr>
    </w:p>
    <w:p w14:paraId="464DBFCD">
      <w:pPr>
        <w:pStyle w:val="37"/>
        <w:rPr>
          <w:rFonts w:hint="eastAsia"/>
          <w:highlight w:val="none"/>
          <w:lang w:val="en-US" w:eastAsia="zh-CN"/>
        </w:rPr>
        <w:sectPr>
          <w:footerReference r:id="rId5" w:type="first"/>
          <w:headerReference r:id="rId3" w:type="default"/>
          <w:footerReference r:id="rId4" w:type="default"/>
          <w:pgSz w:w="11906" w:h="16838"/>
          <w:pgMar w:top="1417" w:right="1587" w:bottom="1417" w:left="1366" w:header="851" w:footer="907" w:gutter="0"/>
          <w:pgNumType w:fmt="decimal" w:start="1"/>
          <w:cols w:space="1701" w:num="1"/>
          <w:titlePg/>
          <w:docGrid w:linePitch="360" w:charSpace="0"/>
        </w:sectPr>
      </w:pPr>
    </w:p>
    <w:p w14:paraId="126C1642">
      <w:pPr>
        <w:pStyle w:val="218"/>
        <w:rPr>
          <w:rFonts w:hint="eastAsia"/>
          <w:b/>
          <w:bCs/>
          <w:highlight w:val="none"/>
          <w:lang w:val="en-US" w:eastAsia="zh-CN"/>
        </w:rPr>
      </w:pPr>
      <w:r>
        <w:rPr>
          <w:rFonts w:hint="eastAsia"/>
          <w:b/>
          <w:bCs/>
          <w:highlight w:val="none"/>
          <w:lang w:val="en-US" w:eastAsia="zh-CN"/>
        </w:rPr>
        <w:t>附  件：</w:t>
      </w:r>
    </w:p>
    <w:p w14:paraId="7E44F048">
      <w:pPr>
        <w:pStyle w:val="218"/>
        <w:jc w:val="center"/>
        <w:rPr>
          <w:b/>
          <w:bCs/>
          <w:highlight w:val="none"/>
          <w:lang w:val="en-US" w:eastAsia="zh-CN"/>
        </w:rPr>
      </w:pPr>
      <w:r>
        <w:rPr>
          <w:rFonts w:hint="eastAsia"/>
          <w:b/>
          <w:bCs/>
          <w:highlight w:val="none"/>
          <w:lang w:val="en-US" w:eastAsia="zh-CN"/>
        </w:rPr>
        <w:t>检测项目清单及收费标准</w:t>
      </w:r>
    </w:p>
    <w:p w14:paraId="52FFAE6F">
      <w:pPr>
        <w:keepNext w:val="0"/>
        <w:keepLines w:val="0"/>
        <w:widowControl/>
        <w:suppressLineNumbers w:val="0"/>
        <w:jc w:val="center"/>
        <w:rPr>
          <w:rFonts w:hint="eastAsia" w:ascii="宋体" w:hAnsi="宋体" w:eastAsia="宋体" w:cs="宋体"/>
          <w:b/>
          <w:bCs/>
          <w:i w:val="0"/>
          <w:iCs w:val="0"/>
          <w:color w:val="000000"/>
          <w:sz w:val="21"/>
          <w:szCs w:val="21"/>
          <w:highlight w:val="none"/>
          <w:u w:val="none"/>
          <w:lang w:val="en-US" w:eastAsia="zh-CN" w:bidi="ar"/>
        </w:rPr>
      </w:pPr>
    </w:p>
    <w:tbl>
      <w:tblPr>
        <w:tblStyle w:val="29"/>
        <w:tblW w:w="4992" w:type="pct"/>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499"/>
        <w:gridCol w:w="1514"/>
        <w:gridCol w:w="1776"/>
        <w:gridCol w:w="1200"/>
        <w:gridCol w:w="1840"/>
        <w:gridCol w:w="1418"/>
        <w:gridCol w:w="907"/>
      </w:tblGrid>
      <w:tr w14:paraId="3ADF571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0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1ECF27A8">
            <w:pPr>
              <w:keepNext w:val="0"/>
              <w:keepLines w:val="0"/>
              <w:widowControl/>
              <w:suppressLineNumbers w:val="0"/>
              <w:jc w:val="left"/>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lang w:val="en-US" w:eastAsia="zh-CN" w:bidi="ar"/>
              </w:rPr>
              <w:t>序号</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79C94DD9">
            <w:pPr>
              <w:keepNext w:val="0"/>
              <w:keepLines w:val="0"/>
              <w:widowControl/>
              <w:suppressLineNumbers w:val="0"/>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lang w:val="en-US" w:eastAsia="zh-CN" w:bidi="ar"/>
              </w:rPr>
              <w:t>疾病类型</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47723AEB">
            <w:pPr>
              <w:keepNext w:val="0"/>
              <w:keepLines w:val="0"/>
              <w:widowControl/>
              <w:suppressLineNumbers w:val="0"/>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lang w:val="en-US" w:eastAsia="zh-CN" w:bidi="ar"/>
              </w:rPr>
              <w:t>产品名称</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1AC51A0">
            <w:pPr>
              <w:keepNext w:val="0"/>
              <w:keepLines w:val="0"/>
              <w:widowControl/>
              <w:suppressLineNumbers w:val="0"/>
              <w:jc w:val="center"/>
              <w:rPr>
                <w:rFonts w:hint="eastAsia" w:ascii="宋体" w:hAnsi="宋体" w:eastAsia="宋体" w:cs="宋体"/>
                <w:b/>
                <w:bCs/>
                <w:i w:val="0"/>
                <w:iCs w:val="0"/>
                <w:color w:val="000000"/>
                <w:sz w:val="18"/>
                <w:szCs w:val="18"/>
                <w:highlight w:val="none"/>
                <w:u w:val="none"/>
                <w:lang w:val="en-US" w:eastAsia="zh-CN" w:bidi="ar"/>
              </w:rPr>
            </w:pPr>
            <w:r>
              <w:rPr>
                <w:rFonts w:hint="eastAsia" w:ascii="宋体" w:hAnsi="宋体" w:eastAsia="宋体" w:cs="宋体"/>
                <w:b/>
                <w:bCs/>
                <w:i w:val="0"/>
                <w:iCs w:val="0"/>
                <w:color w:val="000000"/>
                <w:sz w:val="18"/>
                <w:szCs w:val="18"/>
                <w:highlight w:val="none"/>
                <w:u w:val="none"/>
                <w:lang w:val="en-US" w:eastAsia="zh-CN" w:bidi="ar"/>
              </w:rPr>
              <w:t>检测</w:t>
            </w:r>
          </w:p>
          <w:p w14:paraId="2B1DF4E5">
            <w:pPr>
              <w:keepNext w:val="0"/>
              <w:keepLines w:val="0"/>
              <w:widowControl/>
              <w:suppressLineNumbers w:val="0"/>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lang w:val="en-US" w:eastAsia="zh-CN" w:bidi="ar"/>
              </w:rPr>
              <w:t>方法</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42BC8F4">
            <w:pPr>
              <w:keepNext w:val="0"/>
              <w:keepLines w:val="0"/>
              <w:widowControl/>
              <w:suppressLineNumbers w:val="0"/>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lang w:val="en-US" w:eastAsia="zh-CN" w:bidi="ar"/>
              </w:rPr>
              <w:t>样本类型</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03B715B0">
            <w:pPr>
              <w:keepNext w:val="0"/>
              <w:keepLines w:val="0"/>
              <w:widowControl/>
              <w:suppressLineNumbers w:val="0"/>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lang w:val="en-US" w:eastAsia="zh-CN" w:bidi="ar"/>
              </w:rPr>
              <w:t>检测限定周期</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7EF65C82">
            <w:pPr>
              <w:keepNext w:val="0"/>
              <w:keepLines w:val="0"/>
              <w:widowControl/>
              <w:suppressLineNumbers w:val="0"/>
              <w:jc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lang w:val="en-US" w:eastAsia="zh-CN" w:bidi="ar"/>
              </w:rPr>
              <w:t>收费限价(元/例)</w:t>
            </w:r>
          </w:p>
        </w:tc>
      </w:tr>
      <w:tr w14:paraId="12D9C16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00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3139419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08D7A25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非小细胞肺癌、结直肠癌、黑色素瘤、胃肠道间质瘤</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633410F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肿瘤13基因检测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5E99664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2AA1A7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肿瘤组织/胸腹水/外周血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2E89A69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6FA9EF7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5600</w:t>
            </w:r>
          </w:p>
        </w:tc>
      </w:tr>
      <w:tr w14:paraId="1971A09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5E9B440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065CE15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非小细胞肺癌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436DE65A">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非小细胞肺癌68基因检测(+MSI)</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58AD66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6A3E05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56B5510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3B764DD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7000</w:t>
            </w:r>
          </w:p>
        </w:tc>
      </w:tr>
      <w:tr w14:paraId="00009DE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0401B32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w:t>
            </w:r>
          </w:p>
        </w:tc>
        <w:tc>
          <w:tcPr>
            <w:tcW w:w="1514" w:type="dxa"/>
            <w:vMerge w:val="restart"/>
            <w:tcBorders>
              <w:top w:val="single" w:color="000000" w:sz="4" w:space="0"/>
              <w:left w:val="single" w:color="000000" w:sz="4" w:space="0"/>
              <w:bottom w:val="single" w:color="000000" w:sz="4" w:space="0"/>
              <w:right w:val="single" w:color="000000" w:sz="4" w:space="0"/>
            </w:tcBorders>
            <w:noWrap w:val="0"/>
            <w:vAlign w:val="center"/>
          </w:tcPr>
          <w:p w14:paraId="426D67FA">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非小细胞肺癌</w:t>
            </w:r>
          </w:p>
        </w:tc>
        <w:tc>
          <w:tcPr>
            <w:tcW w:w="1776" w:type="dxa"/>
            <w:vMerge w:val="restart"/>
            <w:tcBorders>
              <w:top w:val="single" w:color="000000" w:sz="4" w:space="0"/>
              <w:left w:val="single" w:color="000000" w:sz="4" w:space="0"/>
              <w:bottom w:val="single" w:color="000000" w:sz="4" w:space="0"/>
              <w:right w:val="single" w:color="000000" w:sz="4" w:space="0"/>
            </w:tcBorders>
            <w:noWrap w:val="0"/>
            <w:vAlign w:val="center"/>
          </w:tcPr>
          <w:p w14:paraId="60D4D91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EGFR基因突变检测</w:t>
            </w:r>
          </w:p>
        </w:tc>
        <w:tc>
          <w:tcPr>
            <w:tcW w:w="1200" w:type="dxa"/>
            <w:vMerge w:val="restart"/>
            <w:tcBorders>
              <w:top w:val="single" w:color="000000" w:sz="4" w:space="0"/>
              <w:left w:val="single" w:color="000000" w:sz="4" w:space="0"/>
              <w:bottom w:val="single" w:color="000000" w:sz="4" w:space="0"/>
              <w:right w:val="single" w:color="000000" w:sz="4" w:space="0"/>
            </w:tcBorders>
            <w:noWrap w:val="0"/>
            <w:vAlign w:val="center"/>
          </w:tcPr>
          <w:p w14:paraId="4F88120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4D6686B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肿瘤组织/外周血/胸水</w:t>
            </w: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6E7958A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到样本后3个自然日</w:t>
            </w:r>
          </w:p>
        </w:tc>
        <w:tc>
          <w:tcPr>
            <w:tcW w:w="907" w:type="dxa"/>
            <w:vMerge w:val="restart"/>
            <w:tcBorders>
              <w:top w:val="single" w:color="000000" w:sz="4" w:space="0"/>
              <w:left w:val="single" w:color="000000" w:sz="4" w:space="0"/>
              <w:bottom w:val="single" w:color="000000" w:sz="4" w:space="0"/>
              <w:right w:val="single" w:color="000000" w:sz="4" w:space="0"/>
            </w:tcBorders>
            <w:noWrap w:val="0"/>
            <w:vAlign w:val="center"/>
          </w:tcPr>
          <w:p w14:paraId="7FF174A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1800</w:t>
            </w:r>
          </w:p>
        </w:tc>
      </w:tr>
      <w:tr w14:paraId="30ED765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47221D0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w:t>
            </w:r>
          </w:p>
        </w:tc>
        <w:tc>
          <w:tcPr>
            <w:tcW w:w="1514" w:type="dxa"/>
            <w:vMerge w:val="restart"/>
            <w:tcBorders>
              <w:top w:val="single" w:color="000000" w:sz="4" w:space="0"/>
              <w:left w:val="single" w:color="000000" w:sz="4" w:space="0"/>
              <w:bottom w:val="single" w:color="000000" w:sz="4" w:space="0"/>
              <w:right w:val="single" w:color="000000" w:sz="4" w:space="0"/>
            </w:tcBorders>
            <w:noWrap w:val="0"/>
            <w:vAlign w:val="center"/>
          </w:tcPr>
          <w:p w14:paraId="145F091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非小细胞肺癌</w:t>
            </w:r>
          </w:p>
        </w:tc>
        <w:tc>
          <w:tcPr>
            <w:tcW w:w="1776" w:type="dxa"/>
            <w:vMerge w:val="restart"/>
            <w:tcBorders>
              <w:top w:val="single" w:color="000000" w:sz="4" w:space="0"/>
              <w:left w:val="single" w:color="000000" w:sz="4" w:space="0"/>
              <w:bottom w:val="single" w:color="000000" w:sz="4" w:space="0"/>
              <w:right w:val="single" w:color="000000" w:sz="4" w:space="0"/>
            </w:tcBorders>
            <w:noWrap w:val="0"/>
            <w:vAlign w:val="center"/>
          </w:tcPr>
          <w:p w14:paraId="2E2860F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EGFR基因T790M突变检测</w:t>
            </w:r>
          </w:p>
        </w:tc>
        <w:tc>
          <w:tcPr>
            <w:tcW w:w="1200" w:type="dxa"/>
            <w:vMerge w:val="restart"/>
            <w:tcBorders>
              <w:top w:val="single" w:color="000000" w:sz="4" w:space="0"/>
              <w:left w:val="single" w:color="000000" w:sz="4" w:space="0"/>
              <w:bottom w:val="single" w:color="000000" w:sz="4" w:space="0"/>
              <w:right w:val="single" w:color="000000" w:sz="4" w:space="0"/>
            </w:tcBorders>
            <w:noWrap w:val="0"/>
            <w:vAlign w:val="center"/>
          </w:tcPr>
          <w:p w14:paraId="23B004B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数字PCR法</w:t>
            </w:r>
          </w:p>
        </w:tc>
        <w:tc>
          <w:tcPr>
            <w:tcW w:w="1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52249E6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肿瘤组织样本/胸水/外周血</w:t>
            </w: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0EDDE61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到样本后4-5个自然日</w:t>
            </w:r>
          </w:p>
        </w:tc>
        <w:tc>
          <w:tcPr>
            <w:tcW w:w="907" w:type="dxa"/>
            <w:vMerge w:val="restart"/>
            <w:tcBorders>
              <w:top w:val="single" w:color="000000" w:sz="4" w:space="0"/>
              <w:left w:val="single" w:color="000000" w:sz="4" w:space="0"/>
              <w:bottom w:val="single" w:color="000000" w:sz="4" w:space="0"/>
              <w:right w:val="single" w:color="000000" w:sz="4" w:space="0"/>
            </w:tcBorders>
            <w:noWrap w:val="0"/>
            <w:vAlign w:val="center"/>
          </w:tcPr>
          <w:p w14:paraId="033E137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800</w:t>
            </w:r>
          </w:p>
        </w:tc>
      </w:tr>
      <w:tr w14:paraId="6419397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1CEB3CA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w:t>
            </w:r>
          </w:p>
        </w:tc>
        <w:tc>
          <w:tcPr>
            <w:tcW w:w="1514" w:type="dxa"/>
            <w:vMerge w:val="restart"/>
            <w:tcBorders>
              <w:top w:val="single" w:color="000000" w:sz="4" w:space="0"/>
              <w:left w:val="single" w:color="000000" w:sz="4" w:space="0"/>
              <w:bottom w:val="single" w:color="000000" w:sz="4" w:space="0"/>
              <w:right w:val="single" w:color="000000" w:sz="4" w:space="0"/>
            </w:tcBorders>
            <w:noWrap w:val="0"/>
            <w:vAlign w:val="center"/>
          </w:tcPr>
          <w:p w14:paraId="60A8F5A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非小细胞肺癌、结直肠癌</w:t>
            </w:r>
          </w:p>
        </w:tc>
        <w:tc>
          <w:tcPr>
            <w:tcW w:w="1776" w:type="dxa"/>
            <w:vMerge w:val="restart"/>
            <w:tcBorders>
              <w:top w:val="single" w:color="000000" w:sz="4" w:space="0"/>
              <w:left w:val="single" w:color="000000" w:sz="4" w:space="0"/>
              <w:bottom w:val="single" w:color="000000" w:sz="4" w:space="0"/>
              <w:right w:val="single" w:color="000000" w:sz="4" w:space="0"/>
            </w:tcBorders>
            <w:noWrap w:val="0"/>
            <w:vAlign w:val="center"/>
          </w:tcPr>
          <w:p w14:paraId="56934C5E">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K-ras基因突变检测</w:t>
            </w:r>
          </w:p>
        </w:tc>
        <w:tc>
          <w:tcPr>
            <w:tcW w:w="1200" w:type="dxa"/>
            <w:vMerge w:val="restart"/>
            <w:tcBorders>
              <w:top w:val="single" w:color="000000" w:sz="4" w:space="0"/>
              <w:left w:val="single" w:color="000000" w:sz="4" w:space="0"/>
              <w:bottom w:val="single" w:color="000000" w:sz="4" w:space="0"/>
              <w:right w:val="single" w:color="000000" w:sz="4" w:space="0"/>
            </w:tcBorders>
            <w:noWrap w:val="0"/>
            <w:vAlign w:val="center"/>
          </w:tcPr>
          <w:p w14:paraId="42960F5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1315507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肿瘤组织/外周血/胸腹水</w:t>
            </w: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0CB627C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到样本后3个自然日</w:t>
            </w:r>
          </w:p>
        </w:tc>
        <w:tc>
          <w:tcPr>
            <w:tcW w:w="907" w:type="dxa"/>
            <w:vMerge w:val="restart"/>
            <w:tcBorders>
              <w:top w:val="single" w:color="000000" w:sz="4" w:space="0"/>
              <w:left w:val="single" w:color="000000" w:sz="4" w:space="0"/>
              <w:bottom w:val="single" w:color="000000" w:sz="4" w:space="0"/>
              <w:right w:val="single" w:color="000000" w:sz="4" w:space="0"/>
            </w:tcBorders>
            <w:noWrap w:val="0"/>
            <w:vAlign w:val="center"/>
          </w:tcPr>
          <w:p w14:paraId="77B034A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1800</w:t>
            </w:r>
          </w:p>
        </w:tc>
      </w:tr>
      <w:tr w14:paraId="089730D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600E049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6</w:t>
            </w:r>
          </w:p>
        </w:tc>
        <w:tc>
          <w:tcPr>
            <w:tcW w:w="1514" w:type="dxa"/>
            <w:vMerge w:val="restart"/>
            <w:tcBorders>
              <w:top w:val="single" w:color="000000" w:sz="4" w:space="0"/>
              <w:left w:val="single" w:color="000000" w:sz="4" w:space="0"/>
              <w:bottom w:val="single" w:color="000000" w:sz="4" w:space="0"/>
              <w:right w:val="single" w:color="000000" w:sz="4" w:space="0"/>
            </w:tcBorders>
            <w:noWrap w:val="0"/>
            <w:vAlign w:val="center"/>
          </w:tcPr>
          <w:p w14:paraId="5EC963BA">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非小细胞肺癌</w:t>
            </w:r>
          </w:p>
        </w:tc>
        <w:tc>
          <w:tcPr>
            <w:tcW w:w="1776" w:type="dxa"/>
            <w:vMerge w:val="restart"/>
            <w:tcBorders>
              <w:top w:val="single" w:color="000000" w:sz="4" w:space="0"/>
              <w:left w:val="single" w:color="000000" w:sz="4" w:space="0"/>
              <w:bottom w:val="single" w:color="000000" w:sz="4" w:space="0"/>
              <w:right w:val="single" w:color="000000" w:sz="4" w:space="0"/>
            </w:tcBorders>
            <w:noWrap w:val="0"/>
            <w:vAlign w:val="center"/>
          </w:tcPr>
          <w:p w14:paraId="10EAF74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EML4-ALK基因融合检测</w:t>
            </w:r>
          </w:p>
        </w:tc>
        <w:tc>
          <w:tcPr>
            <w:tcW w:w="1200" w:type="dxa"/>
            <w:vMerge w:val="restart"/>
            <w:tcBorders>
              <w:top w:val="single" w:color="000000" w:sz="4" w:space="0"/>
              <w:left w:val="single" w:color="000000" w:sz="4" w:space="0"/>
              <w:bottom w:val="single" w:color="000000" w:sz="4" w:space="0"/>
              <w:right w:val="single" w:color="000000" w:sz="4" w:space="0"/>
            </w:tcBorders>
            <w:noWrap w:val="0"/>
            <w:vAlign w:val="center"/>
          </w:tcPr>
          <w:p w14:paraId="4124E40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7706D02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肿瘤组织/胸水</w:t>
            </w: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2BDA4AC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到样本后3个自然日</w:t>
            </w:r>
          </w:p>
        </w:tc>
        <w:tc>
          <w:tcPr>
            <w:tcW w:w="907" w:type="dxa"/>
            <w:vMerge w:val="restart"/>
            <w:tcBorders>
              <w:top w:val="single" w:color="000000" w:sz="4" w:space="0"/>
              <w:left w:val="single" w:color="000000" w:sz="4" w:space="0"/>
              <w:bottom w:val="single" w:color="000000" w:sz="4" w:space="0"/>
              <w:right w:val="single" w:color="000000" w:sz="4" w:space="0"/>
            </w:tcBorders>
            <w:noWrap w:val="0"/>
            <w:vAlign w:val="center"/>
          </w:tcPr>
          <w:p w14:paraId="20F3E6B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1800</w:t>
            </w:r>
          </w:p>
        </w:tc>
      </w:tr>
      <w:tr w14:paraId="0E741C8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725C81B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w:t>
            </w:r>
          </w:p>
        </w:tc>
        <w:tc>
          <w:tcPr>
            <w:tcW w:w="1514" w:type="dxa"/>
            <w:vMerge w:val="restart"/>
            <w:tcBorders>
              <w:top w:val="single" w:color="000000" w:sz="4" w:space="0"/>
              <w:left w:val="single" w:color="000000" w:sz="4" w:space="0"/>
              <w:bottom w:val="single" w:color="000000" w:sz="4" w:space="0"/>
              <w:right w:val="single" w:color="000000" w:sz="4" w:space="0"/>
            </w:tcBorders>
            <w:noWrap w:val="0"/>
            <w:vAlign w:val="center"/>
          </w:tcPr>
          <w:p w14:paraId="664C149E">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非小细胞肺癌</w:t>
            </w:r>
          </w:p>
        </w:tc>
        <w:tc>
          <w:tcPr>
            <w:tcW w:w="1776" w:type="dxa"/>
            <w:vMerge w:val="restart"/>
            <w:tcBorders>
              <w:top w:val="single" w:color="000000" w:sz="4" w:space="0"/>
              <w:left w:val="single" w:color="000000" w:sz="4" w:space="0"/>
              <w:bottom w:val="single" w:color="000000" w:sz="4" w:space="0"/>
              <w:right w:val="single" w:color="000000" w:sz="4" w:space="0"/>
            </w:tcBorders>
            <w:noWrap w:val="0"/>
            <w:vAlign w:val="center"/>
          </w:tcPr>
          <w:p w14:paraId="754B1B1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ROS1基因融合检测</w:t>
            </w:r>
          </w:p>
        </w:tc>
        <w:tc>
          <w:tcPr>
            <w:tcW w:w="1200" w:type="dxa"/>
            <w:vMerge w:val="restart"/>
            <w:tcBorders>
              <w:top w:val="single" w:color="000000" w:sz="4" w:space="0"/>
              <w:left w:val="single" w:color="000000" w:sz="4" w:space="0"/>
              <w:bottom w:val="single" w:color="000000" w:sz="4" w:space="0"/>
              <w:right w:val="single" w:color="000000" w:sz="4" w:space="0"/>
            </w:tcBorders>
            <w:noWrap w:val="0"/>
            <w:vAlign w:val="center"/>
          </w:tcPr>
          <w:p w14:paraId="0CA3896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05C913C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肿瘤组织/胸水</w:t>
            </w: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1A34629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到样后3个自然日</w:t>
            </w:r>
          </w:p>
        </w:tc>
        <w:tc>
          <w:tcPr>
            <w:tcW w:w="907" w:type="dxa"/>
            <w:vMerge w:val="restart"/>
            <w:tcBorders>
              <w:top w:val="single" w:color="000000" w:sz="4" w:space="0"/>
              <w:left w:val="single" w:color="000000" w:sz="4" w:space="0"/>
              <w:bottom w:val="single" w:color="000000" w:sz="4" w:space="0"/>
              <w:right w:val="single" w:color="000000" w:sz="4" w:space="0"/>
            </w:tcBorders>
            <w:noWrap w:val="0"/>
            <w:vAlign w:val="center"/>
          </w:tcPr>
          <w:p w14:paraId="5323EC2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1600</w:t>
            </w:r>
          </w:p>
        </w:tc>
      </w:tr>
      <w:tr w14:paraId="3C21AFD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4B8E658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w:t>
            </w:r>
          </w:p>
        </w:tc>
        <w:tc>
          <w:tcPr>
            <w:tcW w:w="1514" w:type="dxa"/>
            <w:vMerge w:val="restart"/>
            <w:tcBorders>
              <w:top w:val="single" w:color="000000" w:sz="4" w:space="0"/>
              <w:left w:val="single" w:color="000000" w:sz="4" w:space="0"/>
              <w:bottom w:val="single" w:color="000000" w:sz="4" w:space="0"/>
              <w:right w:val="single" w:color="000000" w:sz="4" w:space="0"/>
            </w:tcBorders>
            <w:noWrap w:val="0"/>
            <w:vAlign w:val="center"/>
          </w:tcPr>
          <w:p w14:paraId="2C0BF57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非小细胞肺癌</w:t>
            </w:r>
          </w:p>
        </w:tc>
        <w:tc>
          <w:tcPr>
            <w:tcW w:w="1776" w:type="dxa"/>
            <w:vMerge w:val="restart"/>
            <w:tcBorders>
              <w:top w:val="single" w:color="000000" w:sz="4" w:space="0"/>
              <w:left w:val="single" w:color="000000" w:sz="4" w:space="0"/>
              <w:bottom w:val="single" w:color="000000" w:sz="4" w:space="0"/>
              <w:right w:val="single" w:color="000000" w:sz="4" w:space="0"/>
            </w:tcBorders>
            <w:noWrap w:val="0"/>
            <w:vAlign w:val="center"/>
          </w:tcPr>
          <w:p w14:paraId="747F32E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MET基因外显子14跳跃突变检测</w:t>
            </w:r>
          </w:p>
        </w:tc>
        <w:tc>
          <w:tcPr>
            <w:tcW w:w="1200" w:type="dxa"/>
            <w:vMerge w:val="restart"/>
            <w:tcBorders>
              <w:top w:val="single" w:color="000000" w:sz="4" w:space="0"/>
              <w:left w:val="single" w:color="000000" w:sz="4" w:space="0"/>
              <w:bottom w:val="single" w:color="000000" w:sz="4" w:space="0"/>
              <w:right w:val="single" w:color="000000" w:sz="4" w:space="0"/>
            </w:tcBorders>
            <w:noWrap w:val="0"/>
            <w:vAlign w:val="center"/>
          </w:tcPr>
          <w:p w14:paraId="0AA99EF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757DFC7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w:t>
            </w: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421D0C2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到样后3个自然日</w:t>
            </w:r>
          </w:p>
        </w:tc>
        <w:tc>
          <w:tcPr>
            <w:tcW w:w="907" w:type="dxa"/>
            <w:vMerge w:val="restart"/>
            <w:tcBorders>
              <w:top w:val="single" w:color="000000" w:sz="4" w:space="0"/>
              <w:left w:val="single" w:color="000000" w:sz="4" w:space="0"/>
              <w:bottom w:val="single" w:color="000000" w:sz="4" w:space="0"/>
              <w:right w:val="single" w:color="000000" w:sz="4" w:space="0"/>
            </w:tcBorders>
            <w:noWrap w:val="0"/>
            <w:vAlign w:val="center"/>
          </w:tcPr>
          <w:p w14:paraId="25AB2B1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1800</w:t>
            </w:r>
          </w:p>
        </w:tc>
      </w:tr>
      <w:tr w14:paraId="70FA883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0083153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w:t>
            </w:r>
          </w:p>
        </w:tc>
        <w:tc>
          <w:tcPr>
            <w:tcW w:w="1514" w:type="dxa"/>
            <w:vMerge w:val="restart"/>
            <w:tcBorders>
              <w:top w:val="single" w:color="000000" w:sz="4" w:space="0"/>
              <w:left w:val="single" w:color="000000" w:sz="4" w:space="0"/>
              <w:bottom w:val="single" w:color="000000" w:sz="4" w:space="0"/>
              <w:right w:val="single" w:color="000000" w:sz="4" w:space="0"/>
            </w:tcBorders>
            <w:noWrap w:val="0"/>
            <w:vAlign w:val="center"/>
          </w:tcPr>
          <w:p w14:paraId="63B32E7E">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非小细胞肺癌</w:t>
            </w:r>
          </w:p>
        </w:tc>
        <w:tc>
          <w:tcPr>
            <w:tcW w:w="1776" w:type="dxa"/>
            <w:vMerge w:val="restart"/>
            <w:tcBorders>
              <w:top w:val="single" w:color="000000" w:sz="4" w:space="0"/>
              <w:left w:val="single" w:color="000000" w:sz="4" w:space="0"/>
              <w:bottom w:val="single" w:color="000000" w:sz="4" w:space="0"/>
              <w:right w:val="single" w:color="000000" w:sz="4" w:space="0"/>
            </w:tcBorders>
            <w:noWrap w:val="0"/>
            <w:vAlign w:val="center"/>
          </w:tcPr>
          <w:p w14:paraId="7343F53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肺癌3基因检测</w:t>
            </w:r>
          </w:p>
        </w:tc>
        <w:tc>
          <w:tcPr>
            <w:tcW w:w="1200" w:type="dxa"/>
            <w:vMerge w:val="restart"/>
            <w:tcBorders>
              <w:top w:val="single" w:color="000000" w:sz="4" w:space="0"/>
              <w:left w:val="single" w:color="000000" w:sz="4" w:space="0"/>
              <w:bottom w:val="single" w:color="000000" w:sz="4" w:space="0"/>
              <w:right w:val="single" w:color="000000" w:sz="4" w:space="0"/>
            </w:tcBorders>
            <w:noWrap w:val="0"/>
            <w:vAlign w:val="center"/>
          </w:tcPr>
          <w:p w14:paraId="21C1A5E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1A56C9D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肿瘤组织样本/外周血</w:t>
            </w: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3A71D98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到样后3个自然日</w:t>
            </w:r>
          </w:p>
        </w:tc>
        <w:tc>
          <w:tcPr>
            <w:tcW w:w="907" w:type="dxa"/>
            <w:vMerge w:val="restart"/>
            <w:tcBorders>
              <w:top w:val="single" w:color="000000" w:sz="4" w:space="0"/>
              <w:left w:val="single" w:color="000000" w:sz="4" w:space="0"/>
              <w:bottom w:val="single" w:color="000000" w:sz="4" w:space="0"/>
              <w:right w:val="single" w:color="000000" w:sz="4" w:space="0"/>
            </w:tcBorders>
            <w:noWrap w:val="0"/>
            <w:vAlign w:val="center"/>
          </w:tcPr>
          <w:p w14:paraId="57EB30A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3200</w:t>
            </w:r>
          </w:p>
        </w:tc>
      </w:tr>
      <w:tr w14:paraId="48CE29D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1111309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10</w:t>
            </w:r>
          </w:p>
        </w:tc>
        <w:tc>
          <w:tcPr>
            <w:tcW w:w="1514" w:type="dxa"/>
            <w:vMerge w:val="restart"/>
            <w:tcBorders>
              <w:top w:val="single" w:color="000000" w:sz="4" w:space="0"/>
              <w:left w:val="single" w:color="000000" w:sz="4" w:space="0"/>
              <w:bottom w:val="single" w:color="000000" w:sz="4" w:space="0"/>
              <w:right w:val="single" w:color="000000" w:sz="4" w:space="0"/>
            </w:tcBorders>
            <w:noWrap w:val="0"/>
            <w:vAlign w:val="center"/>
          </w:tcPr>
          <w:p w14:paraId="3163915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黑色素瘤、非小细胞肺癌、结直肠癌、甲状腺乳头状癌</w:t>
            </w:r>
          </w:p>
        </w:tc>
        <w:tc>
          <w:tcPr>
            <w:tcW w:w="1776" w:type="dxa"/>
            <w:vMerge w:val="restart"/>
            <w:tcBorders>
              <w:top w:val="single" w:color="000000" w:sz="4" w:space="0"/>
              <w:left w:val="single" w:color="000000" w:sz="4" w:space="0"/>
              <w:bottom w:val="single" w:color="000000" w:sz="4" w:space="0"/>
              <w:right w:val="single" w:color="000000" w:sz="4" w:space="0"/>
            </w:tcBorders>
            <w:noWrap w:val="0"/>
            <w:vAlign w:val="center"/>
          </w:tcPr>
          <w:p w14:paraId="49BA3D8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B-raf基因突变检测</w:t>
            </w:r>
          </w:p>
        </w:tc>
        <w:tc>
          <w:tcPr>
            <w:tcW w:w="1200" w:type="dxa"/>
            <w:vMerge w:val="restart"/>
            <w:tcBorders>
              <w:top w:val="single" w:color="000000" w:sz="4" w:space="0"/>
              <w:left w:val="single" w:color="000000" w:sz="4" w:space="0"/>
              <w:bottom w:val="single" w:color="000000" w:sz="4" w:space="0"/>
              <w:right w:val="single" w:color="000000" w:sz="4" w:space="0"/>
            </w:tcBorders>
            <w:noWrap w:val="0"/>
            <w:vAlign w:val="center"/>
          </w:tcPr>
          <w:p w14:paraId="4C50337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0E0D97E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肿瘤组织/外周血/FNA</w:t>
            </w: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08CADFA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到样后3个自然日</w:t>
            </w:r>
          </w:p>
        </w:tc>
        <w:tc>
          <w:tcPr>
            <w:tcW w:w="907" w:type="dxa"/>
            <w:vMerge w:val="restart"/>
            <w:tcBorders>
              <w:top w:val="single" w:color="000000" w:sz="4" w:space="0"/>
              <w:left w:val="single" w:color="000000" w:sz="4" w:space="0"/>
              <w:bottom w:val="single" w:color="000000" w:sz="4" w:space="0"/>
              <w:right w:val="single" w:color="000000" w:sz="4" w:space="0"/>
            </w:tcBorders>
            <w:noWrap w:val="0"/>
            <w:vAlign w:val="center"/>
          </w:tcPr>
          <w:p w14:paraId="3F479B7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800</w:t>
            </w:r>
          </w:p>
        </w:tc>
      </w:tr>
      <w:tr w14:paraId="6A86253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4EF0714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11</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3B1BF6E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结直肠癌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4204DD7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结直肠癌3基因检测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06B941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D822FC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肿瘤组织样本/外周血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2C86053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187BA5D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2800</w:t>
            </w:r>
          </w:p>
        </w:tc>
      </w:tr>
      <w:tr w14:paraId="54F9EF0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349B946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5B1FB99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结直肠癌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0613DDF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结直肠癌8基因检测(+MSI)</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D0E19B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D24ABA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肿瘤组织样本</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05DF546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4F9FDFF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5600</w:t>
            </w:r>
          </w:p>
        </w:tc>
      </w:tr>
      <w:tr w14:paraId="28F2E7D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0B22D77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13</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487601C0">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结直肠癌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45071AA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结直肠癌66基因检测(+MSI)</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A74A62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B3A6E4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0DEEBE9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2021D6B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8400</w:t>
            </w:r>
          </w:p>
        </w:tc>
      </w:tr>
      <w:tr w14:paraId="5CBCB81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1C3A9FE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14</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51E9A4F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林奇综合征相关癌种</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37C46BA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林奇综合征基因检测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7688402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878C36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03F9AF0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3E08A49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4200</w:t>
            </w:r>
          </w:p>
        </w:tc>
      </w:tr>
      <w:tr w14:paraId="331081A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3563901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w:t>
            </w:r>
          </w:p>
        </w:tc>
        <w:tc>
          <w:tcPr>
            <w:tcW w:w="1514" w:type="dxa"/>
            <w:vMerge w:val="restart"/>
            <w:tcBorders>
              <w:top w:val="single" w:color="000000" w:sz="4" w:space="0"/>
              <w:left w:val="single" w:color="000000" w:sz="4" w:space="0"/>
              <w:bottom w:val="single" w:color="000000" w:sz="4" w:space="0"/>
              <w:right w:val="single" w:color="000000" w:sz="4" w:space="0"/>
            </w:tcBorders>
            <w:noWrap w:val="0"/>
            <w:vAlign w:val="center"/>
          </w:tcPr>
          <w:p w14:paraId="711C570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结直肠癌、子宫内膜癌等</w:t>
            </w:r>
          </w:p>
        </w:tc>
        <w:tc>
          <w:tcPr>
            <w:tcW w:w="1776" w:type="dxa"/>
            <w:vMerge w:val="restart"/>
            <w:tcBorders>
              <w:top w:val="single" w:color="000000" w:sz="4" w:space="0"/>
              <w:left w:val="single" w:color="000000" w:sz="4" w:space="0"/>
              <w:bottom w:val="single" w:color="000000" w:sz="4" w:space="0"/>
              <w:right w:val="single" w:color="000000" w:sz="4" w:space="0"/>
            </w:tcBorders>
            <w:noWrap w:val="0"/>
            <w:vAlign w:val="center"/>
          </w:tcPr>
          <w:p w14:paraId="6AFC0E3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MLH1基因甲基化检测</w:t>
            </w:r>
          </w:p>
        </w:tc>
        <w:tc>
          <w:tcPr>
            <w:tcW w:w="1200" w:type="dxa"/>
            <w:vMerge w:val="restart"/>
            <w:tcBorders>
              <w:top w:val="single" w:color="000000" w:sz="4" w:space="0"/>
              <w:left w:val="single" w:color="000000" w:sz="4" w:space="0"/>
              <w:bottom w:val="single" w:color="000000" w:sz="4" w:space="0"/>
              <w:right w:val="single" w:color="000000" w:sz="4" w:space="0"/>
            </w:tcBorders>
            <w:noWrap w:val="0"/>
            <w:vAlign w:val="center"/>
          </w:tcPr>
          <w:p w14:paraId="475F3D4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0824BB3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w:t>
            </w: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24D2661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到样后3个自然日</w:t>
            </w:r>
          </w:p>
        </w:tc>
        <w:tc>
          <w:tcPr>
            <w:tcW w:w="907" w:type="dxa"/>
            <w:vMerge w:val="restart"/>
            <w:tcBorders>
              <w:top w:val="single" w:color="000000" w:sz="4" w:space="0"/>
              <w:left w:val="single" w:color="000000" w:sz="4" w:space="0"/>
              <w:bottom w:val="single" w:color="000000" w:sz="4" w:space="0"/>
              <w:right w:val="single" w:color="000000" w:sz="4" w:space="0"/>
            </w:tcBorders>
            <w:noWrap w:val="0"/>
            <w:vAlign w:val="center"/>
          </w:tcPr>
          <w:p w14:paraId="263F247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800</w:t>
            </w:r>
          </w:p>
        </w:tc>
      </w:tr>
      <w:tr w14:paraId="53098A2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53A96BB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w:t>
            </w:r>
          </w:p>
        </w:tc>
        <w:tc>
          <w:tcPr>
            <w:tcW w:w="1514" w:type="dxa"/>
            <w:vMerge w:val="restart"/>
            <w:tcBorders>
              <w:top w:val="single" w:color="000000" w:sz="4" w:space="0"/>
              <w:left w:val="single" w:color="000000" w:sz="4" w:space="0"/>
              <w:bottom w:val="single" w:color="000000" w:sz="4" w:space="0"/>
              <w:right w:val="single" w:color="000000" w:sz="4" w:space="0"/>
            </w:tcBorders>
            <w:noWrap w:val="0"/>
            <w:vAlign w:val="center"/>
          </w:tcPr>
          <w:p w14:paraId="2AAC804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结直肠癌</w:t>
            </w:r>
          </w:p>
        </w:tc>
        <w:tc>
          <w:tcPr>
            <w:tcW w:w="1776" w:type="dxa"/>
            <w:vMerge w:val="restart"/>
            <w:tcBorders>
              <w:top w:val="single" w:color="000000" w:sz="4" w:space="0"/>
              <w:left w:val="single" w:color="000000" w:sz="4" w:space="0"/>
              <w:bottom w:val="single" w:color="000000" w:sz="4" w:space="0"/>
              <w:right w:val="single" w:color="000000" w:sz="4" w:space="0"/>
            </w:tcBorders>
            <w:noWrap w:val="0"/>
            <w:vAlign w:val="center"/>
          </w:tcPr>
          <w:p w14:paraId="16B3DDE1">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KRAS/NRAS/PIK3CA/BRAF基因突变检测</w:t>
            </w:r>
          </w:p>
        </w:tc>
        <w:tc>
          <w:tcPr>
            <w:tcW w:w="1200" w:type="dxa"/>
            <w:vMerge w:val="restart"/>
            <w:tcBorders>
              <w:top w:val="single" w:color="000000" w:sz="4" w:space="0"/>
              <w:left w:val="single" w:color="000000" w:sz="4" w:space="0"/>
              <w:bottom w:val="single" w:color="000000" w:sz="4" w:space="0"/>
              <w:right w:val="single" w:color="000000" w:sz="4" w:space="0"/>
            </w:tcBorders>
            <w:noWrap w:val="0"/>
            <w:vAlign w:val="center"/>
          </w:tcPr>
          <w:p w14:paraId="514CFB6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498D0C0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w:t>
            </w: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04EED92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到样后3个自然日</w:t>
            </w:r>
          </w:p>
        </w:tc>
        <w:tc>
          <w:tcPr>
            <w:tcW w:w="907" w:type="dxa"/>
            <w:vMerge w:val="restart"/>
            <w:tcBorders>
              <w:top w:val="single" w:color="000000" w:sz="4" w:space="0"/>
              <w:left w:val="single" w:color="000000" w:sz="4" w:space="0"/>
              <w:bottom w:val="single" w:color="000000" w:sz="4" w:space="0"/>
              <w:right w:val="single" w:color="000000" w:sz="4" w:space="0"/>
            </w:tcBorders>
            <w:noWrap w:val="0"/>
            <w:vAlign w:val="center"/>
          </w:tcPr>
          <w:p w14:paraId="18BC2B9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3400</w:t>
            </w:r>
          </w:p>
        </w:tc>
      </w:tr>
      <w:tr w14:paraId="2466130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00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2901C4C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17</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43633D0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乳腺癌、卵巢癌、胰腺癌、前列腺癌、原发性腹膜癌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7B06036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BRCA1/2基因突变检测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6DE93F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F954DF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C31AB2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4894A3C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2800</w:t>
            </w:r>
          </w:p>
        </w:tc>
      </w:tr>
      <w:tr w14:paraId="2A08D74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4F51E3E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18</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3EC17D7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卵巢癌、乳腺癌、前列腺癌、胰腺癌等</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299F134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同源重组修复基因(HRR)检测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3CA2E1B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9481A9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313FE5D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10C0183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7000</w:t>
            </w:r>
          </w:p>
        </w:tc>
      </w:tr>
      <w:tr w14:paraId="44AFF49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7D7BC7D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19</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3CE1230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卵巢癌、乳腺癌、前列腺癌、胰腺癌等</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2D985BAD">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同源重组修复缺陷(HRD)检测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194D58E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B3B408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肿瘤组织+全血/单组织</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056A81A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2A5CF68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8400</w:t>
            </w:r>
          </w:p>
        </w:tc>
      </w:tr>
      <w:tr w14:paraId="019D12C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4EC0E07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20</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3B9C128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子宫内膜癌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6A9FE099">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子宫内膜癌分子分型检测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46B3ED0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7B82B3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8E9F94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51DC905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5600</w:t>
            </w:r>
          </w:p>
        </w:tc>
      </w:tr>
      <w:tr w14:paraId="41BE8E0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12CF7A1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21</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170A015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子宫内膜癌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4425A210">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子宫内膜癌53基因检测(+MSI)</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FE7E2A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4563E6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36669D8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6D00B5C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7000</w:t>
            </w:r>
          </w:p>
        </w:tc>
      </w:tr>
      <w:tr w14:paraId="786667D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46A09C5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22</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5A80DEB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子宫肉瘤</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71058E3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子宫肉瘤检测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9F07FA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9C1A29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3E58275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18AA723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7000</w:t>
            </w:r>
          </w:p>
        </w:tc>
      </w:tr>
      <w:tr w14:paraId="63B27A3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00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0AD42D1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23</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4EF024C0">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子宫肌瘤、遗传性平滑肌瘤和肾细胞癌(HLRCC)综合征</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32576BB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FH/MED12基因突变检测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5C52592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AC1C46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6B6A201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5670EA2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4200</w:t>
            </w:r>
          </w:p>
        </w:tc>
      </w:tr>
      <w:tr w14:paraId="6FC908A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0A7B63E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24</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2F6C24B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乳腺癌、卵巢癌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352F65F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乳卵双癌联合基因检测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FFE81F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E6193D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肿瘤组织+全血/单组织</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702BFA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48DA573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5600</w:t>
            </w:r>
          </w:p>
        </w:tc>
      </w:tr>
      <w:tr w14:paraId="0DC1C98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4BF4F34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25</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39B2AEA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卵巢癌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79F5AF8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卵巢癌70基因检测(+MSI)</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36A4DFD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640853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F6BCFF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7BF481D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8400</w:t>
            </w:r>
          </w:p>
        </w:tc>
      </w:tr>
      <w:tr w14:paraId="45BDCBA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67AC479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26</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04378F70">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宫颈癌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27511340">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宫颈癌44基因检测(+MSI)</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C2C8EF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467B54D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37622BE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1935433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7000</w:t>
            </w:r>
          </w:p>
        </w:tc>
      </w:tr>
      <w:tr w14:paraId="33DF686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2D9289B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27</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05934A10">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乳腺癌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2591930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乳腺癌77基因检测(+MSI)</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D0B9D2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2C8D5A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332397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371C830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8400</w:t>
            </w:r>
          </w:p>
        </w:tc>
      </w:tr>
      <w:tr w14:paraId="2BA97DB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08" w:hRule="atLeast"/>
        </w:trPr>
        <w:tc>
          <w:tcPr>
            <w:tcW w:w="499" w:type="dxa"/>
            <w:tcBorders>
              <w:top w:val="single" w:color="000000" w:sz="4" w:space="0"/>
              <w:left w:val="single" w:color="000000" w:sz="4" w:space="0"/>
              <w:bottom w:val="nil"/>
              <w:right w:val="single" w:color="000000" w:sz="4" w:space="0"/>
            </w:tcBorders>
            <w:noWrap w:val="0"/>
            <w:vAlign w:val="center"/>
          </w:tcPr>
          <w:p w14:paraId="0CC7E96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28</w:t>
            </w:r>
          </w:p>
        </w:tc>
        <w:tc>
          <w:tcPr>
            <w:tcW w:w="1514" w:type="dxa"/>
            <w:tcBorders>
              <w:top w:val="single" w:color="000000" w:sz="4" w:space="0"/>
              <w:left w:val="single" w:color="000000" w:sz="4" w:space="0"/>
              <w:bottom w:val="nil"/>
              <w:right w:val="single" w:color="000000" w:sz="4" w:space="0"/>
            </w:tcBorders>
            <w:noWrap w:val="0"/>
            <w:vAlign w:val="center"/>
          </w:tcPr>
          <w:p w14:paraId="0EA5E9DD">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乳腺癌</w:t>
            </w:r>
          </w:p>
        </w:tc>
        <w:tc>
          <w:tcPr>
            <w:tcW w:w="1776" w:type="dxa"/>
            <w:tcBorders>
              <w:top w:val="single" w:color="000000" w:sz="4" w:space="0"/>
              <w:left w:val="single" w:color="000000" w:sz="4" w:space="0"/>
              <w:bottom w:val="nil"/>
              <w:right w:val="single" w:color="000000" w:sz="4" w:space="0"/>
            </w:tcBorders>
            <w:noWrap w:val="0"/>
            <w:vAlign w:val="center"/>
          </w:tcPr>
          <w:p w14:paraId="56F6AE51">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乳腺癌21基因表达水平检测</w:t>
            </w:r>
          </w:p>
        </w:tc>
        <w:tc>
          <w:tcPr>
            <w:tcW w:w="1200" w:type="dxa"/>
            <w:tcBorders>
              <w:top w:val="single" w:color="000000" w:sz="4" w:space="0"/>
              <w:left w:val="single" w:color="000000" w:sz="4" w:space="0"/>
              <w:bottom w:val="nil"/>
              <w:right w:val="single" w:color="000000" w:sz="4" w:space="0"/>
            </w:tcBorders>
            <w:noWrap w:val="0"/>
            <w:vAlign w:val="center"/>
          </w:tcPr>
          <w:p w14:paraId="51F7063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tcBorders>
              <w:top w:val="single" w:color="000000" w:sz="4" w:space="0"/>
              <w:left w:val="single" w:color="000000" w:sz="4" w:space="0"/>
              <w:bottom w:val="nil"/>
              <w:right w:val="single" w:color="000000" w:sz="4" w:space="0"/>
            </w:tcBorders>
            <w:noWrap w:val="0"/>
            <w:vAlign w:val="center"/>
          </w:tcPr>
          <w:p w14:paraId="26CD3AA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w:t>
            </w:r>
          </w:p>
        </w:tc>
        <w:tc>
          <w:tcPr>
            <w:tcW w:w="1418" w:type="dxa"/>
            <w:tcBorders>
              <w:top w:val="single" w:color="000000" w:sz="4" w:space="0"/>
              <w:left w:val="single" w:color="000000" w:sz="4" w:space="0"/>
              <w:bottom w:val="nil"/>
              <w:right w:val="single" w:color="000000" w:sz="4" w:space="0"/>
            </w:tcBorders>
            <w:noWrap w:val="0"/>
            <w:vAlign w:val="center"/>
          </w:tcPr>
          <w:p w14:paraId="6D520F9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到样后3个自然日</w:t>
            </w:r>
          </w:p>
        </w:tc>
        <w:tc>
          <w:tcPr>
            <w:tcW w:w="907" w:type="dxa"/>
            <w:tcBorders>
              <w:top w:val="single" w:color="000000" w:sz="4" w:space="0"/>
              <w:left w:val="single" w:color="000000" w:sz="4" w:space="0"/>
              <w:bottom w:val="nil"/>
              <w:right w:val="single" w:color="000000" w:sz="4" w:space="0"/>
            </w:tcBorders>
            <w:noWrap w:val="0"/>
            <w:vAlign w:val="center"/>
          </w:tcPr>
          <w:p w14:paraId="4CD9892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4800</w:t>
            </w:r>
          </w:p>
        </w:tc>
      </w:tr>
      <w:tr w14:paraId="7CE796D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0AC45EB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29</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7044C29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甲状腺癌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40F89CD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甲状腺癌16基因变异检测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E39812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65F895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肿瘤组织+全血/单组织</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50228EF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0D790EC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4200</w:t>
            </w:r>
          </w:p>
        </w:tc>
      </w:tr>
      <w:tr w14:paraId="10FCC6B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59"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6A86473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30</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7A202E6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甲状腺癌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2818A1E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甲状腺癌基因变异检测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3312F6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06C543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肿瘤组织+全血/单组织</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5A06330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000256F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5600</w:t>
            </w:r>
          </w:p>
        </w:tc>
      </w:tr>
      <w:tr w14:paraId="5911F15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63B6706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31</w:t>
            </w:r>
          </w:p>
        </w:tc>
        <w:tc>
          <w:tcPr>
            <w:tcW w:w="1514" w:type="dxa"/>
            <w:vMerge w:val="restart"/>
            <w:tcBorders>
              <w:top w:val="single" w:color="000000" w:sz="4" w:space="0"/>
              <w:left w:val="single" w:color="000000" w:sz="4" w:space="0"/>
              <w:bottom w:val="single" w:color="000000" w:sz="4" w:space="0"/>
              <w:right w:val="single" w:color="000000" w:sz="4" w:space="0"/>
            </w:tcBorders>
            <w:noWrap w:val="0"/>
            <w:vAlign w:val="center"/>
          </w:tcPr>
          <w:p w14:paraId="6FCB4AE1">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甲状腺癌</w:t>
            </w:r>
          </w:p>
        </w:tc>
        <w:tc>
          <w:tcPr>
            <w:tcW w:w="1776" w:type="dxa"/>
            <w:vMerge w:val="restart"/>
            <w:tcBorders>
              <w:top w:val="single" w:color="000000" w:sz="4" w:space="0"/>
              <w:left w:val="single" w:color="000000" w:sz="4" w:space="0"/>
              <w:bottom w:val="single" w:color="000000" w:sz="4" w:space="0"/>
              <w:right w:val="single" w:color="000000" w:sz="4" w:space="0"/>
            </w:tcBorders>
            <w:noWrap w:val="0"/>
            <w:vAlign w:val="center"/>
          </w:tcPr>
          <w:p w14:paraId="196F058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甲状腺癌RET基因融合检测</w:t>
            </w:r>
          </w:p>
        </w:tc>
        <w:tc>
          <w:tcPr>
            <w:tcW w:w="1200" w:type="dxa"/>
            <w:vMerge w:val="restart"/>
            <w:tcBorders>
              <w:top w:val="single" w:color="000000" w:sz="4" w:space="0"/>
              <w:left w:val="single" w:color="000000" w:sz="4" w:space="0"/>
              <w:bottom w:val="single" w:color="000000" w:sz="4" w:space="0"/>
              <w:right w:val="single" w:color="000000" w:sz="4" w:space="0"/>
            </w:tcBorders>
            <w:noWrap w:val="0"/>
            <w:vAlign w:val="center"/>
          </w:tcPr>
          <w:p w14:paraId="7A03FCC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2320064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肿瘤组织/FNA</w:t>
            </w: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129E9D3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到样后3个自然日</w:t>
            </w:r>
          </w:p>
        </w:tc>
        <w:tc>
          <w:tcPr>
            <w:tcW w:w="907" w:type="dxa"/>
            <w:vMerge w:val="restart"/>
            <w:tcBorders>
              <w:top w:val="single" w:color="000000" w:sz="4" w:space="0"/>
              <w:left w:val="single" w:color="000000" w:sz="4" w:space="0"/>
              <w:bottom w:val="single" w:color="000000" w:sz="4" w:space="0"/>
              <w:right w:val="single" w:color="000000" w:sz="4" w:space="0"/>
            </w:tcBorders>
            <w:noWrap w:val="0"/>
            <w:vAlign w:val="center"/>
          </w:tcPr>
          <w:p w14:paraId="6809383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1200</w:t>
            </w:r>
          </w:p>
        </w:tc>
      </w:tr>
      <w:tr w14:paraId="7011608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0A2BB83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32</w:t>
            </w:r>
          </w:p>
        </w:tc>
        <w:tc>
          <w:tcPr>
            <w:tcW w:w="1514" w:type="dxa"/>
            <w:vMerge w:val="restart"/>
            <w:tcBorders>
              <w:top w:val="single" w:color="000000" w:sz="4" w:space="0"/>
              <w:left w:val="single" w:color="000000" w:sz="4" w:space="0"/>
              <w:bottom w:val="single" w:color="000000" w:sz="4" w:space="0"/>
              <w:right w:val="single" w:color="000000" w:sz="4" w:space="0"/>
            </w:tcBorders>
            <w:noWrap w:val="0"/>
            <w:vAlign w:val="center"/>
          </w:tcPr>
          <w:p w14:paraId="6D584BE1">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甲状腺癌</w:t>
            </w:r>
          </w:p>
        </w:tc>
        <w:tc>
          <w:tcPr>
            <w:tcW w:w="1776" w:type="dxa"/>
            <w:vMerge w:val="restart"/>
            <w:tcBorders>
              <w:top w:val="single" w:color="000000" w:sz="4" w:space="0"/>
              <w:left w:val="single" w:color="000000" w:sz="4" w:space="0"/>
              <w:bottom w:val="single" w:color="000000" w:sz="4" w:space="0"/>
              <w:right w:val="single" w:color="000000" w:sz="4" w:space="0"/>
            </w:tcBorders>
            <w:noWrap w:val="0"/>
            <w:vAlign w:val="center"/>
          </w:tcPr>
          <w:p w14:paraId="2960AAF0">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RET基因突变检测</w:t>
            </w:r>
          </w:p>
        </w:tc>
        <w:tc>
          <w:tcPr>
            <w:tcW w:w="1200" w:type="dxa"/>
            <w:vMerge w:val="restart"/>
            <w:tcBorders>
              <w:top w:val="single" w:color="000000" w:sz="4" w:space="0"/>
              <w:left w:val="single" w:color="000000" w:sz="4" w:space="0"/>
              <w:bottom w:val="single" w:color="000000" w:sz="4" w:space="0"/>
              <w:right w:val="single" w:color="000000" w:sz="4" w:space="0"/>
            </w:tcBorders>
            <w:noWrap w:val="0"/>
            <w:vAlign w:val="center"/>
          </w:tcPr>
          <w:p w14:paraId="6C52759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4BF4F98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73C440D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到样后3个自然日</w:t>
            </w:r>
          </w:p>
        </w:tc>
        <w:tc>
          <w:tcPr>
            <w:tcW w:w="907" w:type="dxa"/>
            <w:vMerge w:val="restart"/>
            <w:tcBorders>
              <w:top w:val="single" w:color="000000" w:sz="4" w:space="0"/>
              <w:left w:val="single" w:color="000000" w:sz="4" w:space="0"/>
              <w:bottom w:val="single" w:color="000000" w:sz="4" w:space="0"/>
              <w:right w:val="single" w:color="000000" w:sz="4" w:space="0"/>
            </w:tcBorders>
            <w:noWrap w:val="0"/>
            <w:vAlign w:val="center"/>
          </w:tcPr>
          <w:p w14:paraId="704E0B6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800</w:t>
            </w:r>
          </w:p>
        </w:tc>
      </w:tr>
      <w:tr w14:paraId="6D800D4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001E6C0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33</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6080B1F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胃癌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00C26B3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胃癌66基因检测(+MSI)</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3A886AE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BD0EE4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6031CB1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2EFFC7E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8400</w:t>
            </w:r>
          </w:p>
        </w:tc>
      </w:tr>
      <w:tr w14:paraId="40BE55F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0F709FF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34</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4406223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食管癌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4FA947CD">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食管癌53基因检测(+MSI)</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4474FE4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E068D4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0012A84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252AF2C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8400</w:t>
            </w:r>
          </w:p>
        </w:tc>
      </w:tr>
      <w:tr w14:paraId="4DA921D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190B3DC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35</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364BF37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胆管癌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36D32D89">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胆管癌FGFR1/2/3基因融合检测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5F5115F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B95513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肿瘤组织样本</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2F3660F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583CE01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2800</w:t>
            </w:r>
          </w:p>
        </w:tc>
      </w:tr>
      <w:tr w14:paraId="1E114CE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144117C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36</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6A703E4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胰腺癌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6447E9C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胰腺癌61基因检测(+MSI)</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714D263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637441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0AA0825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49498BD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7000</w:t>
            </w:r>
          </w:p>
        </w:tc>
      </w:tr>
      <w:tr w14:paraId="6162853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0A08F61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37</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067C3C4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肝胆肿瘤</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6AC2000A">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肝胆肿瘤57基因检测(+MSI)</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492341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D36514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7881C5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31216F6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7000</w:t>
            </w:r>
          </w:p>
        </w:tc>
      </w:tr>
      <w:tr w14:paraId="4822E88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41AE283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38</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0E8790F1">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膀胱癌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08021D6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膀胱癌50基因检测(+MSI)</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5FCC4C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20DC0C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9789B5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769E025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7000</w:t>
            </w:r>
          </w:p>
        </w:tc>
      </w:tr>
      <w:tr w14:paraId="28DF698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3ABF65E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39</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58AAEA8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肾癌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4E1A4F0D">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肾癌46基因检测(+MSI)</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9487E3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C26604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0A95363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24CEA15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7000</w:t>
            </w:r>
          </w:p>
        </w:tc>
      </w:tr>
      <w:tr w14:paraId="0A904FD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72B5B4F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40</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119D2B01">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前列腺癌</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41FFAA3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前列腺癌74基因检测(+MSI)</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89561E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4F275E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6053772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523076C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8400</w:t>
            </w:r>
          </w:p>
        </w:tc>
      </w:tr>
      <w:tr w14:paraId="114A28D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4B1125B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41</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5B400F25">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黑色素瘤</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278DA50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黑色素瘤55基因检测(+MSI)</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475896B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29E9A1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36381D1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2451711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7000</w:t>
            </w:r>
          </w:p>
        </w:tc>
      </w:tr>
      <w:tr w14:paraId="15A9B06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72060AE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42</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77EA827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胶质瘤</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41AF5261">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胶质瘤26基因检测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3B41056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AAEF99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D38AF9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43C9681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7000</w:t>
            </w:r>
          </w:p>
        </w:tc>
      </w:tr>
      <w:tr w14:paraId="7F4ECDE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7C1F4DD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43</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03B78CE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胶质瘤</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78525DE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胶质瘤54基因检测(+MSI)</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311921D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5149F1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肿瘤组织/脑脊液</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4909B7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6E677F9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8400</w:t>
            </w:r>
          </w:p>
        </w:tc>
      </w:tr>
      <w:tr w14:paraId="29C0347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13B4311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44</w:t>
            </w:r>
          </w:p>
        </w:tc>
        <w:tc>
          <w:tcPr>
            <w:tcW w:w="1514" w:type="dxa"/>
            <w:vMerge w:val="restart"/>
            <w:tcBorders>
              <w:top w:val="single" w:color="000000" w:sz="4" w:space="0"/>
              <w:left w:val="single" w:color="000000" w:sz="4" w:space="0"/>
              <w:bottom w:val="single" w:color="000000" w:sz="4" w:space="0"/>
              <w:right w:val="single" w:color="000000" w:sz="4" w:space="0"/>
            </w:tcBorders>
            <w:noWrap w:val="0"/>
            <w:vAlign w:val="center"/>
          </w:tcPr>
          <w:p w14:paraId="29C49B9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神经胶质瘤等</w:t>
            </w:r>
          </w:p>
        </w:tc>
        <w:tc>
          <w:tcPr>
            <w:tcW w:w="1776" w:type="dxa"/>
            <w:vMerge w:val="restart"/>
            <w:tcBorders>
              <w:top w:val="single" w:color="000000" w:sz="4" w:space="0"/>
              <w:left w:val="single" w:color="000000" w:sz="4" w:space="0"/>
              <w:bottom w:val="single" w:color="000000" w:sz="4" w:space="0"/>
              <w:right w:val="single" w:color="000000" w:sz="4" w:space="0"/>
            </w:tcBorders>
            <w:noWrap w:val="0"/>
            <w:vAlign w:val="center"/>
          </w:tcPr>
          <w:p w14:paraId="0F9B884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MGMT基因甲基化检测</w:t>
            </w:r>
          </w:p>
        </w:tc>
        <w:tc>
          <w:tcPr>
            <w:tcW w:w="1200" w:type="dxa"/>
            <w:vMerge w:val="restart"/>
            <w:tcBorders>
              <w:top w:val="single" w:color="000000" w:sz="4" w:space="0"/>
              <w:left w:val="single" w:color="000000" w:sz="4" w:space="0"/>
              <w:bottom w:val="single" w:color="000000" w:sz="4" w:space="0"/>
              <w:right w:val="single" w:color="000000" w:sz="4" w:space="0"/>
            </w:tcBorders>
            <w:noWrap w:val="0"/>
            <w:vAlign w:val="center"/>
          </w:tcPr>
          <w:p w14:paraId="1144A71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202AA42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w:t>
            </w: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33A3D3B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到样后3个自然日</w:t>
            </w:r>
          </w:p>
        </w:tc>
        <w:tc>
          <w:tcPr>
            <w:tcW w:w="907" w:type="dxa"/>
            <w:vMerge w:val="restart"/>
            <w:tcBorders>
              <w:top w:val="single" w:color="000000" w:sz="4" w:space="0"/>
              <w:left w:val="single" w:color="000000" w:sz="4" w:space="0"/>
              <w:bottom w:val="single" w:color="000000" w:sz="4" w:space="0"/>
              <w:right w:val="single" w:color="000000" w:sz="4" w:space="0"/>
            </w:tcBorders>
            <w:noWrap w:val="0"/>
            <w:vAlign w:val="center"/>
          </w:tcPr>
          <w:p w14:paraId="333293D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800</w:t>
            </w:r>
          </w:p>
        </w:tc>
      </w:tr>
      <w:tr w14:paraId="0EB6689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2931D27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45</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25C4484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遗传性肿瘤</w:t>
            </w:r>
          </w:p>
        </w:tc>
        <w:tc>
          <w:tcPr>
            <w:tcW w:w="1776" w:type="dxa"/>
            <w:tcBorders>
              <w:top w:val="nil"/>
              <w:left w:val="single" w:color="000000" w:sz="4" w:space="0"/>
              <w:bottom w:val="single" w:color="000000" w:sz="4" w:space="0"/>
              <w:right w:val="single" w:color="000000" w:sz="4" w:space="0"/>
            </w:tcBorders>
            <w:noWrap w:val="0"/>
            <w:vAlign w:val="center"/>
          </w:tcPr>
          <w:p w14:paraId="60254FC3">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肿瘤遗传风险58基因检测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F768DC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2610B7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098A903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2E9656D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7000</w:t>
            </w:r>
          </w:p>
        </w:tc>
      </w:tr>
      <w:tr w14:paraId="4E75D41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0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1CCE0BD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46</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7697430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化疗药物指导</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7B5BB55E">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化疗药物基因组SNP检测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74CD3A5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195A3C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1BFDD85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70AEF23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4200</w:t>
            </w:r>
          </w:p>
        </w:tc>
      </w:tr>
      <w:tr w14:paraId="71DED83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11DB1F5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47</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4FBBFC8A">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实体瘤</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3A5767C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肿瘤微卫星不稳定(MSI)检测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1874E0A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BB797A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肿瘤组织样本</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13D5801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2794AD0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2800</w:t>
            </w:r>
          </w:p>
        </w:tc>
      </w:tr>
      <w:tr w14:paraId="430E91E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0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61A442D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48</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07F81AD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实体瘤</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230BAB3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PD-L1基因表达水平检测(22C3)</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2B2B98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免疫组化(IHC)</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24813C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肿瘤组织蜡块或石蜡切片(FFPE)≧3片</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063CE50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到样后5个自然日</w:t>
            </w:r>
          </w:p>
        </w:tc>
        <w:tc>
          <w:tcPr>
            <w:tcW w:w="907" w:type="dxa"/>
            <w:tcBorders>
              <w:top w:val="nil"/>
              <w:left w:val="single" w:color="000000" w:sz="4" w:space="0"/>
              <w:bottom w:val="single" w:color="000000" w:sz="4" w:space="0"/>
              <w:right w:val="single" w:color="000000" w:sz="4" w:space="0"/>
            </w:tcBorders>
            <w:noWrap w:val="0"/>
            <w:vAlign w:val="center"/>
          </w:tcPr>
          <w:p w14:paraId="0FFE7C8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1500</w:t>
            </w:r>
          </w:p>
        </w:tc>
      </w:tr>
      <w:tr w14:paraId="1559919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46A28BA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49</w:t>
            </w:r>
          </w:p>
        </w:tc>
        <w:tc>
          <w:tcPr>
            <w:tcW w:w="1514" w:type="dxa"/>
            <w:vMerge w:val="restart"/>
            <w:tcBorders>
              <w:top w:val="single" w:color="000000" w:sz="4" w:space="0"/>
              <w:left w:val="single" w:color="000000" w:sz="4" w:space="0"/>
              <w:bottom w:val="single" w:color="000000" w:sz="4" w:space="0"/>
              <w:right w:val="single" w:color="000000" w:sz="4" w:space="0"/>
            </w:tcBorders>
            <w:noWrap w:val="0"/>
            <w:vAlign w:val="center"/>
          </w:tcPr>
          <w:p w14:paraId="5F7CEAFF">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实体瘤</w:t>
            </w:r>
          </w:p>
        </w:tc>
        <w:tc>
          <w:tcPr>
            <w:tcW w:w="1776" w:type="dxa"/>
            <w:vMerge w:val="restart"/>
            <w:tcBorders>
              <w:top w:val="single" w:color="000000" w:sz="4" w:space="0"/>
              <w:left w:val="single" w:color="000000" w:sz="4" w:space="0"/>
              <w:bottom w:val="single" w:color="000000" w:sz="4" w:space="0"/>
              <w:right w:val="single" w:color="000000" w:sz="4" w:space="0"/>
            </w:tcBorders>
            <w:noWrap w:val="0"/>
            <w:vAlign w:val="center"/>
          </w:tcPr>
          <w:p w14:paraId="6A59249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NTRK基因融合检测</w:t>
            </w:r>
          </w:p>
        </w:tc>
        <w:tc>
          <w:tcPr>
            <w:tcW w:w="1200" w:type="dxa"/>
            <w:vMerge w:val="restart"/>
            <w:tcBorders>
              <w:top w:val="single" w:color="000000" w:sz="4" w:space="0"/>
              <w:left w:val="single" w:color="000000" w:sz="4" w:space="0"/>
              <w:bottom w:val="single" w:color="000000" w:sz="4" w:space="0"/>
              <w:right w:val="single" w:color="000000" w:sz="4" w:space="0"/>
            </w:tcBorders>
            <w:noWrap w:val="0"/>
            <w:vAlign w:val="center"/>
          </w:tcPr>
          <w:p w14:paraId="4BD8087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29E6977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肿瘤组织/胸腹水</w:t>
            </w: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1326584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到样后3个自然日</w:t>
            </w:r>
          </w:p>
        </w:tc>
        <w:tc>
          <w:tcPr>
            <w:tcW w:w="907" w:type="dxa"/>
            <w:vMerge w:val="restart"/>
            <w:tcBorders>
              <w:top w:val="single" w:color="000000" w:sz="4" w:space="0"/>
              <w:left w:val="single" w:color="000000" w:sz="4" w:space="0"/>
              <w:bottom w:val="single" w:color="000000" w:sz="4" w:space="0"/>
              <w:right w:val="single" w:color="000000" w:sz="4" w:space="0"/>
            </w:tcBorders>
            <w:noWrap w:val="0"/>
            <w:vAlign w:val="center"/>
          </w:tcPr>
          <w:p w14:paraId="418D3C1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3400</w:t>
            </w:r>
          </w:p>
        </w:tc>
      </w:tr>
      <w:tr w14:paraId="20817D2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2FCBAFA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50</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18EFA802">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多种实体瘤、血液肿瘤</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7DB0180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泛癌种56驱动基因突变检测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33B1AC4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0167C01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肿瘤组织样本/胸腹水/外周血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20E7AD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55EA770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7000</w:t>
            </w:r>
          </w:p>
        </w:tc>
      </w:tr>
      <w:tr w14:paraId="306AD3F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59C2DEC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51</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563BF93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实体瘤</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4B8E3F10">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泛实体瘤107基因检测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DEA46F0">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380ED9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肿瘤组织样本/胸腹水</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05E09A1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到样本后6-7个自然日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146C43C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9800</w:t>
            </w:r>
          </w:p>
        </w:tc>
      </w:tr>
      <w:tr w14:paraId="597AFCB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66FBDDA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52</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207A1E9E">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实体瘤</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6CC6D8A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肿瘤全景1200基因检测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147312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2F2212E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肿瘤组织+全血/外周血</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35681AC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到样本后10-12个自然日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5EAC3D5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16800</w:t>
            </w:r>
          </w:p>
        </w:tc>
      </w:tr>
      <w:tr w14:paraId="0D54F78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507"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469B446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53</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30A5AF1D">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实体瘤</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4DBE597D">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实体瘤WES分子残留病灶（MRD）检测（1+3）</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20C2712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12A704F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第一次:组织样本+外周血(10ml)MRD:外周血(20ml)</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3D7E84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首次WES+动态监测:20个自然日;后续每次MRD动态监测:7个自然日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6E0A0A6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21000</w:t>
            </w:r>
          </w:p>
        </w:tc>
      </w:tr>
      <w:tr w14:paraId="3DA5397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507"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01A383D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54</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43D02EC6">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实体瘤</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7DE2A438">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实体瘤WES分子残留病灶（MRD）检测（1+6）</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12C81A6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7513F2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第一次:组织样本+外周血(10ml)MRD:外周血(20ml)</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3BB68E6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首次WES +动态监测:20个自然日;后续每次MRD动态监测:7个自然日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5C33925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23800</w:t>
            </w:r>
          </w:p>
        </w:tc>
      </w:tr>
      <w:tr w14:paraId="73AD1FE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8"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050B191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55</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0AA6EE2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实体瘤</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12288DFD">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实体瘤WES分子残留病灶（MRD）检测(单次）</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12EC2DF9">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高通量测序</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77BD0A2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外周血(20ml)</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3F59547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到样本后9-10个自然日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3D1CFDB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2800</w:t>
            </w:r>
          </w:p>
        </w:tc>
      </w:tr>
      <w:tr w14:paraId="65E981D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72457864">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56</w:t>
            </w:r>
          </w:p>
        </w:tc>
        <w:tc>
          <w:tcPr>
            <w:tcW w:w="1514" w:type="dxa"/>
            <w:vMerge w:val="restart"/>
            <w:tcBorders>
              <w:top w:val="single" w:color="000000" w:sz="4" w:space="0"/>
              <w:left w:val="single" w:color="000000" w:sz="4" w:space="0"/>
              <w:bottom w:val="single" w:color="000000" w:sz="4" w:space="0"/>
              <w:right w:val="single" w:color="000000" w:sz="4" w:space="0"/>
            </w:tcBorders>
            <w:noWrap w:val="0"/>
            <w:vAlign w:val="center"/>
          </w:tcPr>
          <w:p w14:paraId="4E2449E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淋巴浆细胞淋巴瘤/华氏巨球蛋白血症(LPL/WM)</w:t>
            </w:r>
          </w:p>
        </w:tc>
        <w:tc>
          <w:tcPr>
            <w:tcW w:w="1776" w:type="dxa"/>
            <w:vMerge w:val="restart"/>
            <w:tcBorders>
              <w:top w:val="single" w:color="000000" w:sz="4" w:space="0"/>
              <w:left w:val="single" w:color="000000" w:sz="4" w:space="0"/>
              <w:bottom w:val="single" w:color="000000" w:sz="4" w:space="0"/>
              <w:right w:val="single" w:color="000000" w:sz="4" w:space="0"/>
            </w:tcBorders>
            <w:noWrap w:val="0"/>
            <w:vAlign w:val="center"/>
          </w:tcPr>
          <w:p w14:paraId="534DF85C">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MYD88基因L265P突变检测</w:t>
            </w:r>
          </w:p>
        </w:tc>
        <w:tc>
          <w:tcPr>
            <w:tcW w:w="1200" w:type="dxa"/>
            <w:vMerge w:val="restart"/>
            <w:tcBorders>
              <w:top w:val="single" w:color="000000" w:sz="4" w:space="0"/>
              <w:left w:val="single" w:color="000000" w:sz="4" w:space="0"/>
              <w:bottom w:val="single" w:color="000000" w:sz="4" w:space="0"/>
              <w:right w:val="single" w:color="000000" w:sz="4" w:space="0"/>
            </w:tcBorders>
            <w:noWrap w:val="0"/>
            <w:vAlign w:val="center"/>
          </w:tcPr>
          <w:p w14:paraId="688BEB9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0B748083">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肿瘤组织/外周血/骨髓</w:t>
            </w: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56EBB64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到样后3个自然日</w:t>
            </w:r>
          </w:p>
        </w:tc>
        <w:tc>
          <w:tcPr>
            <w:tcW w:w="907" w:type="dxa"/>
            <w:vMerge w:val="restart"/>
            <w:tcBorders>
              <w:top w:val="single" w:color="000000" w:sz="4" w:space="0"/>
              <w:left w:val="single" w:color="000000" w:sz="4" w:space="0"/>
              <w:bottom w:val="single" w:color="000000" w:sz="4" w:space="0"/>
              <w:right w:val="single" w:color="000000" w:sz="4" w:space="0"/>
            </w:tcBorders>
            <w:noWrap w:val="0"/>
            <w:vAlign w:val="center"/>
          </w:tcPr>
          <w:p w14:paraId="542FD61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800</w:t>
            </w:r>
          </w:p>
        </w:tc>
      </w:tr>
      <w:tr w14:paraId="2172F8C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135783A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57</w:t>
            </w:r>
          </w:p>
        </w:tc>
        <w:tc>
          <w:tcPr>
            <w:tcW w:w="1514" w:type="dxa"/>
            <w:vMerge w:val="restart"/>
            <w:tcBorders>
              <w:top w:val="single" w:color="000000" w:sz="4" w:space="0"/>
              <w:left w:val="single" w:color="000000" w:sz="4" w:space="0"/>
              <w:bottom w:val="single" w:color="000000" w:sz="4" w:space="0"/>
              <w:right w:val="single" w:color="000000" w:sz="4" w:space="0"/>
            </w:tcBorders>
            <w:noWrap w:val="0"/>
            <w:vAlign w:val="center"/>
          </w:tcPr>
          <w:p w14:paraId="0681F2FD">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白血病</w:t>
            </w:r>
          </w:p>
        </w:tc>
        <w:tc>
          <w:tcPr>
            <w:tcW w:w="1776" w:type="dxa"/>
            <w:vMerge w:val="restart"/>
            <w:tcBorders>
              <w:top w:val="single" w:color="000000" w:sz="4" w:space="0"/>
              <w:left w:val="single" w:color="000000" w:sz="4" w:space="0"/>
              <w:bottom w:val="single" w:color="000000" w:sz="4" w:space="0"/>
              <w:right w:val="single" w:color="000000" w:sz="4" w:space="0"/>
            </w:tcBorders>
            <w:noWrap w:val="0"/>
            <w:vAlign w:val="center"/>
          </w:tcPr>
          <w:p w14:paraId="5BE1B9F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BCR-ABL基因T315I突变检测</w:t>
            </w:r>
          </w:p>
        </w:tc>
        <w:tc>
          <w:tcPr>
            <w:tcW w:w="1200" w:type="dxa"/>
            <w:vMerge w:val="restart"/>
            <w:tcBorders>
              <w:top w:val="single" w:color="000000" w:sz="4" w:space="0"/>
              <w:left w:val="single" w:color="000000" w:sz="4" w:space="0"/>
              <w:bottom w:val="single" w:color="000000" w:sz="4" w:space="0"/>
              <w:right w:val="single" w:color="000000" w:sz="4" w:space="0"/>
            </w:tcBorders>
            <w:noWrap w:val="0"/>
            <w:vAlign w:val="center"/>
          </w:tcPr>
          <w:p w14:paraId="3DDA97EB">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3F527D6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外周血/骨髓</w:t>
            </w: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5F188A15">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到样后3个自然日</w:t>
            </w:r>
          </w:p>
        </w:tc>
        <w:tc>
          <w:tcPr>
            <w:tcW w:w="907" w:type="dxa"/>
            <w:vMerge w:val="restart"/>
            <w:tcBorders>
              <w:top w:val="single" w:color="000000" w:sz="4" w:space="0"/>
              <w:left w:val="single" w:color="000000" w:sz="4" w:space="0"/>
              <w:bottom w:val="single" w:color="000000" w:sz="4" w:space="0"/>
              <w:right w:val="single" w:color="000000" w:sz="4" w:space="0"/>
            </w:tcBorders>
            <w:noWrap w:val="0"/>
            <w:vAlign w:val="center"/>
          </w:tcPr>
          <w:p w14:paraId="65E3BDF7">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1200</w:t>
            </w:r>
          </w:p>
        </w:tc>
      </w:tr>
      <w:tr w14:paraId="1A2BBC8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vMerge w:val="restart"/>
            <w:tcBorders>
              <w:top w:val="single" w:color="000000" w:sz="4" w:space="0"/>
              <w:left w:val="single" w:color="000000" w:sz="4" w:space="0"/>
              <w:bottom w:val="single" w:color="000000" w:sz="4" w:space="0"/>
              <w:right w:val="single" w:color="000000" w:sz="4" w:space="0"/>
            </w:tcBorders>
            <w:noWrap w:val="0"/>
            <w:vAlign w:val="center"/>
          </w:tcPr>
          <w:p w14:paraId="23EBEF7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58</w:t>
            </w:r>
          </w:p>
        </w:tc>
        <w:tc>
          <w:tcPr>
            <w:tcW w:w="1514" w:type="dxa"/>
            <w:vMerge w:val="restart"/>
            <w:tcBorders>
              <w:top w:val="single" w:color="000000" w:sz="4" w:space="0"/>
              <w:left w:val="single" w:color="000000" w:sz="4" w:space="0"/>
              <w:bottom w:val="single" w:color="000000" w:sz="4" w:space="0"/>
              <w:right w:val="single" w:color="000000" w:sz="4" w:space="0"/>
            </w:tcBorders>
            <w:noWrap w:val="0"/>
            <w:vAlign w:val="center"/>
          </w:tcPr>
          <w:p w14:paraId="0B6D761B">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白血病</w:t>
            </w:r>
          </w:p>
        </w:tc>
        <w:tc>
          <w:tcPr>
            <w:tcW w:w="1776" w:type="dxa"/>
            <w:vMerge w:val="restart"/>
            <w:tcBorders>
              <w:top w:val="single" w:color="000000" w:sz="4" w:space="0"/>
              <w:left w:val="single" w:color="000000" w:sz="4" w:space="0"/>
              <w:bottom w:val="single" w:color="000000" w:sz="4" w:space="0"/>
              <w:right w:val="single" w:color="000000" w:sz="4" w:space="0"/>
            </w:tcBorders>
            <w:noWrap w:val="0"/>
            <w:vAlign w:val="center"/>
          </w:tcPr>
          <w:p w14:paraId="16F53CA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Style w:val="300"/>
                <w:rFonts w:hint="eastAsia" w:ascii="宋体" w:hAnsi="宋体" w:eastAsia="宋体" w:cs="宋体"/>
                <w:sz w:val="18"/>
                <w:szCs w:val="18"/>
                <w:highlight w:val="none"/>
                <w:lang w:val="en-US" w:eastAsia="zh-CN" w:bidi="ar"/>
              </w:rPr>
              <w:t>BCR-ABL(p190)  定量检测</w:t>
            </w:r>
          </w:p>
        </w:tc>
        <w:tc>
          <w:tcPr>
            <w:tcW w:w="1200" w:type="dxa"/>
            <w:vMerge w:val="restart"/>
            <w:tcBorders>
              <w:top w:val="single" w:color="000000" w:sz="4" w:space="0"/>
              <w:left w:val="single" w:color="000000" w:sz="4" w:space="0"/>
              <w:bottom w:val="single" w:color="000000" w:sz="4" w:space="0"/>
              <w:right w:val="single" w:color="000000" w:sz="4" w:space="0"/>
            </w:tcBorders>
            <w:noWrap w:val="0"/>
            <w:vAlign w:val="center"/>
          </w:tcPr>
          <w:p w14:paraId="167C1196">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vMerge w:val="restart"/>
            <w:tcBorders>
              <w:top w:val="single" w:color="000000" w:sz="4" w:space="0"/>
              <w:left w:val="single" w:color="000000" w:sz="4" w:space="0"/>
              <w:bottom w:val="single" w:color="000000" w:sz="4" w:space="0"/>
              <w:right w:val="single" w:color="000000" w:sz="4" w:space="0"/>
            </w:tcBorders>
            <w:noWrap w:val="0"/>
            <w:vAlign w:val="center"/>
          </w:tcPr>
          <w:p w14:paraId="31F7BAD1">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外周血/骨髓</w:t>
            </w:r>
          </w:p>
        </w:tc>
        <w:tc>
          <w:tcPr>
            <w:tcW w:w="1418" w:type="dxa"/>
            <w:vMerge w:val="restart"/>
            <w:tcBorders>
              <w:top w:val="single" w:color="000000" w:sz="4" w:space="0"/>
              <w:left w:val="single" w:color="000000" w:sz="4" w:space="0"/>
              <w:bottom w:val="single" w:color="000000" w:sz="4" w:space="0"/>
              <w:right w:val="single" w:color="000000" w:sz="4" w:space="0"/>
            </w:tcBorders>
            <w:noWrap w:val="0"/>
            <w:vAlign w:val="center"/>
          </w:tcPr>
          <w:p w14:paraId="3AE3649C">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到样后3个自然日</w:t>
            </w:r>
          </w:p>
        </w:tc>
        <w:tc>
          <w:tcPr>
            <w:tcW w:w="907" w:type="dxa"/>
            <w:vMerge w:val="restart"/>
            <w:tcBorders>
              <w:top w:val="single" w:color="000000" w:sz="4" w:space="0"/>
              <w:left w:val="single" w:color="000000" w:sz="4" w:space="0"/>
              <w:bottom w:val="single" w:color="000000" w:sz="4" w:space="0"/>
              <w:right w:val="single" w:color="000000" w:sz="4" w:space="0"/>
            </w:tcBorders>
            <w:noWrap w:val="0"/>
            <w:vAlign w:val="center"/>
          </w:tcPr>
          <w:p w14:paraId="0B87A518">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800</w:t>
            </w:r>
          </w:p>
        </w:tc>
      </w:tr>
      <w:tr w14:paraId="0119A79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cantSplit/>
          <w:trHeight w:val="312" w:hRule="atLeast"/>
        </w:trPr>
        <w:tc>
          <w:tcPr>
            <w:tcW w:w="499" w:type="dxa"/>
            <w:tcBorders>
              <w:top w:val="single" w:color="000000" w:sz="4" w:space="0"/>
              <w:left w:val="single" w:color="000000" w:sz="4" w:space="0"/>
              <w:bottom w:val="single" w:color="000000" w:sz="4" w:space="0"/>
              <w:right w:val="single" w:color="000000" w:sz="4" w:space="0"/>
            </w:tcBorders>
            <w:noWrap w:val="0"/>
            <w:vAlign w:val="center"/>
          </w:tcPr>
          <w:p w14:paraId="43846C8E">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59</w:t>
            </w:r>
          </w:p>
        </w:tc>
        <w:tc>
          <w:tcPr>
            <w:tcW w:w="1514" w:type="dxa"/>
            <w:tcBorders>
              <w:top w:val="single" w:color="000000" w:sz="4" w:space="0"/>
              <w:left w:val="single" w:color="000000" w:sz="4" w:space="0"/>
              <w:bottom w:val="single" w:color="000000" w:sz="4" w:space="0"/>
              <w:right w:val="single" w:color="000000" w:sz="4" w:space="0"/>
            </w:tcBorders>
            <w:noWrap w:val="0"/>
            <w:vAlign w:val="center"/>
          </w:tcPr>
          <w:p w14:paraId="1D613744">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白血病</w:t>
            </w:r>
          </w:p>
        </w:tc>
        <w:tc>
          <w:tcPr>
            <w:tcW w:w="1776" w:type="dxa"/>
            <w:tcBorders>
              <w:top w:val="single" w:color="000000" w:sz="4" w:space="0"/>
              <w:left w:val="single" w:color="000000" w:sz="4" w:space="0"/>
              <w:bottom w:val="single" w:color="000000" w:sz="4" w:space="0"/>
              <w:right w:val="single" w:color="000000" w:sz="4" w:space="0"/>
            </w:tcBorders>
            <w:noWrap w:val="0"/>
            <w:vAlign w:val="center"/>
          </w:tcPr>
          <w:p w14:paraId="425F8817">
            <w:pPr>
              <w:keepNext w:val="0"/>
              <w:keepLines w:val="0"/>
              <w:widowControl/>
              <w:suppressLineNumbers w:val="0"/>
              <w:jc w:val="left"/>
              <w:rPr>
                <w:rFonts w:hint="eastAsia" w:ascii="宋体" w:hAnsi="宋体" w:eastAsia="宋体" w:cs="宋体"/>
                <w:i w:val="0"/>
                <w:iCs w:val="0"/>
                <w:color w:val="000000"/>
                <w:sz w:val="18"/>
                <w:szCs w:val="18"/>
                <w:highlight w:val="none"/>
                <w:u w:val="none"/>
              </w:rPr>
            </w:pPr>
            <w:r>
              <w:rPr>
                <w:rStyle w:val="300"/>
                <w:rFonts w:hint="eastAsia" w:ascii="宋体" w:hAnsi="宋体" w:eastAsia="宋体" w:cs="宋体"/>
                <w:sz w:val="18"/>
                <w:szCs w:val="18"/>
                <w:highlight w:val="none"/>
                <w:lang w:val="en-US" w:eastAsia="zh-CN" w:bidi="ar"/>
              </w:rPr>
              <w:t>BCR-ABL(p210)  定量检测</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57BE7D02">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荧光PCR法</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3C2747EA">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外周血/骨髓</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55A14C9D">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到样后3个自然日</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14:paraId="2F8C1B1F">
            <w:pPr>
              <w:keepNext w:val="0"/>
              <w:keepLines w:val="0"/>
              <w:widowControl/>
              <w:suppressLineNumbers w:val="0"/>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lang w:val="en-US" w:eastAsia="zh-CN" w:bidi="ar"/>
              </w:rPr>
              <w:t>800</w:t>
            </w:r>
          </w:p>
        </w:tc>
      </w:tr>
    </w:tbl>
    <w:p w14:paraId="00A38839">
      <w:pPr>
        <w:pStyle w:val="37"/>
        <w:rPr>
          <w:highlight w:val="none"/>
        </w:rPr>
        <w:sectPr>
          <w:pgSz w:w="11906" w:h="16838"/>
          <w:pgMar w:top="1418" w:right="1587" w:bottom="1418" w:left="1366" w:header="851" w:footer="907" w:gutter="0"/>
          <w:pgNumType w:fmt="decimal" w:start="1"/>
          <w:cols w:space="1701" w:num="1"/>
          <w:titlePg/>
          <w:docGrid w:linePitch="360" w:charSpace="0"/>
        </w:sectPr>
      </w:pPr>
    </w:p>
    <w:p w14:paraId="17AE3893"/>
    <w:sectPr>
      <w:pgSz w:w="11906" w:h="16838"/>
      <w:pgMar w:top="1418" w:right="1588" w:bottom="1418" w:left="1365" w:header="851" w:footer="907" w:gutter="0"/>
      <w:pgNumType w:fmt="decimal"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A566AE6-0F20-4BF4-97E1-7F145ED14203}"/>
  </w:font>
  <w:font w:name="黑体">
    <w:panose1 w:val="02010609060101010101"/>
    <w:charset w:val="86"/>
    <w:family w:val="auto"/>
    <w:pitch w:val="default"/>
    <w:sig w:usb0="800002BF" w:usb1="38CF7CFA" w:usb2="00000016" w:usb3="00000000" w:csb0="00040001" w:csb1="00000000"/>
    <w:embedRegular r:id="rId2" w:fontKey="{4D4B0B36-384E-4592-AAC3-7A328705BC47}"/>
  </w:font>
  <w:font w:name="Courier New">
    <w:panose1 w:val="02070309020205020404"/>
    <w:charset w:val="01"/>
    <w:family w:val="modern"/>
    <w:pitch w:val="default"/>
    <w:sig w:usb0="E0002EFF" w:usb1="C0007843" w:usb2="00000009" w:usb3="00000000" w:csb0="400001FF" w:csb1="FFFF0000"/>
    <w:embedRegular r:id="rId3" w:fontKey="{3554CD09-5A2B-41DE-BD8F-CA9A0163914D}"/>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embedRegular r:id="rId4" w:fontKey="{F2C61511-7E06-4F5F-9BF7-740C08181006}"/>
  </w:font>
  <w:font w:name="仿宋">
    <w:panose1 w:val="02010609060101010101"/>
    <w:charset w:val="86"/>
    <w:family w:val="auto"/>
    <w:pitch w:val="default"/>
    <w:sig w:usb0="800002BF" w:usb1="38CF7CFA" w:usb2="00000016" w:usb3="00000000" w:csb0="00040001" w:csb1="00000000"/>
    <w:embedRegular r:id="rId5" w:fontKey="{25A2D35E-0F95-4CA4-A9DB-2EADB34FDB28}"/>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embedRegular r:id="rId6" w:fontKey="{304625F6-EB44-48A5-8E23-115AEB92EE55}"/>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TimesNewRomanPSMT">
    <w:altName w:val="Times New Roman"/>
    <w:panose1 w:val="02020503050405090304"/>
    <w:charset w:val="00"/>
    <w:family w:val="auto"/>
    <w:pitch w:val="default"/>
    <w:sig w:usb0="00000000" w:usb1="00000000" w:usb2="00000001" w:usb3="00000000" w:csb0="400001BF" w:csb1="DFF70000"/>
  </w:font>
  <w:font w:name="Showcard Gothic">
    <w:altName w:val="Gabriola"/>
    <w:panose1 w:val="04020904020102020604"/>
    <w:charset w:val="00"/>
    <w:family w:val="auto"/>
    <w:pitch w:val="default"/>
    <w:sig w:usb0="00000000" w:usb1="00000000" w:usb2="00000000" w:usb3="00000000" w:csb0="00000000" w:csb1="00000000"/>
    <w:embedRegular r:id="rId7" w:fontKey="{A10AE981-BBC8-49A3-9955-17EE06C73F2D}"/>
  </w:font>
  <w:font w:name="Gabriola">
    <w:panose1 w:val="04040605051002020D02"/>
    <w:charset w:val="00"/>
    <w:family w:val="auto"/>
    <w:pitch w:val="default"/>
    <w:sig w:usb0="E00002EF" w:usb1="5000204B" w:usb2="00000000" w:usb3="00000000" w:csb0="2000009F" w:csb1="00000000"/>
  </w:font>
  <w:font w:name="华文新魏">
    <w:altName w:val="宋体"/>
    <w:panose1 w:val="02010800040101010101"/>
    <w:charset w:val="86"/>
    <w:family w:val="auto"/>
    <w:pitch w:val="default"/>
    <w:sig w:usb0="00000000" w:usb1="00000000" w:usb2="00000000" w:usb3="00000000" w:csb0="00040000" w:csb1="00000000"/>
    <w:embedRegular r:id="rId8" w:fontKey="{5FDB0387-20D7-4192-B642-EAB9505E3FDF}"/>
  </w:font>
  <w:font w:name="等线">
    <w:panose1 w:val="02010600030101010101"/>
    <w:charset w:val="86"/>
    <w:family w:val="auto"/>
    <w:pitch w:val="default"/>
    <w:sig w:usb0="A00002BF" w:usb1="38CF7CFA" w:usb2="00000016" w:usb3="00000000" w:csb0="0004000F" w:csb1="00000000"/>
    <w:embedRegular r:id="rId9" w:fontKey="{4629C22B-CC86-44C4-AF25-5AA0946BB062}"/>
  </w:font>
  <w:font w:name="方正小标宋简体">
    <w:panose1 w:val="02000000000000000000"/>
    <w:charset w:val="86"/>
    <w:family w:val="auto"/>
    <w:pitch w:val="default"/>
    <w:sig w:usb0="00000001" w:usb1="08000000" w:usb2="00000000" w:usb3="00000000" w:csb0="00040000" w:csb1="00000000"/>
    <w:embedRegular r:id="rId10" w:fontKey="{E6C28D85-E187-49B1-9523-B419F43130B4}"/>
  </w:font>
  <w:font w:name="方正大标宋_GBK">
    <w:altName w:val="宋体"/>
    <w:panose1 w:val="020B0503020202020204"/>
    <w:charset w:val="00"/>
    <w:family w:val="auto"/>
    <w:pitch w:val="default"/>
    <w:sig w:usb0="00000000" w:usb1="00000000" w:usb2="00000000" w:usb3="00000000" w:csb0="00000000" w:csb1="00000000"/>
    <w:embedRegular r:id="rId11" w:fontKey="{AE258A15-D311-45EE-A730-AF46487CBDA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3D380">
    <w:pPr>
      <w:pStyle w:val="234"/>
      <w:jc w:val="center"/>
      <w:rPr>
        <w:rFonts w:hint="eastAsia"/>
        <w:b/>
        <w:i/>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72722DF">
                          <w:pPr>
                            <w:pStyle w:val="234"/>
                          </w:pPr>
                          <w:r>
                            <w:fldChar w:fldCharType="begin"/>
                          </w:r>
                          <w:r>
                            <w:instrText xml:space="preserve"> PAGE  \* MERGEFORMAT </w:instrText>
                          </w:r>
                          <w:r>
                            <w:fldChar w:fldCharType="separate"/>
                          </w:r>
                          <w:r>
                            <w:t>１</w:t>
                          </w:r>
                          <w:r>
                            <w:fldChar w:fldCharType="end"/>
                          </w:r>
                        </w:p>
                        <w:p w14:paraId="3C0A57C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772722DF">
                    <w:pPr>
                      <w:pStyle w:val="234"/>
                    </w:pPr>
                    <w:r>
                      <w:fldChar w:fldCharType="begin"/>
                    </w:r>
                    <w:r>
                      <w:instrText xml:space="preserve"> PAGE  \* MERGEFORMAT </w:instrText>
                    </w:r>
                    <w:r>
                      <w:fldChar w:fldCharType="separate"/>
                    </w:r>
                    <w:r>
                      <w:t>１</w:t>
                    </w:r>
                    <w:r>
                      <w:fldChar w:fldCharType="end"/>
                    </w:r>
                  </w:p>
                  <w:p w14:paraId="3C0A57C6"/>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A5CBE">
    <w:pPr>
      <w:pStyle w:val="23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CB1682">
                          <w:pPr>
                            <w:pStyle w:val="18"/>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9CB1682">
                    <w:pPr>
                      <w:pStyle w:val="18"/>
                    </w:pPr>
                    <w:r>
                      <w:fldChar w:fldCharType="begin"/>
                    </w:r>
                    <w:r>
                      <w:instrText xml:space="preserve"> PAGE  \* MERGEFORMAT </w:instrText>
                    </w:r>
                    <w:r>
                      <w:fldChar w:fldCharType="separate"/>
                    </w:r>
                    <w:r>
                      <w:t>27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C855B">
    <w:pPr>
      <w:pStyle w:val="23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ECE9991"/>
    <w:multiLevelType w:val="singleLevel"/>
    <w:tmpl w:val="BECE9991"/>
    <w:lvl w:ilvl="0" w:tentative="0">
      <w:start w:val="1"/>
      <w:numFmt w:val="decimal"/>
      <w:lvlText w:val="%1."/>
      <w:lvlJc w:val="left"/>
      <w:pPr>
        <w:tabs>
          <w:tab w:val="left" w:pos="312"/>
        </w:tabs>
      </w:pPr>
    </w:lvl>
  </w:abstractNum>
  <w:abstractNum w:abstractNumId="2">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upperLetter"/>
      <w:pStyle w:val="27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4"/>
      <w:suff w:val="nothing"/>
      <w:lvlText w:val=""/>
      <w:lvlJc w:val="left"/>
      <w:pPr>
        <w:ind w:left="0" w:firstLine="0"/>
      </w:pPr>
      <w:rPr>
        <w:rFonts w:hint="eastAsia"/>
      </w:rPr>
    </w:lvl>
    <w:lvl w:ilvl="6" w:tentative="0">
      <w:start w:val="1"/>
      <w:numFmt w:val="decimal"/>
      <w:pStyle w:val="195"/>
      <w:suff w:val="nothing"/>
      <w:lvlText w:val=""/>
      <w:lvlJc w:val="left"/>
      <w:pPr>
        <w:ind w:left="0" w:firstLine="0"/>
      </w:pPr>
      <w:rPr>
        <w:rFonts w:hint="eastAsia"/>
      </w:rPr>
    </w:lvl>
    <w:lvl w:ilvl="7" w:tentative="0">
      <w:start w:val="1"/>
      <w:numFmt w:val="decimal"/>
      <w:pStyle w:val="196"/>
      <w:suff w:val="nothing"/>
      <w:lvlText w:val=""/>
      <w:lvlJc w:val="left"/>
      <w:pPr>
        <w:ind w:left="0" w:firstLine="0"/>
      </w:pPr>
      <w:rPr>
        <w:rFonts w:hint="eastAsia"/>
      </w:rPr>
    </w:lvl>
    <w:lvl w:ilvl="8" w:tentative="0">
      <w:start w:val="1"/>
      <w:numFmt w:val="decimal"/>
      <w:pStyle w:val="197"/>
      <w:suff w:val="nothing"/>
      <w:lvlText w:val=""/>
      <w:lvlJc w:val="left"/>
      <w:pPr>
        <w:ind w:left="0" w:firstLine="0"/>
      </w:pPr>
      <w:rPr>
        <w:rFonts w:hint="eastAsia"/>
      </w:rPr>
    </w:lvl>
  </w:abstractNum>
  <w:abstractNum w:abstractNumId="5">
    <w:nsid w:val="03D62ECE"/>
    <w:multiLevelType w:val="multilevel"/>
    <w:tmpl w:val="03D62ECE"/>
    <w:lvl w:ilvl="0" w:tentative="0">
      <w:start w:val="5"/>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pStyle w:val="28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72183CF9"/>
    <w:multiLevelType w:val="multilevel"/>
    <w:tmpl w:val="72183CF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2"/>
  </w:num>
  <w:num w:numId="5">
    <w:abstractNumId w:val="0"/>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743BA"/>
    <w:rsid w:val="0200793B"/>
    <w:rsid w:val="0204247D"/>
    <w:rsid w:val="02BE1E79"/>
    <w:rsid w:val="02F2197A"/>
    <w:rsid w:val="03791753"/>
    <w:rsid w:val="0475016D"/>
    <w:rsid w:val="05036B9E"/>
    <w:rsid w:val="05081BD2"/>
    <w:rsid w:val="0512299B"/>
    <w:rsid w:val="053845C7"/>
    <w:rsid w:val="05595CE0"/>
    <w:rsid w:val="05923FC7"/>
    <w:rsid w:val="06DC79C0"/>
    <w:rsid w:val="070D4A6A"/>
    <w:rsid w:val="092959CA"/>
    <w:rsid w:val="09AD2157"/>
    <w:rsid w:val="0A742C74"/>
    <w:rsid w:val="0AB80DB3"/>
    <w:rsid w:val="0B5C5BE2"/>
    <w:rsid w:val="0C3912E2"/>
    <w:rsid w:val="0C394176"/>
    <w:rsid w:val="0C6A07D3"/>
    <w:rsid w:val="0C8A75A3"/>
    <w:rsid w:val="0D074274"/>
    <w:rsid w:val="0D3E0FC7"/>
    <w:rsid w:val="0D8458C4"/>
    <w:rsid w:val="0E1E7AC7"/>
    <w:rsid w:val="0FDA7A1E"/>
    <w:rsid w:val="107A18B2"/>
    <w:rsid w:val="12F11AE5"/>
    <w:rsid w:val="13184DD0"/>
    <w:rsid w:val="13AA5959"/>
    <w:rsid w:val="14451568"/>
    <w:rsid w:val="14922D48"/>
    <w:rsid w:val="15CC46C9"/>
    <w:rsid w:val="1658169C"/>
    <w:rsid w:val="1A0F6516"/>
    <w:rsid w:val="1A22274A"/>
    <w:rsid w:val="1B324BB2"/>
    <w:rsid w:val="1C1F5136"/>
    <w:rsid w:val="1C393D1E"/>
    <w:rsid w:val="1D686669"/>
    <w:rsid w:val="1E3D5D47"/>
    <w:rsid w:val="1EC65832"/>
    <w:rsid w:val="1ED16490"/>
    <w:rsid w:val="20C0350D"/>
    <w:rsid w:val="20C51CD3"/>
    <w:rsid w:val="21D818E3"/>
    <w:rsid w:val="225B66DB"/>
    <w:rsid w:val="238417DB"/>
    <w:rsid w:val="243E6375"/>
    <w:rsid w:val="244B0A92"/>
    <w:rsid w:val="252776B9"/>
    <w:rsid w:val="27826EE1"/>
    <w:rsid w:val="27E52BFD"/>
    <w:rsid w:val="28356F18"/>
    <w:rsid w:val="29201209"/>
    <w:rsid w:val="2AD52E64"/>
    <w:rsid w:val="2AD90BA6"/>
    <w:rsid w:val="2B196258"/>
    <w:rsid w:val="2CBF3DCB"/>
    <w:rsid w:val="2CFF241A"/>
    <w:rsid w:val="2D6B22BD"/>
    <w:rsid w:val="2E530C6F"/>
    <w:rsid w:val="2E76670C"/>
    <w:rsid w:val="2E7908BE"/>
    <w:rsid w:val="2EAC037F"/>
    <w:rsid w:val="2F326AD7"/>
    <w:rsid w:val="3152520E"/>
    <w:rsid w:val="32441996"/>
    <w:rsid w:val="329451A2"/>
    <w:rsid w:val="32B141B6"/>
    <w:rsid w:val="337223AA"/>
    <w:rsid w:val="34367069"/>
    <w:rsid w:val="34DB551B"/>
    <w:rsid w:val="34F565DC"/>
    <w:rsid w:val="35B604A9"/>
    <w:rsid w:val="35BC534C"/>
    <w:rsid w:val="367B6FB5"/>
    <w:rsid w:val="36F303B8"/>
    <w:rsid w:val="3720190B"/>
    <w:rsid w:val="38B608DC"/>
    <w:rsid w:val="3A2D14DE"/>
    <w:rsid w:val="3A47690D"/>
    <w:rsid w:val="3AF248F7"/>
    <w:rsid w:val="3AFD01EB"/>
    <w:rsid w:val="3AFE3AA8"/>
    <w:rsid w:val="3B1B07E2"/>
    <w:rsid w:val="3BA7CE4D"/>
    <w:rsid w:val="3BD57167"/>
    <w:rsid w:val="3D286217"/>
    <w:rsid w:val="3DBBF3BD"/>
    <w:rsid w:val="3E9936CB"/>
    <w:rsid w:val="3EED2A1A"/>
    <w:rsid w:val="3F115748"/>
    <w:rsid w:val="408D0011"/>
    <w:rsid w:val="418D5DEE"/>
    <w:rsid w:val="41B83FA5"/>
    <w:rsid w:val="41E74D10"/>
    <w:rsid w:val="447137A5"/>
    <w:rsid w:val="448636F5"/>
    <w:rsid w:val="44CE35A5"/>
    <w:rsid w:val="45703A5D"/>
    <w:rsid w:val="47775577"/>
    <w:rsid w:val="47CC2CC6"/>
    <w:rsid w:val="484010AC"/>
    <w:rsid w:val="48C93BB0"/>
    <w:rsid w:val="49BE56DF"/>
    <w:rsid w:val="4B46773A"/>
    <w:rsid w:val="4C7E73A7"/>
    <w:rsid w:val="4D267823"/>
    <w:rsid w:val="4D2E0486"/>
    <w:rsid w:val="4D3A507C"/>
    <w:rsid w:val="4E134B92"/>
    <w:rsid w:val="4E17716C"/>
    <w:rsid w:val="4EBE4065"/>
    <w:rsid w:val="4F7D74A2"/>
    <w:rsid w:val="4FBA78D9"/>
    <w:rsid w:val="4FFB67F2"/>
    <w:rsid w:val="5023629C"/>
    <w:rsid w:val="503E4E84"/>
    <w:rsid w:val="53275B14"/>
    <w:rsid w:val="5371731E"/>
    <w:rsid w:val="544C1A1C"/>
    <w:rsid w:val="546B0211"/>
    <w:rsid w:val="55452810"/>
    <w:rsid w:val="55C51BA3"/>
    <w:rsid w:val="56573764"/>
    <w:rsid w:val="56FC33A3"/>
    <w:rsid w:val="56FD322C"/>
    <w:rsid w:val="574D1E50"/>
    <w:rsid w:val="58E80BC1"/>
    <w:rsid w:val="59835FFD"/>
    <w:rsid w:val="5C2E290C"/>
    <w:rsid w:val="5CC51D95"/>
    <w:rsid w:val="5CFE264B"/>
    <w:rsid w:val="5D2A2868"/>
    <w:rsid w:val="5D881E34"/>
    <w:rsid w:val="5E761C8C"/>
    <w:rsid w:val="5E956B11"/>
    <w:rsid w:val="5EF66586"/>
    <w:rsid w:val="5F2C67EF"/>
    <w:rsid w:val="5F7A57AC"/>
    <w:rsid w:val="5F935BF5"/>
    <w:rsid w:val="5FE04939"/>
    <w:rsid w:val="61D723EF"/>
    <w:rsid w:val="62B9483E"/>
    <w:rsid w:val="64E831B8"/>
    <w:rsid w:val="654146F0"/>
    <w:rsid w:val="65474383"/>
    <w:rsid w:val="65CD4AE6"/>
    <w:rsid w:val="66555963"/>
    <w:rsid w:val="69082182"/>
    <w:rsid w:val="69497384"/>
    <w:rsid w:val="697D65C5"/>
    <w:rsid w:val="69E37753"/>
    <w:rsid w:val="6A496DED"/>
    <w:rsid w:val="6A615EE7"/>
    <w:rsid w:val="6B0A20DA"/>
    <w:rsid w:val="6B855C05"/>
    <w:rsid w:val="6D452A01"/>
    <w:rsid w:val="6D6016CB"/>
    <w:rsid w:val="6EBD3622"/>
    <w:rsid w:val="70EA4381"/>
    <w:rsid w:val="70F133F4"/>
    <w:rsid w:val="71CA611F"/>
    <w:rsid w:val="71D615DC"/>
    <w:rsid w:val="731207FF"/>
    <w:rsid w:val="736F63C6"/>
    <w:rsid w:val="76C57FE4"/>
    <w:rsid w:val="774B079D"/>
    <w:rsid w:val="77976AA4"/>
    <w:rsid w:val="77AD4519"/>
    <w:rsid w:val="77BD2E2A"/>
    <w:rsid w:val="77EB3293"/>
    <w:rsid w:val="7866291A"/>
    <w:rsid w:val="78F80721"/>
    <w:rsid w:val="79D20267"/>
    <w:rsid w:val="7AE7139D"/>
    <w:rsid w:val="7B02593D"/>
    <w:rsid w:val="7B1F6A85"/>
    <w:rsid w:val="7B735A7A"/>
    <w:rsid w:val="7BAE0860"/>
    <w:rsid w:val="7C7F52C6"/>
    <w:rsid w:val="7CB76114"/>
    <w:rsid w:val="7EF351B4"/>
    <w:rsid w:val="7F4F235A"/>
    <w:rsid w:val="7F9B734D"/>
    <w:rsid w:val="7FD91FB4"/>
    <w:rsid w:val="7FE55203"/>
    <w:rsid w:val="D7C610EB"/>
    <w:rsid w:val="DD79894F"/>
    <w:rsid w:val="EDB1B95D"/>
    <w:rsid w:val="FFFF41D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01"/>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6"/>
    <w:semiHidden/>
    <w:unhideWhenUsed/>
    <w:qFormat/>
    <w:uiPriority w:val="99"/>
    <w:pPr>
      <w:spacing w:after="0" w:line="240" w:lineRule="auto"/>
    </w:pPr>
    <w:rPr>
      <w:sz w:val="20"/>
    </w:rPr>
  </w:style>
  <w:style w:type="paragraph" w:styleId="18">
    <w:name w:val="footer"/>
    <w:basedOn w:val="1"/>
    <w:link w:val="59"/>
    <w:unhideWhenUsed/>
    <w:qFormat/>
    <w:uiPriority w:val="99"/>
    <w:pPr>
      <w:tabs>
        <w:tab w:val="center" w:pos="7143"/>
        <w:tab w:val="right" w:pos="14287"/>
      </w:tabs>
      <w:spacing w:after="0" w:line="240" w:lineRule="auto"/>
    </w:pPr>
  </w:style>
  <w:style w:type="paragraph" w:styleId="19">
    <w:name w:val="header"/>
    <w:basedOn w:val="1"/>
    <w:link w:val="57"/>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52"/>
    <w:qFormat/>
    <w:uiPriority w:val="11"/>
    <w:pPr>
      <w:spacing w:before="200" w:after="200"/>
    </w:pPr>
    <w:rPr>
      <w:sz w:val="24"/>
      <w:szCs w:val="24"/>
    </w:rPr>
  </w:style>
  <w:style w:type="paragraph" w:styleId="23">
    <w:name w:val="footnote text"/>
    <w:basedOn w:val="1"/>
    <w:link w:val="185"/>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51"/>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Strong"/>
    <w:basedOn w:val="31"/>
    <w:qFormat/>
    <w:uiPriority w:val="22"/>
    <w:rPr>
      <w:b/>
    </w:r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paragraph" w:customStyle="1" w:styleId="36">
    <w:name w:val="正文首行缩进1"/>
    <w:basedOn w:val="37"/>
    <w:link w:val="201"/>
    <w:qFormat/>
    <w:uiPriority w:val="0"/>
    <w:pPr>
      <w:spacing w:line="360" w:lineRule="auto"/>
      <w:ind w:firstLine="200"/>
    </w:pPr>
    <w:rPr>
      <w:rFonts w:ascii="仿宋_GB2312" w:eastAsia="仿宋_GB2312"/>
      <w:sz w:val="30"/>
      <w:szCs w:val="30"/>
    </w:rPr>
  </w:style>
  <w:style w:type="paragraph" w:customStyle="1" w:styleId="37">
    <w:name w:val="正文文本1"/>
    <w:basedOn w:val="1"/>
    <w:next w:val="38"/>
    <w:link w:val="200"/>
    <w:qFormat/>
    <w:uiPriority w:val="0"/>
    <w:rPr>
      <w:rFonts w:ascii="楷体_GB2312" w:hAnsi="Arial" w:eastAsia="楷体_GB2312"/>
      <w:sz w:val="28"/>
      <w:szCs w:val="28"/>
    </w:rPr>
  </w:style>
  <w:style w:type="paragraph" w:customStyle="1" w:styleId="38">
    <w:name w:val="style4"/>
    <w:basedOn w:val="1"/>
    <w:next w:val="39"/>
    <w:qFormat/>
    <w:uiPriority w:val="0"/>
    <w:pPr>
      <w:widowControl/>
      <w:spacing w:before="280" w:after="280"/>
    </w:pPr>
    <w:rPr>
      <w:rFonts w:ascii="宋体"/>
      <w:sz w:val="18"/>
    </w:rPr>
  </w:style>
  <w:style w:type="paragraph" w:customStyle="1" w:styleId="39">
    <w:name w:val="2"/>
    <w:next w:val="1"/>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28"/>
    <w:qFormat/>
    <w:uiPriority w:val="10"/>
    <w:rPr>
      <w:sz w:val="48"/>
      <w:szCs w:val="48"/>
    </w:rPr>
  </w:style>
  <w:style w:type="character" w:customStyle="1" w:styleId="52">
    <w:name w:val="Subtitle Char"/>
    <w:link w:val="22"/>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19"/>
    <w:qFormat/>
    <w:uiPriority w:val="99"/>
  </w:style>
  <w:style w:type="character" w:customStyle="1" w:styleId="58">
    <w:name w:val="Footer Char"/>
    <w:link w:val="18"/>
    <w:qFormat/>
    <w:uiPriority w:val="99"/>
  </w:style>
  <w:style w:type="character" w:customStyle="1" w:styleId="59">
    <w:name w:val="Caption Char"/>
    <w:link w:val="18"/>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3"/>
    <w:qFormat/>
    <w:uiPriority w:val="99"/>
    <w:rPr>
      <w:sz w:val="18"/>
    </w:rPr>
  </w:style>
  <w:style w:type="character" w:customStyle="1" w:styleId="186">
    <w:name w:val="Endnote Text Char"/>
    <w:link w:val="17"/>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202"/>
    <w:qFormat/>
    <w:uiPriority w:val="0"/>
    <w:pPr>
      <w:keepNext/>
      <w:jc w:val="center"/>
      <w:outlineLvl w:val="0"/>
    </w:pPr>
    <w:rPr>
      <w:rFonts w:ascii="楷体_GB2312" w:eastAsia="楷体_GB2312"/>
      <w:sz w:val="28"/>
      <w:szCs w:val="28"/>
    </w:rPr>
  </w:style>
  <w:style w:type="paragraph" w:customStyle="1" w:styleId="189">
    <w:name w:val="标题 21"/>
    <w:basedOn w:val="1"/>
    <w:next w:val="190"/>
    <w:link w:val="203"/>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90">
    <w:name w:val="正文缩进1"/>
    <w:basedOn w:val="1"/>
    <w:link w:val="204"/>
    <w:qFormat/>
    <w:uiPriority w:val="0"/>
    <w:pPr>
      <w:ind w:firstLine="420"/>
    </w:pPr>
    <w:rPr>
      <w:sz w:val="20"/>
      <w:szCs w:val="21"/>
    </w:rPr>
  </w:style>
  <w:style w:type="paragraph" w:customStyle="1" w:styleId="191">
    <w:name w:val="标题 31"/>
    <w:basedOn w:val="1"/>
    <w:next w:val="190"/>
    <w:link w:val="205"/>
    <w:qFormat/>
    <w:uiPriority w:val="0"/>
    <w:pPr>
      <w:keepNext/>
      <w:keepLines/>
      <w:spacing w:before="260" w:after="260" w:line="416" w:lineRule="auto"/>
      <w:outlineLvl w:val="2"/>
    </w:pPr>
    <w:rPr>
      <w:b/>
      <w:bCs/>
      <w:sz w:val="32"/>
      <w:szCs w:val="32"/>
    </w:rPr>
  </w:style>
  <w:style w:type="paragraph" w:customStyle="1" w:styleId="192">
    <w:name w:val="标题 41"/>
    <w:basedOn w:val="1"/>
    <w:next w:val="190"/>
    <w:link w:val="206"/>
    <w:qFormat/>
    <w:uiPriority w:val="0"/>
    <w:pPr>
      <w:keepNext/>
      <w:keepLines/>
      <w:spacing w:before="280" w:after="290" w:line="376" w:lineRule="auto"/>
      <w:outlineLvl w:val="3"/>
    </w:pPr>
    <w:rPr>
      <w:rFonts w:ascii="Arial" w:hAnsi="Arial" w:eastAsia="黑体"/>
      <w:b/>
      <w:bCs/>
      <w:sz w:val="28"/>
      <w:szCs w:val="28"/>
    </w:rPr>
  </w:style>
  <w:style w:type="paragraph" w:customStyle="1" w:styleId="193">
    <w:name w:val="标题 51"/>
    <w:basedOn w:val="1"/>
    <w:next w:val="190"/>
    <w:link w:val="207"/>
    <w:qFormat/>
    <w:uiPriority w:val="0"/>
    <w:pPr>
      <w:keepNext/>
      <w:outlineLvl w:val="4"/>
    </w:pPr>
    <w:rPr>
      <w:rFonts w:ascii="宋体"/>
      <w:color w:val="000000"/>
      <w:sz w:val="28"/>
      <w:szCs w:val="28"/>
    </w:rPr>
  </w:style>
  <w:style w:type="paragraph" w:customStyle="1" w:styleId="194">
    <w:name w:val="标题 61"/>
    <w:basedOn w:val="1"/>
    <w:next w:val="1"/>
    <w:link w:val="208"/>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5">
    <w:name w:val="标题 71"/>
    <w:basedOn w:val="1"/>
    <w:next w:val="1"/>
    <w:link w:val="209"/>
    <w:qFormat/>
    <w:uiPriority w:val="0"/>
    <w:pPr>
      <w:keepNext/>
      <w:keepLines/>
      <w:numPr>
        <w:ilvl w:val="6"/>
        <w:numId w:val="1"/>
      </w:numPr>
      <w:spacing w:before="240" w:after="64" w:line="320" w:lineRule="auto"/>
      <w:outlineLvl w:val="6"/>
    </w:pPr>
    <w:rPr>
      <w:b/>
      <w:bCs/>
      <w:sz w:val="24"/>
      <w:szCs w:val="24"/>
    </w:rPr>
  </w:style>
  <w:style w:type="paragraph" w:customStyle="1" w:styleId="196">
    <w:name w:val="标题 81"/>
    <w:basedOn w:val="1"/>
    <w:next w:val="1"/>
    <w:link w:val="21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7">
    <w:name w:val="标题 91"/>
    <w:basedOn w:val="1"/>
    <w:next w:val="1"/>
    <w:link w:val="211"/>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customStyle="1" w:styleId="198">
    <w:name w:val="默认段落字体1"/>
    <w:link w:val="1"/>
    <w:unhideWhenUsed/>
    <w:qFormat/>
    <w:uiPriority w:val="1"/>
  </w:style>
  <w:style w:type="table" w:customStyle="1" w:styleId="199">
    <w:name w:val="普通表格1"/>
    <w:unhideWhenUsed/>
    <w:qFormat/>
    <w:uiPriority w:val="99"/>
  </w:style>
  <w:style w:type="character" w:customStyle="1" w:styleId="200">
    <w:name w:val="正文文本 Char"/>
    <w:link w:val="37"/>
    <w:qFormat/>
    <w:uiPriority w:val="0"/>
    <w:rPr>
      <w:rFonts w:ascii="楷体_GB2312" w:hAnsi="Arial" w:eastAsia="楷体_GB2312" w:cs="Times New Roman"/>
      <w:sz w:val="28"/>
      <w:szCs w:val="28"/>
    </w:rPr>
  </w:style>
  <w:style w:type="character" w:customStyle="1" w:styleId="201">
    <w:name w:val="正文首行缩进 Char"/>
    <w:link w:val="36"/>
    <w:qFormat/>
    <w:uiPriority w:val="0"/>
    <w:rPr>
      <w:rFonts w:ascii="仿宋_GB2312" w:hAnsi="Times New Roman" w:eastAsia="仿宋_GB2312" w:cs="Times New Roman"/>
      <w:sz w:val="30"/>
      <w:szCs w:val="30"/>
    </w:rPr>
  </w:style>
  <w:style w:type="character" w:customStyle="1" w:styleId="202">
    <w:name w:val="标题 1 Char"/>
    <w:link w:val="188"/>
    <w:qFormat/>
    <w:uiPriority w:val="0"/>
    <w:rPr>
      <w:rFonts w:ascii="楷体_GB2312" w:hAnsi="Times New Roman" w:eastAsia="楷体_GB2312" w:cs="Times New Roman"/>
      <w:sz w:val="28"/>
      <w:szCs w:val="28"/>
    </w:rPr>
  </w:style>
  <w:style w:type="character" w:customStyle="1" w:styleId="203">
    <w:name w:val="标题 2 Char"/>
    <w:link w:val="189"/>
    <w:qFormat/>
    <w:uiPriority w:val="0"/>
    <w:rPr>
      <w:rFonts w:ascii="Arial" w:hAnsi="Arial" w:eastAsia="幼圆" w:cs="Arial"/>
      <w:b/>
      <w:bCs/>
      <w:sz w:val="44"/>
      <w:szCs w:val="44"/>
    </w:rPr>
  </w:style>
  <w:style w:type="character" w:customStyle="1" w:styleId="204">
    <w:name w:val="正文缩进 Char"/>
    <w:link w:val="190"/>
    <w:qFormat/>
    <w:uiPriority w:val="0"/>
    <w:rPr>
      <w:szCs w:val="21"/>
    </w:rPr>
  </w:style>
  <w:style w:type="character" w:customStyle="1" w:styleId="205">
    <w:name w:val="标题 3 Char"/>
    <w:link w:val="191"/>
    <w:qFormat/>
    <w:uiPriority w:val="0"/>
    <w:rPr>
      <w:rFonts w:ascii="Times New Roman" w:hAnsi="Times New Roman" w:eastAsia="宋体" w:cs="Times New Roman"/>
      <w:b/>
      <w:bCs/>
      <w:sz w:val="32"/>
      <w:szCs w:val="32"/>
    </w:rPr>
  </w:style>
  <w:style w:type="character" w:customStyle="1" w:styleId="206">
    <w:name w:val="标题 4 Char"/>
    <w:link w:val="192"/>
    <w:qFormat/>
    <w:uiPriority w:val="0"/>
    <w:rPr>
      <w:rFonts w:ascii="Arial" w:hAnsi="Arial" w:eastAsia="黑体" w:cs="Arial"/>
      <w:b/>
      <w:bCs/>
      <w:sz w:val="28"/>
      <w:szCs w:val="28"/>
    </w:rPr>
  </w:style>
  <w:style w:type="character" w:customStyle="1" w:styleId="207">
    <w:name w:val="标题 5 Char"/>
    <w:link w:val="193"/>
    <w:qFormat/>
    <w:uiPriority w:val="0"/>
    <w:rPr>
      <w:rFonts w:ascii="宋体" w:hAnsi="Times New Roman" w:eastAsia="宋体" w:cs="Times New Roman"/>
      <w:color w:val="000000"/>
      <w:sz w:val="28"/>
      <w:szCs w:val="28"/>
    </w:rPr>
  </w:style>
  <w:style w:type="character" w:customStyle="1" w:styleId="208">
    <w:name w:val="标题 6 Char"/>
    <w:link w:val="194"/>
    <w:qFormat/>
    <w:uiPriority w:val="0"/>
    <w:rPr>
      <w:rFonts w:ascii="Arial" w:hAnsi="Arial" w:eastAsia="黑体" w:cs="Times New Roman"/>
      <w:b/>
      <w:bCs/>
      <w:sz w:val="24"/>
      <w:szCs w:val="24"/>
    </w:rPr>
  </w:style>
  <w:style w:type="character" w:customStyle="1" w:styleId="209">
    <w:name w:val="标题 7 Char"/>
    <w:link w:val="195"/>
    <w:qFormat/>
    <w:uiPriority w:val="0"/>
    <w:rPr>
      <w:rFonts w:ascii="Times New Roman" w:hAnsi="Times New Roman" w:eastAsia="宋体" w:cs="Times New Roman"/>
      <w:b/>
      <w:bCs/>
      <w:sz w:val="24"/>
      <w:szCs w:val="24"/>
    </w:rPr>
  </w:style>
  <w:style w:type="character" w:customStyle="1" w:styleId="210">
    <w:name w:val="标题 8 Char"/>
    <w:link w:val="196"/>
    <w:qFormat/>
    <w:uiPriority w:val="0"/>
    <w:rPr>
      <w:rFonts w:ascii="Arial" w:hAnsi="Arial" w:eastAsia="黑体" w:cs="Times New Roman"/>
      <w:sz w:val="24"/>
      <w:szCs w:val="24"/>
    </w:rPr>
  </w:style>
  <w:style w:type="character" w:customStyle="1" w:styleId="211">
    <w:name w:val="标题 9 Char"/>
    <w:link w:val="197"/>
    <w:qFormat/>
    <w:uiPriority w:val="0"/>
    <w:rPr>
      <w:rFonts w:ascii="Arial" w:hAnsi="Arial" w:eastAsia="黑体" w:cs="Times New Roman"/>
      <w:szCs w:val="21"/>
    </w:rPr>
  </w:style>
  <w:style w:type="paragraph" w:customStyle="1" w:styleId="212">
    <w:name w:val="列表 31"/>
    <w:basedOn w:val="1"/>
    <w:qFormat/>
    <w:uiPriority w:val="0"/>
    <w:pPr>
      <w:ind w:left="100" w:hanging="200"/>
    </w:pPr>
    <w:rPr>
      <w:rFonts w:ascii="Times New Roman" w:hAnsi="Times New Roman" w:eastAsia="宋体" w:cs="Times New Roman"/>
      <w:szCs w:val="21"/>
    </w:rPr>
  </w:style>
  <w:style w:type="paragraph" w:customStyle="1" w:styleId="213">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14">
    <w:name w:val="文档结构图1"/>
    <w:basedOn w:val="1"/>
    <w:link w:val="215"/>
    <w:semiHidden/>
    <w:qFormat/>
    <w:uiPriority w:val="0"/>
    <w:pPr>
      <w:shd w:val="clear" w:color="auto" w:fill="000080"/>
    </w:pPr>
    <w:rPr>
      <w:sz w:val="20"/>
      <w:szCs w:val="21"/>
    </w:rPr>
  </w:style>
  <w:style w:type="character" w:customStyle="1" w:styleId="215">
    <w:name w:val="文档结构图 Char"/>
    <w:link w:val="214"/>
    <w:semiHidden/>
    <w:qFormat/>
    <w:uiPriority w:val="0"/>
    <w:rPr>
      <w:rFonts w:ascii="Times New Roman" w:hAnsi="Times New Roman" w:eastAsia="宋体" w:cs="Times New Roman"/>
      <w:szCs w:val="21"/>
      <w:shd w:val="clear" w:color="auto" w:fill="000080"/>
    </w:rPr>
  </w:style>
  <w:style w:type="paragraph" w:customStyle="1" w:styleId="216">
    <w:name w:val="批注文字1"/>
    <w:basedOn w:val="1"/>
    <w:link w:val="217"/>
    <w:unhideWhenUsed/>
    <w:qFormat/>
    <w:uiPriority w:val="0"/>
    <w:pPr>
      <w:jc w:val="left"/>
    </w:pPr>
  </w:style>
  <w:style w:type="character" w:customStyle="1" w:styleId="217">
    <w:name w:val="批注文字 Char"/>
    <w:basedOn w:val="198"/>
    <w:link w:val="216"/>
    <w:semiHidden/>
    <w:qFormat/>
    <w:uiPriority w:val="99"/>
  </w:style>
  <w:style w:type="paragraph" w:customStyle="1" w:styleId="218">
    <w:name w:val="正文文本 31"/>
    <w:basedOn w:val="1"/>
    <w:link w:val="219"/>
    <w:qFormat/>
    <w:uiPriority w:val="0"/>
    <w:rPr>
      <w:rFonts w:ascii="仿宋_GB2312" w:hAnsi="Arial" w:eastAsia="仿宋_GB2312"/>
      <w:sz w:val="32"/>
      <w:szCs w:val="32"/>
    </w:rPr>
  </w:style>
  <w:style w:type="character" w:customStyle="1" w:styleId="219">
    <w:name w:val="正文文本 3 Char"/>
    <w:link w:val="218"/>
    <w:qFormat/>
    <w:uiPriority w:val="0"/>
    <w:rPr>
      <w:rFonts w:ascii="仿宋_GB2312" w:hAnsi="Arial" w:eastAsia="仿宋_GB2312" w:cs="Times New Roman"/>
      <w:sz w:val="32"/>
      <w:szCs w:val="32"/>
    </w:rPr>
  </w:style>
  <w:style w:type="paragraph" w:customStyle="1" w:styleId="220">
    <w:name w:val="正文文本缩进1"/>
    <w:basedOn w:val="1"/>
    <w:link w:val="221"/>
    <w:unhideWhenUsed/>
    <w:qFormat/>
    <w:uiPriority w:val="0"/>
    <w:pPr>
      <w:spacing w:after="120"/>
      <w:ind w:left="420"/>
    </w:pPr>
  </w:style>
  <w:style w:type="character" w:customStyle="1" w:styleId="221">
    <w:name w:val="正文文本缩进 Char"/>
    <w:basedOn w:val="198"/>
    <w:link w:val="220"/>
    <w:semiHidden/>
    <w:qFormat/>
    <w:uiPriority w:val="99"/>
  </w:style>
  <w:style w:type="paragraph" w:customStyle="1" w:styleId="222">
    <w:name w:val="列表 21"/>
    <w:basedOn w:val="1"/>
    <w:qFormat/>
    <w:uiPriority w:val="0"/>
    <w:pPr>
      <w:ind w:left="100" w:hanging="200"/>
    </w:pPr>
    <w:rPr>
      <w:rFonts w:ascii="Times New Roman" w:hAnsi="Times New Roman" w:eastAsia="宋体" w:cs="Times New Roman"/>
      <w:szCs w:val="21"/>
    </w:rPr>
  </w:style>
  <w:style w:type="paragraph" w:customStyle="1" w:styleId="223">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24">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25">
    <w:name w:val="纯文本1"/>
    <w:basedOn w:val="1"/>
    <w:link w:val="226"/>
    <w:qFormat/>
    <w:uiPriority w:val="0"/>
    <w:rPr>
      <w:rFonts w:ascii="宋体" w:hAnsi="Courier New"/>
      <w:sz w:val="20"/>
      <w:szCs w:val="21"/>
    </w:rPr>
  </w:style>
  <w:style w:type="character" w:customStyle="1" w:styleId="226">
    <w:name w:val="纯文本 Char"/>
    <w:link w:val="225"/>
    <w:qFormat/>
    <w:uiPriority w:val="0"/>
    <w:rPr>
      <w:rFonts w:ascii="宋体" w:hAnsi="Courier New" w:eastAsia="宋体" w:cs="Courier New"/>
      <w:szCs w:val="21"/>
    </w:rPr>
  </w:style>
  <w:style w:type="paragraph" w:customStyle="1" w:styleId="227">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28">
    <w:name w:val="日期1"/>
    <w:basedOn w:val="1"/>
    <w:next w:val="1"/>
    <w:link w:val="229"/>
    <w:qFormat/>
    <w:uiPriority w:val="0"/>
    <w:rPr>
      <w:sz w:val="24"/>
      <w:szCs w:val="24"/>
    </w:rPr>
  </w:style>
  <w:style w:type="character" w:customStyle="1" w:styleId="229">
    <w:name w:val="日期 Char"/>
    <w:link w:val="228"/>
    <w:qFormat/>
    <w:uiPriority w:val="0"/>
    <w:rPr>
      <w:rFonts w:ascii="Times New Roman" w:hAnsi="Times New Roman" w:eastAsia="宋体" w:cs="Times New Roman"/>
      <w:sz w:val="24"/>
      <w:szCs w:val="24"/>
    </w:rPr>
  </w:style>
  <w:style w:type="paragraph" w:customStyle="1" w:styleId="230">
    <w:name w:val="正文文本缩进 21"/>
    <w:basedOn w:val="1"/>
    <w:link w:val="231"/>
    <w:qFormat/>
    <w:uiPriority w:val="0"/>
    <w:pPr>
      <w:ind w:left="630" w:firstLine="645"/>
    </w:pPr>
    <w:rPr>
      <w:rFonts w:ascii="Arial" w:hAnsi="Arial" w:eastAsia="仿宋_GB2312"/>
      <w:sz w:val="32"/>
      <w:szCs w:val="32"/>
    </w:rPr>
  </w:style>
  <w:style w:type="character" w:customStyle="1" w:styleId="231">
    <w:name w:val="正文文本缩进 2 Char"/>
    <w:link w:val="230"/>
    <w:qFormat/>
    <w:uiPriority w:val="0"/>
    <w:rPr>
      <w:rFonts w:ascii="Arial" w:hAnsi="Arial" w:eastAsia="仿宋_GB2312" w:cs="Arial"/>
      <w:sz w:val="32"/>
      <w:szCs w:val="32"/>
    </w:rPr>
  </w:style>
  <w:style w:type="paragraph" w:customStyle="1" w:styleId="232">
    <w:name w:val="批注框文本1"/>
    <w:basedOn w:val="1"/>
    <w:link w:val="233"/>
    <w:semiHidden/>
    <w:qFormat/>
    <w:uiPriority w:val="0"/>
    <w:rPr>
      <w:sz w:val="18"/>
      <w:szCs w:val="18"/>
    </w:rPr>
  </w:style>
  <w:style w:type="character" w:customStyle="1" w:styleId="233">
    <w:name w:val="批注框文本 Char"/>
    <w:link w:val="232"/>
    <w:semiHidden/>
    <w:qFormat/>
    <w:uiPriority w:val="0"/>
    <w:rPr>
      <w:rFonts w:ascii="Times New Roman" w:hAnsi="Times New Roman" w:eastAsia="宋体" w:cs="Times New Roman"/>
      <w:sz w:val="18"/>
      <w:szCs w:val="18"/>
    </w:rPr>
  </w:style>
  <w:style w:type="paragraph" w:customStyle="1" w:styleId="234">
    <w:name w:val="页脚1"/>
    <w:basedOn w:val="1"/>
    <w:link w:val="235"/>
    <w:qFormat/>
    <w:uiPriority w:val="99"/>
    <w:pPr>
      <w:tabs>
        <w:tab w:val="center" w:pos="4153"/>
        <w:tab w:val="right" w:pos="8306"/>
      </w:tabs>
      <w:jc w:val="left"/>
    </w:pPr>
    <w:rPr>
      <w:sz w:val="18"/>
      <w:szCs w:val="18"/>
    </w:rPr>
  </w:style>
  <w:style w:type="character" w:customStyle="1" w:styleId="235">
    <w:name w:val="页脚 Char"/>
    <w:link w:val="234"/>
    <w:qFormat/>
    <w:uiPriority w:val="99"/>
    <w:rPr>
      <w:rFonts w:ascii="Times New Roman" w:hAnsi="Times New Roman" w:eastAsia="宋体" w:cs="Times New Roman"/>
      <w:sz w:val="18"/>
      <w:szCs w:val="18"/>
    </w:rPr>
  </w:style>
  <w:style w:type="paragraph" w:customStyle="1" w:styleId="236">
    <w:name w:val="页眉1"/>
    <w:basedOn w:val="1"/>
    <w:link w:val="237"/>
    <w:qFormat/>
    <w:uiPriority w:val="0"/>
    <w:pPr>
      <w:pBdr>
        <w:bottom w:val="single" w:color="000000" w:sz="6" w:space="1"/>
      </w:pBdr>
      <w:tabs>
        <w:tab w:val="center" w:pos="4153"/>
        <w:tab w:val="right" w:pos="8306"/>
      </w:tabs>
      <w:jc w:val="center"/>
    </w:pPr>
    <w:rPr>
      <w:sz w:val="18"/>
      <w:szCs w:val="18"/>
    </w:rPr>
  </w:style>
  <w:style w:type="character" w:customStyle="1" w:styleId="237">
    <w:name w:val="页眉 Char"/>
    <w:link w:val="236"/>
    <w:qFormat/>
    <w:uiPriority w:val="0"/>
    <w:rPr>
      <w:rFonts w:ascii="Times New Roman" w:hAnsi="Times New Roman" w:eastAsia="宋体" w:cs="Times New Roman"/>
      <w:sz w:val="18"/>
      <w:szCs w:val="18"/>
    </w:rPr>
  </w:style>
  <w:style w:type="paragraph" w:customStyle="1" w:styleId="238">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39">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40">
    <w:name w:val="列表1"/>
    <w:basedOn w:val="1"/>
    <w:qFormat/>
    <w:uiPriority w:val="0"/>
    <w:pPr>
      <w:ind w:left="200" w:hanging="200"/>
    </w:pPr>
    <w:rPr>
      <w:rFonts w:ascii="Times New Roman" w:hAnsi="Times New Roman" w:eastAsia="宋体" w:cs="Times New Roman"/>
      <w:szCs w:val="21"/>
    </w:rPr>
  </w:style>
  <w:style w:type="paragraph" w:customStyle="1" w:styleId="241">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42">
    <w:name w:val="正文文本缩进 31"/>
    <w:basedOn w:val="1"/>
    <w:link w:val="243"/>
    <w:qFormat/>
    <w:uiPriority w:val="0"/>
    <w:pPr>
      <w:ind w:left="645" w:firstLine="645"/>
    </w:pPr>
    <w:rPr>
      <w:rFonts w:ascii="Arial" w:hAnsi="Arial" w:eastAsia="仿宋_GB2312"/>
      <w:color w:val="FFFF00"/>
      <w:sz w:val="32"/>
      <w:szCs w:val="32"/>
    </w:rPr>
  </w:style>
  <w:style w:type="character" w:customStyle="1" w:styleId="243">
    <w:name w:val="正文文本缩进 3 Char"/>
    <w:link w:val="242"/>
    <w:qFormat/>
    <w:uiPriority w:val="0"/>
    <w:rPr>
      <w:rFonts w:ascii="Arial" w:hAnsi="Arial" w:eastAsia="仿宋_GB2312" w:cs="Arial"/>
      <w:color w:val="FFFF00"/>
      <w:sz w:val="32"/>
      <w:szCs w:val="32"/>
    </w:rPr>
  </w:style>
  <w:style w:type="paragraph" w:customStyle="1" w:styleId="244">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45">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46">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47">
    <w:name w:val="正文文本 21"/>
    <w:basedOn w:val="1"/>
    <w:link w:val="248"/>
    <w:qFormat/>
    <w:uiPriority w:val="0"/>
    <w:pPr>
      <w:widowControl/>
      <w:jc w:val="center"/>
    </w:pPr>
    <w:rPr>
      <w:rFonts w:ascii="楷体_GB2312" w:eastAsia="楷体_GB2312"/>
      <w:sz w:val="28"/>
      <w:szCs w:val="28"/>
    </w:rPr>
  </w:style>
  <w:style w:type="character" w:customStyle="1" w:styleId="248">
    <w:name w:val="正文文本 2 Char"/>
    <w:link w:val="247"/>
    <w:qFormat/>
    <w:uiPriority w:val="0"/>
    <w:rPr>
      <w:rFonts w:ascii="楷体_GB2312" w:hAnsi="Times New Roman" w:eastAsia="楷体_GB2312" w:cs="Times New Roman"/>
      <w:sz w:val="28"/>
      <w:szCs w:val="28"/>
    </w:rPr>
  </w:style>
  <w:style w:type="paragraph" w:customStyle="1" w:styleId="249">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50">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51">
    <w:name w:val="批注主题1"/>
    <w:basedOn w:val="216"/>
    <w:next w:val="216"/>
    <w:link w:val="252"/>
    <w:semiHidden/>
    <w:qFormat/>
    <w:uiPriority w:val="0"/>
    <w:rPr>
      <w:b/>
      <w:bCs/>
      <w:sz w:val="20"/>
      <w:szCs w:val="21"/>
    </w:rPr>
  </w:style>
  <w:style w:type="character" w:customStyle="1" w:styleId="252">
    <w:name w:val="批注主题 Char"/>
    <w:link w:val="251"/>
    <w:semiHidden/>
    <w:qFormat/>
    <w:uiPriority w:val="0"/>
    <w:rPr>
      <w:rFonts w:ascii="Times New Roman" w:hAnsi="Times New Roman" w:eastAsia="宋体" w:cs="Times New Roman"/>
      <w:b/>
      <w:bCs/>
      <w:szCs w:val="21"/>
    </w:rPr>
  </w:style>
  <w:style w:type="paragraph" w:customStyle="1" w:styleId="253">
    <w:name w:val="正文首行缩进 21"/>
    <w:basedOn w:val="220"/>
    <w:link w:val="254"/>
    <w:qFormat/>
    <w:uiPriority w:val="0"/>
    <w:pPr>
      <w:spacing w:after="0" w:line="360" w:lineRule="auto"/>
      <w:ind w:left="0" w:firstLine="420"/>
    </w:pPr>
    <w:rPr>
      <w:rFonts w:ascii="宋体" w:hAnsi="宋体"/>
      <w:sz w:val="20"/>
      <w:szCs w:val="20"/>
    </w:rPr>
  </w:style>
  <w:style w:type="character" w:customStyle="1" w:styleId="254">
    <w:name w:val="正文首行缩进 2 Char"/>
    <w:link w:val="253"/>
    <w:qFormat/>
    <w:uiPriority w:val="0"/>
    <w:rPr>
      <w:rFonts w:ascii="宋体" w:hAnsi="宋体" w:eastAsia="宋体" w:cs="Times New Roman"/>
      <w:szCs w:val="20"/>
    </w:rPr>
  </w:style>
  <w:style w:type="table" w:customStyle="1" w:styleId="255">
    <w:name w:val="网格型1"/>
    <w:basedOn w:val="199"/>
    <w:qFormat/>
    <w:uiPriority w:val="0"/>
    <w:pPr>
      <w:widowControl w:val="0"/>
      <w:jc w:val="both"/>
    </w:pPr>
    <w:rPr>
      <w:rFonts w:ascii="Times New Roman" w:hAnsi="Times New Roman" w:eastAsia="宋体" w:cs="Times New Roman"/>
      <w:sz w:val="20"/>
      <w:szCs w:val="20"/>
    </w:rPr>
  </w:style>
  <w:style w:type="character" w:customStyle="1" w:styleId="256">
    <w:name w:val="要点1"/>
    <w:link w:val="1"/>
    <w:qFormat/>
    <w:uiPriority w:val="0"/>
    <w:rPr>
      <w:b/>
      <w:bCs/>
    </w:rPr>
  </w:style>
  <w:style w:type="character" w:customStyle="1" w:styleId="257">
    <w:name w:val="页码1"/>
    <w:basedOn w:val="198"/>
    <w:link w:val="1"/>
    <w:qFormat/>
    <w:uiPriority w:val="0"/>
  </w:style>
  <w:style w:type="character" w:customStyle="1" w:styleId="258">
    <w:name w:val="已访问的超链接1"/>
    <w:link w:val="1"/>
    <w:qFormat/>
    <w:uiPriority w:val="0"/>
    <w:rPr>
      <w:color w:val="800080"/>
      <w:u w:val="single"/>
    </w:rPr>
  </w:style>
  <w:style w:type="character" w:customStyle="1" w:styleId="259">
    <w:name w:val="超链接1"/>
    <w:link w:val="1"/>
    <w:qFormat/>
    <w:uiPriority w:val="0"/>
    <w:rPr>
      <w:color w:val="0000FF"/>
      <w:u w:val="single"/>
    </w:rPr>
  </w:style>
  <w:style w:type="character" w:customStyle="1" w:styleId="260">
    <w:name w:val="批注引用1"/>
    <w:link w:val="1"/>
    <w:semiHidden/>
    <w:qFormat/>
    <w:uiPriority w:val="0"/>
    <w:rPr>
      <w:sz w:val="21"/>
      <w:szCs w:val="21"/>
    </w:rPr>
  </w:style>
  <w:style w:type="paragraph" w:customStyle="1" w:styleId="261">
    <w:name w:val="正文首行缩进11"/>
    <w:basedOn w:val="262"/>
    <w:qFormat/>
    <w:uiPriority w:val="0"/>
    <w:pPr>
      <w:spacing w:line="360" w:lineRule="auto"/>
      <w:ind w:firstLine="200"/>
    </w:pPr>
    <w:rPr>
      <w:rFonts w:ascii="仿宋_GB2312" w:eastAsia="仿宋_GB2312"/>
      <w:sz w:val="30"/>
      <w:szCs w:val="30"/>
    </w:rPr>
  </w:style>
  <w:style w:type="paragraph" w:customStyle="1" w:styleId="262">
    <w:name w:val="正文文本11"/>
    <w:basedOn w:val="1"/>
    <w:next w:val="1"/>
    <w:qFormat/>
    <w:uiPriority w:val="0"/>
    <w:rPr>
      <w:rFonts w:ascii="楷体_GB2312" w:hAnsi="Arial" w:eastAsia="楷体_GB2312"/>
      <w:sz w:val="28"/>
      <w:szCs w:val="28"/>
    </w:rPr>
  </w:style>
  <w:style w:type="paragraph" w:customStyle="1" w:styleId="263">
    <w:name w:val="Default"/>
    <w:qFormat/>
    <w:uiPriority w:val="99"/>
    <w:pPr>
      <w:widowControl w:val="0"/>
    </w:pPr>
    <w:rPr>
      <w:rFonts w:hint="default" w:ascii="MS Mincho" w:hAnsi="Times New Roman" w:eastAsia="MS Mincho" w:cs="Times New Roman"/>
      <w:color w:val="000000"/>
      <w:sz w:val="24"/>
      <w:szCs w:val="24"/>
      <w:lang w:val="en-US" w:eastAsia="zh-CN" w:bidi="ar-SA"/>
    </w:rPr>
  </w:style>
  <w:style w:type="character" w:customStyle="1" w:styleId="264">
    <w:name w:val="font5 Char"/>
    <w:link w:val="1"/>
    <w:qFormat/>
    <w:uiPriority w:val="0"/>
    <w:rPr>
      <w:rFonts w:ascii="宋体" w:hAnsi="宋体" w:eastAsia="宋体"/>
      <w:sz w:val="28"/>
      <w:szCs w:val="28"/>
      <w:lang w:val="en-US" w:eastAsia="zh-CN" w:bidi="ar-SA"/>
    </w:rPr>
  </w:style>
  <w:style w:type="character" w:customStyle="1" w:styleId="265">
    <w:name w:val="二级目录 Char"/>
    <w:link w:val="266"/>
    <w:qFormat/>
    <w:uiPriority w:val="0"/>
    <w:rPr>
      <w:b/>
      <w:sz w:val="30"/>
      <w:szCs w:val="28"/>
      <w:lang w:val="en-US" w:eastAsia="zh-CN" w:bidi="ar-SA"/>
    </w:rPr>
  </w:style>
  <w:style w:type="paragraph" w:customStyle="1" w:styleId="266">
    <w:name w:val="二级目录"/>
    <w:next w:val="1"/>
    <w:link w:val="265"/>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7">
    <w:name w:val="列出段落 Char"/>
    <w:link w:val="268"/>
    <w:qFormat/>
    <w:uiPriority w:val="0"/>
    <w:rPr>
      <w:rFonts w:ascii="Calibri" w:hAnsi="Calibri"/>
      <w:sz w:val="24"/>
      <w:szCs w:val="24"/>
      <w:lang w:eastAsia="en-US" w:bidi="en-US"/>
    </w:rPr>
  </w:style>
  <w:style w:type="paragraph" w:customStyle="1" w:styleId="268">
    <w:name w:val="列出段落1"/>
    <w:basedOn w:val="1"/>
    <w:link w:val="267"/>
    <w:qFormat/>
    <w:uiPriority w:val="0"/>
    <w:pPr>
      <w:widowControl/>
      <w:ind w:left="720"/>
      <w:contextualSpacing/>
      <w:jc w:val="left"/>
    </w:pPr>
    <w:rPr>
      <w:rFonts w:ascii="Calibri" w:hAnsi="Calibri"/>
      <w:sz w:val="24"/>
      <w:szCs w:val="24"/>
      <w:lang w:eastAsia="en-US" w:bidi="en-US"/>
    </w:rPr>
  </w:style>
  <w:style w:type="paragraph" w:customStyle="1" w:styleId="269">
    <w:name w:val="Body Text(ch)"/>
    <w:basedOn w:val="1"/>
    <w:next w:val="37"/>
    <w:qFormat/>
    <w:uiPriority w:val="0"/>
    <w:pPr>
      <w:spacing w:after="120"/>
    </w:pPr>
    <w:rPr>
      <w:rFonts w:ascii="宋体" w:hAnsi="Arial" w:eastAsia="宋体" w:cs="Times New Roman"/>
      <w:bCs/>
      <w:iCs/>
      <w:szCs w:val="24"/>
    </w:rPr>
  </w:style>
  <w:style w:type="paragraph" w:customStyle="1" w:styleId="270">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7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72">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73">
    <w:name w:val=" Char"/>
    <w:basedOn w:val="214"/>
    <w:qFormat/>
    <w:uiPriority w:val="0"/>
    <w:rPr>
      <w:rFonts w:ascii="Tahoma" w:hAnsi="Tahoma"/>
      <w:sz w:val="24"/>
      <w:szCs w:val="24"/>
    </w:rPr>
  </w:style>
  <w:style w:type="paragraph" w:customStyle="1" w:styleId="274">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75">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76">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7">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78">
    <w:name w:val=" Char Char Char Char"/>
    <w:basedOn w:val="214"/>
    <w:qFormat/>
    <w:uiPriority w:val="0"/>
    <w:pPr>
      <w:spacing w:line="360" w:lineRule="auto"/>
    </w:pPr>
    <w:rPr>
      <w:rFonts w:ascii="Tahoma" w:hAnsi="Tahoma"/>
      <w:sz w:val="24"/>
      <w:szCs w:val="24"/>
    </w:rPr>
  </w:style>
  <w:style w:type="paragraph" w:customStyle="1" w:styleId="279">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80">
    <w:name w:val="4"/>
    <w:basedOn w:val="1"/>
    <w:next w:val="242"/>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81">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82">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83">
    <w:name w:val="样式1"/>
    <w:basedOn w:val="1"/>
    <w:qFormat/>
    <w:uiPriority w:val="0"/>
    <w:pPr>
      <w:numPr>
        <w:ilvl w:val="0"/>
        <w:numId w:val="3"/>
      </w:numPr>
    </w:pPr>
    <w:rPr>
      <w:rFonts w:ascii="宋体" w:hAnsi="宋体" w:eastAsia="宋体" w:cs="Times New Roman"/>
      <w:szCs w:val="21"/>
    </w:rPr>
  </w:style>
  <w:style w:type="paragraph" w:customStyle="1" w:styleId="284">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8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6">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87">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8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9">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0">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9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2">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93">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94">
    <w:name w:val="Char Char Char Char"/>
    <w:basedOn w:val="214"/>
    <w:qFormat/>
    <w:uiPriority w:val="0"/>
    <w:pPr>
      <w:spacing w:line="360" w:lineRule="auto"/>
    </w:pPr>
    <w:rPr>
      <w:rFonts w:ascii="Tahoma" w:hAnsi="Tahoma"/>
      <w:sz w:val="24"/>
      <w:szCs w:val="24"/>
    </w:rPr>
  </w:style>
  <w:style w:type="paragraph" w:customStyle="1" w:styleId="295">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6">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97">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98">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9">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300">
    <w:name w:val="font51"/>
    <w:basedOn w:val="198"/>
    <w:link w:val="1"/>
    <w:qFormat/>
    <w:uiPriority w:val="0"/>
    <w:rPr>
      <w:rFonts w:hint="eastAsia" w:ascii="宋体" w:hAnsi="宋体" w:eastAsia="宋体" w:cs="宋体"/>
      <w:color w:val="000000"/>
      <w:sz w:val="21"/>
      <w:szCs w:val="21"/>
      <w:u w:val="none"/>
    </w:rPr>
  </w:style>
  <w:style w:type="character" w:customStyle="1" w:styleId="301">
    <w:name w:val="fontstyle01"/>
    <w:basedOn w:val="198"/>
    <w:link w:val="1"/>
    <w:qFormat/>
    <w:uiPriority w:val="0"/>
    <w:rPr>
      <w:rFonts w:ascii="TimesNewRomanPSMT" w:hAnsi="TimesNewRomanPSMT"/>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54</Pages>
  <Words>3176</Words>
  <Characters>3582</Characters>
  <TotalTime>31</TotalTime>
  <ScaleCrop>false</ScaleCrop>
  <LinksUpToDate>false</LinksUpToDate>
  <CharactersWithSpaces>3636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2026-03-03T10:56:00Z</dcterms:created>
  <dc:creator>赵国</dc:creator>
  <cp:lastModifiedBy> 王贇</cp:lastModifiedBy>
  <dcterms:modified xsi:type="dcterms:W3CDTF">2026-05-08T07:44:29Z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eyJoZGlkIjoiZTU3OTgxNWRkNjBiOTUzM2I5M2I2MjNlMTdhOTI4ZGQiLCJ1c2VySWQiOiI2MTIzNjEwNjIifQ==</vt:lpwstr>
  </property>
  <property fmtid="{D5CDD505-2E9C-101B-9397-08002B2CF9AE}" pid="3" name="KSOProductBuildVer">
    <vt:lpwstr>2052-12.1.0.19302</vt:lpwstr>
  </property>
  <property fmtid="{D5CDD505-2E9C-101B-9397-08002B2CF9AE}" pid="4" name="ICV">
    <vt:lpwstr>6181727483DC619831D3ED69F37BB183_43</vt:lpwstr>
  </property>
</Properties>
</file>