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spacing w:line="360" w:lineRule="auto"/>
        <w:rPr>
          <w:b/>
          <w:bCs/>
          <w:sz w:val="60"/>
          <w:szCs w:val="60"/>
          <w:highlight w:val="none"/>
        </w:rPr>
      </w:pPr>
      <w:r>
        <w:rPr>
          <w:b/>
          <w:bCs/>
          <w:sz w:val="60"/>
          <w:szCs w:val="60"/>
          <w:highlight w:val="none"/>
        </w:rPr>
        <w:t xml:space="preserve">常州市政府采购项目</w:t>
      </w:r>
      <w:r/>
    </w:p>
    <w:p>
      <w:pPr>
        <w:jc w:val="center"/>
        <w:spacing w:line="360" w:lineRule="auto"/>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159" w:hanging="1800"/>
        <w:jc w:val="left"/>
        <w:spacing w:line="360" w:lineRule="auto"/>
        <w:tabs>
          <w:tab w:val="left" w:pos="3240" w:leader="none"/>
          <w:tab w:val="left" w:pos="3420" w:leader="none"/>
        </w:tabs>
        <w:rPr>
          <w:rFonts w:ascii="宋体" w:hAnsi="宋体" w:cs="宋体"/>
          <w:bCs/>
          <w:sz w:val="36"/>
          <w:szCs w:val="36"/>
          <w:highlight w:val="none"/>
        </w:rPr>
      </w:pPr>
      <w:r>
        <w:rPr>
          <w:bCs/>
          <w:sz w:val="36"/>
          <w:szCs w:val="36"/>
          <w:highlight w:val="none"/>
        </w:rPr>
        <w:t xml:space="preserve">项目名称：</w:t>
      </w:r>
      <w:bookmarkStart w:id="1116" w:name="_GoBack"/>
      <w:r/>
      <w:bookmarkEnd w:id="1116"/>
      <w:r>
        <w:rPr>
          <w:rFonts w:hint="eastAsia"/>
          <w:bCs/>
          <w:sz w:val="36"/>
          <w:szCs w:val="36"/>
          <w:highlight w:val="none"/>
        </w:rPr>
        <w:t xml:space="preserve">智能机器人电磁兼容性能测试及诊断系统</w:t>
      </w:r>
      <w:r>
        <w:rPr>
          <w:rFonts w:hint="eastAsia"/>
          <w:bCs/>
          <w:sz w:val="36"/>
          <w:szCs w:val="36"/>
          <w:highlight w:val="none"/>
          <w:lang w:val="en-US" w:eastAsia="zh-CN"/>
        </w:rPr>
        <w:t xml:space="preserve">采购</w:t>
      </w:r>
      <w:r>
        <w:rPr>
          <w:rFonts w:hint="eastAsia"/>
          <w:bCs/>
          <w:sz w:val="36"/>
          <w:szCs w:val="36"/>
          <w:highlight w:val="none"/>
        </w:rPr>
        <w:t xml:space="preserve">项目</w:t>
      </w:r>
      <w:r/>
    </w:p>
    <w:p>
      <w:pPr>
        <w:ind w:firstLine="360"/>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6"/>
          <w:szCs w:val="36"/>
          <w:highlight w:val="none"/>
        </w:rPr>
        <w:t xml:space="preserve">项目编号：JSZC-320400-CZRB-G2026-0011</w:t>
      </w:r>
      <w:r/>
    </w:p>
    <w:p>
      <w:pPr>
        <w:ind w:firstLine="360"/>
        <w:jc w:val="left"/>
        <w:spacing w:line="360" w:lineRule="auto"/>
        <w:tabs>
          <w:tab w:val="left" w:pos="3240" w:leader="none"/>
          <w:tab w:val="left" w:pos="3420" w:leader="none"/>
        </w:tabs>
        <w:rPr>
          <w:rFonts w:hint="eastAsia"/>
          <w:bCs/>
          <w:sz w:val="36"/>
          <w:szCs w:val="36"/>
          <w:highlight w:val="none"/>
        </w:rPr>
      </w:pPr>
      <w:r>
        <w:rPr>
          <w:rFonts w:hint="eastAsia" w:ascii="宋体" w:hAnsi="宋体" w:cs="宋体"/>
          <w:bCs/>
          <w:sz w:val="36"/>
          <w:szCs w:val="36"/>
          <w:highlight w:val="none"/>
        </w:rPr>
        <w:t xml:space="preserve">采 购 人：常州检验检测标准认证研究院</w:t>
      </w:r>
      <w:r/>
    </w:p>
    <w:p>
      <w:pPr>
        <w:ind w:firstLine="36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常州润邦招标代理有限公司</w:t>
      </w:r>
      <w:r/>
    </w:p>
    <w:p>
      <w:pPr>
        <w:ind w:firstLine="1446"/>
        <w:jc w:val="center"/>
        <w:spacing w:line="500" w:lineRule="exact"/>
        <w:rPr>
          <w:b/>
          <w:sz w:val="7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Column"/>
          <w:pgSz w:w="11907" w:h="16840" w:orient="portrait"/>
          <w:pgMar w:top="1440" w:right="1800" w:bottom="1440" w:left="1800" w:header="851" w:footer="850" w:gutter="0"/>
          <w:pgNumType w:start="1"/>
          <w:cols w:num="1" w:sep="0" w:space="720" w:equalWidth="1"/>
          <w:docGrid w:linePitch="360"/>
          <w:titlePg/>
        </w:sectPr>
      </w:pPr>
      <w:r>
        <w:rPr>
          <w:b/>
          <w:sz w:val="72"/>
          <w:highlight w:val="none"/>
        </w:rPr>
      </w:r>
      <w:r/>
    </w:p>
    <w:p>
      <w:pPr>
        <w:jc w:val="center"/>
        <w:spacing w:line="360" w:lineRule="auto"/>
        <w:rPr>
          <w:b/>
          <w:sz w:val="44"/>
          <w:szCs w:val="44"/>
          <w:highlight w:val="none"/>
        </w:rPr>
        <w:outlineLvl w:val="0"/>
      </w:pPr>
      <w:r/>
      <w:bookmarkStart w:id="0" w:name="_Toc8595"/>
      <w:r/>
      <w:bookmarkStart w:id="1" w:name="_Toc2734"/>
      <w:r/>
      <w:bookmarkStart w:id="2" w:name="_Toc99301418"/>
      <w:r/>
      <w:bookmarkStart w:id="3" w:name="_Toc17344"/>
      <w:r>
        <w:rPr>
          <w:b/>
          <w:sz w:val="44"/>
          <w:szCs w:val="44"/>
          <w:highlight w:val="none"/>
        </w:rPr>
        <w:t xml:space="preserve">目  录</w:t>
      </w:r>
      <w:bookmarkEnd w:id="0"/>
      <w:r/>
      <w:bookmarkEnd w:id="1"/>
      <w:r/>
      <w:bookmarkEnd w:id="2"/>
      <w:r/>
      <w:bookmarkEnd w:id="3"/>
      <w:r/>
      <w:r/>
    </w:p>
    <w:p>
      <w:pPr>
        <w:pStyle w:val="977"/>
        <w:spacing w:line="360" w:lineRule="auto"/>
        <w:tabs>
          <w:tab w:val="clear" w:pos="1050" w:leader="none"/>
          <w:tab w:val="right" w:pos="8301" w:leader="dot"/>
          <w:tab w:val="clear" w:pos="8937" w:leader="none"/>
        </w:tabs>
        <w:rPr>
          <w:rFonts w:hint="eastAsia" w:cs="宋体"/>
          <w:sz w:val="32"/>
          <w:szCs w:val="32"/>
          <w:highlight w:val="none"/>
        </w:rPr>
      </w:pPr>
      <w:r>
        <w:rPr>
          <w:rFonts w:hint="eastAsia" w:cs="宋体"/>
          <w:b w:val="0"/>
          <w:sz w:val="32"/>
          <w:szCs w:val="32"/>
          <w:highlight w:val="none"/>
        </w:rPr>
        <w:fldChar w:fldCharType="begin"/>
      </w:r>
      <w:r>
        <w:rPr>
          <w:rFonts w:hint="eastAsia" w:cs="宋体"/>
          <w:b w:val="0"/>
          <w:sz w:val="32"/>
          <w:szCs w:val="32"/>
          <w:highlight w:val="none"/>
        </w:rPr>
        <w:instrText xml:space="preserve"> TOC \o "1-1" \h \z \u </w:instrText>
      </w:r>
      <w:r>
        <w:rPr>
          <w:rFonts w:hint="eastAsia" w:cs="宋体"/>
          <w:b w:val="0"/>
          <w:sz w:val="32"/>
          <w:szCs w:val="32"/>
          <w:highlight w:val="none"/>
        </w:rPr>
        <w:fldChar w:fldCharType="separate"/>
      </w:r>
      <w:r>
        <w:rPr>
          <w:rFonts w:hint="eastAsia" w:cs="宋体"/>
          <w:sz w:val="32"/>
          <w:szCs w:val="32"/>
          <w:highlight w:val="none"/>
        </w:rPr>
        <w:fldChar w:fldCharType="begin"/>
      </w:r>
      <w:r>
        <w:rPr>
          <w:rFonts w:hint="eastAsia" w:cs="宋体"/>
          <w:sz w:val="32"/>
          <w:szCs w:val="32"/>
          <w:highlight w:val="none"/>
        </w:rPr>
        <w:instrText xml:space="preserve"> HYPERLINK \l _Toc16204 </w:instrText>
      </w:r>
      <w:r>
        <w:rPr>
          <w:rFonts w:hint="eastAsia" w:cs="宋体"/>
          <w:sz w:val="32"/>
          <w:szCs w:val="32"/>
          <w:highlight w:val="none"/>
        </w:rPr>
        <w:fldChar w:fldCharType="separate"/>
      </w:r>
      <w:r>
        <w:rPr>
          <w:rFonts w:hint="eastAsia" w:cs="宋体"/>
          <w:sz w:val="32"/>
          <w:szCs w:val="32"/>
          <w:highlight w:val="none"/>
        </w:rPr>
        <w:t xml:space="preserve">第一章   投标邀请</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_Toc16204 \h </w:instrText>
      </w:r>
      <w:r>
        <w:rPr>
          <w:rFonts w:hint="eastAsia" w:cs="宋体"/>
          <w:sz w:val="32"/>
          <w:szCs w:val="32"/>
          <w:highlight w:val="none"/>
        </w:rPr>
        <w:fldChar w:fldCharType="separate"/>
      </w:r>
      <w:r>
        <w:rPr>
          <w:rFonts w:hint="eastAsia" w:cs="宋体"/>
          <w:sz w:val="32"/>
          <w:szCs w:val="32"/>
          <w:highlight w:val="none"/>
        </w:rPr>
        <w:t xml:space="preserve">2</w:t>
      </w:r>
      <w:r>
        <w:rPr>
          <w:rFonts w:hint="eastAsia" w:cs="宋体"/>
          <w:sz w:val="32"/>
          <w:szCs w:val="32"/>
          <w:highlight w:val="none"/>
        </w:rPr>
        <w:fldChar w:fldCharType="end"/>
      </w:r>
      <w:r>
        <w:rPr>
          <w:rFonts w:hint="eastAsia" w:cs="宋体"/>
          <w:sz w:val="32"/>
          <w:szCs w:val="32"/>
          <w:highlight w:val="none"/>
        </w:rPr>
        <w:fldChar w:fldCharType="end"/>
      </w:r>
      <w:r/>
    </w:p>
    <w:p>
      <w:pPr>
        <w:pStyle w:val="977"/>
        <w:spacing w:line="360" w:lineRule="auto"/>
        <w:tabs>
          <w:tab w:val="clear" w:pos="1050" w:leader="none"/>
          <w:tab w:val="right" w:pos="8301" w:leader="dot"/>
          <w:tab w:val="clear" w:pos="8937" w:leader="none"/>
        </w:tabs>
        <w:rPr>
          <w:rFonts w:hint="eastAsia" w:cs="宋体"/>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_Toc805 </w:instrText>
      </w:r>
      <w:r>
        <w:rPr>
          <w:rFonts w:hint="eastAsia" w:cs="宋体"/>
          <w:sz w:val="32"/>
          <w:szCs w:val="32"/>
          <w:highlight w:val="none"/>
        </w:rPr>
        <w:fldChar w:fldCharType="separate"/>
      </w:r>
      <w:r>
        <w:rPr>
          <w:rFonts w:hint="eastAsia" w:cs="宋体"/>
          <w:sz w:val="32"/>
          <w:szCs w:val="32"/>
          <w:highlight w:val="none"/>
        </w:rPr>
        <w:t xml:space="preserve">第二章   投标人须知</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_Toc805 \h </w:instrText>
      </w:r>
      <w:r>
        <w:rPr>
          <w:rFonts w:hint="eastAsia" w:cs="宋体"/>
          <w:sz w:val="32"/>
          <w:szCs w:val="32"/>
          <w:highlight w:val="none"/>
        </w:rPr>
        <w:fldChar w:fldCharType="separate"/>
      </w:r>
      <w:r>
        <w:rPr>
          <w:rFonts w:hint="eastAsia" w:cs="宋体"/>
          <w:sz w:val="32"/>
          <w:szCs w:val="32"/>
          <w:highlight w:val="none"/>
        </w:rPr>
        <w:t xml:space="preserve">5</w:t>
      </w:r>
      <w:r>
        <w:rPr>
          <w:rFonts w:hint="eastAsia" w:cs="宋体"/>
          <w:sz w:val="32"/>
          <w:szCs w:val="32"/>
          <w:highlight w:val="none"/>
        </w:rPr>
        <w:fldChar w:fldCharType="end"/>
      </w:r>
      <w:r>
        <w:rPr>
          <w:rFonts w:hint="eastAsia" w:cs="宋体"/>
          <w:sz w:val="32"/>
          <w:szCs w:val="32"/>
          <w:highlight w:val="none"/>
        </w:rPr>
        <w:fldChar w:fldCharType="end"/>
      </w:r>
      <w:r/>
    </w:p>
    <w:p>
      <w:pPr>
        <w:pStyle w:val="977"/>
        <w:spacing w:line="360" w:lineRule="auto"/>
        <w:tabs>
          <w:tab w:val="clear" w:pos="1050" w:leader="none"/>
          <w:tab w:val="right" w:pos="8301" w:leader="dot"/>
          <w:tab w:val="clear" w:pos="8937" w:leader="none"/>
        </w:tabs>
        <w:rPr>
          <w:rFonts w:hint="eastAsia" w:cs="宋体"/>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_Toc31915 </w:instrText>
      </w:r>
      <w:r>
        <w:rPr>
          <w:rFonts w:hint="eastAsia" w:cs="宋体"/>
          <w:sz w:val="32"/>
          <w:szCs w:val="32"/>
          <w:highlight w:val="none"/>
        </w:rPr>
        <w:fldChar w:fldCharType="separate"/>
      </w:r>
      <w:r>
        <w:rPr>
          <w:rFonts w:hint="eastAsia" w:cs="宋体"/>
          <w:sz w:val="32"/>
          <w:szCs w:val="32"/>
          <w:highlight w:val="none"/>
        </w:rPr>
        <w:t xml:space="preserve">第三章   资格审查</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_Toc31915 \h </w:instrText>
      </w:r>
      <w:r>
        <w:rPr>
          <w:rFonts w:hint="eastAsia" w:cs="宋体"/>
          <w:sz w:val="32"/>
          <w:szCs w:val="32"/>
          <w:highlight w:val="none"/>
        </w:rPr>
        <w:fldChar w:fldCharType="separate"/>
      </w:r>
      <w:r>
        <w:rPr>
          <w:rFonts w:hint="eastAsia" w:cs="宋体"/>
          <w:sz w:val="32"/>
          <w:szCs w:val="32"/>
          <w:highlight w:val="none"/>
        </w:rPr>
        <w:t xml:space="preserve">18</w:t>
      </w:r>
      <w:r>
        <w:rPr>
          <w:rFonts w:hint="eastAsia" w:cs="宋体"/>
          <w:sz w:val="32"/>
          <w:szCs w:val="32"/>
          <w:highlight w:val="none"/>
        </w:rPr>
        <w:fldChar w:fldCharType="end"/>
      </w:r>
      <w:r>
        <w:rPr>
          <w:rFonts w:hint="eastAsia" w:cs="宋体"/>
          <w:sz w:val="32"/>
          <w:szCs w:val="32"/>
          <w:highlight w:val="none"/>
        </w:rPr>
        <w:fldChar w:fldCharType="end"/>
      </w:r>
      <w:r/>
    </w:p>
    <w:p>
      <w:pPr>
        <w:pStyle w:val="977"/>
        <w:spacing w:line="360" w:lineRule="auto"/>
        <w:tabs>
          <w:tab w:val="clear" w:pos="1050" w:leader="none"/>
          <w:tab w:val="right" w:pos="8301" w:leader="dot"/>
          <w:tab w:val="clear" w:pos="8937" w:leader="none"/>
        </w:tabs>
        <w:rPr>
          <w:rFonts w:hint="eastAsia" w:cs="宋体"/>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_Toc16982 </w:instrText>
      </w:r>
      <w:r>
        <w:rPr>
          <w:rFonts w:hint="eastAsia" w:cs="宋体"/>
          <w:sz w:val="32"/>
          <w:szCs w:val="32"/>
          <w:highlight w:val="none"/>
        </w:rPr>
        <w:fldChar w:fldCharType="separate"/>
      </w:r>
      <w:r>
        <w:rPr>
          <w:rFonts w:hint="eastAsia" w:cs="宋体"/>
          <w:sz w:val="32"/>
          <w:szCs w:val="32"/>
          <w:highlight w:val="none"/>
        </w:rPr>
        <w:t xml:space="preserve">第四章   评标程序、评标方法和评标标准</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_Toc16982 \h </w:instrText>
      </w:r>
      <w:r>
        <w:rPr>
          <w:rFonts w:hint="eastAsia" w:cs="宋体"/>
          <w:sz w:val="32"/>
          <w:szCs w:val="32"/>
          <w:highlight w:val="none"/>
        </w:rPr>
        <w:fldChar w:fldCharType="separate"/>
      </w:r>
      <w:r>
        <w:rPr>
          <w:rFonts w:hint="eastAsia" w:cs="宋体"/>
          <w:sz w:val="32"/>
          <w:szCs w:val="32"/>
          <w:highlight w:val="none"/>
        </w:rPr>
        <w:t xml:space="preserve">20</w:t>
      </w:r>
      <w:r>
        <w:rPr>
          <w:rFonts w:hint="eastAsia" w:cs="宋体"/>
          <w:sz w:val="32"/>
          <w:szCs w:val="32"/>
          <w:highlight w:val="none"/>
        </w:rPr>
        <w:fldChar w:fldCharType="end"/>
      </w:r>
      <w:r>
        <w:rPr>
          <w:rFonts w:hint="eastAsia" w:cs="宋体"/>
          <w:sz w:val="32"/>
          <w:szCs w:val="32"/>
          <w:highlight w:val="none"/>
        </w:rPr>
        <w:fldChar w:fldCharType="end"/>
      </w:r>
      <w:r/>
    </w:p>
    <w:p>
      <w:pPr>
        <w:pStyle w:val="977"/>
        <w:spacing w:line="360" w:lineRule="auto"/>
        <w:tabs>
          <w:tab w:val="clear" w:pos="1050" w:leader="none"/>
          <w:tab w:val="right" w:pos="8301" w:leader="dot"/>
          <w:tab w:val="clear" w:pos="8937" w:leader="none"/>
        </w:tabs>
        <w:rPr>
          <w:rFonts w:hint="eastAsia" w:cs="宋体"/>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_Toc5713 </w:instrText>
      </w:r>
      <w:r>
        <w:rPr>
          <w:rFonts w:hint="eastAsia" w:cs="宋体"/>
          <w:sz w:val="32"/>
          <w:szCs w:val="32"/>
          <w:highlight w:val="none"/>
        </w:rPr>
        <w:fldChar w:fldCharType="separate"/>
      </w:r>
      <w:r>
        <w:rPr>
          <w:rFonts w:hint="eastAsia" w:cs="宋体"/>
          <w:sz w:val="32"/>
          <w:szCs w:val="32"/>
          <w:highlight w:val="none"/>
        </w:rPr>
        <w:t xml:space="preserve">第五章   采购需求</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_Toc5713 \h </w:instrText>
      </w:r>
      <w:r>
        <w:rPr>
          <w:rFonts w:hint="eastAsia" w:cs="宋体"/>
          <w:sz w:val="32"/>
          <w:szCs w:val="32"/>
          <w:highlight w:val="none"/>
        </w:rPr>
        <w:fldChar w:fldCharType="separate"/>
      </w:r>
      <w:r>
        <w:rPr>
          <w:rFonts w:hint="eastAsia" w:cs="宋体"/>
          <w:sz w:val="32"/>
          <w:szCs w:val="32"/>
          <w:highlight w:val="none"/>
        </w:rPr>
        <w:t xml:space="preserve">30</w:t>
      </w:r>
      <w:r>
        <w:rPr>
          <w:rFonts w:hint="eastAsia" w:cs="宋体"/>
          <w:sz w:val="32"/>
          <w:szCs w:val="32"/>
          <w:highlight w:val="none"/>
        </w:rPr>
        <w:fldChar w:fldCharType="end"/>
      </w:r>
      <w:r>
        <w:rPr>
          <w:rFonts w:hint="eastAsia" w:cs="宋体"/>
          <w:sz w:val="32"/>
          <w:szCs w:val="32"/>
          <w:highlight w:val="none"/>
        </w:rPr>
        <w:fldChar w:fldCharType="end"/>
      </w:r>
      <w:r/>
    </w:p>
    <w:p>
      <w:pPr>
        <w:pStyle w:val="977"/>
        <w:spacing w:line="360" w:lineRule="auto"/>
        <w:tabs>
          <w:tab w:val="clear" w:pos="1050" w:leader="none"/>
          <w:tab w:val="right" w:pos="8301" w:leader="dot"/>
          <w:tab w:val="clear" w:pos="8937" w:leader="none"/>
        </w:tabs>
        <w:rPr>
          <w:rFonts w:hint="eastAsia" w:cs="宋体"/>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_Toc19775 </w:instrText>
      </w:r>
      <w:r>
        <w:rPr>
          <w:rFonts w:hint="eastAsia" w:cs="宋体"/>
          <w:sz w:val="32"/>
          <w:szCs w:val="32"/>
          <w:highlight w:val="none"/>
        </w:rPr>
        <w:fldChar w:fldCharType="separate"/>
      </w:r>
      <w:r>
        <w:rPr>
          <w:rFonts w:hint="eastAsia" w:cs="宋体"/>
          <w:sz w:val="32"/>
          <w:szCs w:val="32"/>
          <w:highlight w:val="none"/>
        </w:rPr>
        <w:t xml:space="preserve">第六章   拟签订的合同文本</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_Toc19775 \h </w:instrText>
      </w:r>
      <w:r>
        <w:rPr>
          <w:rFonts w:hint="eastAsia" w:cs="宋体"/>
          <w:sz w:val="32"/>
          <w:szCs w:val="32"/>
          <w:highlight w:val="none"/>
        </w:rPr>
        <w:fldChar w:fldCharType="separate"/>
      </w:r>
      <w:r>
        <w:rPr>
          <w:rFonts w:hint="eastAsia" w:cs="宋体"/>
          <w:sz w:val="32"/>
          <w:szCs w:val="32"/>
          <w:highlight w:val="none"/>
        </w:rPr>
        <w:t xml:space="preserve">62</w:t>
      </w:r>
      <w:r>
        <w:rPr>
          <w:rFonts w:hint="eastAsia" w:cs="宋体"/>
          <w:sz w:val="32"/>
          <w:szCs w:val="32"/>
          <w:highlight w:val="none"/>
        </w:rPr>
        <w:fldChar w:fldCharType="end"/>
      </w:r>
      <w:r>
        <w:rPr>
          <w:rFonts w:hint="eastAsia" w:cs="宋体"/>
          <w:sz w:val="32"/>
          <w:szCs w:val="32"/>
          <w:highlight w:val="none"/>
        </w:rPr>
        <w:fldChar w:fldCharType="end"/>
      </w:r>
      <w:r/>
    </w:p>
    <w:p>
      <w:pPr>
        <w:pStyle w:val="977"/>
        <w:spacing w:line="360" w:lineRule="auto"/>
        <w:tabs>
          <w:tab w:val="clear" w:pos="1050" w:leader="none"/>
          <w:tab w:val="right" w:pos="8301" w:leader="dot"/>
          <w:tab w:val="clear" w:pos="8937" w:leader="none"/>
        </w:tabs>
        <w:rPr>
          <w:rFonts w:hint="eastAsia" w:cs="宋体"/>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_Toc22909 </w:instrText>
      </w:r>
      <w:r>
        <w:rPr>
          <w:rFonts w:hint="eastAsia" w:cs="宋体"/>
          <w:sz w:val="32"/>
          <w:szCs w:val="32"/>
          <w:highlight w:val="none"/>
        </w:rPr>
        <w:fldChar w:fldCharType="separate"/>
      </w:r>
      <w:r>
        <w:rPr>
          <w:rFonts w:hint="eastAsia" w:cs="宋体"/>
          <w:sz w:val="32"/>
          <w:szCs w:val="32"/>
          <w:highlight w:val="none"/>
        </w:rPr>
        <w:t xml:space="preserve">第七章   投标文件格式</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_Toc22909 \h </w:instrText>
      </w:r>
      <w:r>
        <w:rPr>
          <w:rFonts w:hint="eastAsia" w:cs="宋体"/>
          <w:sz w:val="32"/>
          <w:szCs w:val="32"/>
          <w:highlight w:val="none"/>
        </w:rPr>
        <w:fldChar w:fldCharType="separate"/>
      </w:r>
      <w:r>
        <w:rPr>
          <w:rFonts w:hint="eastAsia" w:cs="宋体"/>
          <w:sz w:val="32"/>
          <w:szCs w:val="32"/>
          <w:highlight w:val="none"/>
        </w:rPr>
        <w:t xml:space="preserve">69</w:t>
      </w:r>
      <w:r>
        <w:rPr>
          <w:rFonts w:hint="eastAsia" w:cs="宋体"/>
          <w:sz w:val="32"/>
          <w:szCs w:val="32"/>
          <w:highlight w:val="none"/>
        </w:rPr>
        <w:fldChar w:fldCharType="end"/>
      </w:r>
      <w:r>
        <w:rPr>
          <w:rFonts w:hint="eastAsia" w:cs="宋体"/>
          <w:sz w:val="32"/>
          <w:szCs w:val="32"/>
          <w:highlight w:val="none"/>
        </w:rPr>
        <w:fldChar w:fldCharType="end"/>
      </w:r>
      <w:r/>
    </w:p>
    <w:p>
      <w:pPr>
        <w:pStyle w:val="977"/>
        <w:spacing w:line="360" w:lineRule="auto"/>
        <w:rPr>
          <w:rFonts w:hint="eastAsia" w:cs="宋体"/>
          <w:b w:val="0"/>
          <w:sz w:val="32"/>
          <w:szCs w:val="32"/>
          <w:highlight w:val="none"/>
        </w:rPr>
      </w:pPr>
      <w:r>
        <w:rPr>
          <w:rFonts w:hint="eastAsia" w:cs="宋体"/>
          <w:sz w:val="32"/>
          <w:szCs w:val="32"/>
          <w:highlight w:val="none"/>
        </w:rPr>
        <w:fldChar w:fldCharType="end"/>
      </w:r>
      <w:r/>
    </w:p>
    <w:p>
      <w:pPr>
        <w:jc w:val="center"/>
        <w:spacing w:line="400" w:lineRule="exact"/>
        <w:rPr>
          <w:b/>
          <w:sz w:val="36"/>
          <w:szCs w:val="36"/>
          <w:highlight w:val="none"/>
        </w:rPr>
        <w:outlineLvl w:val="0"/>
      </w:pPr>
      <w:r>
        <w:rPr>
          <w:sz w:val="24"/>
          <w:highlight w:val="none"/>
        </w:rPr>
        <w:br w:type="page" w:clear="all"/>
      </w:r>
      <w:bookmarkStart w:id="4" w:name="_Toc16204"/>
      <w:r>
        <w:rPr>
          <w:b/>
          <w:sz w:val="36"/>
          <w:szCs w:val="36"/>
          <w:highlight w:val="none"/>
        </w:rPr>
        <w:t xml:space="preserve">第一章   投标邀请</w:t>
      </w:r>
      <w:bookmarkEnd w:id="4"/>
      <w:r/>
      <w:r/>
    </w:p>
    <w:p>
      <w:pPr>
        <w:ind w:firstLine="482"/>
        <w:spacing w:line="400" w:lineRule="exact"/>
        <w:rPr>
          <w:rFonts w:ascii="宋体" w:hAnsi="宋体" w:cs="宋体"/>
          <w:b/>
          <w:bCs/>
          <w:sz w:val="24"/>
          <w:highlight w:val="none"/>
        </w:rPr>
      </w:pPr>
      <w:r/>
      <w:bookmarkStart w:id="5" w:name="_Toc28359079"/>
      <w:r/>
      <w:bookmarkStart w:id="6" w:name="_Toc28359002"/>
      <w:r/>
      <w:bookmarkStart w:id="7" w:name="_Toc35393621"/>
      <w:r/>
      <w:bookmarkStart w:id="8" w:name="_Toc35393790"/>
      <w:r/>
      <w:bookmarkStart w:id="9" w:name="_Hlk24379207"/>
      <w:r>
        <w:rPr>
          <w:rFonts w:hint="eastAsia" w:ascii="宋体" w:hAnsi="宋体" w:cs="宋体"/>
          <w:b/>
          <w:bCs/>
          <w:sz w:val="24"/>
          <w:highlight w:val="none"/>
        </w:rPr>
        <w:t xml:space="preserve">一、项目基本情况</w:t>
      </w:r>
      <w:bookmarkEnd w:id="5"/>
      <w:r/>
      <w:bookmarkEnd w:id="6"/>
      <w:r/>
      <w:bookmarkEnd w:id="7"/>
      <w:r/>
      <w:bookmarkEnd w:id="8"/>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1.项目编号/包号：JSZC-320400-CZRB-G2026-0011</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2.项目名称：</w:t>
      </w:r>
      <w:r>
        <w:rPr>
          <w:rFonts w:hint="eastAsia" w:ascii="宋体" w:hAnsi="宋体" w:cs="宋体"/>
          <w:bCs/>
          <w:sz w:val="24"/>
          <w:highlight w:val="none"/>
        </w:rPr>
        <w:t xml:space="preserve">智能机器人电磁兼容性能测试及诊断系统</w:t>
      </w:r>
      <w:r>
        <w:rPr>
          <w:rFonts w:hint="eastAsia" w:ascii="宋体" w:hAnsi="宋体" w:cs="宋体"/>
          <w:bCs/>
          <w:sz w:val="24"/>
          <w:highlight w:val="none"/>
          <w:lang w:val="en-US" w:eastAsia="zh-CN"/>
        </w:rPr>
        <w:t xml:space="preserve">采购</w:t>
      </w:r>
      <w:r>
        <w:rPr>
          <w:rFonts w:hint="eastAsia" w:ascii="宋体" w:hAnsi="宋体" w:cs="宋体"/>
          <w:bCs/>
          <w:sz w:val="24"/>
          <w:highlight w:val="none"/>
        </w:rPr>
        <w:t xml:space="preserve">项目</w:t>
      </w:r>
      <w:bookmarkEnd w:id="9"/>
      <w:r/>
      <w:r/>
    </w:p>
    <w:p>
      <w:pPr>
        <w:ind w:firstLine="480"/>
        <w:spacing w:line="400" w:lineRule="exact"/>
        <w:rPr>
          <w:rFonts w:hint="eastAsia" w:ascii="宋体" w:hAnsi="宋体" w:cs="宋体"/>
          <w:sz w:val="24"/>
          <w:highlight w:val="none"/>
        </w:rPr>
      </w:pPr>
      <w:r/>
      <w:bookmarkStart w:id="10" w:name="_Toc28359080"/>
      <w:r/>
      <w:bookmarkStart w:id="11" w:name="_Toc35393791"/>
      <w:r/>
      <w:bookmarkStart w:id="12" w:name="_Toc28359003"/>
      <w:r/>
      <w:bookmarkStart w:id="13" w:name="_Toc35393622"/>
      <w:r>
        <w:rPr>
          <w:rFonts w:hint="eastAsia" w:ascii="宋体" w:hAnsi="宋体" w:cs="宋体"/>
          <w:sz w:val="24"/>
          <w:highlight w:val="none"/>
        </w:rPr>
        <w:t xml:space="preserve">3.项目预算金额：</w:t>
      </w:r>
      <w:r>
        <w:rPr>
          <w:rFonts w:hint="eastAsia" w:ascii="宋体" w:hAnsi="宋体" w:cs="宋体"/>
          <w:bCs/>
          <w:sz w:val="24"/>
          <w:highlight w:val="none"/>
        </w:rPr>
        <w:t xml:space="preserve">人民币1750万元、最高限价：人民币1750万元</w:t>
      </w:r>
      <w:r/>
    </w:p>
    <w:p>
      <w:pPr>
        <w:ind w:firstLine="480"/>
        <w:spacing w:line="400" w:lineRule="exact"/>
        <w:rPr>
          <w:rFonts w:ascii="仿宋" w:hAnsi="仿宋" w:cs="仿宋"/>
          <w:sz w:val="24"/>
          <w:highlight w:val="none"/>
        </w:rPr>
      </w:pPr>
      <w:r>
        <w:rPr>
          <w:rFonts w:hint="eastAsia" w:ascii="宋体" w:hAnsi="宋体" w:cs="宋体"/>
          <w:sz w:val="24"/>
          <w:highlight w:val="none"/>
        </w:rPr>
        <w:t xml:space="preserve">4.采购需求：</w:t>
      </w:r>
      <w:r>
        <w:rPr>
          <w:rFonts w:hint="eastAsia" w:ascii="宋体" w:hAnsi="宋体" w:cs="宋体"/>
          <w:bCs/>
          <w:sz w:val="24"/>
          <w:highlight w:val="none"/>
        </w:rPr>
        <w:t xml:space="preserve">本项目为智能机器人电磁兼容性能测试及诊断系统</w:t>
      </w:r>
      <w:r>
        <w:rPr>
          <w:rFonts w:hint="eastAsia" w:ascii="宋体" w:hAnsi="宋体" w:cs="宋体"/>
          <w:bCs/>
          <w:sz w:val="24"/>
          <w:highlight w:val="none"/>
          <w:lang w:val="en-US" w:eastAsia="zh-CN"/>
        </w:rPr>
        <w:t xml:space="preserve">采购</w:t>
      </w:r>
      <w:r>
        <w:rPr>
          <w:rFonts w:hint="eastAsia" w:ascii="宋体" w:hAnsi="宋体" w:cs="宋体"/>
          <w:bCs/>
          <w:sz w:val="24"/>
          <w:highlight w:val="none"/>
        </w:rPr>
        <w:t xml:space="preserve">项目，包括电磁兼容暗室、屏蔽房等的建设及相关设备采购（交钥匙工程），建设地点位于采购人指定检测楼内。项目建成后需满足智能工业机器人、服务机器人、医疗机器人、移动机器人及无人机、灯具照明类、电动工具及家电类、多媒体类等产品的电磁兼容测试需求，涵盖辐射骚扰、传导骚扰、辐射抗扰度、谐波闪烁、静电放电等多项测试功能，所有系统及设备需符合国际标准（ANSI、CISPR、IEC 等）及国家现行标准（GB/T系列）。具体要求详见项目需求。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5.合同履行期限：</w:t>
      </w:r>
      <w:r>
        <w:rPr>
          <w:rFonts w:hint="eastAsia" w:ascii="宋体" w:hAnsi="宋体" w:cs="宋体"/>
          <w:bCs/>
          <w:sz w:val="24"/>
          <w:highlight w:val="none"/>
        </w:rPr>
        <w:t xml:space="preserve">自合同签订生效之日起7个月内完成供货、安装调试并通过采购人验收。</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6.本项目是否接受联合</w:t>
      </w:r>
      <w:bookmarkStart w:id="14" w:name="OLE_LINK80"/>
      <w:r/>
      <w:bookmarkStart w:id="15" w:name="OLE_LINK81"/>
      <w:r>
        <w:rPr>
          <w:rFonts w:hint="eastAsia" w:ascii="宋体" w:hAnsi="宋体" w:cs="宋体"/>
          <w:b/>
          <w:bCs/>
          <w:sz w:val="24"/>
          <w:highlight w:val="none"/>
        </w:rPr>
        <w:t xml:space="preserve">体</w:t>
      </w:r>
      <w:bookmarkStart w:id="16" w:name="OLE_LINK485"/>
      <w:r>
        <w:rPr>
          <w:rFonts w:hint="eastAsia" w:ascii="宋体" w:hAnsi="宋体" w:cs="宋体"/>
          <w:b/>
          <w:bCs/>
          <w:sz w:val="24"/>
          <w:highlight w:val="none"/>
        </w:rPr>
        <w:t xml:space="preserve">：</w:t>
      </w:r>
      <w:bookmarkEnd w:id="16"/>
      <w:r>
        <w:rPr>
          <w:rFonts w:hint="eastAsia" w:ascii="宋体" w:hAnsi="宋体" w:cs="宋体"/>
          <w:b/>
          <w:bCs/>
          <w:sz w:val="24"/>
          <w:highlight w:val="none"/>
        </w:rPr>
        <w:t xml:space="preserve">否。</w:t>
      </w:r>
      <w:bookmarkEnd w:id="14"/>
      <w:r/>
      <w:bookmarkEnd w:id="15"/>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7.本项目是否接受进</w:t>
      </w:r>
      <w:bookmarkStart w:id="17" w:name="OLE_LINK82"/>
      <w:r/>
      <w:bookmarkStart w:id="18" w:name="OLE_LINK83"/>
      <w:r>
        <w:rPr>
          <w:rFonts w:hint="eastAsia" w:ascii="宋体" w:hAnsi="宋体" w:cs="宋体"/>
          <w:b/>
          <w:bCs/>
          <w:sz w:val="24"/>
          <w:highlight w:val="none"/>
        </w:rPr>
        <w:t xml:space="preserve">口产品响应：是。</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二、申请人的资格要求（须同时满足）</w:t>
      </w:r>
      <w:bookmarkEnd w:id="10"/>
      <w:r/>
      <w:bookmarkEnd w:id="11"/>
      <w:r/>
      <w:bookmarkEnd w:id="12"/>
      <w:r/>
      <w:bookmarkEnd w:id="13"/>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1.满足《中华人民共和国政府采购法》第二十二条规定以及下列情形：</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1.1未被“信用中国”网站（</w:t>
      </w:r>
      <w:bookmarkEnd w:id="17"/>
      <w:r/>
      <w:bookmarkEnd w:id="18"/>
      <w:r>
        <w:rPr>
          <w:rFonts w:hint="eastAsia" w:ascii="宋体" w:hAnsi="宋体" w:cs="宋体"/>
          <w:sz w:val="24"/>
          <w:highlight w:val="none"/>
        </w:rPr>
        <w:t xml:space="preserve">www.creditchina.gov.cn）或“中国政府采购网”网站（www.ccgp.gov.cn）列入失信被执行人、重大税收违法案件当事人名单、政府采购严重失信行为记录名单；</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400" w:lineRule="exact"/>
        <w:rPr>
          <w:rFonts w:ascii="宋体" w:hAnsi="宋体" w:cs="宋体"/>
          <w:b/>
          <w:bCs/>
          <w:sz w:val="24"/>
          <w:highlight w:val="none"/>
        </w:rPr>
      </w:pPr>
      <w:r/>
      <w:bookmarkStart w:id="19" w:name="_Toc28359081"/>
      <w:r/>
      <w:bookmarkStart w:id="20" w:name="_Toc28359004"/>
      <w:r>
        <w:rPr>
          <w:rFonts w:hint="eastAsia" w:ascii="宋体" w:hAnsi="宋体" w:cs="宋体"/>
          <w:b/>
          <w:bCs/>
          <w:sz w:val="24"/>
          <w:highlight w:val="none"/>
        </w:rPr>
        <w:t xml:space="preserve">2.落实政府采购政策需满足的资格要求：</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2.1中小企业政策：本项目不专门面向中小企业采购。</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2.2其他落实政府采购政策的资格要求（如有）：无。</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3.本项目的特定资格要求：</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3.1本项目是否接受分支机构参与投标：否；</w:t>
      </w:r>
      <w:r/>
    </w:p>
    <w:p>
      <w:pPr>
        <w:ind w:firstLine="482"/>
        <w:spacing w:line="400" w:lineRule="exact"/>
        <w:tabs>
          <w:tab w:val="left" w:pos="900" w:leader="none"/>
          <w:tab w:val="left" w:pos="1134" w:leader="none"/>
          <w:tab w:val="left" w:pos="1589" w:leader="none"/>
          <w:tab w:val="left" w:pos="5521" w:leader="none"/>
        </w:tabs>
        <w:rPr>
          <w:rFonts w:hint="eastAsia" w:ascii="宋体" w:hAnsi="宋体"/>
          <w:b/>
          <w:bCs/>
          <w:sz w:val="24"/>
          <w:highlight w:val="none"/>
        </w:rPr>
      </w:pPr>
      <w:r>
        <w:rPr>
          <w:rFonts w:hint="eastAsia" w:ascii="宋体" w:hAnsi="宋体" w:cs="宋体"/>
          <w:b/>
          <w:bCs/>
          <w:sz w:val="24"/>
          <w:highlight w:val="none"/>
        </w:rPr>
        <w:t xml:space="preserve">3.2其他特定资格要求：</w:t>
      </w:r>
      <w:bookmarkEnd w:id="19"/>
      <w:r/>
      <w:bookmarkEnd w:id="20"/>
      <w:r/>
      <w:bookmarkStart w:id="21" w:name="_Toc35393792"/>
      <w:r/>
      <w:bookmarkStart w:id="22" w:name="_Toc35393623"/>
      <w:r>
        <w:rPr>
          <w:rFonts w:hint="eastAsia" w:ascii="宋体" w:hAnsi="宋体" w:cs="宋体"/>
          <w:b/>
          <w:bCs/>
          <w:sz w:val="24"/>
          <w:highlight w:val="none"/>
        </w:rPr>
        <w:t xml:space="preserve">无</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三、获取招标文件</w:t>
      </w:r>
      <w:bookmarkEnd w:id="21"/>
      <w:r/>
      <w:bookmarkEnd w:id="22"/>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1.时间：自招</w:t>
      </w:r>
      <w:bookmarkStart w:id="23" w:name="OLE_LINK84"/>
      <w:r/>
      <w:bookmarkStart w:id="24" w:name="OLE_LINK86"/>
      <w:r>
        <w:rPr>
          <w:rFonts w:hint="eastAsia" w:ascii="宋体" w:hAnsi="宋体" w:cs="宋体"/>
          <w:sz w:val="24"/>
          <w:highlight w:val="none"/>
        </w:rPr>
        <w:t xml:space="preserve">标文件公告发布之日起5个工作日</w:t>
      </w:r>
      <w:bookmarkEnd w:id="23"/>
      <w:r/>
      <w:bookmarkEnd w:id="24"/>
      <w:r/>
      <w:r/>
    </w:p>
    <w:p>
      <w:pPr>
        <w:ind w:firstLine="480"/>
        <w:spacing w:line="400" w:lineRule="exact"/>
        <w:rPr>
          <w:rFonts w:hint="eastAsia" w:ascii="宋体" w:hAnsi="宋体" w:cs="宋体"/>
          <w:sz w:val="24"/>
          <w:highlight w:val="none"/>
        </w:rPr>
      </w:pPr>
      <w:r/>
      <w:bookmarkStart w:id="25" w:name="_Toc28359005"/>
      <w:r/>
      <w:bookmarkStart w:id="26" w:name="_Toc28359082"/>
      <w:r/>
      <w:bookmarkStart w:id="27" w:name="_Toc35393793"/>
      <w:r/>
      <w:bookmarkStart w:id="28" w:name="_Toc35393624"/>
      <w:r>
        <w:rPr>
          <w:rFonts w:hint="eastAsia" w:ascii="宋体" w:hAnsi="宋体" w:cs="宋体"/>
          <w:sz w:val="24"/>
          <w:highlight w:val="none"/>
        </w:rPr>
        <w:t xml:space="preserve">2.地点：“苏采云”政府采购一体化平台</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3.方式：在“苏采云”政府采购一体化平台自行免费下载</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4.售价：0元</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四、提交投标文件</w:t>
      </w:r>
      <w:bookmarkEnd w:id="25"/>
      <w:r/>
      <w:bookmarkEnd w:id="26"/>
      <w:r>
        <w:rPr>
          <w:rFonts w:hint="eastAsia" w:ascii="宋体" w:hAnsi="宋体" w:cs="宋体"/>
          <w:b/>
          <w:bCs/>
          <w:sz w:val="24"/>
          <w:highlight w:val="none"/>
        </w:rPr>
        <w:t xml:space="preserve">截止时间、开标时间和地点</w:t>
      </w:r>
      <w:bookmarkEnd w:id="27"/>
      <w:r/>
      <w:bookmarkEnd w:id="28"/>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投标截止时间、开标时间：2026年</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28</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上午9</w:t>
      </w:r>
      <w:r>
        <w:rPr>
          <w:rFonts w:hint="eastAsia" w:ascii="宋体" w:hAnsi="宋体" w:cs="宋体"/>
          <w:sz w:val="24"/>
          <w:highlight w:val="none"/>
        </w:rPr>
        <w:t xml:space="preserve">点00分（北京时间）。</w:t>
      </w:r>
      <w:r/>
    </w:p>
    <w:p>
      <w:pPr>
        <w:ind w:firstLine="480"/>
        <w:spacing w:line="400" w:lineRule="exact"/>
        <w:rPr>
          <w:rFonts w:ascii="宋体" w:hAnsi="宋体" w:cs="宋体"/>
          <w:sz w:val="24"/>
          <w:highlight w:val="none"/>
          <w:lang w:val="zh-TW"/>
        </w:rPr>
      </w:pPr>
      <w:r>
        <w:rPr>
          <w:rFonts w:hint="eastAsia" w:ascii="宋体" w:hAnsi="宋体" w:cs="宋体"/>
          <w:sz w:val="24"/>
          <w:highlight w:val="none"/>
        </w:rPr>
        <w:t xml:space="preserve">地点：“苏采云”政府采购一体化平台</w:t>
      </w:r>
      <w:r/>
    </w:p>
    <w:p>
      <w:pPr>
        <w:ind w:firstLine="482"/>
        <w:spacing w:line="400" w:lineRule="exact"/>
        <w:rPr>
          <w:rFonts w:ascii="宋体" w:hAnsi="宋体" w:cs="宋体"/>
          <w:b/>
          <w:bCs/>
          <w:sz w:val="24"/>
          <w:highlight w:val="none"/>
        </w:rPr>
      </w:pPr>
      <w:r/>
      <w:bookmarkStart w:id="29" w:name="_Toc35393794"/>
      <w:r/>
      <w:bookmarkStart w:id="30" w:name="_Toc28359084"/>
      <w:r/>
      <w:bookmarkStart w:id="31" w:name="_Toc28359007"/>
      <w:r/>
      <w:bookmarkStart w:id="32" w:name="_Toc35393625"/>
      <w:r>
        <w:rPr>
          <w:rFonts w:hint="eastAsia" w:ascii="宋体" w:hAnsi="宋体" w:cs="宋体"/>
          <w:b/>
          <w:bCs/>
          <w:sz w:val="24"/>
          <w:highlight w:val="none"/>
        </w:rPr>
        <w:t xml:space="preserve">五、公告期限</w:t>
      </w:r>
      <w:bookmarkEnd w:id="29"/>
      <w:r/>
      <w:bookmarkEnd w:id="30"/>
      <w:r/>
      <w:bookmarkEnd w:id="31"/>
      <w:r/>
      <w:bookmarkEnd w:id="32"/>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自本公告发布之日起5个工作日。</w:t>
      </w:r>
      <w:r/>
    </w:p>
    <w:p>
      <w:pPr>
        <w:ind w:firstLine="482"/>
        <w:spacing w:line="400" w:lineRule="exact"/>
        <w:rPr>
          <w:rFonts w:ascii="宋体" w:hAnsi="宋体" w:cs="宋体"/>
          <w:b/>
          <w:bCs/>
          <w:sz w:val="24"/>
          <w:highlight w:val="none"/>
        </w:rPr>
      </w:pPr>
      <w:r/>
      <w:bookmarkStart w:id="33" w:name="_Toc35393795"/>
      <w:r/>
      <w:bookmarkStart w:id="34" w:name="_Toc35393626"/>
      <w:r>
        <w:rPr>
          <w:rFonts w:hint="eastAsia" w:ascii="宋体" w:hAnsi="宋体" w:cs="宋体"/>
          <w:b/>
          <w:bCs/>
          <w:sz w:val="24"/>
          <w:highlight w:val="none"/>
        </w:rPr>
        <w:t xml:space="preserve">六、其他补充事宜</w:t>
      </w:r>
      <w:bookmarkEnd w:id="33"/>
      <w:r/>
      <w:bookmarkEnd w:id="34"/>
      <w:r/>
      <w:r/>
    </w:p>
    <w:p>
      <w:pPr>
        <w:pStyle w:val="983"/>
        <w:ind w:firstLine="482"/>
        <w:jc w:val="both"/>
        <w:spacing w:before="0" w:beforeAutospacing="0" w:after="0" w:afterAutospacing="0" w:line="400" w:lineRule="exact"/>
        <w:widowControl w:val="off"/>
        <w:rPr>
          <w:rFonts w:hint="eastAsia"/>
          <w:b/>
          <w:bCs/>
          <w:highlight w:val="none"/>
        </w:rPr>
      </w:pPr>
      <w:r/>
      <w:bookmarkStart w:id="35" w:name="_Toc28359008"/>
      <w:r/>
      <w:bookmarkStart w:id="36" w:name="_Toc35393796"/>
      <w:r/>
      <w:bookmarkStart w:id="37" w:name="_Toc35393627"/>
      <w:r/>
      <w:bookmarkStart w:id="38" w:name="_Toc28359085"/>
      <w:r>
        <w:rPr>
          <w:rFonts w:hint="eastAsia"/>
          <w:b/>
          <w:bCs/>
          <w:highlight w:val="none"/>
        </w:rPr>
        <w:t xml:space="preserve">1.本项目接受现场踏勘，为确保投标单位了解真实的现场情况和项目实际需求，保证项目按时按质按量完成，建议投标人自行踏勘现场，踏勘现场时须提供填写好的《现场踏勘确认书（见采购文件附件）》及“苏采云”政府采购交易系统中获取本项目招标文件时签章的“投标供应商确认函”并加盖投标人公章。</w:t>
      </w:r>
      <w:r/>
    </w:p>
    <w:p>
      <w:pPr>
        <w:pStyle w:val="983"/>
        <w:ind w:firstLine="482"/>
        <w:jc w:val="both"/>
        <w:spacing w:before="0" w:beforeAutospacing="0" w:after="0" w:afterAutospacing="0" w:line="400" w:lineRule="exact"/>
        <w:widowControl w:val="off"/>
        <w:rPr>
          <w:rFonts w:hint="eastAsia"/>
          <w:b/>
          <w:bCs/>
          <w:highlight w:val="none"/>
        </w:rPr>
      </w:pPr>
      <w:r>
        <w:rPr>
          <w:rFonts w:hint="eastAsia"/>
          <w:b/>
          <w:bCs/>
          <w:highlight w:val="none"/>
        </w:rPr>
        <w:t xml:space="preserve">踏勘联系人：黄先生；联系电话：18018227965</w:t>
      </w:r>
      <w:r/>
    </w:p>
    <w:p>
      <w:pPr>
        <w:ind w:firstLine="482"/>
        <w:spacing w:line="390" w:lineRule="exact"/>
        <w:rPr>
          <w:rFonts w:hint="eastAsia" w:ascii="宋体" w:hAnsi="宋体" w:cs="宋体"/>
          <w:b/>
          <w:bCs/>
          <w:sz w:val="24"/>
          <w:highlight w:val="none"/>
        </w:rPr>
      </w:pPr>
      <w:r>
        <w:rPr>
          <w:rFonts w:hint="eastAsia" w:ascii="宋体" w:hAnsi="宋体" w:cs="宋体"/>
          <w:b/>
          <w:bCs/>
          <w:sz w:val="24"/>
          <w:highlight w:val="none"/>
        </w:rPr>
        <w:t xml:space="preserve">未踏勘现场或踏勘工作不详细的投标人中标后，不得以不完全了解现场情况为理由而向采购人提出任何索赔或其他要求，对此采购人不承担任何责任并将不作任何答复。</w:t>
      </w:r>
      <w:r/>
    </w:p>
    <w:p>
      <w:pPr>
        <w:ind w:firstLine="480"/>
        <w:spacing w:line="390" w:lineRule="exact"/>
        <w:rPr>
          <w:rFonts w:hint="eastAsia" w:ascii="宋体" w:hAnsi="宋体" w:cs="宋体"/>
          <w:sz w:val="24"/>
          <w:highlight w:val="none"/>
        </w:rPr>
      </w:pPr>
      <w:r>
        <w:rPr>
          <w:rFonts w:hint="eastAsia" w:ascii="宋体" w:hAnsi="宋体" w:cs="宋体"/>
          <w:sz w:val="24"/>
          <w:highlight w:val="none"/>
        </w:rPr>
        <w:t xml:space="preserve">2.根据省财政厅《关</w:t>
      </w:r>
      <w:r>
        <w:rPr>
          <w:rFonts w:hint="eastAsia" w:ascii="宋体" w:hAnsi="宋体" w:cs="宋体"/>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390" w:lineRule="exact"/>
        <w:rPr>
          <w:rFonts w:hint="eastAsia" w:ascii="宋体" w:hAnsi="宋体" w:cs="宋体"/>
          <w:sz w:val="24"/>
          <w:highlight w:val="none"/>
        </w:rPr>
      </w:pPr>
      <w:r>
        <w:rPr>
          <w:rFonts w:hint="eastAsia" w:ascii="宋体" w:hAnsi="宋体" w:cs="宋体"/>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七、对本次招标提出询问，请按以下方式联系。</w:t>
      </w:r>
      <w:bookmarkEnd w:id="35"/>
      <w:r/>
      <w:bookmarkEnd w:id="36"/>
      <w:r/>
      <w:bookmarkEnd w:id="37"/>
      <w:r/>
      <w:bookmarkEnd w:id="38"/>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1.采购人信息</w:t>
      </w:r>
      <w:r/>
    </w:p>
    <w:p>
      <w:pPr>
        <w:ind w:firstLine="480"/>
        <w:spacing w:line="400" w:lineRule="exact"/>
        <w:rPr>
          <w:rFonts w:hint="eastAsia" w:ascii="宋体" w:hAnsi="宋体" w:cs="宋体"/>
          <w:sz w:val="24"/>
          <w:highlight w:val="none"/>
        </w:rPr>
      </w:pPr>
      <w:r/>
      <w:bookmarkStart w:id="39" w:name="_Toc28359009"/>
      <w:r/>
      <w:bookmarkStart w:id="40" w:name="_Toc28359086"/>
      <w:r>
        <w:rPr>
          <w:rFonts w:hint="eastAsia" w:ascii="宋体" w:hAnsi="宋体" w:cs="宋体"/>
          <w:sz w:val="24"/>
          <w:highlight w:val="none"/>
        </w:rPr>
        <w:t xml:space="preserve">名称：常州检验检测标准认证研究院</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地址：常州市武进区西湖路2-18号</w:t>
      </w:r>
      <w:r/>
    </w:p>
    <w:p>
      <w:pPr>
        <w:ind w:firstLine="480"/>
        <w:spacing w:line="400" w:lineRule="exact"/>
        <w:rPr>
          <w:rFonts w:hint="eastAsia" w:ascii="宋体" w:hAnsi="宋体" w:eastAsia="宋体" w:cs="宋体"/>
          <w:bCs/>
          <w:sz w:val="24"/>
          <w:highlight w:val="none"/>
          <w:lang w:eastAsia="zh-CN"/>
        </w:rPr>
      </w:pPr>
      <w:r>
        <w:rPr>
          <w:rFonts w:hint="eastAsia" w:ascii="宋体" w:hAnsi="宋体" w:cs="宋体"/>
          <w:bCs/>
          <w:sz w:val="24"/>
          <w:highlight w:val="none"/>
        </w:rPr>
        <w:t xml:space="preserve">联系方式：</w:t>
      </w:r>
      <w:r>
        <w:rPr>
          <w:rFonts w:hint="eastAsia" w:ascii="宋体" w:hAnsi="宋体" w:cs="宋体"/>
          <w:bCs/>
          <w:sz w:val="24"/>
          <w:highlight w:val="none"/>
          <w:lang w:val="en-US" w:eastAsia="zh-CN"/>
        </w:rPr>
        <w:t xml:space="preserve">王</w:t>
      </w:r>
      <w:r>
        <w:rPr>
          <w:rFonts w:hint="eastAsia" w:ascii="宋体" w:hAnsi="宋体" w:cs="宋体"/>
          <w:bCs/>
          <w:sz w:val="24"/>
          <w:highlight w:val="none"/>
        </w:rPr>
        <w:t xml:space="preserve">先生</w:t>
      </w:r>
      <w:r>
        <w:rPr>
          <w:rFonts w:hint="eastAsia" w:ascii="宋体" w:hAnsi="宋体" w:cs="宋体"/>
          <w:bCs/>
          <w:sz w:val="24"/>
          <w:highlight w:val="none"/>
          <w:lang w:eastAsia="zh-CN"/>
        </w:rPr>
        <w:t xml:space="preserve">0519-81002297</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2.采购代理机构信息</w:t>
      </w:r>
      <w:bookmarkEnd w:id="39"/>
      <w:r/>
      <w:bookmarkEnd w:id="40"/>
      <w:r/>
      <w:r/>
    </w:p>
    <w:p>
      <w:pPr>
        <w:ind w:firstLine="480"/>
        <w:spacing w:line="400" w:lineRule="exact"/>
        <w:rPr>
          <w:rFonts w:ascii="宋体" w:hAnsi="宋体" w:cs="宋体"/>
          <w:sz w:val="24"/>
          <w:highlight w:val="none"/>
        </w:rPr>
      </w:pPr>
      <w:r/>
      <w:bookmarkStart w:id="41" w:name="_Toc28359010"/>
      <w:r/>
      <w:bookmarkStart w:id="42" w:name="_Toc28359087"/>
      <w:r>
        <w:rPr>
          <w:rFonts w:hint="eastAsia" w:ascii="宋体" w:hAnsi="宋体" w:cs="宋体"/>
          <w:sz w:val="24"/>
          <w:highlight w:val="none"/>
        </w:rPr>
        <w:t xml:space="preserve">名称：常州润邦招标代理有限公司</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地址：常州市飞龙东路108号-304室（翠园世家商业街三楼）</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联系方式：0519-81882993</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3.项目联系方式</w:t>
      </w:r>
      <w:bookmarkEnd w:id="41"/>
      <w:r/>
      <w:bookmarkEnd w:id="42"/>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项目联系人：周叶</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电话：0519-81882993</w:t>
      </w:r>
      <w:r/>
    </w:p>
    <w:p>
      <w:pPr>
        <w:jc w:val="center"/>
        <w:spacing w:line="360" w:lineRule="auto"/>
        <w:rPr>
          <w:b/>
          <w:sz w:val="32"/>
          <w:szCs w:val="32"/>
          <w:highlight w:val="none"/>
        </w:rPr>
        <w:outlineLvl w:val="0"/>
      </w:pPr>
      <w:r>
        <w:rPr>
          <w:sz w:val="24"/>
          <w:highlight w:val="none"/>
        </w:rPr>
        <w:br w:type="page" w:clear="all"/>
      </w:r>
      <w:bookmarkStart w:id="43" w:name="_Toc195842950"/>
      <w:r/>
      <w:bookmarkStart w:id="44" w:name="_Toc305158854"/>
      <w:r/>
      <w:bookmarkStart w:id="45" w:name="_Toc353873938"/>
      <w:r/>
      <w:bookmarkStart w:id="46" w:name="_Toc265228423"/>
      <w:r/>
      <w:bookmarkStart w:id="47" w:name="_Toc150774783"/>
      <w:r/>
      <w:bookmarkStart w:id="48" w:name="_Toc127161488"/>
      <w:r/>
      <w:bookmarkStart w:id="49" w:name="_Toc127151777"/>
      <w:r/>
      <w:bookmarkStart w:id="50" w:name="_Toc226965856"/>
      <w:r/>
      <w:bookmarkStart w:id="51" w:name="_Toc353825548"/>
      <w:r/>
      <w:bookmarkStart w:id="52" w:name="_Toc805"/>
      <w:r/>
      <w:bookmarkStart w:id="53" w:name="_Toc512937850"/>
      <w:r/>
      <w:bookmarkStart w:id="54" w:name="_Toc264969275"/>
      <w:r/>
      <w:bookmarkStart w:id="55" w:name="_Toc305158928"/>
      <w:r>
        <w:rPr>
          <w:b/>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946"/>
        <w:spacing w:before="0" w:line="360" w:lineRule="auto"/>
        <w:tabs>
          <w:tab w:val="center" w:pos="4592" w:leader="none"/>
          <w:tab w:val="left" w:pos="7860" w:leader="none"/>
        </w:tabs>
        <w:rPr>
          <w:rFonts w:ascii="Times New Roman" w:hAnsi="Times New Roman" w:eastAsia="宋体"/>
          <w:sz w:val="28"/>
          <w:highlight w:val="none"/>
        </w:rPr>
      </w:pPr>
      <w:r/>
      <w:bookmarkStart w:id="56" w:name="_Toc520356144"/>
      <w:r/>
      <w:bookmarkStart w:id="57" w:name="_Toc164229360"/>
      <w:r/>
      <w:bookmarkStart w:id="58" w:name="_Toc164351613"/>
      <w:r/>
      <w:bookmarkStart w:id="59" w:name="_Toc127151720"/>
      <w:r/>
      <w:bookmarkStart w:id="60" w:name="_Toc149720812"/>
      <w:r/>
      <w:bookmarkStart w:id="61" w:name="_Toc127151519"/>
      <w:r/>
      <w:bookmarkStart w:id="62" w:name="_Toc164608788"/>
      <w:r/>
      <w:bookmarkStart w:id="63" w:name="_Toc151190146"/>
      <w:r/>
      <w:bookmarkStart w:id="64" w:name="_Toc226309763"/>
      <w:r/>
      <w:bookmarkStart w:id="65" w:name="_Toc150480757"/>
      <w:r/>
      <w:bookmarkStart w:id="66" w:name="_Toc151193689"/>
      <w:r/>
      <w:bookmarkStart w:id="67" w:name="_Toc226337215"/>
      <w:r/>
      <w:bookmarkStart w:id="68" w:name="_Toc164608633"/>
      <w:r/>
      <w:bookmarkStart w:id="69" w:name="_Toc150509270"/>
      <w:r/>
      <w:bookmarkStart w:id="70" w:name="_Toc226965709"/>
      <w:r/>
      <w:bookmarkStart w:id="71" w:name="_Toc151193833"/>
      <w:r/>
      <w:bookmarkStart w:id="72" w:name="_Toc151193907"/>
      <w:r/>
      <w:bookmarkStart w:id="73" w:name="_Toc150774724"/>
      <w:r/>
      <w:bookmarkStart w:id="74" w:name="_Toc164229214"/>
      <w:r/>
      <w:bookmarkStart w:id="75" w:name="_Toc150774619"/>
      <w:r/>
      <w:bookmarkStart w:id="76" w:name="_Toc195842884"/>
      <w:r/>
      <w:bookmarkStart w:id="77" w:name="_Toc151193617"/>
      <w:r/>
      <w:bookmarkStart w:id="78" w:name="_Toc226965792"/>
      <w:r/>
      <w:bookmarkStart w:id="79" w:name="_Toc127161433"/>
      <w:r/>
      <w:bookmarkStart w:id="80" w:name="_Toc151193761"/>
      <w:r/>
      <w:bookmarkStart w:id="81" w:name="_Toc142311021"/>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本表是对投标人须知的具体补充和修改，如有矛盾，均以本资料表为准。</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”的选项意为适用于本项目，标记“□”的选项意为不适用于本项目。</w:t>
      </w:r>
      <w:r/>
    </w:p>
    <w:tbl>
      <w:tblPr>
        <w:tblStyle w:val="9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438"/>
        <w:gridCol w:w="6140"/>
      </w:tblGrid>
      <w:tr>
        <w:trPr>
          <w:jc w:val="center"/>
          <w:trHeight w:val="283"/>
          <w:tblHeader/>
        </w:trPr>
        <w:tc>
          <w:tcPr>
            <w:tcW w:w="546"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sz w:val="24"/>
                <w:highlight w:val="none"/>
              </w:rPr>
              <w:t xml:space="preserve">条款号</w:t>
            </w:r>
            <w:r/>
          </w:p>
        </w:tc>
        <w:tc>
          <w:tcPr>
            <w:tcW w:w="846"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条目</w:t>
            </w:r>
            <w:r/>
          </w:p>
        </w:tc>
        <w:tc>
          <w:tcPr>
            <w:tcW w:w="3607"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83"/>
        </w:trPr>
        <w:tc>
          <w:tcPr>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2.2</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项目属性</w:t>
            </w:r>
            <w:r/>
          </w:p>
        </w:tc>
        <w:tc>
          <w:tcPr>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项目属性：</w:t>
            </w:r>
            <w:r/>
          </w:p>
          <w:p>
            <w:pPr>
              <w:rPr>
                <w:rFonts w:hint="eastAsia" w:ascii="宋体" w:hAnsi="宋体" w:cs="宋体"/>
                <w:sz w:val="24"/>
                <w:highlight w:val="none"/>
              </w:rPr>
            </w:pPr>
            <w:r>
              <w:rPr>
                <w:rFonts w:hint="eastAsia" w:ascii="宋体" w:hAnsi="宋体" w:cs="宋体"/>
                <w:sz w:val="24"/>
                <w:highlight w:val="none"/>
              </w:rPr>
              <w:t xml:space="preserve">□服务</w:t>
            </w:r>
            <w:r/>
          </w:p>
          <w:p>
            <w:pPr>
              <w:rPr>
                <w:rFonts w:hint="eastAsia" w:ascii="宋体" w:hAnsi="宋体" w:cs="宋体"/>
                <w:sz w:val="24"/>
                <w:highlight w:val="none"/>
                <w:u w:val="single"/>
              </w:rPr>
            </w:pPr>
            <w:r>
              <w:rPr>
                <w:rFonts w:hint="eastAsia" w:ascii="宋体" w:hAnsi="宋体" w:cs="宋体"/>
                <w:b/>
                <w:sz w:val="24"/>
                <w:highlight w:val="none"/>
              </w:rPr>
              <w:t xml:space="preserve">■</w:t>
            </w:r>
            <w:r>
              <w:rPr>
                <w:rFonts w:hint="eastAsia" w:ascii="宋体" w:hAnsi="宋体" w:cs="宋体"/>
                <w:sz w:val="24"/>
                <w:highlight w:val="none"/>
              </w:rPr>
              <w:t xml:space="preserve">货物</w:t>
            </w:r>
            <w:r/>
          </w:p>
        </w:tc>
      </w:tr>
      <w:tr>
        <w:trPr>
          <w:jc w:val="center"/>
          <w:trHeight w:val="283"/>
        </w:trPr>
        <w:tc>
          <w:tcPr>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2.3</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科研仪器</w:t>
            </w:r>
            <w:r/>
          </w:p>
          <w:p>
            <w:pPr>
              <w:jc w:val="center"/>
              <w:rPr>
                <w:rFonts w:hint="eastAsia" w:ascii="宋体" w:hAnsi="宋体" w:cs="宋体"/>
                <w:sz w:val="24"/>
                <w:highlight w:val="none"/>
              </w:rPr>
            </w:pPr>
            <w:r>
              <w:rPr>
                <w:rFonts w:hint="eastAsia" w:ascii="宋体" w:hAnsi="宋体" w:cs="宋体"/>
                <w:sz w:val="24"/>
                <w:highlight w:val="none"/>
              </w:rPr>
              <w:t xml:space="preserve">设备</w:t>
            </w:r>
            <w:r/>
          </w:p>
        </w:tc>
        <w:tc>
          <w:tcPr>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是否属于科研仪器设备采购项目：</w:t>
            </w:r>
            <w:r/>
          </w:p>
          <w:p>
            <w:pPr>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是</w:t>
            </w:r>
            <w:r/>
          </w:p>
          <w:p>
            <w:pPr>
              <w:rPr>
                <w:rFonts w:hint="eastAsia" w:ascii="宋体" w:hAnsi="宋体" w:cs="宋体"/>
                <w:sz w:val="24"/>
                <w:highlight w:val="none"/>
              </w:rPr>
            </w:pPr>
            <w:r>
              <w:rPr>
                <w:rFonts w:hint="eastAsia" w:ascii="宋体" w:hAnsi="宋体" w:cs="宋体"/>
                <w:sz w:val="24"/>
                <w:highlight w:val="none"/>
              </w:rPr>
              <w:t xml:space="preserve">□否</w:t>
            </w:r>
            <w:r/>
          </w:p>
        </w:tc>
      </w:tr>
      <w:tr>
        <w:trPr>
          <w:jc w:val="center"/>
          <w:trHeight w:val="1258"/>
        </w:trPr>
        <w:tc>
          <w:tcPr>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2.4</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核心产品</w:t>
            </w:r>
            <w:r/>
          </w:p>
        </w:tc>
        <w:tc>
          <w:tcPr>
            <w:tcW w:w="3607" w:type="pct"/>
            <w:vAlign w:val="center"/>
            <w:textDirection w:val="lrTb"/>
            <w:noWrap w:val="false"/>
          </w:tcPr>
          <w:p>
            <w:pPr>
              <w:pStyle w:val="966"/>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关于核心产品本项目不适用。</w:t>
            </w:r>
            <w:r/>
          </w:p>
          <w:p>
            <w:pPr>
              <w:pStyle w:val="966"/>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本项目_/_包为单一产品采购项目。</w:t>
            </w:r>
            <w:r/>
          </w:p>
          <w:p>
            <w:pPr>
              <w:rPr>
                <w:rFonts w:hint="eastAsia" w:ascii="宋体" w:hAnsi="宋体" w:cs="宋体"/>
                <w:sz w:val="24"/>
                <w:highlight w:val="none"/>
                <w:u w:val="single"/>
              </w:rPr>
            </w:pPr>
            <w:r>
              <w:rPr>
                <w:rFonts w:hint="eastAsia" w:ascii="宋体" w:hAnsi="宋体" w:cs="宋体"/>
                <w:b/>
                <w:sz w:val="24"/>
                <w:highlight w:val="none"/>
              </w:rPr>
              <w:t xml:space="preserve">■</w:t>
            </w:r>
            <w:r>
              <w:rPr>
                <w:rFonts w:hint="eastAsia" w:ascii="宋体" w:hAnsi="宋体" w:cs="宋体"/>
                <w:b/>
                <w:bCs/>
                <w:sz w:val="24"/>
                <w:highlight w:val="none"/>
              </w:rPr>
              <w:t xml:space="preserve">本项</w:t>
            </w:r>
            <w:bookmarkStart w:id="82" w:name="OLE_LINK1"/>
            <w:r/>
            <w:bookmarkStart w:id="83" w:name="OLE_LINK2"/>
            <w:r>
              <w:rPr>
                <w:rFonts w:hint="eastAsia" w:ascii="宋体" w:hAnsi="宋体" w:cs="宋体"/>
                <w:b/>
                <w:bCs/>
                <w:sz w:val="24"/>
                <w:highlight w:val="none"/>
              </w:rPr>
              <w:t xml:space="preserve">目为非单一产品采购项目，核心</w:t>
            </w:r>
            <w:bookmarkEnd w:id="82"/>
            <w:r/>
            <w:bookmarkEnd w:id="83"/>
            <w:r>
              <w:rPr>
                <w:rFonts w:hint="eastAsia" w:ascii="宋体" w:hAnsi="宋体" w:cs="宋体"/>
                <w:b/>
                <w:bCs/>
                <w:sz w:val="24"/>
                <w:highlight w:val="none"/>
              </w:rPr>
              <w:t xml:space="preserve">产品为：</w:t>
            </w:r>
            <w:r>
              <w:rPr>
                <w:rFonts w:hint="eastAsia" w:ascii="宋体" w:hAnsi="宋体" w:cs="宋体"/>
                <w:b/>
                <w:sz w:val="24"/>
                <w:highlight w:val="none"/>
                <w:u w:val="single"/>
              </w:rPr>
              <w:t xml:space="preserve">电磁兼容暗室</w:t>
            </w:r>
            <w:r/>
          </w:p>
        </w:tc>
      </w:tr>
      <w:tr>
        <w:trPr>
          <w:jc w:val="center"/>
          <w:trHeight w:val="283"/>
        </w:trPr>
        <w:tc>
          <w:tcPr>
            <w:tcW w:w="546" w:type="pct"/>
            <w:vAlign w:val="center"/>
            <w:vMerge w:val="restart"/>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3.1</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现场考察</w:t>
            </w:r>
            <w:r/>
          </w:p>
        </w:tc>
        <w:tc>
          <w:tcPr>
            <w:tcW w:w="3607" w:type="pct"/>
            <w:vAlign w:val="center"/>
            <w:textDirection w:val="lrTb"/>
            <w:noWrap w:val="false"/>
          </w:tcPr>
          <w:p>
            <w:pPr>
              <w:rPr>
                <w:rFonts w:hint="eastAsia" w:ascii="宋体" w:hAnsi="宋体" w:cs="宋体"/>
                <w:sz w:val="24"/>
                <w:highlight w:val="none"/>
              </w:rPr>
            </w:pPr>
            <w:r>
              <w:rPr>
                <w:rFonts w:hint="eastAsia" w:cs="宋体"/>
                <w:sz w:val="24"/>
                <w:highlight w:val="none"/>
              </w:rPr>
              <w:t xml:space="preserve">□</w:t>
            </w:r>
            <w:r>
              <w:rPr>
                <w:rFonts w:hint="eastAsia" w:ascii="宋体" w:hAnsi="宋体" w:cs="宋体"/>
                <w:sz w:val="24"/>
                <w:highlight w:val="none"/>
              </w:rPr>
              <w:t xml:space="preserve">不组织，</w:t>
            </w:r>
            <w:r/>
          </w:p>
          <w:p>
            <w:pPr>
              <w:pStyle w:val="983"/>
              <w:jc w:val="both"/>
              <w:spacing w:before="0" w:beforeAutospacing="0" w:after="0" w:afterAutospacing="0"/>
              <w:widowControl w:val="off"/>
              <w:rPr>
                <w:rFonts w:hint="eastAsia"/>
                <w:highlight w:val="none"/>
              </w:rPr>
            </w:pPr>
            <w:r>
              <w:rPr>
                <w:rFonts w:hint="eastAsia"/>
                <w:b/>
                <w:highlight w:val="none"/>
              </w:rPr>
              <w:t xml:space="preserve">■</w:t>
            </w:r>
            <w:r>
              <w:rPr>
                <w:rFonts w:hint="eastAsia"/>
                <w:highlight w:val="none"/>
              </w:rPr>
              <w:t xml:space="preserve">组织</w:t>
            </w:r>
            <w:r/>
          </w:p>
          <w:p>
            <w:pPr>
              <w:pStyle w:val="983"/>
              <w:ind w:firstLine="482"/>
              <w:jc w:val="both"/>
              <w:spacing w:before="0" w:beforeAutospacing="0" w:after="0" w:afterAutospacing="0"/>
              <w:widowControl w:val="off"/>
              <w:rPr>
                <w:rFonts w:hint="eastAsia"/>
                <w:b/>
                <w:bCs/>
                <w:highlight w:val="none"/>
              </w:rPr>
            </w:pPr>
            <w:r>
              <w:rPr>
                <w:rFonts w:hint="eastAsia"/>
                <w:b/>
                <w:bCs/>
                <w:highlight w:val="none"/>
              </w:rPr>
              <w:t xml:space="preserve">1.本项目接受</w:t>
            </w:r>
            <w:bookmarkStart w:id="84" w:name="OLE_LINK155"/>
            <w:r/>
            <w:bookmarkStart w:id="85" w:name="OLE_LINK337"/>
            <w:r/>
            <w:bookmarkStart w:id="86" w:name="OLE_LINK154"/>
            <w:r>
              <w:rPr>
                <w:rFonts w:hint="eastAsia"/>
                <w:b/>
                <w:bCs/>
                <w:highlight w:val="none"/>
              </w:rPr>
              <w:t xml:space="preserve">现场踏勘，为确保投标单位了解真实的现场情况和项目实际需求，</w:t>
            </w:r>
            <w:bookmarkEnd w:id="84"/>
            <w:r/>
            <w:bookmarkEnd w:id="85"/>
            <w:r/>
            <w:bookmarkEnd w:id="86"/>
            <w:r>
              <w:rPr>
                <w:rFonts w:hint="eastAsia"/>
                <w:b/>
                <w:bCs/>
                <w:highlight w:val="none"/>
              </w:rPr>
              <w:t xml:space="preserve">保证项目按时按质按量完成，建议投标人自行踏勘现场，踏勘现场时须提供填写好的《现场踏勘确认书（见采购文件附件）》及“苏采云”政府采购交易系统中获取本项目招标文件时签章的“投标供应商确认函”并加盖投标人公章。</w:t>
            </w:r>
            <w:r/>
          </w:p>
          <w:p>
            <w:pPr>
              <w:pStyle w:val="983"/>
              <w:ind w:firstLine="482"/>
              <w:jc w:val="both"/>
              <w:spacing w:before="0" w:beforeAutospacing="0" w:after="0" w:afterAutospacing="0"/>
              <w:widowControl w:val="off"/>
              <w:rPr>
                <w:rFonts w:hint="eastAsia"/>
                <w:b/>
                <w:bCs/>
                <w:highlight w:val="none"/>
              </w:rPr>
            </w:pPr>
            <w:r>
              <w:rPr>
                <w:rFonts w:hint="eastAsia"/>
                <w:b/>
                <w:bCs/>
                <w:highlight w:val="none"/>
              </w:rPr>
              <w:t xml:space="preserve">踏勘联系人：黄先生；联系电话：18018227965</w:t>
            </w:r>
            <w:r/>
          </w:p>
          <w:p>
            <w:pPr>
              <w:ind w:firstLine="482"/>
              <w:rPr>
                <w:rFonts w:hAnsi="宋体" w:cs="宋体"/>
                <w:sz w:val="24"/>
                <w:highlight w:val="none"/>
              </w:rPr>
            </w:pPr>
            <w:r>
              <w:rPr>
                <w:rFonts w:hint="eastAsia" w:ascii="宋体" w:hAnsi="宋体" w:cs="宋体"/>
                <w:b/>
                <w:bCs/>
                <w:sz w:val="24"/>
                <w:highlight w:val="none"/>
              </w:rPr>
              <w:t xml:space="preserve">未踏勘现场或踏勘工作不详细的投标人中标后，不得以不完全了解现场情况为理由而向采购人提出任何索赔或其他要求，对此采购人不承担任何责任并将不作任何答复。</w:t>
            </w:r>
            <w:r/>
          </w:p>
        </w:tc>
      </w:tr>
      <w:tr>
        <w:trPr>
          <w:jc w:val="center"/>
          <w:trHeight w:val="283"/>
        </w:trPr>
        <w:tc>
          <w:tcPr>
            <w:tcW w:w="546" w:type="pct"/>
            <w:vAlign w:val="center"/>
            <w:vMerge w:val="continue"/>
            <w:textDirection w:val="lrTb"/>
            <w:noWrap w:val="false"/>
          </w:tcPr>
          <w:p>
            <w:pPr>
              <w:pStyle w:val="966"/>
              <w:jc w:val="center"/>
              <w:rPr>
                <w:rFonts w:hAnsi="宋体" w:cs="宋体"/>
                <w:sz w:val="24"/>
                <w:szCs w:val="24"/>
                <w:highlight w:val="none"/>
              </w:rPr>
            </w:pPr>
            <w:r>
              <w:rPr>
                <w:rFonts w:hAnsi="宋体" w:cs="宋体"/>
                <w:sz w:val="24"/>
                <w:szCs w:val="24"/>
                <w:highlight w:val="none"/>
              </w:rPr>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开标前答疑会</w:t>
            </w:r>
            <w:r/>
          </w:p>
        </w:tc>
        <w:tc>
          <w:tcPr>
            <w:tcW w:w="3607" w:type="pct"/>
            <w:vAlign w:val="center"/>
            <w:textDirection w:val="lrTb"/>
            <w:noWrap w:val="false"/>
          </w:tcPr>
          <w:p>
            <w:pPr>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不召开</w:t>
            </w:r>
            <w:r/>
          </w:p>
          <w:p>
            <w:pPr>
              <w:rPr>
                <w:rFonts w:hint="eastAsia" w:ascii="宋体" w:hAnsi="宋体" w:cs="宋体"/>
                <w:sz w:val="24"/>
                <w:highlight w:val="none"/>
              </w:rPr>
            </w:pPr>
            <w:r>
              <w:rPr>
                <w:rFonts w:hint="eastAsia" w:ascii="宋体" w:hAnsi="宋体" w:cs="宋体"/>
                <w:sz w:val="24"/>
                <w:highlight w:val="none"/>
              </w:rPr>
              <w:t xml:space="preserve">□召开，召开时间：__年_月_日_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召开地点：____________。</w:t>
            </w:r>
            <w:r/>
          </w:p>
        </w:tc>
      </w:tr>
      <w:tr>
        <w:trPr>
          <w:jc w:val="center"/>
          <w:trHeight w:val="283"/>
        </w:trPr>
        <w:tc>
          <w:tcPr>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4.1</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样品</w:t>
            </w:r>
            <w:r/>
          </w:p>
        </w:tc>
        <w:tc>
          <w:tcPr>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投标样品递交：</w:t>
            </w:r>
            <w:r/>
          </w:p>
          <w:p>
            <w:pPr>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不需要</w:t>
            </w:r>
            <w:r/>
          </w:p>
          <w:p>
            <w:pPr>
              <w:rPr>
                <w:rFonts w:hint="eastAsia" w:ascii="宋体" w:hAnsi="宋体" w:cs="宋体"/>
                <w:sz w:val="24"/>
                <w:highlight w:val="none"/>
              </w:rPr>
            </w:pPr>
            <w:r>
              <w:rPr>
                <w:rFonts w:hint="eastAsia" w:ascii="宋体" w:hAnsi="宋体" w:cs="宋体"/>
                <w:sz w:val="24"/>
                <w:highlight w:val="none"/>
              </w:rPr>
              <w:t xml:space="preserve">□需要，具体要求如下：</w:t>
            </w:r>
            <w:r/>
          </w:p>
          <w:p>
            <w:pPr>
              <w:rPr>
                <w:rFonts w:hint="eastAsia" w:ascii="宋体" w:hAnsi="宋体" w:cs="宋体"/>
                <w:sz w:val="24"/>
                <w:highlight w:val="none"/>
                <w:u w:val="single"/>
              </w:rPr>
            </w:pPr>
            <w:r>
              <w:rPr>
                <w:rFonts w:hint="eastAsia" w:ascii="宋体" w:hAnsi="宋体" w:cs="宋体"/>
                <w:sz w:val="24"/>
                <w:highlight w:val="none"/>
              </w:rPr>
              <w:t xml:space="preserve">（1）样品制作的标准和要求：_________；</w:t>
            </w:r>
            <w:r/>
          </w:p>
          <w:p>
            <w:pPr>
              <w:rPr>
                <w:rFonts w:hint="eastAsia" w:ascii="宋体" w:hAnsi="宋体" w:cs="宋体"/>
                <w:sz w:val="24"/>
                <w:highlight w:val="none"/>
              </w:rPr>
            </w:pPr>
            <w:r>
              <w:rPr>
                <w:rFonts w:hint="eastAsia" w:ascii="宋体" w:hAnsi="宋体" w:cs="宋体"/>
                <w:sz w:val="24"/>
                <w:highlight w:val="none"/>
              </w:rPr>
              <w:t xml:space="preserve">（2）是否需要随样品提交相关检测报告：</w:t>
            </w:r>
            <w:r/>
          </w:p>
          <w:p>
            <w:pPr>
              <w:ind w:firstLine="600"/>
              <w:rPr>
                <w:rFonts w:hint="eastAsia" w:ascii="宋体" w:hAnsi="宋体" w:cs="宋体"/>
                <w:sz w:val="24"/>
                <w:highlight w:val="none"/>
              </w:rPr>
            </w:pPr>
            <w:r>
              <w:rPr>
                <w:rFonts w:hint="eastAsia" w:ascii="宋体" w:hAnsi="宋体" w:cs="宋体"/>
                <w:sz w:val="24"/>
                <w:highlight w:val="none"/>
              </w:rPr>
              <w:t xml:space="preserve">□不需要</w:t>
            </w:r>
            <w:r/>
          </w:p>
          <w:p>
            <w:pPr>
              <w:ind w:firstLine="600"/>
              <w:rPr>
                <w:rFonts w:hint="eastAsia" w:ascii="宋体" w:hAnsi="宋体" w:cs="宋体"/>
                <w:sz w:val="24"/>
                <w:highlight w:val="none"/>
              </w:rPr>
            </w:pPr>
            <w:r>
              <w:rPr>
                <w:rFonts w:hint="eastAsia" w:ascii="宋体" w:hAnsi="宋体" w:cs="宋体"/>
                <w:sz w:val="24"/>
                <w:highlight w:val="none"/>
              </w:rPr>
              <w:t xml:space="preserve">□需要</w:t>
            </w:r>
            <w:r/>
          </w:p>
          <w:p>
            <w:pPr>
              <w:rPr>
                <w:rFonts w:hint="eastAsia" w:ascii="宋体" w:hAnsi="宋体" w:cs="宋体"/>
                <w:sz w:val="24"/>
                <w:highlight w:val="none"/>
              </w:rPr>
            </w:pPr>
            <w:r>
              <w:rPr>
                <w:rFonts w:hint="eastAsia" w:ascii="宋体" w:hAnsi="宋体" w:cs="宋体"/>
                <w:sz w:val="24"/>
                <w:highlight w:val="none"/>
              </w:rPr>
              <w:t xml:space="preserve">（3）样品递交要求：_________；</w:t>
            </w:r>
            <w:r/>
          </w:p>
          <w:p>
            <w:pPr>
              <w:rPr>
                <w:rFonts w:hint="eastAsia" w:ascii="宋体" w:hAnsi="宋体" w:cs="宋体"/>
                <w:sz w:val="24"/>
                <w:highlight w:val="none"/>
              </w:rPr>
            </w:pPr>
            <w:r>
              <w:rPr>
                <w:rFonts w:hint="eastAsia" w:ascii="宋体" w:hAnsi="宋体" w:cs="宋体"/>
                <w:sz w:val="24"/>
                <w:highlight w:val="none"/>
              </w:rPr>
              <w:t xml:space="preserve">（4）未中标人样品退还：_________；</w:t>
            </w:r>
            <w:r/>
          </w:p>
          <w:p>
            <w:pPr>
              <w:rPr>
                <w:rFonts w:hint="eastAsia" w:ascii="宋体" w:hAnsi="宋体" w:cs="宋体"/>
                <w:sz w:val="24"/>
                <w:highlight w:val="none"/>
                <w:u w:val="single"/>
              </w:rPr>
            </w:pPr>
            <w:r>
              <w:rPr>
                <w:rFonts w:hint="eastAsia" w:ascii="宋体" w:hAnsi="宋体" w:cs="宋体"/>
                <w:sz w:val="24"/>
                <w:highlight w:val="none"/>
              </w:rPr>
              <w:t xml:space="preserve">（5）中标人样品保管、封存及退还：_________；</w:t>
            </w:r>
            <w:r/>
          </w:p>
          <w:p>
            <w:pPr>
              <w:rPr>
                <w:rFonts w:hint="eastAsia" w:ascii="宋体" w:hAnsi="宋体" w:cs="宋体"/>
                <w:sz w:val="24"/>
                <w:highlight w:val="none"/>
              </w:rPr>
            </w:pPr>
            <w:r>
              <w:rPr>
                <w:rFonts w:hint="eastAsia" w:ascii="宋体" w:hAnsi="宋体" w:cs="宋体"/>
                <w:sz w:val="24"/>
                <w:highlight w:val="none"/>
              </w:rPr>
              <w:t xml:space="preserve">（6）其他要求（如有）：_________。</w:t>
            </w:r>
            <w:r/>
          </w:p>
        </w:tc>
      </w:tr>
      <w:tr>
        <w:trPr>
          <w:jc w:val="center"/>
          <w:trHeight w:val="283"/>
        </w:trPr>
        <w:tc>
          <w:tcPr>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5.2.5</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标的所属行业</w:t>
            </w:r>
            <w:r/>
          </w:p>
        </w:tc>
        <w:tc>
          <w:tcPr>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本项目采购标的对应的中小企业划分标</w:t>
            </w:r>
            <w:bookmarkStart w:id="87" w:name="OLE_LINK87"/>
            <w:r/>
            <w:bookmarkStart w:id="88" w:name="OLE_LINK88"/>
            <w:r>
              <w:rPr>
                <w:rFonts w:hint="eastAsia" w:ascii="宋体" w:hAnsi="宋体" w:cs="宋体"/>
                <w:sz w:val="24"/>
                <w:highlight w:val="none"/>
              </w:rPr>
              <w:t xml:space="preserve">准所属行业：</w:t>
            </w:r>
            <w:bookmarkStart w:id="89" w:name="OLE_LINK461"/>
            <w:r/>
            <w:bookmarkStart w:id="90" w:name="OLE_LINK462"/>
            <w:r>
              <w:rPr>
                <w:rFonts w:hint="eastAsia" w:ascii="宋体" w:hAnsi="宋体" w:cs="宋体"/>
                <w:b/>
                <w:bCs/>
                <w:sz w:val="24"/>
                <w:highlight w:val="none"/>
                <w:u w:val="single"/>
              </w:rPr>
              <w:t xml:space="preserve">工业</w:t>
            </w:r>
            <w:r>
              <w:rPr>
                <w:rFonts w:hint="eastAsia" w:ascii="宋体" w:hAnsi="宋体" w:cs="宋体"/>
                <w:sz w:val="24"/>
                <w:highlight w:val="none"/>
                <w:u w:val="single"/>
              </w:rPr>
              <w:t xml:space="preserve">（从业人员1000人以下或营业收入40000万元以下的为中小微型企业。其中，从业人员300人及以</w:t>
            </w:r>
            <w:bookmarkEnd w:id="87"/>
            <w:r/>
            <w:bookmarkEnd w:id="88"/>
            <w:r>
              <w:rPr>
                <w:rFonts w:hint="eastAsia" w:ascii="宋体" w:hAnsi="宋体" w:cs="宋体"/>
                <w:sz w:val="24"/>
                <w:highlight w:val="none"/>
                <w:u w:val="single"/>
              </w:rPr>
              <w:t xml:space="preserve">上，且营业收入2000万元及以上的为中型企业；从业人员20人及以上，且营业收入300万元及以上的为小型企业；</w:t>
            </w:r>
            <w:bookmarkStart w:id="91" w:name="OLE_LINK89"/>
            <w:r>
              <w:rPr>
                <w:rFonts w:hint="eastAsia" w:ascii="宋体" w:hAnsi="宋体" w:cs="宋体"/>
                <w:sz w:val="24"/>
                <w:highlight w:val="none"/>
                <w:u w:val="single"/>
              </w:rPr>
              <w:t xml:space="preserve">从业人员20人以下或营业收入300万元以下的为微型企业。）</w:t>
            </w:r>
            <w:bookmarkEnd w:id="89"/>
            <w:r/>
            <w:bookmarkEnd w:id="90"/>
            <w:r/>
            <w:bookmarkEnd w:id="91"/>
            <w:r/>
            <w:r/>
          </w:p>
        </w:tc>
      </w:tr>
      <w:tr>
        <w:trPr>
          <w:jc w:val="center"/>
          <w:trHeight w:val="90"/>
        </w:trPr>
        <w:tc>
          <w:tcPr>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11.2</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投标报价</w:t>
            </w:r>
            <w:r/>
          </w:p>
        </w:tc>
        <w:tc>
          <w:tcPr>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投标报价的特殊规定：</w:t>
            </w:r>
            <w:r/>
          </w:p>
          <w:p>
            <w:pPr>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无</w:t>
            </w:r>
            <w:r/>
          </w:p>
          <w:p>
            <w:pPr>
              <w:rPr>
                <w:rFonts w:hint="eastAsia" w:ascii="宋体" w:hAnsi="宋体" w:cs="宋体"/>
                <w:sz w:val="24"/>
                <w:highlight w:val="none"/>
              </w:rPr>
            </w:pPr>
            <w:r>
              <w:rPr>
                <w:rFonts w:hint="eastAsia" w:ascii="宋体" w:hAnsi="宋体" w:cs="宋体"/>
                <w:sz w:val="24"/>
                <w:highlight w:val="none"/>
              </w:rPr>
              <w:t xml:space="preserve">□有，具体情形：_____。</w:t>
            </w:r>
            <w:r/>
          </w:p>
        </w:tc>
      </w:tr>
      <w:tr>
        <w:trPr>
          <w:jc w:val="center"/>
          <w:trHeight w:val="283"/>
        </w:trPr>
        <w:tc>
          <w:tcPr>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12</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投标保证金</w:t>
            </w:r>
            <w:r/>
          </w:p>
        </w:tc>
        <w:tc>
          <w:tcPr>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免收</w:t>
            </w:r>
            <w:r/>
          </w:p>
        </w:tc>
      </w:tr>
      <w:tr>
        <w:trPr>
          <w:jc w:val="center"/>
          <w:trHeight w:val="283"/>
        </w:trPr>
        <w:tc>
          <w:tcPr>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13.1</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投标有效期</w:t>
            </w:r>
            <w:r/>
          </w:p>
        </w:tc>
        <w:tc>
          <w:tcPr>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自提交投标文件的截止之日起算60日历天。</w:t>
            </w:r>
            <w:r/>
          </w:p>
        </w:tc>
      </w:tr>
      <w:tr>
        <w:trPr>
          <w:jc w:val="center"/>
          <w:trHeight w:val="283"/>
        </w:trPr>
        <w:tc>
          <w:tcPr>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25.5</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分包</w:t>
            </w:r>
            <w:r/>
          </w:p>
        </w:tc>
        <w:tc>
          <w:tcPr>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本项目的非主体、非关键性工作是否允许分包： </w:t>
            </w:r>
            <w:r/>
          </w:p>
          <w:p>
            <w:pPr>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不允许</w:t>
            </w:r>
            <w:r/>
          </w:p>
          <w:p>
            <w:pPr>
              <w:rPr>
                <w:rFonts w:hint="eastAsia" w:ascii="宋体" w:hAnsi="宋体" w:cs="宋体"/>
                <w:sz w:val="24"/>
                <w:highlight w:val="none"/>
              </w:rPr>
            </w:pPr>
            <w:r>
              <w:rPr>
                <w:rFonts w:hint="eastAsia" w:ascii="宋体" w:hAnsi="宋体" w:cs="宋体"/>
                <w:sz w:val="24"/>
                <w:highlight w:val="none"/>
              </w:rPr>
              <w:t xml:space="preserve">□允许，具体要求：</w:t>
            </w:r>
            <w:r/>
          </w:p>
          <w:p>
            <w:pPr>
              <w:rPr>
                <w:rFonts w:hint="eastAsia" w:ascii="宋体" w:hAnsi="宋体" w:cs="宋体"/>
                <w:sz w:val="24"/>
                <w:highlight w:val="none"/>
              </w:rPr>
            </w:pPr>
            <w:r>
              <w:rPr>
                <w:rFonts w:hint="eastAsia" w:ascii="宋体" w:hAnsi="宋体" w:cs="宋体"/>
                <w:sz w:val="24"/>
                <w:highlight w:val="none"/>
              </w:rPr>
              <w:t xml:space="preserve">（1）可以分包履行的具体内容：_____；</w:t>
            </w:r>
            <w:r/>
          </w:p>
          <w:p>
            <w:pPr>
              <w:rPr>
                <w:rFonts w:hint="eastAsia" w:ascii="宋体" w:hAnsi="宋体" w:cs="宋体"/>
                <w:sz w:val="24"/>
                <w:highlight w:val="none"/>
              </w:rPr>
            </w:pPr>
            <w:r>
              <w:rPr>
                <w:rFonts w:hint="eastAsia" w:ascii="宋体" w:hAnsi="宋体" w:cs="宋体"/>
                <w:sz w:val="24"/>
                <w:highlight w:val="none"/>
              </w:rPr>
              <w:t xml:space="preserve">（2）允许分包的金额或者比例：_____；</w:t>
            </w:r>
            <w:r/>
          </w:p>
          <w:p>
            <w:pPr>
              <w:rPr>
                <w:rFonts w:hint="eastAsia" w:ascii="宋体" w:hAnsi="宋体" w:cs="宋体"/>
                <w:sz w:val="24"/>
                <w:highlight w:val="none"/>
                <w:u w:val="single"/>
              </w:rPr>
            </w:pPr>
            <w:r>
              <w:rPr>
                <w:rFonts w:hint="eastAsia" w:ascii="宋体" w:hAnsi="宋体" w:cs="宋体"/>
                <w:sz w:val="24"/>
                <w:highlight w:val="none"/>
              </w:rPr>
              <w:t xml:space="preserve">（3）其他要求：_____。</w:t>
            </w:r>
            <w:r/>
          </w:p>
        </w:tc>
      </w:tr>
      <w:tr>
        <w:trPr>
          <w:jc w:val="center"/>
          <w:trHeight w:val="283"/>
        </w:trPr>
        <w:tc>
          <w:tcPr>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26.1.1</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询问</w:t>
            </w:r>
            <w:r/>
          </w:p>
        </w:tc>
        <w:tc>
          <w:tcPr>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询问送达形式：书面形式并加盖公章</w:t>
            </w:r>
            <w:r/>
          </w:p>
        </w:tc>
      </w:tr>
      <w:tr>
        <w:trPr>
          <w:jc w:val="center"/>
          <w:trHeight w:val="283"/>
        </w:trPr>
        <w:tc>
          <w:tcPr>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26.3</w:t>
            </w:r>
            <w:r/>
          </w:p>
        </w:tc>
        <w:tc>
          <w:tcPr>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联系方式</w:t>
            </w:r>
            <w:r/>
          </w:p>
        </w:tc>
        <w:tc>
          <w:tcPr>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rPr>
                <w:rFonts w:hint="eastAsia" w:ascii="宋体" w:hAnsi="宋体" w:cs="宋体"/>
                <w:sz w:val="24"/>
                <w:highlight w:val="none"/>
              </w:rPr>
            </w:pPr>
            <w:r>
              <w:rPr>
                <w:rFonts w:hint="eastAsia" w:ascii="宋体" w:hAnsi="宋体" w:cs="宋体"/>
                <w:sz w:val="24"/>
                <w:highlight w:val="none"/>
              </w:rPr>
              <w:t xml:space="preserve">联系部门：常州润邦招标代理有限公司；</w:t>
            </w:r>
            <w:r/>
          </w:p>
          <w:p>
            <w:pPr>
              <w:rPr>
                <w:rFonts w:hint="eastAsia" w:ascii="宋体" w:hAnsi="宋体" w:cs="宋体"/>
                <w:sz w:val="24"/>
                <w:highlight w:val="none"/>
              </w:rPr>
            </w:pPr>
            <w:r>
              <w:rPr>
                <w:rFonts w:hint="eastAsia" w:ascii="宋体" w:hAnsi="宋体" w:cs="宋体"/>
                <w:sz w:val="24"/>
                <w:highlight w:val="none"/>
              </w:rPr>
              <w:t xml:space="preserve">联系电话：0519-81882993；</w:t>
            </w:r>
            <w:r/>
          </w:p>
          <w:p>
            <w:pPr>
              <w:rPr>
                <w:rFonts w:hint="eastAsia" w:ascii="宋体" w:hAnsi="宋体" w:cs="宋体"/>
                <w:sz w:val="24"/>
                <w:highlight w:val="none"/>
              </w:rPr>
            </w:pPr>
            <w:r>
              <w:rPr>
                <w:rFonts w:hint="eastAsia" w:ascii="宋体" w:hAnsi="宋体" w:cs="宋体"/>
                <w:sz w:val="24"/>
                <w:highlight w:val="none"/>
              </w:rPr>
              <w:t xml:space="preserve">地址：常州市飞龙东路108号-304室（翠园世家商业街三楼）</w:t>
            </w:r>
            <w:r/>
          </w:p>
        </w:tc>
      </w:tr>
      <w:tr>
        <w:trPr>
          <w:jc w:val="center"/>
          <w:trHeight w:val="283"/>
        </w:trPr>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收费对象：</w:t>
            </w:r>
            <w:r/>
          </w:p>
          <w:p>
            <w:pPr>
              <w:rPr>
                <w:rFonts w:hint="eastAsia" w:ascii="宋体" w:hAnsi="宋体" w:cs="宋体"/>
                <w:sz w:val="24"/>
                <w:highlight w:val="none"/>
              </w:rPr>
            </w:pPr>
            <w:r>
              <w:rPr>
                <w:rFonts w:hint="eastAsia" w:ascii="宋体" w:hAnsi="宋体" w:cs="宋体"/>
                <w:sz w:val="24"/>
                <w:highlight w:val="none"/>
              </w:rPr>
              <w:t xml:space="preserve">□采购人</w:t>
            </w:r>
            <w:r/>
          </w:p>
          <w:p>
            <w:pPr>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中标人</w:t>
            </w:r>
            <w:r/>
          </w:p>
          <w:p>
            <w:pPr>
              <w:rPr>
                <w:rFonts w:hint="eastAsia" w:ascii="宋体" w:hAnsi="宋体" w:cs="宋体"/>
                <w:sz w:val="24"/>
                <w:highlight w:val="none"/>
              </w:rPr>
            </w:pPr>
            <w:r>
              <w:rPr>
                <w:rFonts w:hint="eastAsia" w:ascii="宋体" w:hAnsi="宋体" w:cs="宋体"/>
                <w:sz w:val="24"/>
                <w:highlight w:val="none"/>
              </w:rPr>
              <w:t xml:space="preserve">收费标准：以中标金额为基数，收费比例按差额定率累进法计算。服务费取费基数和费率按下表收费标准*30%计算，按下述计算方法不足人民币3000元的，按人民币3000元收取。</w:t>
            </w:r>
            <w:r/>
          </w:p>
          <w:tbl>
            <w:tblPr>
              <w:tblStyle w:val="9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2469"/>
              <w:gridCol w:w="2490"/>
            </w:tblGrid>
            <w:tr>
              <w:trPr>
                <w:jc w:val="center"/>
                <w:trHeight w:val="137"/>
              </w:trPr>
              <w:tc>
                <w:tcPr>
                  <w:tcW w:w="806"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序号</w:t>
                  </w:r>
                  <w:r/>
                </w:p>
              </w:tc>
              <w:tc>
                <w:tcPr>
                  <w:tcW w:w="2088"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中标金额（万元）</w:t>
                  </w:r>
                  <w:r/>
                </w:p>
              </w:tc>
              <w:tc>
                <w:tcPr>
                  <w:tcW w:w="2105"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货物类（费率）</w:t>
                  </w:r>
                  <w:r/>
                </w:p>
              </w:tc>
            </w:tr>
            <w:tr>
              <w:trPr>
                <w:jc w:val="center"/>
                <w:trHeight w:val="255"/>
              </w:trPr>
              <w:tc>
                <w:tcPr>
                  <w:tcW w:w="806" w:type="pct"/>
                  <w:vAlign w:val="top"/>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1</w:t>
                  </w:r>
                  <w:r/>
                </w:p>
              </w:tc>
              <w:tc>
                <w:tcPr>
                  <w:tcW w:w="2088"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100以下</w:t>
                  </w:r>
                  <w:r/>
                </w:p>
              </w:tc>
              <w:tc>
                <w:tcPr>
                  <w:tcW w:w="2105"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1.5%</w:t>
                  </w:r>
                  <w:r/>
                </w:p>
              </w:tc>
            </w:tr>
            <w:tr>
              <w:trPr>
                <w:jc w:val="center"/>
                <w:trHeight w:val="135"/>
              </w:trPr>
              <w:tc>
                <w:tcPr>
                  <w:tcW w:w="806" w:type="pct"/>
                  <w:vAlign w:val="top"/>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2</w:t>
                  </w:r>
                  <w:r/>
                </w:p>
              </w:tc>
              <w:tc>
                <w:tcPr>
                  <w:tcW w:w="2088"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100--500</w:t>
                  </w:r>
                  <w:r/>
                </w:p>
              </w:tc>
              <w:tc>
                <w:tcPr>
                  <w:tcW w:w="2105"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1.1%</w:t>
                  </w:r>
                  <w:r/>
                </w:p>
              </w:tc>
            </w:tr>
            <w:tr>
              <w:trPr>
                <w:jc w:val="center"/>
                <w:trHeight w:val="240"/>
              </w:trPr>
              <w:tc>
                <w:tcPr>
                  <w:tcW w:w="806" w:type="pct"/>
                  <w:vAlign w:val="top"/>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3</w:t>
                  </w:r>
                  <w:r/>
                </w:p>
              </w:tc>
              <w:tc>
                <w:tcPr>
                  <w:tcW w:w="2088"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500--1000</w:t>
                  </w:r>
                  <w:r/>
                </w:p>
              </w:tc>
              <w:tc>
                <w:tcPr>
                  <w:tcW w:w="2105"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0.8%</w:t>
                  </w:r>
                  <w:r/>
                </w:p>
              </w:tc>
            </w:tr>
            <w:tr>
              <w:trPr>
                <w:jc w:val="center"/>
                <w:trHeight w:val="240"/>
              </w:trPr>
              <w:tc>
                <w:tcPr>
                  <w:tcW w:w="806" w:type="pct"/>
                  <w:vAlign w:val="top"/>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4</w:t>
                  </w:r>
                  <w:r/>
                </w:p>
              </w:tc>
              <w:tc>
                <w:tcPr>
                  <w:tcW w:w="2088" w:type="pct"/>
                  <w:vAlign w:val="center"/>
                  <w:textDirection w:val="lrTb"/>
                  <w:noWrap w:val="false"/>
                </w:tcPr>
                <w:p>
                  <w:pPr>
                    <w:jc w:val="center"/>
                    <w:rPr>
                      <w:rFonts w:hint="eastAsia" w:ascii="宋体" w:hAnsi="宋体" w:cs="宋体"/>
                      <w:bCs/>
                      <w:sz w:val="24"/>
                      <w:highlight w:val="none"/>
                    </w:rPr>
                  </w:pPr>
                  <w:r/>
                  <w:bookmarkStart w:id="92" w:name="OLE_LINK91"/>
                  <w:r/>
                  <w:bookmarkStart w:id="93" w:name="OLE_LINK90"/>
                  <w:r>
                    <w:rPr>
                      <w:rFonts w:hint="eastAsia" w:ascii="宋体" w:hAnsi="宋体" w:cs="宋体"/>
                      <w:bCs/>
                      <w:sz w:val="24"/>
                      <w:highlight w:val="none"/>
                    </w:rPr>
                    <w:t xml:space="preserve">1000-5000</w:t>
                  </w:r>
                  <w:bookmarkEnd w:id="92"/>
                  <w:r/>
                  <w:bookmarkEnd w:id="93"/>
                  <w:r/>
                  <w:r/>
                </w:p>
              </w:tc>
              <w:tc>
                <w:tcPr>
                  <w:tcW w:w="2105"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0.5%</w:t>
                  </w:r>
                  <w:r/>
                </w:p>
              </w:tc>
            </w:tr>
          </w:tbl>
          <w:p>
            <w:pPr>
              <w:rPr>
                <w:rFonts w:hint="eastAsia" w:ascii="宋体" w:hAnsi="宋体" w:cs="宋体"/>
                <w:sz w:val="24"/>
                <w:highlight w:val="none"/>
              </w:rPr>
            </w:pPr>
            <w:r>
              <w:rPr>
                <w:rFonts w:hint="eastAsia" w:ascii="宋体" w:hAnsi="宋体" w:cs="宋体"/>
                <w:sz w:val="24"/>
                <w:highlight w:val="none"/>
              </w:rPr>
              <w:t xml:space="preserve">缴纳时间：中标人领取中标通知书前须向采购代理机构足额缴纳采购代理服务费。</w:t>
            </w:r>
            <w:r/>
          </w:p>
          <w:p>
            <w:pPr>
              <w:rPr>
                <w:rFonts w:hint="eastAsia" w:ascii="宋体" w:hAnsi="宋体" w:cs="宋体"/>
                <w:sz w:val="24"/>
                <w:highlight w:val="none"/>
              </w:rPr>
            </w:pPr>
            <w:r>
              <w:rPr>
                <w:rFonts w:hint="eastAsia" w:ascii="宋体" w:hAnsi="宋体" w:cs="宋体"/>
                <w:sz w:val="24"/>
                <w:highlight w:val="none"/>
              </w:rPr>
              <w:t xml:space="preserve">费用缴纳账户信息如下（汇款请备注项目名称或编号）</w:t>
            </w:r>
            <w:r/>
          </w:p>
          <w:p>
            <w:pPr>
              <w:rPr>
                <w:rFonts w:hint="eastAsia" w:ascii="宋体" w:hAnsi="宋体" w:cs="宋体"/>
                <w:sz w:val="24"/>
                <w:highlight w:val="none"/>
              </w:rPr>
            </w:pPr>
            <w:r>
              <w:rPr>
                <w:rFonts w:hint="eastAsia" w:ascii="宋体" w:hAnsi="宋体" w:cs="宋体"/>
                <w:sz w:val="24"/>
                <w:highlight w:val="none"/>
              </w:rPr>
              <w:t xml:space="preserve">户名：常州润邦招标代理有限公司</w:t>
            </w:r>
            <w:r/>
          </w:p>
          <w:p>
            <w:pPr>
              <w:rPr>
                <w:rFonts w:hint="eastAsia" w:ascii="宋体" w:hAnsi="宋体" w:cs="宋体"/>
                <w:sz w:val="24"/>
                <w:highlight w:val="none"/>
              </w:rPr>
            </w:pPr>
            <w:r>
              <w:rPr>
                <w:rFonts w:hint="eastAsia" w:ascii="宋体" w:hAnsi="宋体" w:cs="宋体"/>
                <w:sz w:val="24"/>
                <w:highlight w:val="none"/>
              </w:rPr>
              <w:t xml:space="preserve">开户行：招商银行经开区支行 </w:t>
            </w:r>
            <w:r/>
          </w:p>
          <w:p>
            <w:pPr>
              <w:rPr>
                <w:rFonts w:hint="eastAsia" w:ascii="宋体" w:hAnsi="宋体" w:cs="宋体"/>
                <w:sz w:val="24"/>
                <w:highlight w:val="none"/>
              </w:rPr>
            </w:pPr>
            <w:r>
              <w:rPr>
                <w:rFonts w:hint="eastAsia" w:ascii="宋体" w:hAnsi="宋体" w:cs="宋体"/>
                <w:sz w:val="24"/>
                <w:highlight w:val="none"/>
              </w:rPr>
              <w:t xml:space="preserve">账号：519904296910000 </w:t>
            </w:r>
            <w:r/>
          </w:p>
        </w:tc>
      </w:tr>
      <w:tr>
        <w:trPr>
          <w:jc w:val="center"/>
          <w:trHeight w:val="283"/>
        </w:trPr>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pStyle w:val="966"/>
              <w:jc w:val="center"/>
              <w:rPr>
                <w:rFonts w:hAnsi="宋体" w:cs="宋体"/>
                <w:sz w:val="24"/>
                <w:szCs w:val="24"/>
                <w:highlight w:val="none"/>
              </w:rPr>
            </w:pPr>
            <w:r>
              <w:rPr>
                <w:rFonts w:hAnsi="宋体" w:cs="宋体"/>
                <w:sz w:val="24"/>
                <w:szCs w:val="24"/>
                <w:highlight w:val="none"/>
              </w:rPr>
              <w:t xml:space="preserve">28</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纸质中标（成交）文件</w:t>
            </w:r>
            <w:r/>
          </w:p>
        </w:tc>
        <w:tc>
          <w:tcPr>
            <w:tcBorders>
              <w:top w:val="single" w:color="auto" w:sz="4" w:space="0"/>
              <w:left w:val="single" w:color="auto" w:sz="4" w:space="0"/>
              <w:bottom w:val="single" w:color="auto" w:sz="4" w:space="0"/>
              <w:right w:val="single" w:color="auto" w:sz="4" w:space="0"/>
            </w:tcBorders>
            <w:tcW w:w="360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中标（成交）单位在签订合同前需递交与电子投标文件内容一致的纸质投标文件2份（需打印清晰，标注目录及页码），作为项目归档使用。（递交方式可采用邮寄或现场送达，采购人1份，招标代理公司1份，联系方式见《第一章 投标邀请》）</w:t>
            </w:r>
            <w:r/>
          </w:p>
        </w:tc>
      </w:tr>
    </w:tbl>
    <w:p>
      <w:pPr>
        <w:jc w:val="both"/>
        <w:spacing w:line="360" w:lineRule="auto"/>
        <w:tabs>
          <w:tab w:val="left" w:pos="5580" w:leader="none"/>
        </w:tabs>
        <w:rPr>
          <w:sz w:val="24"/>
          <w:highlight w:val="none"/>
        </w:rPr>
        <w:sectPr>
          <w:headerReference w:type="first" r:id="rId12"/>
          <w:footerReference w:type="default" r:id="rId16"/>
          <w:footerReference w:type="first" r:id="rId17"/>
          <w:footnotePr/>
          <w:endnotePr/>
          <w:type w:val="nextColumn"/>
          <w:pgSz w:w="11907" w:h="16840" w:orient="portrait"/>
          <w:pgMar w:top="1440" w:right="1803" w:bottom="1440" w:left="1803" w:header="851" w:footer="850" w:gutter="0"/>
          <w:pgNumType w:start="1"/>
          <w:cols w:num="1" w:sep="0" w:space="720" w:equalWidth="1"/>
          <w:docGrid w:linePitch="360"/>
          <w:titlePg/>
        </w:sectPr>
      </w:pPr>
      <w:r>
        <w:rPr>
          <w:sz w:val="24"/>
          <w:highlight w:val="none"/>
        </w:rPr>
      </w:r>
      <w:r/>
    </w:p>
    <w:p>
      <w:pPr>
        <w:jc w:val="center"/>
        <w:spacing w:before="240" w:after="240"/>
        <w:rPr>
          <w:b/>
          <w:sz w:val="28"/>
          <w:szCs w:val="28"/>
          <w:highlight w:val="none"/>
        </w:rPr>
      </w:pPr>
      <w:r/>
      <w:bookmarkStart w:id="94" w:name="_Toc353873932"/>
      <w:r/>
      <w:bookmarkStart w:id="95" w:name="_Toc150774722"/>
      <w:r/>
      <w:bookmarkStart w:id="96" w:name="_Toc353873662"/>
      <w:r/>
      <w:bookmarkStart w:id="97" w:name="_Toc353825542"/>
      <w:r/>
      <w:bookmarkStart w:id="98" w:name="_Toc150480755"/>
      <w:r/>
      <w:bookmarkStart w:id="99" w:name="_Toc226337213"/>
      <w:r/>
      <w:bookmarkStart w:id="100" w:name="_Toc127151517"/>
      <w:r/>
      <w:bookmarkStart w:id="101" w:name="_Toc226965790"/>
      <w:r/>
      <w:bookmarkStart w:id="102" w:name="_Toc142311019"/>
      <w:r/>
      <w:bookmarkStart w:id="103" w:name="_Toc305158859"/>
      <w:r/>
      <w:bookmarkStart w:id="104" w:name="_Toc265228355"/>
      <w:r/>
      <w:bookmarkStart w:id="105" w:name="_Toc195842882"/>
      <w:r/>
      <w:bookmarkStart w:id="106" w:name="_Toc305158785"/>
      <w:r/>
      <w:bookmarkStart w:id="107" w:name="_Toc264969207"/>
      <w:r>
        <w:rPr>
          <w:b/>
          <w:sz w:val="28"/>
          <w:szCs w:val="28"/>
          <w:highlight w:val="none"/>
        </w:rPr>
        <w:t xml:space="preserve">投标人须知</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946"/>
        <w:spacing w:before="0" w:line="360" w:lineRule="auto"/>
        <w:tabs>
          <w:tab w:val="center" w:pos="4592" w:leader="none"/>
          <w:tab w:val="left" w:pos="7860" w:leader="none"/>
        </w:tabs>
        <w:rPr>
          <w:rFonts w:ascii="Times New Roman" w:hAnsi="Times New Roman" w:eastAsia="宋体"/>
          <w:sz w:val="28"/>
          <w:highlight w:val="none"/>
        </w:rPr>
      </w:pPr>
      <w:r/>
      <w:bookmarkStart w:id="108" w:name="_Toc226965791"/>
      <w:r/>
      <w:bookmarkStart w:id="109" w:name="_Toc305158786"/>
      <w:r/>
      <w:bookmarkStart w:id="110" w:name="_Toc151193616"/>
      <w:r/>
      <w:bookmarkStart w:id="111" w:name="_Toc151193760"/>
      <w:r/>
      <w:bookmarkStart w:id="112" w:name="_Toc226337214"/>
      <w:r/>
      <w:bookmarkStart w:id="113" w:name="_Toc305158860"/>
      <w:r/>
      <w:bookmarkStart w:id="114" w:name="_Toc150774723"/>
      <w:r/>
      <w:bookmarkStart w:id="115" w:name="_Toc226965708"/>
      <w:r/>
      <w:bookmarkStart w:id="116" w:name="_Toc226309762"/>
      <w:r/>
      <w:bookmarkStart w:id="117" w:name="_Toc265228356"/>
      <w:r/>
      <w:bookmarkStart w:id="118" w:name="_Toc520356143"/>
      <w:r/>
      <w:bookmarkStart w:id="119" w:name="_Toc264969208"/>
      <w:r/>
      <w:bookmarkStart w:id="120" w:name="_Toc151193906"/>
      <w:r/>
      <w:bookmarkStart w:id="121" w:name="_Toc150509269"/>
      <w:r/>
      <w:bookmarkStart w:id="122" w:name="_Toc150480756"/>
      <w:r/>
      <w:bookmarkStart w:id="123" w:name="_Toc151193688"/>
      <w:r/>
      <w:bookmarkStart w:id="124" w:name="_Toc150774618"/>
      <w:r/>
      <w:bookmarkStart w:id="125" w:name="_Toc195842883"/>
      <w:r/>
      <w:bookmarkStart w:id="126" w:name="_Toc142311020"/>
      <w:r/>
      <w:bookmarkStart w:id="127" w:name="_Toc127151518"/>
      <w:r/>
      <w:bookmarkStart w:id="128" w:name="_Toc151193832"/>
      <w:r/>
      <w:bookmarkStart w:id="129" w:name="_Toc151190145"/>
      <w:r>
        <w:rPr>
          <w:rFonts w:ascii="Times New Roman" w:hAnsi="Times New Roman" w:eastAsia="宋体"/>
          <w:sz w:val="28"/>
          <w:highlight w:val="none"/>
        </w:rPr>
        <w:t xml:space="preserve">一   说  明</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numPr>
          <w:ilvl w:val="0"/>
          <w:numId w:val="1"/>
        </w:numPr>
        <w:ind w:left="0" w:firstLine="482"/>
        <w:spacing w:line="400" w:lineRule="exact"/>
        <w:tabs>
          <w:tab w:val="left" w:pos="360" w:leader="none"/>
        </w:tabs>
        <w:rPr>
          <w:rFonts w:ascii="宋体" w:hAnsi="宋体" w:cs="宋体"/>
          <w:b/>
          <w:bCs/>
          <w:sz w:val="24"/>
          <w:highlight w:val="none"/>
        </w:rPr>
      </w:pPr>
      <w:r/>
      <w:bookmarkStart w:id="130" w:name="_Toc305158861"/>
      <w:r/>
      <w:bookmarkStart w:id="131" w:name="_Toc305158787"/>
      <w:r/>
      <w:bookmarkStart w:id="132" w:name="_Toc265228357"/>
      <w:r/>
      <w:bookmarkStart w:id="133" w:name="_Toc264969209"/>
      <w:r/>
      <w:bookmarkStart w:id="134" w:name="OLE_LINK92"/>
      <w:r/>
      <w:bookmarkStart w:id="135" w:name="OLE_LINK93"/>
      <w:r>
        <w:rPr>
          <w:rFonts w:hint="eastAsia" w:ascii="宋体" w:hAnsi="宋体" w:cs="宋体"/>
          <w:b/>
          <w:bCs/>
          <w:sz w:val="24"/>
          <w:highlight w:val="none"/>
        </w:rPr>
        <w:t xml:space="preserve">采购人、采购代理机构、投标人</w:t>
      </w:r>
      <w:bookmarkEnd w:id="130"/>
      <w:r/>
      <w:bookmarkEnd w:id="131"/>
      <w:r/>
      <w:bookmarkEnd w:id="132"/>
      <w:r/>
      <w:bookmarkEnd w:id="133"/>
      <w:r>
        <w:rPr>
          <w:rFonts w:hint="eastAsia" w:ascii="宋体" w:hAnsi="宋体" w:cs="宋体"/>
          <w:b/>
          <w:bCs/>
          <w:sz w:val="24"/>
          <w:highlight w:val="none"/>
        </w:rPr>
        <w:t xml:space="preserve">、联合体</w:t>
      </w:r>
      <w:r/>
    </w:p>
    <w:p>
      <w:pPr>
        <w:numPr>
          <w:ilvl w:val="1"/>
          <w:numId w:val="1"/>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1"/>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投标人（也称“供应商”、“申请人”）：指向采购人提供货物、工程或者服务的法人、其他组织或者自然人。</w:t>
      </w:r>
      <w:r/>
    </w:p>
    <w:p>
      <w:pPr>
        <w:numPr>
          <w:ilvl w:val="1"/>
          <w:numId w:val="1"/>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bookmarkEnd w:id="134"/>
      <w:r/>
      <w:bookmarkEnd w:id="135"/>
      <w:r/>
      <w:r/>
    </w:p>
    <w:p>
      <w:pPr>
        <w:numPr>
          <w:ilvl w:val="0"/>
          <w:numId w:val="1"/>
        </w:numPr>
        <w:ind w:left="0" w:firstLine="482"/>
        <w:spacing w:line="400" w:lineRule="exact"/>
        <w:tabs>
          <w:tab w:val="left" w:pos="360" w:leader="none"/>
        </w:tabs>
        <w:rPr>
          <w:rFonts w:ascii="宋体" w:hAnsi="宋体" w:cs="宋体"/>
          <w:b/>
          <w:bCs/>
          <w:sz w:val="24"/>
          <w:highlight w:val="none"/>
        </w:rPr>
      </w:pPr>
      <w:r/>
      <w:bookmarkStart w:id="136" w:name="_Toc142311022"/>
      <w:r/>
      <w:bookmarkStart w:id="137" w:name="_Toc305158862"/>
      <w:r/>
      <w:bookmarkStart w:id="138" w:name="_Toc164229361"/>
      <w:r/>
      <w:bookmarkStart w:id="139" w:name="_Toc127161434"/>
      <w:r/>
      <w:bookmarkStart w:id="140" w:name="_Toc151193690"/>
      <w:r/>
      <w:bookmarkStart w:id="141" w:name="_Toc164229215"/>
      <w:r/>
      <w:bookmarkStart w:id="142" w:name="_Toc226965793"/>
      <w:r/>
      <w:bookmarkStart w:id="143" w:name="_Toc151190147"/>
      <w:r/>
      <w:bookmarkStart w:id="144" w:name="_Toc164608789"/>
      <w:r/>
      <w:bookmarkStart w:id="145" w:name="_Toc164351614"/>
      <w:r/>
      <w:bookmarkStart w:id="146" w:name="_Toc150774725"/>
      <w:r/>
      <w:bookmarkStart w:id="147" w:name="_Toc127151520"/>
      <w:r/>
      <w:bookmarkStart w:id="148" w:name="_Toc151193834"/>
      <w:r/>
      <w:bookmarkStart w:id="149" w:name="_Toc151193762"/>
      <w:r/>
      <w:bookmarkStart w:id="150" w:name="_Toc150509271"/>
      <w:r/>
      <w:bookmarkStart w:id="151" w:name="_Toc151193908"/>
      <w:r/>
      <w:bookmarkStart w:id="152" w:name="_Toc305158788"/>
      <w:r/>
      <w:bookmarkStart w:id="153" w:name="_Toc226965710"/>
      <w:r/>
      <w:bookmarkStart w:id="154" w:name="_Toc127151721"/>
      <w:r/>
      <w:bookmarkStart w:id="155" w:name="_Toc150480758"/>
      <w:r/>
      <w:bookmarkStart w:id="156" w:name="_Toc226309764"/>
      <w:r/>
      <w:bookmarkStart w:id="157" w:name="_Toc195842885"/>
      <w:r/>
      <w:bookmarkStart w:id="158" w:name="_Toc226337216"/>
      <w:r/>
      <w:bookmarkStart w:id="159" w:name="_Toc150774620"/>
      <w:r/>
      <w:bookmarkStart w:id="160" w:name="_Toc151193618"/>
      <w:r/>
      <w:bookmarkStart w:id="161" w:name="_Toc149720813"/>
      <w:r/>
      <w:bookmarkStart w:id="162" w:name="_Toc264969210"/>
      <w:r/>
      <w:bookmarkStart w:id="163" w:name="_Toc265228358"/>
      <w:r/>
      <w:bookmarkStart w:id="164" w:name="_Toc164608634"/>
      <w:r/>
      <w:bookmarkStart w:id="165" w:name="OLE_LINK94"/>
      <w:r>
        <w:rPr>
          <w:rFonts w:hint="eastAsia" w:ascii="宋体" w:hAnsi="宋体" w:cs="宋体"/>
          <w:b/>
          <w:bCs/>
          <w:sz w:val="24"/>
          <w:highlight w:val="none"/>
        </w:rPr>
        <w:t xml:space="preserve">资金来源</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hAnsi="宋体" w:cs="宋体"/>
          <w:b/>
          <w:bCs/>
          <w:sz w:val="24"/>
          <w:highlight w:val="none"/>
        </w:rPr>
        <w:t xml:space="preserve">、项目属性、科研仪器设备采购、核心产品</w:t>
      </w:r>
      <w:bookmarkEnd w:id="165"/>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项目属性见《投标人须知资料表》。</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是否属于科研仪器设备采购见《投标人须知资料表》。</w:t>
      </w:r>
      <w:r/>
    </w:p>
    <w:p>
      <w:pPr>
        <w:numPr>
          <w:ilvl w:val="1"/>
          <w:numId w:val="1"/>
        </w:numPr>
        <w:ind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核心产品见《投标人须知资料表》。</w:t>
      </w:r>
      <w:r/>
    </w:p>
    <w:p>
      <w:pPr>
        <w:numPr>
          <w:ilvl w:val="0"/>
          <w:numId w:val="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现场考察、开标前答疑会</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若《投标人须知资料表》中规定了组织现场考察、召开开标前答疑会，则投标人应按要求在规定的时间和地点参加。</w:t>
      </w:r>
      <w:bookmarkStart w:id="166" w:name="_Toc151193836"/>
      <w:r/>
      <w:bookmarkStart w:id="167" w:name="_Toc226309766"/>
      <w:r/>
      <w:bookmarkStart w:id="168" w:name="_Toc142311024"/>
      <w:r/>
      <w:bookmarkStart w:id="169" w:name="_Toc150480760"/>
      <w:r/>
      <w:bookmarkStart w:id="170" w:name="_Toc151193910"/>
      <w:r/>
      <w:bookmarkStart w:id="171" w:name="_Toc150774727"/>
      <w:r/>
      <w:bookmarkStart w:id="172" w:name="_Toc226965712"/>
      <w:r/>
      <w:bookmarkStart w:id="173" w:name="_Toc265228360"/>
      <w:r/>
      <w:bookmarkStart w:id="174" w:name="_Toc151190149"/>
      <w:r/>
      <w:bookmarkStart w:id="175" w:name="_Toc520356146"/>
      <w:r/>
      <w:bookmarkStart w:id="176" w:name="_Toc127151522"/>
      <w:r/>
      <w:bookmarkStart w:id="177" w:name="_Toc151193764"/>
      <w:r/>
      <w:bookmarkStart w:id="178" w:name="_Toc305158864"/>
      <w:r/>
      <w:bookmarkStart w:id="179" w:name="_Toc226965795"/>
      <w:r/>
      <w:bookmarkStart w:id="180" w:name="_Toc305158790"/>
      <w:r/>
      <w:bookmarkStart w:id="181" w:name="_Toc195842887"/>
      <w:r/>
      <w:bookmarkStart w:id="182" w:name="_Toc150509273"/>
      <w:r/>
      <w:bookmarkStart w:id="183" w:name="_Toc151193620"/>
      <w:r/>
      <w:bookmarkStart w:id="184" w:name="_Toc226337218"/>
      <w:r/>
      <w:bookmarkStart w:id="185" w:name="_Toc150774622"/>
      <w:r/>
      <w:bookmarkStart w:id="186" w:name="_Toc264969212"/>
      <w:r/>
      <w:bookmarkStart w:id="187" w:name="_Toc151193692"/>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样品</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样品的评审方法以及评审标准等内容见第四章《评标方法和评标标准》。</w:t>
      </w:r>
      <w:r/>
    </w:p>
    <w:p>
      <w:pPr>
        <w:numPr>
          <w:ilvl w:val="0"/>
          <w:numId w:val="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政府采购政策（包括但不限于下列具体政策要求）</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进口</w:t>
      </w:r>
      <w:bookmarkStart w:id="188" w:name="OLE_LINK95"/>
      <w:r>
        <w:rPr>
          <w:rFonts w:hint="eastAsia" w:ascii="宋体" w:hAnsi="宋体" w:cs="宋体"/>
          <w:sz w:val="24"/>
          <w:highlight w:val="none"/>
        </w:rPr>
        <w:t xml:space="preserve">产品</w:t>
      </w:r>
      <w:r/>
    </w:p>
    <w:p>
      <w:pPr>
        <w:numPr>
          <w:ilvl w:val="2"/>
          <w:numId w:val="1"/>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w:t>
      </w:r>
      <w:bookmarkEnd w:id="188"/>
      <w:r>
        <w:rPr>
          <w:rFonts w:hint="eastAsia" w:ascii="宋体" w:hAnsi="宋体" w:cs="宋体"/>
          <w:sz w:val="24"/>
          <w:highlight w:val="none"/>
        </w:rPr>
        <w:t xml:space="preserve">《关于政府采购进口产品管理有关问题的通知》（财办库〔2008〕248号文）。</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中小企业、监狱企业及残疾人福利性单位</w:t>
      </w:r>
      <w:r/>
    </w:p>
    <w:p>
      <w:pPr>
        <w:numPr>
          <w:ilvl w:val="2"/>
          <w:numId w:val="1"/>
        </w:numPr>
        <w:ind w:firstLine="480"/>
        <w:spacing w:line="400" w:lineRule="exact"/>
        <w:rPr>
          <w:rFonts w:ascii="宋体" w:hAnsi="宋体" w:cs="宋体"/>
          <w:vanish/>
          <w:sz w:val="24"/>
          <w:highlight w:val="none"/>
        </w:rPr>
      </w:pPr>
      <w:r>
        <w:rPr>
          <w:rFonts w:hint="eastAsia" w:ascii="宋体" w:hAnsi="宋体" w:cs="宋体"/>
          <w:sz w:val="24"/>
          <w:highlight w:val="none"/>
        </w:rPr>
        <w:t xml:space="preserve">中小企业定义：</w:t>
      </w:r>
      <w:r/>
    </w:p>
    <w:p>
      <w:p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5.2.1.1中小企业是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5.2.1.2供应商提供的货物、工程或者服务符合下列情形的，享受中小企业扶持政策：</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p>
    <w:p>
      <w:p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5.2.1.3在货物采购项目中，供应商提供的货物既有中小企业制造货物，也有大型企业制造货物的，不享受中小企业扶持政策。</w:t>
      </w:r>
      <w:r/>
    </w:p>
    <w:p>
      <w:p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5.2.1.4以联合体形式参加政府采购活动，联合体各方均为中小企业的，联合体视同中小企业。其中，联合体各方均为小微企业的，联合体视同小微企业。</w:t>
      </w:r>
      <w:r/>
    </w:p>
    <w:p>
      <w:pPr>
        <w:numPr>
          <w:ilvl w:val="2"/>
          <w:numId w:val="1"/>
        </w:numPr>
        <w:ind w:firstLine="480"/>
        <w:spacing w:line="400" w:lineRule="exact"/>
        <w:rPr>
          <w:rFonts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ind w:firstLine="480"/>
        <w:spacing w:line="400" w:lineRule="exact"/>
        <w:rPr>
          <w:rFonts w:ascii="宋体" w:hAnsi="宋体" w:cs="宋体"/>
          <w:vanish/>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p>
    <w:p>
      <w:p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5.2.3.1安置的残疾人占本单位在职职工人数的比例不低于25%（含25%），并且安置的残疾人人数不少于10 人（含10 人）；</w:t>
      </w:r>
      <w:r/>
    </w:p>
    <w:p>
      <w:p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5.2.3.2依法与安置的每位残疾人签订了一年以上（含一年）的劳动合同或服务协议；</w:t>
      </w:r>
      <w:r/>
    </w:p>
    <w:p>
      <w:p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5.2.3.3为安置的每位残疾人按月足额缴纳了基本养老保险、基本医疗保险、失业保险、工伤保险和生育保险等社会保险费；</w:t>
      </w:r>
      <w:r/>
    </w:p>
    <w:p>
      <w:p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5.2.3.4通过银行等金融机构向安置的每位残疾人，按月支付了不低于单位所在区县适用的经省级人民政府批准的月最低工资标准的工资；</w:t>
      </w:r>
      <w:r/>
    </w:p>
    <w:p>
      <w:p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ind w:firstLine="480"/>
        <w:spacing w:line="400" w:lineRule="exact"/>
        <w:rPr>
          <w:rFonts w:ascii="宋体" w:hAnsi="宋体" w:cs="宋体"/>
          <w:sz w:val="24"/>
          <w:highlight w:val="none"/>
        </w:rPr>
      </w:pPr>
      <w:r>
        <w:rPr>
          <w:rFonts w:hint="eastAsia" w:ascii="宋体" w:hAnsi="宋体" w:cs="宋体"/>
          <w:sz w:val="24"/>
          <w:highlight w:val="none"/>
        </w:rPr>
        <w:t xml:space="preserve">本项目是否专门面向中小企业预留采购份额见第一章《投标邀请》。</w:t>
      </w:r>
      <w:r/>
    </w:p>
    <w:p>
      <w:pPr>
        <w:numPr>
          <w:ilvl w:val="2"/>
          <w:numId w:val="1"/>
        </w:numPr>
        <w:ind w:firstLine="480"/>
        <w:spacing w:line="400" w:lineRule="exact"/>
        <w:rPr>
          <w:rFonts w:ascii="宋体" w:hAnsi="宋体" w:cs="宋体"/>
          <w:sz w:val="24"/>
          <w:highlight w:val="none"/>
        </w:rPr>
      </w:pPr>
      <w:r>
        <w:rPr>
          <w:rFonts w:hint="eastAsia" w:ascii="宋体" w:hAnsi="宋体" w:cs="宋体"/>
          <w:sz w:val="24"/>
          <w:highlight w:val="none"/>
        </w:rPr>
        <w:t xml:space="preserve">采购标的对应的中小企业划分标准所属行业见《投标人须知资料表》。</w:t>
      </w:r>
      <w:r/>
    </w:p>
    <w:p>
      <w:pPr>
        <w:numPr>
          <w:ilvl w:val="2"/>
          <w:numId w:val="1"/>
        </w:numPr>
        <w:ind w:firstLine="480"/>
        <w:spacing w:line="400" w:lineRule="exact"/>
        <w:rPr>
          <w:rFonts w:ascii="宋体" w:hAnsi="宋体" w:cs="宋体"/>
          <w:sz w:val="24"/>
          <w:highlight w:val="none"/>
        </w:rPr>
      </w:pPr>
      <w:r>
        <w:rPr>
          <w:rFonts w:hint="eastAsia" w:ascii="宋体" w:hAnsi="宋体" w:cs="宋体"/>
          <w:sz w:val="24"/>
          <w:highlight w:val="none"/>
        </w:rPr>
        <w:t xml:space="preserve">小微企业价格评审优惠的政策调整：见第四章《评标方法和评标标准》。</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政府采购节能产品、环境标志产品</w:t>
      </w:r>
      <w:r/>
    </w:p>
    <w:p>
      <w:pPr>
        <w:numPr>
          <w:ilvl w:val="2"/>
          <w:numId w:val="1"/>
        </w:numPr>
        <w:ind w:firstLine="480"/>
        <w:spacing w:line="400" w:lineRule="exact"/>
        <w:rPr>
          <w:rFonts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ind w:firstLine="480"/>
        <w:spacing w:line="400" w:lineRule="exact"/>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w:t>
      </w:r>
      <w:bookmarkStart w:id="189" w:name="OLE_LINK99"/>
      <w:r/>
      <w:bookmarkStart w:id="190" w:name="OLE_LINK98"/>
      <w:r>
        <w:rPr>
          <w:rFonts w:hint="eastAsia" w:ascii="宋体" w:hAnsi="宋体" w:cs="宋体"/>
          <w:sz w:val="24"/>
          <w:highlight w:val="none"/>
        </w:rPr>
        <w:t xml:space="preserve">品政府采购执行机制的通知》（财库〔2019〕9号）。 </w:t>
      </w:r>
      <w:r/>
    </w:p>
    <w:p>
      <w:pPr>
        <w:numPr>
          <w:ilvl w:val="2"/>
          <w:numId w:val="1"/>
        </w:numPr>
        <w:ind w:firstLine="482"/>
        <w:spacing w:line="400" w:lineRule="exact"/>
        <w:rPr>
          <w:rFonts w:ascii="宋体" w:hAnsi="宋体" w:cs="宋体"/>
          <w:b/>
          <w:bCs/>
          <w:sz w:val="24"/>
          <w:highlight w:val="none"/>
          <w:u w:val="single"/>
        </w:rPr>
      </w:pPr>
      <w:r>
        <w:rPr>
          <w:rFonts w:hint="eastAsia" w:ascii="宋体" w:hAnsi="宋体" w:cs="宋体"/>
          <w:b/>
          <w:bCs/>
          <w:sz w:val="24"/>
          <w:highlight w:val="none"/>
          <w:u w:val="single"/>
        </w:rPr>
        <w:t xml:space="preserve">如本项目采</w:t>
      </w:r>
      <w:bookmarkStart w:id="191" w:name="OLE_LINK96"/>
      <w:r/>
      <w:bookmarkStart w:id="192" w:name="OLE_LINK97"/>
      <w:r>
        <w:rPr>
          <w:rFonts w:hint="eastAsia" w:ascii="宋体" w:hAnsi="宋体" w:cs="宋体"/>
          <w:b/>
          <w:bCs/>
          <w:sz w:val="24"/>
          <w:highlight w:val="none"/>
          <w:u w:val="single"/>
        </w:rPr>
        <w:t xml:space="preserve">购</w:t>
      </w:r>
      <w:bookmarkStart w:id="193" w:name="OLE_LINK486"/>
      <w:r>
        <w:rPr>
          <w:rFonts w:hint="eastAsia" w:ascii="宋体" w:hAnsi="宋体" w:cs="宋体"/>
          <w:b/>
          <w:bCs/>
          <w:sz w:val="24"/>
          <w:highlight w:val="none"/>
          <w:u w:val="single"/>
        </w:rPr>
        <w:t xml:space="preserve">产品属于实施政府强制采购品目清单范围的节能产品，则投标人所报产品必须获得国家确定的认证机构出具的、处于</w:t>
      </w:r>
      <w:bookmarkEnd w:id="191"/>
      <w:r/>
      <w:bookmarkEnd w:id="192"/>
      <w:r>
        <w:rPr>
          <w:rFonts w:hint="eastAsia" w:ascii="宋体" w:hAnsi="宋体" w:cs="宋体"/>
          <w:b/>
          <w:bCs/>
          <w:sz w:val="24"/>
          <w:highlight w:val="none"/>
          <w:u w:val="single"/>
        </w:rPr>
        <w:t xml:space="preserve">有效期之内的节能产品认证证书，</w:t>
      </w:r>
      <w:r>
        <w:rPr>
          <w:rFonts w:hint="eastAsia" w:ascii="宋体" w:hAnsi="宋体" w:cs="宋体"/>
          <w:b/>
          <w:bCs/>
          <w:sz w:val="24"/>
          <w:highlight w:val="none"/>
          <w:u w:val="single"/>
        </w:rPr>
        <w:t xml:space="preserve">否则投标无效</w:t>
      </w:r>
      <w:r>
        <w:rPr>
          <w:rFonts w:hint="eastAsia" w:ascii="宋体" w:hAnsi="宋体" w:cs="宋体"/>
          <w:b/>
          <w:bCs/>
          <w:sz w:val="24"/>
          <w:highlight w:val="none"/>
          <w:u w:val="single"/>
        </w:rPr>
        <w:t xml:space="preserve">；</w:t>
      </w:r>
      <w:bookmarkEnd w:id="189"/>
      <w:r/>
      <w:bookmarkEnd w:id="190"/>
      <w:r/>
      <w:bookmarkEnd w:id="193"/>
      <w:r/>
      <w:r/>
    </w:p>
    <w:p>
      <w:pPr>
        <w:numPr>
          <w:ilvl w:val="2"/>
          <w:numId w:val="1"/>
        </w:numPr>
        <w:ind w:firstLine="480"/>
        <w:spacing w:line="400" w:lineRule="exact"/>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支持乡村产业振兴管理</w:t>
      </w:r>
      <w:r/>
    </w:p>
    <w:p>
      <w:pPr>
        <w:numPr>
          <w:ilvl w:val="2"/>
          <w:numId w:val="1"/>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正版软件</w:t>
      </w:r>
      <w:r/>
    </w:p>
    <w:p>
      <w:pPr>
        <w:numPr>
          <w:ilvl w:val="2"/>
          <w:numId w:val="1"/>
        </w:numPr>
        <w:ind w:firstLine="480"/>
        <w:spacing w:line="400" w:lineRule="exact"/>
        <w:rPr>
          <w:rFonts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政府采购创新产品政策</w:t>
      </w:r>
      <w:r/>
    </w:p>
    <w:p>
      <w:pPr>
        <w:numPr>
          <w:ilvl w:val="2"/>
          <w:numId w:val="1"/>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numPr>
          <w:ilvl w:val="1"/>
          <w:numId w:val="1"/>
        </w:numPr>
        <w:ind w:firstLine="480"/>
        <w:spacing w:line="400" w:lineRule="exact"/>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 绿色采购政策</w:t>
      </w:r>
      <w:r/>
    </w:p>
    <w:p>
      <w:pPr>
        <w:numPr>
          <w:ilvl w:val="2"/>
          <w:numId w:val="1"/>
        </w:numPr>
        <w:ind w:firstLine="480"/>
        <w:spacing w:line="400" w:lineRule="exact"/>
        <w:tabs>
          <w:tab w:val="left" w:pos="2014" w:leader="none"/>
        </w:tabs>
        <w:rPr>
          <w:rFonts w:hint="eastAsia" w:ascii="宋体" w:hAnsi="宋体" w:cs="宋体"/>
          <w:sz w:val="24"/>
          <w:highlight w:val="none"/>
        </w:rPr>
      </w:pPr>
      <w:r>
        <w:rPr>
          <w:rFonts w:hint="eastAsia" w:ascii="宋体" w:hAnsi="宋体" w:cs="宋体"/>
          <w:sz w:val="24"/>
          <w:highlight w:val="none"/>
        </w:rPr>
        <w:t xml:space="preserve">绿色数据中心政策 </w:t>
      </w:r>
      <w:r/>
    </w:p>
    <w:p>
      <w:pPr>
        <w:ind w:firstLine="480"/>
        <w:spacing w:line="400" w:lineRule="exact"/>
        <w:rPr>
          <w:rFonts w:hint="eastAsia" w:ascii="宋体" w:hAnsi="宋体"/>
          <w:sz w:val="24"/>
          <w:highlight w:val="none"/>
        </w:rPr>
      </w:pPr>
      <w:r>
        <w:rPr>
          <w:rFonts w:hint="eastAsia" w:ascii="宋体" w:hAnsi="宋体"/>
          <w:sz w:val="24"/>
          <w:highlight w:val="none"/>
        </w:rPr>
        <w:t xml:space="preserve">依据《绿色数据中心政府采购需求标准（试行）》（财办库〔2023〕7号）文件精神，采购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投标费用</w:t>
      </w:r>
      <w:r/>
    </w:p>
    <w:p>
      <w:pPr>
        <w:numPr>
          <w:ilvl w:val="1"/>
          <w:numId w:val="1"/>
        </w:num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投标人应自行承担所有与准备和参加投标有关的费用，无论投标的结果如何，采购人或采购代理机构在任何情况下均无承担这些费用的义务和责任。</w:t>
      </w:r>
      <w:r/>
    </w:p>
    <w:p>
      <w:pPr>
        <w:rPr>
          <w:highlight w:val="none"/>
        </w:rPr>
      </w:pPr>
      <w:r>
        <w:rPr>
          <w:highlight w:val="none"/>
        </w:rPr>
      </w:r>
      <w:r/>
    </w:p>
    <w:p>
      <w:pPr>
        <w:pStyle w:val="946"/>
        <w:spacing w:before="0" w:line="400" w:lineRule="exact"/>
        <w:rPr>
          <w:rFonts w:ascii="Times New Roman" w:hAnsi="Times New Roman" w:eastAsia="宋体"/>
          <w:sz w:val="28"/>
          <w:highlight w:val="none"/>
        </w:rPr>
      </w:pPr>
      <w:r/>
      <w:bookmarkStart w:id="194" w:name="_1.8_计量单位"/>
      <w:r/>
      <w:bookmarkEnd w:id="194"/>
      <w:r>
        <w:rPr>
          <w:rFonts w:ascii="Times New Roman" w:hAnsi="Times New Roman" w:eastAsia="宋体"/>
          <w:sz w:val="28"/>
          <w:highlight w:val="none"/>
        </w:rPr>
        <w:t xml:space="preserve">二   招标文件</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82"/>
        <w:spacing w:line="400" w:lineRule="exact"/>
        <w:rPr>
          <w:rFonts w:ascii="宋体" w:hAnsi="宋体" w:cs="宋体"/>
          <w:b/>
          <w:bCs/>
          <w:sz w:val="24"/>
          <w:highlight w:val="none"/>
        </w:rPr>
      </w:pPr>
      <w:r/>
      <w:bookmarkStart w:id="195" w:name="_Toc516367020"/>
      <w:r/>
      <w:bookmarkStart w:id="196" w:name="_Toc150774626"/>
      <w:r/>
      <w:bookmarkStart w:id="197" w:name="_Toc142311028"/>
      <w:r/>
      <w:bookmarkStart w:id="198" w:name="_Toc226309770"/>
      <w:r/>
      <w:bookmarkStart w:id="199" w:name="_Toc150774731"/>
      <w:r/>
      <w:bookmarkStart w:id="200" w:name="_Toc151193914"/>
      <w:r/>
      <w:bookmarkStart w:id="201" w:name="_Toc264969216"/>
      <w:r/>
      <w:bookmarkStart w:id="202" w:name="_Toc226965799"/>
      <w:r/>
      <w:bookmarkStart w:id="203" w:name="_Toc305158868"/>
      <w:r/>
      <w:bookmarkStart w:id="204" w:name="_Toc151193768"/>
      <w:r/>
      <w:bookmarkStart w:id="205" w:name="_Toc305158794"/>
      <w:r/>
      <w:bookmarkStart w:id="206" w:name="_Toc150509277"/>
      <w:r/>
      <w:bookmarkStart w:id="207" w:name="_Toc520356150"/>
      <w:r/>
      <w:bookmarkStart w:id="208" w:name="_Toc150480764"/>
      <w:r/>
      <w:bookmarkStart w:id="209" w:name="_Toc195842891"/>
      <w:r/>
      <w:bookmarkStart w:id="210" w:name="_Toc151193840"/>
      <w:r/>
      <w:bookmarkStart w:id="211" w:name="_Toc151193624"/>
      <w:r/>
      <w:bookmarkStart w:id="212" w:name="_Toc127151526"/>
      <w:r/>
      <w:bookmarkStart w:id="213" w:name="_Toc151193696"/>
      <w:r/>
      <w:bookmarkStart w:id="214" w:name="_Toc265228364"/>
      <w:r/>
      <w:bookmarkStart w:id="215" w:name="_Toc226965716"/>
      <w:r/>
      <w:bookmarkStart w:id="216" w:name="_Toc151190153"/>
      <w:r/>
      <w:bookmarkStart w:id="217" w:name="_Toc226337222"/>
      <w:r>
        <w:rPr>
          <w:rFonts w:hint="eastAsia" w:ascii="宋体" w:hAnsi="宋体" w:cs="宋体"/>
          <w:b/>
          <w:bCs/>
          <w:sz w:val="24"/>
          <w:highlight w:val="none"/>
        </w:rPr>
        <w:t xml:space="preserve">7招标文件构成</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7.1招标文件包括以下部分：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第一章  投标邀请</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第二章  投标人须知</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第三章  资格审查</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第四章  评标程序、评标方法和评标标准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第五章  采购需求</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第六章  拟签订的合同文本</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第七章  投标文件格式</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7.2投标人应认真阅读招标文件的全部内容。投标人应按照招标文件要求提交投标文件并保证所提供的全部资料的真实性，并对招标文件做出实质性响应，否则投标无效。</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8对招标文件的澄清或修改</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firstLine="560"/>
        <w:spacing w:line="400" w:lineRule="exact"/>
        <w:tabs>
          <w:tab w:val="left" w:pos="1080" w:leader="none"/>
          <w:tab w:val="left" w:pos="1561" w:leader="none"/>
        </w:tabs>
        <w:rPr>
          <w:sz w:val="28"/>
          <w:highlight w:val="none"/>
        </w:rPr>
      </w:pPr>
      <w:r>
        <w:rPr>
          <w:sz w:val="28"/>
          <w:highlight w:val="none"/>
        </w:rPr>
      </w:r>
      <w:r/>
    </w:p>
    <w:p>
      <w:pPr>
        <w:pStyle w:val="946"/>
        <w:spacing w:before="0" w:line="400" w:lineRule="exact"/>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5"/>
      <w:r>
        <w:rPr>
          <w:rFonts w:ascii="Times New Roman" w:hAnsi="Times New Roman" w:eastAsia="宋体"/>
          <w:sz w:val="28"/>
          <w:highlight w:val="none"/>
        </w:rPr>
        <w:t xml:space="preserve">的编制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482"/>
        <w:spacing w:line="400" w:lineRule="exact"/>
        <w:rPr>
          <w:rFonts w:ascii="宋体" w:hAnsi="宋体" w:cs="宋体"/>
          <w:b/>
          <w:bCs/>
          <w:sz w:val="24"/>
          <w:highlight w:val="none"/>
        </w:rPr>
      </w:pPr>
      <w:r/>
      <w:bookmarkStart w:id="218" w:name="_Toc195842899"/>
      <w:r/>
      <w:bookmarkStart w:id="219" w:name="_Toc150774739"/>
      <w:r/>
      <w:bookmarkStart w:id="220" w:name="_Toc151193776"/>
      <w:r/>
      <w:bookmarkStart w:id="221" w:name="_Toc151190161"/>
      <w:r/>
      <w:bookmarkStart w:id="222" w:name="_Toc151193632"/>
      <w:r/>
      <w:bookmarkStart w:id="223" w:name="_Toc226337230"/>
      <w:r/>
      <w:bookmarkStart w:id="224" w:name="_Toc305158802"/>
      <w:r/>
      <w:bookmarkStart w:id="225" w:name="_Toc226965724"/>
      <w:r/>
      <w:bookmarkStart w:id="226" w:name="_Toc127151534"/>
      <w:r/>
      <w:bookmarkStart w:id="227" w:name="_Toc265228372"/>
      <w:r/>
      <w:bookmarkStart w:id="228" w:name="_Toc264969224"/>
      <w:r/>
      <w:bookmarkStart w:id="229" w:name="_Toc142311036"/>
      <w:r/>
      <w:bookmarkStart w:id="230" w:name="_Toc150480772"/>
      <w:r/>
      <w:bookmarkStart w:id="231" w:name="_Toc151193848"/>
      <w:r/>
      <w:bookmarkStart w:id="232" w:name="_Toc151193922"/>
      <w:r/>
      <w:bookmarkStart w:id="233" w:name="_Toc226965807"/>
      <w:r/>
      <w:bookmarkStart w:id="234" w:name="_Toc150509285"/>
      <w:r/>
      <w:bookmarkStart w:id="235" w:name="_Toc305158876"/>
      <w:r/>
      <w:bookmarkStart w:id="236" w:name="_Toc151193704"/>
      <w:r/>
      <w:bookmarkStart w:id="237" w:name="_Toc150774634"/>
      <w:r/>
      <w:bookmarkStart w:id="238" w:name="_Toc520356159"/>
      <w:r/>
      <w:bookmarkStart w:id="239" w:name="_Toc226309778"/>
      <w:r>
        <w:rPr>
          <w:rFonts w:hint="eastAsia" w:ascii="宋体" w:hAnsi="宋体" w:cs="宋体"/>
          <w:b/>
          <w:bCs/>
          <w:sz w:val="24"/>
          <w:highlight w:val="none"/>
        </w:rPr>
        <w:t xml:space="preserve">9投标范围、投标文件中计量单位的使用及投标语言</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9.2除招标文件有特殊要求外，本项目投标所使用的计量单位，应采用中华人民共和国法定计量单位。</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10投标文件构成</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10.1投标人应当按照招标文件的要求编制投标文件。投标文件应由《资格证明文件》、《商务技术文件》两部分构成。投标文件的部分格式要求，见第七章《投标文件格式》。</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10.2对于招标文件中标记了“</w:t>
      </w:r>
      <w:r>
        <w:rPr>
          <w:rFonts w:hint="eastAsia" w:ascii="宋体" w:hAnsi="宋体" w:cs="宋体"/>
          <w:b/>
          <w:bCs/>
          <w:sz w:val="24"/>
          <w:highlight w:val="none"/>
        </w:rPr>
        <w:t xml:space="preserve">实质性格式</w:t>
      </w:r>
      <w:r>
        <w:rPr>
          <w:rFonts w:hint="eastAsia" w:ascii="宋体" w:hAnsi="宋体" w:cs="宋体"/>
          <w:sz w:val="24"/>
          <w:highlight w:val="none"/>
        </w:rPr>
        <w:t xml:space="preserve">”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10.3第四章《评标程序、评标方法和评标标准》中涉及的证明文件。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10.5投标人认为应附的其他材料。</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11投标报价</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11.1所有投标均以人民币报价。</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11.2.2按照招标文件要求完成本项目的全部相关服务费用。 </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11.3采购人不得向供应商索要或者接受其给予的赠品、回扣或者与采购无关的其他商品、服务。</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11.4投标人不能提供任何有选择性或可调整的报价，否则其投标无效。</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12投标保证金</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根据江苏省和常州市的相关文件规定，免收投标保证金。</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13投标有效期</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13.1投标文件应在本招标文件《投标人须知资料表》中规定的投标有效期内保持有效，投标有效期少于招标文件规定期限的，其投标无效。</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14投标文件的签署、加盖公章</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14.2招标文件要求加盖公章的内容，一般通过投标文件编制工具加盖电子签章。</w:t>
      </w:r>
      <w:r/>
    </w:p>
    <w:p>
      <w:pPr>
        <w:rPr>
          <w:highlight w:val="none"/>
        </w:rPr>
      </w:pPr>
      <w:r>
        <w:rPr>
          <w:highlight w:val="none"/>
        </w:rPr>
      </w:r>
      <w:r/>
    </w:p>
    <w:p>
      <w:pPr>
        <w:pStyle w:val="946"/>
        <w:spacing w:before="0" w:line="400" w:lineRule="exact"/>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15投标文件的提交</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15.1本项目使用“苏采云”政府采购一体化平台。投标人根据招标文件及“苏采云”政府采购一体化平台供应商操作手册要求编制、生成并提交电子投标文件。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15.2采购人及采购代理机构拒绝接受通过“苏采云”政府采购一体化平台以外任何形式提交的投标文件。</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16投标截止时间</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16.1投标人应在招标文件要求提交投标文件截止时间前，将电子投标文件提交至“苏采云”政府采购一体化平台。</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17投标文件的修改与撤回</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17.1投标截止时间前，投标人可以通过“苏采云”政府采购一体化平台对所提交的投标文件进行补充、修改或者撤回。</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17.2投标人对投标文件的补充、修改的内容应当按照招标文件要求签署、加盖公章，作为投标文件的组成部分</w:t>
      </w:r>
      <w:r/>
    </w:p>
    <w:p>
      <w:pPr>
        <w:ind w:firstLine="480"/>
        <w:spacing w:line="400" w:lineRule="exact"/>
        <w:rPr>
          <w:sz w:val="24"/>
          <w:highlight w:val="none"/>
        </w:rPr>
      </w:pPr>
      <w:r>
        <w:rPr>
          <w:sz w:val="24"/>
          <w:highlight w:val="none"/>
        </w:rPr>
      </w:r>
      <w:r/>
    </w:p>
    <w:p>
      <w:pPr>
        <w:pStyle w:val="946"/>
        <w:spacing w:before="0" w:line="400" w:lineRule="exact"/>
        <w:rPr>
          <w:rFonts w:ascii="Times New Roman" w:hAnsi="Times New Roman" w:eastAsia="宋体"/>
          <w:sz w:val="28"/>
          <w:highlight w:val="none"/>
        </w:rPr>
      </w:pPr>
      <w:r/>
      <w:bookmarkStart w:id="240" w:name="_Toc151193636"/>
      <w:r/>
      <w:bookmarkStart w:id="241" w:name="_Toc305158880"/>
      <w:r/>
      <w:bookmarkStart w:id="242" w:name="_Toc127151538"/>
      <w:r/>
      <w:bookmarkStart w:id="243" w:name="_Toc151193780"/>
      <w:r/>
      <w:bookmarkStart w:id="244" w:name="_Toc150774638"/>
      <w:r/>
      <w:bookmarkStart w:id="245" w:name="_Toc226337234"/>
      <w:r/>
      <w:bookmarkStart w:id="246" w:name="_Toc264969228"/>
      <w:r/>
      <w:bookmarkStart w:id="247" w:name="_Toc226309782"/>
      <w:r/>
      <w:bookmarkStart w:id="248" w:name="_Toc226965811"/>
      <w:r/>
      <w:bookmarkStart w:id="249" w:name="_Toc151190165"/>
      <w:r/>
      <w:bookmarkStart w:id="250" w:name="_Toc151193708"/>
      <w:r/>
      <w:bookmarkStart w:id="251" w:name="_Toc142311040"/>
      <w:r/>
      <w:bookmarkStart w:id="252" w:name="_Toc151193852"/>
      <w:r/>
      <w:bookmarkStart w:id="253" w:name="_Toc226965728"/>
      <w:r/>
      <w:bookmarkStart w:id="254" w:name="_Toc305158806"/>
      <w:r/>
      <w:bookmarkStart w:id="255" w:name="_Toc150774743"/>
      <w:r/>
      <w:bookmarkStart w:id="256" w:name="_Toc195842903"/>
      <w:r/>
      <w:bookmarkStart w:id="257" w:name="_Toc520356163"/>
      <w:r/>
      <w:bookmarkStart w:id="258" w:name="_Toc150509289"/>
      <w:r/>
      <w:bookmarkStart w:id="259" w:name="_Toc150480776"/>
      <w:r/>
      <w:bookmarkStart w:id="260" w:name="_Toc265228376"/>
      <w:r/>
      <w:bookmarkStart w:id="261" w:name="_Toc151193926"/>
      <w:r>
        <w:rPr>
          <w:rFonts w:ascii="Times New Roman" w:hAnsi="Times New Roman" w:eastAsia="宋体"/>
          <w:sz w:val="28"/>
          <w:highlight w:val="none"/>
        </w:rPr>
        <w:t xml:space="preserve">五   开标、资格审查及评标</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ind w:firstLine="482"/>
        <w:spacing w:line="400" w:lineRule="exact"/>
        <w:rPr>
          <w:rFonts w:ascii="宋体" w:hAnsi="宋体" w:cs="宋体"/>
          <w:b/>
          <w:bCs/>
          <w:sz w:val="24"/>
          <w:highlight w:val="none"/>
        </w:rPr>
      </w:pPr>
      <w:r/>
      <w:bookmarkStart w:id="262" w:name="_Toc520356169"/>
      <w:r>
        <w:rPr>
          <w:rFonts w:hint="eastAsia" w:ascii="宋体" w:hAnsi="宋体" w:cs="宋体"/>
          <w:b/>
          <w:bCs/>
          <w:sz w:val="24"/>
          <w:highlight w:val="none"/>
        </w:rPr>
        <w:t xml:space="preserve">18开标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18.1采购人或采购代理机构将按招标文件的规定，在投标截止时间的同一时间和招标文件预先确定的地点组织开标。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18.2本项目开标采用不见面招投标模式，使用“苏采云”政府采购一体化平台在线进行开标。投标人应在规定的时间内对投标文件进行解密，因非系统原因导致的解密失败，视为投标无效。</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18.5投标人不足3家的，不予开标。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1)平台系统发生故障而无法登录访问的；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19资格审查</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19.1见第三章《资格审查》。</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20评标委员会</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20.1评标委员会根据政府采购有关规定和本次招标采购项目的特点进行组建，并负责具体评标事务，独立履行职责。</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21评标程序、评标方法和评标标准</w:t>
      </w:r>
      <w:r/>
    </w:p>
    <w:p>
      <w:pPr>
        <w:ind w:firstLine="480"/>
        <w:spacing w:line="400" w:lineRule="exact"/>
        <w:rPr>
          <w:sz w:val="24"/>
          <w:highlight w:val="none"/>
        </w:rPr>
      </w:pPr>
      <w:r>
        <w:rPr>
          <w:rFonts w:hint="eastAsia" w:ascii="宋体" w:hAnsi="宋体" w:cs="宋体"/>
          <w:sz w:val="24"/>
          <w:highlight w:val="none"/>
        </w:rPr>
        <w:t xml:space="preserve">21.1见第四章《评标程序、评标方法和评标标准》。</w:t>
      </w:r>
      <w:r/>
    </w:p>
    <w:p>
      <w:pPr>
        <w:ind w:left="1080"/>
        <w:spacing w:line="400" w:lineRule="exact"/>
        <w:tabs>
          <w:tab w:val="left" w:pos="360" w:leader="none"/>
          <w:tab w:val="left" w:pos="1080" w:leader="none"/>
        </w:tabs>
        <w:rPr>
          <w:sz w:val="24"/>
          <w:highlight w:val="none"/>
        </w:rPr>
      </w:pPr>
      <w:r>
        <w:rPr>
          <w:sz w:val="24"/>
          <w:highlight w:val="none"/>
        </w:rPr>
      </w:r>
      <w:r/>
    </w:p>
    <w:p>
      <w:pPr>
        <w:pStyle w:val="946"/>
        <w:spacing w:before="0" w:line="400" w:lineRule="exact"/>
        <w:rPr>
          <w:rFonts w:ascii="Times New Roman" w:hAnsi="Times New Roman" w:eastAsia="宋体"/>
          <w:sz w:val="28"/>
          <w:highlight w:val="none"/>
        </w:rPr>
      </w:pPr>
      <w:r/>
      <w:bookmarkStart w:id="263" w:name="_Toc151193933"/>
      <w:r/>
      <w:bookmarkStart w:id="264" w:name="_Toc265228383"/>
      <w:r/>
      <w:bookmarkStart w:id="265" w:name="_Toc150774750"/>
      <w:r/>
      <w:bookmarkStart w:id="266" w:name="_Toc127151545"/>
      <w:r/>
      <w:bookmarkStart w:id="267" w:name="_Toc226309789"/>
      <w:r/>
      <w:bookmarkStart w:id="268" w:name="_Toc151193715"/>
      <w:r/>
      <w:bookmarkStart w:id="269" w:name="_Toc226965818"/>
      <w:r/>
      <w:bookmarkStart w:id="270" w:name="_Toc150774645"/>
      <w:r/>
      <w:bookmarkStart w:id="271" w:name="_Toc151193787"/>
      <w:r/>
      <w:bookmarkStart w:id="272" w:name="_Toc305158887"/>
      <w:r/>
      <w:bookmarkStart w:id="273" w:name="_Toc150509296"/>
      <w:r/>
      <w:bookmarkStart w:id="274" w:name="_Toc151193643"/>
      <w:r/>
      <w:bookmarkStart w:id="275" w:name="_Toc195842910"/>
      <w:r/>
      <w:bookmarkStart w:id="276" w:name="_Toc151193859"/>
      <w:r/>
      <w:bookmarkStart w:id="277" w:name="_Toc264969235"/>
      <w:r/>
      <w:bookmarkStart w:id="278" w:name="_Toc226965735"/>
      <w:r/>
      <w:bookmarkStart w:id="279" w:name="_Toc151190172"/>
      <w:r/>
      <w:bookmarkStart w:id="280" w:name="_Toc150480783"/>
      <w:r/>
      <w:bookmarkStart w:id="281" w:name="_Toc305158813"/>
      <w:r/>
      <w:bookmarkStart w:id="282" w:name="_Toc142311047"/>
      <w:r/>
      <w:bookmarkStart w:id="283" w:name="_Toc226337241"/>
      <w:r>
        <w:rPr>
          <w:rFonts w:ascii="Times New Roman" w:hAnsi="Times New Roman" w:eastAsia="宋体"/>
          <w:sz w:val="28"/>
          <w:highlight w:val="none"/>
        </w:rPr>
        <w:t xml:space="preserve">六   </w:t>
      </w:r>
      <w:bookmarkEnd w:id="262"/>
      <w:r>
        <w:rPr>
          <w:rFonts w:ascii="Times New Roman" w:hAnsi="Times New Roman" w:eastAsia="宋体"/>
          <w:sz w:val="28"/>
          <w:highlight w:val="none"/>
        </w:rPr>
        <w:t xml:space="preserve">确定中标</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Start w:id="284" w:name="_Toc226965737"/>
      <w:r/>
      <w:bookmarkStart w:id="285" w:name="_Toc127151748"/>
      <w:r/>
      <w:bookmarkStart w:id="286" w:name="_Toc226309791"/>
      <w:r/>
      <w:bookmarkStart w:id="287" w:name="_Toc164608661"/>
      <w:r/>
      <w:bookmarkStart w:id="288" w:name="_Toc305158815"/>
      <w:r/>
      <w:bookmarkStart w:id="289" w:name="_Toc151193717"/>
      <w:r/>
      <w:bookmarkStart w:id="290" w:name="_Toc150480785"/>
      <w:r/>
      <w:bookmarkStart w:id="291" w:name="_Toc264969237"/>
      <w:r/>
      <w:bookmarkStart w:id="292" w:name="_Toc127161461"/>
      <w:r/>
      <w:bookmarkStart w:id="293" w:name="_Toc164229388"/>
      <w:r/>
      <w:bookmarkStart w:id="294" w:name="_Toc151193935"/>
      <w:r/>
      <w:bookmarkStart w:id="295" w:name="_Toc164229242"/>
      <w:r/>
      <w:bookmarkStart w:id="296" w:name="_Toc151193789"/>
      <w:r/>
      <w:bookmarkStart w:id="297" w:name="_Toc164608816"/>
      <w:r/>
      <w:bookmarkStart w:id="298" w:name="_Toc150774647"/>
      <w:r/>
      <w:bookmarkStart w:id="299" w:name="_Toc151190174"/>
      <w:r/>
      <w:bookmarkStart w:id="300" w:name="_Toc305158889"/>
      <w:r/>
      <w:bookmarkStart w:id="301" w:name="_Toc142311049"/>
      <w:r/>
      <w:bookmarkStart w:id="302" w:name="_Toc150509298"/>
      <w:r/>
      <w:bookmarkStart w:id="303" w:name="_Toc150774752"/>
      <w:r/>
      <w:bookmarkStart w:id="304" w:name="_Toc127151547"/>
      <w:r/>
      <w:bookmarkStart w:id="305" w:name="_Toc151193861"/>
      <w:r/>
      <w:bookmarkStart w:id="306" w:name="_Toc226337243"/>
      <w:r/>
      <w:bookmarkStart w:id="307" w:name="_Toc164351641"/>
      <w:r/>
      <w:bookmarkStart w:id="308" w:name="_Toc195842912"/>
      <w:r/>
      <w:bookmarkStart w:id="309" w:name="_Toc265228385"/>
      <w:r/>
      <w:bookmarkStart w:id="310" w:name="_Toc226965820"/>
      <w:r/>
      <w:bookmarkStart w:id="311" w:name="_Toc151193645"/>
      <w:r/>
      <w:bookmarkStart w:id="312" w:name="_Toc149720840"/>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22确定中标人</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22.1采购人将在评标报告确定的中标候选人名单中按顺序确定中标人，中标候选人并列的，由采购人依法确定。</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23中标公告与中标通知书</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23.1采购人或采购代理机构自中标人确定之日起2个工作日内，在常州市政府采购网公告中标结果，同时向中标人发出中标通知书，中标公告期限为1个工作日。</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23.2中标通知书对采购人和中标供应商均具有法律效力。中标通知书发出后，采购人改变中标结果的，或者中标供应商放弃中标项目的，应当依法承担法律责任。</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24废标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24.1在招标采购中，出现下列情形之一的，应予废标：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24.1.1符合专业条件的供应商或者对招标文件作实质响应的供应商不足三家的；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24.1.2出现影响采购公正的违法、违规行为的；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24.1.3投标人的报价均超过了采购预算，采购人不能支付的；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24.1.4因重大变故，采购任务取消的。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24.1.5平台系统出现序号18.8的所述情形，情况严重且影响采购活动公平、公正性的。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24.2废标后，采购人将废标理由通知所有投标人。</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25签订合同</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25.2中标人拒绝与采购人签订合同的，采购人可以按照评标报告推荐的中标候选人名单排序，确定下一候选人为中标人，也可以重新开展政府采购活动。</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25.3联合体中标的，联合体各方应当共同与采购人签订合同，就中标项目向采购人承担连带责任。</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25.4政府采购合同不能转包。</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26询问与质疑</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26.1询问</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26.1.1投标人对政府采购活动事项有疑问的，可依法提出询问，并按《投标人须知资料表》载明的形式送达采购人或采购代理机构。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26.1.2采购人或采购代理机构对供应商依法提出的询问，在3个工作日内作出答复，但答复的内容不得涉及商业秘密。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26.2质疑</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26.2.3质疑函须使用财政部制定的范本文件。（下载网址：http://gKs.mof.gov.cn/ztztz/zhengfucaigouguanli/201802/t20180201_2804589.htm）</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26.2.4投标人为自然人的，应当由本人签字；投标人为法人或者其他组织的，应当由法定代表人、主要负责人，或者其授权代表签字或者加盖公章，并加盖公章。</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26.3接收询问和质疑的联系部门、联系电话和地址见《投标人须知资料表》。</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27代理费</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27.1收费对象、收费标准及缴纳时间见《投标人须知资料表》。由中标人支付的，中标人须一次性向采购代理机构缴纳代理费，投标报价应包含代理费用。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313" w:name="_Toc226337250"/>
      <w:r/>
      <w:bookmarkStart w:id="314" w:name="_Toc150774759"/>
      <w:r/>
      <w:bookmarkStart w:id="315" w:name="_Toc127151554"/>
      <w:r/>
      <w:bookmarkStart w:id="316" w:name="_Toc226965827"/>
      <w:r/>
      <w:bookmarkStart w:id="317" w:name="_Toc353873664"/>
      <w:r/>
      <w:bookmarkStart w:id="318" w:name="_Toc150480792"/>
      <w:r/>
      <w:bookmarkStart w:id="319" w:name="_Toc305158896"/>
      <w:r/>
      <w:bookmarkStart w:id="320" w:name="_Toc264969244"/>
      <w:r/>
      <w:bookmarkStart w:id="321" w:name="_Toc353873934"/>
      <w:r/>
      <w:bookmarkStart w:id="322" w:name="_Toc305158822"/>
      <w:r/>
      <w:bookmarkStart w:id="323" w:name="_Toc353825544"/>
      <w:r/>
      <w:bookmarkStart w:id="324" w:name="_Toc265228392"/>
      <w:r/>
      <w:bookmarkStart w:id="325" w:name="_Toc142311056"/>
      <w:r>
        <w:rPr>
          <w:sz w:val="24"/>
          <w:highlight w:val="none"/>
        </w:rPr>
        <w:br w:type="page" w:clear="all"/>
      </w:r>
      <w:bookmarkStart w:id="326" w:name="_Toc31915"/>
      <w:r>
        <w:rPr>
          <w:b/>
          <w:sz w:val="36"/>
          <w:szCs w:val="36"/>
          <w:highlight w:val="none"/>
        </w:rPr>
        <w:t xml:space="preserve">第三章   </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b/>
          <w:sz w:val="36"/>
          <w:szCs w:val="36"/>
          <w:highlight w:val="none"/>
        </w:rPr>
        <w:t xml:space="preserve">资格审查</w:t>
      </w:r>
      <w:bookmarkEnd w:id="326"/>
      <w:r/>
      <w:bookmarkStart w:id="327" w:name="_Toc487900382"/>
      <w:r/>
      <w:r/>
    </w:p>
    <w:p>
      <w:pPr>
        <w:jc w:val="center"/>
        <w:spacing w:line="400" w:lineRule="exact"/>
        <w:tabs>
          <w:tab w:val="left" w:pos="360" w:leader="none"/>
          <w:tab w:val="left" w:pos="900" w:leader="none"/>
        </w:tabs>
        <w:rPr>
          <w:b/>
          <w:sz w:val="24"/>
          <w:highlight w:val="none"/>
        </w:rPr>
        <w:outlineLvl w:val="1"/>
      </w:pPr>
      <w:r/>
      <w:bookmarkStart w:id="328" w:name="_Toc99301422"/>
      <w:r>
        <w:rPr>
          <w:b/>
          <w:sz w:val="24"/>
          <w:highlight w:val="none"/>
        </w:rPr>
        <w:t xml:space="preserve">一、资格审查程序</w:t>
      </w:r>
      <w:bookmarkEnd w:id="328"/>
      <w:r/>
      <w:r/>
    </w:p>
    <w:p>
      <w:pPr>
        <w:numPr>
          <w:ilvl w:val="0"/>
          <w:numId w:val="2"/>
        </w:numPr>
        <w:ind w:left="0" w:firstLine="480"/>
        <w:spacing w:line="400" w:lineRule="exact"/>
        <w:tabs>
          <w:tab w:val="left" w:pos="426" w:leader="none"/>
          <w:tab w:val="left" w:pos="851" w:leader="none"/>
          <w:tab w:val="clear" w:pos="900" w:leader="none"/>
        </w:tabs>
        <w:rPr>
          <w:rFonts w:ascii="宋体" w:hAnsi="宋体" w:cs="宋体"/>
          <w:sz w:val="24"/>
          <w:highlight w:val="none"/>
        </w:rPr>
        <w:outlineLvl w:val="1"/>
      </w:pPr>
      <w:r>
        <w:rPr>
          <w:rFonts w:hint="eastAsia" w:ascii="宋体" w:hAnsi="宋体" w:cs="宋体"/>
          <w:sz w:val="24"/>
          <w:highlight w:val="none"/>
        </w:rPr>
        <w:t xml:space="preserve">开标结束后，采购人将根据《资格审查要求》中的规定，对投标人进行资格审查，并形成资格审查结果。</w:t>
      </w:r>
      <w:r/>
    </w:p>
    <w:p>
      <w:pPr>
        <w:numPr>
          <w:ilvl w:val="0"/>
          <w:numId w:val="2"/>
        </w:numPr>
        <w:ind w:left="0" w:firstLine="480"/>
        <w:spacing w:line="400" w:lineRule="exact"/>
        <w:tabs>
          <w:tab w:val="left" w:pos="426" w:leader="none"/>
          <w:tab w:val="left" w:pos="851" w:leader="none"/>
          <w:tab w:val="clear" w:pos="900" w:leader="none"/>
        </w:tabs>
        <w:rPr>
          <w:rFonts w:ascii="宋体" w:hAnsi="宋体" w:cs="宋体"/>
          <w:sz w:val="24"/>
          <w:highlight w:val="none"/>
        </w:rPr>
        <w:outlineLvl w:val="1"/>
      </w:pPr>
      <w:r>
        <w:rPr>
          <w:rFonts w:hint="eastAsia" w:ascii="宋体" w:hAnsi="宋体" w:cs="宋体"/>
          <w:sz w:val="24"/>
          <w:highlight w:val="none"/>
        </w:rPr>
        <w:t xml:space="preserve">《资格审查要求》中对格式有要求的，除招标文件另有规定外，均为“实质性格式”文件。</w:t>
      </w:r>
      <w:r/>
    </w:p>
    <w:p>
      <w:pPr>
        <w:numPr>
          <w:ilvl w:val="0"/>
          <w:numId w:val="2"/>
        </w:numPr>
        <w:ind w:left="0" w:firstLine="480"/>
        <w:spacing w:line="400" w:lineRule="exact"/>
        <w:tabs>
          <w:tab w:val="left" w:pos="426" w:leader="none"/>
          <w:tab w:val="left" w:pos="851" w:leader="none"/>
          <w:tab w:val="clear" w:pos="900" w:leader="none"/>
        </w:tabs>
        <w:rPr>
          <w:rFonts w:ascii="宋体" w:hAnsi="宋体" w:cs="宋体"/>
          <w:sz w:val="24"/>
          <w:highlight w:val="none"/>
        </w:rPr>
        <w:outlineLvl w:val="1"/>
      </w:pPr>
      <w:r>
        <w:rPr>
          <w:rFonts w:hint="eastAsia" w:ascii="宋体" w:hAnsi="宋体" w:cs="宋体"/>
          <w:sz w:val="24"/>
          <w:highlight w:val="none"/>
        </w:rPr>
        <w:t xml:space="preserve">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0"/>
          <w:numId w:val="2"/>
        </w:numPr>
        <w:ind w:left="0" w:firstLine="480"/>
        <w:spacing w:line="400" w:lineRule="exact"/>
        <w:tabs>
          <w:tab w:val="left" w:pos="426" w:leader="none"/>
          <w:tab w:val="left" w:pos="851" w:leader="none"/>
          <w:tab w:val="clear" w:pos="900" w:leader="none"/>
        </w:tabs>
        <w:rPr>
          <w:sz w:val="24"/>
          <w:highlight w:val="none"/>
        </w:rPr>
        <w:outlineLvl w:val="1"/>
      </w:pPr>
      <w:r>
        <w:rPr>
          <w:rFonts w:hint="eastAsia" w:ascii="宋体" w:hAnsi="宋体" w:cs="宋体"/>
          <w:sz w:val="24"/>
          <w:highlight w:val="none"/>
        </w:rPr>
        <w:t xml:space="preserve">资格审查合格的投标人不足3家的，不进行评标。</w:t>
      </w:r>
      <w:r/>
    </w:p>
    <w:p>
      <w:pPr>
        <w:jc w:val="center"/>
        <w:spacing w:line="400" w:lineRule="exact"/>
        <w:tabs>
          <w:tab w:val="left" w:pos="360" w:leader="none"/>
          <w:tab w:val="left" w:pos="900" w:leader="none"/>
        </w:tabs>
        <w:rPr>
          <w:b/>
          <w:sz w:val="24"/>
          <w:highlight w:val="none"/>
        </w:rPr>
        <w:outlineLvl w:val="1"/>
      </w:pPr>
      <w:r>
        <w:rPr>
          <w:b/>
          <w:sz w:val="24"/>
          <w:highlight w:val="none"/>
        </w:rPr>
        <w:t xml:space="preserve">二、资格审查要求</w:t>
      </w:r>
      <w:r/>
    </w:p>
    <w:tbl>
      <w:tblPr>
        <w:tblStyle w:val="95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19"/>
        <w:gridCol w:w="4323"/>
        <w:gridCol w:w="1604"/>
      </w:tblGrid>
      <w:tr>
        <w:trPr>
          <w:cantSplit/>
          <w:jc w:val="center"/>
          <w:trHeight w:val="468"/>
          <w:tblHeader/>
        </w:trPr>
        <w:tc>
          <w:tcPr>
            <w:tcW w:w="455" w:type="pct"/>
            <w:vAlign w:val="center"/>
            <w:textDirection w:val="lrTb"/>
            <w:noWrap w:val="false"/>
          </w:tcPr>
          <w:p>
            <w:pPr>
              <w:jc w:val="center"/>
              <w:tabs>
                <w:tab w:val="left" w:pos="1080" w:leader="none"/>
              </w:tabs>
              <w:rPr>
                <w:rFonts w:ascii="宋体" w:hAnsi="宋体" w:cs="宋体"/>
                <w:b/>
                <w:sz w:val="24"/>
                <w:highlight w:val="none"/>
              </w:rPr>
            </w:pPr>
            <w:r/>
            <w:bookmarkStart w:id="329" w:name="_Hlt487972895"/>
            <w:r/>
            <w:bookmarkEnd w:id="329"/>
            <w:r>
              <w:rPr>
                <w:rFonts w:hint="eastAsia" w:ascii="宋体" w:hAnsi="宋体" w:cs="宋体"/>
                <w:b/>
                <w:sz w:val="24"/>
                <w:highlight w:val="none"/>
              </w:rPr>
              <w:t xml:space="preserve">序号</w:t>
            </w:r>
            <w:r/>
          </w:p>
        </w:tc>
        <w:tc>
          <w:tcPr>
            <w:tcW w:w="1067"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审查因素</w:t>
            </w:r>
            <w:r/>
          </w:p>
        </w:tc>
        <w:tc>
          <w:tcPr>
            <w:tcW w:w="2535"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审查内容</w:t>
            </w:r>
            <w:r/>
          </w:p>
        </w:tc>
        <w:tc>
          <w:tcPr>
            <w:tcW w:w="941"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格式要求</w:t>
            </w:r>
            <w:r/>
          </w:p>
        </w:tc>
      </w:tr>
      <w:tr>
        <w:trPr>
          <w:cantSplit/>
          <w:jc w:val="center"/>
          <w:trHeight w:val="468"/>
        </w:trPr>
        <w:tc>
          <w:tcPr>
            <w:tcW w:w="455"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w:t>
            </w:r>
            <w:r/>
          </w:p>
        </w:tc>
        <w:tc>
          <w:tcPr>
            <w:tcW w:w="1067"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2535"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具体规定见第一章《投标邀请》</w:t>
            </w:r>
            <w:r/>
          </w:p>
        </w:tc>
        <w:tc>
          <w:tcPr>
            <w:tcW w:w="941" w:type="pct"/>
            <w:vAlign w:val="center"/>
            <w:textDirection w:val="lrTb"/>
            <w:noWrap w:val="false"/>
          </w:tcPr>
          <w:p>
            <w:pPr>
              <w:jc w:val="center"/>
              <w:tabs>
                <w:tab w:val="left" w:pos="1080" w:leader="none"/>
              </w:tabs>
              <w:rPr>
                <w:rFonts w:ascii="宋体" w:hAnsi="宋体" w:cs="宋体"/>
                <w:sz w:val="24"/>
                <w:highlight w:val="none"/>
              </w:rPr>
            </w:pPr>
            <w:r>
              <w:rPr>
                <w:rFonts w:ascii="宋体" w:hAnsi="宋体" w:cs="宋体"/>
                <w:sz w:val="24"/>
                <w:highlight w:val="none"/>
              </w:rPr>
            </w:r>
            <w:r/>
          </w:p>
        </w:tc>
      </w:tr>
      <w:tr>
        <w:trPr>
          <w:cantSplit/>
          <w:jc w:val="center"/>
          <w:trHeight w:val="468"/>
        </w:trPr>
        <w:tc>
          <w:tcPr>
            <w:tcW w:w="455" w:type="pct"/>
            <w:vAlign w:val="center"/>
            <w:textDirection w:val="lrTb"/>
            <w:noWrap w:val="false"/>
          </w:tcPr>
          <w:p>
            <w:pPr>
              <w:jc w:val="center"/>
              <w:tabs>
                <w:tab w:val="left" w:pos="1080" w:leader="none"/>
              </w:tabs>
              <w:rPr>
                <w:rFonts w:ascii="宋体" w:hAnsi="宋体" w:cs="宋体"/>
                <w:sz w:val="24"/>
                <w:highlight w:val="none"/>
              </w:rPr>
            </w:pPr>
            <w:r/>
            <w:bookmarkStart w:id="330" w:name="OLE_LINK100"/>
            <w:r/>
            <w:bookmarkStart w:id="331" w:name="OLE_LINK101"/>
            <w:r/>
            <w:bookmarkStart w:id="332" w:name="_Hlk223810030"/>
            <w:r/>
            <w:bookmarkStart w:id="333" w:name="OLE_LINK103"/>
            <w:r/>
            <w:bookmarkStart w:id="334" w:name="OLE_LINK102"/>
            <w:r>
              <w:rPr>
                <w:rFonts w:hint="eastAsia" w:ascii="宋体" w:hAnsi="宋体" w:cs="宋体"/>
                <w:sz w:val="24"/>
                <w:highlight w:val="none"/>
              </w:rPr>
              <w:t xml:space="preserve">1-1</w:t>
            </w:r>
            <w:r/>
          </w:p>
        </w:tc>
        <w:tc>
          <w:tcPr>
            <w:tcW w:w="1067"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投标人资格声明函</w:t>
            </w:r>
            <w:r/>
          </w:p>
        </w:tc>
        <w:tc>
          <w:tcPr>
            <w:tcW w:w="2535"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提供了符合招标文件要求的《投标人资格声明函》。</w:t>
            </w:r>
            <w:r/>
          </w:p>
        </w:tc>
        <w:tc>
          <w:tcPr>
            <w:tcW w:w="941"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格式见《投标文件格式》</w:t>
            </w:r>
            <w:r/>
          </w:p>
        </w:tc>
      </w:tr>
      <w:tr>
        <w:trPr>
          <w:cantSplit/>
          <w:jc w:val="center"/>
          <w:trHeight w:val="468"/>
        </w:trPr>
        <w:tc>
          <w:tcPr>
            <w:tcW w:w="455"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1-2</w:t>
            </w:r>
            <w:r/>
          </w:p>
        </w:tc>
        <w:tc>
          <w:tcPr>
            <w:tcW w:w="1067"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投标人信用记录</w:t>
            </w:r>
            <w:r/>
          </w:p>
        </w:tc>
        <w:tc>
          <w:tcPr>
            <w:tcW w:w="2535"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查询渠道：信用中国网站和中国政府采购网（www.creditchina.gov.cn、</w:t>
            </w:r>
            <w:r/>
          </w:p>
          <w:p>
            <w:pPr>
              <w:tabs>
                <w:tab w:val="left" w:pos="1080" w:leader="none"/>
              </w:tabs>
              <w:rPr>
                <w:highlight w:val="none"/>
              </w:rPr>
            </w:pPr>
            <w:r>
              <w:rPr>
                <w:rFonts w:hint="eastAsia" w:ascii="宋体" w:hAnsi="宋体" w:cs="宋体"/>
                <w:sz w:val="24"/>
                <w:highlight w:val="none"/>
              </w:rPr>
              <w:t xml:space="preserve">www.ccgp.gov.cn）；</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p>
        </w:tc>
        <w:tc>
          <w:tcPr>
            <w:tcW w:w="941"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无须投标人提供，由采购人查询。</w:t>
            </w:r>
            <w:bookmarkEnd w:id="330"/>
            <w:r/>
            <w:bookmarkEnd w:id="331"/>
            <w:r/>
            <w:bookmarkEnd w:id="332"/>
            <w:r/>
            <w:bookmarkEnd w:id="333"/>
            <w:r/>
            <w:bookmarkEnd w:id="334"/>
            <w:r/>
            <w:r/>
          </w:p>
        </w:tc>
      </w:tr>
      <w:tr>
        <w:trPr>
          <w:cantSplit/>
          <w:jc w:val="center"/>
          <w:trHeight w:val="468"/>
        </w:trPr>
        <w:tc>
          <w:tcPr>
            <w:tcW w:w="455"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w:t>
            </w:r>
            <w:r/>
          </w:p>
        </w:tc>
        <w:tc>
          <w:tcPr>
            <w:tcW w:w="1067"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535"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具体要求见第一章《投标邀请》</w:t>
            </w:r>
            <w:r/>
          </w:p>
        </w:tc>
        <w:tc>
          <w:tcPr>
            <w:tcW w:w="941" w:type="pct"/>
            <w:vAlign w:val="center"/>
            <w:textDirection w:val="lrTb"/>
            <w:noWrap w:val="false"/>
          </w:tcPr>
          <w:p>
            <w:pPr>
              <w:jc w:val="center"/>
              <w:tabs>
                <w:tab w:val="left" w:pos="1080" w:leader="none"/>
              </w:tabs>
              <w:rPr>
                <w:rFonts w:ascii="宋体" w:hAnsi="宋体" w:cs="宋体"/>
                <w:sz w:val="24"/>
                <w:highlight w:val="none"/>
              </w:rPr>
            </w:pPr>
            <w:r>
              <w:rPr>
                <w:rFonts w:ascii="宋体" w:hAnsi="宋体" w:cs="宋体"/>
                <w:sz w:val="24"/>
                <w:highlight w:val="none"/>
              </w:rPr>
            </w:r>
            <w:r/>
          </w:p>
        </w:tc>
      </w:tr>
      <w:tr>
        <w:trPr>
          <w:cantSplit/>
          <w:jc w:val="center"/>
          <w:trHeight w:val="468"/>
        </w:trPr>
        <w:tc>
          <w:tcPr>
            <w:tcW w:w="455"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w:t>
            </w:r>
            <w:r/>
          </w:p>
        </w:tc>
        <w:tc>
          <w:tcPr>
            <w:tcW w:w="1067"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本项目的特定资格要求</w:t>
            </w:r>
            <w:r/>
          </w:p>
        </w:tc>
        <w:tc>
          <w:tcPr>
            <w:tcW w:w="2535"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具体要求见第一章《投标邀请》</w:t>
            </w:r>
            <w:r/>
          </w:p>
        </w:tc>
        <w:tc>
          <w:tcPr>
            <w:tcW w:w="941" w:type="pct"/>
            <w:vAlign w:val="center"/>
            <w:textDirection w:val="lrTb"/>
            <w:noWrap w:val="false"/>
          </w:tcPr>
          <w:p>
            <w:pPr>
              <w:jc w:val="center"/>
              <w:tabs>
                <w:tab w:val="left" w:pos="1080" w:leader="none"/>
              </w:tabs>
              <w:rPr>
                <w:rFonts w:ascii="宋体" w:hAnsi="宋体" w:cs="宋体"/>
                <w:sz w:val="24"/>
                <w:highlight w:val="none"/>
              </w:rPr>
            </w:pPr>
            <w:r>
              <w:rPr>
                <w:rFonts w:ascii="宋体" w:hAnsi="宋体" w:cs="宋体"/>
                <w:sz w:val="24"/>
                <w:highlight w:val="none"/>
              </w:rPr>
            </w:r>
            <w:r/>
          </w:p>
        </w:tc>
      </w:tr>
      <w:tr>
        <w:trPr>
          <w:cantSplit/>
          <w:jc w:val="center"/>
          <w:trHeight w:val="460"/>
        </w:trPr>
        <w:tc>
          <w:tcPr>
            <w:tcW w:w="455" w:type="pct"/>
            <w:vAlign w:val="center"/>
            <w:textDirection w:val="lrTb"/>
            <w:noWrap w:val="false"/>
          </w:tcPr>
          <w:p>
            <w:pPr>
              <w:jc w:val="center"/>
              <w:tabs>
                <w:tab w:val="left" w:pos="1080" w:leader="none"/>
              </w:tabs>
              <w:rPr>
                <w:rFonts w:ascii="宋体" w:hAnsi="宋体" w:cs="宋体"/>
                <w:sz w:val="24"/>
                <w:highlight w:val="none"/>
              </w:rPr>
            </w:pPr>
            <w:r/>
            <w:bookmarkStart w:id="335" w:name="_Toc353873940"/>
            <w:r/>
            <w:bookmarkStart w:id="336" w:name="_Toc127151779"/>
            <w:r/>
            <w:bookmarkStart w:id="337" w:name="_Toc353825550"/>
            <w:r/>
            <w:bookmarkStart w:id="338" w:name="_Toc127161490"/>
            <w:r/>
            <w:bookmarkStart w:id="339" w:name="_Toc226965858"/>
            <w:r>
              <w:rPr>
                <w:rFonts w:hint="eastAsia" w:ascii="宋体" w:hAnsi="宋体" w:cs="宋体"/>
                <w:sz w:val="24"/>
                <w:highlight w:val="none"/>
              </w:rPr>
              <w:t xml:space="preserve">4</w:t>
            </w:r>
            <w:r/>
          </w:p>
        </w:tc>
        <w:tc>
          <w:tcPr>
            <w:tcW w:w="1067"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营业执照</w:t>
            </w:r>
            <w:r/>
          </w:p>
        </w:tc>
        <w:tc>
          <w:tcPr>
            <w:tcW w:w="2535"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有效期内的营业执照</w:t>
            </w:r>
            <w:r/>
          </w:p>
        </w:tc>
        <w:tc>
          <w:tcPr>
            <w:tcW w:w="941" w:type="pct"/>
            <w:vAlign w:val="center"/>
            <w:textDirection w:val="lrTb"/>
            <w:noWrap w:val="false"/>
          </w:tcPr>
          <w:p>
            <w:pPr>
              <w:jc w:val="center"/>
              <w:tabs>
                <w:tab w:val="left" w:pos="1080" w:leader="none"/>
              </w:tabs>
              <w:rPr>
                <w:rFonts w:ascii="宋体" w:hAnsi="宋体" w:cs="宋体"/>
                <w:sz w:val="24"/>
                <w:highlight w:val="none"/>
              </w:rPr>
            </w:pPr>
            <w:r>
              <w:rPr>
                <w:sz w:val="24"/>
                <w:highlight w:val="none"/>
              </w:rPr>
              <w:t xml:space="preserve">提供证明文件的电子件或电子证照</w:t>
            </w:r>
            <w:r>
              <w:rPr>
                <w:rFonts w:hint="eastAsia"/>
                <w:sz w:val="24"/>
                <w:highlight w:val="none"/>
              </w:rPr>
              <w:t xml:space="preserve">并</w:t>
            </w:r>
            <w:r>
              <w:rPr>
                <w:rFonts w:hint="eastAsia" w:ascii="宋体" w:hAnsi="宋体" w:cs="宋体"/>
                <w:sz w:val="24"/>
                <w:highlight w:val="none"/>
              </w:rPr>
              <w:t xml:space="preserve">加盖投标人公章</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327"/>
            <w:r/>
            <w:r/>
          </w:p>
        </w:tc>
      </w:tr>
    </w:tbl>
    <w:p>
      <w:pPr>
        <w:jc w:val="left"/>
        <w:widowControl/>
        <w:rPr>
          <w:sz w:val="24"/>
          <w:highlight w:val="none"/>
        </w:rPr>
      </w:pPr>
      <w:r>
        <w:rPr>
          <w:sz w:val="24"/>
          <w:highlight w:val="none"/>
        </w:rPr>
        <w:br w:type="page" w:clear="all"/>
      </w:r>
      <w:r/>
    </w:p>
    <w:p>
      <w:pPr>
        <w:jc w:val="center"/>
        <w:spacing w:line="360" w:lineRule="auto"/>
        <w:rPr>
          <w:b/>
          <w:sz w:val="36"/>
          <w:szCs w:val="36"/>
          <w:highlight w:val="none"/>
        </w:rPr>
        <w:outlineLvl w:val="0"/>
      </w:pPr>
      <w:r/>
      <w:bookmarkStart w:id="340" w:name="_Toc16982"/>
      <w:r>
        <w:rPr>
          <w:b/>
          <w:sz w:val="36"/>
          <w:szCs w:val="36"/>
          <w:highlight w:val="none"/>
        </w:rPr>
        <w:t xml:space="preserve">第四章   </w:t>
      </w:r>
      <w:bookmarkEnd w:id="335"/>
      <w:r/>
      <w:bookmarkEnd w:id="336"/>
      <w:r/>
      <w:bookmarkEnd w:id="337"/>
      <w:r/>
      <w:bookmarkEnd w:id="338"/>
      <w:r/>
      <w:bookmarkEnd w:id="339"/>
      <w:r/>
      <w:bookmarkStart w:id="341" w:name="_Hlt164229061"/>
      <w:r/>
      <w:bookmarkEnd w:id="341"/>
      <w:r>
        <w:rPr>
          <w:b/>
          <w:sz w:val="36"/>
          <w:szCs w:val="36"/>
          <w:highlight w:val="none"/>
        </w:rPr>
        <w:t xml:space="preserve">评标程序、评标方法和评标标准</w:t>
      </w:r>
      <w:bookmarkEnd w:id="340"/>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3"/>
        </w:numPr>
        <w:ind w:left="0" w:firstLine="480"/>
        <w:spacing w:line="400" w:lineRule="exact"/>
        <w:tabs>
          <w:tab w:val="left" w:pos="360" w:leader="none"/>
        </w:tabs>
        <w:rPr>
          <w:rFonts w:ascii="宋体" w:hAnsi="宋体" w:cs="宋体"/>
          <w:sz w:val="24"/>
          <w:highlight w:val="none"/>
        </w:rPr>
      </w:pPr>
      <w:r/>
      <w:bookmarkStart w:id="342" w:name="_Toc226965814"/>
      <w:r/>
      <w:bookmarkStart w:id="343" w:name="_Toc305158883"/>
      <w:r/>
      <w:bookmarkStart w:id="344" w:name="_Toc149720834"/>
      <w:r/>
      <w:bookmarkStart w:id="345" w:name="_Toc150509292"/>
      <w:r/>
      <w:bookmarkStart w:id="346" w:name="_Toc264969231"/>
      <w:r/>
      <w:bookmarkStart w:id="347" w:name="_Toc195842906"/>
      <w:r/>
      <w:bookmarkStart w:id="348" w:name="_Toc151190168"/>
      <w:r/>
      <w:bookmarkStart w:id="349" w:name="_Toc164608655"/>
      <w:r/>
      <w:bookmarkStart w:id="350" w:name="_Toc150774746"/>
      <w:r/>
      <w:bookmarkStart w:id="351" w:name="_Toc142311043"/>
      <w:r/>
      <w:bookmarkStart w:id="352" w:name="_Toc305158809"/>
      <w:r/>
      <w:bookmarkStart w:id="353" w:name="_Toc151193929"/>
      <w:r/>
      <w:bookmarkStart w:id="354" w:name="_Toc226965731"/>
      <w:r/>
      <w:bookmarkStart w:id="355" w:name="_Toc226309785"/>
      <w:r/>
      <w:bookmarkStart w:id="356" w:name="_Toc151193783"/>
      <w:r/>
      <w:bookmarkStart w:id="357" w:name="_Toc127161455"/>
      <w:r/>
      <w:bookmarkStart w:id="358" w:name="_Toc151193855"/>
      <w:r/>
      <w:bookmarkStart w:id="359" w:name="_Toc127151541"/>
      <w:r/>
      <w:bookmarkStart w:id="360" w:name="_Toc265228379"/>
      <w:r/>
      <w:bookmarkStart w:id="361" w:name="_Toc164229382"/>
      <w:r/>
      <w:bookmarkStart w:id="362" w:name="_Toc150774641"/>
      <w:r/>
      <w:bookmarkStart w:id="363" w:name="_Toc164608810"/>
      <w:r/>
      <w:bookmarkStart w:id="364" w:name="_Toc151193711"/>
      <w:r/>
      <w:bookmarkStart w:id="365" w:name="_Toc226337237"/>
      <w:r/>
      <w:bookmarkStart w:id="366" w:name="_Toc164229236"/>
      <w:r/>
      <w:bookmarkStart w:id="367" w:name="_Toc151193639"/>
      <w:r/>
      <w:bookmarkStart w:id="368" w:name="_Toc150480779"/>
      <w:r/>
      <w:bookmarkStart w:id="369" w:name="_Toc127151742"/>
      <w:r/>
      <w:bookmarkStart w:id="370" w:name="_Toc164351635"/>
      <w:r/>
      <w:bookmarkStart w:id="371" w:name="_Toc353873941"/>
      <w:r/>
      <w:bookmarkStart w:id="372" w:name="_Toc353825551"/>
      <w:r/>
      <w:bookmarkStart w:id="373" w:name="_Toc226337251"/>
      <w:r/>
      <w:bookmarkStart w:id="374" w:name="_Toc150774760"/>
      <w:r/>
      <w:bookmarkStart w:id="375" w:name="_Toc265228393"/>
      <w:r/>
      <w:bookmarkStart w:id="376" w:name="_Toc195842920"/>
      <w:r/>
      <w:bookmarkStart w:id="377" w:name="_Toc150480793"/>
      <w:r/>
      <w:bookmarkStart w:id="378" w:name="_Toc353873935"/>
      <w:r/>
      <w:bookmarkStart w:id="379" w:name="_Toc305158823"/>
      <w:r/>
      <w:bookmarkStart w:id="380" w:name="_Toc127151555"/>
      <w:r/>
      <w:bookmarkStart w:id="381" w:name="_Toc264969245"/>
      <w:r/>
      <w:bookmarkStart w:id="382" w:name="_Toc353873665"/>
      <w:r/>
      <w:bookmarkStart w:id="383" w:name="_Toc142311057"/>
      <w:r/>
      <w:bookmarkStart w:id="384" w:name="_Toc226965828"/>
      <w:r/>
      <w:bookmarkStart w:id="385" w:name="_Toc305158897"/>
      <w:r/>
      <w:bookmarkStart w:id="386" w:name="_Toc353825545"/>
      <w:r>
        <w:rPr>
          <w:rFonts w:hint="eastAsia" w:ascii="宋体" w:hAnsi="宋体" w:cs="宋体"/>
          <w:sz w:val="24"/>
          <w:highlight w:val="none"/>
        </w:rPr>
        <w:t xml:space="preserve">投标文件的符合性审查</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评标委员会对资格审查合格的投标人的投标文件进行符合性审查，以确定其是否满足招标文件的实质性要求。</w:t>
      </w:r>
      <w:bookmarkStart w:id="387" w:name="_Toc520356167"/>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87"/>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955"/>
        <w:tblW w:w="51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680"/>
        <w:gridCol w:w="6298"/>
      </w:tblGrid>
      <w:tr>
        <w:trPr>
          <w:jc w:val="center"/>
          <w:trHeight w:val="283"/>
          <w:tblHeader/>
        </w:trPr>
        <w:tc>
          <w:tcPr>
            <w:tcW w:w="459"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序号</w:t>
            </w:r>
            <w:r/>
          </w:p>
        </w:tc>
        <w:tc>
          <w:tcPr>
            <w:tcW w:w="956"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审查因素</w:t>
            </w:r>
            <w:r/>
          </w:p>
        </w:tc>
        <w:tc>
          <w:tcPr>
            <w:tcW w:w="3584"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审查内容</w:t>
            </w:r>
            <w:r/>
          </w:p>
        </w:tc>
      </w:tr>
      <w:tr>
        <w:trPr>
          <w:jc w:val="center"/>
          <w:trHeight w:val="283"/>
        </w:trPr>
        <w:tc>
          <w:tcPr>
            <w:tcW w:w="459" w:type="pct"/>
            <w:vAlign w:val="center"/>
            <w:textDirection w:val="lrTb"/>
            <w:noWrap w:val="false"/>
          </w:tcPr>
          <w:p>
            <w:pPr>
              <w:jc w:val="center"/>
              <w:widowControl/>
              <w:rPr>
                <w:rFonts w:ascii="宋体" w:hAnsi="宋体" w:cs="宋体"/>
                <w:sz w:val="24"/>
                <w:highlight w:val="none"/>
              </w:rPr>
            </w:pPr>
            <w:r/>
            <w:bookmarkStart w:id="388" w:name="OLE_LINK104"/>
            <w:r/>
            <w:bookmarkStart w:id="389" w:name="OLE_LINK106"/>
            <w:r/>
            <w:bookmarkStart w:id="390" w:name="_Hlk223810040"/>
            <w:r/>
            <w:bookmarkStart w:id="391" w:name="OLE_LINK105"/>
            <w:r>
              <w:rPr>
                <w:rFonts w:hint="eastAsia" w:ascii="宋体" w:hAnsi="宋体" w:cs="宋体"/>
                <w:sz w:val="24"/>
                <w:highlight w:val="none"/>
              </w:rPr>
              <w:t xml:space="preserve">1</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投标函、</w:t>
            </w:r>
            <w:r>
              <w:rPr>
                <w:rFonts w:hint="eastAsia" w:ascii="宋体" w:hAnsi="宋体" w:cs="宋体"/>
                <w:sz w:val="24"/>
                <w:highlight w:val="none"/>
              </w:rPr>
              <w:t xml:space="preserve">法定代表人资格证明书（或授权委托书）和政府采购供应商信用承诺书</w:t>
            </w:r>
            <w:r/>
          </w:p>
        </w:tc>
        <w:tc>
          <w:tcPr>
            <w:tcW w:w="3584"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按招标文件要求提供投标函、</w:t>
            </w:r>
            <w:r>
              <w:rPr>
                <w:rFonts w:hint="eastAsia" w:ascii="宋体" w:hAnsi="宋体" w:cs="宋体"/>
                <w:sz w:val="24"/>
                <w:highlight w:val="none"/>
              </w:rPr>
              <w:t xml:space="preserve">法定代表人资格证明书（或授权委托书）和政府采购供应商信用承诺书</w:t>
            </w:r>
            <w:r>
              <w:rPr>
                <w:rFonts w:hint="eastAsia" w:ascii="宋体" w:hAnsi="宋体" w:cs="宋体"/>
                <w:sz w:val="24"/>
                <w:highlight w:val="none"/>
              </w:rPr>
              <w:t xml:space="preserve">；</w:t>
            </w:r>
            <w:r>
              <w:rPr>
                <w:rFonts w:ascii="宋体" w:hAnsi="宋体"/>
                <w:b/>
                <w:bCs/>
                <w:sz w:val="24"/>
                <w:highlight w:val="none"/>
              </w:rPr>
              <w:t xml:space="preserve">格式见《投标文件格式》</w:t>
            </w:r>
            <w:r/>
          </w:p>
        </w:tc>
      </w:tr>
      <w:tr>
        <w:trPr>
          <w:jc w:val="center"/>
          <w:trHeight w:val="283"/>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投标完整性</w:t>
            </w:r>
            <w:r/>
          </w:p>
        </w:tc>
        <w:tc>
          <w:tcPr>
            <w:tcW w:w="3584"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未将一个采购包中的内容拆开投标；</w:t>
            </w:r>
            <w:r>
              <w:rPr>
                <w:rFonts w:hint="eastAsia" w:ascii="宋体" w:hAnsi="宋体"/>
                <w:b/>
                <w:bCs/>
                <w:sz w:val="24"/>
                <w:highlight w:val="none"/>
              </w:rPr>
              <w:t xml:space="preserve">（由评委审查，无需投标人提供材料）</w:t>
            </w:r>
            <w:r/>
          </w:p>
        </w:tc>
      </w:tr>
      <w:tr>
        <w:trPr>
          <w:jc w:val="center"/>
          <w:trHeight w:val="714"/>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投标报价</w:t>
            </w:r>
            <w:r/>
          </w:p>
        </w:tc>
        <w:tc>
          <w:tcPr>
            <w:tcW w:w="3584"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投标报价未</w:t>
            </w:r>
            <w:r>
              <w:rPr>
                <w:rFonts w:hint="eastAsia" w:ascii="宋体" w:hAnsi="宋体" w:cs="宋体"/>
                <w:sz w:val="24"/>
                <w:highlight w:val="none"/>
              </w:rPr>
              <w:t xml:space="preserve">超过招标文件中规定的项目/采购包预算金额或者项目/采购包最高限价</w:t>
            </w:r>
            <w:r>
              <w:rPr>
                <w:rFonts w:hint="eastAsia" w:ascii="宋体" w:hAnsi="宋体" w:cs="宋体"/>
                <w:sz w:val="24"/>
                <w:highlight w:val="none"/>
              </w:rPr>
              <w:t xml:space="preserve">；</w:t>
            </w:r>
            <w:r>
              <w:rPr>
                <w:rFonts w:hint="eastAsia" w:ascii="宋体" w:hAnsi="宋体" w:cs="宋体"/>
                <w:b/>
                <w:bCs/>
                <w:sz w:val="24"/>
                <w:highlight w:val="none"/>
              </w:rPr>
              <w:t xml:space="preserve">（</w:t>
            </w:r>
            <w:r>
              <w:rPr>
                <w:rFonts w:hint="eastAsia" w:ascii="宋体" w:hAnsi="宋体"/>
                <w:b/>
                <w:bCs/>
                <w:sz w:val="24"/>
                <w:highlight w:val="none"/>
              </w:rPr>
              <w:t xml:space="preserve">提供</w:t>
            </w:r>
            <w:r>
              <w:rPr>
                <w:rFonts w:ascii="宋体" w:hAnsi="宋体"/>
                <w:b/>
                <w:bCs/>
                <w:sz w:val="24"/>
                <w:highlight w:val="none"/>
              </w:rPr>
              <w:t xml:space="preserve">《</w:t>
            </w:r>
            <w:r>
              <w:rPr>
                <w:rFonts w:hint="eastAsia" w:ascii="宋体" w:hAnsi="宋体"/>
                <w:b/>
                <w:bCs/>
                <w:sz w:val="24"/>
                <w:highlight w:val="none"/>
              </w:rPr>
              <w:t xml:space="preserve">开标一览表</w:t>
            </w:r>
            <w:r>
              <w:rPr>
                <w:rFonts w:ascii="宋体" w:hAnsi="宋体"/>
                <w:b/>
                <w:bCs/>
                <w:sz w:val="24"/>
                <w:highlight w:val="none"/>
              </w:rPr>
              <w:t xml:space="preserve">》</w:t>
            </w:r>
            <w:r>
              <w:rPr>
                <w:rFonts w:hint="eastAsia" w:ascii="宋体" w:hAnsi="宋体"/>
                <w:b/>
                <w:bCs/>
                <w:sz w:val="24"/>
                <w:highlight w:val="none"/>
              </w:rPr>
              <w:t xml:space="preserve">、《投标分项报价表》，</w:t>
            </w:r>
            <w:r>
              <w:rPr>
                <w:rFonts w:hint="eastAsia" w:ascii="宋体" w:hAnsi="宋体"/>
                <w:b/>
                <w:bCs/>
                <w:sz w:val="24"/>
                <w:highlight w:val="none"/>
              </w:rPr>
              <w:t xml:space="preserve">格式见</w:t>
            </w:r>
            <w:r>
              <w:rPr>
                <w:rFonts w:ascii="宋体" w:hAnsi="宋体"/>
                <w:b/>
                <w:bCs/>
                <w:sz w:val="24"/>
                <w:highlight w:val="none"/>
              </w:rPr>
              <w:t xml:space="preserve">《投标文件格式》</w:t>
            </w:r>
            <w:r>
              <w:rPr>
                <w:rFonts w:hint="eastAsia" w:ascii="宋体" w:hAnsi="宋体" w:cs="宋体"/>
                <w:b/>
                <w:bCs/>
                <w:sz w:val="24"/>
                <w:highlight w:val="none"/>
              </w:rPr>
              <w:t xml:space="preserve">）</w:t>
            </w:r>
            <w:bookmarkEnd w:id="388"/>
            <w:r/>
            <w:bookmarkEnd w:id="389"/>
            <w:r/>
            <w:bookmarkEnd w:id="390"/>
            <w:r/>
            <w:bookmarkEnd w:id="391"/>
            <w:r/>
            <w:r/>
          </w:p>
        </w:tc>
      </w:tr>
      <w:tr>
        <w:trPr>
          <w:jc w:val="center"/>
          <w:trHeight w:val="283"/>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4</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报价唯一性</w:t>
            </w:r>
            <w:r/>
          </w:p>
        </w:tc>
        <w:tc>
          <w:tcPr>
            <w:tcW w:w="3584"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投标文件未</w:t>
            </w:r>
            <w:r>
              <w:rPr>
                <w:rFonts w:hint="eastAsia" w:ascii="宋体" w:hAnsi="宋体" w:cs="宋体"/>
                <w:sz w:val="24"/>
                <w:highlight w:val="none"/>
              </w:rPr>
              <w:t xml:space="preserve">出现可选择性或可调整的报价（招标文件另有规定的除外）</w:t>
            </w:r>
            <w:r>
              <w:rPr>
                <w:rFonts w:hint="eastAsia" w:ascii="宋体" w:hAnsi="宋体" w:cs="宋体"/>
                <w:sz w:val="24"/>
                <w:highlight w:val="none"/>
              </w:rPr>
              <w:t xml:space="preserve">；</w:t>
            </w:r>
            <w:r>
              <w:rPr>
                <w:rFonts w:hint="eastAsia" w:ascii="宋体" w:hAnsi="宋体"/>
                <w:b/>
                <w:bCs/>
                <w:sz w:val="24"/>
                <w:highlight w:val="none"/>
              </w:rPr>
              <w:t xml:space="preserve">（由评委审查，无需投标人提供材料）</w:t>
            </w:r>
            <w:r/>
          </w:p>
        </w:tc>
      </w:tr>
      <w:tr>
        <w:trPr>
          <w:jc w:val="center"/>
          <w:trHeight w:val="628"/>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5</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投标有效期</w:t>
            </w:r>
            <w:r/>
          </w:p>
        </w:tc>
        <w:tc>
          <w:tcPr>
            <w:tcW w:w="3584"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投标文件中承诺的投标有效期满足招标文件中载明的投标有效期的；</w:t>
            </w:r>
            <w:r>
              <w:rPr>
                <w:rFonts w:hint="eastAsia" w:ascii="宋体" w:hAnsi="宋体"/>
                <w:b/>
                <w:bCs/>
                <w:sz w:val="24"/>
                <w:highlight w:val="none"/>
              </w:rPr>
              <w:t xml:space="preserve">（由评委审查，无需投标人提供材料）</w:t>
            </w:r>
            <w:r/>
          </w:p>
        </w:tc>
      </w:tr>
      <w:tr>
        <w:trPr>
          <w:jc w:val="center"/>
          <w:trHeight w:val="283"/>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6</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签署、加盖公章</w:t>
            </w:r>
            <w:r/>
          </w:p>
        </w:tc>
        <w:tc>
          <w:tcPr>
            <w:tcW w:w="3584"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按照招标文件要求签署、加盖公章的；</w:t>
            </w:r>
            <w:r>
              <w:rPr>
                <w:rFonts w:hint="eastAsia" w:ascii="宋体" w:hAnsi="宋体"/>
                <w:b/>
                <w:bCs/>
                <w:sz w:val="24"/>
                <w:highlight w:val="none"/>
              </w:rPr>
              <w:t xml:space="preserve">（由评委审查，无需投标人提供材料）</w:t>
            </w:r>
            <w:r/>
          </w:p>
        </w:tc>
      </w:tr>
      <w:tr>
        <w:trPr>
          <w:jc w:val="center"/>
          <w:trHeight w:val="283"/>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7</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实质性格式</w:t>
            </w:r>
            <w:r/>
          </w:p>
        </w:tc>
        <w:tc>
          <w:tcPr>
            <w:tcW w:w="3584" w:type="pct"/>
            <w:vAlign w:val="center"/>
            <w:textDirection w:val="lrTb"/>
            <w:noWrap w:val="false"/>
          </w:tcPr>
          <w:p>
            <w:pPr>
              <w:widowControl/>
              <w:rPr>
                <w:rFonts w:ascii="宋体" w:hAnsi="宋体" w:cs="宋体"/>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rFonts w:hint="eastAsia"/>
                <w:b/>
                <w:bCs/>
                <w:sz w:val="24"/>
                <w:highlight w:val="none"/>
              </w:rPr>
              <w:t xml:space="preserve">（</w:t>
            </w:r>
            <w:r>
              <w:rPr>
                <w:rFonts w:hint="eastAsia" w:ascii="宋体" w:hAnsi="宋体"/>
                <w:b/>
                <w:bCs/>
                <w:sz w:val="24"/>
                <w:highlight w:val="none"/>
              </w:rPr>
              <w:t xml:space="preserve">除前面已提供的实质性格式文件以外，还需提供：合同条款偏离表，采购需求偏离表；</w:t>
            </w:r>
            <w:r>
              <w:rPr>
                <w:rFonts w:ascii="宋体" w:hAnsi="宋体"/>
                <w:b/>
                <w:bCs/>
                <w:sz w:val="24"/>
                <w:highlight w:val="none"/>
              </w:rPr>
              <w:t xml:space="preserve">格式见《投标文件格式》</w:t>
            </w:r>
            <w:r>
              <w:rPr>
                <w:rFonts w:hint="eastAsia"/>
                <w:b/>
                <w:bCs/>
                <w:sz w:val="24"/>
                <w:highlight w:val="none"/>
              </w:rPr>
              <w:t xml:space="preserve">）</w:t>
            </w:r>
            <w:r/>
          </w:p>
        </w:tc>
      </w:tr>
      <w:tr>
        <w:trPr>
          <w:jc w:val="center"/>
          <w:trHeight w:val="283"/>
        </w:trPr>
        <w:tc>
          <w:tcPr>
            <w:tcW w:w="459" w:type="pct"/>
            <w:vAlign w:val="center"/>
            <w:textDirection w:val="lrTb"/>
            <w:noWrap w:val="false"/>
          </w:tcPr>
          <w:p>
            <w:pPr>
              <w:jc w:val="center"/>
              <w:widowControl/>
              <w:rPr>
                <w:rFonts w:ascii="宋体" w:hAnsi="宋体" w:cs="宋体"/>
                <w:sz w:val="24"/>
                <w:highlight w:val="none"/>
              </w:rPr>
            </w:pPr>
            <w:r/>
            <w:bookmarkStart w:id="392" w:name="_Hlk223810043"/>
            <w:r/>
            <w:bookmarkStart w:id="393" w:name="OLE_LINK108"/>
            <w:r/>
            <w:bookmarkStart w:id="394" w:name="OLE_LINK107"/>
            <w:r>
              <w:rPr>
                <w:rFonts w:hint="eastAsia" w:ascii="宋体" w:hAnsi="宋体" w:cs="宋体"/>
                <w:sz w:val="24"/>
                <w:highlight w:val="none"/>
              </w:rPr>
              <w:t xml:space="preserve">8</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★号条款响应</w:t>
            </w:r>
            <w:r/>
          </w:p>
        </w:tc>
        <w:tc>
          <w:tcPr>
            <w:tcW w:w="3584" w:type="pct"/>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投标文件满足招标文件</w:t>
            </w:r>
            <w:r>
              <w:rPr>
                <w:rFonts w:hint="eastAsia" w:ascii="宋体" w:hAnsi="宋体" w:cs="宋体"/>
                <w:sz w:val="24"/>
                <w:highlight w:val="none"/>
              </w:rPr>
              <w:t xml:space="preserve">第五章《采购需求》</w:t>
            </w:r>
            <w:r>
              <w:rPr>
                <w:rFonts w:hint="eastAsia" w:ascii="宋体" w:hAnsi="宋体" w:cs="宋体"/>
                <w:sz w:val="24"/>
                <w:highlight w:val="none"/>
              </w:rPr>
              <w:t xml:space="preserve">中★号条款要求的；</w:t>
            </w:r>
            <w:r>
              <w:rPr>
                <w:rFonts w:hint="eastAsia" w:ascii="宋体" w:hAnsi="宋体"/>
                <w:b/>
                <w:sz w:val="24"/>
                <w:highlight w:val="none"/>
              </w:rPr>
              <w:t xml:space="preserve">如有的，根据文件列出的★号条款，按照序号逐项提供相关证明材料。</w:t>
            </w:r>
            <w:bookmarkEnd w:id="392"/>
            <w:r/>
            <w:bookmarkEnd w:id="393"/>
            <w:r/>
            <w:bookmarkEnd w:id="394"/>
            <w:r/>
            <w:r/>
          </w:p>
        </w:tc>
      </w:tr>
      <w:tr>
        <w:trPr>
          <w:jc w:val="center"/>
          <w:trHeight w:val="378"/>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9</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报价的修正（如有）</w:t>
            </w:r>
            <w:r/>
          </w:p>
        </w:tc>
        <w:tc>
          <w:tcPr>
            <w:tcW w:w="3584"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不涉及报价修正，或投标文件报价出现前后不一致时，投标人对修正后的报价予以确认；（如有）</w:t>
            </w:r>
            <w:r/>
          </w:p>
        </w:tc>
      </w:tr>
      <w:tr>
        <w:trPr>
          <w:jc w:val="center"/>
          <w:trHeight w:val="1252"/>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10</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报价合理性</w:t>
            </w:r>
            <w:r/>
          </w:p>
        </w:tc>
        <w:tc>
          <w:tcPr>
            <w:tcW w:w="3584" w:type="pct"/>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报价合理，或</w:t>
            </w:r>
            <w:r>
              <w:rPr>
                <w:rFonts w:hint="eastAsia" w:ascii="宋体" w:hAnsi="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highlight w:val="none"/>
              </w:rPr>
              <w:t xml:space="preserve">；</w:t>
            </w:r>
            <w:bookmarkStart w:id="395" w:name="OLE_LINK110"/>
            <w:r/>
            <w:bookmarkStart w:id="396" w:name="OLE_LINK111"/>
            <w:r/>
            <w:bookmarkStart w:id="397" w:name="OLE_LINK109"/>
            <w:r/>
            <w:r/>
          </w:p>
          <w:p>
            <w:pPr>
              <w:rPr>
                <w:rFonts w:hint="eastAsia" w:ascii="宋体" w:hAnsi="宋体" w:cs="宋体"/>
                <w:b/>
                <w:bCs/>
                <w:sz w:val="24"/>
                <w:highlight w:val="none"/>
              </w:rPr>
            </w:pPr>
            <w:r>
              <w:rPr>
                <w:rFonts w:hint="eastAsia" w:ascii="宋体" w:hAnsi="宋体" w:cs="宋体"/>
                <w:b/>
                <w:bCs/>
                <w:sz w:val="24"/>
                <w:highlight w:val="none"/>
              </w:rPr>
              <w:t xml:space="preserve">根据苏财购〔2026〕36号文件规定，</w:t>
            </w:r>
            <w:r>
              <w:rPr>
                <w:rFonts w:hint="eastAsia" w:ascii="宋体" w:hAnsi="宋体" w:cs="宋体"/>
                <w:b/>
                <w:bCs/>
                <w:sz w:val="24"/>
                <w:highlight w:val="none"/>
              </w:rPr>
              <w:t xml:space="preserve">评审过程中出现下列情形之一的，评审委员会应当启动异常低价投标（响应）审查程序： </w:t>
            </w:r>
            <w:r/>
          </w:p>
          <w:p>
            <w:pPr>
              <w:ind w:firstLine="480"/>
              <w:rPr>
                <w:rFonts w:hint="eastAsia" w:ascii="宋体" w:hAnsi="宋体" w:cs="宋体"/>
                <w:sz w:val="24"/>
                <w:highlight w:val="none"/>
              </w:rPr>
            </w:pPr>
            <w:r>
              <w:rPr>
                <w:rFonts w:hint="eastAsia" w:ascii="宋体" w:hAnsi="宋体" w:cs="宋体"/>
                <w:sz w:val="24"/>
                <w:highlight w:val="none"/>
              </w:rPr>
              <w:t xml:space="preserve">1.投标（响应）报价低于全部通</w:t>
            </w:r>
            <w:bookmarkEnd w:id="395"/>
            <w:r/>
            <w:bookmarkEnd w:id="396"/>
            <w:r/>
            <w:bookmarkEnd w:id="397"/>
            <w:r>
              <w:rPr>
                <w:rFonts w:hint="eastAsia" w:ascii="宋体" w:hAnsi="宋体" w:cs="宋体"/>
                <w:sz w:val="24"/>
                <w:highlight w:val="none"/>
              </w:rPr>
              <w:t xml:space="preserve">过符合性审查供应商投标（响应）报价平均值50%的，即投标（响应）报价&lt;全部通过符合性审查供应商投标（响应）报价平均值×50%；</w:t>
            </w:r>
            <w:r/>
          </w:p>
          <w:p>
            <w:pPr>
              <w:ind w:firstLine="480"/>
              <w:rPr>
                <w:rFonts w:hint="eastAsia" w:ascii="宋体" w:hAnsi="宋体" w:cs="宋体"/>
                <w:sz w:val="24"/>
                <w:highlight w:val="none"/>
              </w:rP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rPr>
                <w:rFonts w:hint="eastAsia" w:ascii="宋体" w:hAnsi="宋体" w:cs="宋体"/>
                <w:sz w:val="24"/>
                <w:highlight w:val="none"/>
              </w:rPr>
            </w:pPr>
            <w:r>
              <w:rPr>
                <w:rFonts w:hint="eastAsia" w:ascii="宋体" w:hAnsi="宋体" w:cs="宋体"/>
                <w:sz w:val="24"/>
                <w:highlight w:val="none"/>
              </w:rPr>
              <w:t xml:space="preserve">3.投标（响应）报价低于采购项目最高限价45%的，即投标（响应）报价&lt;采购项目最高限价×45%；</w:t>
            </w:r>
            <w:r/>
          </w:p>
          <w:p>
            <w:pPr>
              <w:ind w:firstLine="480"/>
              <w:rPr>
                <w:rFonts w:hint="eastAsia" w:ascii="宋体" w:hAnsi="宋体" w:cs="宋体"/>
                <w:sz w:val="24"/>
                <w:highlight w:val="none"/>
              </w:rP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rPr>
                <w:rFonts w:hint="eastAsia" w:ascii="宋体" w:hAnsi="宋体" w:cs="宋体"/>
                <w:sz w:val="24"/>
                <w:highlight w:val="none"/>
              </w:rPr>
            </w:pPr>
            <w:r>
              <w:rPr>
                <w:rFonts w:hint="eastAsia" w:ascii="宋体" w:hAnsi="宋体" w:cs="宋体"/>
                <w:sz w:val="24"/>
                <w:highlight w:val="none"/>
              </w:rPr>
              <w:t xml:space="preserve">采购人可以结合具体项目实际情况，提高上述第1项至第3项中启动异常低价投标（响应）审查的数值标准，但是最高不得超过65%。相关法律法规对供应商报价有规定的，从其规定。</w:t>
            </w:r>
            <w:r/>
          </w:p>
          <w:p>
            <w:pPr>
              <w:ind w:firstLine="480"/>
              <w:rPr>
                <w:rFonts w:hint="eastAsia" w:ascii="宋体" w:hAnsi="宋体" w:cs="宋体"/>
                <w:sz w:val="24"/>
                <w:highlight w:val="none"/>
              </w:rP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cs="宋体"/>
                <w:sz w:val="24"/>
                <w:highlight w:val="none"/>
              </w:rP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rPr>
                <w:rFonts w:ascii="宋体" w:hAnsi="宋体" w:cs="宋体"/>
                <w:sz w:val="24"/>
                <w:highlight w:val="none"/>
              </w:rPr>
            </w:pPr>
            <w:r>
              <w:rPr>
                <w:rFonts w:hint="eastAsia" w:ascii="宋体" w:hAnsi="宋体" w:cs="宋体"/>
                <w:sz w:val="24"/>
                <w:highlight w:val="none"/>
              </w:rPr>
              <w:t xml:space="preserve">异常低价投标（响应）审查的启动原因、审查意见和审查结果将在评审报告中记录，并随供应商提供的相关书面说明及证明材料，以及评审委员会有关互联网浏览、查询历史一并归档。</w:t>
            </w:r>
            <w:r/>
          </w:p>
        </w:tc>
      </w:tr>
      <w:tr>
        <w:trPr>
          <w:jc w:val="center"/>
          <w:trHeight w:val="285"/>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11</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进口产品</w:t>
            </w:r>
            <w:r/>
          </w:p>
        </w:tc>
        <w:tc>
          <w:tcPr>
            <w:tcW w:w="3584"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接受进口产品投标</w:t>
            </w:r>
            <w:r/>
          </w:p>
        </w:tc>
      </w:tr>
      <w:tr>
        <w:trPr>
          <w:jc w:val="center"/>
          <w:trHeight w:val="283"/>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12</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国家有关部门对投标人的投标产品有强制性规定或要求的</w:t>
            </w:r>
            <w:r/>
          </w:p>
        </w:tc>
        <w:tc>
          <w:tcPr>
            <w:tcW w:w="3584" w:type="pct"/>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国家有关部门对投标人的投标产品有强制性规定或要求的（如相应技术、安全、节能和环保等），</w:t>
            </w:r>
            <w:r>
              <w:rPr>
                <w:rFonts w:hint="eastAsia" w:ascii="宋体" w:hAnsi="宋体"/>
                <w:b/>
                <w:sz w:val="24"/>
                <w:highlight w:val="none"/>
              </w:rPr>
              <w:t xml:space="preserve">如有下列情形的，</w:t>
            </w:r>
            <w:r>
              <w:rPr>
                <w:rFonts w:ascii="宋体" w:hAnsi="宋体"/>
                <w:b/>
                <w:sz w:val="24"/>
                <w:highlight w:val="none"/>
              </w:rPr>
              <w:t xml:space="preserve">投标人的投标产品</w:t>
            </w:r>
            <w:r>
              <w:rPr>
                <w:rFonts w:hint="eastAsia" w:ascii="宋体" w:hAnsi="宋体"/>
                <w:b/>
                <w:sz w:val="24"/>
                <w:highlight w:val="none"/>
              </w:rPr>
              <w:t xml:space="preserve">应</w:t>
            </w:r>
            <w:r>
              <w:rPr>
                <w:rFonts w:ascii="宋体" w:hAnsi="宋体"/>
                <w:b/>
                <w:sz w:val="24"/>
                <w:highlight w:val="none"/>
              </w:rPr>
              <w:t xml:space="preserve">符合相应规定或要求</w:t>
            </w:r>
            <w:r>
              <w:rPr>
                <w:rFonts w:hint="eastAsia" w:ascii="宋体" w:hAnsi="宋体"/>
                <w:b/>
                <w:sz w:val="24"/>
                <w:highlight w:val="none"/>
              </w:rPr>
              <w:t xml:space="preserve">，并提供证明文件电子件</w:t>
            </w:r>
            <w:r>
              <w:rPr>
                <w:rFonts w:hint="eastAsia"/>
                <w:sz w:val="24"/>
                <w:highlight w:val="none"/>
              </w:rPr>
              <w:t xml:space="preserve">：</w:t>
            </w:r>
            <w:r/>
          </w:p>
          <w:p>
            <w:pPr>
              <w:widowControl/>
              <w:rPr>
                <w:rFonts w:ascii="宋体" w:hAnsi="宋体" w:cs="宋体"/>
                <w:sz w:val="24"/>
                <w:highlight w:val="none"/>
              </w:rPr>
            </w:pPr>
            <w:r>
              <w:rPr>
                <w:rFonts w:hint="eastAsia" w:ascii="宋体" w:hAnsi="宋体" w:cs="宋体"/>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widowControl/>
              <w:rPr>
                <w:rFonts w:ascii="宋体" w:hAnsi="宋体" w:cs="宋体"/>
                <w:sz w:val="24"/>
                <w:highlight w:val="none"/>
              </w:rPr>
            </w:pPr>
            <w:r>
              <w:rPr>
                <w:rFonts w:hint="eastAsia" w:ascii="宋体" w:hAnsi="宋体" w:cs="宋体"/>
                <w:sz w:val="24"/>
                <w:highlight w:val="none"/>
              </w:rPr>
              <w:t xml:space="preserve">2）投标产品如涉及计算机信息系统安全专用产品的，须提供公安部颁发的计算机信息系统安全专用产品销售许可证；</w:t>
            </w:r>
            <w:r/>
          </w:p>
          <w:p>
            <w:pPr>
              <w:widowControl/>
              <w:rPr>
                <w:rFonts w:ascii="宋体" w:hAnsi="宋体" w:cs="宋体"/>
                <w:sz w:val="24"/>
                <w:highlight w:val="none"/>
              </w:rPr>
            </w:pPr>
            <w:r>
              <w:rPr>
                <w:rFonts w:hint="eastAsia" w:ascii="宋体" w:hAnsi="宋体" w:cs="宋体"/>
                <w:sz w:val="24"/>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283"/>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13</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公平竞争</w:t>
            </w:r>
            <w:r/>
          </w:p>
        </w:tc>
        <w:tc>
          <w:tcPr>
            <w:tcW w:w="3584"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b/>
                <w:bCs/>
                <w:sz w:val="24"/>
                <w:highlight w:val="none"/>
              </w:rPr>
              <w:t xml:space="preserve">（由评委审查，无需投标人提供材料）</w:t>
            </w:r>
            <w:r/>
          </w:p>
        </w:tc>
      </w:tr>
      <w:tr>
        <w:trPr>
          <w:jc w:val="center"/>
          <w:trHeight w:val="283"/>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14</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串通投标</w:t>
            </w:r>
            <w:r/>
          </w:p>
        </w:tc>
        <w:tc>
          <w:tcPr>
            <w:tcW w:w="3584" w:type="pct"/>
            <w:vAlign w:val="center"/>
            <w:textDirection w:val="lrTb"/>
            <w:noWrap w:val="false"/>
          </w:tcPr>
          <w:p>
            <w:pPr>
              <w:widowControl/>
              <w:rPr>
                <w:rFonts w:ascii="宋体" w:hAnsi="宋体" w:cs="宋体"/>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highlight w:val="none"/>
              </w:rPr>
              <w:t xml:space="preserve">；</w:t>
            </w:r>
            <w:r>
              <w:rPr>
                <w:rFonts w:hint="eastAsia" w:ascii="宋体" w:hAnsi="宋体"/>
                <w:b/>
                <w:bCs/>
                <w:sz w:val="24"/>
                <w:highlight w:val="none"/>
              </w:rPr>
              <w:t xml:space="preserve">（由评委审查，无需投标人提供材料）</w:t>
            </w:r>
            <w:r/>
          </w:p>
        </w:tc>
      </w:tr>
      <w:tr>
        <w:trPr>
          <w:jc w:val="center"/>
          <w:trHeight w:val="283"/>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15</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附加条件</w:t>
            </w:r>
            <w:r/>
          </w:p>
        </w:tc>
        <w:tc>
          <w:tcPr>
            <w:tcW w:w="3584"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投标文件未含有采购人不能接受的附加条件的；</w:t>
            </w:r>
            <w:r>
              <w:rPr>
                <w:rFonts w:hint="eastAsia" w:ascii="宋体" w:hAnsi="宋体"/>
                <w:b/>
                <w:bCs/>
                <w:sz w:val="24"/>
                <w:highlight w:val="none"/>
              </w:rPr>
              <w:t xml:space="preserve">（由评委审查，无需投标人提供材料）</w:t>
            </w:r>
            <w:r/>
          </w:p>
        </w:tc>
      </w:tr>
      <w:tr>
        <w:trPr>
          <w:jc w:val="center"/>
          <w:trHeight w:val="283"/>
        </w:trPr>
        <w:tc>
          <w:tcPr>
            <w:tcW w:w="459"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16</w:t>
            </w:r>
            <w:r/>
          </w:p>
        </w:tc>
        <w:tc>
          <w:tcPr>
            <w:tcW w:w="956"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其他无效情形</w:t>
            </w:r>
            <w:r/>
          </w:p>
        </w:tc>
        <w:tc>
          <w:tcPr>
            <w:tcW w:w="3584"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投标人、投标文件不存在不符合法律、法规和招标文件规定的其他无效情形。</w:t>
            </w:r>
            <w:r>
              <w:rPr>
                <w:rFonts w:hint="eastAsia" w:ascii="宋体" w:hAnsi="宋体"/>
                <w:b/>
                <w:bCs/>
                <w:sz w:val="24"/>
                <w:highlight w:val="none"/>
              </w:rPr>
              <w:t xml:space="preserve">（由评委审查，无需投标人提供材料）</w:t>
            </w:r>
            <w:r/>
          </w:p>
        </w:tc>
      </w:tr>
    </w:tbl>
    <w:p>
      <w:pPr>
        <w:numPr>
          <w:ilvl w:val="0"/>
          <w:numId w:val="3"/>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投标文件有关事项的澄清或者说明</w:t>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highlight w:val="none"/>
        </w:rPr>
        <w:t xml:space="preserve">无效投标处理</w:t>
      </w:r>
      <w:r>
        <w:rPr>
          <w:rFonts w:hint="eastAsia" w:ascii="宋体" w:hAnsi="宋体" w:cs="宋体"/>
          <w:sz w:val="24"/>
          <w:highlight w:val="none"/>
        </w:rPr>
        <w:t xml:space="preserve">。</w:t>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投标文件报价出现前后不一致的，按照下列规定修正：</w:t>
      </w:r>
      <w:r/>
    </w:p>
    <w:p>
      <w:pPr>
        <w:numPr>
          <w:ilvl w:val="2"/>
          <w:numId w:val="3"/>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招标文件对于报价修正是否另有规定：</w:t>
      </w:r>
      <w:r/>
    </w:p>
    <w:p>
      <w:p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u w:val="single"/>
        </w:rPr>
      </w:pPr>
      <w:r>
        <w:rPr>
          <w:rFonts w:hint="eastAsia" w:ascii="宋体" w:hAnsi="宋体" w:cs="宋体"/>
          <w:sz w:val="24"/>
          <w:highlight w:val="none"/>
        </w:rPr>
        <w:t xml:space="preserve">□有，具体规定为：______________</w:t>
      </w:r>
      <w:r/>
    </w:p>
    <w:p>
      <w:p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■无，按下述2.4.2-2.4.7项规定修正。</w:t>
      </w:r>
      <w:r/>
    </w:p>
    <w:p>
      <w:pPr>
        <w:numPr>
          <w:ilvl w:val="2"/>
          <w:numId w:val="3"/>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单独递交的开标一览表（报价表）与投标文件中开标一览表（报价表）内容不一致的，以单独递交的开标一览表（报价表）为准；</w:t>
      </w:r>
      <w:r/>
    </w:p>
    <w:p>
      <w:pPr>
        <w:numPr>
          <w:ilvl w:val="2"/>
          <w:numId w:val="3"/>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投标文件中开标一览表（报价表）内容与投标文件中相应内容不一致的，以开标一览表（报价表）为准；</w:t>
      </w:r>
      <w:r/>
    </w:p>
    <w:p>
      <w:pPr>
        <w:numPr>
          <w:ilvl w:val="2"/>
          <w:numId w:val="3"/>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大写金额和小写金额不一致的，以大写金额为准；</w:t>
      </w:r>
      <w:r/>
    </w:p>
    <w:p>
      <w:pPr>
        <w:numPr>
          <w:ilvl w:val="2"/>
          <w:numId w:val="3"/>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单价金额小数点或者百分比有明显错位的，以开标一览表的总价为准，并修改单价；</w:t>
      </w:r>
      <w:r/>
    </w:p>
    <w:p>
      <w:pPr>
        <w:numPr>
          <w:ilvl w:val="2"/>
          <w:numId w:val="3"/>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p>
    <w:p>
      <w:pPr>
        <w:numPr>
          <w:ilvl w:val="2"/>
          <w:numId w:val="3"/>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3"/>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b/>
          <w:bCs/>
          <w:sz w:val="24"/>
          <w:highlight w:val="none"/>
          <w:u w:val="single"/>
        </w:rPr>
        <w:t xml:space="preserve">20</w:t>
      </w:r>
      <w:r>
        <w:rPr>
          <w:rFonts w:hint="eastAsia" w:ascii="宋体" w:hAnsi="宋体" w:cs="宋体"/>
          <w:b/>
          <w:bCs/>
          <w:sz w:val="24"/>
          <w:highlight w:val="none"/>
        </w:rPr>
        <w:t xml:space="preserve">%</w:t>
      </w:r>
      <w:r>
        <w:rPr>
          <w:rFonts w:hint="eastAsia" w:ascii="宋体" w:hAnsi="宋体" w:cs="宋体"/>
          <w:sz w:val="24"/>
          <w:highlight w:val="none"/>
        </w:rPr>
        <w:t xml:space="preserve">的扣除，用扣除后的价格参加评审。</w:t>
      </w:r>
      <w:r/>
    </w:p>
    <w:p>
      <w:pPr>
        <w:numPr>
          <w:ilvl w:val="2"/>
          <w:numId w:val="3"/>
        </w:numPr>
        <w:ind w:firstLine="480"/>
        <w:spacing w:line="400" w:lineRule="exact"/>
        <w:tabs>
          <w:tab w:val="left" w:pos="1080" w:leader="none"/>
          <w:tab w:val="left" w:pos="1589" w:leader="none"/>
          <w:tab w:val="left" w:pos="2035" w:leader="none"/>
        </w:tabs>
        <w:rPr>
          <w:rFonts w:ascii="宋体" w:hAnsi="宋体" w:cs="宋体"/>
          <w:sz w:val="24"/>
          <w:highlight w:val="none"/>
        </w:rPr>
      </w:pPr>
      <w:r/>
      <w:bookmarkStart w:id="398" w:name="OLE_LINK113"/>
      <w:r/>
      <w:bookmarkStart w:id="399" w:name="OLE_LINK112"/>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w:t>
      </w:r>
      <w:r>
        <w:rPr>
          <w:rFonts w:hint="eastAsia" w:ascii="宋体" w:hAnsi="宋体" w:cs="宋体"/>
          <w:sz w:val="24"/>
          <w:highlight w:val="none"/>
          <w:u w:val="single"/>
        </w:rPr>
        <w:t xml:space="preserve">3</w:t>
      </w:r>
      <w:r>
        <w:rPr>
          <w:rFonts w:hint="eastAsia" w:ascii="宋体" w:hAnsi="宋体" w:cs="宋体"/>
          <w:sz w:val="24"/>
          <w:highlight w:val="none"/>
        </w:rPr>
        <w:t xml:space="preserve">%的扣除，用扣除后的价格参加评审。</w:t>
      </w:r>
      <w:bookmarkEnd w:id="398"/>
      <w:r/>
      <w:bookmarkEnd w:id="399"/>
      <w:r/>
      <w:r/>
    </w:p>
    <w:p>
      <w:pPr>
        <w:numPr>
          <w:ilvl w:val="2"/>
          <w:numId w:val="3"/>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组成联合体或者接受分</w:t>
      </w:r>
      <w:bookmarkStart w:id="400" w:name="OLE_LINK4"/>
      <w:r/>
      <w:bookmarkStart w:id="401" w:name="OLE_LINK3"/>
      <w:r>
        <w:rPr>
          <w:rFonts w:hint="eastAsia" w:ascii="宋体" w:hAnsi="宋体" w:cs="宋体"/>
          <w:sz w:val="24"/>
          <w:highlight w:val="none"/>
        </w:rPr>
        <w:t xml:space="preserve">包的小微企</w:t>
      </w:r>
      <w:bookmarkEnd w:id="400"/>
      <w:r/>
      <w:bookmarkEnd w:id="401"/>
      <w:r>
        <w:rPr>
          <w:rFonts w:hint="eastAsia" w:ascii="宋体" w:hAnsi="宋体" w:cs="宋体"/>
          <w:sz w:val="24"/>
          <w:highlight w:val="none"/>
        </w:rPr>
        <w:t xml:space="preserve">业与联合体内其他企业、分包企业之间存在直接控股、管理关系的，不享受价格扣除优惠政策。</w:t>
      </w:r>
      <w:r/>
    </w:p>
    <w:p>
      <w:pPr>
        <w:numPr>
          <w:ilvl w:val="2"/>
          <w:numId w:val="3"/>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p>
    <w:p>
      <w:pPr>
        <w:numPr>
          <w:ilvl w:val="2"/>
          <w:numId w:val="3"/>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中小企业参加政府采购活动，应当按照招标文件给定的格式出具《中小企业声明函》，否则不得享受相关中小企业扶持政策。</w:t>
      </w:r>
      <w:r/>
    </w:p>
    <w:p>
      <w:pPr>
        <w:numPr>
          <w:ilvl w:val="2"/>
          <w:numId w:val="3"/>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3"/>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残疾人福利性单位按招标文件要求提供了《残疾人福利性单位声明函》（见附件）的，视同小微企业。</w:t>
      </w:r>
      <w:r/>
    </w:p>
    <w:p>
      <w:pPr>
        <w:numPr>
          <w:ilvl w:val="2"/>
          <w:numId w:val="3"/>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若投标人同时属于小型或微型企业、监狱企业、残疾人福利性单位中的两种及以上，将不重复享受小微企业价格扣减的优惠政策。</w:t>
      </w:r>
      <w:r/>
    </w:p>
    <w:p>
      <w:pPr>
        <w:numPr>
          <w:ilvl w:val="1"/>
          <w:numId w:val="3"/>
        </w:numPr>
        <w:ind w:left="0" w:firstLine="480"/>
        <w:spacing w:line="400" w:lineRule="exact"/>
        <w:tabs>
          <w:tab w:val="left" w:pos="1080" w:leader="none"/>
        </w:tabs>
        <w:rPr>
          <w:rFonts w:hint="eastAsia" w:ascii="宋体" w:hAnsi="宋体" w:cs="宋体"/>
          <w:sz w:val="24"/>
          <w:highlight w:val="none"/>
        </w:rPr>
      </w:pPr>
      <w:r/>
      <w:bookmarkStart w:id="402" w:name="OLE_LINK5"/>
      <w:r/>
      <w:bookmarkStart w:id="403" w:name="OLE_LINK6"/>
      <w:r>
        <w:rPr>
          <w:rFonts w:hint="eastAsia" w:ascii="宋体" w:hAnsi="宋体" w:cs="宋体"/>
          <w:sz w:val="24"/>
          <w:highlight w:val="none"/>
        </w:rPr>
        <w:t xml:space="preserve">采购本国产品的支持政策</w:t>
      </w:r>
      <w:r/>
    </w:p>
    <w:p>
      <w:pPr>
        <w:numPr>
          <w:ilvl w:val="2"/>
          <w:numId w:val="3"/>
        </w:numPr>
        <w:ind w:firstLine="480"/>
        <w:spacing w:line="40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本项目政府采购活动中既有本国产品又有非本国产品参与竞争的，依法对本国产品给予价格评审优惠，</w:t>
      </w:r>
      <w:bookmarkStart w:id="404" w:name="OLE_LINK114"/>
      <w:r>
        <w:rPr>
          <w:rFonts w:hint="eastAsia" w:ascii="宋体" w:hAnsi="宋体" w:cs="宋体"/>
          <w:sz w:val="24"/>
          <w:highlight w:val="none"/>
        </w:rPr>
        <w:t xml:space="preserve">对本国产品的报价给予</w:t>
      </w:r>
      <w:r>
        <w:rPr>
          <w:rFonts w:hint="eastAsia" w:ascii="宋体" w:hAnsi="宋体" w:cs="宋体"/>
          <w:sz w:val="24"/>
          <w:highlight w:val="none"/>
          <w:u w:val="single"/>
        </w:rPr>
        <w:t xml:space="preserve">20%</w:t>
      </w:r>
      <w:r>
        <w:rPr>
          <w:rFonts w:hint="eastAsia" w:ascii="宋体" w:hAnsi="宋体" w:cs="宋体"/>
          <w:sz w:val="24"/>
          <w:highlight w:val="none"/>
        </w:rPr>
        <w:t xml:space="preserve">的价格扣除，用扣除后的价格参与评审。</w:t>
      </w:r>
      <w:bookmarkEnd w:id="404"/>
      <w:r/>
      <w:r/>
    </w:p>
    <w:p>
      <w:pPr>
        <w:numPr>
          <w:ilvl w:val="2"/>
          <w:numId w:val="3"/>
        </w:numPr>
        <w:ind w:firstLine="480"/>
        <w:spacing w:line="40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当采购项目或者采购包中含有多种产品，供应商为该采购项目或者采购包提供的符合本国产品标准的产品</w:t>
      </w:r>
      <w:bookmarkStart w:id="405" w:name="OLE_LINK115"/>
      <w:r>
        <w:rPr>
          <w:rFonts w:hint="eastAsia" w:ascii="宋体" w:hAnsi="宋体" w:cs="宋体"/>
          <w:sz w:val="24"/>
          <w:highlight w:val="none"/>
        </w:rPr>
        <w:t xml:space="preserve">成本之和占该供应商提供的全部产品成本之和的比例达到</w:t>
      </w:r>
      <w:r>
        <w:rPr>
          <w:rFonts w:hint="eastAsia" w:ascii="宋体" w:hAnsi="宋体" w:cs="宋体"/>
          <w:sz w:val="24"/>
          <w:highlight w:val="none"/>
          <w:u w:val="single"/>
        </w:rPr>
        <w:t xml:space="preserve">80%</w:t>
      </w:r>
      <w:r>
        <w:rPr>
          <w:rFonts w:hint="eastAsia" w:ascii="宋体" w:hAnsi="宋体" w:cs="宋体"/>
          <w:sz w:val="24"/>
          <w:highlight w:val="none"/>
        </w:rPr>
        <w:t xml:space="preserve">以上时（供应商需在“第六章 投标文件格式”的“附件</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 投标分项报价表”中填写比例数值），依法对该供应商提供的全部产品给予价格评审优惠，即对该供应商提供的全部产品的总报价给予</w:t>
      </w:r>
      <w:r>
        <w:rPr>
          <w:rFonts w:hint="eastAsia" w:ascii="宋体" w:hAnsi="宋体" w:cs="宋体"/>
          <w:sz w:val="24"/>
          <w:highlight w:val="none"/>
          <w:u w:val="single"/>
        </w:rPr>
        <w:t xml:space="preserve">20%</w:t>
      </w:r>
      <w:r>
        <w:rPr>
          <w:rFonts w:hint="eastAsia" w:ascii="宋体" w:hAnsi="宋体" w:cs="宋体"/>
          <w:sz w:val="24"/>
          <w:highlight w:val="none"/>
        </w:rPr>
        <w:t xml:space="preserve">的价格扣除，</w:t>
      </w:r>
      <w:bookmarkEnd w:id="405"/>
      <w:r>
        <w:rPr>
          <w:rFonts w:hint="eastAsia" w:ascii="宋体" w:hAnsi="宋体" w:cs="宋体"/>
          <w:sz w:val="24"/>
          <w:highlight w:val="none"/>
        </w:rPr>
        <w:t xml:space="preserve">用扣除后的价格参与评审。供应商未填写比例数值，或比例数值未达到80%的，将不享受本国产品价格评审优惠。</w:t>
      </w:r>
      <w:r/>
    </w:p>
    <w:p>
      <w:pPr>
        <w:numPr>
          <w:ilvl w:val="2"/>
          <w:numId w:val="3"/>
        </w:numPr>
        <w:ind w:firstLine="480"/>
        <w:spacing w:line="40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 供应商需按照招标文件的要求提供《关于符合本国产品标准的声明函》（以下简称《声明函》），如不提供将不享受本国产品价格评审优惠。</w:t>
      </w:r>
      <w:r/>
    </w:p>
    <w:p>
      <w:pPr>
        <w:numPr>
          <w:ilvl w:val="2"/>
          <w:numId w:val="3"/>
        </w:numPr>
        <w:ind w:firstLine="480"/>
        <w:spacing w:line="40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3"/>
        </w:numPr>
        <w:ind w:firstLine="480"/>
        <w:spacing w:line="40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402"/>
      <w:r/>
      <w:bookmarkEnd w:id="403"/>
      <w:r/>
      <w:r/>
    </w:p>
    <w:p>
      <w:pPr>
        <w:numPr>
          <w:ilvl w:val="0"/>
          <w:numId w:val="3"/>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投标文件的比较和评价</w:t>
      </w:r>
      <w:bookmarkEnd w:id="371"/>
      <w:r/>
      <w:bookmarkEnd w:id="372"/>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评标方法和评标标准</w:t>
      </w:r>
      <w:r/>
    </w:p>
    <w:p>
      <w:pPr>
        <w:numPr>
          <w:ilvl w:val="2"/>
          <w:numId w:val="3"/>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本项目采用的评标方法为：</w:t>
      </w:r>
      <w:r/>
    </w:p>
    <w:p>
      <w:pPr>
        <w:ind w:firstLine="480"/>
        <w:spacing w:line="400" w:lineRule="exact"/>
        <w:tabs>
          <w:tab w:val="left" w:pos="900" w:leader="none"/>
          <w:tab w:val="left" w:pos="1589" w:leader="none"/>
          <w:tab w:val="left" w:pos="1701" w:leader="none"/>
        </w:tabs>
        <w:rPr>
          <w:rFonts w:ascii="宋体" w:hAnsi="宋体" w:cs="宋体"/>
          <w:sz w:val="24"/>
          <w:highlight w:val="none"/>
        </w:rPr>
      </w:pPr>
      <w:r>
        <w:rPr>
          <w:rFonts w:hint="eastAsia" w:ascii="宋体" w:hAnsi="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400" w:lineRule="exact"/>
        <w:tabs>
          <w:tab w:val="left" w:pos="900" w:leader="none"/>
          <w:tab w:val="left" w:pos="1589" w:leader="none"/>
          <w:tab w:val="left" w:pos="1701" w:leader="none"/>
        </w:tabs>
        <w:rPr>
          <w:rFonts w:ascii="宋体" w:hAnsi="宋体" w:cs="宋体"/>
          <w:sz w:val="24"/>
          <w:highlight w:val="none"/>
        </w:rPr>
      </w:pPr>
      <w:r>
        <w:rPr>
          <w:rFonts w:hint="eastAsia" w:ascii="宋体" w:hAnsi="宋体" w:cs="宋体"/>
          <w:sz w:val="24"/>
          <w:highlight w:val="none"/>
        </w:rPr>
        <w:t xml:space="preserve">□最低评标价法，指投标文件满足招标文件全部实质性要求，且投标报价最低的投标人为中标候选人的评标方法。</w:t>
      </w:r>
      <w:r/>
    </w:p>
    <w:p>
      <w:pPr>
        <w:numPr>
          <w:ilvl w:val="2"/>
          <w:numId w:val="3"/>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□随机抽取</w:t>
      </w:r>
      <w:r/>
    </w:p>
    <w:p>
      <w:pPr>
        <w:ind w:firstLine="480"/>
        <w:spacing w:line="400" w:lineRule="exact"/>
        <w:tabs>
          <w:tab w:val="left" w:pos="1080" w:leader="none"/>
          <w:tab w:val="left" w:pos="1589" w:leader="none"/>
          <w:tab w:val="left" w:pos="2035" w:leader="none"/>
        </w:tabs>
        <w:rPr>
          <w:rFonts w:ascii="宋体" w:hAnsi="宋体" w:cs="宋体"/>
          <w:sz w:val="24"/>
          <w:highlight w:val="none"/>
          <w:u w:val="single"/>
        </w:rPr>
      </w:pPr>
      <w:r>
        <w:rPr>
          <w:rFonts w:hint="eastAsia" w:ascii="宋体" w:hAnsi="宋体" w:cs="宋体"/>
          <w:sz w:val="24"/>
          <w:highlight w:val="none"/>
        </w:rPr>
        <w:t xml:space="preserve">□其他方式，具体要求：__/___</w:t>
      </w:r>
      <w:r/>
    </w:p>
    <w:p>
      <w:pPr>
        <w:numPr>
          <w:ilvl w:val="2"/>
          <w:numId w:val="3"/>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非政府强制采购的节能产品或环境标志产品，依据品目清单和认证证书实施政府优先采购。优先采购的具体规定（如涉及）__/___。</w:t>
      </w:r>
      <w:r/>
    </w:p>
    <w:p>
      <w:pPr>
        <w:numPr>
          <w:ilvl w:val="2"/>
          <w:numId w:val="3"/>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关于无线局域网认证产品政府采购清单中的产品，优先采购的具体规定（如涉及）__/__。</w:t>
      </w:r>
      <w:r/>
    </w:p>
    <w:p>
      <w:pPr>
        <w:numPr>
          <w:ilvl w:val="0"/>
          <w:numId w:val="3"/>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确定</w:t>
      </w:r>
      <w:bookmarkStart w:id="406" w:name="_Ref467307010"/>
      <w:r/>
      <w:bookmarkStart w:id="407" w:name="_Toc164351640"/>
      <w:r/>
      <w:bookmarkStart w:id="408" w:name="_Toc151193716"/>
      <w:r/>
      <w:bookmarkStart w:id="409" w:name="_Toc164229387"/>
      <w:r/>
      <w:bookmarkStart w:id="410" w:name="_Toc195842911"/>
      <w:r/>
      <w:bookmarkStart w:id="411" w:name="_Toc127151747"/>
      <w:r/>
      <w:bookmarkStart w:id="412" w:name="_Toc305158888"/>
      <w:r/>
      <w:bookmarkStart w:id="413" w:name="_Toc150774751"/>
      <w:r/>
      <w:bookmarkStart w:id="414" w:name="_Toc127161460"/>
      <w:r/>
      <w:bookmarkStart w:id="415" w:name="_Toc150480784"/>
      <w:r/>
      <w:bookmarkStart w:id="416" w:name="_Toc149720839"/>
      <w:r/>
      <w:bookmarkStart w:id="417" w:name="_Toc142311048"/>
      <w:r/>
      <w:bookmarkStart w:id="418" w:name="_Toc151193934"/>
      <w:r/>
      <w:bookmarkStart w:id="419" w:name="_Toc151190173"/>
      <w:r/>
      <w:bookmarkStart w:id="420" w:name="_Toc151193860"/>
      <w:r/>
      <w:bookmarkStart w:id="421" w:name="_Toc226337242"/>
      <w:r/>
      <w:bookmarkStart w:id="422" w:name="_Toc150774646"/>
      <w:r/>
      <w:bookmarkStart w:id="423" w:name="_Toc226965736"/>
      <w:r/>
      <w:bookmarkStart w:id="424" w:name="_Toc520356170"/>
      <w:r/>
      <w:bookmarkStart w:id="425" w:name="_Toc164608660"/>
      <w:r/>
      <w:bookmarkStart w:id="426" w:name="_Toc226309790"/>
      <w:r/>
      <w:bookmarkStart w:id="427" w:name="_Toc226965819"/>
      <w:r/>
      <w:bookmarkStart w:id="428" w:name="_Toc305158814"/>
      <w:r/>
      <w:bookmarkStart w:id="429" w:name="_Toc265228384"/>
      <w:r/>
      <w:bookmarkStart w:id="430" w:name="_Toc151193788"/>
      <w:r/>
      <w:bookmarkStart w:id="431" w:name="_Toc150509297"/>
      <w:r/>
      <w:bookmarkStart w:id="432" w:name="_Toc151193644"/>
      <w:r/>
      <w:bookmarkStart w:id="433" w:name="_Toc164229241"/>
      <w:r/>
      <w:bookmarkStart w:id="434" w:name="_Toc164608815"/>
      <w:r/>
      <w:bookmarkStart w:id="435" w:name="_Toc264969236"/>
      <w:r/>
      <w:bookmarkStart w:id="436" w:name="_Toc127151546"/>
      <w:r>
        <w:rPr>
          <w:rFonts w:hint="eastAsia" w:ascii="宋体" w:hAnsi="宋体" w:cs="宋体"/>
          <w:sz w:val="24"/>
          <w:highlight w:val="none"/>
        </w:rPr>
        <w:t xml:space="preserve">中标候选人名单</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66"/>
        <w:ind w:firstLine="480"/>
        <w:spacing w:line="400" w:lineRule="exact"/>
        <w:tabs>
          <w:tab w:val="left" w:pos="900" w:leader="none"/>
          <w:tab w:val="left" w:pos="2127" w:leader="none"/>
        </w:tabs>
        <w:rPr>
          <w:rFonts w:hint="default" w:hAnsi="宋体" w:cs="宋体"/>
          <w:sz w:val="24"/>
          <w:szCs w:val="24"/>
          <w:highlight w:val="none"/>
        </w:rPr>
      </w:pPr>
      <w:r>
        <w:rPr>
          <w:rFonts w:hAnsi="宋体" w:cs="宋体"/>
          <w:sz w:val="24"/>
          <w:szCs w:val="24"/>
          <w:highlight w:val="none"/>
        </w:rPr>
        <w:t xml:space="preserve">■随机抽取</w:t>
      </w:r>
      <w:r/>
    </w:p>
    <w:p>
      <w:pPr>
        <w:pStyle w:val="966"/>
        <w:ind w:firstLine="480"/>
        <w:spacing w:line="400" w:lineRule="exact"/>
        <w:tabs>
          <w:tab w:val="left" w:pos="900" w:leader="none"/>
          <w:tab w:val="left" w:pos="2127" w:leader="none"/>
        </w:tabs>
        <w:rPr>
          <w:rFonts w:hint="default" w:hAnsi="宋体" w:cs="宋体"/>
          <w:sz w:val="24"/>
          <w:szCs w:val="24"/>
          <w:highlight w:val="none"/>
        </w:rPr>
      </w:pPr>
      <w:r>
        <w:rPr>
          <w:rFonts w:hAnsi="宋体" w:cs="宋体"/>
          <w:sz w:val="24"/>
          <w:szCs w:val="24"/>
          <w:highlight w:val="none"/>
        </w:rPr>
        <w:t xml:space="preserve">□其他方式，具体要求：_____</w:t>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评标委员会要对评分汇总情况进行复核，特别是对排名第一的、报价最低的、投标或响应文件被认定为无效的情形进行重点复核。</w:t>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评标委员会将根据各投标人的评标排序，依次推荐本项目（各采购包）的中标候选人，起草并签署评标报告。本项目（各采购包）评标委员会共（各）推荐1名中标候选人。</w:t>
      </w:r>
      <w:r/>
    </w:p>
    <w:p>
      <w:pPr>
        <w:numPr>
          <w:ilvl w:val="0"/>
          <w:numId w:val="3"/>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报告违法行为</w:t>
      </w:r>
      <w:r/>
    </w:p>
    <w:p>
      <w:pPr>
        <w:numPr>
          <w:ilvl w:val="1"/>
          <w:numId w:val="3"/>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b/>
          <w:sz w:val="24"/>
          <w:highlight w:val="none"/>
        </w:rPr>
        <w:outlineLvl w:val="1"/>
      </w:pPr>
      <w:r>
        <w:rPr>
          <w:b/>
          <w:sz w:val="24"/>
          <w:highlight w:val="none"/>
        </w:rPr>
        <w:br w:type="page" w:clear="all"/>
      </w:r>
      <w:r>
        <w:rPr>
          <w:rFonts w:hint="eastAsia"/>
          <w:b/>
          <w:sz w:val="24"/>
          <w:highlight w:val="none"/>
        </w:rPr>
        <w:t xml:space="preserve">二、评标标准</w:t>
      </w:r>
      <w:r/>
    </w:p>
    <w:tbl>
      <w:tblPr>
        <w:tblStyle w:val="955"/>
        <w:tblW w:w="51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109"/>
        <w:gridCol w:w="890"/>
        <w:gridCol w:w="6017"/>
      </w:tblGrid>
      <w:tr>
        <w:trPr>
          <w:jc w:val="center"/>
          <w:trHeight w:val="386"/>
        </w:trPr>
        <w:tc>
          <w:tcPr>
            <w:tcW w:w="422" w:type="pct"/>
            <w:vAlign w:val="center"/>
            <w:textDirection w:val="lrTb"/>
            <w:noWrap w:val="false"/>
          </w:tcPr>
          <w:p>
            <w:pPr>
              <w:jc w:val="cente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633" w:type="pct"/>
            <w:vAlign w:val="center"/>
            <w:textDirection w:val="lrTb"/>
            <w:noWrap w:val="false"/>
          </w:tcPr>
          <w:p>
            <w:pPr>
              <w:jc w:val="cente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评分项目</w:t>
            </w:r>
            <w:r/>
          </w:p>
        </w:tc>
        <w:tc>
          <w:tcPr>
            <w:tcW w:w="508" w:type="pct"/>
            <w:vAlign w:val="center"/>
            <w:textDirection w:val="lrTb"/>
            <w:noWrap w:val="false"/>
          </w:tcPr>
          <w:p>
            <w:pPr>
              <w:jc w:val="cente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W w:w="3434" w:type="pct"/>
            <w:vAlign w:val="center"/>
            <w:textDirection w:val="lrTb"/>
            <w:noWrap w:val="false"/>
          </w:tcPr>
          <w:p>
            <w:pPr>
              <w:jc w:val="cente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90"/>
        </w:trPr>
        <w:tc>
          <w:tcPr>
            <w:tcW w:w="422"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bookmarkStart w:id="437" w:name="OLE_LINK391"/>
            <w:r/>
            <w:bookmarkStart w:id="438" w:name="OLE_LINK387"/>
            <w:r/>
            <w:bookmarkStart w:id="439" w:name="OLE_LINK392"/>
            <w:r/>
            <w:bookmarkStart w:id="440" w:name="OLE_LINK388"/>
            <w:r/>
            <w:bookmarkStart w:id="441" w:name="OLE_LINK389"/>
            <w:r/>
            <w:bookmarkStart w:id="442" w:name="OLE_LINK390"/>
            <w:r/>
            <w:bookmarkStart w:id="443" w:name="_Hlk223814120"/>
            <w:r>
              <w:rPr>
                <w:rFonts w:hint="eastAsia" w:ascii="宋体" w:hAnsi="宋体" w:cs="宋体"/>
                <w:color w:val="auto"/>
                <w:sz w:val="24"/>
                <w:highlight w:val="none"/>
              </w:rPr>
              <w:t xml:space="preserve">1</w:t>
            </w:r>
            <w:r/>
          </w:p>
        </w:tc>
        <w:tc>
          <w:tcPr>
            <w:tcW w:w="633"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价格分</w:t>
            </w:r>
            <w:r/>
          </w:p>
        </w:tc>
        <w:tc>
          <w:tcPr>
            <w:tcW w:w="508"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50</w:t>
            </w:r>
            <w:r/>
          </w:p>
        </w:tc>
        <w:tc>
          <w:tcPr>
            <w:tcW w:w="3434" w:type="pct"/>
            <w:vAlign w:val="center"/>
            <w:textDirection w:val="lrTb"/>
            <w:noWrap w:val="false"/>
          </w:tcPr>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满足招标文件要求且报价最低的投标报价为评标基准价，其价格分</w:t>
            </w:r>
            <w:bookmarkStart w:id="444" w:name="OLE_LINK343"/>
            <w:r/>
            <w:bookmarkStart w:id="445" w:name="OLE_LINK342"/>
            <w:r>
              <w:rPr>
                <w:rFonts w:hint="eastAsia" w:ascii="宋体" w:hAnsi="宋体" w:cs="宋体"/>
                <w:color w:val="auto"/>
                <w:sz w:val="24"/>
                <w:highlight w:val="none"/>
              </w:rPr>
              <w:t xml:space="preserve">为</w:t>
            </w:r>
            <w:bookmarkEnd w:id="444"/>
            <w:r/>
            <w:bookmarkEnd w:id="445"/>
            <w:r>
              <w:rPr>
                <w:rFonts w:hint="eastAsia" w:ascii="宋体" w:hAnsi="宋体" w:cs="宋体"/>
                <w:color w:val="auto"/>
                <w:sz w:val="24"/>
                <w:highlight w:val="none"/>
              </w:rPr>
              <w:t xml:space="preserve">满分50分。其他投标人的价格分统一按照下列公式计算（计算结果四舍五入保留两位小数）：投标报价得分=（评标基准价/投标报价）×50%×100。</w:t>
            </w:r>
            <w:r>
              <w:rPr>
                <w:rFonts w:hint="eastAsia" w:ascii="宋体" w:hAnsi="宋体" w:cs="宋体"/>
                <w:b/>
                <w:bCs/>
                <w:color w:val="auto"/>
                <w:sz w:val="24"/>
                <w:highlight w:val="none"/>
              </w:rPr>
              <w:t xml:space="preserve">此处投标报价指经过报价修正，及因落实政府采购政策进行价格调整后的报价，详见第四章《评标方法和评标标准》</w:t>
            </w:r>
            <w:bookmarkEnd w:id="437"/>
            <w:r/>
            <w:bookmarkEnd w:id="438"/>
            <w:r/>
            <w:bookmarkEnd w:id="439"/>
            <w:r/>
            <w:bookmarkEnd w:id="440"/>
            <w:r/>
            <w:bookmarkEnd w:id="441"/>
            <w:r/>
            <w:bookmarkEnd w:id="442"/>
            <w:r/>
            <w:bookmarkEnd w:id="443"/>
            <w:r/>
            <w:r/>
          </w:p>
        </w:tc>
      </w:tr>
      <w:tr>
        <w:trPr>
          <w:jc w:val="center"/>
          <w:trHeight w:val="428"/>
        </w:trPr>
        <w:tc>
          <w:tcPr>
            <w:tcW w:w="422" w:type="pct"/>
            <w:vAlign w:val="center"/>
            <w:textDirection w:val="lrTb"/>
            <w:noWrap w:val="false"/>
          </w:tcPr>
          <w:p>
            <w:pPr>
              <w:jc w:val="cente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w:t>
            </w:r>
            <w:r/>
          </w:p>
        </w:tc>
        <w:tc>
          <w:tcPr>
            <w:tcW w:w="633" w:type="pct"/>
            <w:vAlign w:val="center"/>
            <w:textDirection w:val="lrTb"/>
            <w:noWrap w:val="false"/>
          </w:tcPr>
          <w:p>
            <w:pPr>
              <w:jc w:val="cente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主观分</w:t>
            </w:r>
            <w:r/>
          </w:p>
        </w:tc>
        <w:tc>
          <w:tcPr>
            <w:tcW w:w="508" w:type="pct"/>
            <w:vAlign w:val="center"/>
            <w:textDirection w:val="lrTb"/>
            <w:noWrap w:val="false"/>
          </w:tcPr>
          <w:p>
            <w:pPr>
              <w:jc w:val="cente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23</w:t>
            </w:r>
            <w:r/>
          </w:p>
        </w:tc>
        <w:tc>
          <w:tcPr>
            <w:tcW w:w="3434" w:type="pct"/>
            <w:vAlign w:val="center"/>
            <w:textDirection w:val="lrTb"/>
            <w:noWrap w:val="false"/>
          </w:tcPr>
          <w:p>
            <w:pP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jc w:val="center"/>
          <w:trHeight w:val="90"/>
        </w:trPr>
        <w:tc>
          <w:tcPr>
            <w:tcW w:w="422"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bookmarkStart w:id="446" w:name="OLE_LINK396"/>
            <w:r/>
            <w:bookmarkStart w:id="447" w:name="_Hlk223814136"/>
            <w:r/>
            <w:bookmarkStart w:id="448" w:name="OLE_LINK397"/>
            <w:r>
              <w:rPr>
                <w:rFonts w:hint="eastAsia" w:ascii="宋体" w:hAnsi="宋体" w:cs="宋体"/>
                <w:color w:val="auto"/>
                <w:sz w:val="24"/>
                <w:highlight w:val="none"/>
              </w:rPr>
              <w:t xml:space="preserve">2.1</w:t>
            </w:r>
            <w:r/>
          </w:p>
        </w:tc>
        <w:tc>
          <w:tcPr>
            <w:tcW w:w="633"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售后服务体系和行业经验</w:t>
            </w:r>
            <w:r/>
          </w:p>
        </w:tc>
        <w:tc>
          <w:tcPr>
            <w:tcW w:w="508"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3434" w:type="pct"/>
            <w:vAlign w:val="center"/>
            <w:textDirection w:val="lrTb"/>
            <w:noWrap w:val="false"/>
          </w:tcPr>
          <w:p>
            <w:pPr>
              <w:keepLines w:val="0"/>
              <w:keepNext w:val="0"/>
              <w:pageBreakBefore w:val="0"/>
              <w:widowControl/>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评委根据投</w:t>
            </w:r>
            <w:bookmarkStart w:id="449" w:name="OLE_LINK393"/>
            <w:r/>
            <w:bookmarkStart w:id="450" w:name="OLE_LINK395"/>
            <w:r/>
            <w:bookmarkStart w:id="451" w:name="OLE_LINK394"/>
            <w:r>
              <w:rPr>
                <w:rFonts w:hint="eastAsia" w:ascii="宋体" w:hAnsi="宋体" w:cs="宋体"/>
                <w:b/>
                <w:bCs/>
                <w:color w:val="auto"/>
                <w:sz w:val="24"/>
                <w:highlight w:val="none"/>
              </w:rPr>
              <w:t xml:space="preserve">标人</w:t>
            </w:r>
            <w:r>
              <w:rPr>
                <w:rFonts w:hint="eastAsia" w:ascii="宋体" w:hAnsi="宋体" w:cs="宋体"/>
                <w:b/>
                <w:bCs/>
                <w:color w:val="auto"/>
                <w:sz w:val="24"/>
                <w:highlight w:val="none"/>
                <w:lang w:val="zh-CN"/>
              </w:rPr>
              <w:t xml:space="preserve">提供的售</w:t>
            </w:r>
            <w:bookmarkEnd w:id="449"/>
            <w:r/>
            <w:bookmarkEnd w:id="450"/>
            <w:r/>
            <w:bookmarkEnd w:id="451"/>
            <w:r>
              <w:rPr>
                <w:rFonts w:hint="eastAsia" w:ascii="宋体" w:hAnsi="宋体" w:cs="宋体"/>
                <w:b/>
                <w:bCs/>
                <w:color w:val="auto"/>
                <w:sz w:val="24"/>
                <w:highlight w:val="none"/>
                <w:lang w:val="zh-CN"/>
              </w:rPr>
              <w:t xml:space="preserve">后服务体系和行业经验进行打分：</w:t>
            </w:r>
            <w:r/>
          </w:p>
          <w:p>
            <w:pPr>
              <w:keepLines w:val="0"/>
              <w:keepNext w:val="0"/>
              <w:pageBreakBefore w:val="0"/>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投标文件中</w:t>
            </w:r>
            <w:r>
              <w:rPr>
                <w:rFonts w:hint="eastAsia" w:ascii="宋体" w:hAnsi="宋体" w:cs="宋体"/>
                <w:color w:val="auto"/>
                <w:sz w:val="24"/>
                <w:highlight w:val="none"/>
              </w:rPr>
              <w:t xml:space="preserve">提供</w:t>
            </w:r>
            <w:r>
              <w:rPr>
                <w:rFonts w:hint="eastAsia" w:ascii="宋体" w:hAnsi="宋体" w:cs="宋体"/>
                <w:color w:val="auto"/>
                <w:sz w:val="24"/>
                <w:highlight w:val="none"/>
                <w:lang w:val="zh-CN"/>
              </w:rPr>
              <w:t xml:space="preserve">完整的售后服务体系、丰富的行业经验的得</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分；投标文件中</w:t>
            </w:r>
            <w:r>
              <w:rPr>
                <w:rFonts w:hint="eastAsia" w:ascii="宋体" w:hAnsi="宋体" w:cs="宋体"/>
                <w:color w:val="auto"/>
                <w:sz w:val="24"/>
                <w:highlight w:val="none"/>
              </w:rPr>
              <w:t xml:space="preserve">对</w:t>
            </w:r>
            <w:r>
              <w:rPr>
                <w:rFonts w:hint="eastAsia" w:ascii="宋体" w:hAnsi="宋体" w:cs="宋体"/>
                <w:color w:val="auto"/>
                <w:sz w:val="24"/>
                <w:highlight w:val="none"/>
                <w:lang w:val="zh-CN"/>
              </w:rPr>
              <w:t xml:space="preserve">售后服务体系、行业经验</w:t>
            </w:r>
            <w:r>
              <w:rPr>
                <w:rFonts w:hint="eastAsia" w:ascii="宋体" w:hAnsi="宋体" w:cs="宋体"/>
                <w:color w:val="auto"/>
                <w:sz w:val="24"/>
                <w:highlight w:val="none"/>
              </w:rPr>
              <w:t xml:space="preserve">的描述比较全面</w:t>
            </w:r>
            <w:r>
              <w:rPr>
                <w:rFonts w:hint="eastAsia" w:ascii="宋体" w:hAnsi="宋体" w:cs="宋体"/>
                <w:color w:val="auto"/>
                <w:sz w:val="24"/>
                <w:highlight w:val="none"/>
                <w:lang w:val="zh-CN"/>
              </w:rPr>
              <w:t xml:space="preserve">的得1分；投标文件中</w:t>
            </w:r>
            <w:r>
              <w:rPr>
                <w:rFonts w:hint="eastAsia" w:ascii="宋体" w:hAnsi="宋体" w:cs="宋体"/>
                <w:color w:val="auto"/>
                <w:sz w:val="24"/>
                <w:highlight w:val="none"/>
              </w:rPr>
              <w:t xml:space="preserve">对</w:t>
            </w:r>
            <w:r>
              <w:rPr>
                <w:rFonts w:hint="eastAsia" w:ascii="宋体" w:hAnsi="宋体" w:cs="宋体"/>
                <w:color w:val="auto"/>
                <w:sz w:val="24"/>
                <w:highlight w:val="none"/>
                <w:lang w:val="zh-CN"/>
              </w:rPr>
              <w:t xml:space="preserve">售后服务体系、行业经验</w:t>
            </w:r>
            <w:r>
              <w:rPr>
                <w:rFonts w:hint="eastAsia" w:ascii="宋体" w:hAnsi="宋体" w:cs="宋体"/>
                <w:color w:val="auto"/>
                <w:sz w:val="24"/>
                <w:highlight w:val="none"/>
              </w:rPr>
              <w:t xml:space="preserve">的描述较简单</w:t>
            </w:r>
            <w:r>
              <w:rPr>
                <w:rFonts w:hint="eastAsia" w:ascii="宋体" w:hAnsi="宋体" w:cs="宋体"/>
                <w:color w:val="auto"/>
                <w:sz w:val="24"/>
                <w:highlight w:val="none"/>
                <w:lang w:val="zh-CN"/>
              </w:rPr>
              <w:t xml:space="preserve">的得</w:t>
            </w:r>
            <w:r>
              <w:rPr>
                <w:rFonts w:hint="eastAsia" w:ascii="宋体" w:hAnsi="宋体" w:cs="宋体"/>
                <w:color w:val="auto"/>
                <w:sz w:val="24"/>
                <w:highlight w:val="none"/>
              </w:rPr>
              <w:t xml:space="preserve">0.5</w:t>
            </w:r>
            <w:r>
              <w:rPr>
                <w:rFonts w:hint="eastAsia" w:ascii="宋体" w:hAnsi="宋体" w:cs="宋体"/>
                <w:color w:val="auto"/>
                <w:sz w:val="24"/>
                <w:highlight w:val="none"/>
                <w:lang w:val="zh-CN"/>
              </w:rPr>
              <w:t xml:space="preserve">分。</w:t>
            </w:r>
            <w:r>
              <w:rPr>
                <w:rFonts w:hint="eastAsia" w:ascii="宋体" w:hAnsi="宋体" w:cs="宋体"/>
                <w:color w:val="auto"/>
                <w:sz w:val="24"/>
                <w:highlight w:val="none"/>
              </w:rPr>
              <w:t xml:space="preserve">未</w:t>
            </w:r>
            <w:r>
              <w:rPr>
                <w:rFonts w:hint="eastAsia" w:ascii="宋体" w:hAnsi="宋体" w:cs="宋体"/>
                <w:color w:val="auto"/>
                <w:sz w:val="24"/>
                <w:highlight w:val="none"/>
                <w:lang w:val="zh-CN"/>
              </w:rPr>
              <w:t xml:space="preserve">提供</w:t>
            </w:r>
            <w:r>
              <w:rPr>
                <w:rFonts w:hint="eastAsia" w:ascii="宋体" w:hAnsi="宋体" w:cs="宋体"/>
                <w:color w:val="auto"/>
                <w:sz w:val="24"/>
                <w:highlight w:val="none"/>
              </w:rPr>
              <w:t xml:space="preserve">方案</w:t>
            </w:r>
            <w:r>
              <w:rPr>
                <w:rFonts w:hint="eastAsia" w:ascii="宋体" w:hAnsi="宋体" w:cs="宋体"/>
                <w:color w:val="auto"/>
                <w:sz w:val="24"/>
                <w:highlight w:val="none"/>
                <w:lang w:val="zh-CN"/>
              </w:rPr>
              <w:t xml:space="preserve">不得分。</w:t>
            </w:r>
            <w:bookmarkEnd w:id="446"/>
            <w:r/>
            <w:bookmarkEnd w:id="447"/>
            <w:r/>
            <w:bookmarkEnd w:id="448"/>
            <w:r/>
            <w:r/>
          </w:p>
        </w:tc>
      </w:tr>
      <w:tr>
        <w:trPr>
          <w:jc w:val="center"/>
          <w:trHeight w:val="178"/>
        </w:trPr>
        <w:tc>
          <w:tcPr>
            <w:tcW w:w="422"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2.2</w:t>
            </w:r>
            <w:r/>
          </w:p>
        </w:tc>
        <w:tc>
          <w:tcPr>
            <w:tcW w:w="633"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人员培训计划、时间地点人员等要素</w:t>
            </w:r>
            <w:r/>
          </w:p>
        </w:tc>
        <w:tc>
          <w:tcPr>
            <w:tcW w:w="508"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3434" w:type="pct"/>
            <w:vAlign w:val="center"/>
            <w:textDirection w:val="lrTb"/>
            <w:noWrap w:val="false"/>
          </w:tcPr>
          <w:p>
            <w:pPr>
              <w:keepLines w:val="0"/>
              <w:keepNext w:val="0"/>
              <w:pageBreakBefore w:val="0"/>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评委根据投标人提供的人员培训计划、时间地点人员等要素进行打分：</w:t>
            </w:r>
            <w:r/>
          </w:p>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明确培训</w:t>
            </w:r>
            <w:bookmarkStart w:id="452" w:name="OLE_LINK399"/>
            <w:r/>
            <w:bookmarkStart w:id="453" w:name="OLE_LINK398"/>
            <w:r>
              <w:rPr>
                <w:rFonts w:hint="eastAsia" w:ascii="宋体" w:hAnsi="宋体" w:cs="宋体"/>
                <w:color w:val="auto"/>
                <w:sz w:val="24"/>
                <w:highlight w:val="none"/>
              </w:rPr>
              <w:t xml:space="preserve">时间、地点、师资、课程体系、考核机制，且贴合项目实际需求的，得2分；培训计划包含核心要素，但连续性或针对性一般的，得 1 分；提供培训计划或关键要素缺失的，得0.5分；未提供方案不得分。</w:t>
            </w:r>
            <w:bookmarkEnd w:id="452"/>
            <w:r/>
            <w:bookmarkEnd w:id="453"/>
            <w:r/>
            <w:r/>
          </w:p>
        </w:tc>
      </w:tr>
      <w:tr>
        <w:trPr>
          <w:jc w:val="center"/>
          <w:trHeight w:val="178"/>
        </w:trPr>
        <w:tc>
          <w:tcPr>
            <w:tcW w:w="422"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2.3</w:t>
            </w:r>
            <w:r/>
          </w:p>
        </w:tc>
        <w:tc>
          <w:tcPr>
            <w:tcW w:w="633"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项目实施计划及验收方案</w:t>
            </w:r>
            <w:r/>
          </w:p>
        </w:tc>
        <w:tc>
          <w:tcPr>
            <w:tcW w:w="508"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3434" w:type="pct"/>
            <w:vAlign w:val="center"/>
            <w:textDirection w:val="lrTb"/>
            <w:noWrap w:val="false"/>
          </w:tcPr>
          <w:p>
            <w:pP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评委根据投标文件</w:t>
            </w:r>
            <w:bookmarkStart w:id="454" w:name="OLE_LINK401"/>
            <w:r/>
            <w:bookmarkStart w:id="455" w:name="OLE_LINK400"/>
            <w:r>
              <w:rPr>
                <w:rFonts w:hint="eastAsia" w:ascii="宋体" w:hAnsi="宋体" w:cs="宋体"/>
                <w:b/>
                <w:bCs/>
                <w:color w:val="auto"/>
                <w:sz w:val="24"/>
                <w:highlight w:val="none"/>
              </w:rPr>
              <w:t xml:space="preserve">中方案描述的完整度和合理性、供货计划和供货周期安排、项目验收方</w:t>
            </w:r>
            <w:bookmarkEnd w:id="454"/>
            <w:r/>
            <w:bookmarkEnd w:id="455"/>
            <w:r>
              <w:rPr>
                <w:rFonts w:hint="eastAsia" w:ascii="宋体" w:hAnsi="宋体" w:cs="宋体"/>
                <w:b/>
                <w:bCs/>
                <w:color w:val="auto"/>
                <w:sz w:val="24"/>
                <w:highlight w:val="none"/>
              </w:rPr>
              <w:t xml:space="preserve">案等内容进行打分：</w:t>
            </w:r>
            <w:r/>
          </w:p>
          <w:p>
            <w:pPr>
              <w:keepLines w:val="0"/>
              <w:keepNext w:val="0"/>
              <w:pageBreakBefore w:val="0"/>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完整</w:t>
            </w:r>
            <w:bookmarkStart w:id="456" w:name="OLE_LINK402"/>
            <w:r>
              <w:rPr>
                <w:rFonts w:hint="eastAsia" w:ascii="宋体" w:hAnsi="宋体" w:cs="宋体"/>
                <w:color w:val="auto"/>
                <w:sz w:val="24"/>
                <w:highlight w:val="none"/>
              </w:rPr>
              <w:t xml:space="preserve">涵盖供货计划、施工周期、进度管控、质量保障、验收流程（含验收指标、检测方法），且可操作性强的，得3分；</w:t>
            </w:r>
            <w:bookmarkEnd w:id="456"/>
            <w:r>
              <w:rPr>
                <w:rFonts w:hint="eastAsia" w:ascii="宋体" w:hAnsi="宋体" w:cs="宋体"/>
                <w:color w:val="auto"/>
                <w:sz w:val="24"/>
                <w:highlight w:val="none"/>
              </w:rPr>
              <w:t xml:space="preserve">方案要素齐全，但合理性或可行性一般的，得2分；方案核心要素缺失，或合理性、可行性不足的，得1分；未提供方案不得分。</w:t>
            </w:r>
            <w:r/>
          </w:p>
        </w:tc>
      </w:tr>
      <w:tr>
        <w:trPr>
          <w:jc w:val="center"/>
          <w:trHeight w:val="178"/>
        </w:trPr>
        <w:tc>
          <w:tcPr>
            <w:tcW w:w="422"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2.4</w:t>
            </w:r>
            <w:r/>
          </w:p>
        </w:tc>
        <w:tc>
          <w:tcPr>
            <w:tcW w:w="633"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服务承诺</w:t>
            </w:r>
            <w:r/>
          </w:p>
        </w:tc>
        <w:tc>
          <w:tcPr>
            <w:tcW w:w="508"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3434" w:type="pct"/>
            <w:vAlign w:val="center"/>
            <w:textDirection w:val="lrTb"/>
            <w:noWrap w:val="false"/>
          </w:tcPr>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根据投标人针对本项目提供的服务承诺，包括但不限于后期设备维保、耗材、易损件、主要维修部件、备品备件的供应、质保及优惠承诺等进行综合评审：</w:t>
            </w:r>
            <w:r/>
          </w:p>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按照质量保证及售后服务要求制定方案，承诺以低于市场平均价格为招标人提供售后服务，评委根据服务承诺进行综合打分：</w:t>
            </w:r>
            <w:r/>
          </w:p>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承诺内容完整（</w:t>
            </w:r>
            <w:bookmarkStart w:id="457" w:name="OLE_LINK404"/>
            <w:r/>
            <w:bookmarkStart w:id="458" w:name="OLE_LINK403"/>
            <w:r>
              <w:rPr>
                <w:rFonts w:hint="eastAsia" w:ascii="宋体" w:hAnsi="宋体" w:cs="宋体"/>
                <w:color w:val="auto"/>
                <w:sz w:val="24"/>
                <w:highlight w:val="none"/>
              </w:rPr>
              <w:t xml:space="preserve">含响应时间、维保范围、价格优惠），且低于市场平均价格，可行性高的，得3分；</w:t>
            </w:r>
            <w:bookmarkEnd w:id="457"/>
            <w:r/>
            <w:bookmarkEnd w:id="458"/>
            <w:r>
              <w:rPr>
                <w:rFonts w:hint="eastAsia" w:ascii="宋体" w:hAnsi="宋体" w:cs="宋体"/>
                <w:color w:val="auto"/>
                <w:sz w:val="24"/>
                <w:highlight w:val="none"/>
              </w:rPr>
              <w:t xml:space="preserve">承诺内容较完整，价格优惠合理，可行性一般的，得2分；承诺核心要素缺失，或可行性不足的，得1分；未提供服务承诺函不得分。</w:t>
            </w:r>
            <w:r/>
          </w:p>
          <w:p>
            <w:pPr>
              <w:keepLines w:val="0"/>
              <w:keepNext w:val="0"/>
              <w:pageBreakBefore w:val="0"/>
              <w:widowControl/>
              <w:rPr>
                <w:rFonts w:hint="eastAsia" w:ascii="宋体" w:hAnsi="宋体" w:cs="宋体"/>
                <w:b/>
                <w:color w:val="auto"/>
                <w:sz w:val="24"/>
                <w:highlight w:val="none"/>
              </w:rPr>
            </w:pPr>
            <w:r>
              <w:rPr>
                <w:rFonts w:hint="eastAsia" w:ascii="宋体" w:hAnsi="宋体" w:cs="宋体"/>
                <w:b/>
                <w:color w:val="auto"/>
                <w:sz w:val="24"/>
                <w:highlight w:val="none"/>
              </w:rPr>
              <w:t xml:space="preserve">注：电子投标文件中提供服务承诺函（格式自拟）并加盖投标人电子公章。</w:t>
            </w:r>
            <w:r/>
          </w:p>
        </w:tc>
      </w:tr>
      <w:tr>
        <w:trPr>
          <w:jc w:val="center"/>
          <w:trHeight w:val="178"/>
        </w:trPr>
        <w:tc>
          <w:tcPr>
            <w:tcW w:w="422"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2.5</w:t>
            </w:r>
            <w:r/>
          </w:p>
        </w:tc>
        <w:tc>
          <w:tcPr>
            <w:tcW w:w="633"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项目设计方案</w:t>
            </w:r>
            <w:r/>
          </w:p>
        </w:tc>
        <w:tc>
          <w:tcPr>
            <w:tcW w:w="508"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bookmarkStart w:id="459" w:name="OLE_LINK455"/>
            <w:r/>
            <w:bookmarkStart w:id="460" w:name="OLE_LINK456"/>
            <w:r>
              <w:rPr>
                <w:rFonts w:hint="eastAsia" w:ascii="宋体" w:hAnsi="宋体" w:cs="宋体"/>
                <w:color w:val="auto"/>
                <w:sz w:val="24"/>
                <w:highlight w:val="none"/>
              </w:rPr>
              <w:t xml:space="preserve">1</w:t>
            </w:r>
            <w:bookmarkEnd w:id="459"/>
            <w:r/>
            <w:bookmarkEnd w:id="460"/>
            <w:r/>
            <w:bookmarkStart w:id="461" w:name="OLE_LINK354"/>
            <w:r/>
            <w:bookmarkStart w:id="462" w:name="OLE_LINK344"/>
            <w:r>
              <w:rPr>
                <w:rFonts w:hint="eastAsia" w:ascii="宋体" w:hAnsi="宋体" w:cs="宋体"/>
                <w:color w:val="auto"/>
                <w:sz w:val="24"/>
                <w:highlight w:val="none"/>
              </w:rPr>
              <w:t xml:space="preserve">3</w:t>
            </w:r>
            <w:bookmarkEnd w:id="461"/>
            <w:r/>
            <w:bookmarkEnd w:id="462"/>
            <w:r/>
            <w:r/>
          </w:p>
        </w:tc>
        <w:tc>
          <w:tcPr>
            <w:tcW w:w="3434" w:type="pct"/>
            <w:vAlign w:val="center"/>
            <w:textDirection w:val="lrTb"/>
            <w:noWrap w:val="false"/>
          </w:tcPr>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根据投</w:t>
            </w:r>
            <w:bookmarkStart w:id="463" w:name="OLE_LINK409"/>
            <w:r/>
            <w:bookmarkStart w:id="464" w:name="OLE_LINK410"/>
            <w:r>
              <w:rPr>
                <w:rFonts w:hint="eastAsia" w:ascii="宋体" w:hAnsi="宋体" w:cs="宋体"/>
                <w:color w:val="auto"/>
                <w:sz w:val="24"/>
                <w:highlight w:val="none"/>
              </w:rPr>
              <w:t xml:space="preserve">标人提供的项目设计方案，包括但不限于设计图纸（包括10米法暗室、控制室、功放室、屏蔽房、EMS测试区等）、材料清单、室内布局等进行综合评审：</w:t>
            </w:r>
            <w:r/>
          </w:p>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方案完全贴合需求，完整合理、针对性强，得13分；</w:t>
            </w:r>
            <w:r/>
          </w:p>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方案贴合需求，较完整合理、针对性较强，得9分；</w:t>
            </w:r>
            <w:r/>
          </w:p>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方案基本满足需求，完整合理一般，有针对性，得5分；</w:t>
            </w:r>
            <w:r/>
          </w:p>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部分偏离需求，合理性欠缺的，得1分；</w:t>
            </w:r>
            <w:r/>
          </w:p>
          <w:p>
            <w:pPr>
              <w:keepLines w:val="0"/>
              <w:keepNext w:val="0"/>
              <w:pageBreakBefore w:val="0"/>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未提供设计方案或者设计方案不完整的，不得分</w:t>
            </w:r>
            <w:bookmarkEnd w:id="463"/>
            <w:r/>
            <w:bookmarkEnd w:id="464"/>
            <w:r>
              <w:rPr>
                <w:rFonts w:hint="eastAsia" w:ascii="宋体" w:hAnsi="宋体" w:cs="宋体"/>
                <w:color w:val="auto"/>
                <w:sz w:val="24"/>
                <w:highlight w:val="none"/>
              </w:rPr>
              <w:t xml:space="preserve">。</w:t>
            </w:r>
            <w:r/>
          </w:p>
        </w:tc>
      </w:tr>
      <w:tr>
        <w:trPr>
          <w:jc w:val="center"/>
          <w:trHeight w:val="428"/>
        </w:trPr>
        <w:tc>
          <w:tcPr>
            <w:tcW w:w="422" w:type="pct"/>
            <w:vAlign w:val="center"/>
            <w:textDirection w:val="lrTb"/>
            <w:noWrap w:val="false"/>
          </w:tcPr>
          <w:p>
            <w:pPr>
              <w:jc w:val="cente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w:t>
            </w:r>
            <w:r/>
          </w:p>
        </w:tc>
        <w:tc>
          <w:tcPr>
            <w:tcW w:w="633" w:type="pct"/>
            <w:vAlign w:val="center"/>
            <w:textDirection w:val="lrTb"/>
            <w:noWrap w:val="false"/>
          </w:tcPr>
          <w:p>
            <w:pPr>
              <w:jc w:val="cente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客观分</w:t>
            </w:r>
            <w:r/>
          </w:p>
        </w:tc>
        <w:tc>
          <w:tcPr>
            <w:tcW w:w="508" w:type="pct"/>
            <w:vAlign w:val="center"/>
            <w:textDirection w:val="lrTb"/>
            <w:noWrap w:val="false"/>
          </w:tcPr>
          <w:p>
            <w:pPr>
              <w:jc w:val="cente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27</w:t>
            </w:r>
            <w:r/>
          </w:p>
        </w:tc>
        <w:tc>
          <w:tcPr>
            <w:tcW w:w="3434" w:type="pct"/>
            <w:vAlign w:val="center"/>
            <w:textDirection w:val="lrTb"/>
            <w:noWrap w:val="false"/>
          </w:tcPr>
          <w:p>
            <w:pPr>
              <w:keepLines w:val="0"/>
              <w:keepNext w:val="0"/>
              <w:pageBreakBefore w:val="0"/>
              <w:widowControl/>
              <w:rPr>
                <w:rFonts w:hint="eastAsia" w:ascii="宋体" w:hAnsi="宋体" w:cs="宋体"/>
                <w:color w:val="auto"/>
                <w:spacing w:val="-4"/>
                <w:sz w:val="24"/>
                <w:highlight w:val="none"/>
              </w:rPr>
            </w:pPr>
            <w:r>
              <w:rPr>
                <w:rFonts w:hint="eastAsia" w:ascii="宋体" w:hAnsi="宋体" w:cs="宋体"/>
                <w:color w:val="auto"/>
                <w:spacing w:val="-4"/>
                <w:sz w:val="24"/>
                <w:highlight w:val="none"/>
              </w:rPr>
            </w:r>
            <w:r/>
          </w:p>
        </w:tc>
      </w:tr>
      <w:tr>
        <w:trPr>
          <w:jc w:val="center"/>
          <w:trHeight w:val="1382"/>
        </w:trPr>
        <w:tc>
          <w:tcPr>
            <w:tcW w:w="422"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3.1</w:t>
            </w:r>
            <w:r/>
          </w:p>
        </w:tc>
        <w:tc>
          <w:tcPr>
            <w:tcW w:w="633"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技术要求的符合性</w:t>
            </w:r>
            <w:r/>
          </w:p>
        </w:tc>
        <w:tc>
          <w:tcPr>
            <w:tcW w:w="508"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16</w:t>
            </w:r>
            <w:r/>
          </w:p>
        </w:tc>
        <w:tc>
          <w:tcPr>
            <w:tcW w:w="3434" w:type="pct"/>
            <w:vAlign w:val="center"/>
            <w:textDirection w:val="lrTb"/>
            <w:noWrap w:val="false"/>
          </w:tcPr>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投标人所投产品技术参数完全符合招标文件技术要求的得基本分16分。</w:t>
            </w:r>
            <w:bookmarkStart w:id="465" w:name="OLE_LINK488"/>
            <w:r/>
            <w:bookmarkStart w:id="466" w:name="OLE_LINK487"/>
            <w:r>
              <w:rPr>
                <w:rFonts w:hint="eastAsia" w:ascii="宋体" w:hAnsi="宋体" w:cs="宋体"/>
                <w:color w:val="auto"/>
                <w:sz w:val="24"/>
                <w:highlight w:val="none"/>
              </w:rPr>
              <w:t xml:space="preserve">“第五章采购需求  技术要求”中：</w:t>
            </w:r>
            <w:r/>
          </w:p>
          <w:p>
            <w:pPr>
              <w:keepLines w:val="0"/>
              <w:keepNext w:val="0"/>
              <w:pageBreakBefore w:val="0"/>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1.标注“</w:t>
            </w: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t xml:space="preserve">”项为实质性响应条款，如有负偏离，投标文件将作为无效投标处理；</w:t>
            </w:r>
            <w:r/>
          </w:p>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2.标注“▲”号的技术条款每有一项负偏离扣1.5分；未标注“▲”号的技术条款每有一项负偏</w:t>
            </w:r>
            <w:bookmarkStart w:id="467" w:name="OLE_LINK417"/>
            <w:r/>
            <w:bookmarkStart w:id="468" w:name="OLE_LINK415"/>
            <w:r/>
            <w:bookmarkStart w:id="469" w:name="OLE_LINK416"/>
            <w:r>
              <w:rPr>
                <w:rFonts w:hint="eastAsia" w:ascii="宋体" w:hAnsi="宋体" w:cs="宋体"/>
                <w:color w:val="auto"/>
                <w:sz w:val="24"/>
                <w:highlight w:val="none"/>
              </w:rPr>
              <w:t xml:space="preserve">离扣</w:t>
            </w:r>
            <w:bookmarkStart w:id="470" w:name="OLE_LINK412"/>
            <w:r/>
            <w:bookmarkStart w:id="471" w:name="OLE_LINK411"/>
            <w:r>
              <w:rPr>
                <w:rFonts w:hint="eastAsia" w:ascii="宋体" w:hAnsi="宋体" w:cs="宋体"/>
                <w:color w:val="auto"/>
                <w:sz w:val="24"/>
                <w:highlight w:val="none"/>
              </w:rPr>
              <w:t xml:space="preserve">0.</w:t>
            </w:r>
            <w:bookmarkStart w:id="472" w:name="OLE_LINK527"/>
            <w:r/>
            <w:bookmarkStart w:id="473" w:name="OLE_LINK529"/>
            <w:r/>
            <w:bookmarkStart w:id="474" w:name="OLE_LINK528"/>
            <w:r/>
            <w:bookmarkStart w:id="475" w:name="OLE_LINK525"/>
            <w:r/>
            <w:bookmarkStart w:id="476" w:name="OLE_LINK526"/>
            <w:r>
              <w:rPr>
                <w:rFonts w:hint="eastAsia" w:ascii="宋体" w:hAnsi="宋体" w:cs="宋体"/>
                <w:color w:val="auto"/>
                <w:sz w:val="24"/>
                <w:highlight w:val="none"/>
              </w:rPr>
              <w:t xml:space="preserve">5</w:t>
            </w:r>
            <w:bookmarkEnd w:id="472"/>
            <w:r/>
            <w:bookmarkEnd w:id="473"/>
            <w:r/>
            <w:bookmarkEnd w:id="474"/>
            <w:r/>
            <w:bookmarkEnd w:id="475"/>
            <w:r/>
            <w:bookmarkEnd w:id="476"/>
            <w:r>
              <w:rPr>
                <w:rFonts w:hint="eastAsia" w:ascii="宋体" w:hAnsi="宋体" w:cs="宋体"/>
                <w:color w:val="auto"/>
                <w:sz w:val="24"/>
                <w:highlight w:val="none"/>
              </w:rPr>
              <w:t xml:space="preserve">分</w:t>
            </w:r>
            <w:bookmarkEnd w:id="467"/>
            <w:r/>
            <w:bookmarkEnd w:id="468"/>
            <w:r/>
            <w:bookmarkEnd w:id="469"/>
            <w:r/>
            <w:bookmarkEnd w:id="470"/>
            <w:r/>
            <w:bookmarkEnd w:id="471"/>
            <w:r>
              <w:rPr>
                <w:rFonts w:hint="eastAsia" w:ascii="宋体" w:hAnsi="宋体" w:cs="宋体"/>
                <w:color w:val="auto"/>
                <w:sz w:val="24"/>
                <w:highlight w:val="none"/>
              </w:rPr>
              <w:t xml:space="preserve">；</w:t>
            </w:r>
            <w:bookmarkEnd w:id="465"/>
            <w:r/>
            <w:bookmarkEnd w:id="466"/>
            <w:r>
              <w:rPr>
                <w:rFonts w:hint="eastAsia" w:ascii="宋体" w:hAnsi="宋体" w:cs="宋体"/>
                <w:color w:val="auto"/>
                <w:sz w:val="24"/>
                <w:highlight w:val="none"/>
              </w:rPr>
              <w:t xml:space="preserve">扣完为止。</w:t>
            </w:r>
            <w:r/>
          </w:p>
          <w:p>
            <w:pPr>
              <w:keepLines w:val="0"/>
              <w:keepNext w:val="0"/>
              <w:pageBreakBefore w:val="0"/>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keepLines w:val="0"/>
              <w:keepNext w:val="0"/>
              <w:pageBreakBefore w:val="0"/>
              <w:rPr>
                <w:rFonts w:hint="eastAsia" w:ascii="宋体" w:hAnsi="宋体" w:cs="宋体"/>
                <w:b/>
                <w:bCs/>
                <w:color w:val="auto"/>
                <w:sz w:val="24"/>
                <w:highlight w:val="none"/>
              </w:rPr>
            </w:pPr>
            <w:r>
              <w:rPr>
                <w:rFonts w:hint="eastAsia" w:ascii="宋体" w:hAnsi="宋体" w:cs="宋体"/>
                <w:b/>
                <w:bCs/>
                <w:color w:val="auto"/>
                <w:sz w:val="24"/>
                <w:highlight w:val="none"/>
              </w:rPr>
              <w:t xml:space="preserve">①标注</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号的技术参数条款必须在投标文件格式《采购需求偏离表》中逐一列明并提供证明材料（包括但不限于彩页、计量测试报告、软件界面等正式技术支持材料）、标注证明材料对应页码。采购需求中对证明材料有要求的，以需求描述为准；</w:t>
            </w:r>
            <w:r/>
          </w:p>
          <w:p>
            <w:pPr>
              <w:keepLines w:val="0"/>
              <w:keepNext w:val="0"/>
              <w:pageBreakBefore w:val="0"/>
              <w:rPr>
                <w:rFonts w:hint="eastAsia" w:ascii="宋体" w:hAnsi="宋体" w:cs="宋体"/>
                <w:b/>
                <w:bCs/>
                <w:color w:val="auto"/>
                <w:sz w:val="24"/>
                <w:highlight w:val="none"/>
              </w:rPr>
            </w:pPr>
            <w:r>
              <w:rPr>
                <w:rFonts w:hint="eastAsia" w:ascii="宋体" w:hAnsi="宋体" w:cs="宋体"/>
                <w:b/>
                <w:bCs/>
                <w:color w:val="auto"/>
                <w:sz w:val="24"/>
                <w:highlight w:val="none"/>
              </w:rPr>
              <w:t xml:space="preserve">②未标注符号的技术参数如有偏离，必须在投标文件格式《采购需求偏离表》中列明，除偏离表所列明的偏离外，均视作投标人已对之理解和响应。</w:t>
            </w:r>
            <w:r/>
          </w:p>
          <w:p>
            <w:pPr>
              <w:keepLines w:val="0"/>
              <w:keepNext w:val="0"/>
              <w:pageBreakBefore w:val="0"/>
              <w:rPr>
                <w:rFonts w:ascii="宋体" w:hAnsi="宋体" w:cs="宋体"/>
                <w:b/>
                <w:bCs/>
                <w:color w:val="auto"/>
                <w:sz w:val="24"/>
                <w:highlight w:val="none"/>
              </w:rPr>
            </w:pPr>
            <w:r>
              <w:rPr>
                <w:rFonts w:ascii="宋体" w:hAnsi="宋体" w:cs="宋体"/>
                <w:b/>
                <w:bCs/>
                <w:color w:val="auto"/>
                <w:sz w:val="24"/>
                <w:highlight w:val="none"/>
              </w:rPr>
              <w:t xml:space="preserve">③</w:t>
            </w:r>
            <w:r>
              <w:rPr>
                <w:rFonts w:hint="eastAsia" w:ascii="宋体" w:hAnsi="宋体" w:cs="宋体"/>
                <w:b/>
                <w:bCs/>
                <w:color w:val="auto"/>
                <w:sz w:val="24"/>
                <w:highlight w:val="none"/>
              </w:rPr>
              <w:t xml:space="preserve">证明材料的有效性由评标小组综合判断是否认可</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若投标人未根据自身产品实际情况进行响应，而是简单复制粘贴招标文件中所有技术参数，可视为‌缺乏实质性内容‌或‌虚假响应‌，投标文件将作为无效投标处理。</w:t>
            </w:r>
            <w:r/>
          </w:p>
          <w:p>
            <w:pPr>
              <w:keepLines w:val="0"/>
              <w:keepNext w:val="0"/>
              <w:pageBreakBefore w:val="0"/>
              <w:rPr>
                <w:rFonts w:hint="eastAsia" w:ascii="宋体" w:hAnsi="宋体" w:cs="宋体"/>
                <w:color w:val="auto"/>
                <w:sz w:val="24"/>
                <w:highlight w:val="none"/>
              </w:rPr>
            </w:pPr>
            <w:r>
              <w:rPr>
                <w:rFonts w:hint="eastAsia" w:ascii="宋体" w:hAnsi="宋体" w:cs="宋体"/>
                <w:b/>
                <w:bCs/>
                <w:color w:val="auto"/>
                <w:sz w:val="24"/>
                <w:highlight w:val="none"/>
              </w:rPr>
              <w:t xml:space="preserve">④</w:t>
            </w:r>
            <w:r>
              <w:rPr>
                <w:rFonts w:hint="eastAsia" w:ascii="宋体" w:hAnsi="宋体" w:cs="宋体"/>
                <w:b/>
                <w:bCs/>
                <w:color w:val="auto"/>
                <w:sz w:val="24"/>
                <w:highlight w:val="none"/>
                <w:lang w:val="en-US" w:eastAsia="zh-CN"/>
              </w:rPr>
              <w:t xml:space="preserve">合同签订前中标人须按采购人要求提供相应证明材料原件（必要时提供实际应用证明）核查核验，</w:t>
            </w:r>
            <w:r>
              <w:rPr>
                <w:rFonts w:hint="eastAsia" w:ascii="宋体" w:hAnsi="宋体" w:cs="宋体"/>
                <w:b/>
                <w:bCs/>
                <w:color w:val="auto"/>
                <w:sz w:val="24"/>
                <w:highlight w:val="none"/>
              </w:rPr>
              <w:t xml:space="preserve">不能提供或与投标文件中提供的复印件不一致的</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不予签订合同</w:t>
            </w: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t xml:space="preserve">项目验收时采购人将逐条验证技术指标，如发现投标人虚假应标，采购人无条件退货并上报相关主管部门处理。</w:t>
            </w:r>
            <w:r/>
          </w:p>
        </w:tc>
      </w:tr>
      <w:tr>
        <w:trPr>
          <w:jc w:val="center"/>
          <w:trHeight w:val="428"/>
        </w:trPr>
        <w:tc>
          <w:tcPr>
            <w:tcW w:w="422"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3.2</w:t>
            </w:r>
            <w:r/>
          </w:p>
        </w:tc>
        <w:tc>
          <w:tcPr>
            <w:tcW w:w="633"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w:t>
            </w:r>
            <w:r/>
          </w:p>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业绩评价</w:t>
            </w:r>
            <w:r/>
          </w:p>
        </w:tc>
        <w:tc>
          <w:tcPr>
            <w:tcW w:w="508"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3434" w:type="pct"/>
            <w:vAlign w:val="center"/>
            <w:textDirection w:val="lrTb"/>
            <w:noWrap w:val="false"/>
          </w:tcPr>
          <w:p>
            <w:pPr>
              <w:pStyle w:val="1024"/>
              <w:jc w:val="both"/>
              <w:keepLines w:val="0"/>
              <w:keepNext w:val="0"/>
              <w:pageBreakBefore w:val="0"/>
              <w:widowControl/>
              <w:rPr>
                <w:rFonts w:hint="eastAsia" w:ascii="宋体" w:hAnsi="宋体" w:cs="宋体"/>
                <w:color w:val="auto"/>
                <w:highlight w:val="none"/>
              </w:rPr>
            </w:pPr>
            <w:r/>
            <w:bookmarkStart w:id="477" w:name="OLE_LINK418"/>
            <w:r/>
            <w:bookmarkStart w:id="478" w:name="OLE_LINK452"/>
            <w:r/>
            <w:bookmarkStart w:id="479" w:name="OLE_LINK450"/>
            <w:r/>
            <w:bookmarkStart w:id="480" w:name="OLE_LINK451"/>
            <w:r>
              <w:rPr>
                <w:rFonts w:hint="eastAsia" w:ascii="宋体" w:hAnsi="宋体" w:cs="宋体"/>
                <w:color w:val="auto"/>
                <w:highlight w:val="none"/>
              </w:rPr>
              <w:t xml:space="preserve">投标人自202</w:t>
            </w:r>
            <w:bookmarkStart w:id="481" w:name="OLE_LINK454"/>
            <w:r/>
            <w:bookmarkStart w:id="482" w:name="OLE_LINK453"/>
            <w:r>
              <w:rPr>
                <w:rFonts w:hint="eastAsia" w:ascii="宋体" w:hAnsi="宋体" w:cs="宋体"/>
                <w:color w:val="auto"/>
                <w:highlight w:val="none"/>
              </w:rPr>
              <w:t xml:space="preserve">3</w:t>
            </w:r>
            <w:bookmarkEnd w:id="481"/>
            <w:r/>
            <w:bookmarkEnd w:id="482"/>
            <w:r>
              <w:rPr>
                <w:rFonts w:hint="eastAsia" w:ascii="宋体" w:hAnsi="宋体" w:cs="宋体"/>
                <w:color w:val="auto"/>
                <w:highlight w:val="none"/>
              </w:rPr>
              <w:t xml:space="preserve">年3月1</w:t>
            </w:r>
            <w:bookmarkEnd w:id="477"/>
            <w:r>
              <w:rPr>
                <w:rFonts w:hint="eastAsia" w:ascii="宋体" w:hAnsi="宋体" w:cs="宋体"/>
                <w:color w:val="auto"/>
                <w:highlight w:val="none"/>
              </w:rPr>
              <w:t xml:space="preserve">日</w:t>
            </w:r>
            <w:bookmarkStart w:id="483" w:name="OLE_LINK423"/>
            <w:r/>
            <w:bookmarkStart w:id="484" w:name="OLE_LINK424"/>
            <w:r/>
            <w:bookmarkStart w:id="485" w:name="OLE_LINK419"/>
            <w:r/>
            <w:bookmarkStart w:id="486" w:name="OLE_LINK420"/>
            <w:r>
              <w:rPr>
                <w:rFonts w:hint="eastAsia" w:ascii="宋体" w:hAnsi="宋体" w:cs="宋体"/>
                <w:color w:val="auto"/>
                <w:highlight w:val="none"/>
              </w:rPr>
              <w:t xml:space="preserve">（以项目验收时间为准</w:t>
            </w:r>
            <w:bookmarkEnd w:id="483"/>
            <w:r/>
            <w:bookmarkEnd w:id="484"/>
            <w:r>
              <w:rPr>
                <w:rFonts w:hint="eastAsia" w:ascii="宋体" w:hAnsi="宋体" w:cs="宋体"/>
                <w:color w:val="auto"/>
                <w:highlight w:val="none"/>
              </w:rPr>
              <w:t xml:space="preserve">）</w:t>
            </w:r>
            <w:bookmarkEnd w:id="485"/>
            <w:r/>
            <w:bookmarkEnd w:id="486"/>
            <w:r>
              <w:rPr>
                <w:rFonts w:hint="eastAsia" w:ascii="宋体" w:hAnsi="宋体" w:cs="宋体"/>
                <w:color w:val="auto"/>
                <w:highlight w:val="none"/>
              </w:rPr>
              <w:t xml:space="preserve">至本项目招标公告发布之日止，</w:t>
            </w:r>
            <w:bookmarkStart w:id="487" w:name="OLE_LINK421"/>
            <w:r/>
            <w:bookmarkStart w:id="488" w:name="OLE_LINK422"/>
            <w:r>
              <w:rPr>
                <w:rFonts w:hint="eastAsia" w:ascii="宋体" w:hAnsi="宋体" w:cs="宋体"/>
                <w:color w:val="auto"/>
                <w:highlight w:val="none"/>
              </w:rPr>
              <w:t xml:space="preserve">承担过与本项目相关的业绩（合同内容必须和核心产品相关），每提供一份有效业绩证明得1分，本项最高得6分。</w:t>
            </w:r>
            <w:bookmarkEnd w:id="487"/>
            <w:r/>
            <w:bookmarkEnd w:id="488"/>
            <w:r/>
            <w:r/>
          </w:p>
          <w:p>
            <w:pPr>
              <w:keepLines w:val="0"/>
              <w:keepNext w:val="0"/>
              <w:pageBreakBefore w:val="0"/>
              <w:widowControl/>
              <w:rPr>
                <w:rFonts w:hint="eastAsia" w:ascii="宋体" w:hAnsi="宋体" w:cs="宋体"/>
                <w:b/>
                <w:color w:val="auto"/>
                <w:spacing w:val="-4"/>
                <w:sz w:val="24"/>
                <w:highlight w:val="none"/>
              </w:rPr>
            </w:pPr>
            <w:r>
              <w:rPr>
                <w:rFonts w:hint="eastAsia" w:ascii="宋体" w:hAnsi="宋体" w:cs="宋体"/>
                <w:b/>
                <w:color w:val="auto"/>
                <w:sz w:val="24"/>
                <w:highlight w:val="none"/>
              </w:rPr>
              <w:t xml:space="preserve">注：投标文件中提供上述业绩证</w:t>
            </w:r>
            <w:bookmarkEnd w:id="478"/>
            <w:r/>
            <w:bookmarkEnd w:id="479"/>
            <w:r/>
            <w:bookmarkEnd w:id="480"/>
            <w:r>
              <w:rPr>
                <w:rFonts w:hint="eastAsia" w:ascii="宋体" w:hAnsi="宋体" w:cs="宋体"/>
                <w:b/>
                <w:color w:val="auto"/>
                <w:sz w:val="24"/>
                <w:highlight w:val="none"/>
              </w:rPr>
              <w:t xml:space="preserve">明（</w:t>
            </w:r>
            <w:bookmarkStart w:id="489" w:name="OLE_LINK426"/>
            <w:r/>
            <w:bookmarkStart w:id="490" w:name="OLE_LINK429"/>
            <w:r/>
            <w:bookmarkStart w:id="491" w:name="OLE_LINK425"/>
            <w:r>
              <w:rPr>
                <w:rFonts w:hint="eastAsia" w:ascii="宋体" w:hAnsi="宋体" w:cs="宋体"/>
                <w:b/>
                <w:color w:val="auto"/>
                <w:sz w:val="24"/>
                <w:highlight w:val="none"/>
              </w:rPr>
              <w:t xml:space="preserve">合同</w:t>
            </w:r>
            <w:bookmarkEnd w:id="489"/>
            <w:r/>
            <w:bookmarkEnd w:id="490"/>
            <w:r/>
            <w:bookmarkEnd w:id="491"/>
            <w:r>
              <w:rPr>
                <w:rFonts w:hint="eastAsia" w:ascii="宋体" w:hAnsi="宋体" w:cs="宋体"/>
                <w:b/>
                <w:color w:val="auto"/>
                <w:sz w:val="24"/>
                <w:highlight w:val="none"/>
              </w:rPr>
              <w:t xml:space="preserve">及</w:t>
            </w:r>
            <w:bookmarkStart w:id="492" w:name="OLE_LINK431"/>
            <w:r/>
            <w:bookmarkStart w:id="493" w:name="OLE_LINK430"/>
            <w:r/>
            <w:bookmarkStart w:id="494" w:name="OLE_LINK432"/>
            <w:r>
              <w:rPr>
                <w:rFonts w:hint="eastAsia" w:ascii="宋体" w:hAnsi="宋体" w:cs="宋体"/>
                <w:b/>
                <w:color w:val="auto"/>
                <w:sz w:val="24"/>
                <w:highlight w:val="none"/>
              </w:rPr>
              <w:t xml:space="preserve">验收合格</w:t>
            </w:r>
            <w:bookmarkEnd w:id="492"/>
            <w:r/>
            <w:bookmarkEnd w:id="493"/>
            <w:r/>
            <w:bookmarkEnd w:id="494"/>
            <w:r>
              <w:rPr>
                <w:rFonts w:hint="eastAsia" w:ascii="宋体" w:hAnsi="宋体" w:cs="宋体"/>
                <w:b/>
                <w:color w:val="auto"/>
                <w:sz w:val="24"/>
                <w:highlight w:val="none"/>
              </w:rPr>
              <w:t xml:space="preserve">报告（或计量测试证书））复印件并加盖投标人电子公章，不能提供或提供证明材料不全不得分。中标后提供证明材料原件核查，原件与电子投标文件中提供的复印件不一致的取消其</w:t>
            </w:r>
            <w:r>
              <w:rPr>
                <w:rFonts w:hint="eastAsia" w:ascii="宋体" w:hAnsi="宋体" w:cs="宋体"/>
                <w:b/>
                <w:color w:val="auto"/>
                <w:sz w:val="24"/>
                <w:highlight w:val="none"/>
                <w:lang w:val="en-US" w:eastAsia="zh-CN"/>
              </w:rPr>
              <w:t xml:space="preserve">中标</w:t>
            </w:r>
            <w:r>
              <w:rPr>
                <w:rFonts w:hint="eastAsia" w:ascii="宋体" w:hAnsi="宋体" w:cs="宋体"/>
                <w:b/>
                <w:color w:val="auto"/>
                <w:sz w:val="24"/>
                <w:highlight w:val="none"/>
              </w:rPr>
              <w:t xml:space="preserve">资格。</w:t>
            </w:r>
            <w:r/>
          </w:p>
        </w:tc>
      </w:tr>
      <w:tr>
        <w:trPr>
          <w:jc w:val="center"/>
          <w:trHeight w:val="428"/>
        </w:trPr>
        <w:tc>
          <w:tcPr>
            <w:tcW w:w="422"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3.3</w:t>
            </w:r>
            <w:r/>
          </w:p>
        </w:tc>
        <w:tc>
          <w:tcPr>
            <w:tcW w:w="633"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质保期</w:t>
            </w:r>
            <w:r/>
          </w:p>
        </w:tc>
        <w:tc>
          <w:tcPr>
            <w:tcW w:w="508"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3434" w:type="pct"/>
            <w:vAlign w:val="center"/>
            <w:textDirection w:val="lrTb"/>
            <w:noWrap w:val="false"/>
          </w:tcPr>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投标人所投产品在质</w:t>
            </w:r>
            <w:bookmarkStart w:id="495" w:name="OLE_LINK434"/>
            <w:r/>
            <w:bookmarkStart w:id="496" w:name="OLE_LINK433"/>
            <w:r>
              <w:rPr>
                <w:rFonts w:hint="eastAsia" w:ascii="宋体" w:hAnsi="宋体" w:cs="宋体"/>
                <w:color w:val="auto"/>
                <w:sz w:val="24"/>
                <w:highlight w:val="none"/>
              </w:rPr>
              <w:t xml:space="preserve">保期1年的基础上承诺每延长一年免费质保得</w:t>
            </w:r>
            <w:bookmarkStart w:id="497" w:name="OLE_LINK534"/>
            <w:r/>
            <w:bookmarkStart w:id="498" w:name="OLE_LINK435"/>
            <w:r/>
            <w:bookmarkStart w:id="499" w:name="OLE_LINK436"/>
            <w:r>
              <w:rPr>
                <w:rFonts w:hint="eastAsia" w:ascii="宋体" w:hAnsi="宋体" w:cs="宋体"/>
                <w:color w:val="auto"/>
                <w:sz w:val="24"/>
                <w:highlight w:val="none"/>
              </w:rPr>
              <w:t xml:space="preserve">0.5</w:t>
            </w:r>
            <w:bookmarkEnd w:id="497"/>
            <w:r/>
            <w:bookmarkEnd w:id="498"/>
            <w:r/>
            <w:bookmarkEnd w:id="499"/>
            <w:r>
              <w:rPr>
                <w:rFonts w:hint="eastAsia" w:ascii="宋体" w:hAnsi="宋体" w:cs="宋体"/>
                <w:color w:val="auto"/>
                <w:sz w:val="24"/>
                <w:highlight w:val="none"/>
              </w:rPr>
              <w:t xml:space="preserve">分，本项最高得2分。</w:t>
            </w:r>
            <w:bookmarkEnd w:id="495"/>
            <w:r/>
            <w:bookmarkEnd w:id="496"/>
            <w:r/>
            <w:r/>
          </w:p>
          <w:p>
            <w:pPr>
              <w:keepLines w:val="0"/>
              <w:keepNext w:val="0"/>
              <w:pageBreakBefore w:val="0"/>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注：电子投标文件中提供承诺函（格式自拟）并加盖投标人电子公章。</w:t>
            </w:r>
            <w:r/>
          </w:p>
        </w:tc>
      </w:tr>
      <w:tr>
        <w:trPr>
          <w:jc w:val="center"/>
          <w:trHeight w:val="428"/>
        </w:trPr>
        <w:tc>
          <w:tcPr>
            <w:tcW w:w="422"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bookmarkStart w:id="500" w:name="OLE_LINK498"/>
            <w:r/>
            <w:bookmarkStart w:id="501" w:name="OLE_LINK497"/>
            <w:r/>
            <w:bookmarkStart w:id="502" w:name="_Hlk224916210"/>
            <w:r>
              <w:rPr>
                <w:rFonts w:hint="eastAsia" w:ascii="宋体" w:hAnsi="宋体" w:cs="宋体"/>
                <w:color w:val="auto"/>
                <w:sz w:val="24"/>
                <w:highlight w:val="none"/>
              </w:rPr>
              <w:t xml:space="preserve">3.4</w:t>
            </w:r>
            <w:r/>
          </w:p>
        </w:tc>
        <w:tc>
          <w:tcPr>
            <w:tcW w:w="633"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供应商资质</w:t>
            </w:r>
            <w:r/>
          </w:p>
        </w:tc>
        <w:tc>
          <w:tcPr>
            <w:tcW w:w="508" w:type="pct"/>
            <w:vAlign w:val="center"/>
            <w:textDirection w:val="lrTb"/>
            <w:noWrap w:val="false"/>
          </w:tcPr>
          <w:p>
            <w:pPr>
              <w:jc w:val="cente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3434" w:type="pct"/>
            <w:vAlign w:val="center"/>
            <w:textDirection w:val="lrTb"/>
            <w:noWrap w:val="false"/>
          </w:tcPr>
          <w:p>
            <w:pPr>
              <w:keepLines w:val="0"/>
              <w:keepNext w:val="0"/>
              <w:pageBreakBefore w:val="0"/>
              <w:widowControl/>
              <w:rPr>
                <w:rFonts w:hint="eastAsia" w:ascii="宋体" w:hAnsi="宋体" w:cs="宋体"/>
                <w:color w:val="auto"/>
                <w:sz w:val="24"/>
                <w:highlight w:val="none"/>
              </w:rPr>
            </w:pPr>
            <w:r>
              <w:rPr>
                <w:rFonts w:hint="eastAsia" w:ascii="宋体" w:hAnsi="宋体" w:cs="宋体"/>
                <w:color w:val="auto"/>
                <w:sz w:val="24"/>
                <w:highlight w:val="none"/>
              </w:rPr>
              <w:t xml:space="preserve">1、质量管理体</w:t>
            </w:r>
            <w:bookmarkStart w:id="503" w:name="OLE_LINK491"/>
            <w:r>
              <w:rPr>
                <w:rFonts w:hint="eastAsia" w:ascii="宋体" w:hAnsi="宋体" w:cs="宋体"/>
                <w:color w:val="auto"/>
                <w:sz w:val="24"/>
                <w:highlight w:val="none"/>
              </w:rPr>
              <w:t xml:space="preserve">系认证：</w:t>
            </w:r>
            <w:bookmarkStart w:id="504" w:name="OLE_LINK444"/>
            <w:r/>
            <w:bookmarkStart w:id="505" w:name="OLE_LINK445"/>
            <w:r>
              <w:rPr>
                <w:rFonts w:hint="eastAsia" w:ascii="宋体" w:hAnsi="宋体" w:cs="宋体"/>
                <w:color w:val="auto"/>
                <w:sz w:val="24"/>
                <w:highlight w:val="none"/>
              </w:rPr>
              <w:t xml:space="preserve">投标人具备经中国国家认证认可监督管理委员会认证机构颁发的在有效期内的 ISO9001 质量管理体系认证证</w:t>
            </w:r>
            <w:bookmarkEnd w:id="503"/>
            <w:r>
              <w:rPr>
                <w:rFonts w:hint="eastAsia" w:ascii="宋体" w:hAnsi="宋体" w:cs="宋体"/>
                <w:color w:val="auto"/>
                <w:sz w:val="24"/>
                <w:highlight w:val="none"/>
              </w:rPr>
              <w:t xml:space="preserve">书得2分；</w:t>
            </w:r>
            <w:bookmarkEnd w:id="504"/>
            <w:r/>
            <w:bookmarkEnd w:id="505"/>
            <w:r>
              <w:rPr>
                <w:rFonts w:hint="eastAsia" w:ascii="宋体" w:hAnsi="宋体" w:cs="宋体"/>
                <w:color w:val="auto"/>
                <w:sz w:val="24"/>
                <w:highlight w:val="none"/>
              </w:rPr>
              <w:t xml:space="preserve">投标文件中提供证书复印件及国家认证认可监督管理委员会网站查询截图，加盖电子公章。</w:t>
            </w:r>
            <w:r/>
          </w:p>
          <w:p>
            <w:pPr>
              <w:keepLines w:val="0"/>
              <w:keepNext w:val="0"/>
              <w:pageBreakBefore w:val="0"/>
              <w:widowControl/>
              <w:rPr>
                <w:rFonts w:ascii="宋体" w:hAnsi="宋体" w:cs="宋体"/>
                <w:color w:val="auto"/>
                <w:sz w:val="24"/>
                <w:highlight w:val="none"/>
              </w:rPr>
            </w:pPr>
            <w:r>
              <w:rPr>
                <w:rFonts w:hint="eastAsia" w:ascii="宋体" w:hAnsi="宋体" w:cs="宋体"/>
                <w:color w:val="auto"/>
                <w:sz w:val="24"/>
                <w:highlight w:val="none"/>
              </w:rPr>
              <w:t xml:space="preserve">2、</w:t>
            </w:r>
            <w:bookmarkStart w:id="506" w:name="OLE_LINK447"/>
            <w:r/>
            <w:bookmarkStart w:id="507" w:name="OLE_LINK446"/>
            <w:r>
              <w:rPr>
                <w:rFonts w:hint="eastAsia" w:ascii="宋体" w:hAnsi="宋体" w:cs="宋体"/>
                <w:color w:val="auto"/>
                <w:sz w:val="24"/>
                <w:highlight w:val="none"/>
              </w:rPr>
              <w:t xml:space="preserve">投标人团队人员具备</w:t>
            </w:r>
            <w:bookmarkEnd w:id="506"/>
            <w:r/>
            <w:bookmarkEnd w:id="507"/>
            <w:r/>
            <w:bookmarkStart w:id="508" w:name="OLE_LINK458"/>
            <w:r/>
            <w:bookmarkStart w:id="509" w:name="OLE_LINK457"/>
            <w:r>
              <w:rPr>
                <w:rFonts w:hint="eastAsia" w:ascii="宋体" w:hAnsi="宋体" w:cs="宋体"/>
                <w:color w:val="auto"/>
                <w:sz w:val="24"/>
                <w:highlight w:val="none"/>
              </w:rPr>
              <w:t xml:space="preserve">注册安全工程师资质</w:t>
            </w:r>
            <w:bookmarkEnd w:id="508"/>
            <w:r/>
            <w:bookmarkEnd w:id="509"/>
            <w:r>
              <w:rPr>
                <w:rFonts w:hint="eastAsia" w:ascii="宋体" w:hAnsi="宋体" w:cs="宋体"/>
                <w:color w:val="auto"/>
                <w:sz w:val="24"/>
                <w:highlight w:val="none"/>
              </w:rPr>
              <w:t xml:space="preserve">的得1分。投标文件中须提供资质证书扫描件及劳动合同并加盖电子公章。</w:t>
            </w:r>
            <w:r/>
          </w:p>
          <w:p>
            <w:pPr>
              <w:keepLines w:val="0"/>
              <w:keepNext w:val="0"/>
              <w:pageBreakBefore w:val="0"/>
              <w:widowControl/>
              <w:rPr>
                <w:rFonts w:hint="eastAsia" w:ascii="宋体" w:hAnsi="宋体" w:cs="宋体"/>
                <w:b/>
                <w:bCs/>
                <w:color w:val="auto"/>
                <w:sz w:val="24"/>
                <w:highlight w:val="none"/>
              </w:rPr>
            </w:pPr>
            <w:r/>
            <w:bookmarkStart w:id="510" w:name="OLE_LINK459"/>
            <w:r/>
            <w:bookmarkStart w:id="511" w:name="OLE_LINK460"/>
            <w:r>
              <w:rPr>
                <w:rFonts w:hint="eastAsia" w:ascii="宋体" w:hAnsi="宋体" w:cs="宋体"/>
                <w:b/>
                <w:bCs/>
                <w:color w:val="auto"/>
                <w:sz w:val="24"/>
                <w:highlight w:val="none"/>
              </w:rPr>
              <w:t xml:space="preserve">注：</w:t>
            </w:r>
            <w:bookmarkStart w:id="512" w:name="OLE_LINK448"/>
            <w:r/>
            <w:bookmarkStart w:id="513" w:name="OLE_LINK449"/>
            <w:r>
              <w:rPr>
                <w:rFonts w:hint="eastAsia" w:ascii="宋体" w:hAnsi="宋体" w:cs="宋体"/>
                <w:b/>
                <w:bCs/>
                <w:color w:val="auto"/>
                <w:sz w:val="24"/>
                <w:highlight w:val="none"/>
              </w:rPr>
              <w:t xml:space="preserve">中标人签订合同时须携带上述材料原件核查，不能提供或与投标文件中提供的复印件不一致的取消其成交资格。</w:t>
            </w:r>
            <w:bookmarkEnd w:id="510"/>
            <w:r/>
            <w:bookmarkEnd w:id="511"/>
            <w:r/>
            <w:bookmarkEnd w:id="512"/>
            <w:r/>
            <w:bookmarkEnd w:id="513"/>
            <w:r/>
            <w:bookmarkEnd w:id="500"/>
            <w:r/>
            <w:bookmarkEnd w:id="501"/>
            <w:r/>
            <w:bookmarkEnd w:id="502"/>
            <w:r/>
            <w:r/>
          </w:p>
        </w:tc>
      </w:tr>
    </w:tbl>
    <w:p>
      <w:pPr>
        <w:ind w:firstLine="482"/>
        <w:jc w:val="left"/>
        <w:spacing w:line="360" w:lineRule="exact"/>
        <w:widowControl/>
        <w:rPr>
          <w:rFonts w:hint="eastAsia" w:ascii="宋体" w:hAnsi="宋体" w:cs="宋体"/>
          <w:b/>
          <w:sz w:val="24"/>
          <w:highlight w:val="none"/>
        </w:rPr>
      </w:pPr>
      <w:r>
        <w:rPr>
          <w:rFonts w:hint="eastAsia" w:ascii="宋体" w:hAnsi="宋体" w:cs="宋体"/>
          <w:b/>
          <w:sz w:val="24"/>
          <w:highlight w:val="none"/>
        </w:rPr>
        <w:t xml:space="preserve">注：</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1.评分细则中要求提供的证明文件及资料等在投标文件中提供电子扫描件，并加盖电子签章。</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2.评审时，未能按以上要求提供相应证明的，不作为评审依据，不得分。</w:t>
      </w:r>
      <w:r/>
    </w:p>
    <w:p>
      <w:pPr>
        <w:ind w:firstLine="480"/>
        <w:jc w:val="left"/>
        <w:spacing w:line="400" w:lineRule="exact"/>
        <w:widowControl/>
        <w:rPr>
          <w:rFonts w:ascii="宋体" w:hAnsi="宋体"/>
          <w:b/>
          <w:sz w:val="36"/>
          <w:szCs w:val="36"/>
          <w:highlight w:val="none"/>
        </w:rPr>
      </w:pPr>
      <w:r>
        <w:rPr>
          <w:rFonts w:hint="eastAsia" w:ascii="宋体" w:hAnsi="宋体" w:cs="宋体"/>
          <w:bCs/>
          <w:sz w:val="24"/>
          <w:highlight w:val="none"/>
        </w:rPr>
        <w:t xml:space="preserve">3.便于评审，请投标人在偏离表中逐条列出技术参数证明材料所在页码，因未列明所在页码而造成的后果由投标人自行承担。</w:t>
      </w:r>
      <w:r/>
    </w:p>
    <w:p>
      <w:pPr>
        <w:jc w:val="center"/>
        <w:spacing w:line="360" w:lineRule="auto"/>
        <w:rPr>
          <w:sz w:val="24"/>
          <w:highlight w:val="none"/>
        </w:rPr>
        <w:outlineLvl w:val="0"/>
      </w:pPr>
      <w:r>
        <w:rPr>
          <w:b/>
          <w:sz w:val="36"/>
          <w:szCs w:val="36"/>
          <w:highlight w:val="none"/>
        </w:rPr>
        <w:br w:type="page" w:clear="all"/>
      </w:r>
      <w:bookmarkStart w:id="514" w:name="_Toc5713"/>
      <w:r>
        <w:rPr>
          <w:b/>
          <w:sz w:val="36"/>
          <w:szCs w:val="36"/>
          <w:highlight w:val="none"/>
        </w:rPr>
        <w:t xml:space="preserve">第五章   采购需求</w:t>
      </w:r>
      <w:bookmarkEnd w:id="514"/>
      <w:r/>
      <w:r/>
    </w:p>
    <w:p>
      <w:pPr>
        <w:ind w:firstLine="482"/>
        <w:spacing w:line="400" w:lineRule="exact"/>
        <w:rPr>
          <w:rFonts w:ascii="宋体" w:hAnsi="宋体" w:cs="宋体"/>
          <w:b/>
          <w:sz w:val="24"/>
          <w:highlight w:val="none"/>
        </w:rPr>
        <w:outlineLvl w:val="0"/>
      </w:pPr>
      <w:r/>
      <w:bookmarkStart w:id="515" w:name="_Toc14421"/>
      <w:r>
        <w:rPr>
          <w:rFonts w:hint="eastAsia" w:ascii="宋体" w:hAnsi="宋体" w:cs="宋体"/>
          <w:b/>
          <w:sz w:val="24"/>
          <w:highlight w:val="none"/>
        </w:rPr>
        <w:t xml:space="preserve">一、项目概况</w:t>
      </w:r>
      <w:bookmarkEnd w:id="515"/>
      <w:r/>
      <w:r/>
    </w:p>
    <w:p>
      <w:pPr>
        <w:ind w:firstLine="482"/>
        <w:spacing w:line="400" w:lineRule="exact"/>
        <w:rPr>
          <w:rFonts w:ascii="宋体" w:hAnsi="宋体" w:cs="宋体"/>
          <w:b/>
          <w:sz w:val="24"/>
          <w:highlight w:val="none"/>
        </w:rPr>
      </w:pPr>
      <w:r>
        <w:rPr>
          <w:rFonts w:hint="eastAsia" w:ascii="宋体" w:hAnsi="宋体" w:cs="宋体"/>
          <w:b/>
          <w:bCs/>
          <w:sz w:val="24"/>
          <w:highlight w:val="none"/>
        </w:rPr>
        <w:t xml:space="preserve">1.采购内容：</w:t>
      </w:r>
      <w:r>
        <w:rPr>
          <w:rFonts w:hint="eastAsia" w:ascii="宋体" w:hAnsi="宋体" w:cs="宋体"/>
          <w:sz w:val="24"/>
          <w:highlight w:val="none"/>
        </w:rPr>
        <w:t xml:space="preserve">本项目为智能机器人电磁兼容性能测试及诊断系统</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项目，包括电磁兼容暗室、屏蔽房等的建设及相关设备采购（交钥匙工程），建设地点位于采购人指定检测楼内。项目建成后需满足智能工业机器人、服务机器人、医疗机器人、移动机器人及无人机、灯具照明类、电动工具及家电类、多媒体类等产品的电磁兼容测试需求，涵盖辐射骚扰、传导骚扰、辐射抗扰度、谐波闪烁、静电放电等多项测试功能，所有系统及设备需符合国际标准（ANSI、CISPR、IEC 等）及国家现行标准（GB/T 系列）。</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2.采购项目清单</w:t>
      </w:r>
      <w:r/>
    </w:p>
    <w:tbl>
      <w:tblPr>
        <w:tblStyle w:val="955"/>
        <w:tblW w:w="5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3685"/>
        <w:gridCol w:w="954"/>
        <w:gridCol w:w="3302"/>
      </w:tblGrid>
      <w:tr>
        <w:trPr>
          <w:jc w:val="center"/>
          <w:trHeight w:val="485"/>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仪器设备名称</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备注</w:t>
            </w:r>
            <w:r/>
          </w:p>
        </w:tc>
      </w:tr>
      <w:tr>
        <w:trPr>
          <w:jc w:val="center"/>
          <w:trHeight w:val="564"/>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hint="eastAsia" w:ascii="宋体" w:hAnsi="宋体" w:cs="宋体"/>
                <w:sz w:val="24"/>
                <w:highlight w:val="none"/>
              </w:rPr>
            </w:pPr>
            <w:r/>
            <w:bookmarkStart w:id="516" w:name="OLE_LINK502"/>
            <w:r/>
            <w:bookmarkStart w:id="517" w:name="OLE_LINK117"/>
            <w:r/>
            <w:bookmarkStart w:id="518" w:name="OLE_LINK116"/>
            <w:r/>
            <w:bookmarkStart w:id="519" w:name="OLE_LINK501"/>
            <w:r/>
            <w:bookmarkStart w:id="520" w:name="OLE_LINK500"/>
            <w:r/>
            <w:bookmarkStart w:id="521" w:name="_Hlk223810145"/>
            <w:r/>
            <w:bookmarkStart w:id="522" w:name="OLE_LINK499"/>
            <w:r/>
            <w:bookmarkStart w:id="523" w:name="OLE_LINK321"/>
            <w:r/>
            <w:bookmarkStart w:id="524" w:name="_Hlk223812794"/>
            <w:r/>
            <w:bookmarkStart w:id="525" w:name="OLE_LINK322"/>
            <w:r/>
            <w:bookmarkStart w:id="526" w:name="OLE_LINK532"/>
            <w:r/>
            <w:bookmarkStart w:id="527" w:name="OLE_LINK533"/>
            <w:r/>
            <w:bookmarkStart w:id="528" w:name="OLE_LINK530"/>
            <w:r/>
            <w:bookmarkStart w:id="529" w:name="OLE_LINK531"/>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电磁兼容暗室（核心产品）</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10米法电波暗室</w:t>
            </w:r>
            <w:bookmarkEnd w:id="516"/>
            <w:r/>
            <w:bookmarkEnd w:id="517"/>
            <w:r/>
            <w:bookmarkEnd w:id="518"/>
            <w:r/>
            <w:bookmarkEnd w:id="519"/>
            <w:r/>
            <w:bookmarkEnd w:id="520"/>
            <w:r/>
            <w:bookmarkEnd w:id="521"/>
            <w:r/>
            <w:bookmarkEnd w:id="522"/>
            <w:r/>
            <w:r/>
          </w:p>
        </w:tc>
      </w:tr>
      <w:tr>
        <w:trPr>
          <w:jc w:val="center"/>
          <w:trHeight w:val="564"/>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rPr>
                <w:rFonts w:hint="eastAsia" w:ascii="宋体" w:hAnsi="宋体" w:cs="宋体"/>
                <w:sz w:val="24"/>
                <w:highlight w:val="none"/>
              </w:rPr>
            </w:pPr>
            <w:r/>
            <w:bookmarkStart w:id="530" w:name="OLE_LINK126"/>
            <w:r/>
            <w:bookmarkStart w:id="531" w:name="OLE_LINK127"/>
            <w:r/>
            <w:bookmarkStart w:id="532" w:name="OLE_LINK128"/>
            <w:r>
              <w:rPr>
                <w:rFonts w:hint="eastAsia" w:ascii="宋体" w:hAnsi="宋体" w:cs="宋体"/>
                <w:sz w:val="24"/>
                <w:highlight w:val="none"/>
              </w:rPr>
              <w:t xml:space="preserve">屏蔽房</w:t>
            </w:r>
            <w:bookmarkEnd w:id="530"/>
            <w:r/>
            <w:bookmarkEnd w:id="531"/>
            <w:r/>
            <w:bookmarkEnd w:id="532"/>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包含控制室1间、功放室1间、传导</w:t>
            </w:r>
            <w:bookmarkStart w:id="533" w:name="OLE_LINK119"/>
            <w:r/>
            <w:bookmarkStart w:id="534" w:name="OLE_LINK118"/>
            <w:r>
              <w:rPr>
                <w:rFonts w:hint="eastAsia" w:ascii="宋体" w:hAnsi="宋体" w:cs="宋体"/>
                <w:sz w:val="24"/>
                <w:highlight w:val="none"/>
              </w:rPr>
              <w:t xml:space="preserve">骚扰屏蔽房1间</w:t>
            </w:r>
            <w:bookmarkEnd w:id="533"/>
            <w:r/>
            <w:bookmarkEnd w:id="534"/>
            <w:r/>
            <w:bookmarkStart w:id="535" w:name="OLE_LINK125"/>
            <w:r/>
            <w:bookmarkStart w:id="536" w:name="OLE_LINK129"/>
            <w:r/>
            <w:bookmarkStart w:id="537" w:name="OLE_LINK124"/>
            <w:r>
              <w:rPr>
                <w:rFonts w:hint="eastAsia" w:ascii="宋体" w:hAnsi="宋体" w:cs="宋体"/>
                <w:sz w:val="24"/>
                <w:highlight w:val="none"/>
              </w:rPr>
              <w:t xml:space="preserve">、</w:t>
            </w:r>
            <w:bookmarkStart w:id="538" w:name="OLE_LINK130"/>
            <w:r>
              <w:rPr>
                <w:rFonts w:hint="eastAsia" w:ascii="宋体" w:hAnsi="宋体" w:cs="宋体"/>
                <w:sz w:val="24"/>
                <w:highlight w:val="none"/>
              </w:rPr>
              <w:t xml:space="preserve">EMS测</w:t>
            </w:r>
            <w:bookmarkEnd w:id="535"/>
            <w:r>
              <w:rPr>
                <w:rFonts w:hint="eastAsia" w:ascii="宋体" w:hAnsi="宋体" w:cs="宋体"/>
                <w:sz w:val="24"/>
                <w:highlight w:val="none"/>
              </w:rPr>
              <w:t xml:space="preserve">试房1间</w:t>
            </w:r>
            <w:bookmarkEnd w:id="536"/>
            <w:r/>
            <w:bookmarkEnd w:id="537"/>
            <w:r/>
            <w:bookmarkEnd w:id="538"/>
            <w:r/>
            <w:bookmarkEnd w:id="523"/>
            <w:r/>
            <w:bookmarkEnd w:id="524"/>
            <w:r/>
            <w:bookmarkEnd w:id="525"/>
            <w:r/>
            <w:bookmarkEnd w:id="526"/>
            <w:r/>
            <w:bookmarkEnd w:id="527"/>
            <w:r/>
            <w:bookmarkEnd w:id="528"/>
            <w:r/>
            <w:bookmarkEnd w:id="529"/>
            <w:r/>
            <w:r/>
          </w:p>
        </w:tc>
      </w:tr>
      <w:tr>
        <w:trPr>
          <w:jc w:val="center"/>
          <w:trHeight w:val="564"/>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hint="eastAsia" w:ascii="宋体" w:hAnsi="宋体" w:cs="宋体"/>
                <w:sz w:val="24"/>
                <w:highlight w:val="none"/>
              </w:rPr>
            </w:pPr>
            <w:r/>
            <w:bookmarkStart w:id="539" w:name="OLE_LINK537"/>
            <w:r/>
            <w:bookmarkStart w:id="540" w:name="OLE_LINK131"/>
            <w:r/>
            <w:bookmarkStart w:id="541" w:name="OLE_LINK132"/>
            <w:r/>
            <w:bookmarkStart w:id="542" w:name="OLE_LINK536"/>
            <w:r/>
            <w:bookmarkStart w:id="543" w:name="OLE_LINK121"/>
            <w:r/>
            <w:bookmarkStart w:id="544" w:name="OLE_LINK123"/>
            <w:r/>
            <w:bookmarkStart w:id="545" w:name="_Hlk223810161"/>
            <w:r/>
            <w:bookmarkStart w:id="546" w:name="OLE_LINK122"/>
            <w:r/>
            <w:bookmarkStart w:id="547" w:name="OLE_LINK120"/>
            <w:r>
              <w:rPr>
                <w:rFonts w:hint="eastAsia" w:ascii="宋体" w:hAnsi="宋体" w:cs="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辐射骚扰测试系统</w:t>
            </w:r>
            <w:bookmarkStart w:id="548" w:name="OLE_LINK7"/>
            <w:r/>
            <w:bookmarkStart w:id="549" w:name="OLE_LINK8"/>
            <w:r>
              <w:rPr>
                <w:rFonts w:hint="eastAsia" w:ascii="宋体" w:hAnsi="宋体" w:cs="宋体"/>
                <w:sz w:val="24"/>
                <w:highlight w:val="none"/>
              </w:rPr>
              <w:t xml:space="preserve">（进口）</w:t>
            </w:r>
            <w:bookmarkEnd w:id="548"/>
            <w:r/>
            <w:bookmarkEnd w:id="549"/>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564"/>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辐射抗扰度测试系统（进口）</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564"/>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屏蔽房</w:t>
            </w:r>
            <w:bookmarkStart w:id="550" w:name="OLE_LINK480"/>
            <w:r/>
            <w:bookmarkStart w:id="551" w:name="OLE_LINK481"/>
            <w:r>
              <w:rPr>
                <w:rFonts w:hint="eastAsia" w:ascii="宋体" w:hAnsi="宋体" w:cs="宋体"/>
                <w:sz w:val="24"/>
                <w:highlight w:val="none"/>
              </w:rPr>
              <w:t xml:space="preserve">传导骚</w:t>
            </w:r>
            <w:bookmarkStart w:id="552" w:name="OLE_LINK539"/>
            <w:r/>
            <w:bookmarkStart w:id="553" w:name="OLE_LINK538"/>
            <w:r>
              <w:rPr>
                <w:rFonts w:hint="eastAsia" w:ascii="宋体" w:hAnsi="宋体" w:cs="宋体"/>
                <w:sz w:val="24"/>
                <w:highlight w:val="none"/>
              </w:rPr>
              <w:t xml:space="preserve">扰测</w:t>
            </w:r>
            <w:bookmarkEnd w:id="550"/>
            <w:r/>
            <w:bookmarkEnd w:id="551"/>
            <w:r>
              <w:rPr>
                <w:rFonts w:hint="eastAsia" w:ascii="宋体" w:hAnsi="宋体" w:cs="宋体"/>
                <w:sz w:val="24"/>
                <w:highlight w:val="none"/>
              </w:rPr>
              <w:t xml:space="preserve">试系统（进口）</w:t>
            </w:r>
            <w:bookmarkEnd w:id="552"/>
            <w:r/>
            <w:bookmarkEnd w:id="553"/>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564"/>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207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三相谐波闪烁测试系统（进口）</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185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bookmarkEnd w:id="539"/>
            <w:r/>
            <w:bookmarkEnd w:id="540"/>
            <w:r/>
            <w:bookmarkEnd w:id="541"/>
            <w:r/>
            <w:bookmarkEnd w:id="542"/>
            <w:r/>
            <w:bookmarkEnd w:id="543"/>
            <w:r/>
            <w:bookmarkEnd w:id="544"/>
            <w:r/>
            <w:bookmarkEnd w:id="545"/>
            <w:r/>
            <w:bookmarkEnd w:id="546"/>
            <w:r/>
            <w:bookmarkEnd w:id="547"/>
            <w:r/>
            <w:r/>
          </w:p>
        </w:tc>
      </w:tr>
      <w:tr>
        <w:trPr>
          <w:jc w:val="center"/>
          <w:trHeight w:val="564"/>
        </w:trPr>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7</w:t>
            </w:r>
            <w:r/>
          </w:p>
        </w:tc>
        <w:tc>
          <w:tcPr>
            <w:tcBorders>
              <w:top w:val="single" w:color="auto" w:sz="4" w:space="0"/>
              <w:left w:val="single" w:color="auto" w:sz="4" w:space="0"/>
              <w:right w:val="single" w:color="auto" w:sz="4" w:space="0"/>
            </w:tcBorders>
            <w:tcW w:w="2070" w:type="pct"/>
            <w:vAlign w:val="center"/>
            <w:textDirection w:val="lrTb"/>
            <w:noWrap w:val="false"/>
          </w:tcPr>
          <w:p>
            <w:pPr>
              <w:jc w:val="center"/>
              <w:rPr>
                <w:rFonts w:hint="eastAsia" w:ascii="宋体" w:hAnsi="宋体" w:cs="宋体"/>
                <w:sz w:val="24"/>
                <w:highlight w:val="none"/>
              </w:rPr>
            </w:pPr>
            <w:r/>
            <w:bookmarkStart w:id="554" w:name="OLE_LINK134"/>
            <w:r/>
            <w:bookmarkStart w:id="555" w:name="OLE_LINK133"/>
            <w:r>
              <w:rPr>
                <w:rFonts w:hint="eastAsia" w:ascii="宋体" w:hAnsi="宋体" w:cs="宋体"/>
                <w:sz w:val="24"/>
                <w:highlight w:val="none"/>
              </w:rPr>
              <w:t xml:space="preserve">抗扰度设备</w:t>
            </w:r>
            <w:bookmarkEnd w:id="554"/>
            <w:r/>
            <w:bookmarkEnd w:id="555"/>
            <w:r/>
            <w:r/>
          </w:p>
        </w:tc>
        <w:tc>
          <w:tcPr>
            <w:tcBorders>
              <w:top w:val="single" w:color="auto" w:sz="4" w:space="0"/>
              <w:left w:val="single" w:color="auto" w:sz="4" w:space="0"/>
              <w:right w:val="single" w:color="auto" w:sz="4" w:space="0"/>
            </w:tcBorders>
            <w:tcW w:w="53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Borders>
              <w:top w:val="single" w:color="auto" w:sz="4" w:space="0"/>
              <w:left w:val="single" w:color="auto" w:sz="4" w:space="0"/>
              <w:right w:val="single" w:color="auto" w:sz="4" w:space="0"/>
            </w:tcBorders>
            <w:tcW w:w="185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bl>
    <w:p>
      <w:pPr>
        <w:ind w:firstLine="482"/>
        <w:spacing w:line="400" w:lineRule="exact"/>
        <w:rPr>
          <w:rFonts w:hint="eastAsia" w:ascii="宋体" w:hAnsi="宋体" w:cs="宋体"/>
          <w:b/>
          <w:sz w:val="24"/>
          <w:highlight w:val="none"/>
        </w:rPr>
        <w:outlineLvl w:val="0"/>
      </w:pPr>
      <w:r/>
      <w:bookmarkStart w:id="556" w:name="_Toc4509"/>
      <w:r>
        <w:rPr>
          <w:rFonts w:hint="eastAsia" w:ascii="宋体" w:hAnsi="宋体" w:cs="宋体"/>
          <w:b/>
          <w:sz w:val="24"/>
          <w:highlight w:val="none"/>
        </w:rPr>
        <w:t xml:space="preserve">二、政府采购中实施本国产品标准及相关政策</w:t>
      </w:r>
      <w:bookmarkEnd w:id="556"/>
      <w:r/>
      <w:r/>
    </w:p>
    <w:p>
      <w:pPr>
        <w:contextualSpacing/>
        <w:ind w:firstLine="480"/>
        <w:spacing w:line="400" w:lineRule="exact"/>
        <w:rPr>
          <w:rFonts w:hint="eastAsia" w:ascii="宋体" w:hAnsi="宋体" w:cs="宋体"/>
          <w:bCs/>
          <w:sz w:val="24"/>
          <w:highlight w:val="none"/>
        </w:rPr>
      </w:pPr>
      <w:r/>
      <w:bookmarkStart w:id="557" w:name="OLE_LINK324"/>
      <w:r/>
      <w:bookmarkStart w:id="558" w:name="OLE_LINK323"/>
      <w:r>
        <w:rPr>
          <w:rFonts w:hint="eastAsia" w:ascii="宋体" w:hAnsi="宋体" w:cs="宋体"/>
          <w:bCs/>
          <w:sz w:val="24"/>
          <w:highlight w:val="none"/>
        </w:rPr>
        <w:t xml:space="preserve">1.本项目对采购本国产品给予政策支持，具体内容见招标文件“第四章 评标方法和评标标准”。</w:t>
      </w:r>
      <w:bookmarkEnd w:id="557"/>
      <w:r/>
      <w:bookmarkEnd w:id="558"/>
      <w:r/>
      <w:r/>
    </w:p>
    <w:p>
      <w:pPr>
        <w:contextualSpacing/>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00" w:lineRule="exact"/>
        <w:rPr>
          <w:rFonts w:hint="eastAsia" w:ascii="宋体" w:hAnsi="宋体" w:cs="宋体"/>
          <w:b/>
          <w:sz w:val="24"/>
          <w:highlight w:val="none"/>
        </w:rPr>
        <w:outlineLvl w:val="0"/>
      </w:pPr>
      <w:r/>
      <w:bookmarkStart w:id="559" w:name="_Toc15423"/>
      <w:r>
        <w:rPr>
          <w:rFonts w:hint="eastAsia" w:ascii="宋体" w:hAnsi="宋体" w:cs="宋体"/>
          <w:b/>
          <w:sz w:val="24"/>
          <w:highlight w:val="none"/>
        </w:rPr>
        <w:t xml:space="preserve">三、商务要求</w:t>
      </w:r>
      <w:bookmarkEnd w:id="559"/>
      <w:r/>
      <w:r/>
    </w:p>
    <w:p>
      <w:pPr>
        <w:ind w:firstLine="482"/>
        <w:spacing w:line="400" w:lineRule="exact"/>
        <w:rPr>
          <w:rFonts w:hint="eastAsia" w:ascii="宋体" w:hAnsi="宋体" w:cs="宋体"/>
          <w:b/>
          <w:sz w:val="24"/>
          <w:highlight w:val="none"/>
        </w:rPr>
        <w:outlineLvl w:val="0"/>
      </w:pPr>
      <w:r/>
      <w:bookmarkStart w:id="560" w:name="_Toc31645"/>
      <w:r>
        <w:rPr>
          <w:rFonts w:hint="eastAsia" w:ascii="宋体" w:hAnsi="宋体" w:cs="宋体"/>
          <w:b/>
          <w:sz w:val="24"/>
          <w:highlight w:val="none"/>
        </w:rPr>
        <w:t xml:space="preserve">（一）交付（实</w:t>
      </w:r>
      <w:bookmarkStart w:id="561" w:name="OLE_LINK136"/>
      <w:r/>
      <w:bookmarkStart w:id="562" w:name="OLE_LINK135"/>
      <w:r>
        <w:rPr>
          <w:rFonts w:hint="eastAsia" w:ascii="宋体" w:hAnsi="宋体" w:cs="宋体"/>
          <w:b/>
          <w:sz w:val="24"/>
          <w:highlight w:val="none"/>
        </w:rPr>
        <w:t xml:space="preserve">施）的时间（期限）、地点（范围）和要求</w:t>
      </w:r>
      <w:bookmarkEnd w:id="560"/>
      <w:r/>
      <w:bookmarkEnd w:id="561"/>
      <w:r/>
      <w:bookmarkEnd w:id="562"/>
      <w:r/>
      <w:r/>
    </w:p>
    <w:p>
      <w:pPr>
        <w:ind w:firstLine="480"/>
        <w:spacing w:line="400" w:lineRule="exact"/>
        <w:rPr>
          <w:rFonts w:hint="eastAsia" w:ascii="宋体" w:hAnsi="宋体" w:cs="宋体"/>
          <w:bCs/>
          <w:sz w:val="24"/>
          <w:highlight w:val="none"/>
        </w:rPr>
      </w:pPr>
      <w:r>
        <w:rPr>
          <w:rFonts w:ascii="宋体" w:hAnsi="宋体" w:cs="宋体"/>
          <w:bCs/>
          <w:sz w:val="24"/>
          <w:highlight w:val="none"/>
        </w:rPr>
        <w:t xml:space="preserve">1．</w:t>
      </w:r>
      <w:r>
        <w:rPr>
          <w:rFonts w:hint="eastAsia" w:ascii="宋体" w:hAnsi="宋体" w:cs="宋体"/>
          <w:bCs/>
          <w:sz w:val="24"/>
          <w:highlight w:val="none"/>
        </w:rPr>
        <w:t xml:space="preserve">交货日期：自合同签</w:t>
      </w:r>
      <w:bookmarkStart w:id="563" w:name="OLE_LINK140"/>
      <w:r/>
      <w:bookmarkStart w:id="564" w:name="OLE_LINK139"/>
      <w:r>
        <w:rPr>
          <w:rFonts w:hint="eastAsia" w:ascii="宋体" w:hAnsi="宋体" w:cs="宋体"/>
          <w:bCs/>
          <w:sz w:val="24"/>
          <w:highlight w:val="none"/>
        </w:rPr>
        <w:t xml:space="preserve">订生效之日起</w:t>
      </w:r>
      <w:bookmarkStart w:id="565" w:name="OLE_LINK138"/>
      <w:r/>
      <w:bookmarkStart w:id="566" w:name="OLE_LINK137"/>
      <w:r>
        <w:rPr>
          <w:rFonts w:hint="eastAsia" w:ascii="宋体" w:hAnsi="宋体" w:cs="宋体"/>
          <w:bCs/>
          <w:sz w:val="24"/>
          <w:highlight w:val="none"/>
        </w:rPr>
        <w:t xml:space="preserve">7个月</w:t>
      </w:r>
      <w:bookmarkEnd w:id="565"/>
      <w:r/>
      <w:bookmarkEnd w:id="566"/>
      <w:r>
        <w:rPr>
          <w:rFonts w:hint="eastAsia" w:ascii="宋体" w:hAnsi="宋体" w:cs="宋体"/>
          <w:bCs/>
          <w:sz w:val="24"/>
          <w:highlight w:val="none"/>
        </w:rPr>
        <w:t xml:space="preserve">内完成</w:t>
      </w:r>
      <w:bookmarkEnd w:id="563"/>
      <w:r/>
      <w:bookmarkEnd w:id="564"/>
      <w:r>
        <w:rPr>
          <w:rFonts w:hint="eastAsia" w:ascii="宋体" w:hAnsi="宋体" w:cs="宋体"/>
          <w:bCs/>
          <w:sz w:val="24"/>
          <w:highlight w:val="none"/>
        </w:rPr>
        <w:t xml:space="preserve">供货、安装调试并通过采购人验收。</w:t>
      </w:r>
      <w:r/>
    </w:p>
    <w:p>
      <w:pPr>
        <w:ind w:firstLine="480"/>
        <w:spacing w:line="400" w:lineRule="exact"/>
        <w:rPr>
          <w:rFonts w:hint="eastAsia" w:ascii="宋体" w:hAnsi="宋体" w:cs="宋体"/>
          <w:bCs/>
          <w:sz w:val="24"/>
          <w:highlight w:val="none"/>
        </w:rPr>
      </w:pPr>
      <w:r>
        <w:rPr>
          <w:rFonts w:ascii="宋体" w:hAnsi="宋体" w:cs="宋体"/>
          <w:bCs/>
          <w:sz w:val="24"/>
          <w:highlight w:val="none"/>
        </w:rPr>
        <w:t xml:space="preserve">2．</w:t>
      </w:r>
      <w:r>
        <w:rPr>
          <w:rFonts w:hint="eastAsia" w:ascii="宋体" w:hAnsi="宋体" w:cs="宋体"/>
          <w:bCs/>
          <w:sz w:val="24"/>
          <w:highlight w:val="none"/>
        </w:rPr>
        <w:t xml:space="preserve">交货地点：</w:t>
      </w:r>
      <w:bookmarkStart w:id="567" w:name="OLE_LINK46"/>
      <w:r/>
      <w:bookmarkStart w:id="568" w:name="OLE_LINK45"/>
      <w:r>
        <w:rPr>
          <w:rFonts w:hint="eastAsia" w:ascii="宋体" w:hAnsi="宋体" w:cs="宋体"/>
          <w:bCs/>
          <w:sz w:val="24"/>
          <w:highlight w:val="none"/>
        </w:rPr>
        <w:t xml:space="preserve">采购人指</w:t>
      </w:r>
      <w:bookmarkEnd w:id="567"/>
      <w:r/>
      <w:bookmarkEnd w:id="568"/>
      <w:r>
        <w:rPr>
          <w:rFonts w:hint="eastAsia" w:ascii="宋体" w:hAnsi="宋体" w:cs="宋体"/>
          <w:bCs/>
          <w:sz w:val="24"/>
          <w:highlight w:val="none"/>
        </w:rPr>
        <w:t xml:space="preserve">定地点。</w:t>
      </w:r>
      <w:r/>
    </w:p>
    <w:p>
      <w:pPr>
        <w:ind w:firstLine="480"/>
        <w:spacing w:line="400" w:lineRule="exact"/>
        <w:rPr>
          <w:rFonts w:hint="eastAsia" w:ascii="宋体" w:hAnsi="宋体" w:cs="宋体"/>
          <w:bCs/>
          <w:sz w:val="24"/>
          <w:highlight w:val="none"/>
        </w:rPr>
      </w:pPr>
      <w:r>
        <w:rPr>
          <w:rFonts w:ascii="宋体" w:hAnsi="宋体" w:cs="宋体"/>
          <w:bCs/>
          <w:sz w:val="24"/>
          <w:highlight w:val="none"/>
        </w:rPr>
        <w:t xml:space="preserve">3．</w:t>
      </w:r>
      <w:r>
        <w:rPr>
          <w:rFonts w:hint="eastAsia" w:ascii="宋体" w:hAnsi="宋体" w:cs="宋体"/>
          <w:bCs/>
          <w:sz w:val="24"/>
          <w:highlight w:val="none"/>
        </w:rPr>
        <w:t xml:space="preserve">交货要求：中标人应按照合同签订的时间要求将仪器设备运至采购单位，安装调试并经采购人验收合格后方可认为交货完成。</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4.投标人在交付设备的同时向采购人提供货物全套随机资料一套（包括但不限于质量检验合格证、装箱单、产品安装使用说明书等相关资料）。根据采购人要求免费提供并安装设备操作及应用软件。</w:t>
      </w:r>
      <w:r/>
    </w:p>
    <w:p>
      <w:pPr>
        <w:ind w:firstLine="482"/>
        <w:spacing w:line="400" w:lineRule="exact"/>
        <w:rPr>
          <w:rFonts w:hint="eastAsia" w:ascii="宋体" w:hAnsi="宋体" w:cs="宋体"/>
          <w:b/>
          <w:sz w:val="24"/>
          <w:highlight w:val="none"/>
        </w:rPr>
        <w:outlineLvl w:val="0"/>
      </w:pPr>
      <w:r/>
      <w:bookmarkStart w:id="569" w:name="_Toc6050"/>
      <w:r>
        <w:rPr>
          <w:rFonts w:hint="eastAsia" w:ascii="宋体" w:hAnsi="宋体" w:cs="宋体"/>
          <w:b/>
          <w:sz w:val="24"/>
          <w:highlight w:val="none"/>
        </w:rPr>
        <w:t xml:space="preserve">（二）付款条件（进度和方式）</w:t>
      </w:r>
      <w:bookmarkEnd w:id="569"/>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1.合同签订后，中</w:t>
      </w:r>
      <w:bookmarkStart w:id="570" w:name="OLE_LINK9"/>
      <w:r/>
      <w:bookmarkStart w:id="571" w:name="OLE_LINK10"/>
      <w:r>
        <w:rPr>
          <w:rFonts w:hint="eastAsia" w:ascii="宋体" w:hAnsi="宋体" w:cs="宋体"/>
          <w:bCs/>
          <w:sz w:val="24"/>
          <w:highlight w:val="none"/>
        </w:rPr>
        <w:t xml:space="preserve">标供应商必须编制系统集成定制</w:t>
      </w:r>
      <w:bookmarkEnd w:id="570"/>
      <w:r/>
      <w:bookmarkEnd w:id="571"/>
      <w:r>
        <w:rPr>
          <w:rFonts w:hint="eastAsia" w:ascii="宋体" w:hAnsi="宋体" w:cs="宋体"/>
          <w:bCs/>
          <w:sz w:val="24"/>
          <w:highlight w:val="none"/>
        </w:rPr>
        <w:t xml:space="preserve">化实施方案，明确项目实施流程、关键节点、验收标准及保障措施，方案经采购人审核通过后正式启动项目实施。</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2.项</w:t>
      </w:r>
      <w:bookmarkStart w:id="572" w:name="OLE_LINK12"/>
      <w:r/>
      <w:bookmarkStart w:id="573" w:name="OLE_LINK11"/>
      <w:r>
        <w:rPr>
          <w:rFonts w:hint="eastAsia" w:ascii="宋体" w:hAnsi="宋体" w:cs="宋体"/>
          <w:bCs/>
          <w:sz w:val="24"/>
          <w:highlight w:val="none"/>
        </w:rPr>
        <w:t xml:space="preserve">目实施按既定关键节点推</w:t>
      </w:r>
      <w:bookmarkEnd w:id="572"/>
      <w:r/>
      <w:bookmarkEnd w:id="573"/>
      <w:r>
        <w:rPr>
          <w:rFonts w:hint="eastAsia" w:ascii="宋体" w:hAnsi="宋体" w:cs="宋体"/>
          <w:bCs/>
          <w:sz w:val="24"/>
          <w:highlight w:val="none"/>
        </w:rPr>
        <w:t xml:space="preserve">进，每一关键节点完成后，中标供应商须向采购人提交阶段</w:t>
      </w:r>
      <w:bookmarkStart w:id="574" w:name="OLE_LINK14"/>
      <w:r/>
      <w:bookmarkStart w:id="575" w:name="OLE_LINK13"/>
      <w:r>
        <w:rPr>
          <w:rFonts w:hint="eastAsia" w:ascii="宋体" w:hAnsi="宋体" w:cs="宋体"/>
          <w:bCs/>
          <w:sz w:val="24"/>
          <w:highlight w:val="none"/>
        </w:rPr>
        <w:t xml:space="preserve">验收申</w:t>
      </w:r>
      <w:bookmarkEnd w:id="574"/>
      <w:r/>
      <w:bookmarkEnd w:id="575"/>
      <w:r>
        <w:rPr>
          <w:rFonts w:hint="eastAsia" w:ascii="宋体" w:hAnsi="宋体" w:cs="宋体"/>
          <w:bCs/>
          <w:sz w:val="24"/>
          <w:highlight w:val="none"/>
        </w:rPr>
        <w:t xml:space="preserve">请，</w:t>
      </w:r>
      <w:bookmarkStart w:id="576" w:name="OLE_LINK16"/>
      <w:r/>
      <w:bookmarkStart w:id="577" w:name="OLE_LINK17"/>
      <w:r/>
      <w:bookmarkStart w:id="578" w:name="OLE_LINK15"/>
      <w:r>
        <w:rPr>
          <w:rFonts w:hint="eastAsia" w:ascii="宋体" w:hAnsi="宋体" w:cs="宋体"/>
          <w:bCs/>
          <w:sz w:val="24"/>
          <w:highlight w:val="none"/>
        </w:rPr>
        <w:t xml:space="preserve">并附到货设备清单、安装调试记录等佐</w:t>
      </w:r>
      <w:bookmarkEnd w:id="576"/>
      <w:r/>
      <w:bookmarkEnd w:id="577"/>
      <w:r/>
      <w:bookmarkEnd w:id="578"/>
      <w:r>
        <w:rPr>
          <w:rFonts w:hint="eastAsia" w:ascii="宋体" w:hAnsi="宋体" w:cs="宋体"/>
          <w:bCs/>
          <w:sz w:val="24"/>
          <w:highlight w:val="none"/>
        </w:rPr>
        <w:t xml:space="preserve">证材料。采购人依据合同约定组织阶段验收，验收合格后，向中标供应商支付对应分项合同价款的30%。</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3.整套系统全部安装调试完毕，经采购人组织最终验收合格、整体性能达到验收标准后，采购人一次性支付合同剩余尾款。</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4.中标供应商须在每次申请付款前，向采购方提供符合国家财税制度的合法有效的增值税专用发票，采购人在收到发票后完成付款。</w:t>
      </w:r>
      <w:r/>
    </w:p>
    <w:p>
      <w:pPr>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5.涉及到进口产品，中标供应商必须协助采购人办理免税或者退税手续，所产生的费用由中标供应商承担。</w:t>
      </w:r>
      <w:r/>
    </w:p>
    <w:p>
      <w:pPr>
        <w:ind w:firstLine="482"/>
        <w:spacing w:line="400" w:lineRule="exact"/>
        <w:rPr>
          <w:rFonts w:hint="eastAsia" w:ascii="宋体" w:hAnsi="宋体" w:cs="宋体"/>
          <w:b/>
          <w:sz w:val="24"/>
          <w:highlight w:val="none"/>
        </w:rPr>
        <w:outlineLvl w:val="0"/>
      </w:pPr>
      <w:r/>
      <w:bookmarkStart w:id="579" w:name="_Toc11619"/>
      <w:r>
        <w:rPr>
          <w:rFonts w:hint="eastAsia" w:ascii="宋体" w:hAnsi="宋体" w:cs="宋体"/>
          <w:b/>
          <w:sz w:val="24"/>
          <w:highlight w:val="none"/>
        </w:rPr>
        <w:t xml:space="preserve">（三）包装和运输</w:t>
      </w:r>
      <w:bookmarkEnd w:id="579"/>
      <w:r/>
      <w:r/>
    </w:p>
    <w:p>
      <w:pPr>
        <w:numPr>
          <w:ilvl w:val="0"/>
          <w:numId w:val="4"/>
        </w:numPr>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必</w:t>
      </w:r>
      <w:bookmarkStart w:id="580" w:name="OLE_LINK141"/>
      <w:r/>
      <w:bookmarkStart w:id="581" w:name="OLE_LINK142"/>
      <w:r>
        <w:rPr>
          <w:rFonts w:hint="eastAsia" w:ascii="宋体" w:hAnsi="宋体" w:cs="宋体"/>
          <w:sz w:val="24"/>
          <w:highlight w:val="none"/>
        </w:rPr>
        <w:t xml:space="preserve">须要求满足《关于印发〈商品包装政府采购需求标准（试行）〉、〈快递包装政府采购需求标准（试行）〉的通知》（财办库﹝2020﹞123号））的规定。</w:t>
      </w:r>
      <w:bookmarkEnd w:id="580"/>
      <w:r/>
      <w:bookmarkEnd w:id="581"/>
      <w:r/>
      <w:r/>
    </w:p>
    <w:p>
      <w:pPr>
        <w:numPr>
          <w:ilvl w:val="0"/>
          <w:numId w:val="4"/>
        </w:numPr>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不接受快递物流送货，拒绝拆改。</w:t>
      </w:r>
      <w:r/>
    </w:p>
    <w:p>
      <w:pPr>
        <w:numPr>
          <w:ilvl w:val="0"/>
          <w:numId w:val="4"/>
        </w:numPr>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供应商提供的全部货物应按国家或专业标准保护措施进行包装，包装应适应于远距离运输、防潮、防震、防锈和防野蛮装卸，以确保货物安全无损运抵指定地点。由于包装不善所引起的货物损失均由中标供应商承担。</w:t>
      </w:r>
      <w:r/>
    </w:p>
    <w:p>
      <w:pPr>
        <w:numPr>
          <w:ilvl w:val="0"/>
          <w:numId w:val="4"/>
        </w:numPr>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中标供应商应保证货物不存在危及人身及财产安全的产品缺陷，否则应承担全部法律责任。</w:t>
      </w:r>
      <w:r/>
    </w:p>
    <w:p>
      <w:pPr>
        <w:ind w:firstLine="482"/>
        <w:spacing w:line="400" w:lineRule="exact"/>
        <w:rPr>
          <w:rFonts w:hint="eastAsia" w:ascii="宋体" w:hAnsi="宋体" w:cs="宋体"/>
          <w:b/>
          <w:sz w:val="24"/>
          <w:highlight w:val="none"/>
        </w:rPr>
        <w:outlineLvl w:val="0"/>
      </w:pPr>
      <w:r/>
      <w:bookmarkStart w:id="582" w:name="_Toc1570"/>
      <w:r>
        <w:rPr>
          <w:rFonts w:hint="eastAsia" w:ascii="宋体" w:hAnsi="宋体" w:cs="宋体"/>
          <w:b/>
          <w:sz w:val="24"/>
          <w:highlight w:val="none"/>
        </w:rPr>
        <w:t xml:space="preserve">四、技术要求</w:t>
      </w:r>
      <w:bookmarkEnd w:id="582"/>
      <w:r/>
      <w:r/>
    </w:p>
    <w:p>
      <w:pPr>
        <w:ind w:firstLine="482"/>
        <w:spacing w:line="400" w:lineRule="exact"/>
        <w:rPr>
          <w:rFonts w:hint="eastAsia" w:ascii="宋体" w:hAnsi="宋体" w:cs="宋体"/>
          <w:b/>
          <w:sz w:val="24"/>
          <w:highlight w:val="none"/>
        </w:rPr>
        <w:outlineLvl w:val="0"/>
      </w:pPr>
      <w:r/>
      <w:bookmarkStart w:id="583" w:name="_Toc26510"/>
      <w:r>
        <w:rPr>
          <w:rFonts w:hint="eastAsia" w:ascii="宋体" w:hAnsi="宋体" w:cs="宋体"/>
          <w:b/>
          <w:sz w:val="24"/>
          <w:highlight w:val="none"/>
        </w:rPr>
        <w:t xml:space="preserve">（一）基本要求</w:t>
      </w:r>
      <w:bookmarkEnd w:id="583"/>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中标人需全面负责设备的设计、制造、配电、运输、安装、试运行、操作及维护培训等，直至通过验收。采购人对技术文件、材料的确认不免除中标人对产品质量、性能指标符合本要求的最终责任。</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暗室的配电部分指由建筑体配电箱电源输出开关开始到电波暗室和屏蔽室的所有电缆和桥架及其配套物资的施工，包括且不仅限于样品配电、仪器配电、照明设施、监控设施、通讯设施、防火报警设施等系统。</w:t>
      </w:r>
      <w:r/>
    </w:p>
    <w:p>
      <w:pPr>
        <w:ind w:firstLine="482"/>
        <w:spacing w:line="400" w:lineRule="exact"/>
        <w:rPr>
          <w:rFonts w:hint="eastAsia" w:ascii="宋体" w:hAnsi="宋体" w:cs="宋体"/>
          <w:b/>
          <w:sz w:val="24"/>
          <w:highlight w:val="none"/>
        </w:rPr>
      </w:pPr>
      <w:r/>
      <w:bookmarkStart w:id="584" w:name="OLE_LINK143"/>
      <w:r/>
      <w:bookmarkStart w:id="585" w:name="OLE_LINK144"/>
      <w:r>
        <w:rPr>
          <w:rFonts w:hint="eastAsia" w:ascii="宋体" w:hAnsi="宋体" w:cs="宋体"/>
          <w:b/>
          <w:sz w:val="24"/>
          <w:highlight w:val="none"/>
        </w:rPr>
        <w:t xml:space="preserve">暗室工程包括空调系统在内，要求如下：</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1.采用风管机（≥10P），</w:t>
      </w:r>
      <w:bookmarkStart w:id="586" w:name="OLE_LINK146"/>
      <w:r/>
      <w:bookmarkStart w:id="587" w:name="OLE_LINK145"/>
      <w:r>
        <w:rPr>
          <w:rFonts w:hint="eastAsia" w:ascii="宋体" w:hAnsi="宋体" w:cs="宋体"/>
          <w:bCs/>
          <w:sz w:val="24"/>
          <w:highlight w:val="none"/>
        </w:rPr>
        <w:t xml:space="preserve">外部空调管道、主机应布置合理、美观。管路做隔音处理，空调系统正常工作时产生的噪音应低≤65分贝；</w:t>
      </w:r>
      <w:bookmarkEnd w:id="586"/>
      <w:r/>
      <w:bookmarkEnd w:id="587"/>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2.控制室内温度应在（18℃~27℃）± 2℃内可调，湿度控制范围（40～60）%±5%，暗室通风换气次数3次/小时，控制室及功放室换气次数5次/小时，风速≤4m/s；</w:t>
      </w:r>
      <w:bookmarkEnd w:id="584"/>
      <w:r/>
      <w:bookmarkEnd w:id="585"/>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3</w:t>
      </w:r>
      <w:bookmarkStart w:id="588" w:name="OLE_LINK148"/>
      <w:r/>
      <w:bookmarkStart w:id="589" w:name="OLE_LINK149"/>
      <w:r/>
      <w:bookmarkStart w:id="590" w:name="OLE_LINK151"/>
      <w:r>
        <w:rPr>
          <w:rFonts w:hint="eastAsia" w:ascii="宋体" w:hAnsi="宋体" w:cs="宋体"/>
          <w:bCs/>
          <w:sz w:val="24"/>
          <w:highlight w:val="none"/>
        </w:rPr>
        <w:t xml:space="preserve">.空调及空</w:t>
      </w:r>
      <w:bookmarkStart w:id="591" w:name="OLE_LINK147"/>
      <w:r>
        <w:rPr>
          <w:rFonts w:hint="eastAsia" w:ascii="宋体" w:hAnsi="宋体" w:cs="宋体"/>
          <w:bCs/>
          <w:sz w:val="24"/>
          <w:highlight w:val="none"/>
        </w:rPr>
        <w:t xml:space="preserve">调的通风管道（包括通风波导窗）应做特殊处理，满足换气效果的同时避免出现冷凝水、不影响暗室和屏蔽室的整体屏蔽效能。</w:t>
      </w:r>
      <w:bookmarkStart w:id="592" w:name="OLE_LINK152"/>
      <w:r/>
      <w:bookmarkStart w:id="593" w:name="OLE_LINK153"/>
      <w:r/>
      <w:bookmarkEnd w:id="588"/>
      <w:r/>
      <w:bookmarkEnd w:id="589"/>
      <w:r/>
      <w:bookmarkEnd w:id="590"/>
      <w:r/>
      <w:bookmarkEnd w:id="591"/>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4.投标人必</w:t>
      </w:r>
      <w:bookmarkStart w:id="594" w:name="OLE_LINK150"/>
      <w:r>
        <w:rPr>
          <w:rFonts w:hint="eastAsia" w:ascii="宋体" w:hAnsi="宋体" w:cs="宋体"/>
          <w:bCs/>
          <w:sz w:val="24"/>
          <w:highlight w:val="none"/>
        </w:rPr>
        <w:t xml:space="preserve">须遵守采购</w:t>
      </w:r>
      <w:bookmarkEnd w:id="592"/>
      <w:r/>
      <w:bookmarkEnd w:id="593"/>
      <w:r>
        <w:rPr>
          <w:rFonts w:hint="eastAsia" w:ascii="宋体" w:hAnsi="宋体" w:cs="宋体"/>
          <w:bCs/>
          <w:sz w:val="24"/>
          <w:highlight w:val="none"/>
        </w:rPr>
        <w:t xml:space="preserve">方对文明施工和施工安全的规定，消除因运输、安装、调试过程中可能存在的安全隐患，对有要求的岗位应持证上岗，对施工安全负全部责任。</w:t>
      </w:r>
      <w:bookmarkEnd w:id="594"/>
      <w:r/>
      <w:r/>
    </w:p>
    <w:p>
      <w:pPr>
        <w:ind w:firstLine="482"/>
        <w:spacing w:line="400" w:lineRule="exact"/>
        <w:rPr>
          <w:rFonts w:hint="eastAsia" w:ascii="宋体" w:hAnsi="宋体" w:cs="宋体"/>
          <w:b/>
          <w:sz w:val="24"/>
          <w:highlight w:val="none"/>
        </w:rPr>
        <w:outlineLvl w:val="0"/>
      </w:pPr>
      <w:r/>
      <w:bookmarkStart w:id="595" w:name="_Toc4929"/>
      <w:r>
        <w:rPr>
          <w:rFonts w:hint="eastAsia" w:ascii="宋体" w:hAnsi="宋体" w:cs="宋体"/>
          <w:b/>
          <w:sz w:val="24"/>
          <w:highlight w:val="none"/>
        </w:rPr>
        <w:t xml:space="preserve">（二）10米法</w:t>
      </w:r>
      <w:bookmarkStart w:id="596" w:name="OLE_LINK157"/>
      <w:r/>
      <w:bookmarkStart w:id="597" w:name="OLE_LINK156"/>
      <w:r>
        <w:rPr>
          <w:rFonts w:hint="eastAsia" w:ascii="宋体" w:hAnsi="宋体" w:cs="宋体"/>
          <w:b/>
          <w:sz w:val="24"/>
          <w:highlight w:val="none"/>
        </w:rPr>
        <w:t xml:space="preserve">电波暗室和屏蔽室</w:t>
      </w:r>
      <w:bookmarkEnd w:id="595"/>
      <w:r/>
      <w:r/>
    </w:p>
    <w:p>
      <w:pPr>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1.电波暗室技术要求</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电波暗室是测量被测物的发射骚扰和对被测物进行辐射抗干扰测试的模拟标准环境。本场地测试产品涉及智能工业机器人、服务机器人、医疗机器人、移动机器人及无人机、灯具照明类、电动工具及家电类、多媒体类等。暗室建成后各方面的性能参数要符合下列标准的最新版本要求：</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ANSI C63.4《低压电子电器设备无线电噪声发射测量方法》</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CISPR 32《多媒体设备的电磁兼容 发射要求》</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CISPR16-1-4《无线电干扰和抗扰度测量设备和方法规范 第1-4部分：无线电干扰和抗扰度测量设备 辐射干扰测量的天线</w:t>
      </w:r>
      <w:bookmarkEnd w:id="596"/>
      <w:r/>
      <w:bookmarkEnd w:id="597"/>
      <w:r>
        <w:rPr>
          <w:rFonts w:hint="eastAsia" w:ascii="宋体" w:hAnsi="宋体" w:cs="宋体"/>
          <w:bCs/>
          <w:sz w:val="24"/>
          <w:highlight w:val="none"/>
        </w:rPr>
        <w:t xml:space="preserve">和测试场所》</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EN 50147《高性能屏蔽室屏蔽效能的测量方法》</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GB/T 12190《电磁屏蔽室屏蔽效能的测量方法》</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EN/IEC 61000-4-3《射频电磁场辐射抗扰度测试》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GB/T 17626.3《电磁兼容 试验和测量技术 射频电磁场辐射抗扰度测试》</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GB 50826《电磁波暗室工程技术规范》</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CNAS-CL01-A008《检测和校准实验室能力认可准则在电磁兼容检测领域的应用说明》</w:t>
      </w:r>
      <w:r/>
    </w:p>
    <w:p>
      <w:pPr>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电波暗室主要技术指标要求如下：</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▲1.1暗室静区：10m距离：直径6m、高2m的圆柱体；3m距离：直径2m、高2m的圆柱体；</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▲1.2屏蔽效能：暗室及其配套的控制室、功放室、屏蔽室的屏蔽效能应满足如下指标，按最新版的EN 50147-1、GB/T 12190的要求进行测量。</w:t>
      </w:r>
      <w:r/>
    </w:p>
    <w:tbl>
      <w:tblPr>
        <w:tblStyle w:val="9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1"/>
        <w:gridCol w:w="3794"/>
        <w:gridCol w:w="2565"/>
      </w:tblGrid>
      <w:tr>
        <w:trPr>
          <w:jc w:val="center"/>
        </w:trPr>
        <w:tc>
          <w:tcPr>
            <w:tcW w:w="1268" w:type="pct"/>
            <w:vAlign w:val="top"/>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场类型</w:t>
            </w:r>
            <w:r/>
          </w:p>
        </w:tc>
        <w:tc>
          <w:tcPr>
            <w:tcW w:w="2226" w:type="pct"/>
            <w:vAlign w:val="top"/>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频率</w:t>
            </w:r>
            <w:r/>
          </w:p>
        </w:tc>
        <w:tc>
          <w:tcPr>
            <w:tcW w:w="1505" w:type="pct"/>
            <w:vAlign w:val="top"/>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屏蔽效能</w:t>
            </w:r>
            <w:r/>
          </w:p>
        </w:tc>
      </w:tr>
      <w:tr>
        <w:trPr>
          <w:jc w:val="center"/>
        </w:trPr>
        <w:tc>
          <w:tcPr>
            <w:tcW w:w="1268"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磁场</w:t>
            </w:r>
            <w:r/>
          </w:p>
        </w:tc>
        <w:tc>
          <w:tcPr>
            <w:tcW w:w="2226"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10kHz</w:t>
            </w:r>
            <w:r/>
          </w:p>
        </w:tc>
        <w:tc>
          <w:tcPr>
            <w:tcW w:w="1505"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≥80dB</w:t>
            </w:r>
            <w:r/>
          </w:p>
        </w:tc>
      </w:tr>
      <w:tr>
        <w:trPr>
          <w:jc w:val="center"/>
        </w:trPr>
        <w:tc>
          <w:tcPr>
            <w:tcW w:w="1268"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磁场</w:t>
            </w:r>
            <w:r/>
          </w:p>
        </w:tc>
        <w:tc>
          <w:tcPr>
            <w:tcW w:w="2226"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100kHz</w:t>
            </w:r>
            <w:r/>
          </w:p>
        </w:tc>
        <w:tc>
          <w:tcPr>
            <w:tcW w:w="1505"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≥90dB</w:t>
            </w:r>
            <w:r/>
          </w:p>
        </w:tc>
      </w:tr>
      <w:tr>
        <w:trPr>
          <w:jc w:val="center"/>
        </w:trPr>
        <w:tc>
          <w:tcPr>
            <w:tcW w:w="1268"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磁场</w:t>
            </w:r>
            <w:r/>
          </w:p>
        </w:tc>
        <w:tc>
          <w:tcPr>
            <w:tcW w:w="2226"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1MHz～30MHz</w:t>
            </w:r>
            <w:r/>
          </w:p>
        </w:tc>
        <w:tc>
          <w:tcPr>
            <w:tcW w:w="1505"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≥110dB</w:t>
            </w:r>
            <w:r/>
          </w:p>
        </w:tc>
      </w:tr>
      <w:tr>
        <w:trPr>
          <w:jc w:val="center"/>
        </w:trPr>
        <w:tc>
          <w:tcPr>
            <w:tcW w:w="1268"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电场</w:t>
            </w:r>
            <w:r/>
          </w:p>
        </w:tc>
        <w:tc>
          <w:tcPr>
            <w:tcW w:w="2226"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10MHz～100MHz</w:t>
            </w:r>
            <w:r/>
          </w:p>
        </w:tc>
        <w:tc>
          <w:tcPr>
            <w:tcW w:w="1505"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≥110dB</w:t>
            </w:r>
            <w:r/>
          </w:p>
        </w:tc>
      </w:tr>
      <w:tr>
        <w:trPr>
          <w:jc w:val="center"/>
        </w:trPr>
        <w:tc>
          <w:tcPr>
            <w:tcW w:w="1268"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平面波</w:t>
            </w:r>
            <w:r/>
          </w:p>
        </w:tc>
        <w:tc>
          <w:tcPr>
            <w:tcW w:w="2226"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1GHz～18GHz</w:t>
            </w:r>
            <w:r/>
          </w:p>
        </w:tc>
        <w:tc>
          <w:tcPr>
            <w:tcW w:w="1505"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≥100dB</w:t>
            </w:r>
            <w:r/>
          </w:p>
        </w:tc>
      </w:tr>
      <w:tr>
        <w:trPr>
          <w:jc w:val="center"/>
        </w:trPr>
        <w:tc>
          <w:tcPr>
            <w:tcW w:w="1268"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平面波</w:t>
            </w:r>
            <w:r/>
          </w:p>
        </w:tc>
        <w:tc>
          <w:tcPr>
            <w:tcW w:w="2226"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18GHz～40GHz</w:t>
            </w:r>
            <w:r/>
          </w:p>
        </w:tc>
        <w:tc>
          <w:tcPr>
            <w:tcW w:w="1505" w:type="pct"/>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≥90dB</w:t>
            </w:r>
            <w:r/>
          </w:p>
        </w:tc>
      </w:tr>
    </w:tbl>
    <w:p>
      <w:pPr>
        <w:ind w:firstLine="482"/>
        <w:spacing w:line="400" w:lineRule="exact"/>
        <w:rPr>
          <w:rFonts w:hint="eastAsia" w:ascii="宋体" w:hAnsi="宋体" w:cs="宋体"/>
          <w:b/>
          <w:sz w:val="24"/>
          <w:highlight w:val="none"/>
          <w:u w:val="single"/>
        </w:rPr>
      </w:pPr>
      <w:r/>
      <w:bookmarkStart w:id="598" w:name="OLE_LINK28"/>
      <w:r/>
      <w:bookmarkStart w:id="599" w:name="OLE_LINK219"/>
      <w:r/>
      <w:bookmarkStart w:id="600" w:name="OLE_LINK27"/>
      <w:r/>
      <w:bookmarkStart w:id="601" w:name="OLE_LINK325"/>
      <w:r>
        <w:rPr>
          <w:rFonts w:hint="eastAsia" w:ascii="宋体" w:hAnsi="宋体" w:cs="宋体"/>
          <w:b/>
          <w:sz w:val="24"/>
          <w:highlight w:val="none"/>
          <w:u w:val="single"/>
        </w:rPr>
        <w:t xml:space="preserve">★</w:t>
      </w:r>
      <w:bookmarkEnd w:id="598"/>
      <w:r/>
      <w:bookmarkEnd w:id="599"/>
      <w:r/>
      <w:bookmarkEnd w:id="600"/>
      <w:r/>
      <w:bookmarkEnd w:id="601"/>
      <w:r/>
      <w:bookmarkStart w:id="602" w:name="OLE_LINK159"/>
      <w:r/>
      <w:bookmarkStart w:id="603" w:name="OLE_LINK158"/>
      <w:r>
        <w:rPr>
          <w:rFonts w:hint="eastAsia" w:ascii="宋体" w:hAnsi="宋体" w:cs="宋体"/>
          <w:b/>
          <w:sz w:val="24"/>
          <w:highlight w:val="none"/>
          <w:u w:val="single"/>
        </w:rPr>
        <w:t xml:space="preserve">1.3归一化场地衰减（NSA）</w:t>
      </w:r>
      <w:bookmarkEnd w:id="602"/>
      <w:r/>
      <w:bookmarkEnd w:id="603"/>
      <w:r/>
      <w:r/>
    </w:p>
    <w:p>
      <w:pPr>
        <w:ind w:firstLine="482"/>
        <w:spacing w:line="400" w:lineRule="exact"/>
        <w:rPr>
          <w:rFonts w:hint="eastAsia" w:ascii="宋体" w:hAnsi="宋体" w:cs="宋体"/>
          <w:b/>
          <w:sz w:val="24"/>
          <w:highlight w:val="none"/>
          <w:u w:val="single"/>
        </w:rPr>
      </w:pPr>
      <w:r>
        <w:rPr>
          <w:rFonts w:hint="eastAsia" w:ascii="宋体" w:hAnsi="宋体" w:cs="宋体"/>
          <w:b/>
          <w:sz w:val="24"/>
          <w:highlight w:val="none"/>
          <w:u w:val="single"/>
        </w:rPr>
        <w:t xml:space="preserve">30M-1GHz暗室的归一化场地衰减（NSA）应不大于</w:t>
      </w:r>
      <w:bookmarkStart w:id="604" w:name="OLE_LINK161"/>
      <w:r/>
      <w:bookmarkStart w:id="605" w:name="OLE_LINK160"/>
      <w:r>
        <w:rPr>
          <w:rFonts w:hint="eastAsia" w:ascii="宋体" w:hAnsi="宋体" w:cs="宋体"/>
          <w:b/>
          <w:sz w:val="24"/>
          <w:highlight w:val="none"/>
          <w:u w:val="single"/>
        </w:rPr>
        <w:t xml:space="preserve">±3.0dB</w:t>
      </w:r>
      <w:bookmarkEnd w:id="604"/>
      <w:r/>
      <w:bookmarkEnd w:id="605"/>
      <w:r>
        <w:rPr>
          <w:rFonts w:hint="eastAsia" w:ascii="宋体" w:hAnsi="宋体" w:cs="宋体"/>
          <w:b/>
          <w:sz w:val="24"/>
          <w:highlight w:val="none"/>
          <w:u w:val="single"/>
        </w:rPr>
        <w:t xml:space="preserve">。按最新版的CISPR 32、ANSI C63.4的要求对以下两种情况进行测量（测试点为两个，测试点的选取在现场确定）：</w:t>
      </w:r>
      <w:r/>
    </w:p>
    <w:p>
      <w:pPr>
        <w:ind w:firstLine="482"/>
        <w:spacing w:line="400" w:lineRule="exact"/>
        <w:rPr>
          <w:rFonts w:hint="eastAsia" w:ascii="宋体" w:hAnsi="宋体" w:cs="宋体"/>
          <w:b/>
          <w:sz w:val="24"/>
          <w:highlight w:val="none"/>
          <w:u w:val="single"/>
        </w:rPr>
      </w:pPr>
      <w:r>
        <w:rPr>
          <w:rFonts w:hint="eastAsia" w:ascii="宋体" w:hAnsi="宋体" w:cs="宋体"/>
          <w:b/>
          <w:sz w:val="24"/>
          <w:highlight w:val="none"/>
          <w:u w:val="single"/>
        </w:rPr>
        <w:t xml:space="preserve">测试</w:t>
      </w:r>
      <w:bookmarkStart w:id="606" w:name="OLE_LINK24"/>
      <w:r/>
      <w:bookmarkStart w:id="607" w:name="OLE_LINK25"/>
      <w:r>
        <w:rPr>
          <w:rFonts w:hint="eastAsia" w:ascii="宋体" w:hAnsi="宋体" w:cs="宋体"/>
          <w:b/>
          <w:sz w:val="24"/>
          <w:highlight w:val="none"/>
          <w:u w:val="single"/>
        </w:rPr>
        <w:t xml:space="preserve">距离3米：静区为2米直径，2米高度，与转台同心同轴。</w:t>
      </w:r>
      <w:r/>
    </w:p>
    <w:p>
      <w:pPr>
        <w:ind w:firstLine="482"/>
        <w:spacing w:line="400" w:lineRule="exact"/>
        <w:rPr>
          <w:rFonts w:hint="eastAsia" w:ascii="宋体" w:hAnsi="宋体" w:cs="宋体"/>
          <w:b/>
          <w:sz w:val="24"/>
          <w:highlight w:val="none"/>
          <w:u w:val="single"/>
        </w:rPr>
      </w:pPr>
      <w:r>
        <w:rPr>
          <w:rFonts w:hint="eastAsia" w:ascii="宋体" w:hAnsi="宋体" w:cs="宋体"/>
          <w:b/>
          <w:sz w:val="24"/>
          <w:highlight w:val="none"/>
          <w:u w:val="single"/>
        </w:rPr>
        <w:t xml:space="preserve">测试距离10米：</w:t>
      </w:r>
      <w:bookmarkEnd w:id="606"/>
      <w:r/>
      <w:bookmarkEnd w:id="607"/>
      <w:r>
        <w:rPr>
          <w:rFonts w:hint="eastAsia" w:ascii="宋体" w:hAnsi="宋体" w:cs="宋体"/>
          <w:b/>
          <w:sz w:val="24"/>
          <w:highlight w:val="none"/>
          <w:u w:val="single"/>
        </w:rPr>
        <w:t xml:space="preserve">静区为6米直径，2米高度，与转台同心同轴。</w:t>
      </w:r>
      <w:r/>
    </w:p>
    <w:p>
      <w:pPr>
        <w:ind w:firstLine="482"/>
        <w:spacing w:line="400" w:lineRule="exact"/>
        <w:rPr>
          <w:rFonts w:hint="eastAsia" w:ascii="宋体" w:hAnsi="宋体" w:cs="宋体"/>
          <w:b/>
          <w:sz w:val="24"/>
          <w:highlight w:val="none"/>
          <w:u w:val="single"/>
        </w:rPr>
      </w:pPr>
      <w:r>
        <w:rPr>
          <w:rFonts w:hint="eastAsia" w:ascii="宋体" w:hAnsi="宋体" w:cs="宋体"/>
          <w:b/>
          <w:sz w:val="24"/>
          <w:highlight w:val="none"/>
          <w:u w:val="single"/>
        </w:rPr>
        <w:t xml:space="preserve">频率范围：30MHz以下 </w:t>
      </w:r>
      <w:r/>
    </w:p>
    <w:p>
      <w:pPr>
        <w:ind w:firstLine="482"/>
        <w:spacing w:line="400" w:lineRule="exact"/>
        <w:rPr>
          <w:rFonts w:hint="eastAsia" w:ascii="宋体" w:hAnsi="宋体" w:cs="宋体"/>
          <w:b/>
          <w:sz w:val="24"/>
          <w:highlight w:val="none"/>
          <w:u w:val="single"/>
        </w:rPr>
      </w:pPr>
      <w:r>
        <w:rPr>
          <w:rFonts w:hint="eastAsia" w:ascii="宋体" w:hAnsi="宋体" w:cs="宋体"/>
          <w:b/>
          <w:sz w:val="24"/>
          <w:highlight w:val="none"/>
          <w:u w:val="single"/>
        </w:rPr>
        <w:t xml:space="preserve">场地要求：投标人应充分关注 CISPR文件关于该频段的场地验证要求，并应用于本项目方案中，暗室主体质保期内正式标准发布后，如场地校准达不到相关要求，投</w:t>
      </w:r>
      <w:bookmarkStart w:id="608" w:name="OLE_LINK22"/>
      <w:r/>
      <w:bookmarkStart w:id="609" w:name="OLE_LINK23"/>
      <w:r>
        <w:rPr>
          <w:rFonts w:hint="eastAsia" w:ascii="宋体" w:hAnsi="宋体" w:cs="宋体"/>
          <w:b/>
          <w:sz w:val="24"/>
          <w:highlight w:val="none"/>
          <w:u w:val="single"/>
        </w:rPr>
        <w:t xml:space="preserve">标</w:t>
      </w:r>
      <w:bookmarkStart w:id="610" w:name="OLE_LINK21"/>
      <w:r/>
      <w:bookmarkStart w:id="611" w:name="OLE_LINK20"/>
      <w:r>
        <w:rPr>
          <w:rFonts w:hint="eastAsia" w:ascii="宋体" w:hAnsi="宋体" w:cs="宋体"/>
          <w:b/>
          <w:sz w:val="24"/>
          <w:highlight w:val="none"/>
          <w:u w:val="single"/>
        </w:rPr>
        <w:t xml:space="preserve">人</w:t>
      </w:r>
      <w:bookmarkStart w:id="612" w:name="OLE_LINK19"/>
      <w:r/>
      <w:bookmarkStart w:id="613" w:name="OLE_LINK18"/>
      <w:r>
        <w:rPr>
          <w:rFonts w:hint="eastAsia" w:ascii="宋体" w:hAnsi="宋体" w:cs="宋体"/>
          <w:b/>
          <w:sz w:val="24"/>
          <w:highlight w:val="none"/>
          <w:u w:val="single"/>
        </w:rPr>
        <w:t xml:space="preserve">必须免</w:t>
      </w:r>
      <w:bookmarkEnd w:id="610"/>
      <w:r/>
      <w:bookmarkEnd w:id="611"/>
      <w:r/>
      <w:bookmarkEnd w:id="612"/>
      <w:r/>
      <w:bookmarkEnd w:id="613"/>
      <w:r>
        <w:rPr>
          <w:rFonts w:hint="eastAsia" w:ascii="宋体" w:hAnsi="宋体" w:cs="宋体"/>
          <w:b/>
          <w:sz w:val="24"/>
          <w:highlight w:val="none"/>
          <w:u w:val="single"/>
        </w:rPr>
        <w:t xml:space="preserve">费进</w:t>
      </w:r>
      <w:bookmarkEnd w:id="608"/>
      <w:r/>
      <w:bookmarkEnd w:id="609"/>
      <w:r>
        <w:rPr>
          <w:rFonts w:hint="eastAsia" w:ascii="宋体" w:hAnsi="宋体" w:cs="宋体"/>
          <w:b/>
          <w:sz w:val="24"/>
          <w:highlight w:val="none"/>
          <w:u w:val="single"/>
        </w:rPr>
        <w:t xml:space="preserve">行升级改造。</w:t>
      </w:r>
      <w:r/>
    </w:p>
    <w:p>
      <w:pPr>
        <w:ind w:firstLine="482"/>
        <w:spacing w:line="400" w:lineRule="exact"/>
        <w:rPr>
          <w:rFonts w:hint="eastAsia" w:ascii="宋体" w:hAnsi="宋体" w:cs="宋体"/>
          <w:b/>
          <w:sz w:val="24"/>
          <w:highlight w:val="none"/>
          <w:u w:val="single"/>
        </w:rPr>
      </w:pPr>
      <w:r>
        <w:rPr>
          <w:rFonts w:hint="eastAsia" w:ascii="宋体" w:hAnsi="宋体" w:cs="宋体"/>
          <w:b/>
          <w:sz w:val="24"/>
          <w:highlight w:val="none"/>
          <w:u w:val="single"/>
        </w:rPr>
        <w:t xml:space="preserve">归一化场地衰减（NSA）按照双天线法要求校准两根轴线且NSA验收时暗室地面不允许铺设任何铁氧体及吸波材料。</w:t>
      </w:r>
      <w:r/>
    </w:p>
    <w:p>
      <w:pPr>
        <w:ind w:firstLine="482"/>
        <w:spacing w:line="400" w:lineRule="exact"/>
        <w:rPr>
          <w:rFonts w:hint="eastAsia" w:ascii="宋体" w:hAnsi="宋体" w:cs="宋体"/>
          <w:b/>
          <w:sz w:val="24"/>
          <w:highlight w:val="none"/>
          <w:u w:val="single"/>
        </w:rPr>
      </w:pPr>
      <w:r>
        <w:rPr>
          <w:rFonts w:hint="eastAsia" w:ascii="宋体" w:hAnsi="宋体" w:cs="宋体"/>
          <w:b/>
          <w:sz w:val="24"/>
          <w:highlight w:val="none"/>
          <w:u w:val="single"/>
        </w:rPr>
        <w:t xml:space="preserve">归一化场地插入损耗(NSIL)偏差要求：≤±4.0 dB；</w:t>
      </w:r>
      <w:r/>
    </w:p>
    <w:p>
      <w:pPr>
        <w:ind w:firstLine="482"/>
        <w:spacing w:line="400" w:lineRule="exact"/>
        <w:rPr>
          <w:rFonts w:hint="eastAsia" w:ascii="宋体" w:hAnsi="宋体" w:cs="宋体"/>
          <w:b/>
          <w:sz w:val="24"/>
          <w:highlight w:val="none"/>
          <w:u w:val="single"/>
        </w:rPr>
      </w:pPr>
      <w:r>
        <w:rPr>
          <w:rFonts w:hint="eastAsia" w:ascii="宋体" w:hAnsi="宋体" w:cs="宋体"/>
          <w:b/>
          <w:sz w:val="24"/>
          <w:highlight w:val="none"/>
          <w:u w:val="single"/>
        </w:rPr>
        <w:t xml:space="preserve">频率范围：9 kHz～30 MHz；</w:t>
      </w:r>
      <w:r/>
    </w:p>
    <w:p>
      <w:pPr>
        <w:ind w:firstLine="482"/>
        <w:spacing w:line="400" w:lineRule="exact"/>
        <w:rPr>
          <w:rFonts w:hint="eastAsia" w:ascii="宋体" w:hAnsi="宋体" w:cs="宋体"/>
          <w:b/>
          <w:sz w:val="24"/>
          <w:highlight w:val="none"/>
          <w:u w:val="single"/>
        </w:rPr>
      </w:pPr>
      <w:r>
        <w:rPr>
          <w:rFonts w:hint="eastAsia" w:ascii="宋体" w:hAnsi="宋体" w:cs="宋体"/>
          <w:b/>
          <w:sz w:val="24"/>
          <w:highlight w:val="none"/>
          <w:u w:val="single"/>
        </w:rPr>
        <w:t xml:space="preserve">测试点：测试距离3 m，静区为直径2m、高2m的圆柱体；</w:t>
      </w:r>
      <w:r/>
    </w:p>
    <w:p>
      <w:pPr>
        <w:ind w:firstLine="482"/>
        <w:spacing w:line="400" w:lineRule="exact"/>
        <w:rPr>
          <w:rFonts w:hint="eastAsia" w:ascii="宋体" w:hAnsi="宋体" w:cs="宋体"/>
          <w:b/>
          <w:sz w:val="24"/>
          <w:highlight w:val="none"/>
          <w:u w:val="single"/>
        </w:rPr>
      </w:pPr>
      <w:r>
        <w:rPr>
          <w:rFonts w:hint="eastAsia" w:ascii="宋体" w:hAnsi="宋体" w:cs="宋体"/>
          <w:b/>
          <w:sz w:val="24"/>
          <w:highlight w:val="none"/>
          <w:u w:val="single"/>
        </w:rPr>
        <w:t xml:space="preserve">依据标准：CISPR 16-1-4。</w:t>
      </w:r>
      <w:r/>
    </w:p>
    <w:p>
      <w:pPr>
        <w:ind w:firstLine="482"/>
        <w:spacing w:line="400" w:lineRule="exact"/>
        <w:rPr>
          <w:rFonts w:hint="eastAsia" w:ascii="宋体" w:hAnsi="宋体" w:cs="宋体"/>
          <w:b/>
          <w:sz w:val="24"/>
          <w:highlight w:val="none"/>
          <w:u w:val="single"/>
        </w:rPr>
      </w:pPr>
      <w:r>
        <w:rPr>
          <w:rFonts w:hint="eastAsia" w:ascii="宋体" w:hAnsi="宋体" w:cs="宋体"/>
          <w:b/>
          <w:sz w:val="24"/>
          <w:highlight w:val="none"/>
          <w:u w:val="single"/>
        </w:rPr>
        <w:t xml:space="preserve">（本项是实质性响应条款。如不满足，投标文件作为无效投标。投标文件中须提供承诺函。）</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▲1.4场地电压驻波比（SVSWR）：1-18GHz暗室的场地电压驻波比</w:t>
      </w:r>
      <w:bookmarkStart w:id="614" w:name="OLE_LINK163"/>
      <w:r/>
      <w:bookmarkStart w:id="615" w:name="OLE_LINK162"/>
      <w:r>
        <w:rPr>
          <w:rFonts w:hint="eastAsia" w:ascii="宋体" w:hAnsi="宋体" w:cs="宋体"/>
          <w:bCs/>
          <w:sz w:val="24"/>
          <w:highlight w:val="none"/>
        </w:rPr>
        <w:t xml:space="preserve">（SVSWR）应≤5.0dB。</w:t>
      </w:r>
      <w:bookmarkEnd w:id="614"/>
      <w:r/>
      <w:bookmarkEnd w:id="615"/>
      <w:r>
        <w:rPr>
          <w:rFonts w:hint="eastAsia" w:ascii="宋体" w:hAnsi="宋体" w:cs="宋体"/>
          <w:bCs/>
          <w:sz w:val="24"/>
          <w:highlight w:val="none"/>
        </w:rPr>
        <w:t xml:space="preserve">校准时，参照最新版的CISPR16-1-4的要求对以下情况进行电压驻波比的测量：静区直径2m、高2m，测试距离3m（</w:t>
      </w:r>
      <w:r>
        <w:rPr>
          <w:rFonts w:hint="eastAsia" w:ascii="宋体" w:hAnsi="宋体" w:cs="宋体"/>
          <w:b/>
          <w:sz w:val="24"/>
          <w:highlight w:val="none"/>
        </w:rPr>
        <w:t xml:space="preserve">1G以上辐射发射测试吸波材料的铺设需考虑转台旋转，投标文件中提供具体方案</w:t>
      </w:r>
      <w:r>
        <w:rPr>
          <w:rFonts w:hint="eastAsia" w:ascii="宋体" w:hAnsi="宋体" w:cs="宋体"/>
          <w:bCs/>
          <w:sz w:val="24"/>
          <w:highlight w:val="none"/>
        </w:rPr>
        <w:t xml:space="preserve">）。</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▲1.5场地均匀性（FU）</w:t>
      </w:r>
      <w:r>
        <w:rPr>
          <w:rFonts w:hint="eastAsia" w:ascii="宋体" w:hAnsi="宋体" w:cs="宋体"/>
          <w:b/>
          <w:sz w:val="24"/>
          <w:highlight w:val="none"/>
        </w:rPr>
        <w:t xml:space="preserve">：</w:t>
      </w:r>
      <w:r>
        <w:rPr>
          <w:rFonts w:hint="eastAsia" w:ascii="宋体" w:hAnsi="宋体" w:cs="宋体"/>
          <w:bCs/>
          <w:sz w:val="24"/>
          <w:highlight w:val="none"/>
        </w:rPr>
        <w:t xml:space="preserve">20M-18GHz暗室的场均匀性按最新版的IEC 61000-4-3的要求进行测量。测试距离3m，16个点中75%的点中场地均匀性在</w:t>
      </w:r>
      <w:bookmarkStart w:id="616" w:name="OLE_LINK165"/>
      <w:r/>
      <w:bookmarkStart w:id="617" w:name="OLE_LINK164"/>
      <w:r>
        <w:rPr>
          <w:rFonts w:hint="eastAsia" w:ascii="宋体" w:hAnsi="宋体" w:cs="宋体"/>
          <w:bCs/>
          <w:sz w:val="24"/>
          <w:highlight w:val="none"/>
        </w:rPr>
        <w:t xml:space="preserve">0～5.0dB</w:t>
      </w:r>
      <w:bookmarkEnd w:id="616"/>
      <w:r/>
      <w:bookmarkEnd w:id="617"/>
      <w:r>
        <w:rPr>
          <w:rFonts w:hint="eastAsia" w:ascii="宋体" w:hAnsi="宋体" w:cs="宋体"/>
          <w:bCs/>
          <w:sz w:val="24"/>
          <w:highlight w:val="none"/>
        </w:rPr>
        <w:t xml:space="preserve">范围内</w:t>
      </w:r>
      <w:r>
        <w:rPr>
          <w:rFonts w:hint="eastAsia" w:ascii="宋体" w:hAnsi="宋体" w:cs="宋体"/>
          <w:b/>
          <w:sz w:val="24"/>
          <w:highlight w:val="none"/>
        </w:rPr>
        <w:t xml:space="preserve">(需考虑地面吸波材料及铁氧体搬运的便利性，投标文件中提供对应的方案，配置多层储物车辆)</w:t>
      </w:r>
      <w:r>
        <w:rPr>
          <w:rFonts w:hint="eastAsia" w:ascii="宋体" w:hAnsi="宋体" w:cs="宋体"/>
          <w:bCs/>
          <w:sz w:val="24"/>
          <w:highlight w:val="none"/>
        </w:rPr>
        <w:t xml:space="preserve">。</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▲1.6背景噪声(ABN)：暗室内背景噪声（暗室在不含EUT情况下，所有设备处于运行状态）测试Peak值电平比在30MHz～18GHz 的频率范围内的CISPR 32 标准所规定Class B 级的限值的电平至少</w:t>
      </w:r>
      <w:bookmarkStart w:id="618" w:name="OLE_LINK166"/>
      <w:r>
        <w:rPr>
          <w:rFonts w:hint="eastAsia" w:ascii="宋体" w:hAnsi="宋体" w:cs="宋体"/>
          <w:bCs/>
          <w:sz w:val="24"/>
          <w:highlight w:val="none"/>
        </w:rPr>
        <w:t xml:space="preserve">低12dB</w:t>
      </w:r>
      <w:bookmarkEnd w:id="618"/>
      <w:r>
        <w:rPr>
          <w:rFonts w:hint="eastAsia" w:ascii="宋体" w:hAnsi="宋体" w:cs="宋体"/>
          <w:bCs/>
          <w:sz w:val="24"/>
          <w:highlight w:val="none"/>
        </w:rPr>
        <w:t xml:space="preserve">。 </w:t>
      </w:r>
      <w:r/>
    </w:p>
    <w:p>
      <w:pPr>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2.电波暗室施工要求</w:t>
      </w:r>
      <w:r/>
    </w:p>
    <w:p>
      <w:pPr>
        <w:ind w:firstLine="480"/>
        <w:spacing w:line="400" w:lineRule="exact"/>
        <w:rPr>
          <w:rFonts w:hint="eastAsia" w:ascii="宋体" w:hAnsi="宋体" w:cs="宋体"/>
          <w:b/>
          <w:sz w:val="24"/>
          <w:highlight w:val="none"/>
        </w:rPr>
      </w:pPr>
      <w:r>
        <w:rPr>
          <w:rFonts w:hint="eastAsia" w:ascii="宋体" w:hAnsi="宋体" w:cs="宋体"/>
          <w:bCs/>
          <w:sz w:val="24"/>
          <w:highlight w:val="none"/>
        </w:rPr>
        <w:t xml:space="preserve">▲2.1暗室的结构尺寸：暗室建在检测楼内，包括暖通风管、钢架、屏蔽体和下沉区域在内的建设空间不大</w:t>
      </w:r>
      <w:bookmarkStart w:id="619" w:name="OLE_LINK167"/>
      <w:r/>
      <w:bookmarkStart w:id="620" w:name="OLE_LINK168"/>
      <w:r>
        <w:rPr>
          <w:rFonts w:hint="eastAsia" w:ascii="宋体" w:hAnsi="宋体" w:cs="宋体"/>
          <w:bCs/>
          <w:sz w:val="24"/>
          <w:highlight w:val="none"/>
        </w:rPr>
        <w:t xml:space="preserve">于26m*16m*12m（基础下沉0.85m，投标人负责对暗室安装后周围基坑进行处理，基坑区域要做防潮处理），暗室尺寸不小</w:t>
      </w:r>
      <w:bookmarkStart w:id="621" w:name="OLE_LINK170"/>
      <w:r/>
      <w:bookmarkStart w:id="622" w:name="OLE_LINK169"/>
      <w:r>
        <w:rPr>
          <w:rFonts w:hint="eastAsia" w:ascii="宋体" w:hAnsi="宋体" w:cs="宋体"/>
          <w:bCs/>
          <w:sz w:val="24"/>
          <w:highlight w:val="none"/>
        </w:rPr>
        <w:t xml:space="preserve">于23m*15m*9.5m</w:t>
      </w:r>
      <w:bookmarkEnd w:id="621"/>
      <w:r/>
      <w:bookmarkEnd w:id="622"/>
      <w:r>
        <w:rPr>
          <w:rFonts w:hint="eastAsia" w:ascii="宋体" w:hAnsi="宋体" w:cs="宋体"/>
          <w:bCs/>
          <w:sz w:val="24"/>
          <w:highlight w:val="none"/>
        </w:rPr>
        <w:t xml:space="preserve">（该尺寸为扣掉柱子尺寸后的净空间）。吸波材料尖劈和尖劈保护盖与转台边缘</w:t>
      </w:r>
      <w:bookmarkEnd w:id="619"/>
      <w:r/>
      <w:bookmarkEnd w:id="620"/>
      <w:r>
        <w:rPr>
          <w:rFonts w:hint="eastAsia" w:ascii="宋体" w:hAnsi="宋体" w:cs="宋体"/>
          <w:bCs/>
          <w:sz w:val="24"/>
          <w:highlight w:val="none"/>
        </w:rPr>
        <w:t xml:space="preserve">水平距离需大于2m。安装好的暗室应在墙体和屏蔽壳体之间留下足够的人员通道，便于维护。暗室为独立支撑钢结构，抗震裂度不低于8级，除底部外同主建筑结构无其他接触。此外，在暗室样品区（1/3长度区域）的高架地板承重能力应大于5000kg/㎡，其他区域应大于2000kg/㎡</w:t>
      </w:r>
      <w:bookmarkStart w:id="623" w:name="OLE_LINK26"/>
      <w:r>
        <w:rPr>
          <w:rFonts w:hint="eastAsia" w:ascii="宋体" w:hAnsi="宋体" w:cs="宋体"/>
          <w:bCs/>
          <w:sz w:val="24"/>
          <w:highlight w:val="none"/>
        </w:rPr>
        <w:t xml:space="preserve">。</w:t>
      </w:r>
      <w:bookmarkEnd w:id="623"/>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2.2暗室的门：该暗室的大门（即被测物出入的门为全自动轨道平移门）进出门洞净尺寸不小于4.2m×4.2m。该暗室的小门（即人员出入的门）门洞尺寸不小于1.5m×2.0m。屏蔽门采用电动锁紧，屏蔽门应有良好的射频接触，采用2刀4簧的模式以保证屏蔽效能达到采购文件要求，门上安装应急灯和安全互联开关。屏蔽门表面要用烤漆工艺，防止门生锈。</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电波暗室屏蔽门安装互锁开关，在抗扰度测试过程中开启暗室屏蔽滑移大门和员工屏蔽门时，抗扰度测试应能自动终止。</w:t>
      </w:r>
      <w:r/>
    </w:p>
    <w:p>
      <w:pPr>
        <w:ind w:firstLine="480"/>
        <w:spacing w:line="400" w:lineRule="exact"/>
        <w:rPr>
          <w:rFonts w:hint="eastAsia" w:ascii="宋体" w:hAnsi="宋体" w:cs="宋体"/>
          <w:bCs/>
          <w:sz w:val="24"/>
          <w:highlight w:val="none"/>
        </w:rPr>
      </w:pPr>
      <w:r/>
      <w:bookmarkStart w:id="624" w:name="OLE_LINK171"/>
      <w:r>
        <w:rPr>
          <w:rFonts w:hint="eastAsia" w:ascii="宋体" w:hAnsi="宋体" w:cs="宋体"/>
          <w:bCs/>
          <w:sz w:val="24"/>
          <w:highlight w:val="none"/>
        </w:rPr>
        <w:t xml:space="preserve">2.3屏蔽壳体：暗室及其配套屏蔽室的屏蔽壳体应采用拼装结构的屏蔽壳体，镀锌钢板厚度不小于2mm，其镀锌层的厚度不小于20μm。任意相邻两块屏蔽模板间采用屏蔽衬垫，以保证优异的射频屏蔽和电接触。暗室地板采用304不锈钢板，暗室地面不锈钢板厚度不低于3mm（</w:t>
      </w:r>
      <w:r>
        <w:rPr>
          <w:rFonts w:hint="eastAsia" w:ascii="宋体" w:hAnsi="宋体" w:cs="宋体"/>
          <w:b/>
          <w:sz w:val="24"/>
          <w:highlight w:val="none"/>
        </w:rPr>
        <w:t xml:space="preserve">投标文件中提供相关证明材料</w:t>
      </w:r>
      <w:r>
        <w:rPr>
          <w:rFonts w:hint="eastAsia" w:ascii="宋体" w:hAnsi="宋体" w:cs="宋体"/>
          <w:bCs/>
          <w:sz w:val="24"/>
          <w:highlight w:val="none"/>
        </w:rPr>
        <w:t xml:space="preserve">）。高架地板不会因承重产生任何可见变形，暗室主承重区（暗室大门至转台区域）不锈钢板下铺的衬垫应采用硬质材料，防止重物运输造成不锈钢板变形（投标文件中需给出具体材质信息）。屏蔽体在建造时应经过防水设计，抗震裂度8级；屏蔽体与地隔离，屏蔽体对地电阻应大于2</w:t>
      </w:r>
      <w:r>
        <w:rPr>
          <w:bCs/>
          <w:sz w:val="24"/>
          <w:highlight w:val="none"/>
        </w:rPr>
        <w:t xml:space="preserve">MΩ</w:t>
      </w:r>
      <w:r>
        <w:rPr>
          <w:rFonts w:hint="eastAsia" w:ascii="宋体" w:hAnsi="宋体" w:cs="宋体"/>
          <w:bCs/>
          <w:sz w:val="24"/>
          <w:highlight w:val="none"/>
        </w:rPr>
        <w:t xml:space="preserve">（为保证屏蔽体与建筑地面绝缘性能，绝缘层应至少选用一层聚四氟乙烯薄膜材质）。屏蔽体外面层采用静电喷塑涂层，颜色由采购方确认。</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电源进线对屏蔽室金属壁的绝缘电阻及导线与导线之间的绝缘电阻大于2MΩ。独立做两套接地，一套单独用于电波暗室和屏蔽室，一套用于EMS测试区。屏蔽壳体采用单独接地，接地电阻小于1Ω。</w:t>
      </w:r>
      <w:bookmarkEnd w:id="624"/>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▲2.4暗室的铁氧体及吸波材料</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尖劈吸波材料</w:t>
      </w:r>
      <w:bookmarkStart w:id="625" w:name="OLE_LINK30"/>
      <w:r/>
      <w:bookmarkStart w:id="626" w:name="OLE_LINK29"/>
      <w:r>
        <w:rPr>
          <w:rFonts w:hint="eastAsia" w:ascii="宋体" w:hAnsi="宋体" w:cs="宋体"/>
          <w:bCs/>
          <w:sz w:val="24"/>
          <w:highlight w:val="none"/>
        </w:rPr>
        <w:t xml:space="preserve">：</w:t>
      </w:r>
      <w:bookmarkStart w:id="627" w:name="OLE_LINK174"/>
      <w:r/>
      <w:bookmarkStart w:id="628" w:name="OLE_LINK175"/>
      <w:r/>
      <w:bookmarkStart w:id="629" w:name="OLE_LINK176"/>
      <w:r>
        <w:rPr>
          <w:rFonts w:hint="eastAsia" w:ascii="宋体" w:hAnsi="宋体" w:cs="宋体"/>
          <w:bCs/>
          <w:sz w:val="24"/>
          <w:highlight w:val="none"/>
        </w:rPr>
        <w:t xml:space="preserve">工</w:t>
      </w:r>
      <w:bookmarkStart w:id="630" w:name="OLE_LINK172"/>
      <w:r/>
      <w:bookmarkStart w:id="631" w:name="OLE_LINK173"/>
      <w:r>
        <w:rPr>
          <w:rFonts w:hint="eastAsia" w:ascii="宋体" w:hAnsi="宋体" w:cs="宋体"/>
          <w:bCs/>
          <w:sz w:val="24"/>
          <w:highlight w:val="none"/>
        </w:rPr>
        <w:t xml:space="preserve">作频</w:t>
      </w:r>
      <w:bookmarkEnd w:id="630"/>
      <w:r/>
      <w:bookmarkEnd w:id="631"/>
      <w:r>
        <w:rPr>
          <w:rFonts w:hint="eastAsia" w:ascii="宋体" w:hAnsi="宋体" w:cs="宋体"/>
          <w:bCs/>
          <w:sz w:val="24"/>
          <w:highlight w:val="none"/>
        </w:rPr>
        <w:t xml:space="preserve">率</w:t>
      </w:r>
      <w:bookmarkStart w:id="632" w:name="OLE_LINK177"/>
      <w:r/>
      <w:bookmarkStart w:id="633" w:name="OLE_LINK178"/>
      <w:r/>
      <w:bookmarkStart w:id="634" w:name="OLE_LINK179"/>
      <w:r>
        <w:rPr>
          <w:rFonts w:hint="eastAsia" w:ascii="宋体" w:hAnsi="宋体" w:cs="宋体"/>
          <w:bCs/>
          <w:sz w:val="24"/>
          <w:highlight w:val="none"/>
        </w:rPr>
        <w:t xml:space="preserve">上限≥40GHz；</w:t>
      </w:r>
      <w:bookmarkEnd w:id="632"/>
      <w:r/>
      <w:bookmarkEnd w:id="633"/>
      <w:r/>
      <w:bookmarkEnd w:id="634"/>
      <w:r>
        <w:rPr>
          <w:rFonts w:hint="eastAsia" w:ascii="宋体" w:hAnsi="宋体" w:cs="宋体"/>
          <w:bCs/>
          <w:sz w:val="24"/>
          <w:highlight w:val="none"/>
        </w:rPr>
        <w:t xml:space="preserve">采用硬质环保吸波材料（明确基材成分及配比，不接受聚氨</w:t>
      </w:r>
      <w:bookmarkEnd w:id="625"/>
      <w:r/>
      <w:bookmarkEnd w:id="626"/>
      <w:r>
        <w:rPr>
          <w:rFonts w:hint="eastAsia" w:ascii="宋体" w:hAnsi="宋体" w:cs="宋体"/>
          <w:bCs/>
          <w:sz w:val="24"/>
          <w:highlight w:val="none"/>
        </w:rPr>
        <w:t xml:space="preserve">酯海绵材质）；</w:t>
      </w:r>
      <w:bookmarkStart w:id="635" w:name="OLE_LINK181"/>
      <w:r/>
      <w:bookmarkStart w:id="636" w:name="OLE_LINK180"/>
      <w:r/>
      <w:bookmarkStart w:id="637" w:name="OLE_LINK182"/>
      <w:r>
        <w:rPr>
          <w:rFonts w:hint="eastAsia" w:ascii="宋体" w:hAnsi="宋体" w:cs="宋体"/>
          <w:bCs/>
          <w:sz w:val="24"/>
          <w:highlight w:val="none"/>
        </w:rPr>
        <w:t xml:space="preserve">具备阻燃、环保特性</w:t>
      </w:r>
      <w:bookmarkEnd w:id="635"/>
      <w:r/>
      <w:bookmarkEnd w:id="636"/>
      <w:r/>
      <w:bookmarkEnd w:id="637"/>
      <w:r>
        <w:rPr>
          <w:rFonts w:hint="eastAsia" w:ascii="宋体" w:hAnsi="宋体" w:cs="宋体"/>
          <w:bCs/>
          <w:sz w:val="24"/>
          <w:highlight w:val="none"/>
        </w:rPr>
        <w:t xml:space="preserve">，不吸潮、不下垂变形，能</w:t>
      </w:r>
      <w:bookmarkStart w:id="638" w:name="OLE_LINK185"/>
      <w:r>
        <w:rPr>
          <w:rFonts w:hint="eastAsia" w:ascii="宋体" w:hAnsi="宋体" w:cs="宋体"/>
          <w:bCs/>
          <w:sz w:val="24"/>
          <w:highlight w:val="none"/>
        </w:rPr>
        <w:t xml:space="preserve">安全耐受200V/m的连续场强或600V/m的</w:t>
      </w:r>
      <w:bookmarkEnd w:id="638"/>
      <w:r>
        <w:rPr>
          <w:rFonts w:hint="eastAsia" w:ascii="宋体" w:hAnsi="宋体" w:cs="宋体"/>
          <w:bCs/>
          <w:sz w:val="24"/>
          <w:highlight w:val="none"/>
        </w:rPr>
        <w:t xml:space="preserve">断续场</w:t>
      </w:r>
      <w:bookmarkEnd w:id="627"/>
      <w:r>
        <w:rPr>
          <w:rFonts w:hint="eastAsia" w:ascii="宋体" w:hAnsi="宋体" w:cs="宋体"/>
          <w:bCs/>
          <w:sz w:val="24"/>
          <w:highlight w:val="none"/>
        </w:rPr>
        <w:t xml:space="preserve">强；</w:t>
      </w:r>
      <w:bookmarkEnd w:id="628"/>
      <w:r/>
      <w:bookmarkEnd w:id="629"/>
      <w:r/>
      <w:bookmarkStart w:id="639" w:name="OLE_LINK546"/>
      <w:r>
        <w:rPr>
          <w:rFonts w:hint="eastAsia" w:ascii="宋体" w:hAnsi="宋体" w:cs="宋体"/>
          <w:bCs/>
          <w:sz w:val="24"/>
          <w:highlight w:val="none"/>
        </w:rPr>
        <w:t xml:space="preserve">技术指标应不低于TDK、法兰克尼亚、日本理研或相当于以上品牌技术水平的产品</w:t>
      </w:r>
      <w:bookmarkStart w:id="640" w:name="OLE_LINK35"/>
      <w:r>
        <w:rPr>
          <w:rFonts w:hint="eastAsia" w:ascii="宋体" w:hAnsi="宋体" w:cs="宋体"/>
          <w:bCs/>
          <w:sz w:val="24"/>
          <w:highlight w:val="none"/>
        </w:rPr>
        <w:t xml:space="preserve">；</w:t>
      </w:r>
      <w:bookmarkEnd w:id="639"/>
      <w:r>
        <w:rPr>
          <w:rFonts w:hint="eastAsia" w:ascii="宋体" w:hAnsi="宋体" w:cs="宋体"/>
          <w:b/>
          <w:bCs/>
          <w:sz w:val="24"/>
          <w:highlight w:val="none"/>
        </w:rPr>
        <w:t xml:space="preserve">（</w:t>
      </w:r>
      <w:bookmarkStart w:id="641" w:name="OLE_LINK184"/>
      <w:r/>
      <w:bookmarkStart w:id="642" w:name="OLE_LINK183"/>
      <w:r>
        <w:rPr>
          <w:rFonts w:hint="eastAsia" w:ascii="宋体" w:hAnsi="宋体" w:cs="宋体"/>
          <w:b/>
          <w:bCs/>
          <w:sz w:val="24"/>
          <w:highlight w:val="none"/>
        </w:rPr>
        <w:t xml:space="preserve">投标文件中提供具备CNAS或ILAC-MRA</w:t>
      </w:r>
      <w:bookmarkStart w:id="643" w:name="OLE_LINK545"/>
      <w:r/>
      <w:bookmarkStart w:id="644" w:name="OLE_LINK543"/>
      <w:r/>
      <w:bookmarkStart w:id="645" w:name="OLE_LINK544"/>
      <w:r>
        <w:rPr>
          <w:rFonts w:hint="eastAsia" w:ascii="宋体" w:hAnsi="宋体" w:cs="宋体"/>
          <w:b/>
          <w:bCs/>
          <w:sz w:val="24"/>
          <w:highlight w:val="none"/>
        </w:rPr>
        <w:t xml:space="preserve">认可资质的第三</w:t>
      </w:r>
      <w:bookmarkEnd w:id="640"/>
      <w:r>
        <w:rPr>
          <w:rFonts w:hint="eastAsia" w:ascii="宋体" w:hAnsi="宋体" w:cs="宋体"/>
          <w:b/>
          <w:bCs/>
          <w:sz w:val="24"/>
          <w:highlight w:val="none"/>
        </w:rPr>
        <w:t xml:space="preserve">方机构出</w:t>
      </w:r>
      <w:bookmarkEnd w:id="643"/>
      <w:r/>
      <w:bookmarkEnd w:id="644"/>
      <w:r/>
      <w:bookmarkEnd w:id="645"/>
      <w:r>
        <w:rPr>
          <w:rFonts w:hint="eastAsia" w:ascii="宋体" w:hAnsi="宋体" w:cs="宋体"/>
          <w:b/>
          <w:bCs/>
          <w:sz w:val="24"/>
          <w:highlight w:val="none"/>
        </w:rPr>
        <w:t xml:space="preserve">具的检测报告</w:t>
      </w:r>
      <w:bookmarkEnd w:id="641"/>
      <w:r/>
      <w:bookmarkEnd w:id="642"/>
      <w:r>
        <w:rPr>
          <w:rFonts w:hint="eastAsia" w:ascii="宋体" w:hAnsi="宋体" w:cs="宋体"/>
          <w:b/>
          <w:bCs/>
          <w:sz w:val="24"/>
          <w:highlight w:val="none"/>
        </w:rPr>
        <w:t xml:space="preserve">）</w:t>
      </w:r>
      <w:r/>
    </w:p>
    <w:p>
      <w:pPr>
        <w:pStyle w:val="1066"/>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防火标准：</w:t>
      </w:r>
      <w:bookmarkStart w:id="646" w:name="OLE_LINK187"/>
      <w:r/>
      <w:bookmarkStart w:id="647" w:name="OLE_LINK186"/>
      <w:r/>
      <w:bookmarkStart w:id="648" w:name="OLE_LINK32"/>
      <w:r/>
      <w:bookmarkStart w:id="649" w:name="OLE_LINK31"/>
      <w:r>
        <w:rPr>
          <w:rFonts w:hint="eastAsia" w:ascii="宋体" w:hAnsi="宋体" w:cs="宋体"/>
          <w:sz w:val="24"/>
          <w:highlight w:val="none"/>
        </w:rPr>
        <w:t xml:space="preserve">需满</w:t>
      </w:r>
      <w:bookmarkEnd w:id="646"/>
      <w:r/>
      <w:bookmarkEnd w:id="647"/>
      <w:r>
        <w:rPr>
          <w:rFonts w:hint="eastAsia" w:ascii="宋体" w:hAnsi="宋体" w:cs="宋体"/>
          <w:sz w:val="24"/>
          <w:highlight w:val="none"/>
        </w:rPr>
        <w:t xml:space="preserve">足标准要求之一</w:t>
      </w:r>
      <w:bookmarkStart w:id="650" w:name="OLE_LINK37"/>
      <w:r/>
      <w:bookmarkStart w:id="651" w:name="OLE_LINK38"/>
      <w:r/>
      <w:bookmarkStart w:id="652" w:name="OLE_LINK36"/>
      <w:r>
        <w:rPr>
          <w:rFonts w:hint="eastAsia" w:ascii="宋体" w:hAnsi="宋体" w:cs="宋体"/>
          <w:sz w:val="24"/>
          <w:highlight w:val="none"/>
        </w:rPr>
        <w:t xml:space="preserve">（</w:t>
      </w:r>
      <w:bookmarkEnd w:id="648"/>
      <w:r/>
      <w:bookmarkEnd w:id="649"/>
      <w:r>
        <w:rPr>
          <w:rFonts w:hint="eastAsia" w:ascii="宋体" w:hAnsi="宋体" w:cs="宋体"/>
          <w:b/>
          <w:sz w:val="24"/>
          <w:highlight w:val="none"/>
        </w:rPr>
        <w:t xml:space="preserve">投标文件中提供对应的第三方检测报告，</w:t>
      </w:r>
      <w:bookmarkStart w:id="653" w:name="OLE_LINK190"/>
      <w:r/>
      <w:bookmarkStart w:id="654" w:name="OLE_LINK189"/>
      <w:r>
        <w:rPr>
          <w:rFonts w:hint="eastAsia" w:ascii="宋体" w:hAnsi="宋体" w:cs="宋体"/>
          <w:b/>
          <w:sz w:val="24"/>
          <w:highlight w:val="none"/>
        </w:rPr>
        <w:t xml:space="preserve">检测机构需</w:t>
      </w:r>
      <w:bookmarkStart w:id="655" w:name="OLE_LINK34"/>
      <w:r/>
      <w:bookmarkStart w:id="656" w:name="OLE_LINK33"/>
      <w:r>
        <w:rPr>
          <w:rFonts w:hint="eastAsia" w:ascii="宋体" w:hAnsi="宋体" w:cs="宋体"/>
          <w:b/>
          <w:sz w:val="24"/>
          <w:highlight w:val="none"/>
        </w:rPr>
        <w:t xml:space="preserve">具备相关标准检测资质</w:t>
      </w:r>
      <w:bookmarkEnd w:id="653"/>
      <w:r/>
      <w:bookmarkEnd w:id="654"/>
      <w:r/>
      <w:bookmarkEnd w:id="655"/>
      <w:r/>
      <w:bookmarkEnd w:id="656"/>
      <w:r>
        <w:rPr>
          <w:rFonts w:hint="eastAsia" w:ascii="宋体" w:hAnsi="宋体" w:cs="宋体"/>
          <w:sz w:val="24"/>
          <w:highlight w:val="none"/>
        </w:rPr>
        <w:t xml:space="preserve">）：​</w:t>
      </w:r>
      <w:bookmarkEnd w:id="650"/>
      <w:r/>
      <w:bookmarkEnd w:id="651"/>
      <w:r/>
      <w:bookmarkEnd w:id="652"/>
      <w:r/>
      <w:r/>
    </w:p>
    <w:p>
      <w:pPr>
        <w:pStyle w:val="1066"/>
        <w:ind w:firstLine="480"/>
        <w:jc w:val="left"/>
        <w:spacing w:line="400" w:lineRule="exact"/>
        <w:rPr>
          <w:rFonts w:hint="eastAsia" w:ascii="宋体" w:hAnsi="宋体" w:cs="宋体"/>
          <w:sz w:val="24"/>
          <w:highlight w:val="none"/>
        </w:rPr>
      </w:pPr>
      <w:r/>
      <w:bookmarkStart w:id="657" w:name="OLE_LINK188"/>
      <w:r>
        <w:rPr>
          <w:rFonts w:hint="eastAsia" w:ascii="宋体" w:hAnsi="宋体" w:cs="宋体"/>
          <w:sz w:val="24"/>
          <w:highlight w:val="none"/>
        </w:rPr>
        <w:t xml:space="preserve">DIN 4102 B2（德国建筑材料燃烧性能标准，满足难燃级要求）；​</w:t>
      </w:r>
      <w:r/>
    </w:p>
    <w:p>
      <w:pPr>
        <w:pStyle w:val="1066"/>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MIT Lincoln Laboratory specification MS-8-21（Tests I，II，and III）；</w:t>
      </w:r>
      <w:r/>
    </w:p>
    <w:p>
      <w:pPr>
        <w:pStyle w:val="1066"/>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NRL Report 8093（Tests 1，2，and 3）；​</w:t>
      </w:r>
      <w:r/>
    </w:p>
    <w:p>
      <w:pPr>
        <w:pStyle w:val="1066"/>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UL 94 HBF（美国阻燃等级标准，水平燃烧测试合格）；​</w:t>
      </w:r>
      <w:r/>
    </w:p>
    <w:p>
      <w:pPr>
        <w:pStyle w:val="1066"/>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GB 8624《建筑材料及制品燃烧性能分级》中阻燃级要求（明确达到B级及以上等级）</w:t>
      </w:r>
      <w:bookmarkEnd w:id="657"/>
      <w:r/>
      <w:r/>
    </w:p>
    <w:p>
      <w:pPr>
        <w:pStyle w:val="1066"/>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铺设要求：五面（除地面外）等高满铺，表面需铺设白色防护盖板；盖板材质需与吸波材料同等防火等级（阻燃级，符合 GB 8624 B 级及以上标准），盖板拼接缝隙≤2mm，表面平整度误差≤3mm/m，不影响吸波性能及暗室整体屏蔽效能；​</w:t>
      </w:r>
      <w:r/>
    </w:p>
    <w:p>
      <w:pPr>
        <w:pStyle w:val="1066"/>
        <w:ind w:firstLine="480"/>
        <w:jc w:val="left"/>
        <w:spacing w:line="400" w:lineRule="exact"/>
        <w:rPr>
          <w:rFonts w:hint="eastAsia" w:ascii="宋体" w:hAnsi="宋体" w:cs="宋体"/>
          <w:sz w:val="24"/>
          <w:highlight w:val="none"/>
        </w:rPr>
      </w:pPr>
      <w:r/>
      <w:bookmarkStart w:id="658" w:name="OLE_LINK191"/>
      <w:r/>
      <w:bookmarkStart w:id="659" w:name="OLE_LINK192"/>
      <w:r>
        <w:rPr>
          <w:rFonts w:hint="eastAsia" w:ascii="宋体" w:hAnsi="宋体" w:cs="宋体"/>
          <w:sz w:val="24"/>
          <w:highlight w:val="none"/>
        </w:rPr>
        <w:t xml:space="preserve">地面吸波材料：数</w:t>
      </w:r>
      <w:bookmarkStart w:id="660" w:name="OLE_LINK194"/>
      <w:r/>
      <w:bookmarkStart w:id="661" w:name="OLE_LINK195"/>
      <w:r>
        <w:rPr>
          <w:rFonts w:hint="eastAsia" w:ascii="宋体" w:hAnsi="宋体" w:cs="宋体"/>
          <w:sz w:val="24"/>
          <w:highlight w:val="none"/>
        </w:rPr>
        <w:t xml:space="preserve">量需满足1GHz以上辐射骚扰测试的SVSW</w:t>
      </w:r>
      <w:bookmarkEnd w:id="660"/>
      <w:r/>
      <w:bookmarkEnd w:id="661"/>
      <w:r>
        <w:rPr>
          <w:rFonts w:hint="eastAsia" w:ascii="宋体" w:hAnsi="宋体" w:cs="宋体"/>
          <w:sz w:val="24"/>
          <w:highlight w:val="none"/>
        </w:rPr>
        <w:t xml:space="preserve">R技术指标及辐射抗扰度测试的场均匀性指标，便</w:t>
      </w:r>
      <w:bookmarkEnd w:id="658"/>
      <w:r/>
      <w:bookmarkEnd w:id="659"/>
      <w:r>
        <w:rPr>
          <w:rFonts w:hint="eastAsia" w:ascii="宋体" w:hAnsi="宋体" w:cs="宋体"/>
          <w:sz w:val="24"/>
          <w:highlight w:val="none"/>
        </w:rPr>
        <w:t xml:space="preserve">于人工搬运，</w:t>
      </w:r>
      <w:bookmarkStart w:id="662" w:name="OLE_LINK197"/>
      <w:r/>
      <w:bookmarkStart w:id="663" w:name="OLE_LINK196"/>
      <w:r>
        <w:rPr>
          <w:rFonts w:hint="eastAsia" w:ascii="宋体" w:hAnsi="宋体" w:cs="宋体"/>
          <w:sz w:val="24"/>
          <w:highlight w:val="none"/>
        </w:rPr>
        <w:t xml:space="preserve">需提供专用多层</w:t>
      </w:r>
      <w:bookmarkEnd w:id="662"/>
      <w:r/>
      <w:bookmarkEnd w:id="663"/>
      <w:r>
        <w:rPr>
          <w:rFonts w:hint="eastAsia" w:ascii="宋体" w:hAnsi="宋体" w:cs="宋体"/>
          <w:sz w:val="24"/>
          <w:highlight w:val="none"/>
        </w:rPr>
        <w:t xml:space="preserve">储物运输车辆（</w:t>
      </w:r>
      <w:bookmarkStart w:id="664" w:name="OLE_LINK198"/>
      <w:r>
        <w:rPr>
          <w:rFonts w:hint="eastAsia" w:ascii="宋体" w:hAnsi="宋体" w:cs="宋体"/>
          <w:sz w:val="24"/>
          <w:highlight w:val="none"/>
        </w:rPr>
        <w:t xml:space="preserve">载重≥500kg，</w:t>
      </w:r>
      <w:bookmarkEnd w:id="664"/>
      <w:r>
        <w:rPr>
          <w:rFonts w:hint="eastAsia" w:ascii="宋体" w:hAnsi="宋体" w:cs="宋体"/>
          <w:sz w:val="24"/>
          <w:highlight w:val="none"/>
        </w:rPr>
        <w:t xml:space="preserve">可分层存放，配备固定装置防止运输过程中</w:t>
      </w:r>
      <w:bookmarkStart w:id="665" w:name="OLE_LINK201"/>
      <w:r/>
      <w:bookmarkStart w:id="666" w:name="OLE_LINK202"/>
      <w:r>
        <w:rPr>
          <w:rFonts w:hint="eastAsia" w:ascii="宋体" w:hAnsi="宋体" w:cs="宋体"/>
          <w:sz w:val="24"/>
          <w:highlight w:val="none"/>
        </w:rPr>
        <w:t xml:space="preserve">损坏）；​特殊设计：门边吸波材料采用防碰撞设计</w:t>
      </w:r>
      <w:bookmarkStart w:id="667" w:name="OLE_LINK199"/>
      <w:r/>
      <w:bookmarkStart w:id="668" w:name="OLE_LINK200"/>
      <w:r>
        <w:rPr>
          <w:rFonts w:hint="eastAsia" w:ascii="宋体" w:hAnsi="宋体" w:cs="宋体"/>
          <w:b/>
          <w:bCs/>
          <w:sz w:val="24"/>
          <w:highlight w:val="none"/>
        </w:rPr>
        <w:t xml:space="preserve">（投标文件中提供结构示意图，明确防护层材质、厚度及固定方式，防护层需不影响吸波性能）</w:t>
      </w:r>
      <w:r>
        <w:rPr>
          <w:rFonts w:hint="eastAsia" w:ascii="宋体" w:hAnsi="宋体" w:cs="宋体"/>
          <w:sz w:val="24"/>
          <w:highlight w:val="none"/>
        </w:rPr>
        <w:t xml:space="preserve">；​</w:t>
      </w:r>
      <w:bookmarkEnd w:id="665"/>
      <w:r/>
      <w:bookmarkEnd w:id="666"/>
      <w:r/>
      <w:bookmarkEnd w:id="667"/>
      <w:r/>
      <w:bookmarkEnd w:id="668"/>
      <w:r/>
      <w:r/>
    </w:p>
    <w:p>
      <w:pPr>
        <w:pStyle w:val="1066"/>
        <w:ind w:firstLine="482"/>
        <w:jc w:val="left"/>
        <w:spacing w:line="400" w:lineRule="exact"/>
        <w:rPr>
          <w:rFonts w:hint="eastAsia" w:ascii="宋体" w:hAnsi="宋体" w:cs="宋体"/>
          <w:sz w:val="24"/>
          <w:highlight w:val="none"/>
        </w:rPr>
      </w:pPr>
      <w:r/>
      <w:bookmarkStart w:id="669" w:name="OLE_LINK42"/>
      <w:r/>
      <w:bookmarkStart w:id="670" w:name="OLE_LINK41"/>
      <w:r>
        <w:rPr>
          <w:rFonts w:hint="eastAsia"/>
          <w:b/>
          <w:bCs/>
          <w:sz w:val="24"/>
          <w:szCs w:val="24"/>
          <w:highlight w:val="none"/>
        </w:rPr>
        <w:t xml:space="preserve">注：尖劈吸波</w:t>
      </w:r>
      <w:bookmarkStart w:id="671" w:name="OLE_LINK203"/>
      <w:r/>
      <w:bookmarkStart w:id="672" w:name="OLE_LINK204"/>
      <w:r>
        <w:rPr>
          <w:rFonts w:hint="eastAsia"/>
          <w:b/>
          <w:bCs/>
          <w:sz w:val="24"/>
          <w:szCs w:val="24"/>
          <w:highlight w:val="none"/>
        </w:rPr>
        <w:t xml:space="preserve">材料</w:t>
      </w:r>
      <w:r>
        <w:rPr>
          <w:rFonts w:hint="eastAsia" w:ascii="宋体" w:hAnsi="宋体" w:cs="宋体"/>
          <w:b/>
          <w:bCs/>
          <w:sz w:val="24"/>
          <w:highlight w:val="none"/>
        </w:rPr>
        <w:t xml:space="preserve">若为进口产品</w:t>
      </w:r>
      <w:bookmarkStart w:id="673" w:name="OLE_LINK542"/>
      <w:r>
        <w:rPr>
          <w:rFonts w:hint="eastAsia" w:ascii="宋体" w:hAnsi="宋体" w:cs="宋体"/>
          <w:b/>
          <w:bCs/>
          <w:sz w:val="24"/>
          <w:highlight w:val="none"/>
        </w:rPr>
        <w:t xml:space="preserve">，</w:t>
      </w:r>
      <w:bookmarkEnd w:id="671"/>
      <w:r/>
      <w:bookmarkEnd w:id="672"/>
      <w:r>
        <w:rPr>
          <w:rFonts w:hint="eastAsia" w:ascii="宋体" w:hAnsi="宋体" w:cs="宋体"/>
          <w:b/>
          <w:bCs/>
          <w:sz w:val="24"/>
          <w:highlight w:val="none"/>
        </w:rPr>
        <w:t xml:space="preserve">投标文件中提供报关单（含产品名称、数量、规格型号，报关日期距投标截止日≤2年）</w:t>
      </w:r>
      <w:bookmarkStart w:id="674" w:name="OLE_LINK206"/>
      <w:r/>
      <w:bookmarkStart w:id="675" w:name="OLE_LINK205"/>
      <w:r>
        <w:rPr>
          <w:rFonts w:hint="eastAsia" w:ascii="宋体" w:hAnsi="宋体" w:cs="宋体"/>
          <w:b/>
          <w:bCs/>
          <w:sz w:val="24"/>
          <w:highlight w:val="none"/>
        </w:rPr>
        <w:t xml:space="preserve">或者承诺函（</w:t>
      </w:r>
      <w:bookmarkStart w:id="676" w:name="OLE_LINK208"/>
      <w:r/>
      <w:bookmarkStart w:id="677" w:name="OLE_LINK207"/>
      <w:r>
        <w:rPr>
          <w:rFonts w:hint="eastAsia" w:ascii="宋体" w:hAnsi="宋体" w:cs="宋体"/>
          <w:b/>
          <w:bCs/>
          <w:sz w:val="24"/>
          <w:highlight w:val="none"/>
        </w:rPr>
        <w:t xml:space="preserve">承</w:t>
      </w:r>
      <w:bookmarkEnd w:id="674"/>
      <w:r/>
      <w:bookmarkEnd w:id="675"/>
      <w:r>
        <w:rPr>
          <w:rFonts w:hint="eastAsia" w:ascii="宋体" w:hAnsi="宋体" w:cs="宋体"/>
          <w:b/>
          <w:bCs/>
          <w:sz w:val="24"/>
          <w:highlight w:val="none"/>
        </w:rPr>
        <w:t xml:space="preserve">诺中标后所供产品均提供报关单</w:t>
      </w:r>
      <w:bookmarkEnd w:id="676"/>
      <w:r/>
      <w:bookmarkEnd w:id="677"/>
      <w:r>
        <w:rPr>
          <w:rFonts w:hint="eastAsia" w:ascii="宋体" w:hAnsi="宋体" w:cs="宋体"/>
          <w:b/>
          <w:bCs/>
          <w:sz w:val="24"/>
          <w:highlight w:val="none"/>
        </w:rPr>
        <w:t xml:space="preserve">）及原</w:t>
      </w:r>
      <w:bookmarkStart w:id="678" w:name="OLE_LINK40"/>
      <w:r/>
      <w:bookmarkStart w:id="679" w:name="OLE_LINK39"/>
      <w:r>
        <w:rPr>
          <w:rFonts w:hint="eastAsia" w:ascii="宋体" w:hAnsi="宋体" w:cs="宋体"/>
          <w:b/>
          <w:bCs/>
          <w:sz w:val="24"/>
          <w:highlight w:val="none"/>
        </w:rPr>
        <w:t xml:space="preserve">厂针对本项目的专项</w:t>
      </w:r>
      <w:bookmarkEnd w:id="678"/>
      <w:r/>
      <w:bookmarkEnd w:id="679"/>
      <w:r>
        <w:rPr>
          <w:rFonts w:hint="eastAsia" w:ascii="宋体" w:hAnsi="宋体" w:cs="宋体"/>
          <w:b/>
          <w:bCs/>
          <w:sz w:val="24"/>
          <w:highlight w:val="none"/>
        </w:rPr>
        <w:t xml:space="preserve">授权文件（明确授权期限、项目名称及产品型号）；</w:t>
      </w:r>
      <w:bookmarkStart w:id="680" w:name="OLE_LINK210"/>
      <w:r/>
      <w:bookmarkStart w:id="681" w:name="OLE_LINK209"/>
      <w:r>
        <w:rPr>
          <w:rFonts w:hint="eastAsia" w:ascii="宋体" w:hAnsi="宋体" w:cs="宋体"/>
          <w:b/>
          <w:bCs/>
          <w:sz w:val="24"/>
          <w:highlight w:val="none"/>
        </w:rPr>
        <w:t xml:space="preserve">同时提供材料材质检测报告、性能参数检测报告、防火检测报告等完整佐证资料；</w:t>
      </w:r>
      <w:bookmarkEnd w:id="669"/>
      <w:r/>
      <w:bookmarkEnd w:id="670"/>
      <w:r/>
      <w:bookmarkEnd w:id="673"/>
      <w:r/>
      <w:bookmarkEnd w:id="680"/>
      <w:r/>
      <w:bookmarkEnd w:id="681"/>
      <w:r/>
      <w:r/>
    </w:p>
    <w:p>
      <w:pPr>
        <w:pStyle w:val="1066"/>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铁氧体吸波材料：</w:t>
      </w:r>
      <w:bookmarkStart w:id="682" w:name="OLE_LINK211"/>
      <w:r/>
      <w:bookmarkStart w:id="683" w:name="OLE_LINK212"/>
      <w:r>
        <w:rPr>
          <w:rFonts w:hint="eastAsia" w:ascii="宋体" w:hAnsi="宋体" w:cs="宋体"/>
          <w:sz w:val="24"/>
          <w:highlight w:val="none"/>
        </w:rPr>
        <w:t xml:space="preserve">厚度≥6.7mm，环保材质（提供RoHS或同等环保认证报告）；具备阻燃、不吸潮特性，能安全耐受200V/m的连续场强或600V/m的断续场强；防火标准同“尖劈吸波材料”防火标准要求（</w:t>
      </w:r>
      <w:r>
        <w:rPr>
          <w:rFonts w:hint="eastAsia" w:ascii="宋体" w:hAnsi="宋体" w:cs="宋体"/>
          <w:b/>
          <w:sz w:val="24"/>
          <w:highlight w:val="none"/>
        </w:rPr>
        <w:t xml:space="preserve">投标文件中提供对应的第三方检测报告，检测机构需具备相关标准检测资质</w:t>
      </w:r>
      <w:r>
        <w:rPr>
          <w:rFonts w:hint="eastAsia" w:ascii="宋体" w:hAnsi="宋体" w:cs="宋体"/>
          <w:sz w:val="24"/>
          <w:highlight w:val="none"/>
        </w:rPr>
        <w:t xml:space="preserve">）；</w:t>
      </w:r>
      <w:bookmarkStart w:id="684" w:name="OLE_LINK43"/>
      <w:r/>
      <w:bookmarkStart w:id="685" w:name="OLE_LINK44"/>
      <w:r>
        <w:rPr>
          <w:rFonts w:hint="eastAsia" w:ascii="宋体" w:hAnsi="宋体" w:cs="宋体"/>
          <w:sz w:val="24"/>
          <w:highlight w:val="none"/>
        </w:rPr>
        <w:t xml:space="preserve">五面（除地面外）等高</w:t>
      </w:r>
      <w:bookmarkEnd w:id="684"/>
      <w:r/>
      <w:bookmarkEnd w:id="685"/>
      <w:r>
        <w:rPr>
          <w:rFonts w:hint="eastAsia" w:ascii="宋体" w:hAnsi="宋体" w:cs="宋体"/>
          <w:sz w:val="24"/>
          <w:highlight w:val="none"/>
        </w:rPr>
        <w:t xml:space="preserve">满铺，与尖劈吸波材料衔接紧密，</w:t>
      </w:r>
      <w:bookmarkStart w:id="686" w:name="OLE_LINK214"/>
      <w:r/>
      <w:bookmarkStart w:id="687" w:name="OLE_LINK213"/>
      <w:r>
        <w:rPr>
          <w:rFonts w:hint="eastAsia" w:ascii="宋体" w:hAnsi="宋体" w:cs="宋体"/>
          <w:sz w:val="24"/>
          <w:highlight w:val="none"/>
        </w:rPr>
        <w:t xml:space="preserve">拼接缝隙≤1mm；</w:t>
      </w:r>
      <w:bookmarkEnd w:id="686"/>
      <w:r/>
      <w:bookmarkEnd w:id="687"/>
      <w:r/>
      <w:bookmarkStart w:id="688" w:name="OLE_LINK326"/>
      <w:r/>
      <w:bookmarkStart w:id="689" w:name="OLE_LINK327"/>
      <w:r>
        <w:rPr>
          <w:rFonts w:hint="eastAsia" w:ascii="宋体" w:hAnsi="宋体" w:cs="宋体"/>
          <w:sz w:val="24"/>
          <w:highlight w:val="none"/>
        </w:rPr>
        <w:t xml:space="preserve">技术指标应不低于TDK、韩国三瓦、日本理研、韩国梨树或相当于以上品牌技术水平的产品。</w:t>
      </w:r>
      <w:bookmarkEnd w:id="682"/>
      <w:r/>
      <w:bookmarkEnd w:id="683"/>
      <w:r/>
      <w:bookmarkEnd w:id="688"/>
      <w:r/>
      <w:bookmarkEnd w:id="689"/>
      <w:r/>
      <w:r/>
    </w:p>
    <w:p>
      <w:pPr>
        <w:pStyle w:val="1066"/>
        <w:ind w:firstLine="482"/>
        <w:jc w:val="left"/>
        <w:spacing w:line="400" w:lineRule="exact"/>
        <w:rPr>
          <w:rFonts w:hint="eastAsia" w:ascii="宋体" w:hAnsi="宋体" w:cs="宋体"/>
          <w:b/>
          <w:sz w:val="24"/>
          <w:highlight w:val="none"/>
        </w:rPr>
      </w:pPr>
      <w:r/>
      <w:bookmarkStart w:id="690" w:name="OLE_LINK216"/>
      <w:r/>
      <w:bookmarkStart w:id="691" w:name="OLE_LINK215"/>
      <w:r/>
      <w:bookmarkStart w:id="692" w:name="OLE_LINK217"/>
      <w:r/>
      <w:bookmarkStart w:id="693" w:name="OLE_LINK218"/>
      <w:r>
        <w:rPr>
          <w:rFonts w:hint="eastAsia"/>
          <w:b/>
          <w:bCs/>
          <w:sz w:val="24"/>
          <w:szCs w:val="24"/>
          <w:highlight w:val="none"/>
        </w:rPr>
        <w:t xml:space="preserve">注：</w:t>
      </w:r>
      <w:r>
        <w:rPr>
          <w:rFonts w:hint="eastAsia" w:ascii="宋体" w:hAnsi="宋体" w:cs="宋体"/>
          <w:b/>
          <w:sz w:val="24"/>
          <w:highlight w:val="none"/>
        </w:rPr>
        <w:t xml:space="preserve">铁氧体吸波材料若为进口产品，投标文件中提供报关单（含产品名称、数量、规格型号）或者承诺函（承诺中标后</w:t>
      </w:r>
      <w:bookmarkEnd w:id="690"/>
      <w:r/>
      <w:bookmarkEnd w:id="691"/>
      <w:r>
        <w:rPr>
          <w:rFonts w:hint="eastAsia" w:ascii="宋体" w:hAnsi="宋体" w:cs="宋体"/>
          <w:b/>
          <w:sz w:val="24"/>
          <w:highlight w:val="none"/>
        </w:rPr>
        <w:t xml:space="preserve">所供产品均提供报关单）及原厂针对本项目的专项授权文件（明确授权期限、项目名称及产品型号）；​</w:t>
      </w:r>
      <w:bookmarkEnd w:id="692"/>
      <w:r/>
      <w:bookmarkEnd w:id="693"/>
      <w:r/>
      <w:r/>
    </w:p>
    <w:p>
      <w:pPr>
        <w:pStyle w:val="1066"/>
        <w:ind w:firstLine="482"/>
        <w:jc w:val="left"/>
        <w:spacing w:line="400" w:lineRule="exact"/>
        <w:rPr>
          <w:rFonts w:hint="eastAsia" w:ascii="宋体" w:hAnsi="宋体" w:cs="宋体"/>
          <w:b/>
          <w:sz w:val="24"/>
          <w:szCs w:val="24"/>
          <w:highlight w:val="none"/>
          <w:u w:val="single"/>
        </w:rPr>
      </w:pPr>
      <w:r/>
      <w:bookmarkStart w:id="694" w:name="OLE_LINK328"/>
      <w:r/>
      <w:bookmarkStart w:id="695" w:name="OLE_LINK240"/>
      <w:r/>
      <w:bookmarkStart w:id="696" w:name="OLE_LINK239"/>
      <w:r>
        <w:rPr>
          <w:rFonts w:hint="eastAsia" w:ascii="宋体" w:hAnsi="宋体" w:cs="宋体"/>
          <w:b/>
          <w:sz w:val="24"/>
          <w:highlight w:val="none"/>
          <w:u w:val="single"/>
        </w:rPr>
        <w:t xml:space="preserve">★</w:t>
      </w:r>
      <w:bookmarkEnd w:id="694"/>
      <w:r/>
      <w:bookmarkEnd w:id="695"/>
      <w:r/>
      <w:bookmarkEnd w:id="696"/>
      <w:r>
        <w:rPr>
          <w:rFonts w:hint="eastAsia" w:ascii="宋体" w:hAnsi="宋体" w:cs="宋体"/>
          <w:b/>
          <w:sz w:val="24"/>
          <w:highlight w:val="none"/>
          <w:u w:val="single"/>
        </w:rPr>
        <w:t xml:space="preserve">质量保障：</w:t>
      </w:r>
      <w:bookmarkStart w:id="697" w:name="OLE_LINK221"/>
      <w:r/>
      <w:bookmarkStart w:id="698" w:name="OLE_LINK220"/>
      <w:r>
        <w:rPr>
          <w:rFonts w:hint="eastAsia" w:ascii="宋体" w:hAnsi="宋体" w:cs="宋体"/>
          <w:b/>
          <w:sz w:val="24"/>
          <w:highlight w:val="none"/>
          <w:u w:val="single"/>
        </w:rPr>
        <w:t xml:space="preserve">质保期内若</w:t>
      </w:r>
      <w:bookmarkStart w:id="699" w:name="OLE_LINK222"/>
      <w:r/>
      <w:bookmarkStart w:id="700" w:name="OLE_LINK223"/>
      <w:r>
        <w:rPr>
          <w:rFonts w:hint="eastAsia" w:ascii="宋体" w:hAnsi="宋体" w:cs="宋体"/>
          <w:b/>
          <w:sz w:val="24"/>
          <w:highlight w:val="none"/>
          <w:u w:val="single"/>
        </w:rPr>
        <w:t xml:space="preserve">铁氧体及吸波材料出现吸潮、变形、阻燃性能下降等质量问题，投标人必须无偿更换并承担相关损失；防火性能在质保期内若不符合上述标</w:t>
      </w:r>
      <w:bookmarkEnd w:id="699"/>
      <w:r/>
      <w:bookmarkEnd w:id="700"/>
      <w:r>
        <w:rPr>
          <w:rFonts w:hint="eastAsia" w:ascii="宋体" w:hAnsi="宋体" w:cs="宋体"/>
          <w:b/>
          <w:sz w:val="24"/>
          <w:highlight w:val="none"/>
          <w:u w:val="single"/>
        </w:rPr>
        <w:t xml:space="preserve">准要求，</w:t>
      </w:r>
      <w:bookmarkEnd w:id="697"/>
      <w:r/>
      <w:bookmarkEnd w:id="698"/>
      <w:r>
        <w:rPr>
          <w:rFonts w:hint="eastAsia" w:ascii="宋体" w:hAnsi="宋体" w:cs="宋体"/>
          <w:b/>
          <w:sz w:val="24"/>
          <w:highlight w:val="none"/>
          <w:u w:val="single"/>
        </w:rPr>
        <w:t xml:space="preserve">投标人需在15日内完成整改并承担全部费用。</w:t>
      </w:r>
      <w:bookmarkStart w:id="701" w:name="OLE_LINK227"/>
      <w:r/>
      <w:bookmarkStart w:id="702" w:name="OLE_LINK228"/>
      <w:r>
        <w:rPr>
          <w:rFonts w:hint="eastAsia" w:ascii="宋体" w:hAnsi="宋体" w:cs="宋体"/>
          <w:b/>
          <w:sz w:val="24"/>
          <w:highlight w:val="none"/>
          <w:u w:val="single"/>
        </w:rPr>
        <w:t xml:space="preserve">（</w:t>
      </w:r>
      <w:bookmarkStart w:id="703" w:name="OLE_LINK224"/>
      <w:r/>
      <w:bookmarkStart w:id="704" w:name="OLE_LINK226"/>
      <w:r/>
      <w:bookmarkStart w:id="705" w:name="OLE_LINK225"/>
      <w:r>
        <w:rPr>
          <w:rFonts w:hint="eastAsia" w:ascii="宋体" w:hAnsi="宋体" w:cs="宋体"/>
          <w:b/>
          <w:sz w:val="24"/>
          <w:highlight w:val="none"/>
          <w:u w:val="single"/>
        </w:rPr>
        <w:t xml:space="preserve">本项是实质性响应条款，如不满足，投标文件将作为无效投标。投标文件中须提供承诺函</w:t>
      </w:r>
      <w:bookmarkEnd w:id="703"/>
      <w:r/>
      <w:bookmarkEnd w:id="704"/>
      <w:r/>
      <w:bookmarkEnd w:id="705"/>
      <w:r>
        <w:rPr>
          <w:rFonts w:hint="eastAsia" w:ascii="宋体" w:hAnsi="宋体" w:cs="宋体"/>
          <w:b/>
          <w:sz w:val="24"/>
          <w:highlight w:val="none"/>
          <w:u w:val="single"/>
        </w:rPr>
        <w:t xml:space="preserve">。）</w:t>
      </w:r>
      <w:bookmarkEnd w:id="701"/>
      <w:r/>
      <w:bookmarkEnd w:id="702"/>
      <w:r/>
      <w:r/>
    </w:p>
    <w:p>
      <w:pPr>
        <w:ind w:firstLine="480"/>
        <w:spacing w:line="400" w:lineRule="exact"/>
        <w:rPr>
          <w:rFonts w:hint="eastAsia" w:ascii="宋体" w:hAnsi="宋体" w:cs="宋体"/>
          <w:sz w:val="24"/>
          <w:highlight w:val="none"/>
        </w:rPr>
      </w:pPr>
      <w:r/>
      <w:bookmarkStart w:id="706" w:name="OLE_LINK47"/>
      <w:r/>
      <w:bookmarkStart w:id="707" w:name="OLE_LINK48"/>
      <w:r>
        <w:rPr>
          <w:rFonts w:hint="eastAsia" w:ascii="宋体" w:hAnsi="宋体" w:cs="宋体"/>
          <w:sz w:val="24"/>
          <w:highlight w:val="none"/>
        </w:rPr>
        <w:t xml:space="preserve">▲</w:t>
      </w:r>
      <w:bookmarkEnd w:id="706"/>
      <w:r/>
      <w:bookmarkEnd w:id="707"/>
      <w:r>
        <w:rPr>
          <w:rFonts w:hint="eastAsia" w:ascii="宋体" w:hAnsi="宋体" w:cs="宋体"/>
          <w:sz w:val="24"/>
          <w:highlight w:val="none"/>
        </w:rPr>
        <w:t xml:space="preserve">2.5转台、天线塔及控制器</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转台直径≥6m，承重能力≥5000kg，可-40°～400°旋转，转速可调，定位精度≤1°。</w:t>
      </w:r>
      <w:bookmarkStart w:id="708" w:name="OLE_LINK229"/>
      <w:r/>
      <w:bookmarkStart w:id="709" w:name="OLE_LINK230"/>
      <w:r>
        <w:rPr>
          <w:rFonts w:hint="eastAsia" w:ascii="宋体" w:hAnsi="宋体" w:cs="宋体"/>
          <w:sz w:val="24"/>
          <w:highlight w:val="none"/>
        </w:rPr>
        <w:t xml:space="preserve">转台需要预留安装机器人转接板的固定螺孔、</w:t>
      </w:r>
      <w:bookmarkEnd w:id="708"/>
      <w:r/>
      <w:bookmarkEnd w:id="709"/>
      <w:r>
        <w:rPr>
          <w:rFonts w:hint="eastAsia" w:ascii="宋体" w:hAnsi="宋体" w:cs="宋体"/>
          <w:sz w:val="24"/>
          <w:highlight w:val="none"/>
        </w:rPr>
        <w:t xml:space="preserve">承受机器人运动产生的惯量</w:t>
      </w:r>
      <w:bookmarkStart w:id="710" w:name="OLE_LINK232"/>
      <w:r/>
      <w:bookmarkStart w:id="711" w:name="OLE_LINK231"/>
      <w:r>
        <w:rPr>
          <w:rFonts w:hint="eastAsia" w:ascii="宋体" w:hAnsi="宋体" w:cs="宋体"/>
          <w:sz w:val="24"/>
          <w:highlight w:val="none"/>
        </w:rPr>
        <w:t xml:space="preserve">（转接板图纸在施工前细化）</w:t>
      </w:r>
      <w:bookmarkEnd w:id="710"/>
      <w:r/>
      <w:bookmarkEnd w:id="711"/>
      <w:r>
        <w:rPr>
          <w:rFonts w:hint="eastAsia" w:ascii="宋体" w:hAnsi="宋体" w:cs="宋体"/>
          <w:sz w:val="24"/>
          <w:highlight w:val="none"/>
        </w:rPr>
        <w:t xml:space="preserve">。</w:t>
      </w:r>
      <w:bookmarkStart w:id="712" w:name="OLE_LINK233"/>
      <w:r/>
      <w:bookmarkStart w:id="713" w:name="OLE_LINK234"/>
      <w:r>
        <w:rPr>
          <w:rFonts w:hint="eastAsia" w:ascii="宋体" w:hAnsi="宋体" w:cs="宋体"/>
          <w:sz w:val="24"/>
          <w:highlight w:val="none"/>
        </w:rPr>
        <w:t xml:space="preserve">转台应使用不锈钢钢板，与暗室反射面平齐。高架地板及反射地面必须保证平整，反射地面钢板间必须保证优异的电接触，并保</w:t>
      </w:r>
      <w:bookmarkStart w:id="714" w:name="OLE_LINK49"/>
      <w:r>
        <w:rPr>
          <w:rFonts w:hint="eastAsia" w:ascii="宋体" w:hAnsi="宋体" w:cs="宋体"/>
          <w:sz w:val="24"/>
          <w:highlight w:val="none"/>
        </w:rPr>
        <w:t xml:space="preserve">证与屏蔽墙体及转台间的电接触。转台中间设置接口板，小功率被测设备供电线、校准用的射频线、测试用的信号线连接器安装在转台中心的</w:t>
      </w:r>
      <w:bookmarkEnd w:id="714"/>
      <w:r>
        <w:rPr>
          <w:rFonts w:hint="eastAsia" w:ascii="宋体" w:hAnsi="宋体" w:cs="宋体"/>
          <w:sz w:val="24"/>
          <w:highlight w:val="none"/>
        </w:rPr>
        <w:t xml:space="preserve">接口板上，以减小测量误差，接头数量根据需求方要求进行定制。转台大功率电源线接头须采用履带式进出方式，含大电流电缆以及柔性电缆通道。</w:t>
      </w:r>
      <w:bookmarkEnd w:id="712"/>
      <w:r/>
      <w:bookmarkEnd w:id="713"/>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天线塔承重能力＞10kg，</w:t>
      </w:r>
      <w:bookmarkStart w:id="715" w:name="OLE_LINK236"/>
      <w:r/>
      <w:bookmarkStart w:id="716" w:name="OLE_LINK235"/>
      <w:r/>
      <w:bookmarkStart w:id="717" w:name="OLE_LINK237"/>
      <w:r>
        <w:rPr>
          <w:rFonts w:hint="eastAsia" w:ascii="宋体" w:hAnsi="宋体" w:cs="宋体"/>
          <w:sz w:val="24"/>
          <w:highlight w:val="none"/>
        </w:rPr>
        <w:t xml:space="preserve">天线塔的升降范围优于（1～4）m，可进行水平极化和垂直极化的自动切换，定位精度＜1cm，带俯仰功能天线塔并具有自动调节俯仰角功能，倾斜角度从0°到45°，俯仰精度±0.5°。在3m/10m测试距离时，天线在升降过程中始终指向EUT高度位置；满足ANSI C63.4标准，天线塔支持各种类型天线。高架地板内配压缩空气管道系统带阀门和管接头以提供天线塔气动极化的压缩空气源，配置高强度支架，便于线缆走线。</w:t>
      </w:r>
      <w:bookmarkEnd w:id="715"/>
      <w:r/>
      <w:bookmarkEnd w:id="716"/>
      <w:r/>
      <w:bookmarkEnd w:id="717"/>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在转台区域应设计针对被测物使用的水、气的处置措施。上下水、尾气通道设在转台外适当位置，能处置被测物的进出水以及产生的尾气。</w:t>
      </w:r>
      <w:bookmarkStart w:id="718" w:name="OLE_LINK238"/>
      <w:r>
        <w:rPr>
          <w:rFonts w:hint="eastAsia" w:ascii="宋体" w:hAnsi="宋体" w:cs="宋体"/>
          <w:sz w:val="24"/>
          <w:highlight w:val="none"/>
        </w:rPr>
        <w:t xml:space="preserve">水和气的处理方式应在投标文件中给出具体方案。</w:t>
      </w:r>
      <w:bookmarkEnd w:id="718"/>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暗室内部的转台和天线塔控制器应放置在易于检修的位置，在设计图上标明。</w:t>
      </w:r>
      <w:r/>
    </w:p>
    <w:p>
      <w:pPr>
        <w:pStyle w:val="1066"/>
        <w:ind w:firstLine="480"/>
        <w:spacing w:line="400" w:lineRule="exact"/>
        <w:rPr>
          <w:rFonts w:hint="eastAsia" w:ascii="宋体" w:hAnsi="宋体" w:cs="宋体"/>
          <w:sz w:val="24"/>
          <w:highlight w:val="none"/>
        </w:rPr>
      </w:pPr>
      <w:r>
        <w:rPr>
          <w:rFonts w:hint="eastAsia" w:ascii="宋体" w:hAnsi="宋体" w:cs="宋体"/>
          <w:sz w:val="24"/>
          <w:highlight w:val="none"/>
        </w:rPr>
        <w:t xml:space="preserve">2.6滤波器及接口要求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电源滤波器需满足CISPR 17要求，得到UL的安全认证，满足UL1283标准。按MIL-STD-220A的负载条件在14kHz~18GHz范围内插入损耗不小于100dB。各种滤波器参数（包含布线工程和接口）不低于如下要求：</w:t>
      </w:r>
      <w:r/>
    </w:p>
    <w:p>
      <w:pPr>
        <w:numPr>
          <w:ilvl w:val="0"/>
          <w:numId w:val="5"/>
        </w:numPr>
        <w:spacing w:line="400" w:lineRule="exact"/>
        <w:rPr>
          <w:rFonts w:hint="eastAsia" w:ascii="宋体" w:hAnsi="宋体" w:cs="宋体"/>
          <w:sz w:val="24"/>
          <w:highlight w:val="none"/>
        </w:rPr>
      </w:pPr>
      <w:r>
        <w:rPr>
          <w:rFonts w:hint="eastAsia" w:ascii="宋体" w:hAnsi="宋体" w:cs="宋体"/>
          <w:sz w:val="24"/>
          <w:highlight w:val="none"/>
        </w:rPr>
        <w:t xml:space="preserve">单相250V，一路，供转台、天线架（若转台为三相供电则采用三相420V 63A，一路）；</w:t>
      </w:r>
      <w:r/>
    </w:p>
    <w:p>
      <w:pPr>
        <w:numPr>
          <w:ilvl w:val="0"/>
          <w:numId w:val="5"/>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单相250V，一路，供照明；</w:t>
      </w:r>
      <w:r/>
    </w:p>
    <w:p>
      <w:pPr>
        <w:numPr>
          <w:ilvl w:val="0"/>
          <w:numId w:val="5"/>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三相1600Vac 1000A，两路一进一出，供大功率三相样品；</w:t>
      </w:r>
      <w:r/>
    </w:p>
    <w:p>
      <w:pPr>
        <w:numPr>
          <w:ilvl w:val="0"/>
          <w:numId w:val="5"/>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三相420V 160A，两路一进一出，供三相样品/设备；</w:t>
      </w:r>
      <w:r/>
    </w:p>
    <w:p>
      <w:pPr>
        <w:numPr>
          <w:ilvl w:val="0"/>
          <w:numId w:val="5"/>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单相250V 32A，一路，供单相样品，与变频稳压电源或市电相连；</w:t>
      </w:r>
      <w:r/>
    </w:p>
    <w:p>
      <w:pPr>
        <w:numPr>
          <w:ilvl w:val="0"/>
          <w:numId w:val="5"/>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单相250V 32A，一路，供样品辅助设备；</w:t>
      </w:r>
      <w:r/>
    </w:p>
    <w:p>
      <w:pPr>
        <w:numPr>
          <w:ilvl w:val="0"/>
          <w:numId w:val="5"/>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直流2500Vdc 1000A，两路一进一出，供直流样品；</w:t>
      </w:r>
      <w:r/>
    </w:p>
    <w:p>
      <w:pPr>
        <w:numPr>
          <w:ilvl w:val="0"/>
          <w:numId w:val="5"/>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直流100V 100A，一路，供直流样品</w:t>
      </w:r>
      <w:bookmarkStart w:id="719" w:name="_Hlk98749520"/>
      <w:r>
        <w:rPr>
          <w:rFonts w:hint="eastAsia" w:ascii="宋体" w:hAnsi="宋体" w:cs="宋体"/>
          <w:sz w:val="24"/>
          <w:highlight w:val="none"/>
        </w:rPr>
        <w:t xml:space="preserve">；</w:t>
      </w:r>
      <w:r/>
    </w:p>
    <w:p>
      <w:pPr>
        <w:numPr>
          <w:ilvl w:val="0"/>
          <w:numId w:val="5"/>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网络口光电转换器，1对，10M/100M/1000M。</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2.7接口板要求</w:t>
      </w:r>
      <w:r/>
    </w:p>
    <w:p>
      <w:pPr>
        <w:numPr>
          <w:ilvl w:val="0"/>
          <w:numId w:val="6"/>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空间接口板（AP板）应提供各接口板电源、信号接口配置及位置的详细方案及做工细节图。</w:t>
      </w:r>
      <w:r/>
    </w:p>
    <w:p>
      <w:pPr>
        <w:numPr>
          <w:ilvl w:val="0"/>
          <w:numId w:val="6"/>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暗室和控制室装配一个接口板（AP），上面的接口有：FSMA×6，SMA×4，N型50欧×4，BNC型50欧×4，BNC型75欧×2；设置2个直径10cm波导管，</w:t>
      </w:r>
      <w:bookmarkStart w:id="720" w:name="_Hlk99756090"/>
      <w:r>
        <w:rPr>
          <w:rFonts w:hint="eastAsia" w:ascii="宋体" w:hAnsi="宋体" w:cs="宋体"/>
          <w:sz w:val="24"/>
          <w:highlight w:val="none"/>
        </w:rPr>
        <w:t xml:space="preserve">设置1个6路光纤波导管</w:t>
      </w:r>
      <w:bookmarkEnd w:id="720"/>
      <w:r>
        <w:rPr>
          <w:rFonts w:hint="eastAsia" w:ascii="宋体" w:hAnsi="宋体" w:cs="宋体"/>
          <w:sz w:val="24"/>
          <w:highlight w:val="none"/>
        </w:rPr>
        <w:t xml:space="preserve">。</w:t>
      </w:r>
      <w:r/>
    </w:p>
    <w:p>
      <w:pPr>
        <w:numPr>
          <w:ilvl w:val="0"/>
          <w:numId w:val="6"/>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暗室和功放室装配一个接口板（AP），上面的接口有：FSMA×6，SMA×4，N型50欧×4，BNC型50欧×4，BNC型75欧×2；设置1个直径5cm波导管，设置1个6路光纤波导管。</w:t>
      </w:r>
      <w:r/>
    </w:p>
    <w:p>
      <w:pPr>
        <w:numPr>
          <w:ilvl w:val="0"/>
          <w:numId w:val="6"/>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暗室AP板设置2个直径10cm波导管，且充分考虑逆变器、充电桩、网络产品接电源及辅助设备的穿线方案。</w:t>
      </w:r>
      <w:r/>
    </w:p>
    <w:p>
      <w:pPr>
        <w:numPr>
          <w:ilvl w:val="0"/>
          <w:numId w:val="6"/>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暗室与外部区域AP板采用屏蔽盖方式遮蔽外部电磁信号干扰，设置法兰接口FSMA×6，SMA×4，N型50欧×4，BNC型50欧×4，设置1个6路光纤波导管。</w:t>
      </w:r>
      <w:bookmarkEnd w:id="719"/>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2.8接口要求</w:t>
      </w:r>
      <w:r/>
    </w:p>
    <w:p>
      <w:pPr>
        <w:numPr>
          <w:ilvl w:val="0"/>
          <w:numId w:val="7"/>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暗室内接口布</w:t>
      </w:r>
      <w:bookmarkStart w:id="721" w:name="OLE_LINK51"/>
      <w:r/>
      <w:bookmarkStart w:id="722" w:name="OLE_LINK50"/>
      <w:r>
        <w:rPr>
          <w:rFonts w:hint="eastAsia" w:ascii="宋体" w:hAnsi="宋体" w:cs="宋体"/>
          <w:sz w:val="24"/>
          <w:highlight w:val="none"/>
        </w:rPr>
        <w:t xml:space="preserve">置（CP板）</w:t>
      </w:r>
      <w:bookmarkEnd w:id="721"/>
      <w:r/>
      <w:bookmarkEnd w:id="722"/>
      <w:r>
        <w:rPr>
          <w:rFonts w:hint="eastAsia" w:ascii="宋体" w:hAnsi="宋体" w:cs="宋体"/>
          <w:sz w:val="24"/>
          <w:highlight w:val="none"/>
        </w:rPr>
        <w:t xml:space="preserve">应提供各接口板电源、信号接口配置及位置。中标后提供详细方案及做工细节图。</w:t>
      </w:r>
      <w:r/>
    </w:p>
    <w:p>
      <w:pPr>
        <w:numPr>
          <w:ilvl w:val="0"/>
          <w:numId w:val="7"/>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转台中央接口CP板应包括：一个单相32A工业耦合器、一个单相16A的插座，一对直流32A端子座、4个FSMA光纤接口、2个RJ45网络接口、2个N型信号接口、2个SMA信号接口。大转台履带式大功率电源线进出以及接口，包含一组600A三相四线端子座、一个三相160A工业耦合器、两对直流800A端子座。</w:t>
      </w:r>
      <w:r/>
    </w:p>
    <w:p>
      <w:pPr>
        <w:numPr>
          <w:ilvl w:val="0"/>
          <w:numId w:val="7"/>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轴线3m、10m位置及10m天线位置均有信号接口CP板，包括各种天线信号接口以及功放、天线驱动、控制所需的电源和接口。按双天线法布置天线接口CP板，3m天线接口CP板（包括辐射抗扰度线缆端口、2个功放用N型端口、1个功放用7/16型端口等），配置左右天线用2个N型端子座、6对SMA光纤端子座（其中天线塔用2对、功放用1对、场强计用1对）、2个8mm空压气端口、1个10A辅助电源插座。</w:t>
      </w:r>
      <w:r/>
    </w:p>
    <w:p>
      <w:pPr>
        <w:numPr>
          <w:ilvl w:val="0"/>
          <w:numId w:val="7"/>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10m位置天线CP板左右各一处，分别配置2个N型天线信号端口、1对SMA光纤端子座、1个8mm空压气端口、1个10A辅助电源插座。</w:t>
      </w:r>
      <w:r/>
    </w:p>
    <w:p>
      <w:pPr>
        <w:numPr>
          <w:ilvl w:val="0"/>
          <w:numId w:val="7"/>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明确接口的布置方法以及EUT从接口接线，转台转动后转台和线缆之间的影响（提供接口板及转台电源、信号接口配置及位置。中标后提供详细方案及做工细节图）。</w:t>
      </w:r>
      <w:r/>
    </w:p>
    <w:p>
      <w:pPr>
        <w:numPr>
          <w:ilvl w:val="0"/>
          <w:numId w:val="7"/>
        </w:numPr>
        <w:ind w:firstLine="480"/>
        <w:spacing w:line="400" w:lineRule="exact"/>
        <w:rPr>
          <w:rFonts w:hint="eastAsia" w:ascii="宋体" w:hAnsi="宋体" w:cs="宋体"/>
          <w:sz w:val="24"/>
          <w:highlight w:val="none"/>
        </w:rPr>
      </w:pPr>
      <w:r/>
      <w:bookmarkStart w:id="723" w:name="OLE_LINK52"/>
      <w:r/>
      <w:bookmarkStart w:id="724" w:name="OLE_LINK53"/>
      <w:r>
        <w:rPr>
          <w:rFonts w:hint="eastAsia" w:ascii="宋体" w:hAnsi="宋体" w:cs="宋体"/>
          <w:sz w:val="24"/>
          <w:highlight w:val="none"/>
        </w:rPr>
        <w:t xml:space="preserve">接</w:t>
      </w:r>
      <w:bookmarkEnd w:id="723"/>
      <w:r/>
      <w:bookmarkEnd w:id="724"/>
      <w:r>
        <w:rPr>
          <w:rFonts w:hint="eastAsia" w:ascii="宋体" w:hAnsi="宋体" w:cs="宋体"/>
          <w:sz w:val="24"/>
          <w:highlight w:val="none"/>
        </w:rPr>
        <w:t xml:space="preserve">口板上接头的配置及安装应做好预留。若上述转接头不能满足测试要求，中标供应商应提供转接头及开孔尺寸及位置，并负责安装。</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2.9对于接口板上接口的数量、型号等在仪器配置过程中发现有变化以及类似情况的变更，应根据采购方的要求无偿变更。</w:t>
      </w:r>
      <w:r/>
    </w:p>
    <w:p>
      <w:pPr>
        <w:ind w:firstLine="480"/>
        <w:spacing w:line="400" w:lineRule="exact"/>
        <w:rPr>
          <w:rFonts w:hint="eastAsia" w:ascii="宋体" w:hAnsi="宋体" w:cs="宋体"/>
          <w:b/>
          <w:sz w:val="24"/>
          <w:highlight w:val="none"/>
          <w:u w:val="single"/>
        </w:rPr>
      </w:pPr>
      <w:r/>
      <w:bookmarkStart w:id="725" w:name="OLE_LINK331"/>
      <w:r/>
      <w:bookmarkStart w:id="726" w:name="OLE_LINK330"/>
      <w:r/>
      <w:bookmarkStart w:id="727" w:name="OLE_LINK242"/>
      <w:r/>
      <w:bookmarkStart w:id="728" w:name="OLE_LINK241"/>
      <w:r/>
      <w:bookmarkStart w:id="729" w:name="OLE_LINK329"/>
      <w:r>
        <w:rPr>
          <w:rFonts w:hint="eastAsia" w:ascii="宋体" w:hAnsi="宋体" w:cs="宋体"/>
          <w:bCs/>
          <w:sz w:val="24"/>
          <w:highlight w:val="none"/>
          <w:u w:val="single"/>
        </w:rPr>
        <w:t xml:space="preserve">★</w:t>
      </w:r>
      <w:bookmarkEnd w:id="725"/>
      <w:r/>
      <w:bookmarkEnd w:id="726"/>
      <w:r>
        <w:rPr>
          <w:rFonts w:hint="eastAsia" w:ascii="宋体" w:hAnsi="宋体" w:cs="宋体"/>
          <w:b/>
          <w:sz w:val="24"/>
          <w:highlight w:val="none"/>
          <w:u w:val="single"/>
        </w:rPr>
        <w:t xml:space="preserve">2</w:t>
      </w:r>
      <w:bookmarkEnd w:id="727"/>
      <w:r/>
      <w:bookmarkEnd w:id="728"/>
      <w:r>
        <w:rPr>
          <w:rFonts w:hint="eastAsia" w:ascii="宋体" w:hAnsi="宋体" w:cs="宋体"/>
          <w:b/>
          <w:sz w:val="24"/>
          <w:highlight w:val="none"/>
          <w:u w:val="single"/>
        </w:rPr>
        <w:t xml:space="preserve">.10</w:t>
      </w:r>
      <w:bookmarkStart w:id="730" w:name="OLE_LINK244"/>
      <w:r/>
      <w:bookmarkStart w:id="731" w:name="OLE_LINK243"/>
      <w:r/>
      <w:bookmarkStart w:id="732" w:name="OLE_LINK85"/>
      <w:r>
        <w:rPr>
          <w:rFonts w:hint="eastAsia" w:ascii="宋体" w:hAnsi="宋体" w:cs="宋体"/>
          <w:b/>
          <w:sz w:val="24"/>
          <w:highlight w:val="none"/>
          <w:u w:val="single"/>
        </w:rPr>
        <w:t xml:space="preserve">投标文件中必须提供EMC实验室的整套参考设计图纸，明确10米法暗室、控制室、功放室、屏蔽房、EMS测试区的位置（按比例并标注实际尺寸），标注EMC测试系统在各个区域内摆放设计图，考虑实验室布局的美观、科学、紧凑，便于样品的运输、设备的维修、货物的存放等</w:t>
      </w:r>
      <w:bookmarkEnd w:id="730"/>
      <w:r/>
      <w:bookmarkEnd w:id="731"/>
      <w:r>
        <w:rPr>
          <w:rFonts w:hint="eastAsia" w:ascii="宋体" w:hAnsi="宋体" w:cs="宋体"/>
          <w:b/>
          <w:sz w:val="24"/>
          <w:highlight w:val="none"/>
          <w:u w:val="single"/>
        </w:rPr>
        <w:t xml:space="preserve">因素。（本项是实质性响应条款，如不满足，投标文件将作为无效投标。）</w:t>
      </w:r>
      <w:bookmarkEnd w:id="729"/>
      <w:r/>
      <w:bookmarkEnd w:id="732"/>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3.控制室要求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▲3.1控制室的结构尺寸：控制室的尺寸</w:t>
      </w:r>
      <w:bookmarkStart w:id="733" w:name="OLE_LINK245"/>
      <w:r>
        <w:rPr>
          <w:rFonts w:hint="eastAsia" w:ascii="宋体" w:hAnsi="宋体" w:cs="宋体"/>
          <w:sz w:val="24"/>
          <w:highlight w:val="none"/>
        </w:rPr>
        <w:t xml:space="preserve">不小于7.5m*3m *3m，内部采用铝塑复合板装修，多孔铝板吊顶，地面完成面与室外高度差不大于10cm，如有高度差供应商应提供货物车辆临时进出时的缓坡部件。屏蔽门的门洞最小尺寸为1.2m*2.0m，屏蔽门应有良好的射频接触，采用2刀4簧的模式以保证屏蔽效能达到采购要求，屏蔽效能不低于电波暗室要求，控制室的门采用电动开合方式。</w:t>
      </w:r>
      <w:bookmarkEnd w:id="733"/>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屏蔽壳体：屏蔽壳体应采用拼装结构的屏蔽壳体，镀锌钢板厚度不小于2mm，其镀锌层的厚度不小于20μm。任意相邻两块屏蔽模板间采用屏蔽衬垫，以保证优异的射频屏蔽和电接触。控制室地板为满铺不锈钢板，厚度不低于3mm，并提供相关的证明材料。屏蔽体在建造时应经过防水设计，抗震裂度8级；屏蔽体与地隔离，屏蔽体对地电阻应大于2</w:t>
      </w:r>
      <w:r>
        <w:rPr>
          <w:sz w:val="24"/>
          <w:highlight w:val="none"/>
        </w:rPr>
        <w:t xml:space="preserve">MΩ</w:t>
      </w:r>
      <w:r>
        <w:rPr>
          <w:rFonts w:hint="eastAsia" w:ascii="宋体" w:hAnsi="宋体" w:cs="宋体"/>
          <w:sz w:val="24"/>
          <w:highlight w:val="none"/>
        </w:rPr>
        <w:t xml:space="preserve">（为保证屏蔽体与建筑地面绝缘性能，绝缘层应至少选用一层聚四氟乙烯薄膜材质）。屏蔽体外面层采用静电喷塑涂层，颜色由采购方确认。</w:t>
      </w:r>
      <w:r/>
    </w:p>
    <w:p>
      <w:pPr>
        <w:pStyle w:val="1024"/>
        <w:ind w:firstLine="480"/>
        <w:jc w:val="both"/>
        <w:spacing w:line="400" w:lineRule="exact"/>
        <w:rPr>
          <w:rFonts w:hint="eastAsia" w:ascii="宋体" w:hAnsi="宋体" w:cs="宋体"/>
          <w:color w:val="auto"/>
          <w:highlight w:val="none"/>
        </w:rPr>
      </w:pPr>
      <w:r>
        <w:rPr>
          <w:rFonts w:hint="eastAsia" w:ascii="宋体" w:hAnsi="宋体" w:cs="宋体"/>
          <w:color w:val="auto"/>
          <w:highlight w:val="none"/>
        </w:rPr>
        <w:t xml:space="preserve">电源进线对屏蔽室金属壁的绝缘电阻及导线与导线之间的绝缘电阻大于2</w:t>
      </w:r>
      <w:r>
        <w:rPr>
          <w:rFonts w:ascii="Times New Roman" w:hAnsi="Times New Roman" w:cs="Times New Roman"/>
          <w:color w:val="auto"/>
          <w:highlight w:val="none"/>
        </w:rPr>
        <w:t xml:space="preserve">MΩ</w:t>
      </w:r>
      <w:r>
        <w:rPr>
          <w:rFonts w:hint="eastAsia" w:ascii="宋体" w:hAnsi="宋体" w:cs="宋体"/>
          <w:color w:val="auto"/>
          <w:highlight w:val="none"/>
        </w:rPr>
        <w:t xml:space="preserve">。屏蔽壳体采用单独接地，接地电阻小于1Ω。</w:t>
      </w:r>
      <w:r/>
    </w:p>
    <w:p>
      <w:pPr>
        <w:pStyle w:val="1024"/>
        <w:ind w:firstLine="480"/>
        <w:jc w:val="both"/>
        <w:spacing w:line="400" w:lineRule="exact"/>
        <w:rPr>
          <w:rFonts w:hint="eastAsia" w:ascii="宋体" w:hAnsi="宋体" w:cs="宋体"/>
          <w:color w:val="auto"/>
          <w:highlight w:val="none"/>
        </w:rPr>
      </w:pPr>
      <w:r>
        <w:rPr>
          <w:rFonts w:hint="eastAsia" w:ascii="宋体" w:hAnsi="宋体" w:cs="宋体"/>
          <w:color w:val="auto"/>
          <w:highlight w:val="none"/>
        </w:rPr>
        <w:t xml:space="preserve">屏蔽室地板附近设置接地铜排作为测试接地使用，最终接地端子数量及位置在项目协调会确定。</w:t>
      </w:r>
      <w:r/>
    </w:p>
    <w:p>
      <w:pPr>
        <w:pStyle w:val="1066"/>
        <w:ind w:firstLine="480"/>
        <w:spacing w:line="400" w:lineRule="exact"/>
        <w:rPr>
          <w:rFonts w:hint="eastAsia" w:ascii="宋体" w:hAnsi="宋体" w:cs="宋体"/>
          <w:sz w:val="24"/>
          <w:highlight w:val="none"/>
        </w:rPr>
      </w:pPr>
      <w:r>
        <w:rPr>
          <w:rFonts w:hint="eastAsia" w:ascii="宋体" w:hAnsi="宋体" w:cs="宋体"/>
          <w:sz w:val="24"/>
          <w:highlight w:val="none"/>
        </w:rPr>
        <w:t xml:space="preserve">3.3控制室内电源滤波器</w:t>
      </w:r>
      <w:r/>
    </w:p>
    <w:p>
      <w:pPr>
        <w:pStyle w:val="1066"/>
        <w:ind w:firstLine="480"/>
        <w:spacing w:line="400" w:lineRule="exact"/>
        <w:rPr>
          <w:rFonts w:hint="eastAsia" w:ascii="宋体" w:hAnsi="宋体" w:cs="宋体"/>
          <w:sz w:val="24"/>
          <w:highlight w:val="none"/>
        </w:rPr>
      </w:pPr>
      <w:r>
        <w:rPr>
          <w:rFonts w:hint="eastAsia" w:ascii="宋体" w:hAnsi="宋体" w:cs="宋体"/>
          <w:sz w:val="24"/>
          <w:highlight w:val="none"/>
        </w:rPr>
        <w:t xml:space="preserve">单相250V 16A，一路，供照明/测试仪器使用；</w:t>
      </w:r>
      <w:r/>
    </w:p>
    <w:p>
      <w:pPr>
        <w:pStyle w:val="1066"/>
        <w:ind w:firstLine="480"/>
        <w:spacing w:line="400" w:lineRule="exact"/>
        <w:rPr>
          <w:rFonts w:hint="eastAsia" w:ascii="宋体" w:hAnsi="宋体" w:cs="宋体"/>
          <w:sz w:val="24"/>
          <w:highlight w:val="none"/>
        </w:rPr>
      </w:pPr>
      <w:r>
        <w:rPr>
          <w:rFonts w:hint="eastAsia" w:ascii="宋体" w:hAnsi="宋体" w:cs="宋体"/>
          <w:sz w:val="24"/>
          <w:highlight w:val="none"/>
        </w:rPr>
        <w:t xml:space="preserve">单相250V 32A，一路，供单相样品，与变频稳压电源或市电相连。</w:t>
      </w:r>
      <w:r/>
    </w:p>
    <w:p>
      <w:pPr>
        <w:pStyle w:val="1066"/>
        <w:ind w:firstLine="482"/>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4.功放室要求</w:t>
      </w:r>
      <w:r/>
    </w:p>
    <w:p>
      <w:pPr>
        <w:pStyle w:val="1066"/>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▲4.1功放室的结构尺寸：功放室的尺寸应不小于2m*3m*3m，内部采用铝塑复合板装修，多孔铝板吊顶，地面完成面与室外高</w:t>
      </w:r>
      <w:bookmarkStart w:id="734" w:name="OLE_LINK247"/>
      <w:r/>
      <w:bookmarkStart w:id="735" w:name="OLE_LINK248"/>
      <w:r/>
      <w:bookmarkStart w:id="736" w:name="OLE_LINK246"/>
      <w:r>
        <w:rPr>
          <w:rFonts w:hint="eastAsia" w:ascii="宋体" w:hAnsi="宋体" w:cs="宋体"/>
          <w:sz w:val="24"/>
          <w:highlight w:val="none"/>
        </w:rPr>
        <w:t xml:space="preserve">度差不大于10cm，如有高度差供应商应提供货物车辆临时进出时的缓坡部件。门的最小尺寸为1.0m*2.0m，屏蔽门应有良好的射频接触，采用2刀4簧的模式以保证屏蔽效能达到采购要求，屏蔽效能不低于电波暗室要求，门采用手动开合方式。</w:t>
      </w:r>
      <w:bookmarkEnd w:id="734"/>
      <w:r/>
      <w:bookmarkEnd w:id="735"/>
      <w:r/>
      <w:bookmarkEnd w:id="736"/>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▲4.2屏蔽壳体：屏蔽壳体应采用拼装结构的屏蔽壳体，镀锌钢板厚度不小于2mm，其镀锌层的厚度不小于20</w:t>
      </w:r>
      <w:r>
        <w:rPr>
          <w:sz w:val="24"/>
          <w:highlight w:val="none"/>
        </w:rPr>
        <w:t xml:space="preserve">μm</w:t>
      </w:r>
      <w:r>
        <w:rPr>
          <w:rFonts w:hint="eastAsia" w:ascii="宋体" w:hAnsi="宋体" w:cs="宋体"/>
          <w:sz w:val="24"/>
          <w:highlight w:val="none"/>
        </w:rPr>
        <w:t xml:space="preserve">。任意相邻两块屏蔽模板间采用屏蔽衬垫，以保证优异的射频屏蔽和电接触。功放室地板为满铺不锈钢板，厚度不低于3mm，并提供相关的证明材料。屏蔽体在建造时应经过防水设计，抗震裂度8级；屏蔽体与地隔离，屏蔽体对地电阻应大于2</w:t>
      </w:r>
      <w:r>
        <w:rPr>
          <w:sz w:val="24"/>
          <w:highlight w:val="none"/>
        </w:rPr>
        <w:t xml:space="preserve">MΩ</w:t>
      </w:r>
      <w:r>
        <w:rPr>
          <w:rFonts w:hint="eastAsia" w:ascii="宋体" w:hAnsi="宋体" w:cs="宋体"/>
          <w:sz w:val="24"/>
          <w:highlight w:val="none"/>
        </w:rPr>
        <w:t xml:space="preserve">（</w:t>
      </w:r>
      <w:bookmarkStart w:id="737" w:name="OLE_LINK249"/>
      <w:r>
        <w:rPr>
          <w:rFonts w:hint="eastAsia" w:ascii="宋体" w:hAnsi="宋体" w:cs="宋体"/>
          <w:sz w:val="24"/>
          <w:highlight w:val="none"/>
        </w:rPr>
        <w:t xml:space="preserve">为保证屏蔽体与建筑地面绝缘性能，绝缘层应至少选用一层聚四氟乙烯薄膜材质）。屏蔽体外面层采用静电喷塑涂层</w:t>
      </w:r>
      <w:bookmarkEnd w:id="737"/>
      <w:r>
        <w:rPr>
          <w:rFonts w:hint="eastAsia" w:ascii="宋体" w:hAnsi="宋体" w:cs="宋体"/>
          <w:sz w:val="24"/>
          <w:highlight w:val="none"/>
        </w:rPr>
        <w:t xml:space="preserve">，颜色由采购方确认。</w:t>
      </w:r>
      <w:r/>
    </w:p>
    <w:p>
      <w:pPr>
        <w:pStyle w:val="1024"/>
        <w:ind w:firstLine="480"/>
        <w:spacing w:line="400" w:lineRule="exact"/>
        <w:rPr>
          <w:rFonts w:hint="eastAsia" w:ascii="宋体" w:hAnsi="宋体" w:cs="宋体"/>
          <w:color w:val="auto"/>
          <w:highlight w:val="none"/>
        </w:rPr>
      </w:pPr>
      <w:r>
        <w:rPr>
          <w:rFonts w:hint="eastAsia" w:ascii="宋体" w:hAnsi="宋体" w:cs="宋体"/>
          <w:color w:val="auto"/>
          <w:highlight w:val="none"/>
        </w:rPr>
        <w:t xml:space="preserve">电源进线对屏蔽室金属壁的绝缘电阻及导线与导线之间的绝缘电阻大于2MΩ。屏蔽壳体采用单独接地，接地电阻小于1Ω。</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4.3功放室电源滤波器：三相420V 63A，一路，供仪器使用；单相250V 32A，一路，供仪器和照明使用。</w:t>
      </w:r>
      <w:r/>
    </w:p>
    <w:p>
      <w:pPr>
        <w:ind w:firstLine="482"/>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5.传导骚</w:t>
      </w:r>
      <w:bookmarkStart w:id="738" w:name="OLE_LINK250"/>
      <w:r/>
      <w:bookmarkStart w:id="739" w:name="OLE_LINK251"/>
      <w:r>
        <w:rPr>
          <w:rFonts w:hint="eastAsia" w:ascii="宋体" w:hAnsi="宋体" w:cs="宋体"/>
          <w:b/>
          <w:bCs/>
          <w:sz w:val="24"/>
          <w:highlight w:val="none"/>
        </w:rPr>
        <w:t xml:space="preserve">扰测试房的要求</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传导骚扰测试房基于现有的传导骚扰屏蔽房进行搬迁、升级和改造。完成后的传导骚扰测试房应满足如下要求：</w:t>
      </w:r>
      <w:bookmarkEnd w:id="738"/>
      <w:r/>
      <w:bookmarkEnd w:id="739"/>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5.1结构尺寸：尺寸不小于9m*5m*3.5m，内部采用铝塑复合板装修，多孔铝板吊顶，地面完成面与室外高度差不大于10cm，如有高度差供应商应提供货物车辆临时进出时的缓坡部件。屏蔽门最小尺寸为1.5m*2.0m，屏蔽门应有良好的射频接触，采用2刀4簧的模式保证屏蔽效能达到标书要求，控制室的门采用电动开合方式。</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▲5.2屏蔽壳体：采用拼装结构的屏蔽壳体，</w:t>
      </w:r>
      <w:r>
        <w:rPr>
          <w:rFonts w:hint="eastAsia" w:ascii="宋体" w:hAnsi="宋体" w:cs="宋体"/>
          <w:sz w:val="24"/>
          <w:highlight w:val="none"/>
        </w:rPr>
        <w:t xml:space="preserve">镀锌钢板厚度不小于2mm，其镀锌层的厚度不小于20μm。屏蔽室地板为满铺不锈钢板，厚度不低于3mm，并提供相关的证明材料，任意相邻两块屏蔽模板间采用屏蔽衬垫，以保证优异的射频屏蔽和电接触。屏蔽体在建造时应经过防水设计，抗震裂度8级；屏蔽体与地隔离，屏蔽体对地电阻应大于2MΩ（为保证屏蔽体与建筑地面绝缘性能，绝缘层应至少选用一层聚四氟乙烯薄膜材质）。安装后外表面采用静电喷涂方式处理，颜色由采购方拟定。电源进线对屏蔽室金属壁的绝缘电阻及导线与导线之间的绝缘电阻大于2MΩ。屏蔽壳体采用单独接地，接地电阻小于1Ω。</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5.3滤波器</w:t>
      </w:r>
      <w:r/>
    </w:p>
    <w:p>
      <w:pPr>
        <w:numPr>
          <w:ilvl w:val="0"/>
          <w:numId w:val="8"/>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三相，690V/200A，1套，样品供电；</w:t>
      </w:r>
      <w:r/>
    </w:p>
    <w:p>
      <w:pPr>
        <w:numPr>
          <w:ilvl w:val="0"/>
          <w:numId w:val="8"/>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单相，250V/16A，1套，照明设备等供电；</w:t>
      </w:r>
      <w:r/>
    </w:p>
    <w:p>
      <w:pPr>
        <w:numPr>
          <w:ilvl w:val="0"/>
          <w:numId w:val="8"/>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单相，250V/32A，1套，EUT供电；</w:t>
      </w:r>
      <w:r/>
    </w:p>
    <w:p>
      <w:pPr>
        <w:pStyle w:val="1024"/>
        <w:numPr>
          <w:ilvl w:val="0"/>
          <w:numId w:val="8"/>
        </w:numPr>
        <w:ind w:firstLine="480"/>
        <w:jc w:val="both"/>
        <w:spacing w:line="400" w:lineRule="exact"/>
        <w:rPr>
          <w:rFonts w:hint="eastAsia" w:ascii="宋体" w:hAnsi="宋体" w:cs="宋体"/>
          <w:color w:val="auto"/>
          <w:highlight w:val="none"/>
        </w:rPr>
      </w:pPr>
      <w:r>
        <w:rPr>
          <w:rFonts w:hint="eastAsia" w:ascii="宋体" w:hAnsi="宋体" w:cs="宋体"/>
          <w:color w:val="auto"/>
          <w:highlight w:val="none"/>
        </w:rPr>
        <w:t xml:space="preserve">单相，120Vac/32A，1套，EUT供电；</w:t>
      </w:r>
      <w:r/>
    </w:p>
    <w:p>
      <w:pPr>
        <w:pStyle w:val="1024"/>
        <w:numPr>
          <w:ilvl w:val="0"/>
          <w:numId w:val="8"/>
        </w:numPr>
        <w:ind w:firstLine="480"/>
        <w:jc w:val="both"/>
        <w:spacing w:line="400" w:lineRule="exact"/>
        <w:rPr>
          <w:rFonts w:hint="eastAsia" w:ascii="宋体" w:hAnsi="宋体" w:cs="宋体"/>
          <w:color w:val="auto"/>
          <w:highlight w:val="none"/>
        </w:rPr>
      </w:pPr>
      <w:r>
        <w:rPr>
          <w:rFonts w:hint="eastAsia" w:ascii="宋体" w:hAnsi="宋体" w:cs="宋体"/>
          <w:color w:val="auto"/>
          <w:highlight w:val="none"/>
        </w:rPr>
        <w:t xml:space="preserve">1000Vdc/200A，1套，EUT供电；</w:t>
      </w:r>
      <w:r/>
    </w:p>
    <w:p>
      <w:pPr>
        <w:pStyle w:val="1024"/>
        <w:numPr>
          <w:ilvl w:val="0"/>
          <w:numId w:val="8"/>
        </w:numPr>
        <w:ind w:firstLine="480"/>
        <w:jc w:val="both"/>
        <w:spacing w:line="400" w:lineRule="exact"/>
        <w:rPr>
          <w:rFonts w:hint="eastAsia" w:ascii="宋体" w:hAnsi="宋体" w:cs="宋体"/>
          <w:color w:val="auto"/>
          <w:highlight w:val="none"/>
        </w:rPr>
      </w:pPr>
      <w:r>
        <w:rPr>
          <w:rFonts w:hint="eastAsia" w:ascii="宋体" w:hAnsi="宋体" w:cs="宋体"/>
          <w:color w:val="auto"/>
          <w:highlight w:val="none"/>
        </w:rPr>
        <w:t xml:space="preserve">100Vdc/100A，1套，EUT供电。</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屏蔽室内插头插座类型及细节在细化方案阶段进行完善。</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5.4射频接口</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各屏蔽室通过一个矩形接口板相通，上面的接口有：FSMA×6，SMA×4，N型50欧×4，BNC型50欧×4，BNC型75欧×2。</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传导屏蔽室对外应设有一个接口板，预装2个N法兰连接器，2个SMA法兰连接器，2个FSMA光纤连接器。</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5.5照明及换气要求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内部亮度应均匀，在离地板1m高度上的照度&gt;300Lx。工作电源为AC 220V 50Hz，屏蔽室均应选用LED灯。应预留足够数量的波导窗满足换气要求。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5.6</w:t>
      </w:r>
      <w:bookmarkStart w:id="740" w:name="_Hlk99756633"/>
      <w:r>
        <w:rPr>
          <w:rFonts w:hint="eastAsia" w:ascii="宋体" w:hAnsi="宋体" w:cs="宋体"/>
          <w:sz w:val="24"/>
          <w:highlight w:val="none"/>
        </w:rPr>
        <w:t xml:space="preserve">屏蔽室地板附近设置接地铜排作为测试接地使用，最终接地端子数量及位置在项目协调会确定。</w:t>
      </w:r>
      <w:bookmarkEnd w:id="740"/>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5.7现场配电为1路160A三相五线供电线路，为了适应分支开关的要求，投标人应负责在屏蔽房外设置一个开关柜，投标人负责配电柜至屏蔽房的供电线缆的铺设。</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6.附件</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▲6.1视频监控系统：数字视频监控系统3套：2套采用顶部嵌入式（CCTV系统包括云台，电源，摄像头，光电转换器，数字图像处理器、高性能服</w:t>
      </w:r>
      <w:r>
        <w:rPr>
          <w:rFonts w:hint="eastAsia" w:ascii="宋体" w:hAnsi="宋体" w:cs="宋体"/>
          <w:sz w:val="24"/>
          <w:highlight w:val="none"/>
        </w:rPr>
        <w:t xml:space="preserve">务器和监视显示器，有图像记录功能，可以通过软件控制暗室内云台上下，左右移动，并可以控制摄像头调整摄像头变焦，广角,不低于30倍光学变焦的摄像系统）分别指向样品和天线；1套采用移动式，规定动态范围，附带三脚架。视频监控系统需要带辐射抗扰度提醒功能，带有辐射抗扰度EUT异常自动提醒报警功能，产品异常自动报警，方便客户及时进行整改，具备异常情况下记录异常状态视频功能，生成视频报告。彩色摄像机应能承受DC到18GHz频率范围内的200V/m辐射场强，干扰水平低于CISPR 32 Class B辐射干扰限值10dB。</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▲6.2消防系统：采用基于空气采样的消防报警系统，抗干扰性能超过200V/m以上，具备声光报警输出。</w:t>
      </w:r>
      <w:r/>
    </w:p>
    <w:p>
      <w:pPr>
        <w:ind w:firstLine="480"/>
        <w:spacing w:line="400" w:lineRule="exact"/>
        <w:rPr>
          <w:rFonts w:hint="eastAsia" w:ascii="宋体" w:hAnsi="宋体" w:cs="宋体"/>
          <w:sz w:val="24"/>
          <w:highlight w:val="none"/>
        </w:rPr>
      </w:pPr>
      <w:r/>
      <w:bookmarkStart w:id="741" w:name="_Hlk98749473"/>
      <w:r>
        <w:rPr>
          <w:rFonts w:hint="eastAsia" w:ascii="宋体" w:hAnsi="宋体" w:cs="宋体"/>
          <w:sz w:val="24"/>
          <w:highlight w:val="none"/>
        </w:rPr>
        <w:t xml:space="preserve">6.3照明及换气系统</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选用较为通用的光源，内部亮度均匀，在离地板1m高度上的照度&gt;300Lx。工作电源为AC 220V 50Hz。配置自动升降系统，以方便维修。</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应预留足够数量的波导窗以满足暖通换气要求，顶部波导窗安装在照明灯的上方，以便暗室内照明灯的热量散发；波导窗需配有法兰盘并向外凸出，以便与空调管道连接；波导窗设计频率范围为10kHz至18GHz，屏蔽效能符合要求；中标后须提供波导窗数量计算及暗室通风次数、换气量计量依据。</w:t>
      </w:r>
      <w:bookmarkEnd w:id="741"/>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6.4语音交互及整改系统：应配备半双工语音通讯系统。暗室用整改投影系统：配备地面无干扰投影系统，安装在高架地板下，投影板安装在白盖上，可以连接接收机以及外部电脑进行暗室内部整改以及展示实验室使用，具有声音播放功能，能承受DC到18GHz频率范围内的 200V/m辐射场强，干扰水平低于CISPR 32 Class B辐射干扰限值10dB。</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6.5测试桌</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暗室</w:t>
      </w:r>
      <w:r/>
    </w:p>
    <w:p>
      <w:pPr>
        <w:numPr>
          <w:ilvl w:val="0"/>
          <w:numId w:val="9"/>
        </w:numPr>
        <w:spacing w:line="400" w:lineRule="exact"/>
        <w:rPr>
          <w:rFonts w:hint="eastAsia" w:ascii="宋体" w:hAnsi="宋体" w:cs="宋体"/>
          <w:sz w:val="24"/>
          <w:highlight w:val="none"/>
        </w:rPr>
      </w:pPr>
      <w:r>
        <w:rPr>
          <w:rFonts w:hint="eastAsia" w:ascii="宋体" w:hAnsi="宋体" w:cs="宋体"/>
          <w:sz w:val="24"/>
          <w:highlight w:val="none"/>
        </w:rPr>
        <w:t xml:space="preserve">泡沫桌一套：尺寸：≥1600mm(L)*1000mm(W)*800mm(H)，其介电常数≤1.4（</w:t>
      </w:r>
      <w:bookmarkStart w:id="742" w:name="OLE_LINK252"/>
      <w:r/>
      <w:bookmarkStart w:id="743" w:name="OLE_LINK253"/>
      <w:r>
        <w:rPr>
          <w:rFonts w:hint="eastAsia" w:ascii="宋体" w:hAnsi="宋体" w:cs="宋体"/>
          <w:b/>
          <w:bCs/>
          <w:sz w:val="24"/>
          <w:highlight w:val="none"/>
        </w:rPr>
        <w:t xml:space="preserve">中标后提供测试桌介电常数测试报告</w:t>
      </w:r>
      <w:bookmarkEnd w:id="742"/>
      <w:r/>
      <w:bookmarkEnd w:id="743"/>
      <w:r>
        <w:rPr>
          <w:rFonts w:hint="eastAsia" w:ascii="宋体" w:hAnsi="宋体" w:cs="宋体"/>
          <w:sz w:val="24"/>
          <w:highlight w:val="none"/>
        </w:rPr>
        <w:t xml:space="preserve">），承重不小于200kg，满足标准CISPR 16-1-4和ANSI 63.4的要求。</w:t>
      </w:r>
      <w:r/>
    </w:p>
    <w:p>
      <w:pPr>
        <w:numPr>
          <w:ilvl w:val="0"/>
          <w:numId w:val="9"/>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实木测试桌一张：≥1.6*1.0*0.8m</w:t>
      </w:r>
      <w:r/>
    </w:p>
    <w:p>
      <w:pPr>
        <w:numPr>
          <w:ilvl w:val="0"/>
          <w:numId w:val="9"/>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实木测试桌一张：≥1.5*1.5*0.1m</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屏蔽房及EMS测试区</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实木榫卯结构测试桌及木棍（</w:t>
      </w:r>
      <w:r>
        <w:rPr>
          <w:rFonts w:hint="eastAsia" w:ascii="宋体" w:hAnsi="宋体" w:cs="宋体"/>
          <w:b/>
          <w:bCs/>
          <w:sz w:val="24"/>
          <w:highlight w:val="none"/>
        </w:rPr>
        <w:t xml:space="preserve">投标文件中注明木材种类</w:t>
      </w:r>
      <w:r>
        <w:rPr>
          <w:rFonts w:hint="eastAsia" w:ascii="宋体" w:hAnsi="宋体" w:cs="宋体"/>
          <w:sz w:val="24"/>
          <w:highlight w:val="none"/>
        </w:rPr>
        <w:t xml:space="preserve">）</w:t>
      </w:r>
      <w:r/>
    </w:p>
    <w:p>
      <w:pPr>
        <w:numPr>
          <w:ilvl w:val="0"/>
          <w:numId w:val="9"/>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1.6m*1.0m*0.8m（铺3mm不锈钢板、带接地孔）：5张；</w:t>
      </w:r>
      <w:r/>
    </w:p>
    <w:p>
      <w:pPr>
        <w:numPr>
          <w:ilvl w:val="0"/>
          <w:numId w:val="9"/>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工频磁场测试用凹字形测试桌：1张（台面尺寸0.8m*0.8m*0.8m）；</w:t>
      </w:r>
      <w:r/>
    </w:p>
    <w:p>
      <w:pPr>
        <w:numPr>
          <w:ilvl w:val="0"/>
          <w:numId w:val="9"/>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1.6m*1.0m*0.8m：5张（桌面带刻度）；</w:t>
      </w:r>
      <w:r/>
    </w:p>
    <w:p>
      <w:pPr>
        <w:numPr>
          <w:ilvl w:val="0"/>
          <w:numId w:val="9"/>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0.8m*0.8m*0.4m：1张（桌面带刻度）；</w:t>
      </w:r>
      <w:r/>
    </w:p>
    <w:p>
      <w:pPr>
        <w:numPr>
          <w:ilvl w:val="0"/>
          <w:numId w:val="9"/>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0.8m*0.8m*0.1m：3张（桌面带刻度）；</w:t>
      </w:r>
      <w:r/>
    </w:p>
    <w:p>
      <w:pPr>
        <w:numPr>
          <w:ilvl w:val="0"/>
          <w:numId w:val="9"/>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0.6*0.1m*0.1m：20根（木棍）；</w:t>
      </w:r>
      <w:r/>
    </w:p>
    <w:p>
      <w:pPr>
        <w:ind w:firstLine="480"/>
        <w:spacing w:line="400" w:lineRule="exact"/>
        <w:rPr>
          <w:rFonts w:hint="eastAsia" w:ascii="宋体" w:hAnsi="宋体" w:cs="宋体"/>
          <w:sz w:val="24"/>
          <w:highlight w:val="none"/>
        </w:rPr>
      </w:pPr>
      <w:r/>
      <w:bookmarkStart w:id="744" w:name="OLE_LINK255"/>
      <w:r/>
      <w:bookmarkStart w:id="745" w:name="OLE_LINK254"/>
      <w:r>
        <w:rPr>
          <w:rFonts w:hint="eastAsia" w:ascii="宋体" w:hAnsi="宋体" w:cs="宋体"/>
          <w:sz w:val="24"/>
          <w:highlight w:val="none"/>
        </w:rPr>
        <w:t xml:space="preserve">6.6使用市电供应三相380Vac的电以及单相220Vac的电，需要协助把电线以及插座接到对应工位上。实验室三相及单相220Vac EUT用电，一组电分到10m法暗室，一组分配到CE屏蔽室SR-953，一组分配到EMS测</w:t>
      </w:r>
      <w:bookmarkEnd w:id="744"/>
      <w:r/>
      <w:bookmarkEnd w:id="745"/>
      <w:r>
        <w:rPr>
          <w:rFonts w:hint="eastAsia" w:ascii="宋体" w:hAnsi="宋体" w:cs="宋体"/>
          <w:sz w:val="24"/>
          <w:highlight w:val="none"/>
        </w:rPr>
        <w:t xml:space="preserve">试区。</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w:t>
      </w:r>
      <w:bookmarkStart w:id="746" w:name="OLE_LINK256"/>
      <w:r>
        <w:rPr>
          <w:rFonts w:hint="eastAsia" w:ascii="宋体" w:hAnsi="宋体" w:cs="宋体"/>
          <w:sz w:val="24"/>
          <w:highlight w:val="none"/>
        </w:rPr>
        <w:t xml:space="preserve">.7暗室单相120VAC/50Hz供电电源1台</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容量：45KVA；输入电压：3Φ4W+G 380V/220V±10%；</w:t>
      </w:r>
      <w:bookmarkEnd w:id="746"/>
      <w:r>
        <w:rPr>
          <w:rFonts w:hint="eastAsia" w:ascii="宋体" w:hAnsi="宋体" w:cs="宋体"/>
          <w:sz w:val="24"/>
          <w:highlight w:val="none"/>
        </w:rPr>
        <w:t xml:space="preserve">输入频率：50Hz±5%；</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输出交流电压范围及电流: (低压档)0-150V(L-N)/最大电流398A</w:t>
      </w:r>
      <w:r/>
    </w:p>
    <w:p>
      <w:pPr>
        <w:ind w:firstLine="3360"/>
        <w:spacing w:line="400" w:lineRule="exact"/>
        <w:rPr>
          <w:rFonts w:hint="eastAsia" w:ascii="宋体" w:hAnsi="宋体" w:cs="宋体"/>
          <w:sz w:val="24"/>
          <w:highlight w:val="none"/>
        </w:rPr>
      </w:pPr>
      <w:r>
        <w:rPr>
          <w:rFonts w:hint="eastAsia" w:ascii="宋体" w:hAnsi="宋体" w:cs="宋体"/>
          <w:sz w:val="24"/>
          <w:highlight w:val="none"/>
        </w:rPr>
        <w:t xml:space="preserve">(高压档)0-300V(L-N)/最大电流189A</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输出频率:47-63Hz 连续可调、50Hz、60Hz；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固定档位带网线通讯，一组电分到10m法暗室，一组分配到CE屏蔽室SR-953，一组分配到EMS测试区。</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▲6.8暗室低压大电流供电电源1台</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输入端：额定输入功率：20KW；输入类型：三相五线制；额定电压：380Vac±15%；额定频率及范围：50/60Hz；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输出端：电压范围：0-60Vdc；电流范围：0-400A；最大功率：20KW；</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一组电分到10m法暗室，一组分配到CE屏蔽室SR-953。</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▲6.9暗室高压直流回馈式供电电源2台</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两套并机最大可达60KW，电压1000Vdc/60A，电压300Vdc/200A。通过并联可以扩展到更大功率。EMI专用电源，电源EMI骚扰满足实验室需求。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输入端：额定输入功率：30kW；输入类型：三相五线制；额定电压：380Vac±15%；额定电流：45A；额定频率及范围：50/60Hz；功率因数调节范围：±1；谐波含量THDi：≤3%；</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输出端：额定电压（BAT+/-）：300Vdc；电压范围（BAT+/-）：50Vdc-950Vdc；电压范围（DC+/-）：680Vdc-1000Vdc；额定电流（BAT+/-）：100A；电流范围：±100A电压误差±0.1%；</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一组电分到10m法暗室，一组分配到CE屏蔽室SR-953，一组分配到EMS测试区（可以用于-4-39的dip测试）。</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6.10暗室</w:t>
      </w:r>
      <w:bookmarkStart w:id="747" w:name="OLE_LINK259"/>
      <w:r/>
      <w:bookmarkStart w:id="748" w:name="OLE_LINK260"/>
      <w:r>
        <w:rPr>
          <w:rFonts w:hint="eastAsia" w:ascii="宋体" w:hAnsi="宋体" w:cs="宋体"/>
          <w:sz w:val="24"/>
          <w:highlight w:val="none"/>
        </w:rPr>
        <w:t xml:space="preserve">供气气路进口处应设计便于更</w:t>
      </w:r>
      <w:bookmarkEnd w:id="747"/>
      <w:r/>
      <w:bookmarkEnd w:id="748"/>
      <w:r>
        <w:rPr>
          <w:rFonts w:hint="eastAsia" w:ascii="宋体" w:hAnsi="宋体" w:cs="宋体"/>
          <w:sz w:val="24"/>
          <w:highlight w:val="none"/>
        </w:rPr>
        <w:t xml:space="preserve">换的除湿过滤装置。</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▲6.11</w:t>
      </w:r>
      <w:bookmarkStart w:id="749" w:name="OLE_LINK257"/>
      <w:r/>
      <w:bookmarkStart w:id="750" w:name="OLE_LINK258"/>
      <w:r>
        <w:rPr>
          <w:rFonts w:hint="eastAsia" w:ascii="宋体" w:hAnsi="宋体" w:cs="宋体"/>
          <w:sz w:val="24"/>
          <w:highlight w:val="none"/>
        </w:rPr>
        <w:t xml:space="preserve">电磁兼容抗扰度（EMS）测试区域高架地板铺设</w:t>
      </w:r>
      <w:bookmarkEnd w:id="749"/>
      <w:r/>
      <w:bookmarkEnd w:id="750"/>
      <w:r/>
      <w:bookmarkStart w:id="751" w:name="OLE_LINK261"/>
      <w:r/>
      <w:bookmarkStart w:id="752" w:name="OLE_LINK262"/>
      <w:r>
        <w:rPr>
          <w:rFonts w:hint="eastAsia" w:ascii="宋体" w:hAnsi="宋体" w:cs="宋体"/>
          <w:sz w:val="24"/>
          <w:highlight w:val="none"/>
        </w:rPr>
        <w:t xml:space="preserve">：在L*W≥6m*10m的EMS测试区，搭建35cm高的高架地板，并铺设3mm厚不锈钢板，保证承重≥3t，同时与现有地板持平。</w:t>
      </w:r>
      <w:bookmarkEnd w:id="751"/>
      <w:r/>
      <w:bookmarkEnd w:id="752"/>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7</w:t>
      </w:r>
      <w:bookmarkStart w:id="753" w:name="OLE_LINK263"/>
      <w:r/>
      <w:bookmarkStart w:id="754" w:name="OLE_LINK264"/>
      <w:r>
        <w:rPr>
          <w:rFonts w:hint="eastAsia" w:ascii="宋体" w:hAnsi="宋体" w:cs="宋体"/>
          <w:b/>
          <w:bCs/>
          <w:sz w:val="24"/>
          <w:highlight w:val="none"/>
        </w:rPr>
        <w:t xml:space="preserve">.工艺水平</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7.1钢板及构件电镀层应明亮整洁、无锈迹，涂敷层应美观牢固、平整不起泡、流淌及龟裂，钢结构颜色由采购方拟定。</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7.2整个外表面应平整，钢板锁紧后接缝线条要平直、均匀。地板应牢固平整，转台转动平稳、间隙均匀。钢板铺设必须平整紧密，应满足ANSIC63.4最新标准要求。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7.3电源线、信号线线缆通道相互独立铺设,保证电波暗室能力升级和线缆通道铺设以及安装，提供足够的升级空间，线缆铺设在金属管内，弯曲半径不影响电缆的电性能；线缆通道采用金属/PVC材料，线缆安装在半电波电波暗室内的高架地板下方。线缆线管与线槽内预留引线，高架地板上设置必要的接口板和观察口，以便于线缆维修与更换。</w:t>
      </w:r>
      <w:r/>
    </w:p>
    <w:p>
      <w:pPr>
        <w:ind w:firstLine="482"/>
        <w:spacing w:line="400" w:lineRule="exact"/>
        <w:rPr>
          <w:rFonts w:hint="eastAsia" w:ascii="宋体" w:hAnsi="宋体" w:cs="宋体"/>
          <w:b/>
          <w:sz w:val="24"/>
          <w:highlight w:val="none"/>
        </w:rPr>
        <w:outlineLvl w:val="0"/>
      </w:pPr>
      <w:r/>
      <w:bookmarkStart w:id="755" w:name="_Toc10098"/>
      <w:r>
        <w:rPr>
          <w:rFonts w:hint="eastAsia" w:ascii="宋体" w:hAnsi="宋体" w:cs="宋体"/>
          <w:b/>
          <w:sz w:val="24"/>
          <w:highlight w:val="none"/>
        </w:rPr>
        <w:t xml:space="preserve">（三）辐</w:t>
      </w:r>
      <w:bookmarkStart w:id="756" w:name="OLE_LINK265"/>
      <w:r>
        <w:rPr>
          <w:rFonts w:hint="eastAsia" w:ascii="宋体" w:hAnsi="宋体" w:cs="宋体"/>
          <w:b/>
          <w:sz w:val="24"/>
          <w:highlight w:val="none"/>
        </w:rPr>
        <w:t xml:space="preserve">射骚扰、传导骚扰、辐射抗扰度测</w:t>
      </w:r>
      <w:bookmarkEnd w:id="753"/>
      <w:r/>
      <w:bookmarkEnd w:id="754"/>
      <w:r>
        <w:rPr>
          <w:rFonts w:hint="eastAsia" w:ascii="宋体" w:hAnsi="宋体" w:cs="宋体"/>
          <w:b/>
          <w:sz w:val="24"/>
          <w:highlight w:val="none"/>
        </w:rPr>
        <w:t xml:space="preserve">试系统</w:t>
      </w:r>
      <w:bookmarkEnd w:id="755"/>
      <w:r/>
      <w:bookmarkStart w:id="757" w:name="_Toc331143424"/>
      <w:r/>
      <w:bookmarkEnd w:id="756"/>
      <w:r/>
      <w:r/>
    </w:p>
    <w:p>
      <w:pPr>
        <w:pStyle w:val="1215"/>
        <w:ind w:firstLine="482"/>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1.电磁兼容测试系统总体要求</w:t>
      </w:r>
      <w:bookmarkEnd w:id="757"/>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1.1主要内容</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1.1.1基于10米法电波暗室对特定产品进行辐射发射和辐射抗扰度测试和分析的系统集成项目。</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1.1.2基于屏蔽房对特定产品进行传导骚扰、功率骚扰测试和分析的系统集成项目。</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1.1.3主要测试产品：智能工业机器人、服务机器人、医疗机器人、移动机器人及无人机、灯具照明类、电动工具及家电类、多媒体类等。</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1.2电磁兼容测试系统设备配置总体要求</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1.2.1供应商提供的仪器仪表选型必须是近年推出的成熟型号。本文件中的技术方案和设备规格指标为最低要求，可以在符合标准前提下提出合理技术方案，提供更优设备配置。</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1.2.2测试系统必须由同一家系统集成商承担集成工作，全面负责系统安装、调试、校准和培训。</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1.2.3测试系统数据交换方式优先顺序采用LAN、GPIB、USB等方式。</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1.2.4各系统同类仪表具有一定互换性，工作站软件对硬件具有普遍兼容性。</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1.2.5投标人按照合同提供的关键货物如果不是自己制造的，投标人应保证所提供的货物的正常使用，不受侵权等法律问题的限制。</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1.2.6此项目中仪器设备所用的线缆及和暗室内部各接口板、穿墙板连接的相关连接器、转接头均由本项目中标方提供并负责安装，保证整体性能要求。</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1.2.7本项目所涉及到的设备的运输、计量校准、培训服务费用均已包含在报价中，采购方不另加费用。</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1.2.8投标单位需在招标文件中提供所选产品的详细技术描述，在不影响上述测试系统的整体功能和性能的情况下允许投标技术响应与招标文件的要求有微小偏离，但需要明确标注。</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1.2.9提供的设备额定电压和频率均应符合中国的供电制式。</w:t>
      </w:r>
      <w:bookmarkStart w:id="758" w:name="_Toc331143430"/>
      <w:r/>
      <w:r/>
    </w:p>
    <w:p>
      <w:pPr>
        <w:pStyle w:val="1215"/>
        <w:numPr>
          <w:ilvl w:val="0"/>
          <w:numId w:val="10"/>
        </w:numPr>
        <w:ind w:firstLine="482"/>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10米法电波暗室测试系统</w:t>
      </w:r>
      <w:bookmarkEnd w:id="758"/>
      <w:r/>
      <w:bookmarkStart w:id="759" w:name="_Toc331143431"/>
      <w:r/>
      <w:bookmarkEnd w:id="759"/>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w:t>
      </w:r>
      <w:bookmarkStart w:id="760" w:name="_Toc331143432"/>
      <w:r>
        <w:rPr>
          <w:rFonts w:hint="eastAsia" w:ascii="宋体" w:hAnsi="宋体" w:cs="宋体"/>
          <w:sz w:val="24"/>
          <w:highlight w:val="none"/>
        </w:rPr>
        <w:t xml:space="preserve">符合标准</w:t>
      </w:r>
      <w:bookmarkEnd w:id="760"/>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GBZ19397-2003（工业机器人电磁兼容性试验方法和性能评估准则）</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GBT 37283/GBT 37284（服务机器人）</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IEC TR 60601-4-1/GBT 38326/GBT 38336（工科医机器人）</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CISPR14/GBT4343（家电及电动工具类）</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CISPR15/GBT17743（灯具照明类）</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CISPR32/GBT9254（多媒体类）</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CISPR11/GBT4824（工科医类）</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IEC61000-4-3（所有电子产品）</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IEC60601-1-2/YY9706(医疗器械标准)</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IEC 62236/GBT24338轨道交通标准</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IEC61000-6/GBT 17799(居住商业和轻工业环境中的电磁兼容)等</w:t>
      </w:r>
      <w:bookmarkStart w:id="761" w:name="_Toc331143433"/>
      <w:r>
        <w:rPr>
          <w:rFonts w:hint="eastAsia" w:ascii="宋体" w:hAnsi="宋体" w:cs="宋体"/>
          <w:sz w:val="24"/>
          <w:szCs w:val="24"/>
          <w:highlight w:val="none"/>
        </w:rPr>
        <w:t xml:space="preserve">。</w:t>
      </w:r>
      <w:r/>
    </w:p>
    <w:p>
      <w:pPr>
        <w:pStyle w:val="1215"/>
        <w:ind w:firstLine="482"/>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2.2技术指标</w:t>
      </w:r>
      <w:bookmarkEnd w:id="761"/>
      <w:r>
        <w:rPr>
          <w:rFonts w:hint="eastAsia" w:ascii="宋体" w:hAnsi="宋体" w:cs="宋体"/>
          <w:b/>
          <w:bCs/>
          <w:sz w:val="24"/>
          <w:szCs w:val="24"/>
          <w:highlight w:val="none"/>
        </w:rPr>
        <w:t xml:space="preserve">及设备参数</w:t>
      </w:r>
      <w:r/>
    </w:p>
    <w:p>
      <w:pPr>
        <w:pStyle w:val="1215"/>
        <w:ind w:firstLine="482"/>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2.2.1辐射骚扰测试系统</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测试距离：天线距离3m或10m，天线塔高度范围(1～4)m；</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测试方法：单天线法（水平加垂直极化）、双天线法；</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频率范围：9kHz～30MHz 、30MHz～1GHz、1GHz～6GHz；</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检波器类型：峰值、准峰值和平均值检波器等。</w:t>
      </w:r>
      <w:r/>
    </w:p>
    <w:tbl>
      <w:tblPr>
        <w:tblStyle w:val="955"/>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185"/>
        <w:gridCol w:w="5893"/>
        <w:gridCol w:w="709"/>
        <w:gridCol w:w="704"/>
      </w:tblGrid>
      <w:tr>
        <w:trPr>
          <w:jc w:val="center"/>
          <w:trHeight w:val="20"/>
        </w:trPr>
        <w:tc>
          <w:tcPr>
            <w:shd w:val="clear" w:color="auto" w:fill="ccffcc"/>
            <w:tcW w:w="671" w:type="dxa"/>
            <w:vAlign w:val="center"/>
            <w:textDirection w:val="lrTb"/>
            <w:noWrap/>
          </w:tcPr>
          <w:p>
            <w:pPr>
              <w:ind w:left="3" w:hanging="24"/>
              <w:jc w:val="center"/>
              <w:rPr>
                <w:rFonts w:hint="eastAsia" w:ascii="宋体" w:hAnsi="宋体" w:cs="宋体"/>
                <w:b/>
                <w:bCs/>
                <w:sz w:val="24"/>
                <w:highlight w:val="none"/>
              </w:rPr>
            </w:pPr>
            <w:r>
              <w:rPr>
                <w:rFonts w:hint="eastAsia" w:ascii="宋体" w:hAnsi="宋体" w:cs="宋体"/>
                <w:b/>
                <w:bCs/>
                <w:sz w:val="24"/>
                <w:highlight w:val="none"/>
              </w:rPr>
              <w:t xml:space="preserve">序号</w:t>
            </w:r>
            <w:r/>
          </w:p>
        </w:tc>
        <w:tc>
          <w:tcPr>
            <w:shd w:val="clear" w:color="auto" w:fill="ccffcc"/>
            <w:tcW w:w="1185" w:type="dxa"/>
            <w:vAlign w:val="center"/>
            <w:textDirection w:val="lrTb"/>
            <w:noWrap/>
          </w:tcPr>
          <w:p>
            <w:pPr>
              <w:jc w:val="center"/>
              <w:rPr>
                <w:rFonts w:hint="eastAsia" w:ascii="宋体" w:hAnsi="宋体" w:cs="宋体"/>
                <w:b/>
                <w:bCs/>
                <w:sz w:val="24"/>
                <w:highlight w:val="none"/>
              </w:rPr>
            </w:pPr>
            <w:r>
              <w:rPr>
                <w:rFonts w:hint="eastAsia" w:ascii="宋体" w:hAnsi="宋体" w:cs="宋体"/>
                <w:b/>
                <w:bCs/>
                <w:sz w:val="24"/>
                <w:highlight w:val="none"/>
              </w:rPr>
              <w:t xml:space="preserve">设备名称</w:t>
            </w:r>
            <w:r/>
          </w:p>
        </w:tc>
        <w:tc>
          <w:tcPr>
            <w:shd w:val="clear" w:color="auto" w:fill="ccffcc"/>
            <w:tcW w:w="5893" w:type="dxa"/>
            <w:vAlign w:val="center"/>
            <w:textDirection w:val="lrTb"/>
            <w:noWrap w:val="false"/>
          </w:tcPr>
          <w:p>
            <w:pPr>
              <w:jc w:val="center"/>
              <w:rPr>
                <w:rFonts w:hint="eastAsia" w:ascii="宋体" w:hAnsi="宋体" w:cs="宋体"/>
                <w:b/>
                <w:bCs/>
                <w:sz w:val="24"/>
                <w:highlight w:val="none"/>
              </w:rPr>
            </w:pPr>
            <w:r/>
            <w:bookmarkStart w:id="762" w:name="OLE_LINK267"/>
            <w:r>
              <w:rPr>
                <w:rFonts w:hint="eastAsia" w:ascii="宋体" w:hAnsi="宋体" w:cs="宋体"/>
                <w:b/>
                <w:bCs/>
                <w:sz w:val="24"/>
                <w:highlight w:val="none"/>
              </w:rPr>
              <w:t xml:space="preserve">技术要求</w:t>
            </w:r>
            <w:bookmarkEnd w:id="762"/>
            <w:r/>
            <w:r/>
          </w:p>
        </w:tc>
        <w:tc>
          <w:tcPr>
            <w:shd w:val="clear" w:color="auto" w:fill="ccffcc"/>
            <w:tcW w:w="709"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数量</w:t>
            </w:r>
            <w:r/>
          </w:p>
        </w:tc>
        <w:tc>
          <w:tcPr>
            <w:shd w:val="clear" w:color="auto" w:fill="ccffcc"/>
            <w:tcW w:w="704" w:type="dxa"/>
            <w:vAlign w:val="center"/>
            <w:textDirection w:val="lrTb"/>
            <w:noWrap/>
          </w:tcPr>
          <w:p>
            <w:pPr>
              <w:jc w:val="center"/>
              <w:rPr>
                <w:rFonts w:hint="eastAsia" w:ascii="宋体" w:hAnsi="宋体" w:cs="宋体"/>
                <w:b/>
                <w:bCs/>
                <w:sz w:val="24"/>
                <w:highlight w:val="none"/>
              </w:rPr>
            </w:pPr>
            <w:r>
              <w:rPr>
                <w:rFonts w:hint="eastAsia" w:ascii="宋体" w:hAnsi="宋体" w:cs="宋体"/>
                <w:b/>
                <w:bCs/>
                <w:sz w:val="24"/>
                <w:highlight w:val="none"/>
              </w:rPr>
              <w:t xml:space="preserve">备注</w:t>
            </w:r>
            <w:r/>
          </w:p>
        </w:tc>
      </w:tr>
      <w:tr>
        <w:trPr>
          <w:jc w:val="center"/>
          <w:trHeight w:val="20"/>
        </w:trPr>
        <w:tc>
          <w:tcPr>
            <w:tcW w:w="671" w:type="dxa"/>
            <w:vAlign w:val="center"/>
            <w:textDirection w:val="lrTb"/>
            <w:noWrap/>
          </w:tcPr>
          <w:p>
            <w:pPr>
              <w:ind w:left="3" w:hanging="24"/>
              <w:jc w:val="center"/>
              <w:rPr>
                <w:rFonts w:hint="eastAsia" w:ascii="宋体" w:hAnsi="宋体" w:cs="宋体"/>
                <w:b/>
                <w:sz w:val="24"/>
                <w:highlight w:val="none"/>
              </w:rPr>
            </w:pPr>
            <w:r/>
            <w:bookmarkStart w:id="763" w:name="OLE_LINK353"/>
            <w:r/>
            <w:bookmarkStart w:id="764" w:name="OLE_LINK336"/>
            <w:r/>
            <w:bookmarkStart w:id="765" w:name="_Hlk223813561"/>
            <w:r/>
            <w:bookmarkStart w:id="766" w:name="OLE_LINK352"/>
            <w:r/>
            <w:bookmarkStart w:id="767" w:name="OLE_LINK351"/>
            <w:r>
              <w:rPr>
                <w:rFonts w:hint="eastAsia" w:ascii="宋体" w:hAnsi="宋体" w:cs="宋体"/>
                <w:b/>
                <w:sz w:val="24"/>
                <w:highlight w:val="none"/>
              </w:rPr>
              <w:t xml:space="preserve">★</w:t>
            </w:r>
            <w:bookmarkEnd w:id="763"/>
            <w:r/>
            <w:bookmarkEnd w:id="764"/>
            <w:r>
              <w:rPr>
                <w:rFonts w:hint="eastAsia" w:ascii="宋体" w:hAnsi="宋体" w:cs="宋体"/>
                <w:b/>
                <w:sz w:val="24"/>
                <w:highlight w:val="none"/>
              </w:rPr>
              <w:t xml:space="preserve">1</w:t>
            </w:r>
            <w:r/>
          </w:p>
        </w:tc>
        <w:tc>
          <w:tcPr>
            <w:tcW w:w="1185" w:type="dxa"/>
            <w:vAlign w:val="center"/>
            <w:textDirection w:val="lrTb"/>
            <w:noWrap/>
          </w:tcPr>
          <w:p>
            <w:pPr>
              <w:jc w:val="center"/>
              <w:rPr>
                <w:rFonts w:hint="eastAsia" w:ascii="宋体" w:hAnsi="宋体" w:cs="宋体"/>
                <w:b/>
                <w:sz w:val="24"/>
                <w:highlight w:val="none"/>
                <w:u w:val="single"/>
              </w:rPr>
            </w:pPr>
            <w:r/>
            <w:bookmarkStart w:id="768" w:name="OLE_LINK520"/>
            <w:r/>
            <w:bookmarkStart w:id="769" w:name="OLE_LINK519"/>
            <w:r/>
            <w:bookmarkStart w:id="770" w:name="OLE_LINK516"/>
            <w:r/>
            <w:bookmarkStart w:id="771" w:name="OLE_LINK357"/>
            <w:r/>
            <w:bookmarkStart w:id="772" w:name="OLE_LINK356"/>
            <w:r>
              <w:rPr>
                <w:rFonts w:hint="eastAsia" w:ascii="宋体" w:hAnsi="宋体" w:cs="宋体"/>
                <w:b/>
                <w:sz w:val="24"/>
                <w:highlight w:val="none"/>
                <w:u w:val="single"/>
              </w:rPr>
              <w:t xml:space="preserve">测量</w:t>
            </w:r>
            <w:r/>
          </w:p>
          <w:p>
            <w:pPr>
              <w:jc w:val="center"/>
              <w:rPr>
                <w:rFonts w:hint="eastAsia" w:ascii="宋体" w:hAnsi="宋体" w:cs="宋体"/>
                <w:b/>
                <w:sz w:val="24"/>
                <w:highlight w:val="none"/>
                <w:u w:val="single"/>
              </w:rPr>
            </w:pPr>
            <w:r>
              <w:rPr>
                <w:rFonts w:hint="eastAsia" w:ascii="宋体" w:hAnsi="宋体" w:cs="宋体"/>
                <w:b/>
                <w:sz w:val="24"/>
                <w:highlight w:val="none"/>
                <w:u w:val="single"/>
              </w:rPr>
              <w:t xml:space="preserve">接收机</w:t>
            </w:r>
            <w:bookmarkEnd w:id="768"/>
            <w:r/>
            <w:bookmarkEnd w:id="769"/>
            <w:r/>
            <w:bookmarkEnd w:id="770"/>
            <w:r/>
            <w:bookmarkEnd w:id="771"/>
            <w:r/>
            <w:bookmarkEnd w:id="772"/>
            <w:r/>
            <w:r/>
          </w:p>
        </w:tc>
        <w:tc>
          <w:tcPr>
            <w:tcW w:w="5893" w:type="dxa"/>
            <w:vAlign w:val="center"/>
            <w:textDirection w:val="lrTb"/>
            <w:noWrap w:val="false"/>
          </w:tcPr>
          <w:p>
            <w:pPr>
              <w:rPr>
                <w:rFonts w:hint="eastAsia" w:ascii="宋体" w:hAnsi="宋体" w:cs="宋体"/>
                <w:b/>
                <w:sz w:val="24"/>
                <w:highlight w:val="none"/>
                <w:u w:val="single"/>
              </w:rPr>
            </w:pPr>
            <w:r/>
            <w:bookmarkStart w:id="773" w:name="OLE_LINK362"/>
            <w:r/>
            <w:bookmarkStart w:id="774" w:name="OLE_LINK363"/>
            <w:r>
              <w:rPr>
                <w:rFonts w:hint="eastAsia" w:ascii="宋体" w:hAnsi="宋体" w:cs="宋体"/>
                <w:b/>
                <w:sz w:val="24"/>
                <w:highlight w:val="none"/>
                <w:u w:val="single"/>
              </w:rPr>
              <w:t xml:space="preserve">频率</w:t>
            </w:r>
            <w:bookmarkStart w:id="775" w:name="OLE_LINK524"/>
            <w:r/>
            <w:bookmarkStart w:id="776" w:name="OLE_LINK523"/>
            <w:r/>
            <w:bookmarkStart w:id="777" w:name="OLE_LINK332"/>
            <w:r>
              <w:rPr>
                <w:rFonts w:hint="eastAsia" w:ascii="宋体" w:hAnsi="宋体" w:cs="宋体"/>
                <w:b/>
                <w:sz w:val="24"/>
                <w:highlight w:val="none"/>
                <w:u w:val="single"/>
              </w:rPr>
              <w:t xml:space="preserve">范围：9kHz～7GHz</w:t>
            </w:r>
            <w:bookmarkEnd w:id="773"/>
            <w:r/>
            <w:bookmarkEnd w:id="774"/>
            <w:r/>
            <w:r/>
          </w:p>
          <w:p>
            <w:pPr>
              <w:rPr>
                <w:rFonts w:hint="eastAsia" w:ascii="宋体" w:hAnsi="宋体" w:cs="宋体"/>
                <w:b/>
                <w:sz w:val="24"/>
                <w:highlight w:val="none"/>
                <w:u w:val="single"/>
              </w:rPr>
            </w:pPr>
            <w:r>
              <w:rPr>
                <w:rFonts w:hint="eastAsia" w:ascii="宋体" w:hAnsi="宋体" w:cs="宋体"/>
                <w:b/>
                <w:sz w:val="24"/>
                <w:highlight w:val="none"/>
                <w:u w:val="single"/>
              </w:rPr>
              <w:t xml:space="preserve">最大射频电平（CW）：</w:t>
            </w:r>
            <w:r/>
          </w:p>
          <w:p>
            <w:pPr>
              <w:rPr>
                <w:rFonts w:hint="eastAsia" w:ascii="宋体" w:hAnsi="宋体" w:cs="宋体"/>
                <w:b/>
                <w:sz w:val="24"/>
                <w:highlight w:val="none"/>
                <w:u w:val="single"/>
              </w:rPr>
            </w:pPr>
            <w:r>
              <w:rPr>
                <w:rFonts w:hint="eastAsia" w:ascii="宋体" w:hAnsi="宋体" w:cs="宋体"/>
                <w:b/>
                <w:sz w:val="24"/>
                <w:highlight w:val="none"/>
                <w:u w:val="single"/>
              </w:rPr>
              <w:t xml:space="preserve">30dBm（前置放大器关闭）</w:t>
            </w:r>
            <w:r/>
          </w:p>
          <w:p>
            <w:pPr>
              <w:rPr>
                <w:rFonts w:hint="eastAsia" w:ascii="宋体" w:hAnsi="宋体" w:cs="宋体"/>
                <w:b/>
                <w:sz w:val="24"/>
                <w:highlight w:val="none"/>
                <w:u w:val="single"/>
              </w:rPr>
            </w:pPr>
            <w:r>
              <w:rPr>
                <w:rFonts w:hint="eastAsia" w:ascii="宋体" w:hAnsi="宋体" w:cs="宋体"/>
                <w:b/>
                <w:sz w:val="24"/>
                <w:highlight w:val="none"/>
                <w:u w:val="single"/>
              </w:rPr>
              <w:t xml:space="preserve">23dBm（前置放大器开启）</w:t>
            </w:r>
            <w:r/>
          </w:p>
          <w:p>
            <w:pPr>
              <w:rPr>
                <w:rFonts w:hint="eastAsia" w:ascii="宋体" w:hAnsi="宋体" w:cs="宋体"/>
                <w:b/>
                <w:sz w:val="24"/>
                <w:highlight w:val="none"/>
                <w:u w:val="single"/>
              </w:rPr>
            </w:pPr>
            <w:r>
              <w:rPr>
                <w:rFonts w:hint="eastAsia" w:ascii="宋体" w:hAnsi="宋体" w:cs="宋体"/>
                <w:b/>
                <w:sz w:val="24"/>
                <w:highlight w:val="none"/>
                <w:u w:val="single"/>
              </w:rPr>
              <w:t xml:space="preserve">三阶截止点：18dBm（typ.）</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最大扫描点数（接收机模式）：4,000,000</w:t>
            </w:r>
            <w:r/>
          </w:p>
          <w:p>
            <w:pPr>
              <w:rPr>
                <w:rFonts w:hint="eastAsia" w:ascii="宋体" w:hAnsi="宋体" w:cs="宋体"/>
                <w:b/>
                <w:sz w:val="24"/>
                <w:highlight w:val="none"/>
                <w:u w:val="single"/>
              </w:rPr>
            </w:pPr>
            <w:r>
              <w:rPr>
                <w:rFonts w:hint="eastAsia" w:ascii="宋体" w:hAnsi="宋体" w:cs="宋体"/>
                <w:b/>
                <w:sz w:val="24"/>
                <w:highlight w:val="none"/>
                <w:u w:val="single"/>
              </w:rPr>
              <w:t xml:space="preserve">中频和分辨率带宽：10Hz～10MHz（-3dB）20Hz、9kHz、120kHz（-6dB）,1MHz（脉冲带宽）</w:t>
            </w:r>
            <w:r/>
          </w:p>
          <w:p>
            <w:pPr>
              <w:rPr>
                <w:rFonts w:hint="eastAsia" w:ascii="宋体" w:hAnsi="宋体" w:cs="宋体"/>
                <w:b/>
                <w:sz w:val="24"/>
                <w:highlight w:val="none"/>
                <w:u w:val="single"/>
              </w:rPr>
            </w:pPr>
            <w:r/>
            <w:bookmarkStart w:id="778" w:name="OLE_LINK518"/>
            <w:r>
              <w:rPr>
                <w:rFonts w:hint="eastAsia" w:ascii="宋体" w:hAnsi="宋体" w:cs="宋体"/>
                <w:b/>
                <w:sz w:val="24"/>
                <w:highlight w:val="none"/>
                <w:u w:val="single"/>
              </w:rPr>
              <w:t xml:space="preserve">端口内置DC、AC耦合；</w:t>
            </w:r>
            <w:bookmarkEnd w:id="778"/>
            <w:r/>
            <w:r/>
          </w:p>
          <w:p>
            <w:pPr>
              <w:rPr>
                <w:rFonts w:hint="eastAsia" w:ascii="宋体" w:hAnsi="宋体" w:cs="宋体"/>
                <w:b/>
                <w:sz w:val="24"/>
                <w:highlight w:val="none"/>
                <w:u w:val="single"/>
              </w:rPr>
            </w:pPr>
            <w:r>
              <w:rPr>
                <w:rFonts w:hint="eastAsia" w:ascii="宋体" w:hAnsi="宋体" w:cs="宋体"/>
                <w:b/>
                <w:sz w:val="24"/>
                <w:highlight w:val="none"/>
                <w:u w:val="single"/>
              </w:rPr>
              <w:t xml:space="preserve">具</w:t>
            </w:r>
            <w:bookmarkStart w:id="779" w:name="OLE_LINK350"/>
            <w:r/>
            <w:bookmarkStart w:id="780" w:name="OLE_LINK349"/>
            <w:r>
              <w:rPr>
                <w:rFonts w:hint="eastAsia" w:ascii="宋体" w:hAnsi="宋体" w:cs="宋体"/>
                <w:b/>
                <w:sz w:val="24"/>
                <w:highlight w:val="none"/>
                <w:u w:val="single"/>
              </w:rPr>
              <w:t xml:space="preserve">备接收机和频谱仪模式，可升级实时频谱仪模式；</w:t>
            </w:r>
            <w:r/>
          </w:p>
          <w:p>
            <w:pPr>
              <w:rPr>
                <w:rFonts w:hint="eastAsia" w:ascii="宋体" w:hAnsi="宋体" w:cs="宋体"/>
                <w:b/>
                <w:sz w:val="24"/>
                <w:highlight w:val="none"/>
                <w:u w:val="single"/>
              </w:rPr>
            </w:pPr>
            <w:r>
              <w:rPr>
                <w:rFonts w:hint="eastAsia" w:ascii="宋体" w:hAnsi="宋体" w:cs="宋体"/>
                <w:b/>
                <w:sz w:val="24"/>
                <w:highlight w:val="none"/>
                <w:u w:val="single"/>
              </w:rPr>
              <w:t xml:space="preserve">频率分辨率：接收机模式：0.1Hz；频谱仪模式：0.01Hz；</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最大DC输入电压：≥50 V，AC耦合；</w:t>
            </w:r>
            <w:bookmarkEnd w:id="779"/>
            <w:r/>
            <w:bookmarkEnd w:id="780"/>
            <w:r/>
            <w:r/>
          </w:p>
          <w:p>
            <w:pPr>
              <w:rPr>
                <w:rFonts w:hint="eastAsia" w:ascii="宋体" w:hAnsi="宋体" w:cs="宋体"/>
                <w:b/>
                <w:sz w:val="24"/>
                <w:highlight w:val="none"/>
                <w:u w:val="single"/>
              </w:rPr>
            </w:pPr>
            <w:r>
              <w:rPr>
                <w:rFonts w:hint="eastAsia" w:ascii="宋体" w:hAnsi="宋体" w:cs="宋体"/>
                <w:b/>
                <w:sz w:val="24"/>
                <w:highlight w:val="none"/>
                <w:u w:val="single"/>
              </w:rPr>
              <w:t xml:space="preserve">最大连续波RF输入功率：≥1 W（射频衰减≥10 dB，；射</w:t>
            </w:r>
            <w:bookmarkStart w:id="781" w:name="OLE_LINK522"/>
            <w:r/>
            <w:bookmarkStart w:id="782" w:name="OLE_LINK521"/>
            <w:r>
              <w:rPr>
                <w:rFonts w:hint="eastAsia" w:ascii="宋体" w:hAnsi="宋体" w:cs="宋体"/>
                <w:b/>
                <w:sz w:val="24"/>
                <w:highlight w:val="none"/>
                <w:u w:val="single"/>
              </w:rPr>
              <w:t xml:space="preserve">频前置放大器关</w:t>
            </w:r>
            <w:bookmarkEnd w:id="775"/>
            <w:r/>
            <w:bookmarkEnd w:id="776"/>
            <w:r>
              <w:rPr>
                <w:rFonts w:hint="eastAsia" w:ascii="宋体" w:hAnsi="宋体" w:cs="宋体"/>
                <w:b/>
                <w:sz w:val="24"/>
                <w:highlight w:val="none"/>
                <w:u w:val="single"/>
              </w:rPr>
              <w:t xml:space="preserve">闭）；</w:t>
            </w:r>
            <w:bookmarkEnd w:id="781"/>
            <w:r/>
            <w:bookmarkEnd w:id="782"/>
            <w:r/>
            <w:r/>
          </w:p>
          <w:p>
            <w:pPr>
              <w:rPr>
                <w:rFonts w:hint="eastAsia" w:ascii="宋体" w:hAnsi="宋体" w:cs="宋体"/>
                <w:b/>
                <w:sz w:val="24"/>
                <w:highlight w:val="none"/>
                <w:u w:val="single"/>
              </w:rPr>
            </w:pPr>
            <w:r>
              <w:rPr>
                <w:rFonts w:hint="eastAsia" w:ascii="宋体" w:hAnsi="宋体" w:cs="宋体"/>
                <w:b/>
                <w:sz w:val="24"/>
                <w:highlight w:val="none"/>
                <w:u w:val="single"/>
              </w:rPr>
              <w:t xml:space="preserve">最大脉冲能量（射频衰减≥10 dB，10 </w:t>
            </w:r>
            <w:r>
              <w:rPr>
                <w:b/>
                <w:sz w:val="24"/>
                <w:highlight w:val="none"/>
                <w:u w:val="single"/>
              </w:rPr>
              <w:t xml:space="preserve">μs</w:t>
            </w:r>
            <w:r>
              <w:rPr>
                <w:rFonts w:hint="eastAsia" w:ascii="宋体" w:hAnsi="宋体" w:cs="宋体"/>
                <w:b/>
                <w:sz w:val="24"/>
                <w:highlight w:val="none"/>
                <w:u w:val="single"/>
              </w:rPr>
              <w:t xml:space="preserve">）：端口1 ≥1 mWs，端口2 ≥20 mWs；</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接</w:t>
            </w:r>
            <w:bookmarkStart w:id="783" w:name="OLE_LINK517"/>
            <w:r>
              <w:rPr>
                <w:rFonts w:hint="eastAsia" w:ascii="宋体" w:hAnsi="宋体" w:cs="宋体"/>
                <w:b/>
                <w:sz w:val="24"/>
                <w:highlight w:val="none"/>
                <w:u w:val="single"/>
              </w:rPr>
              <w:t xml:space="preserve">收机扫描模式下测量时间：50</w:t>
            </w:r>
            <w:r>
              <w:rPr>
                <w:b/>
                <w:sz w:val="24"/>
                <w:highlight w:val="none"/>
                <w:u w:val="single"/>
              </w:rPr>
              <w:t xml:space="preserve">μs</w:t>
            </w:r>
            <w:r>
              <w:rPr>
                <w:rFonts w:hint="eastAsia" w:ascii="宋体" w:hAnsi="宋体" w:cs="宋体"/>
                <w:b/>
                <w:sz w:val="24"/>
                <w:highlight w:val="none"/>
                <w:u w:val="single"/>
              </w:rPr>
              <w:t xml:space="preserve">～100s；频谱仪模式下扫描时间（SPAN=0Hz）：1us～16000s；</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检波方式：峰值（Peak）、均方根值（RMS）、平均值（AV）、准峰值（QP）、CISPR平均值（CISPR-AV）、CISPR均方根值（CISPR-RMS）</w:t>
            </w:r>
            <w:bookmarkEnd w:id="783"/>
            <w:r>
              <w:rPr>
                <w:rFonts w:hint="eastAsia" w:ascii="宋体" w:hAnsi="宋体" w:cs="宋体"/>
                <w:b/>
                <w:sz w:val="24"/>
                <w:highlight w:val="none"/>
                <w:u w:val="single"/>
              </w:rPr>
              <w:t xml:space="preserve">；</w:t>
            </w:r>
            <w:r/>
          </w:p>
          <w:p>
            <w:pPr>
              <w:rPr>
                <w:rFonts w:hint="eastAsia" w:ascii="宋体" w:hAnsi="宋体" w:cs="宋体"/>
                <w:b/>
                <w:sz w:val="24"/>
                <w:highlight w:val="none"/>
                <w:u w:val="single"/>
              </w:rPr>
            </w:pPr>
            <w:r>
              <w:rPr>
                <w:rFonts w:hint="eastAsia" w:ascii="宋体" w:hAnsi="宋体" w:cs="宋体"/>
                <w:b/>
                <w:sz w:val="24"/>
                <w:highlight w:val="none"/>
                <w:u w:val="single"/>
              </w:rPr>
              <w:t xml:space="preserve">1dB压缩点：≥ 8dBm @6GHz；</w:t>
            </w:r>
            <w:r/>
          </w:p>
          <w:p>
            <w:pPr>
              <w:rPr>
                <w:rFonts w:hint="eastAsia" w:ascii="宋体" w:hAnsi="宋体" w:cs="宋体"/>
                <w:b/>
                <w:sz w:val="24"/>
                <w:highlight w:val="none"/>
                <w:u w:val="single"/>
              </w:rPr>
            </w:pPr>
            <w:r>
              <w:rPr>
                <w:rFonts w:hint="eastAsia" w:ascii="宋体" w:hAnsi="宋体" w:cs="宋体"/>
                <w:b/>
                <w:sz w:val="24"/>
                <w:highlight w:val="none"/>
                <w:u w:val="single"/>
              </w:rPr>
              <w:t xml:space="preserve">内置衰减器设置：0 dB～75 dB；</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满足CISPR16-1-1对接收机要求，带预选器。</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检波器：PEAK，RMS，average，quasi peak可选；</w:t>
            </w:r>
            <w:r/>
          </w:p>
          <w:p>
            <w:pPr>
              <w:rPr>
                <w:rFonts w:hint="eastAsia" w:ascii="宋体" w:hAnsi="宋体" w:cs="宋体"/>
                <w:b/>
                <w:sz w:val="24"/>
                <w:highlight w:val="none"/>
                <w:u w:val="single"/>
              </w:rPr>
            </w:pPr>
            <w:r>
              <w:rPr>
                <w:rFonts w:hint="eastAsia" w:ascii="宋体" w:hAnsi="宋体" w:cs="宋体"/>
                <w:b/>
                <w:sz w:val="24"/>
                <w:highlight w:val="none"/>
                <w:u w:val="single"/>
              </w:rPr>
              <w:t xml:space="preserve">内置预放</w:t>
            </w:r>
            <w:bookmarkEnd w:id="777"/>
            <w:r/>
            <w:r/>
          </w:p>
        </w:tc>
        <w:tc>
          <w:tcPr>
            <w:tcW w:w="70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1台</w:t>
            </w:r>
            <w:r/>
          </w:p>
        </w:tc>
        <w:tc>
          <w:tcPr>
            <w:tcW w:w="704"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bookmarkEnd w:id="765"/>
            <w:r/>
            <w:bookmarkEnd w:id="766"/>
            <w:r/>
            <w:bookmarkEnd w:id="767"/>
            <w:r/>
            <w:r/>
          </w:p>
        </w:tc>
      </w:tr>
      <w:tr>
        <w:trPr>
          <w:jc w:val="center"/>
          <w:trHeight w:val="20"/>
        </w:trPr>
        <w:tc>
          <w:tcPr>
            <w:tcW w:w="671" w:type="dxa"/>
            <w:vAlign w:val="center"/>
            <w:textDirection w:val="lrTb"/>
            <w:noWrap/>
          </w:tcPr>
          <w:p>
            <w:pPr>
              <w:ind w:left="3" w:hanging="24"/>
              <w:jc w:val="center"/>
              <w:rPr>
                <w:rFonts w:hint="eastAsia" w:ascii="宋体" w:hAnsi="宋体" w:cs="宋体"/>
                <w:b/>
                <w:sz w:val="24"/>
                <w:highlight w:val="none"/>
                <w:u w:val="single"/>
              </w:rPr>
            </w:pPr>
            <w:r>
              <w:rPr>
                <w:rFonts w:hint="eastAsia" w:ascii="宋体" w:hAnsi="宋体" w:cs="宋体"/>
                <w:b/>
                <w:sz w:val="24"/>
                <w:highlight w:val="none"/>
                <w:u w:val="single"/>
              </w:rPr>
              <w:t xml:space="preserve">★2</w:t>
            </w:r>
            <w:r/>
          </w:p>
        </w:tc>
        <w:tc>
          <w:tcPr>
            <w:tcW w:w="1185" w:type="dxa"/>
            <w:vAlign w:val="center"/>
            <w:textDirection w:val="lrTb"/>
            <w:noWrap/>
          </w:tcPr>
          <w:p>
            <w:pPr>
              <w:jc w:val="center"/>
              <w:rPr>
                <w:rFonts w:hint="eastAsia" w:ascii="宋体" w:hAnsi="宋体" w:cs="宋体"/>
                <w:b/>
                <w:sz w:val="24"/>
                <w:highlight w:val="none"/>
                <w:u w:val="single"/>
              </w:rPr>
            </w:pPr>
            <w:r/>
            <w:bookmarkStart w:id="784" w:name="OLE_LINK346"/>
            <w:r/>
            <w:bookmarkStart w:id="785" w:name="OLE_LINK345"/>
            <w:r>
              <w:rPr>
                <w:rFonts w:hint="eastAsia" w:ascii="宋体" w:hAnsi="宋体" w:cs="宋体"/>
                <w:b/>
                <w:sz w:val="24"/>
                <w:highlight w:val="none"/>
                <w:u w:val="single"/>
              </w:rPr>
              <w:t xml:space="preserve">EMF</w:t>
            </w:r>
            <w:r/>
          </w:p>
          <w:p>
            <w:pPr>
              <w:jc w:val="center"/>
              <w:rPr>
                <w:rFonts w:hint="eastAsia" w:ascii="宋体" w:hAnsi="宋体" w:cs="宋体"/>
                <w:b/>
                <w:sz w:val="24"/>
                <w:highlight w:val="none"/>
                <w:u w:val="single"/>
              </w:rPr>
            </w:pPr>
            <w:r>
              <w:rPr>
                <w:rFonts w:hint="eastAsia" w:ascii="宋体" w:hAnsi="宋体" w:cs="宋体"/>
                <w:b/>
                <w:sz w:val="24"/>
                <w:highlight w:val="none"/>
                <w:u w:val="single"/>
              </w:rPr>
              <w:t xml:space="preserve">测试球</w:t>
            </w:r>
            <w:bookmarkEnd w:id="784"/>
            <w:r/>
            <w:bookmarkEnd w:id="785"/>
            <w:r/>
            <w:r/>
          </w:p>
        </w:tc>
        <w:tc>
          <w:tcPr>
            <w:tcW w:w="5893" w:type="dxa"/>
            <w:vAlign w:val="center"/>
            <w:textDirection w:val="lrTb"/>
            <w:noWrap w:val="false"/>
          </w:tcPr>
          <w:p>
            <w:pPr>
              <w:rPr>
                <w:rFonts w:hint="eastAsia" w:ascii="宋体" w:hAnsi="宋体" w:cs="宋体"/>
                <w:b/>
                <w:sz w:val="24"/>
                <w:highlight w:val="none"/>
                <w:u w:val="single"/>
              </w:rPr>
            </w:pPr>
            <w:r/>
            <w:bookmarkStart w:id="786" w:name="OLE_LINK338"/>
            <w:r/>
            <w:bookmarkStart w:id="787" w:name="OLE_LINK339"/>
            <w:r/>
            <w:bookmarkStart w:id="788" w:name="OLE_LINK341"/>
            <w:r/>
            <w:bookmarkStart w:id="789" w:name="OLE_LINK340"/>
            <w:r>
              <w:rPr>
                <w:rFonts w:hint="eastAsia" w:ascii="宋体" w:hAnsi="宋体" w:cs="宋体"/>
                <w:b/>
                <w:sz w:val="24"/>
                <w:highlight w:val="none"/>
                <w:u w:val="single"/>
              </w:rPr>
              <w:t xml:space="preserve">主机：场探头自动检测和识别；</w:t>
            </w:r>
            <w:r/>
          </w:p>
          <w:p>
            <w:pPr>
              <w:rPr>
                <w:rFonts w:hint="eastAsia" w:ascii="宋体" w:hAnsi="宋体" w:cs="宋体"/>
                <w:b/>
                <w:sz w:val="24"/>
                <w:highlight w:val="none"/>
                <w:u w:val="single"/>
              </w:rPr>
            </w:pPr>
            <w:r>
              <w:rPr>
                <w:rFonts w:hint="eastAsia" w:ascii="宋体" w:hAnsi="宋体" w:cs="宋体"/>
                <w:b/>
                <w:sz w:val="24"/>
                <w:highlight w:val="none"/>
                <w:u w:val="single"/>
              </w:rPr>
              <w:t xml:space="preserve">宽带测量0Hz-60GHz(取决于场探头)；</w:t>
            </w:r>
            <w:r/>
          </w:p>
          <w:p>
            <w:pPr>
              <w:rPr>
                <w:rFonts w:hint="eastAsia" w:ascii="宋体" w:hAnsi="宋体" w:cs="宋体"/>
                <w:b/>
                <w:sz w:val="24"/>
                <w:highlight w:val="none"/>
                <w:u w:val="single"/>
              </w:rPr>
            </w:pPr>
            <w:r>
              <w:rPr>
                <w:rFonts w:hint="eastAsia" w:ascii="宋体" w:hAnsi="宋体" w:cs="宋体"/>
                <w:b/>
                <w:sz w:val="24"/>
                <w:highlight w:val="none"/>
                <w:u w:val="single"/>
              </w:rPr>
              <w:t xml:space="preserve">频谱分析达到10MHz；</w:t>
            </w:r>
            <w:r/>
          </w:p>
          <w:p>
            <w:pPr>
              <w:rPr>
                <w:rFonts w:hint="eastAsia" w:ascii="宋体" w:hAnsi="宋体" w:cs="宋体"/>
                <w:b/>
                <w:sz w:val="24"/>
                <w:highlight w:val="none"/>
                <w:u w:val="single"/>
              </w:rPr>
            </w:pPr>
            <w:r>
              <w:rPr>
                <w:rFonts w:hint="eastAsia" w:ascii="宋体" w:hAnsi="宋体" w:cs="宋体"/>
                <w:b/>
                <w:sz w:val="24"/>
                <w:highlight w:val="none"/>
                <w:u w:val="single"/>
              </w:rPr>
              <w:t xml:space="preserve">加权峰值法(WPM)1Hz–10MHz(加权峰值测量，实时与标准限值对比)；</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显示值总场值(实时值，最大值，最小值和平均值)，轴数值(X，Y，Z)；</w:t>
            </w:r>
            <w:bookmarkEnd w:id="786"/>
            <w:r/>
            <w:bookmarkEnd w:id="787"/>
            <w:r/>
            <w:r/>
          </w:p>
          <w:p>
            <w:pPr>
              <w:rPr>
                <w:rFonts w:hint="eastAsia" w:ascii="宋体" w:hAnsi="宋体" w:cs="宋体"/>
                <w:b/>
                <w:sz w:val="24"/>
                <w:highlight w:val="none"/>
                <w:u w:val="single"/>
              </w:rPr>
            </w:pPr>
            <w:r>
              <w:rPr>
                <w:rFonts w:hint="eastAsia" w:ascii="宋体" w:hAnsi="宋体" w:cs="宋体"/>
                <w:b/>
                <w:sz w:val="24"/>
                <w:highlight w:val="none"/>
                <w:u w:val="single"/>
              </w:rPr>
              <w:t xml:space="preserve">时域及频域曲线图；</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时间及电量，探头信息包括型号、频率范围、序列号</w:t>
            </w:r>
            <w:r/>
          </w:p>
          <w:p>
            <w:pPr>
              <w:rPr>
                <w:rFonts w:hint="eastAsia" w:ascii="宋体" w:hAnsi="宋体" w:cs="宋体"/>
                <w:b/>
                <w:sz w:val="24"/>
                <w:highlight w:val="none"/>
                <w:u w:val="single"/>
              </w:rPr>
            </w:pPr>
            <w:r>
              <w:rPr>
                <w:rFonts w:hint="eastAsia" w:ascii="宋体" w:hAnsi="宋体" w:cs="宋体"/>
                <w:b/>
                <w:sz w:val="24"/>
                <w:highlight w:val="none"/>
                <w:u w:val="single"/>
              </w:rPr>
              <w:t xml:space="preserve">电场单位V/m，kV/m，pW/cm</w:t>
            </w:r>
            <w:r>
              <w:rPr>
                <w:rFonts w:hint="eastAsia" w:ascii="宋体" w:hAnsi="宋体" w:cs="宋体"/>
                <w:b/>
                <w:sz w:val="24"/>
                <w:highlight w:val="none"/>
                <w:u w:val="single"/>
                <w:vertAlign w:val="superscript"/>
              </w:rPr>
              <w:t xml:space="preserve">2</w:t>
            </w:r>
            <w:r>
              <w:rPr>
                <w:rFonts w:hint="eastAsia" w:ascii="宋体" w:hAnsi="宋体" w:cs="宋体"/>
                <w:b/>
                <w:sz w:val="24"/>
                <w:highlight w:val="none"/>
                <w:u w:val="single"/>
              </w:rPr>
              <w:t xml:space="preserve">，mW/cm</w:t>
            </w:r>
            <w:r>
              <w:rPr>
                <w:rFonts w:hint="eastAsia" w:ascii="宋体" w:hAnsi="宋体" w:cs="宋体"/>
                <w:b/>
                <w:sz w:val="24"/>
                <w:highlight w:val="none"/>
                <w:u w:val="single"/>
                <w:vertAlign w:val="superscript"/>
              </w:rPr>
              <w:t xml:space="preserve">2</w:t>
            </w:r>
            <w:r>
              <w:rPr>
                <w:rFonts w:hint="eastAsia" w:ascii="宋体" w:hAnsi="宋体" w:cs="宋体"/>
                <w:b/>
                <w:sz w:val="24"/>
                <w:highlight w:val="none"/>
                <w:u w:val="single"/>
              </w:rPr>
              <w:t xml:space="preserve">，W/m</w:t>
            </w:r>
            <w:r>
              <w:rPr>
                <w:rFonts w:hint="eastAsia" w:ascii="宋体" w:hAnsi="宋体" w:cs="宋体"/>
                <w:b/>
                <w:sz w:val="24"/>
                <w:highlight w:val="none"/>
                <w:u w:val="single"/>
                <w:vertAlign w:val="superscript"/>
              </w:rPr>
              <w:t xml:space="preserve">2</w:t>
            </w:r>
            <w:r>
              <w:rPr>
                <w:rFonts w:hint="eastAsia" w:ascii="宋体" w:hAnsi="宋体" w:cs="宋体"/>
                <w:b/>
                <w:sz w:val="24"/>
                <w:highlight w:val="none"/>
                <w:u w:val="single"/>
              </w:rPr>
              <w:t xml:space="preserve">，%；磁场单位nT，pT，mT，T ，A/m，%，mG，G；</w:t>
            </w:r>
            <w:r/>
          </w:p>
          <w:p>
            <w:pPr>
              <w:rPr>
                <w:rFonts w:hint="eastAsia" w:ascii="宋体" w:hAnsi="宋体" w:cs="宋体"/>
                <w:b/>
                <w:sz w:val="24"/>
                <w:highlight w:val="none"/>
                <w:u w:val="single"/>
              </w:rPr>
            </w:pPr>
            <w:r>
              <w:rPr>
                <w:rFonts w:hint="eastAsia" w:ascii="宋体" w:hAnsi="宋体" w:cs="宋体"/>
                <w:b/>
                <w:sz w:val="24"/>
                <w:highlight w:val="none"/>
                <w:u w:val="single"/>
              </w:rPr>
              <w:t xml:space="preserve">记录时间可自主设置(0.5秒到6分钟)；</w:t>
            </w:r>
            <w:r/>
          </w:p>
          <w:p>
            <w:pPr>
              <w:rPr>
                <w:rFonts w:hint="eastAsia" w:ascii="宋体" w:hAnsi="宋体" w:cs="宋体"/>
                <w:b/>
                <w:sz w:val="24"/>
                <w:highlight w:val="none"/>
                <w:u w:val="single"/>
              </w:rPr>
            </w:pPr>
            <w:r>
              <w:rPr>
                <w:rFonts w:hint="eastAsia" w:ascii="宋体" w:hAnsi="宋体" w:cs="宋体"/>
                <w:b/>
                <w:sz w:val="24"/>
                <w:highlight w:val="none"/>
                <w:u w:val="single"/>
              </w:rPr>
              <w:t xml:space="preserve">平均模式固定或者滑动(根据国际标准)；</w:t>
            </w:r>
            <w:r/>
          </w:p>
          <w:p>
            <w:pPr>
              <w:rPr>
                <w:rFonts w:hint="eastAsia" w:ascii="宋体" w:hAnsi="宋体" w:cs="宋体"/>
                <w:b/>
                <w:sz w:val="24"/>
                <w:highlight w:val="none"/>
                <w:u w:val="single"/>
              </w:rPr>
            </w:pPr>
            <w:r>
              <w:rPr>
                <w:rFonts w:hint="eastAsia" w:ascii="宋体" w:hAnsi="宋体" w:cs="宋体"/>
                <w:b/>
                <w:sz w:val="24"/>
                <w:highlight w:val="none"/>
                <w:u w:val="single"/>
              </w:rPr>
              <w:t xml:space="preserve">平均间隔10秒、15秒、30秒、1分钟、2分钟、5分钟、6分钟、10分钟、15分钟、30分钟；</w:t>
            </w:r>
            <w:bookmarkEnd w:id="788"/>
            <w:r/>
            <w:bookmarkEnd w:id="789"/>
            <w:r/>
            <w:r/>
          </w:p>
          <w:p>
            <w:pPr>
              <w:rPr>
                <w:rFonts w:hint="eastAsia" w:ascii="宋体" w:hAnsi="宋体" w:cs="宋体"/>
                <w:b/>
                <w:sz w:val="24"/>
                <w:highlight w:val="none"/>
                <w:u w:val="single"/>
              </w:rPr>
            </w:pPr>
            <w:r>
              <w:rPr>
                <w:rFonts w:hint="eastAsia" w:ascii="宋体" w:hAnsi="宋体" w:cs="宋体"/>
                <w:b/>
                <w:sz w:val="24"/>
                <w:highlight w:val="none"/>
                <w:u w:val="single"/>
              </w:rPr>
              <w:t xml:space="preserve">定时测量可自主设置(可达24小时)；</w:t>
            </w:r>
            <w:r/>
          </w:p>
          <w:p>
            <w:pPr>
              <w:rPr>
                <w:rFonts w:hint="eastAsia" w:ascii="宋体" w:hAnsi="宋体" w:cs="宋体"/>
                <w:b/>
                <w:sz w:val="24"/>
                <w:highlight w:val="none"/>
                <w:u w:val="single"/>
              </w:rPr>
            </w:pPr>
            <w:r>
              <w:rPr>
                <w:rFonts w:hint="eastAsia" w:ascii="宋体" w:hAnsi="宋体" w:cs="宋体"/>
                <w:b/>
                <w:sz w:val="24"/>
                <w:highlight w:val="none"/>
                <w:u w:val="single"/>
              </w:rPr>
              <w:t xml:space="preserve">存储容量超过1百万个样本，输出excel报告；</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数据下载USB-C和光纤，远程设置和控制仪器操作；</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探头1：</w:t>
            </w:r>
            <w:r/>
          </w:p>
          <w:p>
            <w:pPr>
              <w:rPr>
                <w:rFonts w:hint="eastAsia" w:ascii="宋体" w:hAnsi="宋体" w:cs="宋体"/>
                <w:b/>
                <w:sz w:val="24"/>
                <w:highlight w:val="none"/>
                <w:u w:val="single"/>
              </w:rPr>
            </w:pPr>
            <w:r>
              <w:rPr>
                <w:rFonts w:hint="eastAsia" w:ascii="宋体" w:hAnsi="宋体" w:cs="宋体"/>
                <w:b/>
                <w:sz w:val="24"/>
                <w:highlight w:val="none"/>
                <w:u w:val="single"/>
              </w:rPr>
              <w:t xml:space="preserve">频率范围：（0–40）kHz；响应：平坦；</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测量范围：磁场： 10 μT–10 T 0.6% (100 uT–1 T)；线性度：1% (100 uT–2.4 T)</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探头2：</w:t>
            </w:r>
            <w:r/>
          </w:p>
          <w:p>
            <w:pPr>
              <w:rPr>
                <w:rFonts w:hint="eastAsia" w:ascii="宋体" w:hAnsi="宋体" w:cs="宋体"/>
                <w:b/>
                <w:sz w:val="24"/>
                <w:highlight w:val="none"/>
                <w:u w:val="single"/>
              </w:rPr>
            </w:pPr>
            <w:r>
              <w:rPr>
                <w:rFonts w:hint="eastAsia" w:ascii="宋体" w:hAnsi="宋体" w:cs="宋体"/>
                <w:b/>
                <w:sz w:val="24"/>
                <w:highlight w:val="none"/>
                <w:u w:val="single"/>
              </w:rPr>
              <w:t xml:space="preserve">频率范围：1Hz-10MHz；</w:t>
            </w:r>
            <w:r/>
          </w:p>
          <w:p>
            <w:pPr>
              <w:rPr>
                <w:rFonts w:hint="eastAsia" w:ascii="宋体" w:hAnsi="宋体" w:cs="宋体"/>
                <w:b/>
                <w:sz w:val="24"/>
                <w:highlight w:val="none"/>
                <w:u w:val="single"/>
              </w:rPr>
            </w:pPr>
            <w:r>
              <w:rPr>
                <w:rFonts w:hint="eastAsia" w:ascii="宋体" w:hAnsi="宋体" w:cs="宋体"/>
                <w:b/>
                <w:sz w:val="24"/>
                <w:highlight w:val="none"/>
                <w:u w:val="single"/>
              </w:rPr>
              <w:t xml:space="preserve">响应：平坦/加权(加权峰值法WPM)；</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测量范围：电场：2V/m-100kV/m</w:t>
            </w:r>
            <w:r/>
          </w:p>
          <w:p>
            <w:pPr>
              <w:ind w:firstLine="1928"/>
              <w:rPr>
                <w:rFonts w:hint="eastAsia" w:ascii="宋体" w:hAnsi="宋体" w:cs="宋体"/>
                <w:b/>
                <w:sz w:val="24"/>
                <w:highlight w:val="none"/>
                <w:u w:val="single"/>
              </w:rPr>
            </w:pPr>
            <w:r>
              <w:rPr>
                <w:rFonts w:hint="eastAsia" w:ascii="宋体" w:hAnsi="宋体" w:cs="宋体"/>
                <w:b/>
                <w:sz w:val="24"/>
                <w:highlight w:val="none"/>
                <w:u w:val="single"/>
              </w:rPr>
              <w:t xml:space="preserve">2V/m-47kV/m</w:t>
            </w:r>
            <w:r/>
          </w:p>
          <w:p>
            <w:pPr>
              <w:ind w:left="1751" w:firstLine="241"/>
              <w:rPr>
                <w:rFonts w:hint="eastAsia" w:ascii="宋体" w:hAnsi="宋体" w:cs="宋体"/>
                <w:b/>
                <w:sz w:val="24"/>
                <w:highlight w:val="none"/>
                <w:u w:val="single"/>
              </w:rPr>
            </w:pPr>
            <w:r>
              <w:rPr>
                <w:rFonts w:hint="eastAsia" w:ascii="宋体" w:hAnsi="宋体" w:cs="宋体"/>
                <w:b/>
                <w:sz w:val="24"/>
                <w:highlight w:val="none"/>
                <w:u w:val="single"/>
              </w:rPr>
              <w:t xml:space="preserve">(160kHz-10MHz)</w:t>
            </w:r>
            <w:r/>
          </w:p>
          <w:p>
            <w:pPr>
              <w:ind w:left="72"/>
              <w:rPr>
                <w:rFonts w:hint="eastAsia" w:ascii="宋体" w:hAnsi="宋体" w:cs="宋体"/>
                <w:b/>
                <w:sz w:val="24"/>
                <w:highlight w:val="none"/>
                <w:u w:val="single"/>
              </w:rPr>
            </w:pPr>
            <w:r>
              <w:rPr>
                <w:rFonts w:hint="eastAsia" w:ascii="宋体" w:hAnsi="宋体" w:cs="宋体"/>
                <w:b/>
                <w:sz w:val="24"/>
                <w:highlight w:val="none"/>
                <w:u w:val="single"/>
              </w:rPr>
              <w:t xml:space="preserve">磁场：100nT-47mT@50Hz</w:t>
            </w:r>
            <w:r/>
          </w:p>
          <w:p>
            <w:pPr>
              <w:ind w:left="911"/>
              <w:rPr>
                <w:rFonts w:hint="eastAsia" w:ascii="宋体" w:hAnsi="宋体" w:cs="宋体"/>
                <w:b/>
                <w:sz w:val="24"/>
                <w:highlight w:val="none"/>
                <w:u w:val="single"/>
              </w:rPr>
            </w:pPr>
            <w:r>
              <w:rPr>
                <w:rFonts w:hint="eastAsia" w:ascii="宋体" w:hAnsi="宋体" w:cs="宋体"/>
                <w:b/>
                <w:sz w:val="24"/>
                <w:highlight w:val="none"/>
                <w:u w:val="single"/>
              </w:rPr>
              <w:t xml:space="preserve">400nT–4.7mT</w:t>
            </w:r>
            <w:r/>
          </w:p>
          <w:p>
            <w:pPr>
              <w:ind w:left="911"/>
              <w:rPr>
                <w:rFonts w:hint="eastAsia" w:ascii="宋体" w:hAnsi="宋体" w:cs="宋体"/>
                <w:b/>
                <w:sz w:val="24"/>
                <w:highlight w:val="none"/>
                <w:u w:val="single"/>
              </w:rPr>
            </w:pPr>
            <w:r>
              <w:rPr>
                <w:rFonts w:hint="eastAsia" w:ascii="宋体" w:hAnsi="宋体" w:cs="宋体"/>
                <w:b/>
                <w:sz w:val="24"/>
                <w:highlight w:val="none"/>
                <w:u w:val="single"/>
              </w:rPr>
              <w:t xml:space="preserve">(500Hz-10MHz)</w:t>
            </w:r>
            <w:r/>
          </w:p>
          <w:p>
            <w:pPr>
              <w:rPr>
                <w:rFonts w:hint="eastAsia" w:ascii="宋体" w:hAnsi="宋体" w:cs="宋体"/>
                <w:b/>
                <w:sz w:val="24"/>
                <w:highlight w:val="none"/>
                <w:u w:val="single"/>
              </w:rPr>
            </w:pPr>
            <w:r>
              <w:rPr>
                <w:rFonts w:hint="eastAsia" w:ascii="宋体" w:hAnsi="宋体" w:cs="宋体"/>
                <w:b/>
                <w:sz w:val="24"/>
                <w:highlight w:val="none"/>
                <w:u w:val="single"/>
              </w:rPr>
              <w:t xml:space="preserve">线性度：+/-1% (典型值)、+/-2% (最大值)；</w:t>
            </w:r>
            <w:r/>
          </w:p>
          <w:p>
            <w:pPr>
              <w:rPr>
                <w:rFonts w:hint="eastAsia" w:ascii="宋体" w:hAnsi="宋体" w:cs="宋体"/>
                <w:b/>
                <w:sz w:val="24"/>
                <w:highlight w:val="none"/>
                <w:u w:val="single"/>
              </w:rPr>
            </w:pPr>
            <w:r>
              <w:rPr>
                <w:rFonts w:hint="eastAsia" w:ascii="宋体" w:hAnsi="宋体" w:cs="宋体"/>
                <w:b/>
                <w:sz w:val="24"/>
                <w:highlight w:val="none"/>
                <w:u w:val="single"/>
              </w:rPr>
              <w:t xml:space="preserve">频率范围：DC-10MHz；</w:t>
            </w:r>
            <w:r/>
          </w:p>
          <w:p>
            <w:pPr>
              <w:rPr>
                <w:rFonts w:hint="eastAsia" w:ascii="宋体" w:hAnsi="宋体" w:cs="宋体"/>
                <w:b/>
                <w:sz w:val="24"/>
                <w:highlight w:val="none"/>
                <w:u w:val="single"/>
              </w:rPr>
            </w:pPr>
            <w:r>
              <w:rPr>
                <w:rFonts w:hint="eastAsia" w:ascii="宋体" w:hAnsi="宋体" w:cs="宋体"/>
                <w:b/>
                <w:sz w:val="24"/>
                <w:highlight w:val="none"/>
                <w:u w:val="single"/>
              </w:rPr>
              <w:t xml:space="preserve">有专用测试软件，把主机波形图抓取到电脑；</w:t>
            </w:r>
            <w:r/>
          </w:p>
          <w:p>
            <w:pPr>
              <w:rPr>
                <w:rFonts w:hint="eastAsia" w:ascii="宋体" w:hAnsi="宋体" w:cs="宋体"/>
                <w:b/>
                <w:sz w:val="24"/>
                <w:highlight w:val="none"/>
                <w:u w:val="single"/>
              </w:rPr>
            </w:pPr>
            <w:r>
              <w:rPr>
                <w:rFonts w:hint="eastAsia" w:ascii="宋体" w:hAnsi="宋体" w:cs="宋体"/>
                <w:b/>
                <w:sz w:val="24"/>
                <w:highlight w:val="none"/>
                <w:u w:val="single"/>
              </w:rPr>
              <w:t xml:space="preserve">可以升级测试GBT37130测试标准；含专用测试支架。</w:t>
            </w:r>
            <w:r/>
          </w:p>
        </w:tc>
        <w:tc>
          <w:tcPr>
            <w:tcW w:w="70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04"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251"/>
        </w:trPr>
        <w:tc>
          <w:tcPr>
            <w:tcW w:w="671" w:type="dxa"/>
            <w:vAlign w:val="center"/>
            <w:textDirection w:val="lrTb"/>
            <w:noWrap/>
          </w:tcPr>
          <w:p>
            <w:pPr>
              <w:ind w:left="3" w:hanging="24"/>
              <w:jc w:val="center"/>
              <w:rPr>
                <w:rFonts w:hint="eastAsia" w:ascii="宋体" w:hAnsi="宋体" w:cs="宋体"/>
                <w:sz w:val="24"/>
                <w:highlight w:val="none"/>
              </w:rPr>
            </w:pPr>
            <w:r>
              <w:rPr>
                <w:rFonts w:hint="eastAsia" w:ascii="宋体" w:hAnsi="宋体" w:cs="宋体"/>
                <w:sz w:val="24"/>
                <w:highlight w:val="none"/>
              </w:rPr>
              <w:t xml:space="preserve">3</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前置</w:t>
            </w:r>
            <w:r/>
          </w:p>
          <w:p>
            <w:pPr>
              <w:jc w:val="center"/>
              <w:rPr>
                <w:rFonts w:hint="eastAsia" w:ascii="宋体" w:hAnsi="宋体" w:cs="宋体"/>
                <w:sz w:val="24"/>
                <w:highlight w:val="none"/>
              </w:rPr>
            </w:pPr>
            <w:r>
              <w:rPr>
                <w:rFonts w:hint="eastAsia" w:ascii="宋体" w:hAnsi="宋体" w:cs="宋体"/>
                <w:sz w:val="24"/>
                <w:highlight w:val="none"/>
              </w:rPr>
              <w:t xml:space="preserve">放大器</w:t>
            </w:r>
            <w:r/>
          </w:p>
        </w:tc>
        <w:tc>
          <w:tcPr>
            <w:tcW w:w="5893"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频率范围：30MHz～6GHz；</w:t>
            </w:r>
            <w:r/>
          </w:p>
          <w:p>
            <w:pPr>
              <w:rPr>
                <w:rFonts w:hint="eastAsia" w:ascii="宋体" w:hAnsi="宋体" w:cs="宋体"/>
                <w:sz w:val="24"/>
                <w:highlight w:val="none"/>
              </w:rPr>
            </w:pPr>
            <w:r>
              <w:rPr>
                <w:rFonts w:hint="eastAsia" w:ascii="宋体" w:hAnsi="宋体" w:cs="宋体"/>
                <w:sz w:val="24"/>
                <w:highlight w:val="none"/>
              </w:rPr>
              <w:t xml:space="preserve">增益：30dB±3dB；</w:t>
            </w:r>
            <w:r/>
          </w:p>
          <w:p>
            <w:pPr>
              <w:rPr>
                <w:rFonts w:hint="eastAsia" w:ascii="宋体" w:hAnsi="宋体" w:cs="宋体"/>
                <w:sz w:val="24"/>
                <w:highlight w:val="none"/>
              </w:rPr>
            </w:pPr>
            <w:r>
              <w:rPr>
                <w:rFonts w:hint="eastAsia" w:ascii="宋体" w:hAnsi="宋体" w:cs="宋体"/>
                <w:sz w:val="24"/>
                <w:highlight w:val="none"/>
              </w:rPr>
              <w:t xml:space="preserve">接口类型：N型；</w:t>
            </w:r>
            <w:r/>
          </w:p>
          <w:p>
            <w:pPr>
              <w:rPr>
                <w:rFonts w:hint="eastAsia" w:ascii="宋体" w:hAnsi="宋体" w:cs="宋体"/>
                <w:sz w:val="24"/>
                <w:highlight w:val="none"/>
              </w:rPr>
            </w:pPr>
            <w:r>
              <w:rPr>
                <w:rFonts w:hint="eastAsia" w:ascii="宋体" w:hAnsi="宋体" w:cs="宋体"/>
                <w:sz w:val="24"/>
                <w:highlight w:val="none"/>
              </w:rPr>
              <w:t xml:space="preserve">增益应该与天线及接收机的性能相匹配。</w:t>
            </w:r>
            <w:r/>
          </w:p>
        </w:tc>
        <w:tc>
          <w:tcPr>
            <w:tcW w:w="70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04"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20"/>
        </w:trPr>
        <w:tc>
          <w:tcPr>
            <w:tcW w:w="671" w:type="dxa"/>
            <w:vAlign w:val="center"/>
            <w:textDirection w:val="lrTb"/>
            <w:noWrap/>
          </w:tcPr>
          <w:p>
            <w:pPr>
              <w:ind w:left="3" w:hanging="24"/>
              <w:jc w:val="center"/>
              <w:rPr>
                <w:rFonts w:hint="eastAsia" w:ascii="宋体" w:hAnsi="宋体" w:cs="宋体"/>
                <w:sz w:val="24"/>
                <w:highlight w:val="none"/>
              </w:rPr>
            </w:pPr>
            <w:r/>
            <w:bookmarkStart w:id="790" w:name="_Hlk223813676"/>
            <w:r/>
            <w:bookmarkStart w:id="791" w:name="OLE_LINK359"/>
            <w:r/>
            <w:bookmarkStart w:id="792" w:name="OLE_LINK358"/>
            <w:r>
              <w:rPr>
                <w:rFonts w:hint="eastAsia" w:ascii="宋体" w:hAnsi="宋体" w:cs="宋体"/>
                <w:sz w:val="24"/>
                <w:highlight w:val="none"/>
              </w:rPr>
              <w:t xml:space="preserve">4</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天线组</w:t>
            </w:r>
            <w:r/>
          </w:p>
        </w:tc>
        <w:tc>
          <w:tcPr>
            <w:tcW w:w="5893"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工作频率范围：</w:t>
            </w:r>
            <w:bookmarkStart w:id="793" w:name="OLE_LINK474"/>
            <w:r/>
            <w:bookmarkStart w:id="794" w:name="OLE_LINK475"/>
            <w:r>
              <w:rPr>
                <w:rFonts w:hint="eastAsia" w:ascii="宋体" w:hAnsi="宋体" w:cs="宋体"/>
                <w:sz w:val="24"/>
                <w:highlight w:val="none"/>
              </w:rPr>
              <w:t xml:space="preserve">9kHz～6GHz；</w:t>
            </w:r>
            <w:bookmarkEnd w:id="793"/>
            <w:r/>
            <w:bookmarkEnd w:id="794"/>
            <w:r/>
            <w:r/>
          </w:p>
          <w:p>
            <w:pPr>
              <w:rPr>
                <w:rFonts w:hint="eastAsia" w:ascii="宋体" w:hAnsi="宋体" w:cs="宋体"/>
                <w:sz w:val="24"/>
                <w:highlight w:val="none"/>
              </w:rPr>
            </w:pPr>
            <w:r>
              <w:rPr>
                <w:rFonts w:hint="eastAsia" w:ascii="宋体" w:hAnsi="宋体" w:cs="宋体"/>
                <w:sz w:val="24"/>
                <w:highlight w:val="none"/>
              </w:rPr>
              <w:t xml:space="preserve">VSWR(典型值):＜2.0；</w:t>
            </w:r>
            <w:r/>
          </w:p>
          <w:p>
            <w:pPr>
              <w:rPr>
                <w:rFonts w:hint="eastAsia" w:ascii="宋体" w:hAnsi="宋体" w:cs="宋体"/>
                <w:sz w:val="24"/>
                <w:highlight w:val="none"/>
              </w:rPr>
            </w:pPr>
            <w:r>
              <w:rPr>
                <w:rFonts w:hint="eastAsia" w:ascii="宋体" w:hAnsi="宋体" w:cs="宋体"/>
                <w:sz w:val="24"/>
                <w:highlight w:val="none"/>
              </w:rPr>
              <w:t xml:space="preserve">配合预选放大器，可集成至测试系统中。</w:t>
            </w:r>
            <w:r/>
          </w:p>
          <w:p>
            <w:pPr>
              <w:rPr>
                <w:rFonts w:hint="eastAsia" w:ascii="宋体" w:hAnsi="宋体" w:cs="宋体"/>
                <w:sz w:val="24"/>
                <w:highlight w:val="none"/>
              </w:rPr>
            </w:pPr>
            <w:r>
              <w:rPr>
                <w:rFonts w:hint="eastAsia" w:ascii="宋体" w:hAnsi="宋体" w:cs="宋体"/>
                <w:sz w:val="24"/>
                <w:highlight w:val="none"/>
              </w:rPr>
              <w:t xml:space="preserve">（1）复合天线</w:t>
            </w:r>
            <w:r/>
          </w:p>
          <w:p>
            <w:pPr>
              <w:rPr>
                <w:rFonts w:hint="eastAsia" w:ascii="宋体" w:hAnsi="宋体" w:cs="宋体"/>
                <w:sz w:val="24"/>
                <w:highlight w:val="none"/>
              </w:rPr>
            </w:pPr>
            <w:r>
              <w:rPr>
                <w:rFonts w:hint="eastAsia" w:ascii="宋体" w:hAnsi="宋体" w:cs="宋体"/>
                <w:sz w:val="24"/>
                <w:highlight w:val="none"/>
              </w:rPr>
              <w:t xml:space="preserve">符合CISPR16-1-4的要求</w:t>
            </w:r>
            <w:r/>
          </w:p>
          <w:p>
            <w:pPr>
              <w:rPr>
                <w:rFonts w:hint="eastAsia" w:ascii="宋体" w:hAnsi="宋体" w:cs="宋体"/>
                <w:sz w:val="24"/>
                <w:highlight w:val="none"/>
              </w:rPr>
            </w:pPr>
            <w:r>
              <w:rPr>
                <w:rFonts w:hint="eastAsia" w:ascii="宋体" w:hAnsi="宋体" w:cs="宋体"/>
                <w:sz w:val="24"/>
                <w:highlight w:val="none"/>
              </w:rPr>
              <w:t xml:space="preserve">测试频率范围：30MHz～1GHz</w:t>
            </w:r>
            <w:r/>
          </w:p>
          <w:p>
            <w:pPr>
              <w:rPr>
                <w:rFonts w:hint="eastAsia" w:ascii="宋体" w:hAnsi="宋体" w:cs="宋体"/>
                <w:sz w:val="24"/>
                <w:highlight w:val="none"/>
              </w:rPr>
            </w:pPr>
            <w:r>
              <w:rPr>
                <w:rFonts w:hint="eastAsia" w:ascii="宋体" w:hAnsi="宋体" w:cs="宋体"/>
                <w:sz w:val="24"/>
                <w:highlight w:val="none"/>
              </w:rPr>
              <w:t xml:space="preserve">VSWR(典型值) : ＜2.0</w:t>
            </w:r>
            <w:r/>
          </w:p>
          <w:p>
            <w:pPr>
              <w:rPr>
                <w:rFonts w:hint="eastAsia" w:ascii="宋体" w:hAnsi="宋体" w:cs="宋体"/>
                <w:sz w:val="24"/>
                <w:highlight w:val="none"/>
              </w:rPr>
            </w:pPr>
            <w:r>
              <w:rPr>
                <w:rFonts w:hint="eastAsia" w:ascii="宋体" w:hAnsi="宋体" w:cs="宋体"/>
                <w:sz w:val="24"/>
                <w:highlight w:val="none"/>
              </w:rPr>
              <w:t xml:space="preserve">接口类型：N型接口</w:t>
            </w:r>
            <w:r/>
          </w:p>
          <w:p>
            <w:pPr>
              <w:rPr>
                <w:rFonts w:hint="eastAsia" w:ascii="宋体" w:hAnsi="宋体" w:cs="宋体"/>
                <w:sz w:val="24"/>
                <w:highlight w:val="none"/>
              </w:rPr>
            </w:pPr>
            <w:r>
              <w:rPr>
                <w:rFonts w:hint="eastAsia" w:ascii="宋体" w:hAnsi="宋体" w:cs="宋体"/>
                <w:sz w:val="24"/>
                <w:highlight w:val="none"/>
              </w:rPr>
              <w:t xml:space="preserve">和前置放大器及接收机相匹配</w:t>
            </w:r>
            <w:r/>
          </w:p>
          <w:p>
            <w:pPr>
              <w:rPr>
                <w:rFonts w:hint="eastAsia" w:ascii="宋体" w:hAnsi="宋体" w:cs="宋体"/>
                <w:sz w:val="24"/>
                <w:highlight w:val="none"/>
              </w:rPr>
            </w:pPr>
            <w:r>
              <w:rPr>
                <w:rFonts w:hint="eastAsia" w:ascii="宋体" w:hAnsi="宋体" w:cs="宋体"/>
                <w:sz w:val="24"/>
                <w:highlight w:val="none"/>
              </w:rPr>
              <w:t xml:space="preserve">附校准文件，安装适配器</w:t>
            </w:r>
            <w:r/>
          </w:p>
          <w:p>
            <w:pPr>
              <w:rPr>
                <w:rFonts w:hint="eastAsia" w:ascii="宋体" w:hAnsi="宋体" w:cs="宋体"/>
                <w:sz w:val="24"/>
                <w:highlight w:val="none"/>
              </w:rPr>
            </w:pPr>
            <w:r>
              <w:rPr>
                <w:rFonts w:hint="eastAsia" w:ascii="宋体" w:hAnsi="宋体" w:cs="宋体"/>
                <w:sz w:val="24"/>
                <w:highlight w:val="none"/>
              </w:rPr>
              <w:t xml:space="preserve">（2）</w:t>
            </w:r>
            <w:bookmarkStart w:id="795" w:name="OLE_LINK266"/>
            <w:r>
              <w:rPr>
                <w:rFonts w:hint="eastAsia" w:ascii="宋体" w:hAnsi="宋体" w:cs="宋体"/>
                <w:sz w:val="24"/>
                <w:highlight w:val="none"/>
              </w:rPr>
              <w:t xml:space="preserve">环形天线</w:t>
            </w:r>
            <w:r/>
          </w:p>
          <w:p>
            <w:pPr>
              <w:rPr>
                <w:rFonts w:hint="eastAsia" w:ascii="宋体" w:hAnsi="宋体" w:cs="宋体"/>
                <w:sz w:val="24"/>
                <w:highlight w:val="none"/>
              </w:rPr>
            </w:pPr>
            <w:r>
              <w:rPr>
                <w:rFonts w:hint="eastAsia" w:ascii="宋体" w:hAnsi="宋体" w:cs="宋体"/>
                <w:sz w:val="24"/>
                <w:highlight w:val="none"/>
              </w:rPr>
              <w:t xml:space="preserve">符合CISPR16-1-4及CISPR 11的要求</w:t>
            </w:r>
            <w:r/>
          </w:p>
          <w:p>
            <w:pPr>
              <w:rPr>
                <w:rFonts w:hint="eastAsia" w:ascii="宋体" w:hAnsi="宋体" w:cs="宋体"/>
                <w:sz w:val="24"/>
                <w:highlight w:val="none"/>
              </w:rPr>
            </w:pPr>
            <w:r>
              <w:rPr>
                <w:rFonts w:hint="eastAsia" w:ascii="宋体" w:hAnsi="宋体" w:cs="宋体"/>
                <w:sz w:val="24"/>
                <w:highlight w:val="none"/>
              </w:rPr>
              <w:t xml:space="preserve">工作频率范围：9kHz～30MHz</w:t>
            </w:r>
            <w:r/>
          </w:p>
          <w:p>
            <w:pPr>
              <w:rPr>
                <w:rFonts w:hint="eastAsia" w:ascii="宋体" w:hAnsi="宋体" w:cs="宋体"/>
                <w:sz w:val="24"/>
                <w:highlight w:val="none"/>
              </w:rPr>
            </w:pPr>
            <w:r>
              <w:rPr>
                <w:rFonts w:hint="eastAsia" w:ascii="宋体" w:hAnsi="宋体" w:cs="宋体"/>
                <w:sz w:val="24"/>
                <w:highlight w:val="none"/>
              </w:rPr>
              <w:t xml:space="preserve">可测量9kHz～30MHz范围内的电场及磁场</w:t>
            </w:r>
            <w:r/>
          </w:p>
          <w:p>
            <w:pPr>
              <w:rPr>
                <w:rFonts w:hint="eastAsia" w:ascii="宋体" w:hAnsi="宋体" w:cs="宋体"/>
                <w:sz w:val="24"/>
                <w:highlight w:val="none"/>
              </w:rPr>
            </w:pPr>
            <w:r>
              <w:rPr>
                <w:rFonts w:hint="eastAsia" w:ascii="宋体" w:hAnsi="宋体" w:cs="宋体"/>
                <w:sz w:val="24"/>
                <w:highlight w:val="none"/>
              </w:rPr>
              <w:t xml:space="preserve">环直径: 600mm</w:t>
            </w:r>
            <w:r/>
          </w:p>
          <w:p>
            <w:pPr>
              <w:rPr>
                <w:rFonts w:hint="eastAsia" w:ascii="宋体" w:hAnsi="宋体" w:cs="宋体"/>
                <w:sz w:val="24"/>
                <w:highlight w:val="none"/>
              </w:rPr>
            </w:pPr>
            <w:r>
              <w:rPr>
                <w:rFonts w:hint="eastAsia" w:ascii="宋体" w:hAnsi="宋体" w:cs="宋体"/>
                <w:sz w:val="24"/>
                <w:highlight w:val="none"/>
              </w:rPr>
              <w:t xml:space="preserve">天线系数：20dB/m（电场），-31.5dB/Ωm（磁场）</w:t>
            </w:r>
            <w:r/>
          </w:p>
          <w:p>
            <w:pPr>
              <w:rPr>
                <w:rFonts w:hint="eastAsia" w:ascii="宋体" w:hAnsi="宋体" w:cs="宋体"/>
                <w:sz w:val="24"/>
                <w:highlight w:val="none"/>
              </w:rPr>
            </w:pPr>
            <w:r>
              <w:rPr>
                <w:rFonts w:hint="eastAsia" w:ascii="宋体" w:hAnsi="宋体" w:cs="宋体"/>
                <w:sz w:val="24"/>
                <w:highlight w:val="none"/>
              </w:rPr>
              <w:t xml:space="preserve">附校准文件，安装适配器，供电电源, 直流电滤波器以及天线三脚架可以XYZ三轴转动等。</w:t>
            </w:r>
            <w:bookmarkEnd w:id="795"/>
            <w:r/>
            <w:r/>
          </w:p>
          <w:p>
            <w:pPr>
              <w:rPr>
                <w:rFonts w:hint="eastAsia" w:ascii="宋体" w:hAnsi="宋体" w:cs="宋体"/>
                <w:sz w:val="24"/>
                <w:highlight w:val="none"/>
              </w:rPr>
            </w:pPr>
            <w:r>
              <w:rPr>
                <w:rFonts w:hint="eastAsia" w:ascii="宋体" w:hAnsi="宋体" w:cs="宋体"/>
                <w:sz w:val="24"/>
                <w:highlight w:val="none"/>
              </w:rPr>
              <w:t xml:space="preserve">（3）喇叭天线</w:t>
            </w:r>
            <w:r/>
          </w:p>
          <w:p>
            <w:pPr>
              <w:rPr>
                <w:rFonts w:hint="eastAsia" w:ascii="宋体" w:hAnsi="宋体" w:cs="宋体"/>
                <w:sz w:val="24"/>
                <w:highlight w:val="none"/>
              </w:rPr>
            </w:pPr>
            <w:r>
              <w:rPr>
                <w:rFonts w:hint="eastAsia" w:ascii="宋体" w:hAnsi="宋体" w:cs="宋体"/>
                <w:sz w:val="24"/>
                <w:highlight w:val="none"/>
              </w:rPr>
              <w:t xml:space="preserve">双脊喇叭天线：符合CISPR16-1-4的要求；</w:t>
            </w:r>
            <w:r>
              <w:rPr>
                <w:rFonts w:hint="eastAsia" w:ascii="宋体" w:hAnsi="宋体" w:cs="宋体"/>
                <w:sz w:val="24"/>
                <w:highlight w:val="none"/>
              </w:rPr>
              <w:br/>
            </w:r>
            <w:r>
              <w:rPr>
                <w:rFonts w:hint="eastAsia" w:ascii="宋体" w:hAnsi="宋体" w:cs="宋体"/>
                <w:sz w:val="24"/>
                <w:highlight w:val="none"/>
              </w:rPr>
              <w:t xml:space="preserve">工作频率范围：</w:t>
            </w:r>
            <w:bookmarkStart w:id="796" w:name="OLE_LINK407"/>
            <w:r/>
            <w:bookmarkStart w:id="797" w:name="OLE_LINK408"/>
            <w:r/>
            <w:bookmarkStart w:id="798" w:name="OLE_LINK477"/>
            <w:r/>
            <w:bookmarkStart w:id="799" w:name="OLE_LINK478"/>
            <w:r/>
            <w:bookmarkStart w:id="800" w:name="OLE_LINK476"/>
            <w:r>
              <w:rPr>
                <w:rFonts w:hint="eastAsia" w:ascii="宋体" w:hAnsi="宋体" w:cs="宋体"/>
                <w:sz w:val="24"/>
                <w:highlight w:val="none"/>
              </w:rPr>
              <w:t xml:space="preserve">1GHz～18</w:t>
            </w:r>
            <w:bookmarkEnd w:id="796"/>
            <w:r/>
            <w:bookmarkEnd w:id="797"/>
            <w:r>
              <w:rPr>
                <w:rFonts w:hint="eastAsia" w:ascii="宋体" w:hAnsi="宋体" w:cs="宋体"/>
                <w:sz w:val="24"/>
                <w:highlight w:val="none"/>
              </w:rPr>
              <w:t xml:space="preserve">GHz；</w:t>
            </w:r>
            <w:bookmarkEnd w:id="798"/>
            <w:r/>
            <w:bookmarkEnd w:id="799"/>
            <w:r/>
            <w:bookmarkEnd w:id="800"/>
            <w:r/>
            <w:r/>
          </w:p>
          <w:p>
            <w:pPr>
              <w:rPr>
                <w:rFonts w:hint="eastAsia" w:ascii="宋体" w:hAnsi="宋体" w:cs="宋体"/>
                <w:sz w:val="24"/>
                <w:highlight w:val="none"/>
              </w:rPr>
            </w:pPr>
            <w:r>
              <w:rPr>
                <w:rFonts w:hint="eastAsia" w:ascii="宋体" w:hAnsi="宋体" w:cs="宋体"/>
                <w:sz w:val="24"/>
                <w:highlight w:val="none"/>
              </w:rPr>
              <w:t xml:space="preserve">射频接口:N 阴型, 50欧姆；</w:t>
            </w:r>
            <w:r>
              <w:rPr>
                <w:rFonts w:hint="eastAsia" w:ascii="宋体" w:hAnsi="宋体" w:cs="宋体"/>
                <w:sz w:val="24"/>
                <w:highlight w:val="none"/>
              </w:rPr>
              <w:br/>
            </w:r>
            <w:r>
              <w:rPr>
                <w:rFonts w:hint="eastAsia" w:ascii="宋体" w:hAnsi="宋体" w:cs="宋体"/>
                <w:sz w:val="24"/>
                <w:highlight w:val="none"/>
              </w:rPr>
              <w:t xml:space="preserve">V</w:t>
            </w:r>
            <w:bookmarkStart w:id="801" w:name="OLE_LINK405"/>
            <w:r/>
            <w:bookmarkStart w:id="802" w:name="OLE_LINK406"/>
            <w:r>
              <w:rPr>
                <w:rFonts w:hint="eastAsia" w:ascii="宋体" w:hAnsi="宋体" w:cs="宋体"/>
                <w:sz w:val="24"/>
                <w:highlight w:val="none"/>
              </w:rPr>
              <w:t xml:space="preserve">SWR(典型值):&lt;3.0(频率</w:t>
            </w:r>
            <w:bookmarkEnd w:id="801"/>
            <w:r/>
            <w:bookmarkEnd w:id="802"/>
            <w:r>
              <w:rPr>
                <w:rFonts w:hint="eastAsia" w:ascii="宋体" w:hAnsi="宋体" w:cs="宋体"/>
                <w:sz w:val="24"/>
                <w:highlight w:val="none"/>
              </w:rPr>
              <w:t xml:space="preserve">&lt;1.5GHz)；&lt;2.0(频率&gt;1.5GHz)；</w:t>
            </w:r>
            <w:r/>
          </w:p>
          <w:p>
            <w:pPr>
              <w:rPr>
                <w:rFonts w:hint="eastAsia" w:ascii="宋体" w:hAnsi="宋体" w:cs="宋体"/>
                <w:sz w:val="24"/>
                <w:highlight w:val="none"/>
              </w:rPr>
            </w:pPr>
            <w:r>
              <w:rPr>
                <w:rFonts w:hint="eastAsia" w:ascii="宋体" w:hAnsi="宋体" w:cs="宋体"/>
                <w:sz w:val="24"/>
                <w:highlight w:val="none"/>
              </w:rPr>
              <w:t xml:space="preserve">最大输入功率:不低于200W。</w:t>
            </w:r>
            <w:r/>
          </w:p>
          <w:p>
            <w:pPr>
              <w:rPr>
                <w:rFonts w:hint="eastAsia" w:ascii="宋体" w:hAnsi="宋体" w:cs="宋体"/>
                <w:sz w:val="24"/>
                <w:highlight w:val="none"/>
              </w:rPr>
            </w:pPr>
            <w:r>
              <w:rPr>
                <w:rFonts w:hint="eastAsia" w:ascii="宋体" w:hAnsi="宋体" w:cs="宋体"/>
                <w:sz w:val="24"/>
                <w:highlight w:val="none"/>
              </w:rPr>
              <w:t xml:space="preserve">附校准文件，天线支架，安装适配器</w:t>
            </w:r>
            <w:r/>
          </w:p>
        </w:tc>
        <w:tc>
          <w:tcPr>
            <w:tcW w:w="70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04"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bookmarkEnd w:id="790"/>
            <w:r/>
            <w:bookmarkEnd w:id="791"/>
            <w:r/>
            <w:bookmarkEnd w:id="792"/>
            <w:r/>
            <w:r/>
          </w:p>
        </w:tc>
      </w:tr>
      <w:tr>
        <w:trPr>
          <w:jc w:val="center"/>
          <w:trHeight w:val="20"/>
        </w:trPr>
        <w:tc>
          <w:tcPr>
            <w:tcW w:w="671" w:type="dxa"/>
            <w:vAlign w:val="center"/>
            <w:textDirection w:val="lrTb"/>
            <w:noWrap/>
          </w:tcPr>
          <w:p>
            <w:pPr>
              <w:ind w:left="3" w:hanging="24"/>
              <w:jc w:val="center"/>
              <w:rPr>
                <w:rFonts w:hint="eastAsia" w:ascii="宋体" w:hAnsi="宋体" w:cs="宋体"/>
                <w:sz w:val="24"/>
                <w:highlight w:val="none"/>
              </w:rPr>
            </w:pPr>
            <w:r>
              <w:rPr>
                <w:rFonts w:hint="eastAsia" w:ascii="宋体" w:hAnsi="宋体" w:cs="宋体"/>
                <w:sz w:val="24"/>
                <w:highlight w:val="none"/>
              </w:rPr>
              <w:t xml:space="preserve">▲5</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软件</w:t>
            </w:r>
            <w:r/>
          </w:p>
        </w:tc>
        <w:tc>
          <w:tcPr>
            <w:tcW w:w="5893"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测试软件包含CE,RE,CNDE,CLAMP,LOOP,ISN等功能</w:t>
            </w:r>
            <w:r/>
          </w:p>
          <w:p>
            <w:pPr>
              <w:widowControl/>
              <w:rPr>
                <w:rFonts w:hint="eastAsia" w:ascii="宋体" w:hAnsi="宋体" w:cs="宋体"/>
                <w:sz w:val="24"/>
                <w:highlight w:val="none"/>
              </w:rPr>
            </w:pPr>
            <w:r>
              <w:rPr>
                <w:rFonts w:hint="eastAsia" w:ascii="宋体" w:hAnsi="宋体" w:cs="宋体"/>
                <w:sz w:val="24"/>
                <w:highlight w:val="none"/>
              </w:rPr>
              <w:t xml:space="preserve">软件须具备RF信号通道、预放、衰减器、滤波器等以及系统信号路径的校准功能；可支持目前市场上主流接收机和频谱仪 (R&amp;S、Keysight等)</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可用于传导骚扰测试、功率辐射骚扰测试、磁场辐射骚扰测试和辐射骚扰测试；</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支持多厂家的设备，可以根据设备型号升级驱动；</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测试资料为资料库型态数据，可供其他软件共享； </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除一般列印外可转成WMF档，测试资料点数据可转成Excel档，扫图可转成BMP档，方便报告制作；</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可在软件任意添加或者删除标准限值和测试参数，可读入符合格式之Excel Factor档；</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可对两条轨迹资料做加或减运算(处理Cable loss)，转换成Factor；</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可对每一点单一点选频率标注记(20字)；</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可执行多种设定Auto Test 功能\手动测试功能；</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实时输出频谱之轨迹资料，达到在PC屏幕上动态显示资料功能；</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具有良好的用户操作界面，操作方便，各功能方块能在移动滑鼠最短距离内完成设定；</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执行zero span 下读spectrum analyzer轨迹资料；</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提供宏指令，可依需求改变测试参数并自动测试；</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单点资料可记录至少300点。</w:t>
            </w:r>
            <w:r/>
          </w:p>
        </w:tc>
        <w:tc>
          <w:tcPr>
            <w:tcW w:w="70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04"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20"/>
        </w:trPr>
        <w:tc>
          <w:tcPr>
            <w:tcW w:w="671" w:type="dxa"/>
            <w:vAlign w:val="center"/>
            <w:textDirection w:val="lrTb"/>
            <w:noWrap/>
          </w:tcPr>
          <w:p>
            <w:pPr>
              <w:ind w:left="3" w:hanging="24"/>
              <w:jc w:val="center"/>
              <w:rPr>
                <w:rFonts w:hint="eastAsia" w:ascii="宋体" w:hAnsi="宋体" w:cs="宋体"/>
                <w:sz w:val="24"/>
                <w:highlight w:val="none"/>
              </w:rPr>
            </w:pPr>
            <w:r>
              <w:rPr>
                <w:rFonts w:hint="eastAsia" w:ascii="宋体" w:hAnsi="宋体" w:cs="宋体"/>
                <w:sz w:val="24"/>
                <w:highlight w:val="none"/>
              </w:rPr>
              <w:t xml:space="preserve">6</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射频电缆</w:t>
            </w:r>
            <w:r/>
          </w:p>
          <w:p>
            <w:pPr>
              <w:jc w:val="center"/>
              <w:rPr>
                <w:rFonts w:hint="eastAsia" w:ascii="宋体" w:hAnsi="宋体" w:cs="宋体"/>
                <w:sz w:val="24"/>
                <w:highlight w:val="none"/>
              </w:rPr>
            </w:pPr>
            <w:r>
              <w:rPr>
                <w:rFonts w:hint="eastAsia" w:ascii="宋体" w:hAnsi="宋体" w:cs="宋体"/>
                <w:sz w:val="24"/>
                <w:highlight w:val="none"/>
              </w:rPr>
              <w:t xml:space="preserve">及附件</w:t>
            </w:r>
            <w:r/>
          </w:p>
        </w:tc>
        <w:tc>
          <w:tcPr>
            <w:tcW w:w="5893"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射频电缆及接口等相关附件的选型应使系统符合测试标准的要求以及系统自校要求。</w:t>
            </w:r>
            <w:r/>
          </w:p>
        </w:tc>
        <w:tc>
          <w:tcPr>
            <w:tcW w:w="70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04"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20"/>
        </w:trPr>
        <w:tc>
          <w:tcPr>
            <w:tcW w:w="671" w:type="dxa"/>
            <w:vAlign w:val="center"/>
            <w:textDirection w:val="lrTb"/>
            <w:noWrap/>
          </w:tcPr>
          <w:p>
            <w:pPr>
              <w:ind w:left="3" w:hanging="24"/>
              <w:jc w:val="center"/>
              <w:rPr>
                <w:rFonts w:hint="eastAsia" w:ascii="宋体" w:hAnsi="宋体" w:cs="宋体"/>
                <w:sz w:val="24"/>
                <w:highlight w:val="none"/>
              </w:rPr>
            </w:pPr>
            <w:r>
              <w:rPr>
                <w:rFonts w:hint="eastAsia" w:ascii="宋体" w:hAnsi="宋体" w:cs="宋体"/>
                <w:sz w:val="24"/>
                <w:highlight w:val="none"/>
              </w:rPr>
              <w:t xml:space="preserve">▲7</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梳状</w:t>
            </w:r>
            <w:r/>
          </w:p>
          <w:p>
            <w:pPr>
              <w:jc w:val="center"/>
              <w:rPr>
                <w:rFonts w:hint="eastAsia" w:ascii="宋体" w:hAnsi="宋体" w:cs="宋体"/>
                <w:sz w:val="24"/>
                <w:highlight w:val="none"/>
              </w:rPr>
            </w:pPr>
            <w:r>
              <w:rPr>
                <w:rFonts w:hint="eastAsia" w:ascii="宋体" w:hAnsi="宋体" w:cs="宋体"/>
                <w:sz w:val="24"/>
                <w:highlight w:val="none"/>
              </w:rPr>
              <w:t xml:space="preserve">信号源</w:t>
            </w:r>
            <w:r/>
          </w:p>
        </w:tc>
        <w:tc>
          <w:tcPr>
            <w:tcW w:w="5893" w:type="dxa"/>
            <w:vAlign w:val="center"/>
            <w:textDirection w:val="lrTb"/>
            <w:noWrap w:val="false"/>
          </w:tcPr>
          <w:p>
            <w:pPr>
              <w:widowControl/>
              <w:rPr>
                <w:rFonts w:hint="eastAsia" w:ascii="宋体" w:hAnsi="宋体" w:cs="宋体"/>
                <w:sz w:val="24"/>
                <w:highlight w:val="none"/>
              </w:rPr>
            </w:pPr>
            <w:r/>
            <w:bookmarkStart w:id="803" w:name="OLE_LINK360"/>
            <w:r/>
            <w:bookmarkStart w:id="804" w:name="OLE_LINK361"/>
            <w:r>
              <w:rPr>
                <w:rFonts w:hint="eastAsia" w:ascii="宋体" w:hAnsi="宋体" w:cs="宋体"/>
                <w:sz w:val="24"/>
                <w:highlight w:val="none"/>
              </w:rPr>
              <w:t xml:space="preserve">Comb Generator（5MHz-6GHz）梳状信号发生器，5MHz/100MHz/step</w:t>
            </w:r>
            <w:bookmarkEnd w:id="803"/>
            <w:r/>
            <w:bookmarkEnd w:id="804"/>
            <w:r/>
            <w:r/>
          </w:p>
        </w:tc>
        <w:tc>
          <w:tcPr>
            <w:tcW w:w="70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04"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90"/>
        </w:trPr>
        <w:tc>
          <w:tcPr>
            <w:tcW w:w="671" w:type="dxa"/>
            <w:vAlign w:val="center"/>
            <w:textDirection w:val="lrTb"/>
            <w:noWrap/>
          </w:tcPr>
          <w:p>
            <w:pPr>
              <w:ind w:left="3" w:hanging="24"/>
              <w:jc w:val="center"/>
              <w:rPr>
                <w:rFonts w:hint="eastAsia" w:ascii="宋体" w:hAnsi="宋体" w:cs="宋体"/>
                <w:sz w:val="24"/>
                <w:highlight w:val="none"/>
              </w:rPr>
            </w:pPr>
            <w:r>
              <w:rPr>
                <w:rFonts w:hint="eastAsia" w:ascii="宋体" w:hAnsi="宋体" w:cs="宋体"/>
                <w:sz w:val="24"/>
                <w:highlight w:val="none"/>
              </w:rPr>
              <w:t xml:space="preserve">8</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机柜</w:t>
            </w:r>
            <w:r/>
          </w:p>
        </w:tc>
        <w:tc>
          <w:tcPr>
            <w:tcW w:w="5893"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设备集成至测试机柜，32U标准机柜，带滚轮。</w:t>
            </w:r>
            <w:r/>
          </w:p>
        </w:tc>
        <w:tc>
          <w:tcPr>
            <w:tcW w:w="70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1个</w:t>
            </w:r>
            <w:r/>
          </w:p>
        </w:tc>
        <w:tc>
          <w:tcPr>
            <w:tcW w:w="704"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20"/>
        </w:trPr>
        <w:tc>
          <w:tcPr>
            <w:tcW w:w="671" w:type="dxa"/>
            <w:vAlign w:val="center"/>
            <w:textDirection w:val="lrTb"/>
            <w:noWrap/>
          </w:tcPr>
          <w:p>
            <w:pPr>
              <w:ind w:left="3" w:hanging="24"/>
              <w:jc w:val="center"/>
              <w:rPr>
                <w:rFonts w:hint="eastAsia" w:ascii="宋体" w:hAnsi="宋体" w:cs="宋体"/>
                <w:sz w:val="24"/>
                <w:highlight w:val="none"/>
              </w:rPr>
            </w:pPr>
            <w:r>
              <w:rPr>
                <w:rFonts w:hint="eastAsia" w:ascii="宋体" w:hAnsi="宋体" w:cs="宋体"/>
                <w:sz w:val="24"/>
                <w:highlight w:val="none"/>
              </w:rPr>
              <w:t xml:space="preserve">9</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配件</w:t>
            </w:r>
            <w:r/>
          </w:p>
        </w:tc>
        <w:tc>
          <w:tcPr>
            <w:tcW w:w="5893"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测试工作站及GBIP卡</w:t>
            </w:r>
            <w:r/>
          </w:p>
        </w:tc>
        <w:tc>
          <w:tcPr>
            <w:tcW w:w="70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04"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bl>
    <w:p>
      <w:pPr>
        <w:pStyle w:val="121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15"/>
        <w:ind w:firstLine="482"/>
        <w:spacing w:line="24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2.2.2辐射抗扰度测试系统</w:t>
      </w:r>
      <w:r/>
    </w:p>
    <w:tbl>
      <w:tblPr>
        <w:tblStyle w:val="955"/>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185"/>
        <w:gridCol w:w="5910"/>
        <w:gridCol w:w="690"/>
        <w:gridCol w:w="742"/>
      </w:tblGrid>
      <w:tr>
        <w:trPr>
          <w:jc w:val="center"/>
          <w:trHeight w:val="283"/>
        </w:trPr>
        <w:tc>
          <w:tcPr>
            <w:shd w:val="clear" w:color="auto" w:fill="ccffcc"/>
            <w:tcW w:w="707" w:type="dxa"/>
            <w:vAlign w:val="center"/>
            <w:textDirection w:val="lrTb"/>
            <w:noWrap/>
          </w:tcPr>
          <w:p>
            <w:pPr>
              <w:jc w:val="center"/>
              <w:rPr>
                <w:rFonts w:hint="eastAsia"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序号</w:t>
            </w:r>
            <w:r/>
          </w:p>
        </w:tc>
        <w:tc>
          <w:tcPr>
            <w:shd w:val="clear" w:color="auto" w:fill="ccffcc"/>
            <w:tcW w:w="1185" w:type="dxa"/>
            <w:vAlign w:val="center"/>
            <w:textDirection w:val="lrTb"/>
            <w:noWrap/>
          </w:tcPr>
          <w:p>
            <w:pPr>
              <w:jc w:val="center"/>
              <w:rPr>
                <w:rFonts w:hint="eastAsia" w:ascii="宋体" w:hAnsi="宋体" w:cs="宋体"/>
                <w:b/>
                <w:bCs/>
                <w:sz w:val="24"/>
                <w:highlight w:val="none"/>
              </w:rPr>
            </w:pPr>
            <w:r>
              <w:rPr>
                <w:rFonts w:hint="eastAsia" w:ascii="宋体" w:hAnsi="宋体" w:cs="宋体"/>
                <w:b/>
                <w:bCs/>
                <w:sz w:val="24"/>
                <w:highlight w:val="none"/>
              </w:rPr>
              <w:t xml:space="preserve">设备名称</w:t>
            </w:r>
            <w:r/>
          </w:p>
        </w:tc>
        <w:tc>
          <w:tcPr>
            <w:shd w:val="clear" w:color="auto" w:fill="ccffcc"/>
            <w:tcW w:w="5910"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技术要求</w:t>
            </w:r>
            <w:r/>
          </w:p>
        </w:tc>
        <w:tc>
          <w:tcPr>
            <w:shd w:val="clear" w:color="auto" w:fill="ccffcc"/>
            <w:tcW w:w="690"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数量</w:t>
            </w:r>
            <w:r/>
          </w:p>
        </w:tc>
        <w:tc>
          <w:tcPr>
            <w:shd w:val="clear" w:color="auto" w:fill="ccffcc"/>
            <w:tcW w:w="742" w:type="dxa"/>
            <w:vAlign w:val="center"/>
            <w:textDirection w:val="lrTb"/>
            <w:noWrap/>
          </w:tcPr>
          <w:p>
            <w:pPr>
              <w:jc w:val="center"/>
              <w:rPr>
                <w:rFonts w:hint="eastAsia" w:ascii="宋体" w:hAnsi="宋体" w:cs="宋体"/>
                <w:b/>
                <w:bCs/>
                <w:sz w:val="24"/>
                <w:highlight w:val="none"/>
              </w:rPr>
            </w:pPr>
            <w:r>
              <w:rPr>
                <w:rFonts w:hint="eastAsia" w:ascii="宋体" w:hAnsi="宋体" w:cs="宋体"/>
                <w:b/>
                <w:bCs/>
                <w:sz w:val="24"/>
                <w:highlight w:val="none"/>
              </w:rPr>
              <w:t xml:space="preserve">备注</w:t>
            </w:r>
            <w:r/>
          </w:p>
        </w:tc>
      </w:tr>
      <w:tr>
        <w:trPr>
          <w:jc w:val="center"/>
          <w:trHeight w:val="283"/>
        </w:trPr>
        <w:tc>
          <w:tcPr>
            <w:tcW w:w="707"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信号</w:t>
            </w:r>
            <w:r/>
          </w:p>
          <w:p>
            <w:pPr>
              <w:jc w:val="center"/>
              <w:rPr>
                <w:rFonts w:hint="eastAsia" w:ascii="宋体" w:hAnsi="宋体" w:cs="宋体"/>
                <w:sz w:val="24"/>
                <w:highlight w:val="none"/>
              </w:rPr>
            </w:pPr>
            <w:r>
              <w:rPr>
                <w:rFonts w:hint="eastAsia" w:ascii="宋体" w:hAnsi="宋体" w:cs="宋体"/>
                <w:sz w:val="24"/>
                <w:highlight w:val="none"/>
              </w:rPr>
              <w:t xml:space="preserve">发生器</w:t>
            </w:r>
            <w:r/>
          </w:p>
        </w:tc>
        <w:tc>
          <w:tcPr>
            <w:tcW w:w="5910"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频率范围9kHz～6GHz；</w:t>
            </w:r>
            <w:r/>
          </w:p>
          <w:p>
            <w:pPr>
              <w:widowControl/>
              <w:rPr>
                <w:rFonts w:hint="eastAsia" w:ascii="宋体" w:hAnsi="宋体" w:cs="宋体"/>
                <w:sz w:val="24"/>
                <w:highlight w:val="none"/>
              </w:rPr>
            </w:pPr>
            <w:r>
              <w:rPr>
                <w:rFonts w:hint="eastAsia" w:ascii="宋体" w:hAnsi="宋体" w:cs="宋体"/>
                <w:sz w:val="24"/>
                <w:highlight w:val="none"/>
              </w:rPr>
              <w:t xml:space="preserve">频率分辨率0.001Hz；</w:t>
            </w:r>
            <w:r/>
          </w:p>
          <w:p>
            <w:pPr>
              <w:widowControl/>
              <w:rPr>
                <w:rFonts w:hint="eastAsia" w:ascii="宋体" w:hAnsi="宋体" w:cs="宋体"/>
                <w:sz w:val="24"/>
                <w:highlight w:val="none"/>
              </w:rPr>
            </w:pPr>
            <w:r>
              <w:rPr>
                <w:rFonts w:hint="eastAsia" w:ascii="宋体" w:hAnsi="宋体" w:cs="宋体"/>
                <w:sz w:val="24"/>
                <w:highlight w:val="none"/>
              </w:rPr>
              <w:t xml:space="preserve">电平设置范围：不低于-110dBm～15dBm；</w:t>
            </w:r>
            <w:r/>
          </w:p>
          <w:p>
            <w:pPr>
              <w:widowControl/>
              <w:rPr>
                <w:rFonts w:hint="eastAsia" w:ascii="宋体" w:hAnsi="宋体" w:cs="宋体"/>
                <w:sz w:val="24"/>
                <w:highlight w:val="none"/>
              </w:rPr>
            </w:pPr>
            <w:r>
              <w:rPr>
                <w:rFonts w:hint="eastAsia" w:ascii="宋体" w:hAnsi="宋体" w:cs="宋体"/>
                <w:sz w:val="24"/>
                <w:highlight w:val="none"/>
              </w:rPr>
              <w:t xml:space="preserve">SSB相位噪声：＜-99dBc (f=1GHz,10kHz offset, 1Hz measurement bandwidth)；</w:t>
            </w:r>
            <w:r/>
          </w:p>
          <w:p>
            <w:pPr>
              <w:widowControl/>
              <w:rPr>
                <w:rFonts w:hint="eastAsia" w:ascii="宋体" w:hAnsi="宋体" w:cs="宋体"/>
                <w:sz w:val="24"/>
                <w:highlight w:val="none"/>
              </w:rPr>
            </w:pPr>
            <w:r>
              <w:rPr>
                <w:rFonts w:hint="eastAsia" w:ascii="宋体" w:hAnsi="宋体" w:cs="宋体"/>
                <w:sz w:val="24"/>
                <w:highlight w:val="none"/>
              </w:rPr>
              <w:t xml:space="preserve">谐波：＜-30dBc （10MHz＜f≤6GHz；level≤13dBm）；</w:t>
            </w:r>
            <w:r/>
          </w:p>
          <w:p>
            <w:pPr>
              <w:rPr>
                <w:rFonts w:hint="eastAsia" w:ascii="宋体" w:hAnsi="宋体" w:cs="宋体"/>
                <w:sz w:val="24"/>
                <w:highlight w:val="none"/>
              </w:rPr>
            </w:pPr>
            <w:r>
              <w:rPr>
                <w:rFonts w:hint="eastAsia" w:ascii="宋体" w:hAnsi="宋体" w:cs="宋体"/>
                <w:sz w:val="24"/>
                <w:highlight w:val="none"/>
              </w:rPr>
              <w:t xml:space="preserve">频率切换时间：&lt; 1.5 ms；</w:t>
            </w:r>
            <w:r/>
          </w:p>
          <w:p>
            <w:pPr>
              <w:widowControl/>
              <w:rPr>
                <w:rFonts w:hint="eastAsia" w:ascii="宋体" w:hAnsi="宋体" w:cs="宋体"/>
                <w:sz w:val="24"/>
                <w:highlight w:val="none"/>
              </w:rPr>
            </w:pPr>
            <w:r>
              <w:rPr>
                <w:rFonts w:hint="eastAsia" w:ascii="宋体" w:hAnsi="宋体" w:cs="宋体"/>
                <w:sz w:val="24"/>
                <w:highlight w:val="none"/>
              </w:rPr>
              <w:t xml:space="preserve">支持AM/FM/PM调制；附校准文件。</w:t>
            </w:r>
            <w:r/>
          </w:p>
        </w:tc>
        <w:tc>
          <w:tcPr>
            <w:tcW w:w="69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1台</w:t>
            </w:r>
            <w:r/>
          </w:p>
        </w:tc>
        <w:tc>
          <w:tcPr>
            <w:tcW w:w="742"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707"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2</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射频开关</w:t>
            </w:r>
            <w:r/>
          </w:p>
        </w:tc>
        <w:tc>
          <w:tcPr>
            <w:tcW w:w="5910" w:type="dxa"/>
            <w:vAlign w:val="center"/>
            <w:textDirection w:val="lrTb"/>
            <w:noWrap w:val="false"/>
          </w:tcPr>
          <w:p>
            <w:pPr>
              <w:ind w:left="72"/>
              <w:rPr>
                <w:rFonts w:hint="eastAsia" w:ascii="宋体" w:hAnsi="宋体" w:cs="宋体"/>
                <w:sz w:val="24"/>
                <w:highlight w:val="none"/>
              </w:rPr>
            </w:pPr>
            <w:r>
              <w:rPr>
                <w:rFonts w:hint="eastAsia" w:ascii="宋体" w:hAnsi="宋体" w:cs="宋体"/>
                <w:sz w:val="24"/>
                <w:highlight w:val="none"/>
              </w:rPr>
              <w:t xml:space="preserve">频率范围：DC～6GHz；1-4路正反向射频通路，可升级更多通路；有升级的预留空间，平台可以远程自动控制；功率：DC-1GHz：≥3000W 1GHz-6GHz：≥300W。</w:t>
            </w:r>
            <w:r/>
          </w:p>
        </w:tc>
        <w:tc>
          <w:tcPr>
            <w:tcW w:w="69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42"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707"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▲3</w:t>
            </w:r>
            <w:r/>
          </w:p>
        </w:tc>
        <w:tc>
          <w:tcPr>
            <w:tcW w:w="1185"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功率</w:t>
            </w:r>
            <w:r/>
          </w:p>
          <w:p>
            <w:pPr>
              <w:jc w:val="center"/>
              <w:widowControl/>
              <w:rPr>
                <w:rFonts w:hint="eastAsia" w:ascii="宋体" w:hAnsi="宋体" w:cs="宋体"/>
                <w:sz w:val="24"/>
                <w:highlight w:val="none"/>
              </w:rPr>
            </w:pPr>
            <w:r>
              <w:rPr>
                <w:rFonts w:hint="eastAsia" w:ascii="宋体" w:hAnsi="宋体" w:cs="宋体"/>
                <w:sz w:val="24"/>
                <w:highlight w:val="none"/>
              </w:rPr>
              <w:t xml:space="preserve">放大器</w:t>
            </w:r>
            <w:r/>
          </w:p>
        </w:tc>
        <w:tc>
          <w:tcPr>
            <w:tcW w:w="5910"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工作频率范围：1GHz～6GHz（放大器放功放室满足30V/m@3m要求）；</w:t>
            </w:r>
            <w:r/>
          </w:p>
          <w:p>
            <w:pPr>
              <w:widowControl/>
              <w:rPr>
                <w:rFonts w:hint="eastAsia" w:ascii="宋体" w:hAnsi="宋体" w:cs="宋体"/>
                <w:sz w:val="24"/>
                <w:highlight w:val="none"/>
              </w:rPr>
            </w:pPr>
            <w:r>
              <w:rPr>
                <w:rFonts w:hint="eastAsia" w:ascii="宋体" w:hAnsi="宋体" w:cs="宋体"/>
                <w:sz w:val="24"/>
                <w:highlight w:val="none"/>
              </w:rPr>
              <w:t xml:space="preserve">线性输出功率：</w:t>
            </w:r>
            <w:r/>
          </w:p>
          <w:p>
            <w:pPr>
              <w:pStyle w:val="973"/>
              <w:ind w:firstLine="0"/>
              <w:rPr>
                <w:rFonts w:hint="eastAsia" w:ascii="宋体" w:hAnsi="宋体" w:eastAsia="宋体" w:cs="宋体"/>
                <w:highlight w:val="none"/>
              </w:rPr>
            </w:pPr>
            <w:r>
              <w:rPr>
                <w:rFonts w:hint="eastAsia" w:ascii="宋体" w:hAnsi="宋体" w:eastAsia="宋体" w:cs="宋体"/>
                <w:highlight w:val="none"/>
              </w:rPr>
              <w:t xml:space="preserve">1000M～6000MHz：≥200W　1dB压缩点。</w:t>
            </w:r>
            <w:r/>
          </w:p>
          <w:p>
            <w:pPr>
              <w:pStyle w:val="973"/>
              <w:ind w:firstLine="0"/>
              <w:rPr>
                <w:rFonts w:hint="eastAsia" w:ascii="宋体" w:hAnsi="宋体" w:eastAsia="宋体" w:cs="宋体"/>
                <w:highlight w:val="none"/>
              </w:rPr>
            </w:pPr>
            <w:r>
              <w:rPr>
                <w:rFonts w:hint="eastAsia" w:ascii="宋体" w:hAnsi="宋体" w:eastAsia="宋体" w:cs="宋体"/>
                <w:highlight w:val="none"/>
              </w:rPr>
              <w:t xml:space="preserve">输入/输出阻抗：50欧姆；输入VSWR :＜ 2: 1；</w:t>
            </w:r>
            <w:r/>
          </w:p>
          <w:p>
            <w:pPr>
              <w:pStyle w:val="973"/>
              <w:ind w:firstLine="0"/>
              <w:rPr>
                <w:rFonts w:hint="eastAsia" w:ascii="宋体" w:hAnsi="宋体" w:eastAsia="宋体" w:cs="宋体"/>
                <w:highlight w:val="none"/>
              </w:rPr>
            </w:pPr>
            <w:r>
              <w:rPr>
                <w:rFonts w:hint="eastAsia" w:ascii="宋体" w:hAnsi="宋体" w:eastAsia="宋体" w:cs="宋体"/>
                <w:highlight w:val="none"/>
              </w:rPr>
              <w:t xml:space="preserve">杂散： -50 dBc 典型值,(不包括谐波)，</w:t>
            </w:r>
            <w:r>
              <w:rPr>
                <w:rFonts w:hint="eastAsia" w:ascii="宋体" w:hAnsi="宋体" w:eastAsia="宋体" w:cs="宋体"/>
                <w:highlight w:val="none"/>
              </w:rPr>
              <w:t xml:space="preserve">含定向耦合器、校准负载；</w:t>
            </w:r>
            <w:r/>
          </w:p>
          <w:p>
            <w:pPr>
              <w:pStyle w:val="973"/>
              <w:ind w:firstLine="0"/>
              <w:rPr>
                <w:rFonts w:hint="eastAsia" w:ascii="宋体" w:hAnsi="宋体" w:eastAsia="宋体" w:cs="宋体"/>
                <w:highlight w:val="none"/>
              </w:rPr>
            </w:pPr>
            <w:r>
              <w:rPr>
                <w:rFonts w:hint="eastAsia" w:ascii="宋体" w:hAnsi="宋体" w:eastAsia="宋体" w:cs="宋体"/>
                <w:highlight w:val="none"/>
              </w:rPr>
              <w:t xml:space="preserve">控制方式及接口：提供通信协议，带LAN、GPIB接口； </w:t>
            </w:r>
            <w:r/>
          </w:p>
        </w:tc>
        <w:tc>
          <w:tcPr>
            <w:tcW w:w="69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1台</w:t>
            </w:r>
            <w:r/>
          </w:p>
        </w:tc>
        <w:tc>
          <w:tcPr>
            <w:tcW w:w="742"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707" w:type="dxa"/>
            <w:vAlign w:val="center"/>
            <w:textDirection w:val="lrTb"/>
            <w:noWrap/>
          </w:tcPr>
          <w:p>
            <w:pPr>
              <w:jc w:val="center"/>
              <w:rPr>
                <w:rFonts w:hint="eastAsia" w:ascii="宋体" w:hAnsi="宋体" w:cs="宋体"/>
                <w:sz w:val="24"/>
                <w:highlight w:val="none"/>
              </w:rPr>
            </w:pPr>
            <w:r/>
            <w:bookmarkStart w:id="805" w:name="OLE_LINK376"/>
            <w:r/>
            <w:bookmarkStart w:id="806" w:name="OLE_LINK375"/>
            <w:r>
              <w:rPr>
                <w:rFonts w:hint="eastAsia" w:ascii="宋体" w:hAnsi="宋体" w:cs="宋体"/>
                <w:sz w:val="24"/>
                <w:highlight w:val="none"/>
              </w:rPr>
              <w:t xml:space="preserve">▲</w:t>
            </w:r>
            <w:bookmarkEnd w:id="805"/>
            <w:r/>
            <w:bookmarkEnd w:id="806"/>
            <w:r>
              <w:rPr>
                <w:rFonts w:hint="eastAsia" w:ascii="宋体" w:hAnsi="宋体" w:cs="宋体"/>
                <w:sz w:val="24"/>
                <w:highlight w:val="none"/>
              </w:rPr>
              <w:t xml:space="preserve">4</w:t>
            </w:r>
            <w:r/>
          </w:p>
        </w:tc>
        <w:tc>
          <w:tcPr>
            <w:tcW w:w="1185"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功率</w:t>
            </w:r>
            <w:r/>
          </w:p>
          <w:p>
            <w:pPr>
              <w:jc w:val="center"/>
              <w:widowControl/>
              <w:rPr>
                <w:rFonts w:hint="eastAsia" w:ascii="宋体" w:hAnsi="宋体" w:cs="宋体"/>
                <w:sz w:val="24"/>
                <w:highlight w:val="none"/>
              </w:rPr>
            </w:pPr>
            <w:r>
              <w:rPr>
                <w:rFonts w:hint="eastAsia" w:ascii="宋体" w:hAnsi="宋体" w:cs="宋体"/>
                <w:sz w:val="24"/>
                <w:highlight w:val="none"/>
              </w:rPr>
              <w:t xml:space="preserve">放大器</w:t>
            </w:r>
            <w:r/>
          </w:p>
        </w:tc>
        <w:tc>
          <w:tcPr>
            <w:tcW w:w="5910"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工作频率范围：80M～1GHz（满足30V/m@3m要求）；</w:t>
            </w:r>
            <w:r/>
          </w:p>
          <w:p>
            <w:pPr>
              <w:widowControl/>
              <w:rPr>
                <w:rFonts w:hint="eastAsia" w:ascii="宋体" w:hAnsi="宋体" w:cs="宋体"/>
                <w:sz w:val="24"/>
                <w:highlight w:val="none"/>
              </w:rPr>
            </w:pPr>
            <w:r>
              <w:rPr>
                <w:rFonts w:hint="eastAsia" w:ascii="宋体" w:hAnsi="宋体" w:cs="宋体"/>
                <w:sz w:val="24"/>
                <w:highlight w:val="none"/>
              </w:rPr>
              <w:t xml:space="preserve">线性输出功率：</w:t>
            </w:r>
            <w:r/>
          </w:p>
          <w:p>
            <w:pPr>
              <w:widowControl/>
              <w:rPr>
                <w:rFonts w:hint="eastAsia" w:ascii="宋体" w:hAnsi="宋体" w:cs="宋体"/>
                <w:sz w:val="24"/>
                <w:highlight w:val="none"/>
              </w:rPr>
            </w:pPr>
            <w:r/>
            <w:bookmarkStart w:id="807" w:name="OLE_LINK277"/>
            <w:r/>
            <w:bookmarkStart w:id="808" w:name="OLE_LINK276"/>
            <w:r/>
            <w:bookmarkStart w:id="809" w:name="OLE_LINK279"/>
            <w:r>
              <w:rPr>
                <w:rFonts w:hint="eastAsia" w:ascii="宋体" w:hAnsi="宋体" w:cs="宋体"/>
                <w:sz w:val="24"/>
                <w:highlight w:val="none"/>
              </w:rPr>
              <w:t xml:space="preserve">80M～400MHz:  ≥1000W</w:t>
            </w:r>
            <w:bookmarkEnd w:id="807"/>
            <w:r/>
            <w:bookmarkEnd w:id="808"/>
            <w:r>
              <w:rPr>
                <w:rFonts w:hint="eastAsia" w:ascii="宋体" w:hAnsi="宋体" w:cs="宋体"/>
                <w:sz w:val="24"/>
                <w:highlight w:val="none"/>
              </w:rPr>
              <w:t xml:space="preserve">　1dB压缩点；</w:t>
            </w:r>
            <w:bookmarkEnd w:id="809"/>
            <w:r/>
            <w:r/>
          </w:p>
          <w:p>
            <w:pPr>
              <w:widowControl/>
              <w:rPr>
                <w:rFonts w:hint="eastAsia" w:ascii="宋体" w:hAnsi="宋体" w:cs="宋体"/>
                <w:sz w:val="24"/>
                <w:highlight w:val="none"/>
              </w:rPr>
            </w:pPr>
            <w:r>
              <w:rPr>
                <w:rFonts w:hint="eastAsia" w:ascii="宋体" w:hAnsi="宋体" w:cs="宋体"/>
                <w:sz w:val="24"/>
                <w:highlight w:val="none"/>
              </w:rPr>
              <w:t xml:space="preserve">4</w:t>
            </w:r>
            <w:bookmarkStart w:id="810" w:name="OLE_LINK278"/>
            <w:r>
              <w:rPr>
                <w:rFonts w:hint="eastAsia" w:ascii="宋体" w:hAnsi="宋体" w:cs="宋体"/>
                <w:sz w:val="24"/>
                <w:highlight w:val="none"/>
              </w:rPr>
              <w:t xml:space="preserve">00M～1000MHz:≥500W</w:t>
            </w:r>
            <w:bookmarkEnd w:id="810"/>
            <w:r>
              <w:rPr>
                <w:rFonts w:hint="eastAsia" w:ascii="宋体" w:hAnsi="宋体" w:cs="宋体"/>
                <w:sz w:val="24"/>
                <w:highlight w:val="none"/>
              </w:rPr>
              <w:t xml:space="preserve">　1dB压缩点；</w:t>
            </w:r>
            <w:r/>
          </w:p>
          <w:p>
            <w:pPr>
              <w:pStyle w:val="973"/>
              <w:ind w:firstLine="0"/>
              <w:rPr>
                <w:rFonts w:hint="eastAsia" w:ascii="宋体" w:hAnsi="宋体" w:eastAsia="宋体" w:cs="宋体"/>
                <w:highlight w:val="none"/>
              </w:rPr>
            </w:pPr>
            <w:r>
              <w:rPr>
                <w:rFonts w:hint="eastAsia" w:ascii="宋体" w:hAnsi="宋体" w:eastAsia="宋体" w:cs="宋体"/>
                <w:highlight w:val="none"/>
              </w:rPr>
              <w:t xml:space="preserve">输入/输出阻抗：50欧姆；输入VSWR:&lt;2:1；</w:t>
            </w:r>
            <w:r/>
          </w:p>
          <w:p>
            <w:pPr>
              <w:pStyle w:val="973"/>
              <w:ind w:firstLine="0"/>
              <w:rPr>
                <w:rFonts w:hint="eastAsia" w:ascii="宋体" w:hAnsi="宋体" w:eastAsia="宋体" w:cs="宋体"/>
                <w:highlight w:val="none"/>
              </w:rPr>
            </w:pPr>
            <w:r>
              <w:rPr>
                <w:rFonts w:hint="eastAsia" w:ascii="宋体" w:hAnsi="宋体" w:eastAsia="宋体" w:cs="宋体"/>
                <w:highlight w:val="none"/>
              </w:rPr>
              <w:t xml:space="preserve">杂散: -50 dBc 典型值,(不包括谐波)；</w:t>
            </w:r>
            <w:r/>
          </w:p>
          <w:p>
            <w:pPr>
              <w:widowControl/>
              <w:rPr>
                <w:rFonts w:hint="eastAsia" w:ascii="宋体" w:hAnsi="宋体" w:cs="宋体"/>
                <w:sz w:val="24"/>
                <w:highlight w:val="none"/>
              </w:rPr>
            </w:pPr>
            <w:r>
              <w:rPr>
                <w:rFonts w:hint="eastAsia" w:ascii="宋体" w:hAnsi="宋体" w:cs="宋体"/>
                <w:sz w:val="24"/>
                <w:highlight w:val="none"/>
              </w:rPr>
              <w:t xml:space="preserve">含定向耦合器、校准负载。</w:t>
            </w:r>
            <w:r/>
          </w:p>
        </w:tc>
        <w:tc>
          <w:tcPr>
            <w:tcW w:w="69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1台</w:t>
            </w:r>
            <w:r/>
          </w:p>
        </w:tc>
        <w:tc>
          <w:tcPr>
            <w:tcW w:w="742"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707"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5</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功率探头</w:t>
            </w:r>
            <w:r/>
          </w:p>
        </w:tc>
        <w:tc>
          <w:tcPr>
            <w:tcW w:w="591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频率范围：8 kHz to 6 GHz；功率范围：100 pW to 200 mW (–70 dBm to +23 dBm)；最大功率：1 W (+30 dBm) AVG, max. 10 V DC；SWR：＜1.25；需和信号源、功率放大器、辐射天线匹配，组成测试系统；</w:t>
            </w:r>
            <w:r/>
          </w:p>
          <w:p>
            <w:pPr>
              <w:rPr>
                <w:rFonts w:hint="eastAsia" w:ascii="宋体" w:hAnsi="宋体" w:cs="宋体"/>
                <w:sz w:val="24"/>
                <w:highlight w:val="none"/>
              </w:rPr>
            </w:pPr>
            <w:r>
              <w:rPr>
                <w:rFonts w:hint="eastAsia" w:ascii="宋体" w:hAnsi="宋体" w:cs="宋体"/>
                <w:sz w:val="24"/>
                <w:highlight w:val="none"/>
              </w:rPr>
              <w:t xml:space="preserve">数量：2个；</w:t>
            </w:r>
            <w:r/>
          </w:p>
          <w:p>
            <w:pPr>
              <w:widowControl/>
              <w:rPr>
                <w:rFonts w:hint="eastAsia" w:ascii="宋体" w:hAnsi="宋体" w:cs="宋体"/>
                <w:sz w:val="24"/>
                <w:highlight w:val="none"/>
              </w:rPr>
            </w:pPr>
            <w:r>
              <w:rPr>
                <w:rFonts w:hint="eastAsia" w:ascii="宋体" w:hAnsi="宋体" w:cs="宋体"/>
                <w:sz w:val="24"/>
                <w:highlight w:val="none"/>
              </w:rPr>
              <w:t xml:space="preserve">通讯：网线通讯或者USB通讯</w:t>
            </w:r>
            <w:r/>
          </w:p>
        </w:tc>
        <w:tc>
          <w:tcPr>
            <w:tcW w:w="69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42"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707" w:type="dxa"/>
            <w:vAlign w:val="center"/>
            <w:textDirection w:val="lrTb"/>
            <w:noWrap/>
          </w:tcPr>
          <w:p>
            <w:pPr>
              <w:jc w:val="center"/>
              <w:rPr>
                <w:rFonts w:hint="eastAsia" w:ascii="宋体" w:hAnsi="宋体" w:cs="宋体"/>
                <w:sz w:val="24"/>
                <w:highlight w:val="none"/>
              </w:rPr>
            </w:pPr>
            <w:r/>
            <w:bookmarkStart w:id="811" w:name="OLE_LINK269"/>
            <w:r/>
            <w:bookmarkStart w:id="812" w:name="OLE_LINK268"/>
            <w:r/>
            <w:bookmarkStart w:id="813" w:name="_Hlk223811434"/>
            <w:r>
              <w:rPr>
                <w:rFonts w:hint="eastAsia" w:ascii="宋体" w:hAnsi="宋体" w:cs="宋体"/>
                <w:sz w:val="24"/>
                <w:highlight w:val="none"/>
              </w:rPr>
              <w:t xml:space="preserve">6</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天线组</w:t>
            </w:r>
            <w:r/>
          </w:p>
        </w:tc>
        <w:tc>
          <w:tcPr>
            <w:tcW w:w="591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工作频率范围：</w:t>
            </w:r>
            <w:bookmarkStart w:id="814" w:name="OLE_LINK470"/>
            <w:r/>
            <w:bookmarkStart w:id="815" w:name="OLE_LINK469"/>
            <w:r>
              <w:rPr>
                <w:rFonts w:hint="eastAsia" w:ascii="宋体" w:hAnsi="宋体" w:cs="宋体"/>
                <w:sz w:val="24"/>
                <w:highlight w:val="none"/>
              </w:rPr>
              <w:t xml:space="preserve">80MHz-6GHz </w:t>
            </w:r>
            <w:r/>
          </w:p>
          <w:p>
            <w:pPr>
              <w:rPr>
                <w:rFonts w:hint="eastAsia" w:ascii="宋体" w:hAnsi="宋体" w:cs="宋体"/>
                <w:sz w:val="24"/>
                <w:highlight w:val="none"/>
              </w:rPr>
            </w:pPr>
            <w:r>
              <w:rPr>
                <w:rFonts w:hint="eastAsia" w:ascii="宋体" w:hAnsi="宋体" w:cs="宋体"/>
                <w:sz w:val="24"/>
                <w:highlight w:val="none"/>
              </w:rPr>
              <w:t xml:space="preserve">增益：＞ 8.0dBi (typ.)</w:t>
            </w:r>
            <w:bookmarkEnd w:id="814"/>
            <w:r/>
            <w:bookmarkEnd w:id="815"/>
            <w:r/>
            <w:r/>
          </w:p>
          <w:p>
            <w:pPr>
              <w:rPr>
                <w:rFonts w:hint="eastAsia" w:ascii="宋体" w:hAnsi="宋体" w:cs="宋体"/>
                <w:sz w:val="24"/>
                <w:highlight w:val="none"/>
              </w:rPr>
            </w:pPr>
            <w:r>
              <w:rPr>
                <w:rFonts w:hint="eastAsia" w:ascii="宋体" w:hAnsi="宋体" w:cs="宋体"/>
                <w:sz w:val="24"/>
                <w:highlight w:val="none"/>
              </w:rPr>
              <w:t xml:space="preserve">VSWR ＜ 2 (typ.)</w:t>
            </w:r>
            <w:r/>
          </w:p>
          <w:p>
            <w:pPr>
              <w:rPr>
                <w:rFonts w:hint="eastAsia" w:ascii="宋体" w:hAnsi="宋体" w:cs="宋体"/>
                <w:sz w:val="24"/>
                <w:highlight w:val="none"/>
              </w:rPr>
            </w:pPr>
            <w:r>
              <w:rPr>
                <w:rFonts w:hint="eastAsia" w:ascii="宋体" w:hAnsi="宋体" w:cs="宋体"/>
                <w:sz w:val="24"/>
                <w:highlight w:val="none"/>
              </w:rPr>
              <w:t xml:space="preserve">能够配合测试系统进行辐射抗扰度测试，场强30V/m（80MHz～1GHz），30V/m（1GHz～6GHz）。</w:t>
            </w:r>
            <w:r/>
          </w:p>
          <w:p>
            <w:pPr>
              <w:shd w:val="clear" w:color="auto" w:fill="ffffff"/>
              <w:rPr>
                <w:rFonts w:hint="eastAsia" w:ascii="宋体" w:hAnsi="宋体" w:cs="宋体"/>
                <w:sz w:val="24"/>
                <w:highlight w:val="none"/>
              </w:rPr>
            </w:pPr>
            <w:r>
              <w:rPr>
                <w:rFonts w:hint="eastAsia" w:ascii="宋体" w:hAnsi="宋体" w:cs="宋体"/>
                <w:sz w:val="24"/>
                <w:highlight w:val="none"/>
              </w:rPr>
              <w:t xml:space="preserve">输入功率：不低</w:t>
            </w:r>
            <w:bookmarkStart w:id="816" w:name="OLE_LINK270"/>
            <w:r>
              <w:rPr>
                <w:rFonts w:hint="eastAsia" w:ascii="宋体" w:hAnsi="宋体" w:cs="宋体"/>
                <w:sz w:val="24"/>
                <w:highlight w:val="none"/>
              </w:rPr>
              <w:t xml:space="preserve">于4kW@80MHz、1.5kW@400MHz、0.95kW@1000MHz、0.5kW@2500MHz、0.3kW@6000MHz；带天线支架</w:t>
            </w:r>
            <w:bookmarkEnd w:id="816"/>
            <w:r>
              <w:rPr>
                <w:rFonts w:hint="eastAsia" w:ascii="宋体" w:hAnsi="宋体" w:cs="宋体"/>
                <w:sz w:val="24"/>
                <w:highlight w:val="none"/>
              </w:rPr>
              <w:t xml:space="preserve">。</w:t>
            </w:r>
            <w:r/>
          </w:p>
        </w:tc>
        <w:tc>
          <w:tcPr>
            <w:tcW w:w="69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42"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bookmarkEnd w:id="811"/>
            <w:r/>
            <w:bookmarkEnd w:id="812"/>
            <w:r/>
            <w:bookmarkEnd w:id="813"/>
            <w:r/>
            <w:r/>
          </w:p>
        </w:tc>
      </w:tr>
      <w:tr>
        <w:trPr>
          <w:jc w:val="center"/>
          <w:trHeight w:val="283"/>
        </w:trPr>
        <w:tc>
          <w:tcPr>
            <w:tcW w:w="707"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7</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场强探头</w:t>
            </w:r>
            <w:r/>
          </w:p>
        </w:tc>
        <w:tc>
          <w:tcPr>
            <w:tcW w:w="5910"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工作频率范围:100kHz～6 GHz；</w:t>
            </w:r>
            <w:r/>
          </w:p>
          <w:p>
            <w:pPr>
              <w:widowControl/>
              <w:rPr>
                <w:rFonts w:hint="eastAsia" w:ascii="宋体" w:hAnsi="宋体" w:cs="宋体"/>
                <w:sz w:val="24"/>
                <w:highlight w:val="none"/>
              </w:rPr>
            </w:pPr>
            <w:r>
              <w:rPr>
                <w:rFonts w:hint="eastAsia" w:ascii="宋体" w:hAnsi="宋体" w:cs="宋体"/>
                <w:sz w:val="24"/>
                <w:highlight w:val="none"/>
              </w:rPr>
              <w:t xml:space="preserve">场强动态范围:（0.5～500）V/m；</w:t>
            </w:r>
            <w:r/>
          </w:p>
          <w:p>
            <w:pPr>
              <w:widowControl/>
              <w:rPr>
                <w:rFonts w:hint="eastAsia" w:ascii="宋体" w:hAnsi="宋体" w:cs="宋体"/>
                <w:sz w:val="24"/>
                <w:highlight w:val="none"/>
              </w:rPr>
            </w:pPr>
            <w:r>
              <w:rPr>
                <w:rFonts w:hint="eastAsia" w:ascii="宋体" w:hAnsi="宋体" w:cs="宋体"/>
                <w:sz w:val="24"/>
                <w:highlight w:val="none"/>
              </w:rPr>
              <w:t xml:space="preserve">包括激光供电与控制器；</w:t>
            </w:r>
            <w:r/>
          </w:p>
          <w:p>
            <w:pPr>
              <w:widowControl/>
              <w:rPr>
                <w:rFonts w:hint="eastAsia" w:ascii="宋体" w:hAnsi="宋体" w:cs="宋体"/>
                <w:sz w:val="24"/>
                <w:highlight w:val="none"/>
              </w:rPr>
            </w:pPr>
            <w:r>
              <w:rPr>
                <w:rFonts w:hint="eastAsia" w:ascii="宋体" w:hAnsi="宋体" w:cs="宋体"/>
                <w:sz w:val="24"/>
                <w:highlight w:val="none"/>
              </w:rPr>
              <w:t xml:space="preserve">包含探头支架，低反射,场均匀性校准支架。</w:t>
            </w:r>
            <w:r/>
          </w:p>
        </w:tc>
        <w:tc>
          <w:tcPr>
            <w:tcW w:w="69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1台</w:t>
            </w:r>
            <w:r/>
          </w:p>
        </w:tc>
        <w:tc>
          <w:tcPr>
            <w:tcW w:w="742"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707"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▲8</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软件</w:t>
            </w:r>
            <w:r/>
          </w:p>
        </w:tc>
        <w:tc>
          <w:tcPr>
            <w:tcW w:w="5910"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可实施9KHz~18GHz 军规/IT类产品测试；</w:t>
            </w:r>
            <w:r/>
          </w:p>
          <w:p>
            <w:pPr>
              <w:widowControl/>
              <w:rPr>
                <w:rFonts w:hint="eastAsia" w:ascii="宋体" w:hAnsi="宋体" w:cs="宋体"/>
                <w:sz w:val="24"/>
                <w:highlight w:val="none"/>
              </w:rPr>
            </w:pPr>
            <w:r>
              <w:rPr>
                <w:rFonts w:hint="eastAsia" w:ascii="宋体" w:hAnsi="宋体" w:cs="宋体"/>
                <w:sz w:val="24"/>
                <w:highlight w:val="none"/>
              </w:rPr>
              <w:t xml:space="preserve">分段单独设置设备参数,可分段或全段测试；</w:t>
            </w:r>
            <w:r/>
          </w:p>
          <w:p>
            <w:pPr>
              <w:widowControl/>
              <w:rPr>
                <w:rFonts w:hint="eastAsia" w:ascii="宋体" w:hAnsi="宋体" w:cs="宋体"/>
                <w:sz w:val="24"/>
                <w:highlight w:val="none"/>
              </w:rPr>
            </w:pPr>
            <w:r>
              <w:rPr>
                <w:rFonts w:hint="eastAsia" w:ascii="宋体" w:hAnsi="宋体" w:cs="宋体"/>
                <w:sz w:val="24"/>
                <w:highlight w:val="none"/>
              </w:rPr>
              <w:t xml:space="preserve">用户可依法规创建新测试规格及参数；</w:t>
            </w:r>
            <w:r/>
          </w:p>
          <w:p>
            <w:pPr>
              <w:widowControl/>
              <w:rPr>
                <w:rFonts w:hint="eastAsia" w:ascii="宋体" w:hAnsi="宋体" w:cs="宋体"/>
                <w:sz w:val="24"/>
                <w:highlight w:val="none"/>
              </w:rPr>
            </w:pPr>
            <w:r>
              <w:rPr>
                <w:rFonts w:hint="eastAsia" w:ascii="宋体" w:hAnsi="宋体" w:cs="宋体"/>
                <w:sz w:val="24"/>
                <w:highlight w:val="none"/>
              </w:rPr>
              <w:t xml:space="preserve">测试频率可以用步进(Step)或百分比(%)方式进行测试；测试及校验场强弹性设置,定值或斜率；</w:t>
            </w:r>
            <w:r/>
          </w:p>
          <w:p>
            <w:pPr>
              <w:widowControl/>
              <w:rPr>
                <w:rFonts w:hint="eastAsia" w:ascii="宋体" w:hAnsi="宋体" w:cs="宋体"/>
                <w:sz w:val="24"/>
                <w:highlight w:val="none"/>
              </w:rPr>
            </w:pPr>
            <w:r>
              <w:rPr>
                <w:rFonts w:hint="eastAsia" w:ascii="宋体" w:hAnsi="宋体" w:cs="宋体"/>
                <w:sz w:val="24"/>
                <w:highlight w:val="none"/>
              </w:rPr>
              <w:t xml:space="preserve">频率表可插入特殊单点数据测试；</w:t>
            </w:r>
            <w:r/>
          </w:p>
          <w:p>
            <w:pPr>
              <w:widowControl/>
              <w:rPr>
                <w:rFonts w:hint="eastAsia" w:ascii="宋体" w:hAnsi="宋体" w:cs="宋体"/>
                <w:sz w:val="24"/>
                <w:highlight w:val="none"/>
              </w:rPr>
            </w:pPr>
            <w:r>
              <w:rPr>
                <w:rFonts w:hint="eastAsia" w:ascii="宋体" w:hAnsi="宋体" w:cs="宋体"/>
                <w:sz w:val="24"/>
                <w:highlight w:val="none"/>
              </w:rPr>
              <w:t xml:space="preserve">测试数据可打印输出或存成pdf文档格式；</w:t>
            </w:r>
            <w:r/>
          </w:p>
          <w:p>
            <w:pPr>
              <w:widowControl/>
              <w:rPr>
                <w:rFonts w:hint="eastAsia" w:ascii="宋体" w:hAnsi="宋体" w:cs="宋体"/>
                <w:sz w:val="24"/>
                <w:highlight w:val="none"/>
              </w:rPr>
            </w:pPr>
            <w:r>
              <w:rPr>
                <w:rFonts w:hint="eastAsia" w:ascii="宋体" w:hAnsi="宋体" w:cs="宋体"/>
                <w:sz w:val="24"/>
                <w:highlight w:val="none"/>
              </w:rPr>
              <w:t xml:space="preserve">支持测试暂停或某点频率开始重测；</w:t>
            </w:r>
            <w:r/>
          </w:p>
          <w:p>
            <w:pPr>
              <w:widowControl/>
              <w:rPr>
                <w:rFonts w:hint="eastAsia" w:ascii="宋体" w:hAnsi="宋体" w:cs="宋体"/>
                <w:sz w:val="24"/>
                <w:highlight w:val="none"/>
              </w:rPr>
            </w:pPr>
            <w:r>
              <w:rPr>
                <w:rFonts w:hint="eastAsia" w:ascii="宋体" w:hAnsi="宋体" w:cs="宋体"/>
                <w:sz w:val="24"/>
                <w:highlight w:val="none"/>
              </w:rPr>
              <w:t xml:space="preserve">支持固定单点频率测试；</w:t>
            </w:r>
            <w:r/>
          </w:p>
          <w:p>
            <w:pPr>
              <w:widowControl/>
              <w:rPr>
                <w:rFonts w:hint="eastAsia" w:ascii="宋体" w:hAnsi="宋体" w:cs="宋体"/>
                <w:sz w:val="24"/>
                <w:highlight w:val="none"/>
              </w:rPr>
            </w:pPr>
            <w:r>
              <w:rPr>
                <w:rFonts w:hint="eastAsia" w:ascii="宋体" w:hAnsi="宋体" w:cs="宋体"/>
                <w:sz w:val="24"/>
                <w:highlight w:val="none"/>
              </w:rPr>
              <w:t xml:space="preserve">支持CW/AM/FM/PM/Pulse/Radar波调制测试；</w:t>
            </w:r>
            <w:r/>
          </w:p>
          <w:p>
            <w:pPr>
              <w:widowControl/>
              <w:rPr>
                <w:rFonts w:hint="eastAsia" w:ascii="宋体" w:hAnsi="宋体" w:cs="宋体"/>
                <w:sz w:val="24"/>
                <w:highlight w:val="none"/>
              </w:rPr>
            </w:pPr>
            <w:r>
              <w:rPr>
                <w:rFonts w:hint="eastAsia" w:ascii="宋体" w:hAnsi="宋体" w:cs="宋体"/>
                <w:sz w:val="24"/>
                <w:highlight w:val="none"/>
              </w:rPr>
              <w:t xml:space="preserve">可实施单点,4点,16点FU校验.校验完成后自动计算结果；</w:t>
            </w:r>
            <w:r/>
          </w:p>
          <w:p>
            <w:pPr>
              <w:widowControl/>
              <w:rPr>
                <w:rFonts w:hint="eastAsia" w:ascii="宋体" w:hAnsi="宋体" w:cs="宋体"/>
                <w:sz w:val="24"/>
                <w:highlight w:val="none"/>
              </w:rPr>
            </w:pPr>
            <w:r>
              <w:rPr>
                <w:rFonts w:hint="eastAsia" w:ascii="宋体" w:hAnsi="宋体" w:cs="宋体"/>
                <w:sz w:val="24"/>
                <w:highlight w:val="none"/>
              </w:rPr>
              <w:t xml:space="preserve">设备控制方式支持GPIB/LAN/COM口通信；</w:t>
            </w:r>
            <w:r/>
          </w:p>
          <w:p>
            <w:pPr>
              <w:widowControl/>
              <w:rPr>
                <w:rFonts w:hint="eastAsia" w:ascii="宋体" w:hAnsi="宋体" w:cs="宋体"/>
                <w:sz w:val="24"/>
                <w:highlight w:val="none"/>
              </w:rPr>
            </w:pPr>
            <w:r>
              <w:rPr>
                <w:rFonts w:hint="eastAsia" w:ascii="宋体" w:hAnsi="宋体" w:cs="宋体"/>
                <w:sz w:val="24"/>
                <w:highlight w:val="none"/>
              </w:rPr>
              <w:t xml:space="preserve">各项测试参数可存取,方便下次测试时再使用；使用者设置后,可重复呼叫；</w:t>
            </w:r>
            <w:r/>
          </w:p>
          <w:p>
            <w:pPr>
              <w:rPr>
                <w:rFonts w:hint="eastAsia" w:ascii="宋体" w:hAnsi="宋体" w:cs="宋体"/>
                <w:sz w:val="24"/>
                <w:highlight w:val="none"/>
              </w:rPr>
            </w:pPr>
            <w:r>
              <w:rPr>
                <w:rFonts w:hint="eastAsia" w:ascii="宋体" w:hAnsi="宋体" w:cs="宋体"/>
                <w:sz w:val="24"/>
                <w:highlight w:val="none"/>
              </w:rPr>
              <w:t xml:space="preserve">设置SG输出限制,可以固定值或频率对应限值方式,控制SG最大输出强度,确保功放输入强度；</w:t>
            </w:r>
            <w:r/>
          </w:p>
          <w:p>
            <w:pPr>
              <w:rPr>
                <w:rFonts w:hint="eastAsia" w:ascii="宋体" w:hAnsi="宋体" w:cs="宋体"/>
                <w:sz w:val="24"/>
                <w:highlight w:val="none"/>
              </w:rPr>
            </w:pPr>
            <w:r>
              <w:rPr>
                <w:rFonts w:hint="eastAsia" w:ascii="宋体" w:hAnsi="宋体" w:cs="宋体"/>
                <w:sz w:val="24"/>
                <w:highlight w:val="none"/>
              </w:rPr>
              <w:t xml:space="preserve">软件支持多家厂牌设备型号及RF切换开关,可自动切换频段设置。</w:t>
            </w:r>
            <w:r/>
          </w:p>
        </w:tc>
        <w:tc>
          <w:tcPr>
            <w:tcW w:w="69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42"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707"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9</w:t>
            </w:r>
            <w:r/>
          </w:p>
        </w:tc>
        <w:tc>
          <w:tcPr>
            <w:tcW w:w="1185"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射频电缆</w:t>
            </w:r>
            <w:r/>
          </w:p>
          <w:p>
            <w:pPr>
              <w:jc w:val="center"/>
              <w:rPr>
                <w:rFonts w:hint="eastAsia" w:ascii="宋体" w:hAnsi="宋体" w:cs="宋体"/>
                <w:sz w:val="24"/>
                <w:highlight w:val="none"/>
              </w:rPr>
            </w:pPr>
            <w:r>
              <w:rPr>
                <w:rFonts w:hint="eastAsia" w:ascii="宋体" w:hAnsi="宋体" w:cs="宋体"/>
                <w:sz w:val="24"/>
                <w:highlight w:val="none"/>
              </w:rPr>
              <w:t xml:space="preserve">及附件</w:t>
            </w:r>
            <w:r/>
          </w:p>
        </w:tc>
        <w:tc>
          <w:tcPr>
            <w:tcW w:w="591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射频电缆及接口等相关附件的选型应使系统符合测试标准的要求以及系统自校要求。</w:t>
            </w:r>
            <w:r/>
          </w:p>
        </w:tc>
        <w:tc>
          <w:tcPr>
            <w:tcW w:w="69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42"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707"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10</w:t>
            </w:r>
            <w:r/>
          </w:p>
        </w:tc>
        <w:tc>
          <w:tcPr>
            <w:tcW w:w="1185"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机柜</w:t>
            </w:r>
            <w:r/>
          </w:p>
        </w:tc>
        <w:tc>
          <w:tcPr>
            <w:tcW w:w="5910"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设备集成至测试机柜，32U标准机柜，带滚轮。</w:t>
            </w:r>
            <w:r/>
          </w:p>
        </w:tc>
        <w:tc>
          <w:tcPr>
            <w:tcW w:w="69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1个</w:t>
            </w:r>
            <w:r/>
          </w:p>
        </w:tc>
        <w:tc>
          <w:tcPr>
            <w:tcW w:w="742"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707"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11</w:t>
            </w:r>
            <w:r/>
          </w:p>
        </w:tc>
        <w:tc>
          <w:tcPr>
            <w:tcW w:w="1185" w:type="dxa"/>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配件</w:t>
            </w:r>
            <w:r/>
          </w:p>
        </w:tc>
        <w:tc>
          <w:tcPr>
            <w:tcW w:w="5910"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测试工作站及GBIP卡，网线等</w:t>
            </w:r>
            <w:r/>
          </w:p>
        </w:tc>
        <w:tc>
          <w:tcPr>
            <w:tcW w:w="69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42"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bl>
    <w:p>
      <w:pPr>
        <w:pStyle w:val="1215"/>
        <w:ind w:firstLine="482"/>
        <w:spacing w:line="400" w:lineRule="exact"/>
        <w:rPr>
          <w:rFonts w:hint="eastAsia" w:ascii="宋体" w:hAnsi="宋体" w:cs="宋体"/>
          <w:b/>
          <w:bCs/>
          <w:sz w:val="24"/>
          <w:szCs w:val="24"/>
          <w:highlight w:val="none"/>
        </w:rPr>
      </w:pPr>
      <w:r/>
      <w:bookmarkStart w:id="817" w:name="_Toc331143440"/>
      <w:r>
        <w:rPr>
          <w:rFonts w:hint="eastAsia" w:ascii="宋体" w:hAnsi="宋体" w:cs="宋体"/>
          <w:b/>
          <w:bCs/>
          <w:sz w:val="24"/>
          <w:szCs w:val="24"/>
          <w:highlight w:val="none"/>
        </w:rPr>
        <w:t xml:space="preserve">3.屏蔽房传导骚扰测试系统</w:t>
      </w:r>
      <w:bookmarkEnd w:id="817"/>
      <w:r/>
      <w:bookmarkStart w:id="818" w:name="_Toc331143441"/>
      <w:r/>
      <w:bookmarkEnd w:id="818"/>
      <w:r/>
      <w:r/>
    </w:p>
    <w:p>
      <w:pPr>
        <w:pStyle w:val="1215"/>
        <w:ind w:firstLine="480"/>
        <w:spacing w:line="400" w:lineRule="exact"/>
        <w:rPr>
          <w:rFonts w:hint="eastAsia" w:ascii="宋体" w:hAnsi="宋体" w:cs="宋体"/>
          <w:sz w:val="24"/>
          <w:szCs w:val="24"/>
          <w:highlight w:val="none"/>
        </w:rPr>
      </w:pPr>
      <w:r/>
      <w:bookmarkStart w:id="819" w:name="_Toc331143442"/>
      <w:r>
        <w:rPr>
          <w:rFonts w:hint="eastAsia" w:ascii="宋体" w:hAnsi="宋体" w:cs="宋体"/>
          <w:sz w:val="24"/>
          <w:szCs w:val="24"/>
          <w:highlight w:val="none"/>
        </w:rPr>
        <w:t xml:space="preserve">3.1标准</w:t>
      </w:r>
      <w:bookmarkEnd w:id="819"/>
      <w:r/>
      <w:r/>
    </w:p>
    <w:p>
      <w:pPr>
        <w:pStyle w:val="1215"/>
        <w:ind w:firstLine="480"/>
        <w:spacing w:line="400" w:lineRule="exact"/>
        <w:rPr>
          <w:rFonts w:hint="eastAsia" w:ascii="宋体" w:hAnsi="宋体" w:cs="宋体"/>
          <w:sz w:val="24"/>
          <w:szCs w:val="24"/>
          <w:highlight w:val="none"/>
        </w:rPr>
      </w:pPr>
      <w:r/>
      <w:bookmarkStart w:id="820" w:name="_Toc331143443"/>
      <w:r>
        <w:rPr>
          <w:rFonts w:hint="eastAsia" w:ascii="宋体" w:hAnsi="宋体" w:cs="宋体"/>
          <w:sz w:val="24"/>
          <w:szCs w:val="24"/>
          <w:highlight w:val="none"/>
        </w:rPr>
        <w:t xml:space="preserve">GBZ19397-2003 《工业机器人电磁兼容性试验方法和性能评估准则》</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GB/T 37283/GBT 37284（服务机器人）</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IEC TR 60601-4-1/GBT 38326/GBT 38336（工科医机器人）</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CISPR14/GBT4343（家电及电动工具类）</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CISPR15/GBT17743（灯具照明类）</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CISPR32/GBT9254（多媒体类）</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CISPR11/GBT4824（工科医类）</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IEC61000-4-3（所有电子产品）</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IEC60601-1-2/YY9706(医疗器械标准)</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IEC 62236/GBT24338轨道交通标准</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IEC61000-6/GBT 17799（居住商业和轻工业环境中的电磁兼容）</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3.2技术指标</w:t>
      </w:r>
      <w:bookmarkEnd w:id="820"/>
      <w:r/>
      <w:r/>
    </w:p>
    <w:p>
      <w:pPr>
        <w:pStyle w:val="1215"/>
        <w:ind w:firstLine="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3.2.1传</w:t>
      </w:r>
      <w:bookmarkStart w:id="821" w:name="_Hlk98794820"/>
      <w:r>
        <w:rPr>
          <w:rFonts w:hint="eastAsia" w:ascii="宋体" w:hAnsi="宋体" w:cs="宋体"/>
          <w:sz w:val="24"/>
          <w:szCs w:val="24"/>
          <w:highlight w:val="none"/>
        </w:rPr>
        <w:t xml:space="preserve">导骚扰</w:t>
      </w:r>
      <w:bookmarkEnd w:id="821"/>
      <w:r>
        <w:rPr>
          <w:rFonts w:hint="eastAsia" w:ascii="宋体" w:hAnsi="宋体" w:cs="宋体"/>
          <w:sz w:val="24"/>
          <w:szCs w:val="24"/>
          <w:highlight w:val="none"/>
        </w:rPr>
        <w:t xml:space="preserve">测试</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检波器类型：准峰值、峰值和平均值检波器；</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频率范围：0.15 MHz～30MHz；</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试验端口类型：交直流电源输端口、电信端口；</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人工电源网络AMN：三相，200A；</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电信端口测试套件：满足CAT 5及CAT 6的测试要求；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电压探头法：0.15 MHz～30MHz；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功率骚扰测试：30MHz-300MHz；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灯具电磁场骚扰测试：CDNE M2/M3，三环天线；</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符合GB/T 6113.102（CISPR 16-1-2）要求。</w:t>
      </w:r>
      <w:r/>
    </w:p>
    <w:p>
      <w:pPr>
        <w:spacing w:line="400" w:lineRule="exact"/>
        <w:rPr>
          <w:rFonts w:hint="eastAsia" w:ascii="宋体" w:hAnsi="宋体" w:cs="宋体"/>
          <w:sz w:val="24"/>
          <w:highlight w:val="none"/>
        </w:rPr>
      </w:pPr>
      <w:r>
        <w:rPr>
          <w:rFonts w:hint="eastAsia" w:ascii="宋体" w:hAnsi="宋体" w:cs="宋体"/>
          <w:sz w:val="24"/>
          <w:highlight w:val="none"/>
        </w:rPr>
        <w:t xml:space="preserve">3.2.2功率骚扰测试</w:t>
      </w:r>
      <w:r/>
    </w:p>
    <w:p>
      <w:pPr>
        <w:pStyle w:val="1215"/>
        <w:ind w:firstLine="480"/>
        <w:spacing w:line="400" w:lineRule="exact"/>
        <w:rPr>
          <w:rFonts w:hint="eastAsia" w:ascii="宋体" w:hAnsi="宋体" w:cs="宋体"/>
          <w:sz w:val="24"/>
          <w:szCs w:val="24"/>
          <w:highlight w:val="none"/>
        </w:rPr>
      </w:pPr>
      <w:r/>
      <w:bookmarkStart w:id="822" w:name="_Toc331143444"/>
      <w:r>
        <w:rPr>
          <w:rFonts w:hint="eastAsia" w:ascii="宋体" w:hAnsi="宋体" w:cs="宋体"/>
          <w:sz w:val="24"/>
          <w:szCs w:val="24"/>
          <w:highlight w:val="none"/>
        </w:rPr>
        <w:t xml:space="preserve">检波器类型：准峰值、峰值和平均值检波器；</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频率范围：30 MHz～300MHz；</w:t>
      </w:r>
      <w:r/>
    </w:p>
    <w:p>
      <w:pPr>
        <w:pStyle w:val="1215"/>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GB/T 6113.103（CISPR 16-1-3）；</w:t>
      </w:r>
      <w:r/>
    </w:p>
    <w:p>
      <w:pPr>
        <w:spacing w:line="400" w:lineRule="exact"/>
        <w:rPr>
          <w:rFonts w:hint="eastAsia" w:ascii="宋体" w:hAnsi="宋体" w:cs="宋体"/>
          <w:sz w:val="24"/>
          <w:highlight w:val="none"/>
        </w:rPr>
      </w:pPr>
      <w:r>
        <w:rPr>
          <w:rFonts w:hint="eastAsia" w:ascii="宋体" w:hAnsi="宋体" w:cs="宋体"/>
          <w:sz w:val="24"/>
          <w:highlight w:val="none"/>
        </w:rPr>
        <w:t xml:space="preserve">3.2.3传</w:t>
      </w:r>
      <w:bookmarkStart w:id="823" w:name="OLE_LINK479"/>
      <w:r>
        <w:rPr>
          <w:rFonts w:hint="eastAsia" w:ascii="宋体" w:hAnsi="宋体" w:cs="宋体"/>
          <w:sz w:val="24"/>
          <w:highlight w:val="none"/>
        </w:rPr>
        <w:t xml:space="preserve">导骚扰、</w:t>
      </w:r>
      <w:bookmarkEnd w:id="823"/>
      <w:r>
        <w:rPr>
          <w:rFonts w:hint="eastAsia" w:ascii="宋体" w:hAnsi="宋体" w:cs="宋体"/>
          <w:sz w:val="24"/>
          <w:highlight w:val="none"/>
        </w:rPr>
        <w:t xml:space="preserve">功率骚扰系统设备参数</w:t>
      </w:r>
      <w:bookmarkEnd w:id="822"/>
      <w:r/>
      <w:r/>
    </w:p>
    <w:tbl>
      <w:tblPr>
        <w:tblStyle w:val="955"/>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329"/>
        <w:gridCol w:w="5895"/>
        <w:gridCol w:w="720"/>
        <w:gridCol w:w="736"/>
      </w:tblGrid>
      <w:tr>
        <w:trPr>
          <w:jc w:val="center"/>
          <w:trHeight w:val="283"/>
        </w:trPr>
        <w:tc>
          <w:tcPr>
            <w:shd w:val="clear" w:color="auto" w:fill="ccffcc"/>
            <w:tcW w:w="636" w:type="dxa"/>
            <w:vAlign w:val="center"/>
            <w:textDirection w:val="lrTb"/>
            <w:noWrap/>
          </w:tcPr>
          <w:p>
            <w:pPr>
              <w:jc w:val="center"/>
              <w:rPr>
                <w:rFonts w:hint="eastAsia" w:ascii="宋体" w:hAnsi="宋体" w:cs="宋体"/>
                <w:b/>
                <w:bCs/>
                <w:sz w:val="24"/>
                <w:highlight w:val="none"/>
              </w:rPr>
            </w:pPr>
            <w:r>
              <w:rPr>
                <w:rFonts w:hint="eastAsia" w:ascii="宋体" w:hAnsi="宋体" w:cs="宋体"/>
                <w:b/>
                <w:bCs/>
                <w:sz w:val="24"/>
                <w:highlight w:val="none"/>
              </w:rPr>
              <w:t xml:space="preserve">序号</w:t>
            </w:r>
            <w:r/>
          </w:p>
        </w:tc>
        <w:tc>
          <w:tcPr>
            <w:shd w:val="clear" w:color="auto" w:fill="ccffcc"/>
            <w:tcW w:w="1329" w:type="dxa"/>
            <w:vAlign w:val="center"/>
            <w:textDirection w:val="lrTb"/>
            <w:noWrap/>
          </w:tcPr>
          <w:p>
            <w:pPr>
              <w:jc w:val="center"/>
              <w:rPr>
                <w:rFonts w:hint="eastAsia" w:ascii="宋体" w:hAnsi="宋体" w:cs="宋体"/>
                <w:b/>
                <w:bCs/>
                <w:sz w:val="24"/>
                <w:highlight w:val="none"/>
              </w:rPr>
            </w:pPr>
            <w:r>
              <w:rPr>
                <w:rFonts w:hint="eastAsia" w:ascii="宋体" w:hAnsi="宋体" w:cs="宋体"/>
                <w:b/>
                <w:bCs/>
                <w:sz w:val="24"/>
                <w:highlight w:val="none"/>
              </w:rPr>
              <w:t xml:space="preserve">设备名称</w:t>
            </w:r>
            <w:r/>
          </w:p>
        </w:tc>
        <w:tc>
          <w:tcPr>
            <w:shd w:val="clear" w:color="auto" w:fill="ccffcc"/>
            <w:tcW w:w="5895"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技术要求</w:t>
            </w:r>
            <w:r/>
          </w:p>
        </w:tc>
        <w:tc>
          <w:tcPr>
            <w:shd w:val="clear" w:color="auto" w:fill="ccffcc"/>
            <w:tcW w:w="720"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数量</w:t>
            </w:r>
            <w:r/>
          </w:p>
        </w:tc>
        <w:tc>
          <w:tcPr>
            <w:shd w:val="clear" w:color="auto" w:fill="ccffcc"/>
            <w:tcW w:w="736" w:type="dxa"/>
            <w:vAlign w:val="center"/>
            <w:textDirection w:val="lrTb"/>
            <w:noWrap/>
          </w:tcPr>
          <w:p>
            <w:pPr>
              <w:jc w:val="center"/>
              <w:rPr>
                <w:rFonts w:hint="eastAsia" w:ascii="宋体" w:hAnsi="宋体" w:cs="宋体"/>
                <w:b/>
                <w:bCs/>
                <w:sz w:val="24"/>
                <w:highlight w:val="none"/>
              </w:rPr>
            </w:pPr>
            <w:r>
              <w:rPr>
                <w:rFonts w:hint="eastAsia" w:ascii="宋体" w:hAnsi="宋体" w:cs="宋体"/>
                <w:b/>
                <w:bCs/>
                <w:sz w:val="24"/>
                <w:highlight w:val="none"/>
              </w:rPr>
              <w:t xml:space="preserve">备注</w:t>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W w:w="1329"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导轨及导轨控制器</w:t>
            </w:r>
            <w:r/>
          </w:p>
        </w:tc>
        <w:tc>
          <w:tcPr>
            <w:tcW w:w="5895" w:type="dxa"/>
            <w:vAlign w:val="center"/>
            <w:textDirection w:val="lrTb"/>
            <w:noWrap w:val="false"/>
          </w:tcPr>
          <w:p>
            <w:pPr>
              <w:pStyle w:val="973"/>
              <w:ind w:firstLine="0"/>
              <w:jc w:val="left"/>
              <w:widowControl/>
              <w:rPr>
                <w:rFonts w:hint="eastAsia" w:ascii="宋体" w:hAnsi="宋体" w:eastAsia="宋体" w:cs="宋体"/>
                <w:highlight w:val="none"/>
              </w:rPr>
            </w:pPr>
            <w:r>
              <w:rPr>
                <w:rFonts w:hint="eastAsia" w:ascii="宋体" w:hAnsi="宋体" w:eastAsia="宋体" w:cs="宋体"/>
                <w:highlight w:val="none"/>
              </w:rPr>
              <w:t xml:space="preserve">测量长度（不包括吸收钳）:</w:t>
            </w:r>
            <w:r>
              <w:rPr>
                <w:rFonts w:hint="eastAsia" w:ascii="宋体" w:hAnsi="宋体" w:eastAsia="宋体" w:cs="宋体"/>
                <w:highlight w:val="none"/>
                <w:shd w:val="clear" w:color="auto" w:fill="ffffff"/>
              </w:rPr>
              <w:t xml:space="preserve"> ＞</w:t>
            </w:r>
            <w:r>
              <w:rPr>
                <w:rFonts w:hint="eastAsia" w:ascii="宋体" w:hAnsi="宋体" w:eastAsia="宋体" w:cs="宋体"/>
                <w:highlight w:val="none"/>
              </w:rPr>
              <w:t xml:space="preserve">6m  包括控制器</w:t>
            </w:r>
            <w:r/>
          </w:p>
          <w:p>
            <w:pPr>
              <w:pStyle w:val="973"/>
              <w:ind w:firstLine="0"/>
              <w:jc w:val="left"/>
              <w:widowControl/>
              <w:rPr>
                <w:rFonts w:hint="eastAsia" w:ascii="宋体" w:hAnsi="宋体" w:eastAsia="宋体" w:cs="宋体"/>
                <w:highlight w:val="none"/>
              </w:rPr>
            </w:pPr>
            <w:r>
              <w:rPr>
                <w:rFonts w:hint="eastAsia" w:ascii="宋体" w:hAnsi="宋体" w:eastAsia="宋体" w:cs="宋体"/>
                <w:highlight w:val="none"/>
              </w:rPr>
              <w:t xml:space="preserve">能够进行自动化测试；材料：玻璃钢</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2</w:t>
            </w:r>
            <w:r/>
          </w:p>
        </w:tc>
        <w:tc>
          <w:tcPr>
            <w:tcW w:w="1329" w:type="dxa"/>
            <w:vAlign w:val="center"/>
            <w:textDirection w:val="lrTb"/>
            <w:noWrap/>
          </w:tcPr>
          <w:p>
            <w:pPr>
              <w:jc w:val="center"/>
              <w:rPr>
                <w:rFonts w:hint="eastAsia" w:ascii="宋体" w:hAnsi="宋体" w:cs="宋体"/>
                <w:sz w:val="24"/>
                <w:highlight w:val="none"/>
              </w:rPr>
            </w:pPr>
            <w:r/>
            <w:bookmarkStart w:id="824" w:name="OLE_LINK271"/>
            <w:r/>
            <w:bookmarkStart w:id="825" w:name="OLE_LINK272"/>
            <w:r>
              <w:rPr>
                <w:rFonts w:hint="eastAsia" w:ascii="宋体" w:hAnsi="宋体" w:cs="宋体"/>
                <w:sz w:val="24"/>
                <w:highlight w:val="none"/>
              </w:rPr>
              <w:t xml:space="preserve">吸收钳(含6dB衰减器)</w:t>
            </w:r>
            <w:bookmarkEnd w:id="824"/>
            <w:r/>
            <w:bookmarkEnd w:id="825"/>
            <w:r/>
            <w:r/>
          </w:p>
        </w:tc>
        <w:tc>
          <w:tcPr>
            <w:tcW w:w="5895"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频率范围：30MHz～1000MHz；对应于CISPR16-1的插入损耗：17±4dB；接收机输入阻抗的校准：50Ω；接收机共模阻抗同电流变换器之间的去耦因子：＞30dB；</w:t>
            </w:r>
            <w:r>
              <w:rPr>
                <w:rFonts w:hint="eastAsia" w:ascii="宋体" w:hAnsi="宋体" w:cs="宋体"/>
                <w:sz w:val="24"/>
                <w:highlight w:val="none"/>
              </w:rPr>
              <w:t xml:space="preserve">最大的直流或交流峰值：不低于30A；最大输入功率：不低于20W 最大线径：不低于23mm</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1台</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3</w:t>
            </w:r>
            <w:r/>
          </w:p>
        </w:tc>
        <w:tc>
          <w:tcPr>
            <w:tcW w:w="1329"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去耦钳</w:t>
            </w:r>
            <w:r/>
          </w:p>
        </w:tc>
        <w:tc>
          <w:tcPr>
            <w:tcW w:w="5895"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频率范围：10MHz～1000MHz</w:t>
            </w:r>
            <w:r/>
          </w:p>
          <w:p>
            <w:pPr>
              <w:pStyle w:val="973"/>
              <w:ind w:firstLine="0"/>
              <w:jc w:val="left"/>
              <w:widowControl/>
              <w:rPr>
                <w:rFonts w:hint="eastAsia" w:ascii="宋体" w:hAnsi="宋体" w:eastAsia="宋体" w:cs="宋体"/>
                <w:highlight w:val="none"/>
              </w:rPr>
            </w:pPr>
            <w:r>
              <w:rPr>
                <w:rFonts w:hint="eastAsia" w:ascii="宋体" w:hAnsi="宋体" w:eastAsia="宋体" w:cs="宋体"/>
                <w:highlight w:val="none"/>
              </w:rPr>
              <w:t xml:space="preserve">S11（30MHz）: 0.6～0.75、S11（200MHz）: 0.4 ～ 0.55、S21&lt;0.25</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1台</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4</w:t>
            </w:r>
            <w:r/>
          </w:p>
        </w:tc>
        <w:tc>
          <w:tcPr>
            <w:tcW w:w="1329"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电流钳</w:t>
            </w:r>
            <w:r/>
          </w:p>
        </w:tc>
        <w:tc>
          <w:tcPr>
            <w:tcW w:w="5895"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频率范围：10kHz～500MHz、脉冲电流：≥100A</w:t>
            </w:r>
            <w:r/>
          </w:p>
          <w:p>
            <w:pPr>
              <w:widowControl/>
              <w:rPr>
                <w:rFonts w:hint="eastAsia" w:ascii="宋体" w:hAnsi="宋体" w:cs="宋体"/>
                <w:sz w:val="24"/>
                <w:highlight w:val="none"/>
              </w:rPr>
            </w:pPr>
            <w:r>
              <w:rPr>
                <w:rFonts w:hint="eastAsia" w:ascii="宋体" w:hAnsi="宋体" w:cs="宋体"/>
                <w:sz w:val="24"/>
                <w:highlight w:val="none"/>
              </w:rPr>
              <w:t xml:space="preserve">最大电流DC～400HZ：200A、内径：40mm</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1台</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bookmarkStart w:id="826" w:name="OLE_LINK366"/>
            <w:r>
              <w:rPr>
                <w:rFonts w:hint="eastAsia" w:ascii="宋体" w:hAnsi="宋体" w:cs="宋体"/>
                <w:sz w:val="24"/>
                <w:highlight w:val="none"/>
              </w:rPr>
              <w:t xml:space="preserve">▲</w:t>
            </w:r>
            <w:bookmarkEnd w:id="826"/>
            <w:r>
              <w:rPr>
                <w:rFonts w:hint="eastAsia" w:ascii="宋体" w:hAnsi="宋体" w:cs="宋体"/>
                <w:sz w:val="24"/>
                <w:highlight w:val="none"/>
              </w:rPr>
              <w:t xml:space="preserve">5</w:t>
            </w:r>
            <w:r/>
          </w:p>
        </w:tc>
        <w:tc>
          <w:tcPr>
            <w:tcW w:w="1329"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测试软件</w:t>
            </w:r>
            <w:r/>
          </w:p>
        </w:tc>
        <w:tc>
          <w:tcPr>
            <w:tcW w:w="5895"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EMC测试软件，包含测试功能，CE,RE,CNDE,CLAMP,LOOP，ISN；软件须具备RF信号通道、预放、衰减器、滤波器等以及系统信号路径的校准功能；可支持目前市场上主流接收机和频谱仪 (R&amp;S、Keysight)。</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可用于传导骚扰测试、功率辐射骚扰测试、磁场辐射骚扰测试和辐射骚扰测试；</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支持多个厂家的设备，并可以根据设备型号升级驱动；</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测试资料为资料库型态数据，可供其他软件共享； </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除一般列印外可转成WMF档，测试资料点数据可转成Excel档，扫图可转成BMP档，方便报告制作；</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配合外挂软件可制成PDF文件；</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可在软件上任意添加或者删除标准限值和测试参数，也可读入符合格式之Excel Factor档；</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可对两条轨迹资料做加或减运算(处理Cable loss)，转换成Factor；</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可对每一点单一点选频率标注记(20字)；</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可执行多种设定之Auto Test 功能\手动测试功能；</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实时输出频谱之轨迹资料，达到在PC屏幕上动态显示资料功能；</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操作方便，各功能方块能在移动滑鼠最短距离内完成设定。可执行 zero span 下读取spectrum analyzer轨迹资料；</w:t>
            </w:r>
            <w:r/>
          </w:p>
          <w:p>
            <w:pPr>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提供宏指令，用户可依需求改变测试参数，并自动测试。单点资料可记录300点。</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6</w:t>
            </w:r>
            <w:r/>
          </w:p>
        </w:tc>
        <w:tc>
          <w:tcPr>
            <w:tcW w:w="1329"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人工电源网络</w:t>
            </w:r>
            <w:r/>
          </w:p>
          <w:p>
            <w:pPr>
              <w:jc w:val="center"/>
              <w:rPr>
                <w:rFonts w:hint="eastAsia" w:ascii="宋体" w:hAnsi="宋体" w:cs="宋体"/>
                <w:sz w:val="24"/>
                <w:highlight w:val="none"/>
              </w:rPr>
            </w:pPr>
            <w:r/>
            <w:bookmarkStart w:id="827" w:name="OLE_LINK274"/>
            <w:r/>
            <w:bookmarkStart w:id="828" w:name="OLE_LINK273"/>
            <w:r>
              <w:rPr>
                <w:rFonts w:hint="eastAsia" w:ascii="宋体" w:hAnsi="宋体" w:cs="宋体"/>
                <w:sz w:val="24"/>
                <w:highlight w:val="none"/>
              </w:rPr>
              <w:t xml:space="preserve">（三相）</w:t>
            </w:r>
            <w:bookmarkEnd w:id="827"/>
            <w:r/>
            <w:bookmarkEnd w:id="828"/>
            <w:r/>
            <w:r/>
          </w:p>
        </w:tc>
        <w:tc>
          <w:tcPr>
            <w:tcW w:w="5895"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符合CISPR16-1-2的要求；</w:t>
            </w:r>
            <w:r/>
          </w:p>
          <w:p>
            <w:pPr>
              <w:widowControl/>
              <w:rPr>
                <w:rFonts w:hint="eastAsia" w:ascii="宋体" w:hAnsi="宋体" w:cs="宋体"/>
                <w:sz w:val="24"/>
                <w:highlight w:val="none"/>
              </w:rPr>
            </w:pPr>
            <w:r>
              <w:rPr>
                <w:rFonts w:hint="eastAsia" w:ascii="宋体" w:hAnsi="宋体" w:cs="宋体"/>
                <w:sz w:val="24"/>
                <w:highlight w:val="none"/>
              </w:rPr>
              <w:t xml:space="preserve">工作频率范围：150kHz～30MHz；</w:t>
            </w:r>
            <w:r/>
          </w:p>
          <w:p>
            <w:pPr>
              <w:widowControl/>
              <w:rPr>
                <w:rFonts w:hint="eastAsia" w:ascii="宋体" w:hAnsi="宋体" w:cs="宋体"/>
                <w:sz w:val="24"/>
                <w:highlight w:val="none"/>
              </w:rPr>
            </w:pPr>
            <w:r>
              <w:rPr>
                <w:rFonts w:hint="eastAsia" w:ascii="宋体" w:hAnsi="宋体" w:cs="宋体"/>
                <w:sz w:val="24"/>
                <w:highlight w:val="none"/>
              </w:rPr>
              <w:t xml:space="preserve">射频接口：N阴型,50Ω；</w:t>
            </w:r>
            <w:r/>
          </w:p>
          <w:p>
            <w:pPr>
              <w:widowControl/>
              <w:rPr>
                <w:rFonts w:hint="eastAsia" w:ascii="宋体" w:hAnsi="宋体" w:cs="宋体"/>
                <w:sz w:val="24"/>
                <w:highlight w:val="none"/>
              </w:rPr>
            </w:pPr>
            <w:r>
              <w:rPr>
                <w:rFonts w:hint="eastAsia" w:ascii="宋体" w:hAnsi="宋体" w:cs="宋体"/>
                <w:sz w:val="24"/>
                <w:highlight w:val="none"/>
              </w:rPr>
              <w:t xml:space="preserve">工作电流：三相四线200A；</w:t>
            </w:r>
            <w:r/>
          </w:p>
          <w:p>
            <w:pPr>
              <w:widowControl/>
              <w:rPr>
                <w:rFonts w:hint="eastAsia" w:ascii="宋体" w:hAnsi="宋体" w:cs="宋体"/>
                <w:sz w:val="24"/>
                <w:highlight w:val="none"/>
              </w:rPr>
            </w:pPr>
            <w:r>
              <w:rPr>
                <w:rFonts w:hint="eastAsia" w:ascii="宋体" w:hAnsi="宋体" w:cs="宋体"/>
                <w:sz w:val="24"/>
                <w:highlight w:val="none"/>
              </w:rPr>
              <w:t xml:space="preserve">阻抗：50μH//50Ω；</w:t>
            </w:r>
            <w:r/>
          </w:p>
          <w:p>
            <w:pPr>
              <w:widowControl/>
              <w:rPr>
                <w:rFonts w:hint="eastAsia" w:ascii="宋体" w:hAnsi="宋体" w:cs="宋体"/>
                <w:sz w:val="24"/>
                <w:highlight w:val="none"/>
              </w:rPr>
            </w:pPr>
            <w:r>
              <w:rPr>
                <w:rFonts w:hint="eastAsia" w:ascii="宋体" w:hAnsi="宋体" w:cs="宋体"/>
                <w:sz w:val="24"/>
                <w:highlight w:val="none"/>
              </w:rPr>
              <w:t xml:space="preserve">阻抗特性：±11.5相位容许误差；</w:t>
            </w:r>
            <w:r/>
          </w:p>
          <w:p>
            <w:pPr>
              <w:widowControl/>
              <w:rPr>
                <w:rFonts w:hint="eastAsia" w:ascii="宋体" w:hAnsi="宋体" w:cs="宋体"/>
                <w:sz w:val="24"/>
                <w:highlight w:val="none"/>
              </w:rPr>
            </w:pPr>
            <w:r>
              <w:rPr>
                <w:rFonts w:hint="eastAsia" w:ascii="宋体" w:hAnsi="宋体" w:cs="宋体"/>
                <w:sz w:val="24"/>
                <w:highlight w:val="none"/>
              </w:rPr>
              <w:t xml:space="preserve">阻抗精度：±20%。</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1台</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▲7</w:t>
            </w:r>
            <w:r/>
          </w:p>
        </w:tc>
        <w:tc>
          <w:tcPr>
            <w:tcW w:w="1329"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脉冲</w:t>
            </w:r>
            <w:r/>
          </w:p>
          <w:p>
            <w:pPr>
              <w:jc w:val="center"/>
              <w:rPr>
                <w:rFonts w:hint="eastAsia" w:ascii="宋体" w:hAnsi="宋体" w:cs="宋体"/>
                <w:sz w:val="24"/>
                <w:highlight w:val="none"/>
              </w:rPr>
            </w:pPr>
            <w:r>
              <w:rPr>
                <w:rFonts w:hint="eastAsia" w:ascii="宋体" w:hAnsi="宋体" w:cs="宋体"/>
                <w:sz w:val="24"/>
                <w:highlight w:val="none"/>
              </w:rPr>
              <w:t xml:space="preserve">限幅器</w:t>
            </w:r>
            <w:r/>
          </w:p>
        </w:tc>
        <w:tc>
          <w:tcPr>
            <w:tcW w:w="5895"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频率范围：DC～250MHz；</w:t>
            </w:r>
            <w:r/>
          </w:p>
          <w:p>
            <w:pPr>
              <w:rPr>
                <w:rFonts w:hint="eastAsia" w:ascii="宋体" w:hAnsi="宋体" w:cs="宋体"/>
                <w:sz w:val="24"/>
                <w:highlight w:val="none"/>
              </w:rPr>
            </w:pPr>
            <w:r>
              <w:rPr>
                <w:rFonts w:hint="eastAsia" w:ascii="宋体" w:hAnsi="宋体" w:cs="宋体"/>
                <w:sz w:val="24"/>
                <w:highlight w:val="none"/>
              </w:rPr>
              <w:t xml:space="preserve">衰减：10dB；测量输出接口：N型</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1台</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8</w:t>
            </w:r>
            <w:r/>
          </w:p>
        </w:tc>
        <w:tc>
          <w:tcPr>
            <w:tcW w:w="1329"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高阻抗容性电压探头</w:t>
            </w:r>
            <w:r/>
          </w:p>
        </w:tc>
        <w:tc>
          <w:tcPr>
            <w:tcW w:w="5895"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满足标准CISPR22,EN55022C1.3.Frequencyrange:9kHz–100MHz</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1台</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9</w:t>
            </w:r>
            <w:r/>
          </w:p>
        </w:tc>
        <w:tc>
          <w:tcPr>
            <w:tcW w:w="1329"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阻抗稳定网络ISN</w:t>
            </w:r>
            <w:r/>
          </w:p>
        </w:tc>
        <w:tc>
          <w:tcPr>
            <w:tcW w:w="5895"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频率范围：150kHz～30MHz；</w:t>
            </w:r>
            <w:r/>
          </w:p>
          <w:p>
            <w:pPr>
              <w:widowControl/>
              <w:rPr>
                <w:rFonts w:hint="eastAsia" w:ascii="宋体" w:hAnsi="宋体" w:cs="宋体"/>
                <w:sz w:val="24"/>
                <w:highlight w:val="none"/>
              </w:rPr>
            </w:pPr>
            <w:r>
              <w:rPr>
                <w:rFonts w:hint="eastAsia" w:ascii="宋体" w:hAnsi="宋体" w:cs="宋体"/>
                <w:sz w:val="24"/>
                <w:highlight w:val="none"/>
              </w:rPr>
              <w:t xml:space="preserve">阻抗：150Ω±20Ω（0.15MHz to 30MHz ）；</w:t>
            </w:r>
            <w:r/>
          </w:p>
          <w:p>
            <w:pPr>
              <w:widowControl/>
              <w:rPr>
                <w:rFonts w:hint="eastAsia" w:ascii="宋体" w:hAnsi="宋体" w:cs="宋体"/>
                <w:sz w:val="24"/>
                <w:highlight w:val="none"/>
              </w:rPr>
            </w:pPr>
            <w:r>
              <w:rPr>
                <w:rFonts w:hint="eastAsia" w:ascii="宋体" w:hAnsi="宋体" w:cs="宋体"/>
                <w:sz w:val="24"/>
                <w:highlight w:val="none"/>
              </w:rPr>
              <w:t xml:space="preserve">相角：0°± 20°（0.15MHz to 30MHz ）；</w:t>
            </w:r>
            <w:r/>
          </w:p>
          <w:p>
            <w:pPr>
              <w:widowControl/>
              <w:rPr>
                <w:rFonts w:hint="eastAsia" w:ascii="宋体" w:hAnsi="宋体" w:cs="宋体"/>
                <w:sz w:val="24"/>
                <w:highlight w:val="none"/>
              </w:rPr>
            </w:pPr>
            <w:r>
              <w:rPr>
                <w:rFonts w:hint="eastAsia" w:ascii="宋体" w:hAnsi="宋体" w:cs="宋体"/>
                <w:sz w:val="24"/>
                <w:highlight w:val="none"/>
              </w:rPr>
              <w:t xml:space="preserve">去耦衰减：150kHz to 1.5MHz＞35dB to 55dB；</w:t>
            </w:r>
            <w:r/>
          </w:p>
          <w:p>
            <w:pPr>
              <w:widowControl/>
              <w:rPr>
                <w:rFonts w:hint="eastAsia" w:ascii="宋体" w:hAnsi="宋体" w:cs="宋体"/>
                <w:sz w:val="24"/>
                <w:highlight w:val="none"/>
              </w:rPr>
            </w:pPr>
            <w:r>
              <w:rPr>
                <w:rFonts w:hint="eastAsia" w:ascii="宋体" w:hAnsi="宋体" w:cs="宋体"/>
                <w:sz w:val="24"/>
                <w:highlight w:val="none"/>
              </w:rPr>
              <w:t xml:space="preserve">          1.5MHz to 30MHz＞55dB；</w:t>
            </w:r>
            <w:r/>
          </w:p>
          <w:p>
            <w:pPr>
              <w:widowControl/>
              <w:rPr>
                <w:rFonts w:hint="eastAsia" w:ascii="宋体" w:hAnsi="宋体" w:cs="宋体"/>
                <w:sz w:val="24"/>
                <w:highlight w:val="none"/>
              </w:rPr>
            </w:pPr>
            <w:r>
              <w:rPr>
                <w:rFonts w:hint="eastAsia" w:ascii="宋体" w:hAnsi="宋体" w:cs="宋体"/>
                <w:sz w:val="24"/>
                <w:highlight w:val="none"/>
              </w:rPr>
              <w:t xml:space="preserve">符合Cat 5，6类和屏蔽网线电缆测试要求；</w:t>
            </w:r>
            <w:r/>
          </w:p>
          <w:p>
            <w:pPr>
              <w:widowControl/>
              <w:rPr>
                <w:rFonts w:hint="eastAsia" w:ascii="宋体" w:hAnsi="宋体" w:cs="宋体"/>
                <w:sz w:val="24"/>
                <w:highlight w:val="none"/>
              </w:rPr>
            </w:pPr>
            <w:r>
              <w:rPr>
                <w:rFonts w:hint="eastAsia" w:ascii="宋体" w:hAnsi="宋体" w:cs="宋体"/>
                <w:sz w:val="24"/>
                <w:highlight w:val="none"/>
              </w:rPr>
              <w:t xml:space="preserve">符合CISPR 32和EN 55032的无线电骚扰测量；</w:t>
            </w:r>
            <w:r/>
          </w:p>
          <w:p>
            <w:pPr>
              <w:widowControl/>
              <w:rPr>
                <w:rFonts w:hint="eastAsia" w:ascii="宋体" w:hAnsi="宋体" w:cs="宋体"/>
                <w:sz w:val="24"/>
                <w:highlight w:val="none"/>
              </w:rPr>
            </w:pPr>
            <w:r>
              <w:rPr>
                <w:rFonts w:hint="eastAsia" w:ascii="宋体" w:hAnsi="宋体" w:cs="宋体"/>
                <w:sz w:val="24"/>
                <w:highlight w:val="none"/>
              </w:rPr>
              <w:t xml:space="preserve">符合CISPR 16-1-2的适配器，满足标准LCL（纵向转换损耗）的要求 ；</w:t>
            </w:r>
            <w:r/>
          </w:p>
          <w:p>
            <w:pPr>
              <w:rPr>
                <w:rFonts w:hint="eastAsia" w:ascii="宋体" w:hAnsi="宋体" w:cs="宋体"/>
                <w:sz w:val="24"/>
                <w:highlight w:val="none"/>
              </w:rPr>
            </w:pPr>
            <w:r>
              <w:rPr>
                <w:rFonts w:hint="eastAsia" w:ascii="宋体" w:hAnsi="宋体" w:cs="宋体"/>
                <w:sz w:val="24"/>
                <w:highlight w:val="none"/>
              </w:rPr>
              <w:t xml:space="preserve">分压系数：10 dB ±1 dB；</w:t>
            </w:r>
            <w:r/>
          </w:p>
          <w:p>
            <w:pPr>
              <w:rPr>
                <w:rFonts w:hint="eastAsia" w:ascii="宋体" w:hAnsi="宋体" w:cs="宋体"/>
                <w:sz w:val="24"/>
                <w:highlight w:val="none"/>
              </w:rPr>
            </w:pPr>
            <w:r>
              <w:rPr>
                <w:rFonts w:hint="eastAsia" w:ascii="宋体" w:hAnsi="宋体" w:cs="宋体"/>
                <w:sz w:val="24"/>
                <w:highlight w:val="none"/>
              </w:rPr>
              <w:t xml:space="preserve">最大允许DC电压：100 V；</w:t>
            </w:r>
            <w:r/>
          </w:p>
          <w:p>
            <w:pPr>
              <w:rPr>
                <w:rFonts w:hint="eastAsia" w:ascii="宋体" w:hAnsi="宋体" w:cs="宋体"/>
                <w:sz w:val="24"/>
                <w:highlight w:val="none"/>
              </w:rPr>
            </w:pPr>
            <w:r>
              <w:rPr>
                <w:rFonts w:hint="eastAsia" w:ascii="宋体" w:hAnsi="宋体" w:cs="宋体"/>
                <w:sz w:val="24"/>
                <w:highlight w:val="none"/>
              </w:rPr>
              <w:t xml:space="preserve">最大允许AC电压：63 V；</w:t>
            </w:r>
            <w:r/>
          </w:p>
          <w:p>
            <w:pPr>
              <w:rPr>
                <w:rFonts w:hint="eastAsia" w:ascii="宋体" w:hAnsi="宋体" w:cs="宋体"/>
                <w:sz w:val="24"/>
                <w:highlight w:val="none"/>
              </w:rPr>
            </w:pPr>
            <w:r>
              <w:rPr>
                <w:rFonts w:hint="eastAsia" w:ascii="宋体" w:hAnsi="宋体" w:cs="宋体"/>
                <w:sz w:val="24"/>
                <w:highlight w:val="none"/>
              </w:rPr>
              <w:t xml:space="preserve">最大允许电流：800mA（每组）。</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bookmarkStart w:id="829" w:name="OLE_LINK55"/>
            <w:r/>
            <w:bookmarkStart w:id="830" w:name="OLE_LINK379"/>
            <w:r/>
            <w:bookmarkStart w:id="831" w:name="OLE_LINK378"/>
            <w:r/>
            <w:bookmarkStart w:id="832" w:name="OLE_LINK54"/>
            <w:r/>
            <w:bookmarkStart w:id="833" w:name="OLE_LINK377"/>
            <w:r/>
            <w:bookmarkStart w:id="834" w:name="OLE_LINK380"/>
            <w:r/>
            <w:bookmarkStart w:id="835" w:name="_Hlk223612421"/>
            <w:r/>
            <w:bookmarkStart w:id="836" w:name="OLE_LINK365"/>
            <w:r/>
            <w:bookmarkStart w:id="837" w:name="OLE_LINK364"/>
            <w:r/>
            <w:bookmarkStart w:id="838" w:name="_Hlk223813759"/>
            <w:r>
              <w:rPr>
                <w:rFonts w:hint="eastAsia" w:ascii="宋体" w:hAnsi="宋体" w:cs="宋体"/>
                <w:sz w:val="24"/>
                <w:highlight w:val="none"/>
              </w:rPr>
              <w:t xml:space="preserve">▲10</w:t>
            </w:r>
            <w:r/>
          </w:p>
        </w:tc>
        <w:tc>
          <w:tcPr>
            <w:tcW w:w="1329" w:type="dxa"/>
            <w:vAlign w:val="center"/>
            <w:textDirection w:val="lrTb"/>
            <w:noWrap/>
          </w:tcPr>
          <w:p>
            <w:pPr>
              <w:jc w:val="center"/>
              <w:spacing w:before="60" w:after="60"/>
              <w:rPr>
                <w:rFonts w:hint="eastAsia" w:ascii="宋体" w:hAnsi="宋体" w:cs="宋体"/>
                <w:sz w:val="24"/>
                <w:highlight w:val="none"/>
              </w:rPr>
            </w:pPr>
            <w:r/>
            <w:bookmarkStart w:id="839" w:name="OLE_LINK372"/>
            <w:r/>
            <w:bookmarkStart w:id="840" w:name="OLE_LINK373"/>
            <w:r>
              <w:rPr>
                <w:rFonts w:hint="eastAsia" w:ascii="宋体" w:hAnsi="宋体" w:cs="宋体"/>
                <w:sz w:val="24"/>
                <w:highlight w:val="none"/>
              </w:rPr>
              <w:t xml:space="preserve">梳</w:t>
            </w:r>
            <w:bookmarkStart w:id="841" w:name="OLE_LINK275"/>
            <w:r>
              <w:rPr>
                <w:rFonts w:hint="eastAsia" w:ascii="宋体" w:hAnsi="宋体" w:cs="宋体"/>
                <w:sz w:val="24"/>
                <w:highlight w:val="none"/>
              </w:rPr>
              <w:t xml:space="preserve">状</w:t>
            </w:r>
            <w:bookmarkEnd w:id="841"/>
            <w:r/>
            <w:r/>
          </w:p>
          <w:p>
            <w:pPr>
              <w:jc w:val="center"/>
              <w:spacing w:before="60" w:after="60"/>
              <w:rPr>
                <w:rFonts w:hint="eastAsia" w:ascii="宋体" w:hAnsi="宋体" w:cs="宋体"/>
                <w:sz w:val="24"/>
                <w:highlight w:val="none"/>
              </w:rPr>
            </w:pPr>
            <w:r>
              <w:rPr>
                <w:rFonts w:hint="eastAsia" w:ascii="宋体" w:hAnsi="宋体" w:cs="宋体"/>
                <w:sz w:val="24"/>
                <w:highlight w:val="none"/>
              </w:rPr>
              <w:t xml:space="preserve">信号源</w:t>
            </w:r>
            <w:bookmarkEnd w:id="839"/>
            <w:r/>
            <w:bookmarkEnd w:id="840"/>
            <w:r/>
            <w:r/>
          </w:p>
        </w:tc>
        <w:tc>
          <w:tcPr>
            <w:tcW w:w="5895" w:type="dxa"/>
            <w:vAlign w:val="center"/>
            <w:textDirection w:val="lrTb"/>
            <w:noWrap w:val="false"/>
          </w:tcPr>
          <w:p>
            <w:pPr>
              <w:rPr>
                <w:rFonts w:hint="eastAsia" w:ascii="宋体" w:hAnsi="宋体" w:cs="宋体"/>
                <w:sz w:val="24"/>
                <w:highlight w:val="none"/>
              </w:rPr>
            </w:pPr>
            <w:r/>
            <w:bookmarkStart w:id="842" w:name="OLE_LINK368"/>
            <w:r>
              <w:rPr>
                <w:rFonts w:hint="eastAsia" w:ascii="宋体" w:hAnsi="宋体" w:cs="宋体"/>
                <w:sz w:val="24"/>
                <w:highlight w:val="none"/>
              </w:rPr>
              <w:t xml:space="preserve">频率范围：</w:t>
            </w:r>
            <w:bookmarkStart w:id="843" w:name="OLE_LINK367"/>
            <w:r>
              <w:rPr>
                <w:rFonts w:hint="eastAsia" w:ascii="宋体" w:hAnsi="宋体" w:cs="宋体"/>
                <w:sz w:val="24"/>
                <w:highlight w:val="none"/>
              </w:rPr>
              <w:t xml:space="preserve">10 kHz至300 MHz；</w:t>
            </w:r>
            <w:r/>
          </w:p>
          <w:p>
            <w:pPr>
              <w:rPr>
                <w:rFonts w:hint="eastAsia" w:ascii="宋体" w:hAnsi="宋体" w:cs="宋体"/>
                <w:sz w:val="24"/>
                <w:highlight w:val="none"/>
              </w:rPr>
            </w:pPr>
            <w:r>
              <w:rPr>
                <w:rFonts w:hint="eastAsia" w:ascii="宋体" w:hAnsi="宋体" w:cs="宋体"/>
                <w:sz w:val="24"/>
                <w:highlight w:val="none"/>
              </w:rPr>
              <w:t xml:space="preserve">频率步长：10 kHz或1MHz；</w:t>
            </w:r>
            <w:bookmarkEnd w:id="842"/>
            <w:r/>
            <w:bookmarkEnd w:id="843"/>
            <w:r/>
            <w:r/>
          </w:p>
          <w:p>
            <w:pPr>
              <w:rPr>
                <w:rFonts w:hint="eastAsia" w:ascii="宋体" w:hAnsi="宋体" w:cs="宋体"/>
                <w:sz w:val="24"/>
                <w:highlight w:val="none"/>
              </w:rPr>
            </w:pPr>
            <w:r>
              <w:rPr>
                <w:rFonts w:hint="eastAsia" w:ascii="宋体" w:hAnsi="宋体" w:cs="宋体"/>
                <w:sz w:val="24"/>
                <w:highlight w:val="none"/>
              </w:rPr>
              <w:t xml:space="preserve">振幅稳定性：±0.1dB；</w:t>
            </w:r>
            <w:r/>
          </w:p>
          <w:p>
            <w:pPr>
              <w:rPr>
                <w:rFonts w:hint="eastAsia" w:ascii="宋体" w:hAnsi="宋体" w:cs="宋体"/>
                <w:sz w:val="24"/>
                <w:highlight w:val="none"/>
              </w:rPr>
            </w:pPr>
            <w:r>
              <w:rPr>
                <w:rFonts w:hint="eastAsia" w:ascii="宋体" w:hAnsi="宋体" w:cs="宋体"/>
                <w:sz w:val="24"/>
                <w:highlight w:val="none"/>
              </w:rPr>
              <w:t xml:space="preserve">时间稳定性：12个月内&lt;1 dB；</w:t>
            </w:r>
            <w:r/>
          </w:p>
          <w:p>
            <w:pPr>
              <w:rPr>
                <w:rFonts w:hint="eastAsia" w:ascii="宋体" w:hAnsi="宋体" w:cs="宋体"/>
                <w:sz w:val="24"/>
                <w:highlight w:val="none"/>
              </w:rPr>
            </w:pPr>
            <w:r>
              <w:rPr>
                <w:rFonts w:hint="eastAsia" w:ascii="宋体" w:hAnsi="宋体" w:cs="宋体"/>
                <w:sz w:val="24"/>
                <w:highlight w:val="none"/>
              </w:rPr>
              <w:t xml:space="preserve">充电适配器输出：6 VDC（无调节），500 </w:t>
            </w:r>
            <w:r>
              <w:rPr>
                <w:sz w:val="24"/>
                <w:highlight w:val="none"/>
              </w:rPr>
              <w:t xml:space="preserve">mA</w:t>
            </w:r>
            <w:r>
              <w:rPr>
                <w:rFonts w:hint="eastAsia"/>
                <w:sz w:val="24"/>
                <w:highlight w:val="none"/>
              </w:rPr>
              <w:t xml:space="preserve">；</w:t>
            </w:r>
            <w:r/>
          </w:p>
          <w:p>
            <w:pPr>
              <w:rPr>
                <w:rFonts w:hint="eastAsia" w:ascii="宋体" w:hAnsi="宋体" w:cs="宋体"/>
                <w:sz w:val="24"/>
                <w:highlight w:val="none"/>
              </w:rPr>
            </w:pPr>
            <w:r>
              <w:rPr>
                <w:rFonts w:hint="eastAsia" w:ascii="宋体" w:hAnsi="宋体" w:cs="宋体"/>
                <w:sz w:val="24"/>
                <w:highlight w:val="none"/>
              </w:rPr>
              <w:t xml:space="preserve">电池类型：6V NiMH，1 Ah；</w:t>
            </w:r>
            <w:r/>
          </w:p>
          <w:p>
            <w:pPr>
              <w:rPr>
                <w:rFonts w:hint="eastAsia" w:ascii="宋体" w:hAnsi="宋体" w:cs="宋体"/>
                <w:sz w:val="24"/>
                <w:highlight w:val="none"/>
              </w:rPr>
            </w:pPr>
            <w:r>
              <w:rPr>
                <w:rFonts w:hint="eastAsia" w:ascii="宋体" w:hAnsi="宋体" w:cs="宋体"/>
                <w:sz w:val="24"/>
                <w:highlight w:val="none"/>
              </w:rPr>
              <w:t xml:space="preserve">电池工作时间：通常&gt;18小时（电池充满电）。</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bookmarkEnd w:id="829"/>
            <w:r/>
            <w:bookmarkEnd w:id="830"/>
            <w:r/>
            <w:bookmarkEnd w:id="831"/>
            <w:r/>
            <w:bookmarkEnd w:id="832"/>
            <w:r/>
            <w:bookmarkEnd w:id="833"/>
            <w:r/>
            <w:bookmarkEnd w:id="834"/>
            <w:r/>
            <w:bookmarkEnd w:id="835"/>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11</w:t>
            </w:r>
            <w:r/>
          </w:p>
        </w:tc>
        <w:tc>
          <w:tcPr>
            <w:tcW w:w="1329" w:type="dxa"/>
            <w:vAlign w:val="center"/>
            <w:textDirection w:val="lrTb"/>
            <w:noWrap/>
          </w:tcPr>
          <w:p>
            <w:pPr>
              <w:jc w:val="center"/>
              <w:rPr>
                <w:rFonts w:hint="eastAsia" w:ascii="宋体" w:hAnsi="宋体" w:cs="宋体"/>
                <w:bCs/>
                <w:sz w:val="24"/>
                <w:highlight w:val="none"/>
              </w:rPr>
            </w:pPr>
            <w:r>
              <w:rPr>
                <w:rFonts w:hint="eastAsia" w:ascii="宋体" w:hAnsi="宋体" w:cs="宋体"/>
                <w:bCs/>
                <w:sz w:val="24"/>
                <w:highlight w:val="none"/>
              </w:rPr>
              <w:t xml:space="preserve">射频开关</w:t>
            </w:r>
            <w:r/>
          </w:p>
        </w:tc>
        <w:tc>
          <w:tcPr>
            <w:tcW w:w="5895" w:type="dxa"/>
            <w:vAlign w:val="center"/>
            <w:textDirection w:val="lrTb"/>
            <w:noWrap w:val="false"/>
          </w:tcPr>
          <w:p>
            <w:pPr>
              <w:jc w:val="left"/>
              <w:rPr>
                <w:rFonts w:hint="eastAsia" w:ascii="宋体" w:hAnsi="宋体" w:cs="宋体"/>
                <w:sz w:val="24"/>
                <w:highlight w:val="none"/>
              </w:rPr>
            </w:pPr>
            <w:r>
              <w:rPr>
                <w:rFonts w:hint="eastAsia" w:ascii="宋体" w:hAnsi="宋体" w:cs="宋体"/>
                <w:bCs/>
                <w:sz w:val="24"/>
                <w:highlight w:val="none"/>
              </w:rPr>
              <w:t xml:space="preserve">四进一出、19寸标准机箱、射频接头N头、DC-3GHZ；本</w:t>
            </w:r>
            <w:bookmarkStart w:id="844" w:name="OLE_LINK369"/>
            <w:r/>
            <w:bookmarkStart w:id="845" w:name="OLE_LINK371"/>
            <w:r/>
            <w:bookmarkStart w:id="846" w:name="OLE_LINK370"/>
            <w:r>
              <w:rPr>
                <w:rFonts w:hint="eastAsia" w:ascii="宋体" w:hAnsi="宋体" w:cs="宋体"/>
                <w:bCs/>
                <w:sz w:val="24"/>
                <w:highlight w:val="none"/>
              </w:rPr>
              <w:t xml:space="preserve">控和USB通信；</w:t>
            </w:r>
            <w:bookmarkEnd w:id="844"/>
            <w:r/>
            <w:bookmarkEnd w:id="845"/>
            <w:r/>
            <w:bookmarkEnd w:id="846"/>
            <w:r>
              <w:rPr>
                <w:rFonts w:hint="eastAsia" w:ascii="宋体" w:hAnsi="宋体" w:cs="宋体"/>
                <w:bCs/>
                <w:sz w:val="24"/>
                <w:highlight w:val="none"/>
              </w:rPr>
              <w:t xml:space="preserve">用于CE、CLAMP、LOOP、ISN</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12</w:t>
            </w:r>
            <w:r/>
          </w:p>
        </w:tc>
        <w:tc>
          <w:tcPr>
            <w:tcW w:w="1329" w:type="dxa"/>
            <w:vAlign w:val="center"/>
            <w:textDirection w:val="lrTb"/>
            <w:noWrap/>
          </w:tcPr>
          <w:p>
            <w:pPr>
              <w:jc w:val="center"/>
              <w:rPr>
                <w:rFonts w:hint="eastAsia" w:ascii="宋体" w:hAnsi="宋体" w:cs="宋体"/>
                <w:bCs/>
                <w:sz w:val="24"/>
                <w:highlight w:val="none"/>
              </w:rPr>
            </w:pPr>
            <w:r>
              <w:rPr>
                <w:rFonts w:hint="eastAsia" w:ascii="宋体" w:hAnsi="宋体" w:cs="宋体"/>
                <w:bCs/>
                <w:sz w:val="24"/>
                <w:highlight w:val="none"/>
              </w:rPr>
              <w:t xml:space="preserve">模拟手</w:t>
            </w:r>
            <w:r/>
          </w:p>
        </w:tc>
        <w:tc>
          <w:tcPr>
            <w:tcW w:w="5895" w:type="dxa"/>
            <w:vAlign w:val="center"/>
            <w:textDirection w:val="lrTb"/>
            <w:noWrap w:val="false"/>
          </w:tcPr>
          <w:p>
            <w:pPr>
              <w:pStyle w:val="1024"/>
              <w:rPr>
                <w:rFonts w:hint="eastAsia" w:ascii="宋体" w:hAnsi="宋体" w:cs="宋体"/>
                <w:color w:val="auto"/>
                <w:highlight w:val="none"/>
              </w:rPr>
            </w:pPr>
            <w:r>
              <w:rPr>
                <w:rFonts w:hint="eastAsia" w:ascii="宋体" w:hAnsi="宋体" w:cs="宋体"/>
                <w:bCs/>
                <w:color w:val="auto"/>
                <w:highlight w:val="none"/>
              </w:rPr>
              <w:t xml:space="preserve">模拟手</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2套</w:t>
            </w:r>
            <w:r/>
          </w:p>
        </w:tc>
        <w:tc>
          <w:tcPr>
            <w:tcW w:w="736" w:type="dxa"/>
            <w:vAlign w:val="center"/>
            <w:textDirection w:val="lrTb"/>
            <w:noWrap/>
          </w:tcPr>
          <w:p>
            <w:pP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13</w:t>
            </w:r>
            <w:r/>
          </w:p>
        </w:tc>
        <w:tc>
          <w:tcPr>
            <w:tcW w:w="1329" w:type="dxa"/>
            <w:vAlign w:val="center"/>
            <w:textDirection w:val="lrTb"/>
            <w:noWrap/>
          </w:tcPr>
          <w:p>
            <w:pPr>
              <w:jc w:val="center"/>
              <w:rPr>
                <w:rFonts w:hint="eastAsia" w:ascii="宋体" w:hAnsi="宋体" w:cs="宋体"/>
                <w:bCs/>
                <w:sz w:val="24"/>
                <w:highlight w:val="none"/>
              </w:rPr>
            </w:pPr>
            <w:r>
              <w:rPr>
                <w:rFonts w:hint="eastAsia" w:ascii="宋体" w:hAnsi="宋体" w:cs="宋体"/>
                <w:bCs/>
                <w:sz w:val="24"/>
                <w:highlight w:val="none"/>
              </w:rPr>
              <w:t xml:space="preserve">射频电缆</w:t>
            </w:r>
            <w:r/>
          </w:p>
          <w:p>
            <w:pPr>
              <w:jc w:val="center"/>
              <w:rPr>
                <w:rFonts w:hint="eastAsia" w:ascii="宋体" w:hAnsi="宋体" w:cs="宋体"/>
                <w:sz w:val="24"/>
                <w:highlight w:val="none"/>
              </w:rPr>
            </w:pPr>
            <w:r>
              <w:rPr>
                <w:rFonts w:hint="eastAsia" w:ascii="宋体" w:hAnsi="宋体" w:cs="宋体"/>
                <w:bCs/>
                <w:sz w:val="24"/>
                <w:highlight w:val="none"/>
              </w:rPr>
              <w:t xml:space="preserve">及附件</w:t>
            </w:r>
            <w:r/>
          </w:p>
        </w:tc>
        <w:tc>
          <w:tcPr>
            <w:tcW w:w="5895"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射频电缆及接口等相关附件的选型应使系统符合测试标准的要求以及系统自校要求。</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14</w:t>
            </w:r>
            <w:r/>
          </w:p>
        </w:tc>
        <w:tc>
          <w:tcPr>
            <w:tcW w:w="1329" w:type="dxa"/>
            <w:vAlign w:val="center"/>
            <w:textDirection w:val="lrTb"/>
            <w:noWrap/>
          </w:tcPr>
          <w:p>
            <w:pPr>
              <w:jc w:val="center"/>
              <w:spacing w:line="300" w:lineRule="exact"/>
              <w:widowControl/>
              <w:rPr>
                <w:rFonts w:hint="eastAsia" w:ascii="宋体" w:hAnsi="宋体" w:cs="宋体"/>
                <w:sz w:val="24"/>
                <w:highlight w:val="none"/>
              </w:rPr>
            </w:pPr>
            <w:r>
              <w:rPr>
                <w:rFonts w:hint="eastAsia" w:ascii="宋体" w:hAnsi="宋体" w:cs="宋体"/>
                <w:sz w:val="24"/>
                <w:highlight w:val="none"/>
              </w:rPr>
              <w:t xml:space="preserve">机柜</w:t>
            </w:r>
            <w:r/>
          </w:p>
        </w:tc>
        <w:tc>
          <w:tcPr>
            <w:tcW w:w="5895"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相关设备集成至测试机柜</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1个</w:t>
            </w:r>
            <w:r/>
          </w:p>
        </w:tc>
        <w:tc>
          <w:tcPr>
            <w:tcW w:w="7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283"/>
        </w:trPr>
        <w:tc>
          <w:tcPr>
            <w:tcW w:w="6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15</w:t>
            </w:r>
            <w:r/>
          </w:p>
        </w:tc>
        <w:tc>
          <w:tcPr>
            <w:tcW w:w="1329" w:type="dxa"/>
            <w:vAlign w:val="center"/>
            <w:textDirection w:val="lrTb"/>
            <w:noWrap/>
          </w:tcPr>
          <w:p>
            <w:pPr>
              <w:jc w:val="center"/>
              <w:spacing w:line="300" w:lineRule="exact"/>
              <w:widowControl/>
              <w:rPr>
                <w:rFonts w:hint="eastAsia" w:ascii="宋体" w:hAnsi="宋体" w:cs="宋体"/>
                <w:sz w:val="24"/>
                <w:highlight w:val="none"/>
              </w:rPr>
            </w:pPr>
            <w:r>
              <w:rPr>
                <w:rFonts w:hint="eastAsia" w:ascii="宋体" w:hAnsi="宋体" w:cs="宋体"/>
                <w:sz w:val="24"/>
                <w:highlight w:val="none"/>
              </w:rPr>
              <w:t xml:space="preserve">配件</w:t>
            </w:r>
            <w:r/>
          </w:p>
        </w:tc>
        <w:tc>
          <w:tcPr>
            <w:tcW w:w="5895"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测试工作站及，网线</w:t>
            </w:r>
            <w:r/>
          </w:p>
        </w:tc>
        <w:tc>
          <w:tcPr>
            <w:tcW w:w="72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1套</w:t>
            </w:r>
            <w:r/>
          </w:p>
        </w:tc>
        <w:tc>
          <w:tcPr>
            <w:tcW w:w="736" w:type="dxa"/>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r>
            <w:bookmarkEnd w:id="836"/>
            <w:r/>
            <w:bookmarkEnd w:id="837"/>
            <w:r/>
            <w:bookmarkEnd w:id="838"/>
            <w:r/>
            <w:r/>
          </w:p>
        </w:tc>
      </w:tr>
    </w:tbl>
    <w:p>
      <w:pPr>
        <w:ind w:firstLine="482"/>
        <w:spacing w:line="400" w:lineRule="exact"/>
        <w:rPr>
          <w:rFonts w:hint="eastAsia" w:ascii="宋体" w:hAnsi="宋体" w:cs="宋体"/>
          <w:b/>
          <w:sz w:val="24"/>
          <w:highlight w:val="none"/>
        </w:rPr>
        <w:outlineLvl w:val="0"/>
      </w:pPr>
      <w:r/>
      <w:bookmarkStart w:id="847" w:name="_Toc20342"/>
      <w:r>
        <w:rPr>
          <w:rFonts w:hint="eastAsia" w:ascii="宋体" w:hAnsi="宋体" w:cs="宋体"/>
          <w:b/>
          <w:sz w:val="24"/>
          <w:highlight w:val="none"/>
        </w:rPr>
        <w:t xml:space="preserve">（四）三相谐波闪烁测试系统</w:t>
      </w:r>
      <w:bookmarkEnd w:id="847"/>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1.三相谐波闪烁分析仪</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1.1系统组成和要求</w:t>
      </w:r>
      <w:r/>
    </w:p>
    <w:p>
      <w:pPr>
        <w:pStyle w:val="983"/>
        <w:ind w:firstLine="480"/>
        <w:jc w:val="both"/>
        <w:spacing w:before="0" w:beforeAutospacing="0" w:after="0" w:afterAutospacing="0" w:line="400" w:lineRule="exact"/>
        <w:rPr>
          <w:rFonts w:hint="eastAsia"/>
          <w:highlight w:val="none"/>
        </w:rPr>
      </w:pPr>
      <w:r>
        <w:rPr>
          <w:rFonts w:hint="eastAsia"/>
          <w:highlight w:val="none"/>
        </w:rPr>
        <w:t xml:space="preserve">输入通道：至少包含4个通道，3个通道用于测试3相大功率谐波闪烁，配套电流传感器，1个通道用于测试小功率灯具类产品。每个通道能同时测试电压及电流；</w:t>
      </w:r>
      <w:r/>
    </w:p>
    <w:p>
      <w:pPr>
        <w:pStyle w:val="983"/>
        <w:ind w:firstLine="480"/>
        <w:jc w:val="both"/>
        <w:spacing w:before="0" w:beforeAutospacing="0" w:after="0" w:afterAutospacing="0" w:line="400" w:lineRule="exact"/>
        <w:rPr>
          <w:rFonts w:hint="eastAsia"/>
          <w:highlight w:val="none"/>
        </w:rPr>
      </w:pPr>
      <w:r>
        <w:rPr>
          <w:rFonts w:hint="eastAsia"/>
          <w:highlight w:val="none"/>
        </w:rPr>
        <w:t xml:space="preserve">电压和电流测量输入之间的延迟需小于3ns，在低功率因数和高频输入情况下仪器的测量误差不能对测试结果造成影响；</w:t>
      </w:r>
      <w:r/>
    </w:p>
    <w:p>
      <w:pPr>
        <w:pStyle w:val="983"/>
        <w:ind w:firstLine="480"/>
        <w:jc w:val="both"/>
        <w:spacing w:before="0" w:beforeAutospacing="0" w:after="0" w:afterAutospacing="0" w:line="400" w:lineRule="exact"/>
        <w:rPr>
          <w:rFonts w:hint="eastAsia"/>
          <w:highlight w:val="none"/>
        </w:rPr>
      </w:pPr>
      <w:r>
        <w:rPr>
          <w:rFonts w:hint="eastAsia"/>
          <w:highlight w:val="none"/>
        </w:rPr>
        <w:t xml:space="preserve">校准周期：不小于1年；</w:t>
      </w:r>
      <w:r/>
    </w:p>
    <w:p>
      <w:pPr>
        <w:pStyle w:val="983"/>
        <w:ind w:firstLine="480"/>
        <w:jc w:val="both"/>
        <w:spacing w:before="0" w:beforeAutospacing="0" w:after="0" w:afterAutospacing="0" w:line="400" w:lineRule="exact"/>
        <w:rPr>
          <w:rFonts w:hint="eastAsia"/>
          <w:highlight w:val="none"/>
        </w:rPr>
      </w:pPr>
      <w:r>
        <w:rPr>
          <w:rFonts w:hint="eastAsia"/>
          <w:highlight w:val="none"/>
        </w:rPr>
        <w:t xml:space="preserve">基本精度：读数的0.03%+量程峰值的0.03%；</w:t>
      </w:r>
      <w:r/>
    </w:p>
    <w:p>
      <w:pPr>
        <w:pStyle w:val="983"/>
        <w:ind w:firstLine="480"/>
        <w:jc w:val="both"/>
        <w:spacing w:before="0" w:beforeAutospacing="0" w:after="0" w:afterAutospacing="0" w:line="400" w:lineRule="exact"/>
        <w:rPr>
          <w:rFonts w:hint="eastAsia"/>
          <w:highlight w:val="none"/>
        </w:rPr>
      </w:pPr>
      <w:r>
        <w:rPr>
          <w:rFonts w:hint="eastAsia"/>
          <w:highlight w:val="none"/>
        </w:rPr>
        <w:t xml:space="preserve">带宽：DC，0.05Hz-500kHz；</w:t>
      </w:r>
      <w:r/>
    </w:p>
    <w:p>
      <w:pPr>
        <w:pStyle w:val="983"/>
        <w:ind w:firstLine="480"/>
        <w:jc w:val="both"/>
        <w:spacing w:before="0" w:beforeAutospacing="0" w:after="0" w:afterAutospacing="0" w:line="400" w:lineRule="exact"/>
        <w:rPr>
          <w:rFonts w:hint="eastAsia"/>
          <w:highlight w:val="none"/>
        </w:rPr>
      </w:pPr>
      <w:r>
        <w:rPr>
          <w:rFonts w:hint="eastAsia"/>
          <w:highlight w:val="none"/>
        </w:rPr>
        <w:t xml:space="preserve">谐波分析：满足标准IEC/EN61000-3-2（2021年）和IEC/EN61000-3-12（2021年）的最新版标准测试要求；支持后续新标准升级；</w:t>
      </w:r>
      <w:r/>
    </w:p>
    <w:p>
      <w:pPr>
        <w:pStyle w:val="983"/>
        <w:ind w:firstLine="480"/>
        <w:jc w:val="both"/>
        <w:spacing w:before="0" w:beforeAutospacing="0" w:after="0" w:afterAutospacing="0" w:line="400" w:lineRule="exact"/>
        <w:widowControl w:val="off"/>
        <w:rPr>
          <w:rFonts w:hint="eastAsia"/>
          <w:highlight w:val="none"/>
        </w:rPr>
      </w:pPr>
      <w:r>
        <w:rPr>
          <w:rFonts w:hint="eastAsia"/>
          <w:highlight w:val="none"/>
        </w:rPr>
        <w:t xml:space="preserve">谐波范围：（1～1000）次；</w:t>
      </w:r>
      <w:r/>
    </w:p>
    <w:p>
      <w:pPr>
        <w:pStyle w:val="983"/>
        <w:ind w:firstLine="480"/>
        <w:jc w:val="both"/>
        <w:spacing w:before="0" w:beforeAutospacing="0" w:after="0" w:afterAutospacing="0" w:line="400" w:lineRule="exact"/>
        <w:widowControl w:val="off"/>
        <w:rPr>
          <w:rFonts w:hint="eastAsia"/>
          <w:highlight w:val="none"/>
        </w:rPr>
      </w:pPr>
      <w:r>
        <w:rPr>
          <w:rFonts w:hint="eastAsia"/>
          <w:highlight w:val="none"/>
        </w:rPr>
        <w:t xml:space="preserve">分组标准：符合IEC/EN61000-4-7对谐波的测试要求；</w:t>
      </w:r>
      <w:r/>
    </w:p>
    <w:p>
      <w:pPr>
        <w:pStyle w:val="983"/>
        <w:ind w:firstLine="480"/>
        <w:jc w:val="both"/>
        <w:spacing w:before="0" w:beforeAutospacing="0" w:after="0" w:afterAutospacing="0" w:line="400" w:lineRule="exact"/>
        <w:widowControl w:val="off"/>
        <w:rPr>
          <w:rFonts w:hint="eastAsia"/>
          <w:highlight w:val="none"/>
        </w:rPr>
      </w:pPr>
      <w:r>
        <w:rPr>
          <w:rFonts w:hint="eastAsia"/>
          <w:highlight w:val="none"/>
        </w:rPr>
        <w:t xml:space="preserve">闪烁分析：满足标准IEC/EN61000-3-3（2024年）和IEC/EN61000-3-11（2019年）的最新版标准测试要求；</w:t>
      </w:r>
      <w:r/>
    </w:p>
    <w:p>
      <w:pPr>
        <w:pStyle w:val="983"/>
        <w:ind w:firstLine="480"/>
        <w:jc w:val="both"/>
        <w:spacing w:before="0" w:beforeAutospacing="0" w:after="0" w:afterAutospacing="0" w:line="400" w:lineRule="exact"/>
        <w:rPr>
          <w:rFonts w:hint="eastAsia"/>
          <w:highlight w:val="none"/>
        </w:rPr>
      </w:pPr>
      <w:r>
        <w:rPr>
          <w:rFonts w:hint="eastAsia"/>
          <w:highlight w:val="none"/>
        </w:rPr>
        <w:t xml:space="preserve">数据刷新率最短10ms，可自由设定，不影响测试精度；</w:t>
      </w:r>
      <w:r/>
    </w:p>
    <w:p>
      <w:pPr>
        <w:pStyle w:val="983"/>
        <w:ind w:firstLine="480"/>
        <w:jc w:val="both"/>
        <w:spacing w:before="0" w:beforeAutospacing="0" w:after="0" w:afterAutospacing="0" w:line="400" w:lineRule="exact"/>
        <w:rPr>
          <w:rFonts w:hint="eastAsia"/>
          <w:highlight w:val="none"/>
        </w:rPr>
      </w:pPr>
      <w:r>
        <w:rPr>
          <w:rFonts w:hint="eastAsia"/>
          <w:highlight w:val="none"/>
        </w:rPr>
        <w:t xml:space="preserve">仪器需有示波器、谐波柱状图趋势图显示功能；</w:t>
      </w:r>
      <w:r/>
    </w:p>
    <w:p>
      <w:pPr>
        <w:pStyle w:val="983"/>
        <w:ind w:firstLine="480"/>
        <w:jc w:val="both"/>
        <w:spacing w:before="0" w:beforeAutospacing="0" w:after="0" w:afterAutospacing="0" w:line="400" w:lineRule="exact"/>
        <w:rPr>
          <w:rFonts w:hint="eastAsia"/>
          <w:highlight w:val="none"/>
        </w:rPr>
      </w:pPr>
      <w:r>
        <w:rPr>
          <w:rFonts w:hint="eastAsia"/>
          <w:highlight w:val="none"/>
        </w:rPr>
        <w:t xml:space="preserve">扩展特性：标配星三角转换接口、RS232、USB存储外围设备接口、千兆以太网接口；</w:t>
      </w:r>
      <w:r/>
    </w:p>
    <w:p>
      <w:pPr>
        <w:pStyle w:val="983"/>
        <w:ind w:firstLine="480"/>
        <w:jc w:val="both"/>
        <w:spacing w:before="0" w:beforeAutospacing="0" w:after="0" w:afterAutospacing="0" w:line="400" w:lineRule="exact"/>
        <w:rPr>
          <w:rFonts w:hint="eastAsia"/>
          <w:highlight w:val="none"/>
        </w:rPr>
      </w:pPr>
      <w:r>
        <w:rPr>
          <w:rFonts w:hint="eastAsia"/>
          <w:highlight w:val="none"/>
        </w:rPr>
        <w:t xml:space="preserve">1.2 仪器的必备部件、附件和随机工具</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仪器的必备部件由以下部分组成：</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主机，带RS232、USB存储外围设备接口、千兆以太网接口；谐波闪烁模块；阻抗网络和电源；</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测试线缆一套（每个通道配1对1.5米带护套4mm香蕉头电流测试线，1对装有保险丝的1.5米带护套4mm香蕉头电压测试线，鳄鱼夹，1根0.25m测试连接线。）；</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 技术参数</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1.3.1电压</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电压量程：10 个量程, 最小档位3V，有250V，400V，1000V量程档位，适于工频电压测量；</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电压输入阻抗：4.5MΩ || 3pF；</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电压精度50Hz：0.03%+0.03%；</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电压带宽：DC, 0.05Hz-500kHz。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▲1.3.2 电流</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电流量程：14个量程,最小量程档位500</w:t>
      </w:r>
      <w:r>
        <w:rPr>
          <w:sz w:val="24"/>
          <w:highlight w:val="none"/>
        </w:rPr>
        <w:t xml:space="preserve">μA</w:t>
      </w:r>
      <w:r>
        <w:rPr>
          <w:rFonts w:hint="eastAsia" w:ascii="宋体" w:hAnsi="宋体" w:cs="宋体"/>
          <w:sz w:val="24"/>
          <w:highlight w:val="none"/>
        </w:rPr>
        <w:t xml:space="preserve">，最大可到16A；</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电流精度50Hz：0.03%+0.03%；</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电流带宽：DC, 0.05Hz-500kHz。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▲1.3.3 电流传感器</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电流量程:200A AC/300A DC；</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变比:500:1；</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精度:相对于特定输入电流；</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DC-10Hz:±0.0035%；</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10Hz-5kHz:±0.01%；</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5kHz-100kHz:±1%；</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100kHZ-1MHz:+20%；</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钳口直径:27.6mm；</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供电电源:±15V DC；</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操作温度:-40℃~+65℃℃(-40C-+85℃@输入电流rmss200 A)；</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1.3.4功率</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基本功率精度</w:t>
      </w:r>
      <w:bookmarkStart w:id="848" w:name="OLE_LINK280"/>
      <w:r>
        <w:rPr>
          <w:rFonts w:hint="eastAsia" w:ascii="宋体" w:hAnsi="宋体" w:cs="宋体"/>
          <w:sz w:val="24"/>
          <w:highlight w:val="none"/>
        </w:rPr>
        <w:t xml:space="preserve">50Hz：0</w:t>
      </w:r>
      <w:bookmarkEnd w:id="848"/>
      <w:r>
        <w:rPr>
          <w:rFonts w:hint="eastAsia" w:ascii="宋体" w:hAnsi="宋体" w:cs="宋体"/>
          <w:sz w:val="24"/>
          <w:highlight w:val="none"/>
        </w:rPr>
        <w:t xml:space="preserve">.05%+0.02%；</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功率带宽：DC, 0.05Hz-500kHz；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1.3.5测量模式</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接线方式：单相；</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最大谐波次数：≥1000次；</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基波频率范围：2Hz-7.5kHz；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主机最高次谐波频率：75kHz；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谐波柱状图显示：有；</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公式编辑：+,-,*,/,sin,cos,asin,acos,log,ln,sqrt,bell,torque,speed等。</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1.3.6其他</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显示屏：≥7寸彩色触摸屏</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绝缘性能：1000V / CATII</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电流传感器输入接口：4mm香蕉插头</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2.三相交</w:t>
      </w:r>
      <w:bookmarkStart w:id="849" w:name="OLE_LINK286"/>
      <w:r/>
      <w:bookmarkStart w:id="850" w:name="OLE_LINK285"/>
      <w:r>
        <w:rPr>
          <w:rFonts w:hint="eastAsia" w:ascii="宋体" w:hAnsi="宋体" w:cs="宋体"/>
          <w:b/>
          <w:bCs/>
          <w:sz w:val="24"/>
          <w:highlight w:val="none"/>
        </w:rPr>
        <w:t xml:space="preserve">流回馈式纯净</w:t>
      </w:r>
      <w:bookmarkStart w:id="851" w:name="OLE_LINK443"/>
      <w:r/>
      <w:bookmarkStart w:id="852" w:name="OLE_LINK489"/>
      <w:r>
        <w:rPr>
          <w:rFonts w:hint="eastAsia" w:ascii="宋体" w:hAnsi="宋体" w:cs="宋体"/>
          <w:b/>
          <w:bCs/>
          <w:sz w:val="24"/>
          <w:highlight w:val="none"/>
        </w:rPr>
        <w:t xml:space="preserve">电压源</w:t>
      </w:r>
      <w:bookmarkEnd w:id="851"/>
      <w:r/>
      <w:bookmarkEnd w:id="852"/>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双向回馈式电源；</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额定功率[kVA]：75；</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电压范围[V]：0-450；</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额定电流[A]：114；</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输出电压精度：±0. 1 %F；</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输出电压分辨率：0.001V；</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输出THD：＜0.5%@50Hz/60Hz空载＜10%%@50Hz/60Hz线性负载＜1.0%@4070Hz空载＜15%%@40 70Hz线性负载电压摆率AC＞2V/us；</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动态响应（10%-90%UmaxUmax）：＜800us；</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输出电压直流分量：50mV；</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输出频率范围：40-70Hz；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分辨率：0.001Hz；</w:t>
      </w:r>
      <w:bookmarkEnd w:id="849"/>
      <w:r/>
      <w:bookmarkEnd w:id="850"/>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频率精度：±0.01% 或0.005Hz 取高者 ；</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输出流精度：±0.1%+0. 2 %F；</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分辨率 0.001A；</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输出功率精度： ±0. 3 %F；</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分辨率 0.001VA；</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输出相位范围： 0- 359.99；</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相位精度： ±0.20.2°；</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谐波幅值误差 ：±5% 设置值或基波值的0.1%；</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次数： 50 次@40 7 0Hz；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总含量： 50%；</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闪变精度：±0.2；</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三相不平衡度精度：±0.5% ；</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具备LIST、STEP 及PULSE 等多种编程输出模式，STEP 和PULSE 模式提供单步或连续的电压变动，</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用来模拟电源干扰如周期瞬降，瞬间高压，电压渐降等；LIST 模式可编辑更复杂的测试波形，支持多达100组工步编辑，工步可循环设置，满足输出多种复杂波形，模拟电压瞬降，中断和变异的波形。</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电压闪变模拟可编辑模拟满足NB/T32004-2018 标准测试要求。</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3.三相实体阻抗网络同时</w:t>
      </w:r>
      <w:bookmarkStart w:id="853" w:name="OLE_LINK283"/>
      <w:r/>
      <w:bookmarkStart w:id="854" w:name="OLE_LINK282"/>
      <w:r/>
      <w:bookmarkStart w:id="855" w:name="OLE_LINK281"/>
      <w:r>
        <w:rPr>
          <w:rFonts w:hint="eastAsia" w:ascii="宋体" w:hAnsi="宋体" w:cs="宋体"/>
          <w:b/>
          <w:bCs/>
          <w:sz w:val="24"/>
          <w:highlight w:val="none"/>
        </w:rPr>
        <w:t xml:space="preserve">兼容单相</w:t>
      </w:r>
      <w:bookmarkStart w:id="856" w:name="OLE_LINK490"/>
      <w:r>
        <w:rPr>
          <w:rFonts w:hint="eastAsia" w:ascii="宋体" w:hAnsi="宋体" w:cs="宋体"/>
          <w:b/>
          <w:bCs/>
          <w:sz w:val="24"/>
          <w:highlight w:val="none"/>
        </w:rPr>
        <w:t xml:space="preserve">实体阻抗</w:t>
      </w:r>
      <w:bookmarkEnd w:id="856"/>
      <w:r>
        <w:rPr>
          <w:rFonts w:hint="eastAsia" w:ascii="宋体" w:hAnsi="宋体" w:cs="宋体"/>
          <w:b/>
          <w:bCs/>
          <w:sz w:val="24"/>
          <w:highlight w:val="none"/>
        </w:rPr>
        <w:t xml:space="preserve">(兼容单相16A及三相75A)</w:t>
      </w:r>
      <w:r/>
    </w:p>
    <w:p>
      <w:pPr>
        <w:spacing w:line="360" w:lineRule="auto"/>
        <w:rPr>
          <w:rFonts w:hint="eastAsia" w:ascii="宋体" w:hAnsi="宋体" w:cs="宋体"/>
          <w:b/>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970280</wp:posOffset>
                </wp:positionH>
                <wp:positionV relativeFrom="paragraph">
                  <wp:posOffset>78105</wp:posOffset>
                </wp:positionV>
                <wp:extent cx="3139440" cy="1687830"/>
                <wp:effectExtent l="0" t="0" r="3810" b="7620"/>
                <wp:wrapNone/>
                <wp:docPr id="3"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00"/>
                        <pic:cNvPicPr>
                          <a:picLocks noChangeAspect="1"/>
                        </pic:cNvPicPr>
                        <pic:nvPr/>
                      </pic:nvPicPr>
                      <pic:blipFill>
                        <a:blip r:embed="rId19"/>
                        <a:stretch/>
                      </pic:blipFill>
                      <pic:spPr bwMode="auto">
                        <a:xfrm>
                          <a:off x="0" y="0"/>
                          <a:ext cx="3139440" cy="168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false;mso-position-horizontal-relative:text;margin-left:76.4pt;mso-position-horizontal:absolute;mso-position-vertical-relative:text;margin-top:6.1pt;mso-position-vertical:absolute;width:247.2pt;height:132.9pt;mso-wrap-distance-left:9.0pt;mso-wrap-distance-top:0.0pt;mso-wrap-distance-right:9.0pt;mso-wrap-distance-bottom:0.0pt;" stroked="f">
                <v:path textboxrect="0,0,0,0"/>
                <v:imagedata r:id="rId19" o:title=""/>
              </v:shape>
            </w:pict>
          </mc:Fallback>
        </mc:AlternateContent>
      </w:r>
      <w:bookmarkEnd w:id="853"/>
      <w:r/>
      <w:bookmarkEnd w:id="854"/>
      <w:r/>
      <w:bookmarkEnd w:id="855"/>
      <w:r/>
      <w:r/>
    </w:p>
    <w:p>
      <w:pPr>
        <w:spacing w:line="360" w:lineRule="auto"/>
        <w:rPr>
          <w:rFonts w:hint="eastAsia" w:ascii="宋体" w:hAnsi="宋体" w:cs="宋体"/>
          <w:b/>
          <w:sz w:val="24"/>
          <w:highlight w:val="none"/>
        </w:rPr>
      </w:pPr>
      <w:r>
        <w:rPr>
          <w:rFonts w:hint="eastAsia" w:ascii="宋体" w:hAnsi="宋体" w:cs="宋体"/>
          <w:b/>
          <w:sz w:val="24"/>
          <w:highlight w:val="none"/>
        </w:rPr>
        <w:br/>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闪烁分析：满足标准IEC/EN61000-3-3（2021年）和IEC/EN61000-3-11（2019年）的最新版标准测试要求；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单相参考阻抗网络（RA+jXA）：(0.24+j0.15)Ω±2% @50Hz&amp; 23℃±3℃；</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单相参考阻抗网络（RN+jXN）：(0.16+j0.1)Ω±2% @50Hz&amp; 23℃±3℃；</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EN/IEC61000-3-11，能够提供相线阻抗及零线阻抗为：</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三相参考阻抗网络（RA+jXA）：Z=0.15+j0.15（Ω）；</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三相参考阻抗网络（RN+jXN）：Zo=0.10+j0.10（Ω）。</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4.谐波闪烁专用测试</w:t>
      </w:r>
      <w:bookmarkStart w:id="857" w:name="OLE_LINK493"/>
      <w:r/>
      <w:bookmarkStart w:id="858" w:name="OLE_LINK494"/>
      <w:r/>
      <w:bookmarkStart w:id="859" w:name="OLE_LINK495"/>
      <w:r>
        <w:rPr>
          <w:rFonts w:hint="eastAsia" w:ascii="宋体" w:hAnsi="宋体" w:cs="宋体"/>
          <w:b/>
          <w:bCs/>
          <w:sz w:val="24"/>
          <w:highlight w:val="none"/>
        </w:rPr>
        <w:t xml:space="preserve">软</w:t>
      </w:r>
      <w:bookmarkEnd w:id="857"/>
      <w:r/>
      <w:bookmarkEnd w:id="858"/>
      <w:r/>
      <w:bookmarkEnd w:id="859"/>
      <w:r>
        <w:rPr>
          <w:rFonts w:hint="eastAsia" w:ascii="宋体" w:hAnsi="宋体" w:cs="宋体"/>
          <w:b/>
          <w:bCs/>
          <w:sz w:val="24"/>
          <w:highlight w:val="none"/>
        </w:rPr>
        <w:t xml:space="preserve">件</w:t>
      </w:r>
      <w:bookmarkStart w:id="860" w:name="OLE_LINK496"/>
      <w:r>
        <w:rPr>
          <w:rFonts w:hint="eastAsia" w:ascii="宋体" w:hAnsi="宋体" w:cs="宋体"/>
          <w:b/>
          <w:bCs/>
          <w:sz w:val="24"/>
          <w:highlight w:val="none"/>
        </w:rPr>
        <w:t xml:space="preserve">（</w:t>
      </w:r>
      <w:r>
        <w:rPr>
          <w:rFonts w:hint="eastAsia"/>
          <w:b/>
          <w:bCs/>
          <w:sz w:val="24"/>
          <w:highlight w:val="none"/>
        </w:rPr>
        <w:t xml:space="preserve">配置工作站</w:t>
      </w:r>
      <w:r>
        <w:rPr>
          <w:rFonts w:hint="eastAsia" w:ascii="宋体" w:hAnsi="宋体" w:cs="宋体"/>
          <w:b/>
          <w:bCs/>
          <w:sz w:val="24"/>
          <w:highlight w:val="none"/>
        </w:rPr>
        <w:t xml:space="preserve">）</w:t>
      </w:r>
      <w:bookmarkEnd w:id="860"/>
      <w:r/>
      <w:r/>
    </w:p>
    <w:p>
      <w:pPr>
        <w:ind w:firstLine="480"/>
        <w:spacing w:line="400" w:lineRule="exact"/>
        <w:rPr>
          <w:rFonts w:hint="eastAsia" w:ascii="宋体" w:hAnsi="宋体" w:cs="宋体"/>
          <w:sz w:val="24"/>
          <w:highlight w:val="none"/>
        </w:rPr>
      </w:pPr>
      <w:r/>
      <w:bookmarkStart w:id="861" w:name="OLE_LINK287"/>
      <w:r/>
      <w:bookmarkStart w:id="862" w:name="OLE_LINK284"/>
      <w:r>
        <w:rPr>
          <w:rFonts w:hint="eastAsia" w:ascii="宋体" w:hAnsi="宋体" w:cs="宋体"/>
          <w:sz w:val="24"/>
          <w:highlight w:val="none"/>
        </w:rPr>
        <w:t xml:space="preserve">根据IEC/EN 61000-3-2/-12谐波发射标准和IEC/EN61000-3-3/-11闪烁干扰标准进行EMC合规测试。支持根据IEC 62301和EN50564的</w:t>
      </w:r>
      <w:bookmarkStart w:id="863" w:name="OLE_LINK293"/>
      <w:r/>
      <w:bookmarkStart w:id="864" w:name="OLE_LINK292"/>
      <w:r/>
      <w:bookmarkStart w:id="865" w:name="OLE_LINK291"/>
      <w:r>
        <w:rPr>
          <w:rFonts w:hint="eastAsia" w:ascii="宋体" w:hAnsi="宋体" w:cs="宋体"/>
          <w:sz w:val="24"/>
          <w:highlight w:val="none"/>
        </w:rPr>
        <w:t xml:space="preserve">待机功耗测量</w:t>
      </w:r>
      <w:bookmarkEnd w:id="863"/>
      <w:r/>
      <w:bookmarkEnd w:id="864"/>
      <w:r/>
      <w:bookmarkEnd w:id="865"/>
      <w:r>
        <w:rPr>
          <w:rFonts w:hint="eastAsia" w:ascii="宋体" w:hAnsi="宋体" w:cs="宋体"/>
          <w:sz w:val="24"/>
          <w:highlight w:val="none"/>
        </w:rPr>
        <w:t xml:space="preserve">。根据</w:t>
      </w:r>
      <w:bookmarkStart w:id="866" w:name="OLE_LINK289"/>
      <w:r/>
      <w:bookmarkStart w:id="867" w:name="OLE_LINK288"/>
      <w:r/>
      <w:bookmarkStart w:id="868" w:name="OLE_LINK290"/>
      <w:r/>
      <w:bookmarkStart w:id="869" w:name="OLE_LINK295"/>
      <w:r/>
      <w:bookmarkStart w:id="870" w:name="OLE_LINK294"/>
      <w:r>
        <w:rPr>
          <w:rFonts w:hint="eastAsia" w:ascii="宋体" w:hAnsi="宋体" w:cs="宋体"/>
          <w:sz w:val="24"/>
          <w:highlight w:val="none"/>
        </w:rPr>
        <w:t xml:space="preserve">IEC/EN 61000-4-7和IEC/EN 61000-4-15标</w:t>
      </w:r>
      <w:bookmarkEnd w:id="866"/>
      <w:r/>
      <w:bookmarkEnd w:id="867"/>
      <w:r/>
      <w:bookmarkEnd w:id="868"/>
      <w:r>
        <w:rPr>
          <w:rFonts w:hint="eastAsia" w:ascii="宋体" w:hAnsi="宋体" w:cs="宋体"/>
          <w:sz w:val="24"/>
          <w:highlight w:val="none"/>
        </w:rPr>
        <w:t xml:space="preserve">准进行谐波分析和闪烁测量。</w:t>
      </w:r>
      <w:bookmarkEnd w:id="869"/>
      <w:r/>
      <w:bookmarkEnd w:id="870"/>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测试软件可以使用存储的数据记录离线进行。每个测量参数都可以在时域和/或频域中进行显示和评估。这有助于用户快速识别和解决不合规的原因。所有的测量数据点和测试结果都可以以csv格式导出。</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所有结果都记录在清晰、全面的PDF/Word/Excel测试报告中。根据标准，测试报告可以基于制造商提供给测试设施的信息，也可以是记录制造商自己测试结果的文件。包括测试条件、测试观测周期的所有相关信息，以及指定的测量值。所有有关测量设备、测试结构和设置的数据-如类型名称、序列号以及校准和可溯源的信息-也集成到测试报告中。报告可以补充额外的客户特定信息和设计元素，以避免在系统之外进行不必要的后期编辑。</w:t>
      </w:r>
      <w:bookmarkEnd w:id="861"/>
      <w:r/>
      <w:bookmarkEnd w:id="862"/>
      <w:r/>
      <w:r/>
    </w:p>
    <w:p>
      <w:pPr>
        <w:ind w:firstLine="482"/>
        <w:spacing w:line="400" w:lineRule="exact"/>
        <w:rPr>
          <w:rFonts w:hint="eastAsia" w:ascii="宋体" w:hAnsi="宋体" w:cs="宋体"/>
          <w:b/>
          <w:bCs/>
          <w:sz w:val="24"/>
          <w:highlight w:val="none"/>
        </w:rPr>
      </w:pPr>
      <w:r/>
      <w:bookmarkStart w:id="871" w:name="OLE_LINK374"/>
      <w:r>
        <w:rPr>
          <w:rFonts w:hint="eastAsia" w:ascii="宋体" w:hAnsi="宋体" w:cs="宋体"/>
          <w:b/>
          <w:bCs/>
          <w:sz w:val="24"/>
          <w:highlight w:val="none"/>
        </w:rPr>
        <w:t xml:space="preserve">▲</w:t>
      </w:r>
      <w:bookmarkEnd w:id="871"/>
      <w:r>
        <w:rPr>
          <w:rFonts w:hint="eastAsia" w:ascii="宋体" w:hAnsi="宋体" w:cs="宋体"/>
          <w:b/>
          <w:bCs/>
          <w:sz w:val="24"/>
          <w:highlight w:val="none"/>
        </w:rPr>
        <w:t xml:space="preserve">5.谐波闪烁</w:t>
      </w:r>
      <w:bookmarkStart w:id="872" w:name="OLE_LINK492"/>
      <w:r>
        <w:rPr>
          <w:rFonts w:hint="eastAsia" w:ascii="宋体" w:hAnsi="宋体" w:cs="宋体"/>
          <w:b/>
          <w:bCs/>
          <w:sz w:val="24"/>
          <w:highlight w:val="none"/>
        </w:rPr>
        <w:t xml:space="preserve">标准信号源</w:t>
      </w:r>
      <w:bookmarkEnd w:id="872"/>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Up to 40th harmonic: 50Hz to 2 kHz；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符合IEC/EN61000-3-2谐波/3-3闪烁；</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谐波电流：高达40 次 谐波：50 Hz至2 kHz；</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闪烁干扰：1 Hz和8.33 Hz。</w:t>
      </w:r>
      <w:r/>
    </w:p>
    <w:p>
      <w:pPr>
        <w:ind w:firstLine="482"/>
        <w:spacing w:line="400" w:lineRule="exact"/>
        <w:rPr>
          <w:rFonts w:hint="eastAsia" w:ascii="宋体" w:hAnsi="宋体" w:cs="宋体"/>
          <w:b/>
          <w:sz w:val="24"/>
          <w:highlight w:val="none"/>
        </w:rPr>
        <w:outlineLvl w:val="0"/>
      </w:pPr>
      <w:r/>
      <w:bookmarkStart w:id="873" w:name="_Toc27217"/>
      <w:r>
        <w:rPr>
          <w:rFonts w:hint="eastAsia" w:ascii="宋体" w:hAnsi="宋体" w:cs="宋体"/>
          <w:b/>
          <w:sz w:val="24"/>
          <w:highlight w:val="none"/>
        </w:rPr>
        <w:t xml:space="preserve">（五）抗扰度设备</w:t>
      </w:r>
      <w:bookmarkEnd w:id="873"/>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1.测试产品</w:t>
      </w:r>
      <w:r>
        <w:rPr>
          <w:rFonts w:hint="eastAsia" w:ascii="宋体" w:hAnsi="宋体" w:cs="宋体"/>
          <w:sz w:val="24"/>
          <w:highlight w:val="none"/>
        </w:rPr>
        <w:t xml:space="preserve">：满足智能工业机器人、服务机器人、医疗机器人、移动机器人及无人机、灯具照明类、电动工具及家电类、多媒体类等抗扰度测试要求。</w:t>
      </w:r>
      <w:r/>
    </w:p>
    <w:p>
      <w:pPr>
        <w:ind w:firstLine="482"/>
        <w:spacing w:line="400" w:lineRule="exact"/>
        <w:rPr>
          <w:rFonts w:ascii="宋体" w:hAnsi="宋体" w:cs="宋体"/>
          <w:b/>
          <w:bCs/>
          <w:sz w:val="24"/>
          <w:highlight w:val="none"/>
        </w:rPr>
      </w:pPr>
      <w:r/>
      <w:bookmarkStart w:id="874" w:name="_Toc331110447"/>
      <w:r/>
      <w:bookmarkStart w:id="875" w:name="_Toc331168592"/>
      <w:r>
        <w:rPr>
          <w:rFonts w:hint="eastAsia" w:ascii="宋体" w:hAnsi="宋体" w:cs="宋体"/>
          <w:b/>
          <w:bCs/>
          <w:sz w:val="24"/>
          <w:highlight w:val="none"/>
        </w:rPr>
        <w:t xml:space="preserve">2.设备参数</w:t>
      </w:r>
      <w:r/>
    </w:p>
    <w:tbl>
      <w:tblPr>
        <w:tblStyle w:val="9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449"/>
        <w:gridCol w:w="6260"/>
      </w:tblGrid>
      <w:tr>
        <w:trPr>
          <w:jc w:val="center"/>
          <w:tblHeader/>
        </w:trPr>
        <w:tc>
          <w:tcPr>
            <w:tcW w:w="476"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序号</w:t>
            </w:r>
            <w:r/>
          </w:p>
        </w:tc>
        <w:tc>
          <w:tcPr>
            <w:tcW w:w="850"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设备系统</w:t>
            </w:r>
            <w:r/>
          </w:p>
        </w:tc>
        <w:tc>
          <w:tcPr>
            <w:tcW w:w="3673"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参数</w:t>
            </w:r>
            <w:r/>
          </w:p>
        </w:tc>
      </w:tr>
      <w:tr>
        <w:trPr>
          <w:jc w:val="center"/>
        </w:trPr>
        <w:tc>
          <w:tcPr>
            <w:tcW w:w="47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W w:w="85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静电放电抗扰度测试系统（1套）</w:t>
            </w:r>
            <w:r/>
          </w:p>
        </w:tc>
        <w:tc>
          <w:tcPr>
            <w:tcW w:w="3673" w:type="pct"/>
            <w:vAlign w:val="center"/>
            <w:textDirection w:val="lrTb"/>
            <w:noWrap w:val="false"/>
          </w:tcPr>
          <w:p>
            <w:pPr>
              <w:tabs>
                <w:tab w:val="left" w:pos="875" w:leader="none"/>
              </w:tabs>
              <w:rPr>
                <w:rFonts w:hint="eastAsia" w:ascii="宋体" w:hAnsi="宋体" w:cs="宋体"/>
                <w:sz w:val="24"/>
                <w:highlight w:val="none"/>
              </w:rPr>
            </w:pPr>
            <w:r/>
            <w:bookmarkStart w:id="876" w:name="OLE_LINK513"/>
            <w:r>
              <w:rPr>
                <w:rFonts w:hint="eastAsia" w:ascii="宋体" w:hAnsi="宋体" w:cs="宋体"/>
                <w:sz w:val="24"/>
                <w:highlight w:val="none"/>
              </w:rPr>
              <w:t xml:space="preserve">1.</w:t>
            </w:r>
            <w:bookmarkStart w:id="877" w:name="OLE_LINK57"/>
            <w:r/>
            <w:bookmarkStart w:id="878" w:name="OLE_LINK58"/>
            <w:r/>
            <w:bookmarkStart w:id="879" w:name="OLE_LINK56"/>
            <w:r>
              <w:rPr>
                <w:rFonts w:hint="eastAsia" w:ascii="宋体" w:hAnsi="宋体" w:cs="宋体"/>
                <w:sz w:val="24"/>
                <w:highlight w:val="none"/>
              </w:rPr>
              <w:t xml:space="preserve">1</w:t>
            </w:r>
            <w:bookmarkEnd w:id="876"/>
            <w:r>
              <w:rPr>
                <w:rFonts w:hint="eastAsia" w:ascii="宋体" w:hAnsi="宋体" w:cs="宋体"/>
                <w:sz w:val="24"/>
                <w:highlight w:val="none"/>
              </w:rPr>
              <w:t xml:space="preserve">相</w:t>
            </w:r>
            <w:bookmarkStart w:id="880" w:name="OLE_LINK515"/>
            <w:r/>
            <w:bookmarkStart w:id="881" w:name="OLE_LINK514"/>
            <w:r>
              <w:rPr>
                <w:rFonts w:hint="eastAsia" w:ascii="宋体" w:hAnsi="宋体" w:cs="宋体"/>
                <w:sz w:val="24"/>
                <w:highlight w:val="none"/>
              </w:rPr>
              <w:t xml:space="preserve">关</w:t>
            </w:r>
            <w:bookmarkEnd w:id="877"/>
            <w:r/>
            <w:bookmarkEnd w:id="878"/>
            <w:r/>
            <w:bookmarkEnd w:id="879"/>
            <w:r>
              <w:rPr>
                <w:rFonts w:hint="eastAsia" w:ascii="宋体" w:hAnsi="宋体" w:cs="宋体"/>
                <w:sz w:val="24"/>
                <w:highlight w:val="none"/>
              </w:rPr>
              <w:t xml:space="preserve">附件：</w:t>
            </w:r>
            <w:r/>
          </w:p>
          <w:p>
            <w:pPr>
              <w:tabs>
                <w:tab w:val="left" w:pos="875" w:leader="none"/>
              </w:tabs>
              <w:rPr>
                <w:rFonts w:hint="eastAsia" w:ascii="宋体" w:hAnsi="宋体" w:cs="宋体"/>
                <w:sz w:val="24"/>
                <w:highlight w:val="none"/>
              </w:rPr>
            </w:pPr>
            <w:r>
              <w:rPr>
                <w:rFonts w:hint="eastAsia" w:ascii="宋体" w:hAnsi="宋体" w:cs="宋体"/>
                <w:sz w:val="24"/>
                <w:highlight w:val="none"/>
              </w:rPr>
              <w:t xml:space="preserve">配置</w:t>
            </w:r>
            <w:bookmarkStart w:id="882" w:name="OLE_LINK59"/>
            <w:r/>
            <w:bookmarkStart w:id="883" w:name="OLE_LINK60"/>
            <w:r>
              <w:rPr>
                <w:rFonts w:hint="eastAsia" w:ascii="宋体" w:hAnsi="宋体" w:cs="宋体"/>
                <w:sz w:val="24"/>
                <w:highlight w:val="none"/>
              </w:rPr>
              <w:t xml:space="preserve">静电放电实验校准</w:t>
            </w:r>
            <w:bookmarkEnd w:id="882"/>
            <w:r/>
            <w:bookmarkEnd w:id="883"/>
            <w:r>
              <w:rPr>
                <w:rFonts w:hint="eastAsia" w:ascii="宋体" w:hAnsi="宋体" w:cs="宋体"/>
                <w:sz w:val="24"/>
                <w:highlight w:val="none"/>
              </w:rPr>
              <w:t xml:space="preserve">靶（含20dB，30dB衰减器）；</w:t>
            </w:r>
            <w:r/>
          </w:p>
          <w:p>
            <w:pPr>
              <w:tabs>
                <w:tab w:val="left" w:pos="875" w:leader="none"/>
              </w:tabs>
              <w:rPr>
                <w:rFonts w:hint="eastAsia" w:ascii="宋体" w:hAnsi="宋体" w:cs="宋体"/>
                <w:sz w:val="24"/>
                <w:highlight w:val="none"/>
              </w:rPr>
            </w:pPr>
            <w:r>
              <w:rPr>
                <w:rFonts w:hint="eastAsia" w:ascii="宋体" w:hAnsi="宋体" w:cs="宋体"/>
                <w:sz w:val="24"/>
                <w:highlight w:val="none"/>
              </w:rPr>
              <w:t xml:space="preserve">满足最新标准的可穿戴静电阻容模块；</w:t>
            </w:r>
            <w:r/>
          </w:p>
          <w:p>
            <w:pPr>
              <w:tabs>
                <w:tab w:val="left" w:pos="875" w:leader="none"/>
              </w:tabs>
              <w:rPr>
                <w:rFonts w:hint="eastAsia" w:ascii="宋体" w:hAnsi="宋体" w:cs="宋体"/>
                <w:sz w:val="24"/>
                <w:highlight w:val="none"/>
              </w:rPr>
            </w:pPr>
            <w:r>
              <w:rPr>
                <w:rFonts w:hint="eastAsia" w:ascii="宋体" w:hAnsi="宋体" w:cs="宋体"/>
                <w:sz w:val="24"/>
                <w:highlight w:val="none"/>
              </w:rPr>
              <w:t xml:space="preserve">校准</w:t>
            </w:r>
            <w:bookmarkStart w:id="884" w:name="OLE_LINK63"/>
            <w:r/>
            <w:bookmarkStart w:id="885" w:name="OLE_LINK62"/>
            <w:r/>
            <w:bookmarkStart w:id="886" w:name="OLE_LINK61"/>
            <w:r>
              <w:rPr>
                <w:rFonts w:hint="eastAsia" w:ascii="宋体" w:hAnsi="宋体" w:cs="宋体"/>
                <w:sz w:val="24"/>
                <w:highlight w:val="none"/>
              </w:rPr>
              <w:t xml:space="preserve">靶移动式安装尺寸</w:t>
            </w:r>
            <w:bookmarkEnd w:id="884"/>
            <w:r/>
            <w:bookmarkEnd w:id="885"/>
            <w:r/>
            <w:bookmarkEnd w:id="886"/>
            <w:r>
              <w:rPr>
                <w:rFonts w:hint="eastAsia" w:ascii="宋体" w:hAnsi="宋体" w:cs="宋体"/>
                <w:sz w:val="24"/>
                <w:highlight w:val="none"/>
              </w:rPr>
              <w:t xml:space="preserve">：1200*1200mm，移动支架高度700mm；</w:t>
            </w:r>
            <w:r/>
          </w:p>
          <w:p>
            <w:pPr>
              <w:tabs>
                <w:tab w:val="left" w:pos="875" w:leader="none"/>
              </w:tabs>
              <w:rPr>
                <w:rFonts w:hint="eastAsia" w:ascii="宋体" w:hAnsi="宋体" w:cs="宋体"/>
                <w:sz w:val="24"/>
                <w:highlight w:val="none"/>
              </w:rPr>
            </w:pPr>
            <w:r>
              <w:rPr>
                <w:rFonts w:hint="eastAsia" w:ascii="宋体" w:hAnsi="宋体" w:cs="宋体"/>
                <w:sz w:val="24"/>
                <w:highlight w:val="none"/>
              </w:rPr>
              <w:t xml:space="preserve">垂直耦合板不小于：500*500*1.5mm；</w:t>
            </w:r>
            <w:r/>
          </w:p>
          <w:p>
            <w:pPr>
              <w:tabs>
                <w:tab w:val="left" w:pos="875" w:leader="none"/>
              </w:tabs>
              <w:rPr>
                <w:rFonts w:hint="eastAsia" w:ascii="宋体" w:hAnsi="宋体" w:cs="宋体"/>
                <w:sz w:val="24"/>
                <w:highlight w:val="none"/>
              </w:rPr>
            </w:pPr>
            <w:r>
              <w:rPr>
                <w:rFonts w:hint="eastAsia" w:ascii="宋体" w:hAnsi="宋体" w:cs="宋体"/>
                <w:sz w:val="24"/>
                <w:highlight w:val="none"/>
              </w:rPr>
              <w:t xml:space="preserve">接触放电核查用高压高阻表：DC-30kVupto+30kV；</w:t>
            </w:r>
            <w:r/>
          </w:p>
          <w:p>
            <w:pPr>
              <w:tabs>
                <w:tab w:val="left" w:pos="875" w:leader="none"/>
              </w:tabs>
              <w:rPr>
                <w:rFonts w:hint="eastAsia" w:ascii="宋体" w:hAnsi="宋体" w:cs="宋体"/>
                <w:sz w:val="24"/>
                <w:highlight w:val="none"/>
              </w:rPr>
            </w:pPr>
            <w:r>
              <w:rPr>
                <w:rFonts w:hint="eastAsia" w:ascii="宋体" w:hAnsi="宋体" w:cs="宋体"/>
                <w:sz w:val="24"/>
                <w:highlight w:val="none"/>
              </w:rPr>
              <w:t xml:space="preserve">1.2试验台(1600*1000*800mm)，带电阻的电缆线（470kΩ*2）</w:t>
            </w:r>
            <w:bookmarkEnd w:id="880"/>
            <w:r/>
            <w:bookmarkEnd w:id="881"/>
            <w:r/>
            <w:r/>
          </w:p>
          <w:p>
            <w:pPr>
              <w:tabs>
                <w:tab w:val="left" w:pos="875" w:leader="none"/>
              </w:tabs>
              <w:rPr>
                <w:rFonts w:hint="eastAsia" w:ascii="宋体" w:hAnsi="宋体" w:cs="宋体"/>
                <w:sz w:val="24"/>
                <w:highlight w:val="none"/>
              </w:rPr>
            </w:pPr>
            <w:r>
              <w:rPr>
                <w:rFonts w:hint="eastAsia" w:ascii="宋体" w:hAnsi="宋体" w:cs="宋体"/>
                <w:sz w:val="24"/>
                <w:highlight w:val="none"/>
              </w:rPr>
              <w:t xml:space="preserve">参考接地板（2700*1800*1.5mm），水平耦合板（1600*800*1.5mm）</w:t>
            </w:r>
            <w:r/>
          </w:p>
        </w:tc>
      </w:tr>
      <w:tr>
        <w:trPr>
          <w:jc w:val="center"/>
        </w:trPr>
        <w:tc>
          <w:tcPr>
            <w:tcW w:w="476" w:type="pct"/>
            <w:vAlign w:val="center"/>
            <w:textDirection w:val="lrTb"/>
            <w:noWrap w:val="false"/>
          </w:tcPr>
          <w:p>
            <w:pPr>
              <w:jc w:val="center"/>
              <w:rPr>
                <w:rFonts w:hint="eastAsia" w:ascii="宋体" w:hAnsi="宋体" w:cs="宋体"/>
                <w:sz w:val="24"/>
                <w:highlight w:val="none"/>
              </w:rPr>
            </w:pPr>
            <w:r/>
            <w:bookmarkStart w:id="887" w:name="OLE_LINK505"/>
            <w:r/>
            <w:bookmarkStart w:id="888" w:name="OLE_LINK504"/>
            <w:r>
              <w:rPr>
                <w:rFonts w:hint="eastAsia" w:ascii="宋体" w:hAnsi="宋体" w:cs="宋体"/>
                <w:sz w:val="24"/>
                <w:highlight w:val="none"/>
              </w:rPr>
              <w:t xml:space="preserve">▲</w:t>
            </w:r>
            <w:bookmarkEnd w:id="887"/>
            <w:r/>
            <w:bookmarkEnd w:id="888"/>
            <w:r>
              <w:rPr>
                <w:rFonts w:hint="eastAsia" w:ascii="宋体" w:hAnsi="宋体" w:cs="宋体"/>
                <w:sz w:val="24"/>
                <w:highlight w:val="none"/>
              </w:rPr>
              <w:t xml:space="preserve">2</w:t>
            </w:r>
            <w:r/>
          </w:p>
        </w:tc>
        <w:tc>
          <w:tcPr>
            <w:tcW w:w="85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瞬变脉冲群抗扰度测试系统（三相五线电流200A）</w:t>
            </w:r>
            <w:r/>
          </w:p>
          <w:p>
            <w:pPr>
              <w:jc w:val="center"/>
              <w:rPr>
                <w:rFonts w:hint="eastAsia" w:ascii="宋体" w:hAnsi="宋体" w:cs="宋体"/>
                <w:sz w:val="24"/>
                <w:highlight w:val="none"/>
              </w:rPr>
            </w:pPr>
            <w:r/>
            <w:bookmarkStart w:id="889" w:name="OLE_LINK64"/>
            <w:r>
              <w:rPr>
                <w:rFonts w:hint="eastAsia" w:ascii="宋体" w:hAnsi="宋体" w:cs="宋体"/>
                <w:sz w:val="24"/>
                <w:highlight w:val="none"/>
              </w:rPr>
              <w:t xml:space="preserve">（1套）</w:t>
            </w:r>
            <w:bookmarkEnd w:id="889"/>
            <w:r/>
            <w:r/>
          </w:p>
        </w:tc>
        <w:tc>
          <w:tcPr>
            <w:tcW w:w="3673" w:type="pct"/>
            <w:vAlign w:val="center"/>
            <w:textDirection w:val="lrTb"/>
            <w:noWrap w:val="false"/>
          </w:tcPr>
          <w:p>
            <w:pPr>
              <w:rPr>
                <w:rFonts w:hint="eastAsia" w:ascii="宋体" w:hAnsi="宋体" w:cs="宋体"/>
                <w:sz w:val="24"/>
                <w:highlight w:val="none"/>
              </w:rPr>
            </w:pPr>
            <w:r/>
            <w:bookmarkStart w:id="890" w:name="OLE_LINK512"/>
            <w:r/>
            <w:bookmarkStart w:id="891" w:name="OLE_LINK511"/>
            <w:r>
              <w:rPr>
                <w:rFonts w:hint="eastAsia" w:ascii="宋体" w:hAnsi="宋体" w:cs="宋体"/>
                <w:sz w:val="24"/>
                <w:highlight w:val="none"/>
              </w:rPr>
              <w:t xml:space="preserve">2.1</w:t>
            </w:r>
            <w:bookmarkEnd w:id="890"/>
            <w:r/>
            <w:bookmarkEnd w:id="891"/>
            <w:r>
              <w:rPr>
                <w:rFonts w:hint="eastAsia" w:ascii="宋体" w:hAnsi="宋体" w:cs="宋体"/>
                <w:sz w:val="24"/>
                <w:highlight w:val="none"/>
              </w:rPr>
              <w:t xml:space="preserve">≥10寸触摸屏、中</w:t>
            </w:r>
            <w:bookmarkStart w:id="892" w:name="OLE_LINK381"/>
            <w:r/>
            <w:bookmarkStart w:id="893" w:name="OLE_LINK382"/>
            <w:r>
              <w:rPr>
                <w:rFonts w:hint="eastAsia" w:ascii="宋体" w:hAnsi="宋体" w:cs="宋体"/>
                <w:sz w:val="24"/>
                <w:highlight w:val="none"/>
              </w:rPr>
              <w:t xml:space="preserve">英文显示，操作方便；</w:t>
            </w:r>
            <w:r/>
          </w:p>
          <w:p>
            <w:pPr>
              <w:rPr>
                <w:rFonts w:hint="eastAsia" w:ascii="宋体" w:hAnsi="宋体" w:cs="宋体"/>
                <w:sz w:val="24"/>
                <w:highlight w:val="none"/>
              </w:rPr>
            </w:pPr>
            <w:r>
              <w:rPr>
                <w:rFonts w:hint="eastAsia" w:ascii="宋体" w:hAnsi="宋体" w:cs="宋体"/>
                <w:sz w:val="24"/>
                <w:highlight w:val="none"/>
              </w:rPr>
              <w:t xml:space="preserve">2.2输出</w:t>
            </w:r>
            <w:bookmarkStart w:id="894" w:name="OLE_LINK509"/>
            <w:r>
              <w:rPr>
                <w:rFonts w:hint="eastAsia" w:ascii="宋体" w:hAnsi="宋体" w:cs="宋体"/>
                <w:sz w:val="24"/>
                <w:highlight w:val="none"/>
              </w:rPr>
              <w:t xml:space="preserve">电压：0.2～±6.0KV；</w:t>
            </w:r>
            <w:r/>
          </w:p>
          <w:p>
            <w:pPr>
              <w:rPr>
                <w:rFonts w:hint="eastAsia" w:ascii="宋体" w:hAnsi="宋体" w:cs="宋体"/>
                <w:sz w:val="24"/>
                <w:highlight w:val="none"/>
              </w:rPr>
            </w:pPr>
            <w:r>
              <w:rPr>
                <w:rFonts w:hint="eastAsia" w:ascii="宋体" w:hAnsi="宋体" w:cs="宋体"/>
                <w:sz w:val="24"/>
                <w:highlight w:val="none"/>
              </w:rPr>
              <w:t xml:space="preserve">2.3脉冲前沿5ns，脉宽50ns；</w:t>
            </w:r>
            <w:r/>
          </w:p>
          <w:p>
            <w:pPr>
              <w:rPr>
                <w:rFonts w:hint="eastAsia" w:ascii="宋体" w:hAnsi="宋体" w:cs="宋体"/>
                <w:sz w:val="24"/>
                <w:highlight w:val="none"/>
              </w:rPr>
            </w:pPr>
            <w:r>
              <w:rPr>
                <w:rFonts w:hint="eastAsia" w:ascii="宋体" w:hAnsi="宋体" w:cs="宋体"/>
                <w:sz w:val="24"/>
                <w:highlight w:val="none"/>
              </w:rPr>
              <w:t xml:space="preserve">2.4脉冲频率：1kHz～1200kHz±10%</w:t>
            </w:r>
            <w:r/>
          </w:p>
          <w:p>
            <w:pPr>
              <w:rPr>
                <w:rFonts w:hint="eastAsia" w:ascii="宋体" w:hAnsi="宋体" w:cs="宋体"/>
                <w:sz w:val="24"/>
                <w:highlight w:val="none"/>
              </w:rPr>
            </w:pPr>
            <w:r>
              <w:rPr>
                <w:rFonts w:hint="eastAsia" w:ascii="宋体" w:hAnsi="宋体" w:cs="宋体"/>
                <w:sz w:val="24"/>
                <w:highlight w:val="none"/>
              </w:rPr>
              <w:t xml:space="preserve">2.5内置三相五线耦合去耦网络</w:t>
            </w:r>
            <w:r/>
          </w:p>
          <w:p>
            <w:pPr>
              <w:rPr>
                <w:rFonts w:hint="eastAsia" w:ascii="宋体" w:hAnsi="宋体" w:cs="宋体"/>
                <w:sz w:val="24"/>
                <w:highlight w:val="none"/>
              </w:rPr>
            </w:pPr>
            <w:r>
              <w:rPr>
                <w:rFonts w:hint="eastAsia" w:ascii="宋体" w:hAnsi="宋体" w:cs="宋体"/>
                <w:sz w:val="24"/>
                <w:highlight w:val="none"/>
              </w:rPr>
              <w:t xml:space="preserve">2.6负载能力：AC380VImax16A/DC220VImax16A；</w:t>
            </w:r>
            <w:r/>
          </w:p>
          <w:p>
            <w:pPr>
              <w:rPr>
                <w:rFonts w:hint="eastAsia" w:ascii="宋体" w:hAnsi="宋体" w:cs="宋体"/>
                <w:sz w:val="24"/>
                <w:highlight w:val="none"/>
              </w:rPr>
            </w:pPr>
            <w:r>
              <w:rPr>
                <w:rFonts w:hint="eastAsia" w:ascii="宋体" w:hAnsi="宋体" w:cs="宋体"/>
                <w:sz w:val="24"/>
                <w:highlight w:val="none"/>
              </w:rPr>
              <w:t xml:space="preserve">2.7环境温湿度显示；程控高压源，内置国际标准等级参数，用户直接调用；</w:t>
            </w:r>
            <w:r/>
          </w:p>
          <w:p>
            <w:pPr>
              <w:rPr>
                <w:rFonts w:hint="eastAsia" w:ascii="宋体" w:hAnsi="宋体" w:cs="宋体"/>
                <w:sz w:val="24"/>
                <w:highlight w:val="none"/>
              </w:rPr>
            </w:pPr>
            <w:r>
              <w:rPr>
                <w:rFonts w:hint="eastAsia" w:ascii="宋体" w:hAnsi="宋体" w:cs="宋体"/>
                <w:sz w:val="24"/>
                <w:highlight w:val="none"/>
              </w:rPr>
              <w:t xml:space="preserve">2.8仪器工作电源：</w:t>
            </w:r>
            <w:bookmarkEnd w:id="894"/>
            <w:r>
              <w:rPr>
                <w:rFonts w:hint="eastAsia" w:ascii="宋体" w:hAnsi="宋体" w:cs="宋体"/>
                <w:sz w:val="24"/>
                <w:highlight w:val="none"/>
              </w:rPr>
              <w:t xml:space="preserve">220V50/60Hz</w:t>
            </w:r>
            <w:bookmarkEnd w:id="892"/>
            <w:r/>
            <w:bookmarkEnd w:id="893"/>
            <w:r>
              <w:rPr>
                <w:rFonts w:hint="eastAsia" w:ascii="宋体" w:hAnsi="宋体" w:cs="宋体"/>
                <w:sz w:val="24"/>
                <w:highlight w:val="none"/>
              </w:rPr>
              <w:t xml:space="preserve">;</w:t>
            </w:r>
            <w:r/>
          </w:p>
          <w:p>
            <w:pPr>
              <w:rPr>
                <w:rFonts w:hint="eastAsia" w:ascii="宋体" w:hAnsi="宋体" w:cs="宋体"/>
                <w:sz w:val="24"/>
                <w:highlight w:val="none"/>
              </w:rPr>
            </w:pPr>
            <w:r>
              <w:rPr>
                <w:rFonts w:hint="eastAsia" w:ascii="宋体" w:hAnsi="宋体" w:cs="宋体"/>
                <w:sz w:val="24"/>
                <w:highlight w:val="none"/>
              </w:rPr>
              <w:t xml:space="preserve">2.9满足标准：IEC/EN61000-4-4GB/T17626.4</w:t>
            </w:r>
            <w:r/>
          </w:p>
          <w:p>
            <w:pPr>
              <w:rPr>
                <w:rFonts w:hint="eastAsia" w:ascii="宋体" w:hAnsi="宋体" w:cs="宋体"/>
                <w:sz w:val="24"/>
                <w:highlight w:val="none"/>
              </w:rPr>
            </w:pPr>
            <w:r>
              <w:rPr>
                <w:rFonts w:hint="eastAsia" w:ascii="宋体" w:hAnsi="宋体" w:cs="宋体"/>
                <w:sz w:val="24"/>
                <w:highlight w:val="none"/>
              </w:rPr>
              <w:t xml:space="preserve">2.10电容耦合夹要求符合IEC61000-4-4最新版标准要求</w:t>
            </w:r>
            <w:r/>
          </w:p>
          <w:p>
            <w:pPr>
              <w:rPr>
                <w:rFonts w:hint="eastAsia" w:ascii="宋体" w:hAnsi="宋体" w:cs="宋体"/>
                <w:sz w:val="24"/>
                <w:highlight w:val="none"/>
              </w:rPr>
            </w:pPr>
            <w:r>
              <w:rPr>
                <w:rFonts w:hint="eastAsia" w:ascii="宋体" w:hAnsi="宋体" w:cs="宋体"/>
                <w:sz w:val="24"/>
                <w:highlight w:val="none"/>
              </w:rPr>
              <w:t xml:space="preserve">2.11含相关校准件</w:t>
            </w:r>
            <w:r/>
          </w:p>
          <w:p>
            <w:pPr>
              <w:rPr>
                <w:rFonts w:hint="eastAsia" w:ascii="宋体" w:hAnsi="宋体" w:cs="宋体"/>
                <w:sz w:val="24"/>
                <w:highlight w:val="none"/>
              </w:rPr>
            </w:pPr>
            <w:r>
              <w:rPr>
                <w:rFonts w:hint="eastAsia" w:ascii="宋体" w:hAnsi="宋体" w:cs="宋体"/>
                <w:sz w:val="24"/>
                <w:highlight w:val="none"/>
              </w:rPr>
              <w:t xml:space="preserve">2.12内置电压监测功能，方便期间核查。</w:t>
            </w:r>
            <w:r/>
          </w:p>
          <w:p>
            <w:pPr>
              <w:rPr>
                <w:rFonts w:hint="eastAsia" w:ascii="宋体" w:hAnsi="宋体" w:cs="宋体"/>
                <w:sz w:val="24"/>
                <w:highlight w:val="none"/>
              </w:rPr>
            </w:pPr>
            <w:r>
              <w:rPr>
                <w:rFonts w:hint="eastAsia" w:ascii="宋体" w:hAnsi="宋体" w:cs="宋体"/>
                <w:sz w:val="24"/>
                <w:highlight w:val="none"/>
              </w:rPr>
              <w:t xml:space="preserve">2.13</w:t>
            </w:r>
            <w:bookmarkStart w:id="895" w:name="OLE_LINK506"/>
            <w:r/>
            <w:bookmarkStart w:id="896" w:name="OLE_LINK508"/>
            <w:r/>
            <w:bookmarkStart w:id="897" w:name="OLE_LINK507"/>
            <w:r>
              <w:rPr>
                <w:rFonts w:hint="eastAsia" w:ascii="宋体" w:hAnsi="宋体" w:cs="宋体"/>
                <w:sz w:val="24"/>
                <w:highlight w:val="none"/>
              </w:rPr>
              <w:t xml:space="preserve">配置三相耦合去耦网络：三相，额定线电压≥690V（DC≥1500V），工作电流≥200A，符合IEC及ANSI标准，L1、L2、L3、N、PE，共模方</w:t>
            </w:r>
            <w:bookmarkEnd w:id="895"/>
            <w:r/>
            <w:bookmarkEnd w:id="896"/>
            <w:r/>
            <w:bookmarkEnd w:id="897"/>
            <w:r>
              <w:rPr>
                <w:rFonts w:hint="eastAsia" w:ascii="宋体" w:hAnsi="宋体" w:cs="宋体"/>
                <w:sz w:val="24"/>
                <w:highlight w:val="none"/>
              </w:rPr>
              <w:t xml:space="preserve">式及其各种组合网络自动投切。</w:t>
            </w:r>
            <w:r/>
          </w:p>
        </w:tc>
      </w:tr>
      <w:tr>
        <w:trPr>
          <w:jc w:val="center"/>
        </w:trPr>
        <w:tc>
          <w:tcPr>
            <w:tcW w:w="476" w:type="pct"/>
            <w:vAlign w:val="center"/>
            <w:textDirection w:val="lrTb"/>
            <w:noWrap w:val="false"/>
          </w:tcPr>
          <w:p>
            <w:pPr>
              <w:jc w:val="center"/>
              <w:rPr>
                <w:rFonts w:hint="eastAsia" w:ascii="宋体" w:hAnsi="宋体" w:cs="宋体"/>
                <w:sz w:val="24"/>
                <w:highlight w:val="none"/>
              </w:rPr>
            </w:pPr>
            <w:r/>
            <w:bookmarkStart w:id="898" w:name="OLE_LINK503"/>
            <w:r>
              <w:rPr>
                <w:rFonts w:hint="eastAsia" w:ascii="宋体" w:hAnsi="宋体" w:cs="宋体"/>
                <w:sz w:val="24"/>
                <w:highlight w:val="none"/>
              </w:rPr>
              <w:t xml:space="preserve">▲3</w:t>
            </w:r>
            <w:bookmarkEnd w:id="898"/>
            <w:r/>
            <w:r/>
          </w:p>
        </w:tc>
        <w:tc>
          <w:tcPr>
            <w:tcW w:w="85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雷击浪涌抗扰度测试系统（1套）</w:t>
            </w:r>
            <w:r/>
          </w:p>
        </w:tc>
        <w:tc>
          <w:tcPr>
            <w:tcW w:w="367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3.1组合波抗扰度（三相五线电流200A），覆盖的标准如下：EN/IEC 61000-4-5、GB/T 17626.5；</w:t>
            </w:r>
            <w:r/>
          </w:p>
          <w:p>
            <w:pPr>
              <w:rPr>
                <w:rFonts w:hint="eastAsia" w:ascii="宋体" w:hAnsi="宋体" w:cs="宋体"/>
                <w:sz w:val="24"/>
                <w:highlight w:val="none"/>
              </w:rPr>
            </w:pPr>
            <w:r>
              <w:rPr>
                <w:rFonts w:hint="eastAsia" w:ascii="宋体" w:hAnsi="宋体" w:cs="宋体"/>
                <w:sz w:val="24"/>
                <w:highlight w:val="none"/>
              </w:rPr>
              <w:t xml:space="preserve">3.1.1 脉冲电压（开路）：0.2~± 8.0kV±10%</w:t>
            </w:r>
            <w:r/>
          </w:p>
          <w:p>
            <w:pPr>
              <w:ind w:firstLine="720"/>
              <w:rPr>
                <w:rFonts w:hint="eastAsia" w:ascii="宋体" w:hAnsi="宋体" w:cs="宋体"/>
                <w:sz w:val="24"/>
                <w:highlight w:val="none"/>
              </w:rPr>
            </w:pPr>
            <w:r>
              <w:rPr>
                <w:rFonts w:hint="eastAsia" w:ascii="宋体" w:hAnsi="宋体" w:cs="宋体"/>
                <w:sz w:val="24"/>
                <w:highlight w:val="none"/>
              </w:rPr>
              <w:t xml:space="preserve">波前时间：1.2μs±30%</w:t>
            </w:r>
            <w:r/>
          </w:p>
          <w:p>
            <w:pPr>
              <w:ind w:firstLine="720"/>
              <w:rPr>
                <w:rFonts w:hint="eastAsia" w:ascii="宋体" w:hAnsi="宋体" w:cs="宋体"/>
                <w:sz w:val="24"/>
                <w:highlight w:val="none"/>
              </w:rPr>
            </w:pPr>
            <w:r>
              <w:rPr>
                <w:rFonts w:hint="eastAsia" w:ascii="宋体" w:hAnsi="宋体" w:cs="宋体"/>
                <w:sz w:val="24"/>
                <w:highlight w:val="none"/>
              </w:rPr>
              <w:t xml:space="preserve">半峰值时间：50μs±20%</w:t>
            </w:r>
            <w:r/>
          </w:p>
          <w:p>
            <w:pPr>
              <w:rPr>
                <w:rFonts w:hint="eastAsia" w:ascii="宋体" w:hAnsi="宋体" w:cs="宋体"/>
                <w:sz w:val="24"/>
                <w:highlight w:val="none"/>
              </w:rPr>
            </w:pPr>
            <w:r>
              <w:rPr>
                <w:rFonts w:hint="eastAsia" w:ascii="宋体" w:hAnsi="宋体" w:cs="宋体"/>
                <w:sz w:val="24"/>
                <w:highlight w:val="none"/>
              </w:rPr>
              <w:t xml:space="preserve">3.1.2 脉冲电流(短路)：0.1~ ±4.0 kA</w:t>
            </w:r>
            <w:r/>
          </w:p>
          <w:p>
            <w:pPr>
              <w:ind w:firstLine="720"/>
              <w:rPr>
                <w:rFonts w:hint="eastAsia" w:ascii="宋体" w:hAnsi="宋体" w:cs="宋体"/>
                <w:sz w:val="24"/>
                <w:highlight w:val="none"/>
              </w:rPr>
            </w:pPr>
            <w:r>
              <w:rPr>
                <w:rFonts w:hint="eastAsia" w:ascii="宋体" w:hAnsi="宋体" w:cs="宋体"/>
                <w:sz w:val="24"/>
                <w:highlight w:val="none"/>
              </w:rPr>
              <w:t xml:space="preserve">波前时间：8μs±20%</w:t>
            </w:r>
            <w:r/>
          </w:p>
          <w:p>
            <w:pPr>
              <w:ind w:firstLine="720"/>
              <w:rPr>
                <w:rFonts w:hint="eastAsia" w:ascii="宋体" w:hAnsi="宋体" w:cs="宋体"/>
                <w:sz w:val="24"/>
                <w:highlight w:val="none"/>
              </w:rPr>
            </w:pPr>
            <w:r>
              <w:rPr>
                <w:rFonts w:hint="eastAsia" w:ascii="宋体" w:hAnsi="宋体" w:cs="宋体"/>
                <w:sz w:val="24"/>
                <w:highlight w:val="none"/>
              </w:rPr>
              <w:t xml:space="preserve">半峰值时间：20μs±20%</w:t>
            </w:r>
            <w:r/>
          </w:p>
          <w:p>
            <w:pPr>
              <w:rPr>
                <w:rFonts w:hint="eastAsia" w:ascii="宋体" w:hAnsi="宋体" w:cs="宋体"/>
                <w:sz w:val="24"/>
                <w:highlight w:val="none"/>
              </w:rPr>
            </w:pPr>
            <w:r>
              <w:rPr>
                <w:rFonts w:hint="eastAsia" w:ascii="宋体" w:hAnsi="宋体" w:cs="宋体"/>
                <w:sz w:val="24"/>
                <w:highlight w:val="none"/>
              </w:rPr>
              <w:t xml:space="preserve">3.1.3阻抗： 2Ω/12Ω</w:t>
            </w:r>
            <w:r/>
          </w:p>
          <w:p>
            <w:pPr>
              <w:rPr>
                <w:rFonts w:hint="eastAsia" w:ascii="宋体" w:hAnsi="宋体" w:cs="宋体"/>
                <w:sz w:val="24"/>
                <w:highlight w:val="none"/>
              </w:rPr>
            </w:pPr>
            <w:r>
              <w:rPr>
                <w:rFonts w:hint="eastAsia" w:ascii="宋体" w:hAnsi="宋体" w:cs="宋体"/>
                <w:sz w:val="24"/>
                <w:highlight w:val="none"/>
              </w:rPr>
              <w:t xml:space="preserve">3.1.4耦合方式： ANSI / IEC</w:t>
            </w:r>
            <w:r/>
          </w:p>
          <w:p>
            <w:pPr>
              <w:rPr>
                <w:rFonts w:hint="eastAsia" w:ascii="宋体" w:hAnsi="宋体" w:cs="宋体"/>
                <w:sz w:val="24"/>
                <w:highlight w:val="none"/>
              </w:rPr>
            </w:pPr>
            <w:r>
              <w:rPr>
                <w:rFonts w:hint="eastAsia" w:ascii="宋体" w:hAnsi="宋体" w:cs="宋体"/>
                <w:sz w:val="24"/>
                <w:highlight w:val="none"/>
              </w:rPr>
              <w:t xml:space="preserve">3.1.5相关附件：</w:t>
            </w:r>
            <w:r/>
          </w:p>
          <w:p>
            <w:pPr>
              <w:rPr>
                <w:rFonts w:hint="eastAsia" w:ascii="宋体" w:hAnsi="宋体" w:cs="宋体"/>
                <w:sz w:val="24"/>
                <w:highlight w:val="none"/>
              </w:rPr>
            </w:pPr>
            <w:r>
              <w:rPr>
                <w:rFonts w:hint="eastAsia" w:ascii="宋体" w:hAnsi="宋体" w:cs="宋体"/>
                <w:sz w:val="24"/>
                <w:highlight w:val="none"/>
              </w:rPr>
              <w:t xml:space="preserve">主机内置三相耦合去耦网络：额定电压≥240V，工作电流≥16A</w:t>
            </w:r>
            <w:r/>
          </w:p>
          <w:p>
            <w:pPr>
              <w:rPr>
                <w:rFonts w:hint="eastAsia" w:ascii="宋体" w:hAnsi="宋体" w:cs="宋体"/>
                <w:sz w:val="24"/>
                <w:highlight w:val="none"/>
              </w:rPr>
            </w:pPr>
            <w:r>
              <w:rPr>
                <w:rFonts w:hint="eastAsia" w:ascii="宋体" w:hAnsi="宋体" w:cs="宋体"/>
                <w:sz w:val="24"/>
                <w:highlight w:val="none"/>
              </w:rPr>
              <w:t xml:space="preserve">配置三相耦合</w:t>
            </w:r>
            <w:bookmarkStart w:id="899" w:name="OLE_LINK472"/>
            <w:r/>
            <w:bookmarkStart w:id="900" w:name="OLE_LINK473"/>
            <w:r/>
            <w:bookmarkStart w:id="901" w:name="OLE_LINK471"/>
            <w:r>
              <w:rPr>
                <w:rFonts w:hint="eastAsia" w:ascii="宋体" w:hAnsi="宋体" w:cs="宋体"/>
                <w:sz w:val="24"/>
                <w:highlight w:val="none"/>
              </w:rPr>
              <w:t xml:space="preserve">去耦网络：额定线电压≥690V（DC≥1500V），工作电流≥200A网络自动投切。</w:t>
            </w:r>
            <w:r/>
          </w:p>
          <w:p>
            <w:pPr>
              <w:rPr>
                <w:rFonts w:hint="eastAsia" w:ascii="宋体" w:hAnsi="宋体" w:cs="宋体"/>
                <w:sz w:val="24"/>
                <w:highlight w:val="none"/>
              </w:rPr>
            </w:pPr>
            <w:r>
              <w:rPr>
                <w:rFonts w:hint="eastAsia" w:ascii="宋体" w:hAnsi="宋体" w:cs="宋体"/>
                <w:sz w:val="24"/>
                <w:highlight w:val="none"/>
              </w:rPr>
              <w:t xml:space="preserve">3.2满足32A/63A/125A/200A电流校准要求，四档位负载电流档位自动识别或手动切换；</w:t>
            </w:r>
            <w:r/>
          </w:p>
          <w:p>
            <w:pPr>
              <w:rPr>
                <w:rFonts w:hint="eastAsia" w:ascii="宋体" w:hAnsi="宋体" w:cs="宋体"/>
                <w:sz w:val="24"/>
                <w:highlight w:val="none"/>
              </w:rPr>
            </w:pPr>
            <w:r>
              <w:rPr>
                <w:rFonts w:hint="eastAsia" w:ascii="宋体" w:hAnsi="宋体" w:cs="宋体"/>
                <w:sz w:val="24"/>
                <w:highlight w:val="none"/>
              </w:rPr>
              <w:t xml:space="preserve">3.3内置电</w:t>
            </w:r>
            <w:bookmarkStart w:id="902" w:name="OLE_LINK483"/>
            <w:r/>
            <w:bookmarkStart w:id="903" w:name="OLE_LINK482"/>
            <w:r/>
            <w:bookmarkStart w:id="904" w:name="OLE_LINK484"/>
            <w:r>
              <w:rPr>
                <w:rFonts w:hint="eastAsia" w:ascii="宋体" w:hAnsi="宋体" w:cs="宋体"/>
                <w:sz w:val="24"/>
                <w:highlight w:val="none"/>
              </w:rPr>
              <w:t xml:space="preserve">压和电流探头，直接示波器可以</w:t>
            </w:r>
            <w:bookmarkEnd w:id="899"/>
            <w:r/>
            <w:bookmarkEnd w:id="900"/>
            <w:r/>
            <w:bookmarkEnd w:id="901"/>
            <w:r>
              <w:rPr>
                <w:rFonts w:hint="eastAsia" w:ascii="宋体" w:hAnsi="宋体" w:cs="宋体"/>
                <w:sz w:val="24"/>
                <w:highlight w:val="none"/>
              </w:rPr>
              <w:t xml:space="preserve">测波</w:t>
            </w:r>
            <w:bookmarkEnd w:id="902"/>
            <w:r/>
            <w:bookmarkEnd w:id="903"/>
            <w:r/>
            <w:bookmarkEnd w:id="904"/>
            <w:r>
              <w:rPr>
                <w:rFonts w:hint="eastAsia" w:ascii="宋体" w:hAnsi="宋体" w:cs="宋体"/>
                <w:sz w:val="24"/>
                <w:highlight w:val="none"/>
              </w:rPr>
              <w:t xml:space="preserve">形</w:t>
            </w:r>
            <w:r/>
          </w:p>
        </w:tc>
      </w:tr>
      <w:tr>
        <w:trPr>
          <w:jc w:val="center"/>
        </w:trPr>
        <w:tc>
          <w:tcPr>
            <w:tcW w:w="47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4</w:t>
            </w:r>
            <w:r/>
          </w:p>
        </w:tc>
        <w:tc>
          <w:tcPr>
            <w:tcW w:w="85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电压暂降/短时中断抗扰度测试系统</w:t>
            </w:r>
            <w:bookmarkStart w:id="905" w:name="OLE_LINK66"/>
            <w:r/>
            <w:bookmarkStart w:id="906" w:name="OLE_LINK65"/>
            <w:r>
              <w:rPr>
                <w:rFonts w:hint="eastAsia" w:ascii="宋体" w:hAnsi="宋体" w:cs="宋体"/>
                <w:sz w:val="24"/>
                <w:highlight w:val="none"/>
              </w:rPr>
              <w:t xml:space="preserve">（1套）</w:t>
            </w:r>
            <w:bookmarkEnd w:id="905"/>
            <w:r/>
            <w:bookmarkEnd w:id="906"/>
            <w:r/>
            <w:r/>
          </w:p>
        </w:tc>
        <w:tc>
          <w:tcPr>
            <w:tcW w:w="367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≥10寸触摸屏、中英文显示，操作方便；</w:t>
            </w:r>
            <w:r/>
          </w:p>
          <w:p>
            <w:pPr>
              <w:rPr>
                <w:rFonts w:hint="eastAsia" w:ascii="宋体" w:hAnsi="宋体" w:cs="宋体"/>
                <w:sz w:val="24"/>
                <w:highlight w:val="none"/>
              </w:rPr>
            </w:pPr>
            <w:r>
              <w:rPr>
                <w:rFonts w:hint="eastAsia" w:ascii="宋体" w:hAnsi="宋体" w:cs="宋体"/>
                <w:sz w:val="24"/>
                <w:highlight w:val="none"/>
              </w:rPr>
              <w:t xml:space="preserve">电压</w:t>
            </w:r>
            <w:bookmarkStart w:id="907" w:name="OLE_LINK510"/>
            <w:r>
              <w:rPr>
                <w:rFonts w:hint="eastAsia" w:ascii="宋体" w:hAnsi="宋体" w:cs="宋体"/>
                <w:sz w:val="24"/>
                <w:highlight w:val="none"/>
              </w:rPr>
              <w:t xml:space="preserve">变化范围:0% ～120%</w:t>
            </w:r>
            <w:r/>
          </w:p>
          <w:p>
            <w:pPr>
              <w:rPr>
                <w:rFonts w:hint="eastAsia" w:ascii="宋体" w:hAnsi="宋体" w:cs="宋体"/>
                <w:sz w:val="24"/>
                <w:highlight w:val="none"/>
              </w:rPr>
            </w:pPr>
            <w:r>
              <w:rPr>
                <w:rFonts w:hint="eastAsia" w:ascii="宋体" w:hAnsi="宋体" w:cs="宋体"/>
                <w:sz w:val="24"/>
                <w:highlight w:val="none"/>
              </w:rPr>
              <w:t xml:space="preserve">电压变</w:t>
            </w:r>
            <w:bookmarkStart w:id="908" w:name="OLE_LINK386"/>
            <w:r/>
            <w:bookmarkStart w:id="909" w:name="OLE_LINK385"/>
            <w:r>
              <w:rPr>
                <w:rFonts w:hint="eastAsia" w:ascii="宋体" w:hAnsi="宋体" w:cs="宋体"/>
                <w:sz w:val="24"/>
                <w:highlight w:val="none"/>
              </w:rPr>
              <w:t xml:space="preserve">化的持续时间:（1-9999）半周</w:t>
            </w:r>
            <w:r/>
          </w:p>
          <w:p>
            <w:pPr>
              <w:rPr>
                <w:rFonts w:hint="eastAsia" w:ascii="宋体" w:hAnsi="宋体" w:cs="宋体"/>
                <w:sz w:val="24"/>
                <w:highlight w:val="none"/>
              </w:rPr>
            </w:pPr>
            <w:r>
              <w:rPr>
                <w:rFonts w:hint="eastAsia" w:ascii="宋体" w:hAnsi="宋体" w:cs="宋体"/>
                <w:sz w:val="24"/>
                <w:highlight w:val="none"/>
              </w:rPr>
              <w:t xml:space="preserve">切换相位设定:0°～360°或异步分辨率：1°</w:t>
            </w:r>
            <w:r/>
          </w:p>
          <w:p>
            <w:pPr>
              <w:rPr>
                <w:rFonts w:hint="eastAsia" w:ascii="宋体" w:hAnsi="宋体" w:cs="宋体"/>
                <w:sz w:val="24"/>
                <w:highlight w:val="none"/>
              </w:rPr>
            </w:pPr>
            <w:r>
              <w:rPr>
                <w:rFonts w:hint="eastAsia" w:ascii="宋体" w:hAnsi="宋体" w:cs="宋体"/>
                <w:sz w:val="24"/>
                <w:highlight w:val="none"/>
              </w:rPr>
              <w:t xml:space="preserve">电压变化的重复次数:（1-60000）次</w:t>
            </w:r>
            <w:r/>
          </w:p>
          <w:p>
            <w:pPr>
              <w:rPr>
                <w:rFonts w:hint="eastAsia" w:ascii="宋体" w:hAnsi="宋体" w:cs="宋体"/>
                <w:sz w:val="24"/>
                <w:highlight w:val="none"/>
              </w:rPr>
            </w:pPr>
            <w:r>
              <w:rPr>
                <w:rFonts w:hint="eastAsia" w:ascii="宋体" w:hAnsi="宋体" w:cs="宋体"/>
                <w:sz w:val="24"/>
                <w:highlight w:val="none"/>
              </w:rPr>
              <w:t xml:space="preserve">电压变化的间隔周期:（1-9999）半周</w:t>
            </w:r>
            <w:r/>
          </w:p>
          <w:p>
            <w:pPr>
              <w:rPr>
                <w:rFonts w:hint="eastAsia" w:ascii="宋体" w:hAnsi="宋体" w:cs="宋体"/>
                <w:sz w:val="24"/>
                <w:highlight w:val="none"/>
              </w:rPr>
            </w:pPr>
            <w:r>
              <w:rPr>
                <w:rFonts w:hint="eastAsia" w:ascii="宋体" w:hAnsi="宋体" w:cs="宋体"/>
                <w:sz w:val="24"/>
                <w:highlight w:val="none"/>
              </w:rPr>
              <w:t xml:space="preserve">工作方式:自动，内部触发</w:t>
            </w:r>
            <w:r/>
          </w:p>
          <w:p>
            <w:pPr>
              <w:rPr>
                <w:rFonts w:hint="eastAsia" w:ascii="宋体" w:hAnsi="宋体" w:cs="宋体"/>
                <w:sz w:val="24"/>
                <w:highlight w:val="none"/>
              </w:rPr>
            </w:pPr>
            <w:r>
              <w:rPr>
                <w:rFonts w:hint="eastAsia" w:ascii="宋体" w:hAnsi="宋体" w:cs="宋体"/>
                <w:sz w:val="24"/>
                <w:highlight w:val="none"/>
              </w:rPr>
              <w:t xml:space="preserve">负载能力：AC380V，Imax 200A；</w:t>
            </w:r>
            <w:bookmarkEnd w:id="907"/>
            <w:r/>
            <w:r/>
          </w:p>
          <w:p>
            <w:pPr>
              <w:ind w:firstLine="1200"/>
              <w:rPr>
                <w:rFonts w:hint="eastAsia" w:ascii="宋体" w:hAnsi="宋体" w:cs="宋体"/>
                <w:sz w:val="24"/>
                <w:highlight w:val="none"/>
              </w:rPr>
            </w:pPr>
            <w:r>
              <w:rPr>
                <w:rFonts w:hint="eastAsia" w:ascii="宋体" w:hAnsi="宋体" w:cs="宋体"/>
                <w:sz w:val="24"/>
                <w:highlight w:val="none"/>
              </w:rPr>
              <w:t xml:space="preserve">DC  1000Vmax，Imax 200A.</w:t>
            </w:r>
            <w:r/>
          </w:p>
          <w:p>
            <w:pPr>
              <w:rPr>
                <w:rFonts w:hint="eastAsia" w:ascii="宋体" w:hAnsi="宋体" w:cs="宋体"/>
                <w:sz w:val="24"/>
                <w:highlight w:val="none"/>
              </w:rPr>
            </w:pPr>
            <w:r>
              <w:rPr>
                <w:rFonts w:hint="eastAsia" w:ascii="宋体" w:hAnsi="宋体" w:cs="宋体"/>
                <w:sz w:val="24"/>
                <w:highlight w:val="none"/>
              </w:rPr>
              <w:t xml:space="preserve">满足标准：IEC/EN61000-4-34 GB/T17626.34</w:t>
            </w:r>
            <w:r/>
          </w:p>
          <w:p>
            <w:pPr>
              <w:rPr>
                <w:rFonts w:hint="eastAsia" w:ascii="宋体" w:hAnsi="宋体" w:cs="宋体"/>
                <w:sz w:val="24"/>
                <w:highlight w:val="none"/>
              </w:rPr>
            </w:pPr>
            <w:r>
              <w:rPr>
                <w:rFonts w:hint="eastAsia" w:ascii="宋体" w:hAnsi="宋体" w:cs="宋体"/>
                <w:sz w:val="24"/>
                <w:highlight w:val="none"/>
              </w:rPr>
              <w:t xml:space="preserve">          IEC/EN61000-4-11 </w:t>
            </w:r>
            <w:bookmarkEnd w:id="908"/>
            <w:r/>
            <w:bookmarkEnd w:id="909"/>
            <w:r>
              <w:rPr>
                <w:rFonts w:hint="eastAsia" w:ascii="宋体" w:hAnsi="宋体" w:cs="宋体"/>
                <w:sz w:val="24"/>
                <w:highlight w:val="none"/>
              </w:rPr>
              <w:t xml:space="preserve">GB/T17626.11</w:t>
            </w:r>
            <w:r/>
          </w:p>
          <w:p>
            <w:pPr>
              <w:ind w:firstLine="1200"/>
              <w:rPr>
                <w:rFonts w:hint="eastAsia" w:ascii="宋体" w:hAnsi="宋体" w:cs="宋体"/>
                <w:sz w:val="24"/>
                <w:highlight w:val="none"/>
              </w:rPr>
            </w:pPr>
            <w:r>
              <w:rPr>
                <w:rFonts w:hint="eastAsia" w:ascii="宋体" w:hAnsi="宋体" w:cs="宋体"/>
                <w:sz w:val="24"/>
                <w:highlight w:val="none"/>
              </w:rPr>
              <w:t xml:space="preserve">IEC/EN61000-4-29 GB/T17626.29</w:t>
            </w:r>
            <w:r/>
          </w:p>
        </w:tc>
      </w:tr>
      <w:tr>
        <w:trPr>
          <w:jc w:val="center"/>
        </w:trPr>
        <w:tc>
          <w:tcPr>
            <w:tcW w:w="47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w:t>
            </w:r>
            <w:r/>
          </w:p>
        </w:tc>
        <w:tc>
          <w:tcPr>
            <w:tcW w:w="85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射频传导骚扰抗扰度测试系统（1套）</w:t>
            </w:r>
            <w:r/>
          </w:p>
        </w:tc>
        <w:tc>
          <w:tcPr>
            <w:tcW w:w="3673"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5.1检验能力覆盖标准：IEC 61000-4-6、GB/T 17626.6、CISPR 35；</w:t>
            </w:r>
            <w:r/>
          </w:p>
          <w:p>
            <w:pPr>
              <w:rPr>
                <w:rFonts w:hint="eastAsia" w:ascii="宋体" w:hAnsi="宋体" w:cs="宋体"/>
                <w:sz w:val="24"/>
                <w:highlight w:val="none"/>
              </w:rPr>
            </w:pPr>
            <w:r>
              <w:rPr>
                <w:rFonts w:hint="eastAsia" w:ascii="宋体" w:hAnsi="宋体" w:cs="宋体"/>
                <w:sz w:val="24"/>
                <w:highlight w:val="none"/>
              </w:rPr>
              <w:t xml:space="preserve">5.2 增加</w:t>
            </w:r>
            <w:bookmarkStart w:id="910" w:name="OLE_LINK383"/>
            <w:r/>
            <w:bookmarkStart w:id="911" w:name="OLE_LINK384"/>
            <w:r>
              <w:rPr>
                <w:rFonts w:hint="eastAsia" w:ascii="宋体" w:hAnsi="宋体" w:cs="宋体"/>
                <w:sz w:val="24"/>
                <w:highlight w:val="none"/>
              </w:rPr>
              <w:t xml:space="preserve">两线200A CDN M2</w:t>
            </w:r>
            <w:r/>
          </w:p>
          <w:p>
            <w:pPr>
              <w:rPr>
                <w:rFonts w:hint="eastAsia" w:ascii="宋体" w:hAnsi="宋体" w:cs="宋体"/>
                <w:sz w:val="24"/>
                <w:highlight w:val="none"/>
              </w:rPr>
            </w:pPr>
            <w:r>
              <w:rPr>
                <w:rFonts w:hint="eastAsia" w:ascii="宋体" w:hAnsi="宋体" w:cs="宋体"/>
                <w:sz w:val="24"/>
                <w:highlight w:val="none"/>
              </w:rPr>
              <w:t xml:space="preserve">    M2（二通道 DC电源网络）DC2000V/200A，含校准件</w:t>
            </w:r>
            <w:r/>
          </w:p>
          <w:p>
            <w:pPr>
              <w:rPr>
                <w:rFonts w:hint="eastAsia" w:ascii="宋体" w:hAnsi="宋体" w:cs="宋体"/>
                <w:sz w:val="24"/>
                <w:highlight w:val="none"/>
              </w:rPr>
            </w:pPr>
            <w:r>
              <w:rPr>
                <w:rFonts w:hint="eastAsia" w:ascii="宋体" w:hAnsi="宋体" w:cs="宋体"/>
                <w:sz w:val="24"/>
                <w:highlight w:val="none"/>
              </w:rPr>
              <w:t xml:space="preserve">5.3 增加四线200A CDN M4</w:t>
            </w:r>
            <w:r/>
          </w:p>
          <w:p>
            <w:pPr>
              <w:rPr>
                <w:rFonts w:hint="eastAsia" w:ascii="宋体" w:hAnsi="宋体" w:cs="宋体"/>
                <w:sz w:val="24"/>
                <w:highlight w:val="none"/>
              </w:rPr>
            </w:pPr>
            <w:r>
              <w:rPr>
                <w:rFonts w:hint="eastAsia" w:ascii="宋体" w:hAnsi="宋体" w:cs="宋体"/>
                <w:sz w:val="24"/>
                <w:highlight w:val="none"/>
              </w:rPr>
              <w:t xml:space="preserve">    M4（二通道 DC电源</w:t>
            </w:r>
            <w:bookmarkEnd w:id="910"/>
            <w:r/>
            <w:bookmarkEnd w:id="911"/>
            <w:r>
              <w:rPr>
                <w:rFonts w:hint="eastAsia" w:ascii="宋体" w:hAnsi="宋体" w:cs="宋体"/>
                <w:sz w:val="24"/>
                <w:highlight w:val="none"/>
              </w:rPr>
              <w:t xml:space="preserve">网络）AC690V/200A，含校准件</w:t>
            </w:r>
            <w:bookmarkEnd w:id="874"/>
            <w:r/>
            <w:bookmarkEnd w:id="875"/>
            <w:r/>
            <w:r/>
          </w:p>
        </w:tc>
      </w:tr>
    </w:tbl>
    <w:p>
      <w:pPr>
        <w:contextualSpacing/>
        <w:ind w:firstLine="482"/>
        <w:jc w:val="left"/>
        <w:spacing w:line="400" w:lineRule="exact"/>
        <w:shd w:val="clear" w:color="auto"/>
        <w:rPr>
          <w:rFonts w:hint="eastAsia" w:ascii="宋体" w:hAnsi="宋体" w:cs="宋体"/>
          <w:b/>
          <w:bCs/>
          <w:sz w:val="24"/>
          <w:highlight w:val="none"/>
          <w:u w:val="single"/>
          <w:shd w:val="clear" w:color="auto" w:fill="auto"/>
        </w:rPr>
      </w:pPr>
      <w:r/>
      <w:bookmarkStart w:id="912" w:name="_Toc24314"/>
      <w:r>
        <w:rPr>
          <w:rFonts w:hint="eastAsia" w:ascii="宋体" w:hAnsi="宋体" w:cs="宋体"/>
          <w:b/>
          <w:bCs/>
          <w:sz w:val="24"/>
          <w:highlight w:val="none"/>
          <w:u w:val="single"/>
          <w:shd w:val="clear" w:color="auto" w:fill="auto"/>
        </w:rPr>
        <w:t xml:space="preserve">注：以上技术要求中打“★”项为实质性响应参数，如有负偏离，投标文件将作为无效投标处理；其他参数如有负偏离将会引起扣分，具体要求详见“第四章  评标标准”。</w:t>
      </w:r>
      <w:r/>
    </w:p>
    <w:p>
      <w:pPr>
        <w:ind w:firstLine="482"/>
        <w:spacing w:line="400" w:lineRule="exact"/>
        <w:rPr>
          <w:rFonts w:ascii="宋体" w:hAnsi="宋体" w:cs="宋体"/>
          <w:b/>
          <w:sz w:val="24"/>
          <w:highlight w:val="none"/>
        </w:rPr>
        <w:outlineLvl w:val="0"/>
      </w:pPr>
      <w:r>
        <w:rPr>
          <w:rFonts w:hint="eastAsia" w:ascii="宋体" w:hAnsi="宋体" w:cs="宋体"/>
          <w:b/>
          <w:sz w:val="24"/>
          <w:highlight w:val="none"/>
        </w:rPr>
        <w:br w:type="page" w:clear="all"/>
      </w:r>
      <w:r>
        <w:rPr>
          <w:rFonts w:hint="eastAsia" w:ascii="宋体" w:hAnsi="宋体" w:cs="宋体"/>
          <w:b/>
          <w:sz w:val="24"/>
          <w:highlight w:val="none"/>
        </w:rPr>
        <w:t xml:space="preserve">五、其他要求</w:t>
      </w:r>
      <w:bookmarkEnd w:id="912"/>
      <w:r/>
      <w:r/>
    </w:p>
    <w:p>
      <w:pPr>
        <w:ind w:firstLine="482"/>
        <w:spacing w:line="400" w:lineRule="exact"/>
        <w:rPr>
          <w:rFonts w:hint="eastAsia" w:ascii="宋体" w:hAnsi="宋体" w:cs="宋体"/>
          <w:b/>
          <w:sz w:val="24"/>
          <w:highlight w:val="none"/>
        </w:rPr>
        <w:outlineLvl w:val="0"/>
      </w:pPr>
      <w:r/>
      <w:bookmarkStart w:id="913" w:name="_Toc30588"/>
      <w:r>
        <w:rPr>
          <w:rFonts w:hint="eastAsia" w:ascii="宋体" w:hAnsi="宋体" w:cs="宋体"/>
          <w:b/>
          <w:sz w:val="24"/>
          <w:highlight w:val="none"/>
        </w:rPr>
        <w:t xml:space="preserve">（一）基本要求</w:t>
      </w:r>
      <w:bookmarkEnd w:id="913"/>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1.中标人必须按照合同签订的时间要求将仪器设备运至采购单位，安装调试并经采购人验收合格后方可认为交货完成。中标人提供的设备必须是新的和未使用过的设备。仪器设备到达安装现场后，中标人应提供详细发货清单，由采购人打开包装验货、检查货物数量。验收中发现设备无法正常运行或设备硬件、软件问题由厂家免费更换。设备经三次验收未通过，采购人有权要求退货，解除合同，给采购人造成损失的，应赔偿相应损失（合同金额的10%）。无正当理由延期交付的，中标人将承担相应赔偿。</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中标人必须能保证所提供设备涉及到的知识产权和所提供的软件、技术资料是合法取得，享有完整的知识产权，不会因为采购人的使用被责令停止使用、追偿或要求赔偿损失，如出现此情况，一切经济和法律责任均由中标人承担。</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所有设备和附配件必须为合格产品，质量符合国际或国家通用标准，应符合其规定的性能、无瑕疵和缺陷，必须有质量检验合格证、装箱单、产品安装使用说明书等相关资料。如产品出现质量问题或系假冒伪劣产品，中标人负责包退、包换，发生的费用由中标人负责。</w:t>
      </w:r>
      <w:r/>
    </w:p>
    <w:p>
      <w:pPr>
        <w:ind w:firstLine="482"/>
        <w:spacing w:line="400" w:lineRule="exact"/>
        <w:rPr>
          <w:rFonts w:hint="eastAsia" w:ascii="宋体" w:hAnsi="宋体" w:cs="宋体"/>
          <w:b/>
          <w:sz w:val="24"/>
          <w:highlight w:val="none"/>
        </w:rPr>
        <w:outlineLvl w:val="0"/>
      </w:pPr>
      <w:r/>
      <w:bookmarkStart w:id="914" w:name="_Toc14320"/>
      <w:r>
        <w:rPr>
          <w:rFonts w:hint="eastAsia" w:ascii="宋体" w:hAnsi="宋体" w:cs="宋体"/>
          <w:b/>
          <w:sz w:val="24"/>
          <w:highlight w:val="none"/>
        </w:rPr>
        <w:t xml:space="preserve">（二）暗室及屏蔽房供货要求</w:t>
      </w:r>
      <w:bookmarkEnd w:id="914"/>
      <w:r/>
      <w:r/>
    </w:p>
    <w:p>
      <w:pPr>
        <w:ind w:firstLine="482"/>
        <w:spacing w:line="400" w:lineRule="exact"/>
        <w:widowControl/>
        <w:rPr>
          <w:rFonts w:hint="eastAsia" w:ascii="宋体" w:hAnsi="宋体" w:cs="宋体"/>
          <w:b/>
          <w:bCs/>
          <w:sz w:val="24"/>
          <w:highlight w:val="none"/>
          <w:u w:val="single"/>
        </w:rPr>
      </w:pPr>
      <w:r/>
      <w:bookmarkStart w:id="915" w:name="OLE_LINK69"/>
      <w:r/>
      <w:bookmarkStart w:id="916" w:name="OLE_LINK68"/>
      <w:r>
        <w:rPr>
          <w:rFonts w:hint="eastAsia" w:ascii="宋体" w:hAnsi="宋体" w:cs="宋体"/>
          <w:b/>
          <w:bCs/>
          <w:sz w:val="24"/>
          <w:highlight w:val="none"/>
          <w:u w:val="single"/>
        </w:rPr>
        <w:t xml:space="preserve">★</w:t>
      </w:r>
      <w:bookmarkEnd w:id="915"/>
      <w:r/>
      <w:bookmarkEnd w:id="916"/>
      <w:r>
        <w:rPr>
          <w:rFonts w:hint="eastAsia" w:ascii="宋体" w:hAnsi="宋体" w:cs="宋体"/>
          <w:b/>
          <w:bCs/>
          <w:sz w:val="24"/>
          <w:highlight w:val="none"/>
          <w:u w:val="single"/>
        </w:rPr>
        <w:t xml:space="preserve">1</w:t>
      </w:r>
      <w:bookmarkStart w:id="917" w:name="OLE_LINK296"/>
      <w:r/>
      <w:bookmarkStart w:id="918" w:name="OLE_LINK297"/>
      <w:r>
        <w:rPr>
          <w:rFonts w:hint="eastAsia" w:ascii="宋体" w:hAnsi="宋体" w:cs="宋体"/>
          <w:b/>
          <w:bCs/>
          <w:sz w:val="24"/>
          <w:highlight w:val="none"/>
          <w:u w:val="single"/>
        </w:rPr>
        <w:t xml:space="preserve">.投标</w:t>
      </w:r>
      <w:bookmarkStart w:id="919" w:name="OLE_LINK67"/>
      <w:r>
        <w:rPr>
          <w:rFonts w:hint="eastAsia" w:ascii="宋体" w:hAnsi="宋体" w:cs="宋体"/>
          <w:b/>
          <w:bCs/>
          <w:sz w:val="24"/>
          <w:highlight w:val="none"/>
          <w:u w:val="single"/>
        </w:rPr>
        <w:t xml:space="preserve">人应承诺所提供的仪器设备免费维修保修期不低于下表</w:t>
      </w:r>
      <w:bookmarkEnd w:id="919"/>
      <w:r>
        <w:rPr>
          <w:rFonts w:hint="eastAsia" w:ascii="宋体" w:hAnsi="宋体" w:cs="宋体"/>
          <w:b/>
          <w:bCs/>
          <w:sz w:val="24"/>
          <w:highlight w:val="none"/>
          <w:u w:val="single"/>
        </w:rPr>
        <w:t xml:space="preserve">年限，投标文件中提供免费保修承诺</w:t>
      </w:r>
      <w:bookmarkStart w:id="920" w:name="OLE_LINK70"/>
      <w:r/>
      <w:bookmarkStart w:id="921" w:name="OLE_LINK71"/>
      <w:r>
        <w:rPr>
          <w:rFonts w:hint="eastAsia" w:ascii="宋体" w:hAnsi="宋体" w:cs="宋体"/>
          <w:b/>
          <w:bCs/>
          <w:sz w:val="24"/>
          <w:highlight w:val="none"/>
          <w:u w:val="single"/>
        </w:rPr>
        <w:t xml:space="preserve">并列出相应配置、配件报价清单</w:t>
      </w:r>
      <w:bookmarkEnd w:id="917"/>
      <w:r/>
      <w:bookmarkEnd w:id="918"/>
      <w:r>
        <w:rPr>
          <w:rFonts w:hint="eastAsia" w:ascii="宋体" w:hAnsi="宋体" w:cs="宋体"/>
          <w:b/>
          <w:bCs/>
          <w:sz w:val="24"/>
          <w:highlight w:val="none"/>
          <w:u w:val="single"/>
        </w:rPr>
        <w:t xml:space="preserve">。计量校准费用（包含在总价内，并列出分项价格）</w:t>
      </w:r>
      <w:bookmarkEnd w:id="920"/>
      <w:r/>
      <w:bookmarkEnd w:id="921"/>
      <w:r>
        <w:rPr>
          <w:rFonts w:hint="eastAsia" w:ascii="宋体" w:hAnsi="宋体" w:cs="宋体"/>
          <w:b/>
          <w:bCs/>
          <w:sz w:val="24"/>
          <w:highlight w:val="none"/>
          <w:u w:val="single"/>
        </w:rPr>
        <w:t xml:space="preserve">全部由中标方承担。</w:t>
      </w:r>
      <w:bookmarkStart w:id="922" w:name="OLE_LINK320"/>
      <w:r/>
      <w:bookmarkStart w:id="923" w:name="OLE_LINK319"/>
      <w:r/>
      <w:bookmarkStart w:id="924" w:name="OLE_LINK300"/>
      <w:r/>
      <w:bookmarkStart w:id="925" w:name="OLE_LINK299"/>
      <w:r/>
      <w:bookmarkStart w:id="926" w:name="OLE_LINK298"/>
      <w:r>
        <w:rPr>
          <w:rFonts w:hint="eastAsia" w:ascii="宋体" w:hAnsi="宋体" w:cs="宋体"/>
          <w:b/>
          <w:bCs/>
          <w:sz w:val="24"/>
          <w:highlight w:val="none"/>
          <w:u w:val="single"/>
        </w:rPr>
        <w:t xml:space="preserve">（此项为实质性响应条款，不按要求提供承诺及相应清单，投标文件将作为无效投标处理）</w:t>
      </w:r>
      <w:bookmarkEnd w:id="922"/>
      <w:r/>
      <w:bookmarkEnd w:id="923"/>
      <w:r/>
      <w:bookmarkEnd w:id="924"/>
      <w:r/>
      <w:bookmarkEnd w:id="925"/>
      <w:r/>
      <w:bookmarkEnd w:id="926"/>
      <w:r/>
      <w:r/>
    </w:p>
    <w:tbl>
      <w:tblPr>
        <w:tblStyle w:val="9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5590"/>
        <w:gridCol w:w="1691"/>
      </w:tblGrid>
      <w:tr>
        <w:trPr>
          <w:jc w:val="center"/>
          <w:trHeight w:val="407"/>
        </w:trPr>
        <w:tc>
          <w:tcPr>
            <w:tcW w:w="727"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27" w:name="_Toc20565"/>
            <w:r>
              <w:rPr>
                <w:rFonts w:hint="eastAsia" w:ascii="宋体" w:hAnsi="宋体" w:cs="宋体"/>
                <w:bCs/>
                <w:sz w:val="24"/>
                <w:highlight w:val="none"/>
              </w:rPr>
              <w:t xml:space="preserve">序号</w:t>
            </w:r>
            <w:bookmarkEnd w:id="927"/>
            <w:r/>
            <w:r/>
          </w:p>
        </w:tc>
        <w:tc>
          <w:tcPr>
            <w:tcW w:w="3280"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28" w:name="_Toc21202"/>
            <w:r>
              <w:rPr>
                <w:rFonts w:hint="eastAsia" w:ascii="宋体" w:hAnsi="宋体" w:cs="宋体"/>
                <w:bCs/>
                <w:sz w:val="24"/>
                <w:highlight w:val="none"/>
              </w:rPr>
              <w:t xml:space="preserve">仪器名称</w:t>
            </w:r>
            <w:bookmarkEnd w:id="928"/>
            <w:r/>
            <w:r/>
          </w:p>
        </w:tc>
        <w:tc>
          <w:tcPr>
            <w:tcW w:w="992"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29" w:name="_Toc7562"/>
            <w:r>
              <w:rPr>
                <w:rFonts w:hint="eastAsia" w:ascii="宋体" w:hAnsi="宋体" w:cs="宋体"/>
                <w:bCs/>
                <w:sz w:val="24"/>
                <w:highlight w:val="none"/>
              </w:rPr>
              <w:t xml:space="preserve">年限</w:t>
            </w:r>
            <w:bookmarkEnd w:id="929"/>
            <w:r/>
            <w:r/>
          </w:p>
        </w:tc>
      </w:tr>
      <w:tr>
        <w:trPr>
          <w:jc w:val="center"/>
          <w:trHeight w:val="380"/>
        </w:trPr>
        <w:tc>
          <w:tcPr>
            <w:tcW w:w="727"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30" w:name="_Toc26443"/>
            <w:r/>
            <w:bookmarkStart w:id="931" w:name="OLE_LINK308"/>
            <w:r/>
            <w:bookmarkStart w:id="932" w:name="OLE_LINK307"/>
            <w:r/>
            <w:bookmarkStart w:id="933" w:name="_Hlk223812614"/>
            <w:r/>
            <w:bookmarkStart w:id="934" w:name="OLE_LINK303"/>
            <w:r/>
            <w:bookmarkStart w:id="935" w:name="OLE_LINK304"/>
            <w:r/>
            <w:bookmarkStart w:id="936" w:name="_Hlk223812586"/>
            <w:r/>
            <w:bookmarkStart w:id="937" w:name="OLE_LINK305"/>
            <w:r/>
            <w:bookmarkStart w:id="938" w:name="OLE_LINK306"/>
            <w:r/>
            <w:bookmarkStart w:id="939" w:name="OLE_LINK301"/>
            <w:r/>
            <w:bookmarkStart w:id="940" w:name="_Hlk223812580"/>
            <w:r/>
            <w:bookmarkStart w:id="941" w:name="OLE_LINK302"/>
            <w:r>
              <w:rPr>
                <w:rFonts w:hint="eastAsia" w:ascii="宋体" w:hAnsi="宋体" w:cs="宋体"/>
                <w:bCs/>
                <w:sz w:val="24"/>
                <w:highlight w:val="none"/>
              </w:rPr>
              <w:t xml:space="preserve">1</w:t>
            </w:r>
            <w:bookmarkEnd w:id="930"/>
            <w:r/>
            <w:r/>
          </w:p>
        </w:tc>
        <w:tc>
          <w:tcPr>
            <w:tcW w:w="3280"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42" w:name="_Toc27392"/>
            <w:r>
              <w:rPr>
                <w:rFonts w:hint="eastAsia" w:ascii="宋体" w:hAnsi="宋体" w:cs="宋体"/>
                <w:bCs/>
                <w:sz w:val="24"/>
                <w:highlight w:val="none"/>
              </w:rPr>
              <w:t xml:space="preserve">暗室主体：屏蔽体、铁氧体、吸波材料</w:t>
            </w:r>
            <w:bookmarkEnd w:id="942"/>
            <w:r/>
            <w:r/>
          </w:p>
        </w:tc>
        <w:tc>
          <w:tcPr>
            <w:tcW w:w="992"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43" w:name="_Toc24808"/>
            <w:r>
              <w:rPr>
                <w:rFonts w:hint="eastAsia" w:ascii="宋体" w:hAnsi="宋体" w:cs="宋体"/>
                <w:bCs/>
                <w:sz w:val="24"/>
                <w:highlight w:val="none"/>
              </w:rPr>
              <w:t xml:space="preserve">10年</w:t>
            </w:r>
            <w:bookmarkEnd w:id="943"/>
            <w:r/>
            <w:r/>
          </w:p>
        </w:tc>
      </w:tr>
      <w:tr>
        <w:trPr>
          <w:jc w:val="center"/>
          <w:trHeight w:val="380"/>
        </w:trPr>
        <w:tc>
          <w:tcPr>
            <w:tcW w:w="727"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44" w:name="_Toc20554"/>
            <w:r>
              <w:rPr>
                <w:rFonts w:hint="eastAsia" w:ascii="宋体" w:hAnsi="宋体" w:cs="宋体"/>
                <w:bCs/>
                <w:sz w:val="24"/>
                <w:highlight w:val="none"/>
              </w:rPr>
              <w:t xml:space="preserve">2</w:t>
            </w:r>
            <w:bookmarkEnd w:id="944"/>
            <w:r/>
            <w:r/>
          </w:p>
        </w:tc>
        <w:tc>
          <w:tcPr>
            <w:tcW w:w="3280"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45" w:name="_Toc21061"/>
            <w:r>
              <w:rPr>
                <w:rFonts w:hint="eastAsia" w:ascii="宋体" w:hAnsi="宋体" w:cs="宋体"/>
                <w:bCs/>
                <w:sz w:val="24"/>
                <w:highlight w:val="none"/>
              </w:rPr>
              <w:t xml:space="preserve">暗室整体性能</w:t>
            </w:r>
            <w:bookmarkEnd w:id="945"/>
            <w:r/>
            <w:r/>
          </w:p>
        </w:tc>
        <w:tc>
          <w:tcPr>
            <w:tcW w:w="992"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46" w:name="_Toc20896"/>
            <w:r>
              <w:rPr>
                <w:rFonts w:hint="eastAsia" w:ascii="宋体" w:hAnsi="宋体" w:cs="宋体"/>
                <w:bCs/>
                <w:sz w:val="24"/>
                <w:highlight w:val="none"/>
              </w:rPr>
              <w:t xml:space="preserve">10年</w:t>
            </w:r>
            <w:bookmarkEnd w:id="946"/>
            <w:r/>
            <w:bookmarkEnd w:id="931"/>
            <w:r/>
            <w:bookmarkEnd w:id="932"/>
            <w:r/>
            <w:bookmarkEnd w:id="933"/>
            <w:r/>
            <w:r/>
          </w:p>
        </w:tc>
      </w:tr>
      <w:tr>
        <w:trPr>
          <w:jc w:val="center"/>
          <w:trHeight w:val="380"/>
        </w:trPr>
        <w:tc>
          <w:tcPr>
            <w:tcW w:w="727"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47" w:name="_Toc8861"/>
            <w:r>
              <w:rPr>
                <w:rFonts w:hint="eastAsia" w:ascii="宋体" w:hAnsi="宋体" w:cs="宋体"/>
                <w:bCs/>
                <w:sz w:val="24"/>
                <w:highlight w:val="none"/>
              </w:rPr>
              <w:t xml:space="preserve">3</w:t>
            </w:r>
            <w:bookmarkEnd w:id="947"/>
            <w:r/>
            <w:r/>
          </w:p>
        </w:tc>
        <w:tc>
          <w:tcPr>
            <w:tcW w:w="3280"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48" w:name="_Toc26026"/>
            <w:r>
              <w:rPr>
                <w:rFonts w:hint="eastAsia" w:ascii="宋体" w:hAnsi="宋体" w:cs="宋体"/>
                <w:bCs/>
                <w:sz w:val="24"/>
                <w:highlight w:val="none"/>
              </w:rPr>
              <w:t xml:space="preserve">屏蔽门</w:t>
            </w:r>
            <w:bookmarkEnd w:id="948"/>
            <w:r/>
            <w:r/>
          </w:p>
        </w:tc>
        <w:tc>
          <w:tcPr>
            <w:tcW w:w="992"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49" w:name="_Toc20714"/>
            <w:r>
              <w:rPr>
                <w:rFonts w:hint="eastAsia" w:ascii="宋体" w:hAnsi="宋体" w:cs="宋体"/>
                <w:bCs/>
                <w:sz w:val="24"/>
                <w:highlight w:val="none"/>
              </w:rPr>
              <w:t xml:space="preserve">3年</w:t>
            </w:r>
            <w:bookmarkEnd w:id="949"/>
            <w:r/>
            <w:bookmarkEnd w:id="934"/>
            <w:r/>
            <w:bookmarkEnd w:id="935"/>
            <w:r/>
            <w:bookmarkEnd w:id="936"/>
            <w:r/>
            <w:bookmarkEnd w:id="937"/>
            <w:r/>
            <w:bookmarkEnd w:id="938"/>
            <w:r/>
            <w:r/>
          </w:p>
        </w:tc>
      </w:tr>
      <w:tr>
        <w:trPr>
          <w:jc w:val="center"/>
          <w:trHeight w:val="380"/>
        </w:trPr>
        <w:tc>
          <w:tcPr>
            <w:tcW w:w="727"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50" w:name="_Toc11940"/>
            <w:r>
              <w:rPr>
                <w:rFonts w:hint="eastAsia" w:ascii="宋体" w:hAnsi="宋体" w:cs="宋体"/>
                <w:bCs/>
                <w:sz w:val="24"/>
                <w:highlight w:val="none"/>
              </w:rPr>
              <w:t xml:space="preserve">4</w:t>
            </w:r>
            <w:bookmarkEnd w:id="950"/>
            <w:r/>
            <w:r/>
          </w:p>
        </w:tc>
        <w:tc>
          <w:tcPr>
            <w:tcW w:w="3280"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51" w:name="_Toc16631"/>
            <w:r>
              <w:rPr>
                <w:rFonts w:hint="eastAsia" w:ascii="宋体" w:hAnsi="宋体" w:cs="宋体"/>
                <w:bCs/>
                <w:sz w:val="24"/>
                <w:highlight w:val="none"/>
              </w:rPr>
              <w:t xml:space="preserve">转台、天线塔</w:t>
            </w:r>
            <w:bookmarkEnd w:id="951"/>
            <w:r/>
            <w:r/>
          </w:p>
        </w:tc>
        <w:tc>
          <w:tcPr>
            <w:tcW w:w="992"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52" w:name="_Toc10661"/>
            <w:r>
              <w:rPr>
                <w:rFonts w:hint="eastAsia" w:ascii="宋体" w:hAnsi="宋体" w:cs="宋体"/>
                <w:bCs/>
                <w:sz w:val="24"/>
                <w:highlight w:val="none"/>
              </w:rPr>
              <w:t xml:space="preserve">3年</w:t>
            </w:r>
            <w:bookmarkEnd w:id="952"/>
            <w:r/>
            <w:r/>
          </w:p>
        </w:tc>
      </w:tr>
      <w:tr>
        <w:trPr>
          <w:jc w:val="center"/>
          <w:trHeight w:val="380"/>
        </w:trPr>
        <w:tc>
          <w:tcPr>
            <w:tcW w:w="727"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53" w:name="_Toc27156"/>
            <w:r>
              <w:rPr>
                <w:rFonts w:hint="eastAsia" w:ascii="宋体" w:hAnsi="宋体" w:cs="宋体"/>
                <w:bCs/>
                <w:sz w:val="24"/>
                <w:highlight w:val="none"/>
              </w:rPr>
              <w:t xml:space="preserve">5</w:t>
            </w:r>
            <w:bookmarkEnd w:id="953"/>
            <w:r/>
            <w:r/>
          </w:p>
        </w:tc>
        <w:tc>
          <w:tcPr>
            <w:tcW w:w="3280"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54" w:name="_Toc27916"/>
            <w:r>
              <w:rPr>
                <w:rFonts w:hint="eastAsia" w:ascii="宋体" w:hAnsi="宋体" w:cs="宋体"/>
                <w:bCs/>
                <w:sz w:val="24"/>
                <w:highlight w:val="none"/>
              </w:rPr>
              <w:t xml:space="preserve">滤波器</w:t>
            </w:r>
            <w:bookmarkEnd w:id="954"/>
            <w:r/>
            <w:r/>
          </w:p>
        </w:tc>
        <w:tc>
          <w:tcPr>
            <w:tcW w:w="992"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55" w:name="_Toc15432"/>
            <w:r>
              <w:rPr>
                <w:rFonts w:hint="eastAsia" w:ascii="宋体" w:hAnsi="宋体" w:cs="宋体"/>
                <w:bCs/>
                <w:sz w:val="24"/>
                <w:highlight w:val="none"/>
              </w:rPr>
              <w:t xml:space="preserve">3年</w:t>
            </w:r>
            <w:bookmarkEnd w:id="955"/>
            <w:r/>
            <w:r/>
          </w:p>
        </w:tc>
      </w:tr>
      <w:tr>
        <w:trPr>
          <w:jc w:val="center"/>
          <w:trHeight w:val="380"/>
        </w:trPr>
        <w:tc>
          <w:tcPr>
            <w:tcW w:w="727"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56" w:name="_Toc5981"/>
            <w:r>
              <w:rPr>
                <w:rFonts w:hint="eastAsia" w:ascii="宋体" w:hAnsi="宋体" w:cs="宋体"/>
                <w:bCs/>
                <w:sz w:val="24"/>
                <w:highlight w:val="none"/>
              </w:rPr>
              <w:t xml:space="preserve">6</w:t>
            </w:r>
            <w:bookmarkEnd w:id="956"/>
            <w:r/>
            <w:r/>
          </w:p>
        </w:tc>
        <w:tc>
          <w:tcPr>
            <w:tcW w:w="3280"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57" w:name="_Toc30771"/>
            <w:r>
              <w:rPr>
                <w:rFonts w:hint="eastAsia" w:ascii="宋体" w:hAnsi="宋体" w:cs="宋体"/>
                <w:bCs/>
                <w:sz w:val="24"/>
                <w:highlight w:val="none"/>
              </w:rPr>
              <w:t xml:space="preserve">其他部分</w:t>
            </w:r>
            <w:bookmarkEnd w:id="957"/>
            <w:r/>
            <w:r/>
          </w:p>
        </w:tc>
        <w:tc>
          <w:tcPr>
            <w:tcW w:w="992" w:type="pct"/>
            <w:vAlign w:val="center"/>
            <w:textDirection w:val="lrTb"/>
            <w:noWrap w:val="false"/>
          </w:tcPr>
          <w:p>
            <w:pPr>
              <w:jc w:val="center"/>
              <w:spacing w:line="400" w:lineRule="exact"/>
              <w:rPr>
                <w:rFonts w:hint="eastAsia" w:ascii="宋体" w:hAnsi="宋体" w:cs="宋体"/>
                <w:bCs/>
                <w:sz w:val="24"/>
                <w:highlight w:val="none"/>
              </w:rPr>
              <w:outlineLvl w:val="0"/>
            </w:pPr>
            <w:r/>
            <w:bookmarkStart w:id="958" w:name="_Toc23070"/>
            <w:r>
              <w:rPr>
                <w:rFonts w:hint="eastAsia" w:ascii="宋体" w:hAnsi="宋体" w:cs="宋体"/>
                <w:bCs/>
                <w:sz w:val="24"/>
                <w:highlight w:val="none"/>
              </w:rPr>
              <w:t xml:space="preserve">3年</w:t>
            </w:r>
            <w:bookmarkEnd w:id="958"/>
            <w:r/>
            <w:bookmarkEnd w:id="939"/>
            <w:r/>
            <w:bookmarkEnd w:id="940"/>
            <w:r/>
            <w:bookmarkEnd w:id="941"/>
            <w:r/>
            <w:r/>
          </w:p>
        </w:tc>
      </w:tr>
    </w:tbl>
    <w:p>
      <w:pPr>
        <w:ind w:firstLine="482"/>
        <w:spacing w:line="400" w:lineRule="exact"/>
        <w:rPr>
          <w:rFonts w:hint="eastAsia" w:ascii="宋体" w:hAnsi="宋体" w:cs="宋体"/>
          <w:b/>
          <w:sz w:val="24"/>
          <w:highlight w:val="none"/>
        </w:rPr>
        <w:outlineLvl w:val="0"/>
      </w:pPr>
      <w:r/>
      <w:bookmarkStart w:id="959" w:name="_Toc22282"/>
      <w:r>
        <w:rPr>
          <w:rFonts w:hint="eastAsia" w:ascii="宋体" w:hAnsi="宋体" w:cs="宋体"/>
          <w:b/>
          <w:sz w:val="24"/>
          <w:highlight w:val="none"/>
        </w:rPr>
        <w:t xml:space="preserve">（三）设备供货要求</w:t>
      </w:r>
      <w:bookmarkEnd w:id="959"/>
      <w:r/>
      <w:r/>
    </w:p>
    <w:p>
      <w:pPr>
        <w:numPr>
          <w:ilvl w:val="0"/>
          <w:numId w:val="11"/>
        </w:num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技术规格、参数（投标时必须严格按照招标技术参数做出技术偏差的响应），投标方应明确提供设备配件的详细清单及使用说明书(名称、品牌、型号规格、技术参数及性能、数量、单价、制造商全称及制造地点等)。</w:t>
      </w:r>
      <w:r/>
    </w:p>
    <w:p>
      <w:pPr>
        <w:numPr>
          <w:ilvl w:val="0"/>
          <w:numId w:val="11"/>
        </w:num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投标人提供的仪器仪表的选型必须是近年推出的成熟型号。</w:t>
      </w:r>
      <w:r/>
    </w:p>
    <w:p>
      <w:pPr>
        <w:numPr>
          <w:ilvl w:val="0"/>
          <w:numId w:val="11"/>
        </w:num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投标人必须具有良好的财务状况(中标后提供上年度经审计的财务报表)。</w:t>
      </w:r>
      <w:r/>
    </w:p>
    <w:p>
      <w:pPr>
        <w:numPr>
          <w:ilvl w:val="0"/>
          <w:numId w:val="11"/>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投标人除应承诺按照本项目要求完成软件开发外，还应承诺采购方拥有无限期使用和有偿升级的权利，软件不存在信息泄露等涉及信息安全的问题。</w:t>
      </w:r>
      <w:r/>
    </w:p>
    <w:p>
      <w:pPr>
        <w:numPr>
          <w:ilvl w:val="0"/>
          <w:numId w:val="11"/>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投标人提供设备相关的各种文件应真实、有效、能指导设备的维修、操作及分析。</w:t>
      </w:r>
      <w:r/>
    </w:p>
    <w:p>
      <w:pPr>
        <w:numPr>
          <w:ilvl w:val="0"/>
          <w:numId w:val="11"/>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在安装、调试、验收过程中，如发现有漏项、缺件，中标方应无条件、无偿补齐，所发生的一切费用，视为已包含在投标报价之中，且并不因此而影响交付采购方使用的时间。</w:t>
      </w:r>
      <w:r/>
    </w:p>
    <w:p>
      <w:pPr>
        <w:numPr>
          <w:ilvl w:val="0"/>
          <w:numId w:val="11"/>
        </w:numPr>
        <w:ind w:firstLine="480"/>
        <w:spacing w:line="400" w:lineRule="exact"/>
        <w:rPr>
          <w:rFonts w:hint="eastAsia" w:ascii="宋体" w:hAnsi="宋体" w:cs="宋体"/>
          <w:sz w:val="24"/>
          <w:highlight w:val="none"/>
        </w:rPr>
      </w:pPr>
      <w:r/>
      <w:bookmarkStart w:id="960" w:name="OLE_LINK318"/>
      <w:r/>
      <w:bookmarkStart w:id="961" w:name="OLE_LINK317"/>
      <w:r>
        <w:rPr>
          <w:rFonts w:hint="eastAsia" w:ascii="宋体" w:hAnsi="宋体" w:cs="宋体"/>
          <w:sz w:val="24"/>
          <w:highlight w:val="none"/>
        </w:rPr>
        <w:t xml:space="preserve">设备在用户现场的安装、调试和技术指导工作按预先商定的方案执行，由中标人派技术熟练的专业人员提供安装调试服务。</w:t>
      </w:r>
      <w:bookmarkEnd w:id="960"/>
      <w:r/>
      <w:bookmarkEnd w:id="961"/>
      <w:r/>
      <w:r/>
    </w:p>
    <w:p>
      <w:pPr>
        <w:ind w:firstLine="482"/>
        <w:spacing w:line="400" w:lineRule="exact"/>
        <w:rPr>
          <w:rFonts w:ascii="宋体" w:hAnsi="宋体" w:cs="宋体"/>
          <w:b/>
          <w:sz w:val="24"/>
          <w:highlight w:val="none"/>
        </w:rPr>
        <w:outlineLvl w:val="0"/>
      </w:pPr>
      <w:r/>
      <w:bookmarkStart w:id="962" w:name="_Toc10347"/>
      <w:r>
        <w:rPr>
          <w:rFonts w:hint="eastAsia" w:ascii="宋体" w:hAnsi="宋体" w:cs="宋体"/>
          <w:b/>
          <w:sz w:val="24"/>
          <w:highlight w:val="none"/>
        </w:rPr>
        <w:t xml:space="preserve">（四）安全要求</w:t>
      </w:r>
      <w:bookmarkEnd w:id="962"/>
      <w:r/>
      <w:r/>
    </w:p>
    <w:p>
      <w:pPr>
        <w:ind w:firstLine="480"/>
        <w:spacing w:line="400" w:lineRule="exact"/>
        <w:rPr>
          <w:rFonts w:ascii="宋体" w:hAnsi="宋体" w:cs="宋体"/>
          <w:sz w:val="24"/>
          <w:highlight w:val="none"/>
        </w:rPr>
      </w:pPr>
      <w:r/>
      <w:bookmarkStart w:id="963" w:name="OLE_LINK309"/>
      <w:r/>
      <w:bookmarkStart w:id="964" w:name="OLE_LINK311"/>
      <w:r/>
      <w:bookmarkStart w:id="965" w:name="OLE_LINK310"/>
      <w:r>
        <w:rPr>
          <w:rFonts w:hint="eastAsia" w:ascii="宋体" w:hAnsi="宋体" w:cs="宋体"/>
          <w:sz w:val="24"/>
          <w:highlight w:val="none"/>
        </w:rPr>
        <w:t xml:space="preserve">1.中标人应保证设备及系统不存在危及人身及财产安全的产品缺陷，否则应承担全部法律责任。</w:t>
      </w:r>
      <w:r/>
    </w:p>
    <w:p>
      <w:pPr>
        <w:ind w:firstLine="480"/>
        <w:spacing w:line="400" w:lineRule="exact"/>
        <w:rPr>
          <w:rFonts w:hint="eastAsia" w:ascii="宋体" w:hAnsi="宋体" w:cs="宋体"/>
          <w:b/>
          <w:sz w:val="24"/>
          <w:highlight w:val="none"/>
        </w:rPr>
      </w:pPr>
      <w:r>
        <w:rPr>
          <w:rFonts w:hint="eastAsia" w:ascii="宋体" w:hAnsi="宋体" w:cs="宋体"/>
          <w:sz w:val="24"/>
          <w:highlight w:val="none"/>
        </w:rPr>
        <w:t xml:space="preserve">2.在货物安装、运输过程中产生的一切安全责任事故由中标人承担，采购人不承担由此带来的一切经济、法律责任。</w:t>
      </w:r>
      <w:bookmarkEnd w:id="963"/>
      <w:r/>
      <w:bookmarkEnd w:id="964"/>
      <w:r/>
      <w:bookmarkEnd w:id="965"/>
      <w:r/>
      <w:r/>
    </w:p>
    <w:p>
      <w:pPr>
        <w:ind w:firstLine="482"/>
        <w:spacing w:line="400" w:lineRule="exact"/>
        <w:rPr>
          <w:rFonts w:hint="eastAsia" w:ascii="宋体" w:hAnsi="宋体" w:cs="宋体"/>
          <w:b/>
          <w:sz w:val="24"/>
          <w:highlight w:val="none"/>
        </w:rPr>
        <w:outlineLvl w:val="0"/>
      </w:pPr>
      <w:r/>
      <w:bookmarkStart w:id="966" w:name="_Toc2890"/>
      <w:r>
        <w:rPr>
          <w:rFonts w:hint="eastAsia" w:ascii="宋体" w:hAnsi="宋体" w:cs="宋体"/>
          <w:b/>
          <w:sz w:val="24"/>
          <w:highlight w:val="none"/>
        </w:rPr>
        <w:t xml:space="preserve">六、技术验收</w:t>
      </w:r>
      <w:bookmarkEnd w:id="966"/>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设备安装调试完毕后，</w:t>
      </w:r>
      <w:bookmarkStart w:id="967" w:name="OLE_LINK333"/>
      <w:r/>
      <w:bookmarkStart w:id="968" w:name="OLE_LINK193"/>
      <w:r>
        <w:rPr>
          <w:rFonts w:hint="eastAsia" w:ascii="宋体" w:hAnsi="宋体" w:cs="宋体"/>
          <w:sz w:val="24"/>
          <w:highlight w:val="none"/>
        </w:rPr>
        <w:t xml:space="preserve">由采购方指定的省级及以上</w:t>
      </w:r>
      <w:bookmarkStart w:id="969" w:name="OLE_LINK75"/>
      <w:r/>
      <w:bookmarkStart w:id="970" w:name="OLE_LINK76"/>
      <w:r>
        <w:rPr>
          <w:rFonts w:hint="eastAsia" w:ascii="宋体" w:hAnsi="宋体" w:cs="宋体"/>
          <w:sz w:val="24"/>
          <w:highlight w:val="none"/>
        </w:rPr>
        <w:t xml:space="preserve">国家</w:t>
      </w:r>
      <w:bookmarkEnd w:id="969"/>
      <w:r/>
      <w:bookmarkEnd w:id="970"/>
      <w:r>
        <w:rPr>
          <w:rFonts w:hint="eastAsia" w:ascii="宋体" w:hAnsi="宋体" w:cs="宋体"/>
          <w:sz w:val="24"/>
          <w:highlight w:val="none"/>
        </w:rPr>
        <w:t xml:space="preserve">法定技术机构出具检</w:t>
      </w:r>
      <w:bookmarkEnd w:id="967"/>
      <w:r/>
      <w:bookmarkEnd w:id="968"/>
      <w:r>
        <w:rPr>
          <w:rFonts w:hint="eastAsia" w:ascii="宋体" w:hAnsi="宋体" w:cs="宋体"/>
          <w:sz w:val="24"/>
          <w:highlight w:val="none"/>
        </w:rPr>
        <w:t xml:space="preserve">测报告、检定/校准证书，符合技术要求则验收通过，否则视为验收不通过。</w:t>
      </w:r>
      <w:r/>
    </w:p>
    <w:p>
      <w:pPr>
        <w:ind w:firstLine="482"/>
        <w:spacing w:line="400" w:lineRule="exact"/>
        <w:rPr>
          <w:rFonts w:hint="eastAsia" w:ascii="宋体" w:hAnsi="宋体" w:cs="宋体"/>
          <w:b/>
          <w:sz w:val="24"/>
          <w:highlight w:val="none"/>
        </w:rPr>
        <w:outlineLvl w:val="0"/>
      </w:pPr>
      <w:r/>
      <w:bookmarkStart w:id="971" w:name="_Toc3931"/>
      <w:r>
        <w:rPr>
          <w:rFonts w:hint="eastAsia" w:ascii="宋体" w:hAnsi="宋体" w:cs="宋体"/>
          <w:b/>
          <w:sz w:val="24"/>
          <w:highlight w:val="none"/>
        </w:rPr>
        <w:t xml:space="preserve">（一）暗室及屏蔽房验收</w:t>
      </w:r>
      <w:bookmarkEnd w:id="971"/>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1.采购人根据招标文件及技术合同要求逐条进行确认验收。</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2.项目指</w:t>
      </w:r>
      <w:bookmarkStart w:id="972" w:name="OLE_LINK334"/>
      <w:r>
        <w:rPr>
          <w:rFonts w:hint="eastAsia" w:ascii="宋体" w:hAnsi="宋体" w:cs="宋体"/>
          <w:sz w:val="24"/>
          <w:highlight w:val="none"/>
        </w:rPr>
        <w:t xml:space="preserve">标参数屏蔽效能、NSA（归一化场地衰减（NSA）按照双天线法要求校准两根轴线且NSA验收时暗室地面不允许铺设任何铁氧体及吸波材料）、SVSWR、FU、背景噪声、接地电阻、绝缘耐压的验收应由采购人认可的有资质的机构测试出具第三方测试机构的校准报告</w:t>
      </w:r>
      <w:bookmarkEnd w:id="972"/>
      <w:r>
        <w:rPr>
          <w:rFonts w:hint="eastAsia" w:ascii="宋体" w:hAnsi="宋体" w:cs="宋体"/>
          <w:sz w:val="24"/>
          <w:highlight w:val="none"/>
        </w:rPr>
        <w:t xml:space="preserve">。相关产生的检测或整改费用由中标人负责。</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3.电</w:t>
      </w:r>
      <w:bookmarkStart w:id="973" w:name="OLE_LINK72"/>
      <w:r>
        <w:rPr>
          <w:rFonts w:hint="eastAsia" w:ascii="宋体" w:hAnsi="宋体" w:cs="宋体"/>
          <w:sz w:val="24"/>
          <w:highlight w:val="none"/>
        </w:rPr>
        <w:t xml:space="preserve">波暗室、屏蔽室所使用的材料、粘合剂要求符合环保要求，木板应采用E0级，</w:t>
      </w:r>
      <w:bookmarkStart w:id="974" w:name="OLE_LINK314"/>
      <w:r/>
      <w:bookmarkStart w:id="975" w:name="OLE_LINK312"/>
      <w:r/>
      <w:bookmarkStart w:id="976" w:name="OLE_LINK313"/>
      <w:r>
        <w:rPr>
          <w:rFonts w:hint="eastAsia" w:ascii="宋体" w:hAnsi="宋体" w:cs="宋体"/>
          <w:sz w:val="24"/>
          <w:highlight w:val="none"/>
        </w:rPr>
        <w:t xml:space="preserve">建成后进行空气质量检测，电波暗室、</w:t>
      </w:r>
      <w:bookmarkEnd w:id="973"/>
      <w:r>
        <w:rPr>
          <w:rFonts w:hint="eastAsia" w:ascii="宋体" w:hAnsi="宋体" w:cs="宋体"/>
          <w:sz w:val="24"/>
          <w:highlight w:val="none"/>
        </w:rPr>
        <w:t xml:space="preserve">屏蔽室内空气中甲醛、苯及TVOC的含量应符合GB/T18883标准要求，并应符合国家职业健康安全条例和</w:t>
      </w:r>
      <w:bookmarkEnd w:id="974"/>
      <w:r/>
      <w:bookmarkEnd w:id="975"/>
      <w:r/>
      <w:bookmarkEnd w:id="976"/>
      <w:r>
        <w:rPr>
          <w:rFonts w:hint="eastAsia" w:ascii="宋体" w:hAnsi="宋体" w:cs="宋体"/>
          <w:sz w:val="24"/>
          <w:highlight w:val="none"/>
        </w:rPr>
        <w:t xml:space="preserve">相关人体防护条例</w:t>
      </w:r>
      <w:bookmarkStart w:id="977" w:name="OLE_LINK316"/>
      <w:r>
        <w:rPr>
          <w:rFonts w:hint="eastAsia" w:ascii="宋体" w:hAnsi="宋体" w:cs="宋体"/>
          <w:sz w:val="24"/>
          <w:highlight w:val="none"/>
        </w:rPr>
        <w:t xml:space="preserve">。</w:t>
      </w:r>
      <w:bookmarkStart w:id="978" w:name="OLE_LINK315"/>
      <w:r/>
      <w:bookmarkStart w:id="979" w:name="OLE_LINK73"/>
      <w:r/>
      <w:bookmarkStart w:id="980" w:name="OLE_LINK74"/>
      <w:r>
        <w:rPr>
          <w:rFonts w:hint="eastAsia" w:ascii="宋体" w:hAnsi="宋体" w:cs="宋体"/>
          <w:sz w:val="24"/>
          <w:highlight w:val="none"/>
        </w:rPr>
        <w:t xml:space="preserve">相关产生的检测或整改费用由中标人负责。</w:t>
      </w:r>
      <w:bookmarkEnd w:id="977"/>
      <w:r/>
      <w:bookmarkEnd w:id="978"/>
      <w:r/>
      <w:bookmarkEnd w:id="979"/>
      <w:r/>
      <w:bookmarkEnd w:id="980"/>
      <w:r/>
      <w:r/>
    </w:p>
    <w:p>
      <w:pPr>
        <w:ind w:firstLine="482"/>
        <w:spacing w:line="400" w:lineRule="exact"/>
        <w:rPr>
          <w:rFonts w:hint="eastAsia" w:ascii="宋体" w:hAnsi="宋体" w:cs="宋体"/>
          <w:b/>
          <w:sz w:val="24"/>
          <w:highlight w:val="none"/>
        </w:rPr>
        <w:outlineLvl w:val="0"/>
      </w:pPr>
      <w:r/>
      <w:bookmarkStart w:id="981" w:name="_Toc10254"/>
      <w:r>
        <w:rPr>
          <w:rFonts w:hint="eastAsia" w:ascii="宋体" w:hAnsi="宋体" w:cs="宋体"/>
          <w:b/>
          <w:sz w:val="24"/>
          <w:highlight w:val="none"/>
        </w:rPr>
        <w:t xml:space="preserve">（二）设备验收</w:t>
      </w:r>
      <w:bookmarkEnd w:id="981"/>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1.设备的预验收</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验收工作在采购方现场进行，按设备出厂技术指标、国际通用标准、双方签订的技术协议和双方认可的其他标准及具体验收规程的内容逐项验收。验收的项目至少包括设备名称、主机及附件的型号规格和数量、配套软件、原厂出具的合格证、符合相关规范标准要求的校准报告，说明书、质保书等技术文件，双方逐一开箱验收。</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2.设备的最终验收</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设备通过预验收后由中标人进行设备安装调试。完成后，委托采购方认可的第三方校准机构对相关设备进行校准并出具报告。在校准合格和对相关人员完成培训后，双方技术人员再次按照技术要求进行确认，未发现问题即填写最终验收报告，采购人和中标人共同签字确认。此报告作为支付货款和计算质保期限的依据。</w:t>
      </w:r>
      <w:r/>
    </w:p>
    <w:p>
      <w:pPr>
        <w:contextualSpacing/>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3.投标人应保证所提供货物是全新的、未使用过的、原包装未拆封的商品，完全符合采购产品规定的质量、规格和性能的要求，除有特殊要求外，其余均为标准配置要求，否则采购人有权拒绝验收。 </w:t>
      </w:r>
      <w:r/>
    </w:p>
    <w:p>
      <w:pPr>
        <w:ind w:firstLine="482"/>
        <w:spacing w:line="400" w:lineRule="exact"/>
        <w:rPr>
          <w:rFonts w:hint="eastAsia" w:ascii="宋体" w:hAnsi="宋体" w:cs="宋体"/>
          <w:b/>
          <w:sz w:val="24"/>
          <w:highlight w:val="none"/>
        </w:rPr>
        <w:outlineLvl w:val="0"/>
      </w:pPr>
      <w:r/>
      <w:bookmarkStart w:id="982" w:name="_Toc11891"/>
      <w:r>
        <w:rPr>
          <w:rFonts w:hint="eastAsia" w:ascii="宋体" w:hAnsi="宋体" w:cs="宋体"/>
          <w:b/>
          <w:sz w:val="24"/>
          <w:highlight w:val="none"/>
        </w:rPr>
        <w:t xml:space="preserve">七、质量保证及售后服务要求</w:t>
      </w:r>
      <w:bookmarkEnd w:id="982"/>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（一）免费质保要求</w:t>
      </w:r>
      <w:r/>
    </w:p>
    <w:p>
      <w:pPr>
        <w:ind w:firstLine="482"/>
        <w:spacing w:line="400" w:lineRule="exact"/>
        <w:rPr>
          <w:rFonts w:hint="eastAsia" w:ascii="宋体" w:hAnsi="宋体" w:cs="宋体"/>
          <w:b/>
          <w:bCs/>
          <w:sz w:val="24"/>
          <w:highlight w:val="none"/>
          <w:u w:val="single"/>
        </w:rPr>
      </w:pPr>
      <w:r/>
      <w:bookmarkStart w:id="983" w:name="OLE_LINK464"/>
      <w:r/>
      <w:bookmarkStart w:id="984" w:name="OLE_LINK463"/>
      <w:r>
        <w:rPr>
          <w:rFonts w:hint="eastAsia" w:ascii="宋体" w:hAnsi="宋体" w:cs="宋体"/>
          <w:b/>
          <w:bCs/>
          <w:sz w:val="24"/>
          <w:highlight w:val="none"/>
          <w:u w:val="single"/>
        </w:rPr>
        <w:t xml:space="preserve">★</w:t>
      </w:r>
      <w:bookmarkEnd w:id="983"/>
      <w:r/>
      <w:bookmarkEnd w:id="984"/>
      <w:r>
        <w:rPr>
          <w:rFonts w:hint="eastAsia" w:ascii="宋体" w:hAnsi="宋体" w:cs="宋体"/>
          <w:b/>
          <w:bCs/>
          <w:sz w:val="24"/>
          <w:highlight w:val="none"/>
          <w:u w:val="single"/>
        </w:rPr>
        <w:t xml:space="preserve">1.本</w:t>
      </w:r>
      <w:bookmarkStart w:id="985" w:name="OLE_LINK335"/>
      <w:r/>
      <w:bookmarkStart w:id="986" w:name="OLE_LINK348"/>
      <w:r/>
      <w:bookmarkStart w:id="987" w:name="OLE_LINK347"/>
      <w:r>
        <w:rPr>
          <w:rFonts w:hint="eastAsia" w:ascii="宋体" w:hAnsi="宋体" w:cs="宋体"/>
          <w:b/>
          <w:bCs/>
          <w:sz w:val="24"/>
          <w:highlight w:val="none"/>
          <w:u w:val="single"/>
        </w:rPr>
        <w:t xml:space="preserve">项目配套仪器设备及涉及系统免费质保期不少于一年，自采购方签署最终验收合格报告之日起计算。质保期内，因非人为损坏导致的所有器件（含进口器件）免费更换，因非人为因素出现的任何仪器故障免费维修。若因设备故障导致实验室检测工作停止，中标人必须配合采购方追溯相关损失，严格按照《中华人民共和国产品质量法》相关要求处理质量问题</w:t>
      </w:r>
      <w:bookmarkStart w:id="988" w:name="OLE_LINK466"/>
      <w:r/>
      <w:bookmarkStart w:id="989" w:name="OLE_LINK465"/>
      <w:r>
        <w:rPr>
          <w:rFonts w:hint="eastAsia" w:ascii="宋体" w:hAnsi="宋体" w:cs="宋体"/>
          <w:b/>
          <w:bCs/>
          <w:sz w:val="24"/>
          <w:highlight w:val="none"/>
          <w:u w:val="single"/>
        </w:rPr>
        <w:t xml:space="preserve">。（本项为实质性响应条款，投标文件中提供承诺</w:t>
      </w:r>
      <w:bookmarkStart w:id="990" w:name="OLE_LINK467"/>
      <w:r>
        <w:rPr>
          <w:rFonts w:hint="eastAsia" w:ascii="宋体" w:hAnsi="宋体" w:cs="宋体"/>
          <w:b/>
          <w:bCs/>
          <w:sz w:val="24"/>
          <w:highlight w:val="none"/>
          <w:u w:val="single"/>
        </w:rPr>
        <w:t xml:space="preserve">并加盖投标人公</w:t>
      </w:r>
      <w:bookmarkEnd w:id="990"/>
      <w:r>
        <w:rPr>
          <w:rFonts w:hint="eastAsia" w:ascii="宋体" w:hAnsi="宋体" w:cs="宋体"/>
          <w:b/>
          <w:bCs/>
          <w:sz w:val="24"/>
          <w:highlight w:val="none"/>
          <w:u w:val="single"/>
        </w:rPr>
        <w:t xml:space="preserve">章，未按要求提供</w:t>
      </w:r>
      <w:bookmarkEnd w:id="985"/>
      <w:r/>
      <w:bookmarkEnd w:id="986"/>
      <w:r/>
      <w:bookmarkEnd w:id="987"/>
      <w:r>
        <w:rPr>
          <w:rFonts w:hint="eastAsia" w:ascii="宋体" w:hAnsi="宋体" w:cs="宋体"/>
          <w:b/>
          <w:bCs/>
          <w:sz w:val="24"/>
          <w:highlight w:val="none"/>
          <w:u w:val="single"/>
        </w:rPr>
        <w:t xml:space="preserve">的，投标文件将作为无效投</w:t>
      </w:r>
      <w:bookmarkStart w:id="991" w:name="OLE_LINK547"/>
      <w:r>
        <w:rPr>
          <w:rFonts w:hint="eastAsia" w:ascii="宋体" w:hAnsi="宋体" w:cs="宋体"/>
          <w:b/>
          <w:bCs/>
          <w:sz w:val="24"/>
          <w:highlight w:val="none"/>
          <w:u w:val="single"/>
        </w:rPr>
        <w:t xml:space="preserve">标处理）</w:t>
      </w:r>
      <w:bookmarkEnd w:id="991"/>
      <w:r/>
      <w:bookmarkEnd w:id="988"/>
      <w:r/>
      <w:bookmarkEnd w:id="989"/>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2.退换货与质保延长：质保期内设备或部件因质量问题需退换货的，退换后重新组织验收，验收合格后该设备或部件的质保期相应延长，延长期限与原质保期一致。</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质保期内，中标单位每3个月至少主动上门进行1次质量巡检，内容包含设备运行状态检测、清洁除尘、部件润滑、精度调试校准等，每次巡检后出具《巡检报告》，明确设备状态及优化建议，提前排查潜在故障。</w:t>
      </w:r>
      <w:r/>
    </w:p>
    <w:p>
      <w:pPr>
        <w:ind w:firstLine="482"/>
        <w:spacing w:line="400" w:lineRule="exact"/>
        <w:widowControl/>
        <w:rPr>
          <w:rFonts w:ascii="宋体" w:hAnsi="宋体" w:cs="宋体"/>
          <w:b/>
          <w:sz w:val="24"/>
          <w:highlight w:val="none"/>
        </w:rPr>
      </w:pPr>
      <w:r/>
      <w:bookmarkStart w:id="992" w:name="_Toc11322"/>
      <w:r>
        <w:rPr>
          <w:rFonts w:hint="eastAsia" w:ascii="宋体" w:hAnsi="宋体" w:cs="宋体"/>
          <w:b/>
          <w:sz w:val="24"/>
          <w:highlight w:val="none"/>
        </w:rPr>
        <w:t xml:space="preserve">（二）</w:t>
      </w:r>
      <w:bookmarkEnd w:id="992"/>
      <w:r>
        <w:rPr>
          <w:rFonts w:hint="eastAsia" w:ascii="宋体" w:hAnsi="宋体" w:cs="宋体"/>
          <w:b/>
          <w:sz w:val="24"/>
          <w:highlight w:val="none"/>
        </w:rPr>
        <w:t xml:space="preserve">质</w:t>
      </w:r>
      <w:bookmarkStart w:id="993" w:name="OLE_LINK77"/>
      <w:r/>
      <w:bookmarkStart w:id="994" w:name="OLE_LINK78"/>
      <w:r/>
      <w:bookmarkStart w:id="995" w:name="OLE_LINK79"/>
      <w:r>
        <w:rPr>
          <w:rFonts w:hint="eastAsia" w:ascii="宋体" w:hAnsi="宋体" w:cs="宋体"/>
          <w:b/>
          <w:sz w:val="24"/>
          <w:highlight w:val="none"/>
        </w:rPr>
        <w:t xml:space="preserve">保期内售</w:t>
      </w:r>
      <w:bookmarkEnd w:id="993"/>
      <w:r/>
      <w:bookmarkEnd w:id="994"/>
      <w:r/>
      <w:bookmarkEnd w:id="995"/>
      <w:r>
        <w:rPr>
          <w:rFonts w:hint="eastAsia" w:ascii="宋体" w:hAnsi="宋体" w:cs="宋体"/>
          <w:b/>
          <w:sz w:val="24"/>
          <w:highlight w:val="none"/>
        </w:rPr>
        <w:t xml:space="preserve">后服务要求</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1.基础服务</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免费提供设备安装、调试服务，包含现场场地勘测、安装方案制定、设备就位、系统调试及验收测试等全流程工作。对采购人用户信息进行专属档案登记造册，记录设备信息、操作人员、维修记录、维保计划等内容，实现服务溯源与精准对接。</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2.故障维修响应</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常规故障：接到采购方故障通知后48小时内派遣技术支持工程师到达现场指导、配合故障处理，无特殊情况需在48小时内解决故障。</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紧急情况：12小时内响应并到达现场，优先处理保障检测工作连续性。</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替代保障：在仪器维修期间，中标单位无偿提供与故障设备规格、性能一致的替代仪表，替代仪表的运输、安装、调试均由中标单位负责。</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3.软件升级服务</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持续对仪器硬件及软件进行迭代升级，质保期内免费为采购方提供软件更新升级服务，确保设备技术性能保持先进水平。</w:t>
      </w:r>
      <w:r/>
    </w:p>
    <w:p>
      <w:pPr>
        <w:ind w:firstLine="482"/>
        <w:spacing w:line="400" w:lineRule="exact"/>
        <w:rPr>
          <w:rFonts w:ascii="宋体" w:hAnsi="宋体" w:cs="宋体"/>
          <w:b/>
          <w:sz w:val="24"/>
          <w:highlight w:val="none"/>
        </w:rPr>
        <w:outlineLvl w:val="0"/>
      </w:pPr>
      <w:r/>
      <w:bookmarkStart w:id="996" w:name="_Toc14513"/>
      <w:r>
        <w:rPr>
          <w:rFonts w:hint="eastAsia" w:ascii="宋体" w:hAnsi="宋体" w:cs="宋体"/>
          <w:b/>
          <w:sz w:val="24"/>
          <w:highlight w:val="none"/>
        </w:rPr>
        <w:t xml:space="preserve">（三）质保期后售后服务要求</w:t>
      </w:r>
      <w:bookmarkEnd w:id="996"/>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1.质保期后中标单位仍需提供全面的技术支持、故障维修、备件供应等服务，服务团队与质保期内保持同一标准，确保服务质量不降低。在仪器设备设计使用寿命期内，保证采购人能够采购到原厂正品维修件，维修件供货周期不得超过7个工作日。</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2.质保期后材料只收取成本费，不收取人工费。</w:t>
      </w:r>
      <w:r/>
    </w:p>
    <w:p>
      <w:pPr>
        <w:ind w:firstLine="480"/>
        <w:spacing w:line="400" w:lineRule="exact"/>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质保期后</w:t>
      </w:r>
      <w:r>
        <w:rPr>
          <w:rFonts w:hint="eastAsia" w:ascii="宋体" w:hAnsi="宋体" w:cs="宋体"/>
          <w:sz w:val="24"/>
          <w:highlight w:val="none"/>
        </w:rPr>
        <w:t xml:space="preserve">，中标单位提供的</w:t>
      </w:r>
      <w:r>
        <w:rPr>
          <w:rFonts w:ascii="宋体" w:hAnsi="宋体" w:cs="宋体"/>
          <w:sz w:val="24"/>
          <w:highlight w:val="none"/>
        </w:rPr>
        <w:t xml:space="preserve">维保服务</w:t>
      </w:r>
      <w:r>
        <w:rPr>
          <w:rFonts w:hint="eastAsia" w:ascii="宋体" w:hAnsi="宋体" w:cs="宋体"/>
          <w:sz w:val="24"/>
          <w:highlight w:val="none"/>
        </w:rPr>
        <w:t xml:space="preserve">不低于</w:t>
      </w:r>
      <w:r>
        <w:rPr>
          <w:rFonts w:ascii="宋体" w:hAnsi="宋体" w:cs="宋体"/>
          <w:sz w:val="24"/>
          <w:highlight w:val="none"/>
        </w:rPr>
        <w:t xml:space="preserve">8折优惠，折扣有效期为5年。</w:t>
      </w:r>
      <w:r/>
    </w:p>
    <w:p>
      <w:pPr>
        <w:ind w:firstLine="482"/>
        <w:spacing w:line="400" w:lineRule="exact"/>
        <w:rPr>
          <w:rFonts w:hint="eastAsia" w:ascii="宋体" w:hAnsi="宋体" w:cs="宋体"/>
          <w:b/>
          <w:sz w:val="24"/>
          <w:highlight w:val="none"/>
        </w:rPr>
        <w:outlineLvl w:val="0"/>
      </w:pPr>
      <w:r/>
      <w:bookmarkStart w:id="997" w:name="_Toc6102"/>
      <w:r>
        <w:rPr>
          <w:rFonts w:hint="eastAsia" w:ascii="宋体" w:hAnsi="宋体" w:cs="宋体"/>
          <w:b/>
          <w:sz w:val="24"/>
          <w:highlight w:val="none"/>
        </w:rPr>
        <w:t xml:space="preserve">（四）易损件供应要求</w:t>
      </w:r>
      <w:bookmarkEnd w:id="997"/>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1.供应保障：针对平均使用寿命≤3年的密封件、易损耗部件，承诺长期稳定供应，供货周期不超过3个工作日（国内现货），特殊定制易损件不超过7个工作日。</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2.易损件清单与优惠：投标文件中提供《易损件详细清单》（包含部件名称、型号、平均使用寿命、原厂售价、适用设备型号等信息）及后续采购易损件优惠承诺。</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3.质量保证：投标人必须保证所供易损件均为原厂正品，随货提供质量合格证明文件及原厂授权。若供应非原厂正品，采购人有权终止采购合同并追究投标人违约责任。</w:t>
      </w:r>
      <w:r/>
    </w:p>
    <w:p>
      <w:pPr>
        <w:ind w:firstLine="482"/>
        <w:spacing w:line="400" w:lineRule="exact"/>
        <w:rPr>
          <w:rFonts w:hint="eastAsia" w:ascii="宋体" w:hAnsi="宋体" w:cs="宋体"/>
          <w:b/>
          <w:sz w:val="24"/>
          <w:highlight w:val="none"/>
        </w:rPr>
        <w:outlineLvl w:val="0"/>
      </w:pPr>
      <w:r/>
      <w:bookmarkStart w:id="998" w:name="_Toc27387"/>
      <w:r>
        <w:rPr>
          <w:rFonts w:hint="eastAsia" w:ascii="宋体" w:hAnsi="宋体" w:cs="宋体"/>
          <w:b/>
          <w:sz w:val="24"/>
          <w:highlight w:val="none"/>
        </w:rPr>
        <w:t xml:space="preserve">（五）使用成本优化服务</w:t>
      </w:r>
      <w:bookmarkEnd w:id="998"/>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1.成本说明：详细说明仪器设备使用过程中产生的水、电、气等能源消耗，以及试剂、试块、耗材等物料成本，按要求提供每小时运行成本测算数据，测算依据真实可追溯。能源消耗方面，提供设备正常运行状态下的水、电、气单位时间消耗数据，并附设备铭牌参数或第三方检测报告佐证。</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成本优化方案：试剂、试块、耗材方面，出具详细清单及市场参考价格，通过优化实验流程、提供高性价比替代品、推出批量采购优惠等方式降低使用成本；所提供的替代品与原规格参数兼容，且质量不低于原厂标准。针对试剂、试块、耗材的长期供应，制定专项优惠方案，出具包含批量采购折扣的详细价格表，批量采购折扣梯度清晰明确。</w:t>
      </w:r>
      <w:r/>
    </w:p>
    <w:p>
      <w:pPr>
        <w:ind w:firstLine="482"/>
        <w:spacing w:line="400" w:lineRule="exact"/>
        <w:rPr>
          <w:rFonts w:hint="eastAsia" w:ascii="宋体" w:hAnsi="宋体" w:cs="宋体"/>
          <w:b/>
          <w:sz w:val="24"/>
          <w:highlight w:val="none"/>
        </w:rPr>
        <w:outlineLvl w:val="0"/>
      </w:pPr>
      <w:r/>
      <w:bookmarkStart w:id="999" w:name="_Toc25923"/>
      <w:r>
        <w:rPr>
          <w:rFonts w:hint="eastAsia" w:ascii="宋体" w:hAnsi="宋体" w:cs="宋体"/>
          <w:b/>
          <w:sz w:val="24"/>
          <w:highlight w:val="none"/>
        </w:rPr>
        <w:t xml:space="preserve">（六）技术服务</w:t>
      </w:r>
      <w:bookmarkEnd w:id="999"/>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1.技术咨询支持：投标人必须配备专业技术团队，提供7×24小时技术咨询服务，解答有关标准解读、分析原理、操作应用等问题，协助解决实际样品分析及设备使用过程中的技术难题，响应时间不得超过2小时。</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2.技术难题解决：投标人必须具有相关人员和能力，保证采购方可随时咨询有关标准、分析原理等技术问题，帮助采购方解决仪器使用中的技术问题，为采购方解决实际样品分析中的难题。</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3.设备升级服务：投标人必须持续对仪器硬件及软件进行迭代升级，质保期内免费为采购方提供软件更新升级服务；硬件升级提供多种方案供采购方选择，明确成本明细及优惠政策。</w:t>
      </w:r>
      <w:r/>
    </w:p>
    <w:p>
      <w:pPr>
        <w:ind w:firstLine="482"/>
        <w:spacing w:line="400" w:lineRule="exact"/>
        <w:widowControl/>
        <w:rPr>
          <w:rFonts w:hint="eastAsia" w:ascii="宋体" w:hAnsi="宋体" w:cs="宋体"/>
          <w:b/>
          <w:bCs/>
          <w:sz w:val="24"/>
          <w:highlight w:val="none"/>
        </w:rPr>
      </w:pPr>
      <w:r>
        <w:rPr>
          <w:rFonts w:hint="eastAsia" w:ascii="宋体" w:hAnsi="宋体" w:cs="宋体"/>
          <w:b/>
          <w:bCs/>
          <w:sz w:val="24"/>
          <w:highlight w:val="none"/>
        </w:rPr>
        <w:t xml:space="preserve">（七）培训要求</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1.中标人必须为采购方提供现场技术培训，确保培训效果覆盖系统操作、应用、故障处理全流程，所有培训均免费提供。</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2.培训内容：包括测试标准软件应用功能操作，系统及设备的运行操作、维修保养、校准或标定操作，系统及设备简易故障的判别、排除及调整，各测试系统的实际操作及操作中的注意事项，系统的实际运行使用等。</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3.培训效果验收</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培训效果验收标准为：参训人员独立完成试验操作。能独立完成设备日常清洁、参数校准等基础维护操作，视为培训达标。未达标的，须免费提供二次培训。</w:t>
      </w:r>
      <w:r/>
    </w:p>
    <w:p>
      <w:pPr>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4.后续技术支持：采购方人员在使用设备过程中遇到任何技术问题，投标人提供免费技术支持，可通过电话、远程指导、现场服务等方式协助解决，确保设备正常运行。</w:t>
      </w:r>
      <w:r/>
    </w:p>
    <w:p>
      <w:pPr>
        <w:ind w:firstLine="482"/>
        <w:spacing w:line="400" w:lineRule="exact"/>
        <w:rPr>
          <w:rFonts w:hint="eastAsia" w:ascii="宋体" w:hAnsi="宋体" w:cs="宋体"/>
          <w:b/>
          <w:bCs/>
          <w:sz w:val="24"/>
          <w:highlight w:val="none"/>
        </w:rPr>
        <w:outlineLvl w:val="0"/>
      </w:pPr>
      <w:r/>
      <w:bookmarkStart w:id="1000" w:name="_Toc2802"/>
      <w:r>
        <w:rPr>
          <w:rFonts w:hint="eastAsia" w:ascii="宋体" w:hAnsi="宋体" w:cs="宋体"/>
          <w:b/>
          <w:bCs/>
          <w:sz w:val="24"/>
          <w:highlight w:val="none"/>
        </w:rPr>
        <w:t xml:space="preserve">八、报价要求</w:t>
      </w:r>
      <w:bookmarkEnd w:id="1000"/>
      <w:r/>
      <w:r/>
    </w:p>
    <w:p>
      <w:pPr>
        <w:ind w:firstLine="482"/>
        <w:spacing w:line="400" w:lineRule="exact"/>
        <w:rPr>
          <w:rFonts w:hint="eastAsia" w:ascii="宋体" w:hAnsi="宋体" w:cs="宋体"/>
          <w:bCs/>
          <w:sz w:val="24"/>
          <w:highlight w:val="none"/>
        </w:rPr>
      </w:pPr>
      <w:r>
        <w:rPr>
          <w:rFonts w:hint="eastAsia" w:ascii="宋体" w:hAnsi="宋体" w:cs="宋体"/>
          <w:b/>
          <w:sz w:val="24"/>
          <w:highlight w:val="none"/>
        </w:rPr>
        <w:t xml:space="preserve">1.本项目为固定总价</w:t>
      </w:r>
      <w:r>
        <w:rPr>
          <w:rFonts w:hint="eastAsia" w:ascii="宋体" w:hAnsi="宋体" w:cs="宋体"/>
          <w:bCs/>
          <w:sz w:val="24"/>
          <w:highlight w:val="none"/>
        </w:rPr>
        <w:t xml:space="preserve">，</w:t>
      </w:r>
      <w:bookmarkStart w:id="1001" w:name="OLE_LINK468"/>
      <w:r>
        <w:rPr>
          <w:rFonts w:hint="eastAsia" w:ascii="宋体" w:hAnsi="宋体" w:cs="宋体"/>
          <w:bCs/>
          <w:sz w:val="24"/>
          <w:highlight w:val="none"/>
        </w:rPr>
        <w:t xml:space="preserve">投标人需全面负责设备的设计、制造、配电、运输、安装、试运行、操作及维护培训等，直至通过验收。采购人对技术文件、材料的确认不免除中标人对产品质量、性能指标符合本要求的最终责任。</w:t>
      </w:r>
      <w:bookmarkEnd w:id="1001"/>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2.报价应包括但不限于采购文件及技术要求范围内相应设备制造前的准备（包括现场踏勘、技术核对等）、产品（包括材料、附件、备品备件、专用工具等）、设计、制造、加工、检验、包装、技术资料、发货、运输、保险、检测验收、装卸、安装、设备自身调试、技术指导培训、售后服务、质保期及维保服务等。政策性文件规定及合同包含的所有风险、责任和采购文件所要求的相关服务等全部内容。安装、调试、验收过程中，如发现有漏项、缺件，中标人应无条件、无偿补齐，所发生的一切费用，视为已包含在报价之中，且并不因此而影响交付实际使用人的时间。</w:t>
      </w:r>
      <w:r/>
    </w:p>
    <w:p>
      <w:pPr>
        <w:jc w:val="center"/>
        <w:spacing w:line="360" w:lineRule="auto"/>
        <w:rPr>
          <w:b/>
          <w:sz w:val="36"/>
          <w:szCs w:val="36"/>
          <w:highlight w:val="none"/>
        </w:rPr>
        <w:outlineLvl w:val="0"/>
      </w:pPr>
      <w:r>
        <w:rPr>
          <w:b/>
          <w:sz w:val="36"/>
          <w:szCs w:val="36"/>
          <w:highlight w:val="none"/>
        </w:rPr>
        <w:br w:type="page" w:clear="all"/>
      </w:r>
      <w:bookmarkStart w:id="1002" w:name="_Toc19775"/>
      <w:r>
        <w:rPr>
          <w:b/>
          <w:sz w:val="36"/>
          <w:szCs w:val="36"/>
          <w:highlight w:val="none"/>
        </w:rPr>
        <w:t xml:space="preserve">第六章   拟签订的合同文本</w:t>
      </w:r>
      <w:bookmarkEnd w:id="1002"/>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招标人（甲方）：                          合同编号：</w:t>
      </w:r>
      <w:r/>
    </w:p>
    <w:p>
      <w:pPr>
        <w:spacing w:line="360" w:lineRule="auto"/>
        <w:rPr>
          <w:rFonts w:hint="eastAsia" w:ascii="宋体" w:hAnsi="宋体" w:cs="宋体"/>
          <w:sz w:val="24"/>
          <w:highlight w:val="none"/>
        </w:rPr>
      </w:pPr>
      <w:r>
        <w:rPr>
          <w:rFonts w:hint="eastAsia" w:ascii="宋体" w:hAnsi="宋体" w:cs="宋体"/>
          <w:sz w:val="24"/>
          <w:highlight w:val="none"/>
        </w:rPr>
        <w:t xml:space="preserve">中标人（乙方）：                          签订地点：</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依据《中华人民共和国民法典》以及有关法律、法规的规定，甲方、乙方经协商一致订立本合同。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根据招标编号为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（以下简称：“本项目”）的招标结果，中标人为乙方。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招标文件是构成本合同不可分割的部分：</w:t>
      </w:r>
      <w:r/>
    </w:p>
    <w:p>
      <w:pPr>
        <w:numPr>
          <w:ilvl w:val="0"/>
          <w:numId w:val="12"/>
        </w:num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采购文件：</w:t>
      </w:r>
      <w:r/>
    </w:p>
    <w:p>
      <w:pPr>
        <w:ind w:firstLine="480"/>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招标文件；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乙方提交的投标文件及相关资料。</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二、合同标的型号、规格、数量、技术要求和金额</w:t>
      </w:r>
      <w:r/>
    </w:p>
    <w:p>
      <w:pPr>
        <w:ind w:firstLine="470"/>
        <w:spacing w:line="360" w:lineRule="auto"/>
        <w:rPr>
          <w:rFonts w:hint="eastAsia" w:ascii="宋体" w:hAnsi="宋体" w:cs="宋体"/>
          <w:sz w:val="24"/>
          <w:highlight w:val="none"/>
        </w:rPr>
      </w:pPr>
      <w:r>
        <w:rPr>
          <w:rFonts w:hint="eastAsia" w:ascii="宋体" w:hAnsi="宋体" w:cs="宋体"/>
          <w:sz w:val="24"/>
          <w:highlight w:val="none"/>
        </w:rPr>
        <w:t xml:space="preserve">详见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招标文件。</w:t>
      </w:r>
      <w:r/>
    </w:p>
    <w:tbl>
      <w:tblPr>
        <w:tblStyle w:val="95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1239"/>
        <w:gridCol w:w="755"/>
        <w:gridCol w:w="731"/>
        <w:gridCol w:w="755"/>
        <w:gridCol w:w="1102"/>
        <w:gridCol w:w="1237"/>
        <w:gridCol w:w="1434"/>
      </w:tblGrid>
      <w:tr>
        <w:trPr>
          <w:jc w:val="center"/>
        </w:trPr>
        <w:tc>
          <w:tcPr>
            <w:tcW w:w="7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设备名称</w:t>
            </w:r>
            <w:r/>
          </w:p>
        </w:tc>
        <w:tc>
          <w:tcPr>
            <w:tcW w:w="727"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规格型号</w:t>
            </w:r>
            <w:r/>
          </w:p>
        </w:tc>
        <w:tc>
          <w:tcPr>
            <w:tcW w:w="4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产地</w:t>
            </w:r>
            <w:r/>
          </w:p>
        </w:tc>
        <w:tc>
          <w:tcPr>
            <w:tcW w:w="429"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品牌</w:t>
            </w:r>
            <w:r/>
          </w:p>
        </w:tc>
        <w:tc>
          <w:tcPr>
            <w:tcW w:w="4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单位</w:t>
            </w:r>
            <w:r/>
          </w:p>
        </w:tc>
        <w:tc>
          <w:tcPr>
            <w:tcW w:w="647"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数量</w:t>
            </w:r>
            <w:r/>
          </w:p>
        </w:tc>
        <w:tc>
          <w:tcPr>
            <w:tcW w:w="726"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单价（元）</w:t>
            </w:r>
            <w:r/>
          </w:p>
        </w:tc>
        <w:tc>
          <w:tcPr>
            <w:tcW w:w="838"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t xml:space="preserve">成交总金额含税价（元）</w:t>
            </w:r>
            <w:r/>
          </w:p>
        </w:tc>
      </w:tr>
      <w:tr>
        <w:trPr>
          <w:jc w:val="center"/>
          <w:trHeight w:val="454"/>
        </w:trPr>
        <w:tc>
          <w:tcPr>
            <w:tcW w:w="7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727"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4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429"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4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647"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726"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838"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r>
      <w:tr>
        <w:trPr>
          <w:jc w:val="center"/>
          <w:trHeight w:val="454"/>
        </w:trPr>
        <w:tc>
          <w:tcPr>
            <w:tcW w:w="7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727"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4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429"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4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647"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726"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838"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r>
      <w:tr>
        <w:trPr>
          <w:jc w:val="center"/>
          <w:trHeight w:val="454"/>
        </w:trPr>
        <w:tc>
          <w:tcPr>
            <w:tcW w:w="7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727"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4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429"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443"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647"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726"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c>
          <w:tcPr>
            <w:tcW w:w="838" w:type="pct"/>
            <w:vAlign w:val="center"/>
            <w:textDirection w:val="lrTb"/>
            <w:noWrap w:val="false"/>
          </w:tcPr>
          <w:p>
            <w:pPr>
              <w:jc w:val="center"/>
              <w:rPr>
                <w:rFonts w:hint="eastAsia" w:ascii="宋体" w:hAnsi="宋体" w:cs="宋体"/>
                <w:bCs/>
                <w:sz w:val="24"/>
                <w:highlight w:val="none"/>
              </w:rPr>
            </w:pPr>
            <w:r>
              <w:rPr>
                <w:rFonts w:hint="eastAsia" w:ascii="宋体" w:hAnsi="宋体" w:cs="宋体"/>
                <w:bCs/>
                <w:sz w:val="24"/>
                <w:highlight w:val="none"/>
              </w:rPr>
            </w:r>
            <w:r/>
          </w:p>
        </w:tc>
      </w:tr>
      <w:tr>
        <w:trPr>
          <w:jc w:val="center"/>
          <w:trHeight w:val="536"/>
        </w:trPr>
        <w:tc>
          <w:tcPr>
            <w:gridSpan w:val="8"/>
            <w:tcW w:w="5000" w:type="pct"/>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sz w:val="24"/>
                <w:highlight w:val="none"/>
              </w:rPr>
              <w:t xml:space="preserve">【合计金额】人民币大写：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元整（小写:</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tc>
      </w:tr>
    </w:tbl>
    <w:p>
      <w:pPr>
        <w:numPr>
          <w:ilvl w:val="0"/>
          <w:numId w:val="13"/>
        </w:numPr>
        <w:ind w:firstLine="482"/>
        <w:spacing w:line="400" w:lineRule="exact"/>
        <w:rPr>
          <w:rFonts w:hint="eastAsia" w:ascii="宋体" w:hAnsi="宋体" w:cs="宋体"/>
          <w:b/>
          <w:sz w:val="24"/>
          <w:highlight w:val="none"/>
        </w:rPr>
      </w:pPr>
      <w:r>
        <w:rPr>
          <w:b/>
          <w:sz w:val="24"/>
          <w:highlight w:val="none"/>
        </w:rPr>
        <w:t xml:space="preserve">供货</w:t>
      </w:r>
      <w:r>
        <w:rPr>
          <w:rFonts w:hint="eastAsia"/>
          <w:b/>
          <w:sz w:val="24"/>
          <w:highlight w:val="none"/>
        </w:rPr>
        <w:t xml:space="preserve">要求</w:t>
      </w:r>
      <w:r/>
    </w:p>
    <w:p>
      <w:pPr>
        <w:numPr>
          <w:ilvl w:val="0"/>
          <w:numId w:val="13"/>
        </w:numPr>
        <w:ind w:firstLine="482"/>
        <w:spacing w:line="400" w:lineRule="exact"/>
        <w:rPr>
          <w:rFonts w:ascii="宋体" w:hAnsi="宋体" w:cs="宋体"/>
          <w:b/>
          <w:sz w:val="24"/>
          <w:highlight w:val="none"/>
        </w:rPr>
      </w:pPr>
      <w:r>
        <w:rPr>
          <w:rFonts w:hint="eastAsia" w:ascii="宋体" w:hAnsi="宋体" w:cs="宋体"/>
          <w:b/>
          <w:sz w:val="24"/>
          <w:highlight w:val="none"/>
        </w:rPr>
        <w:t xml:space="preserve">技术验收</w:t>
      </w:r>
      <w:r/>
    </w:p>
    <w:p>
      <w:pPr>
        <w:numPr>
          <w:ilvl w:val="0"/>
          <w:numId w:val="13"/>
        </w:numPr>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质量保证及售后服务要求</w:t>
      </w:r>
      <w:r/>
    </w:p>
    <w:p>
      <w:pPr>
        <w:numPr>
          <w:ilvl w:val="0"/>
          <w:numId w:val="13"/>
        </w:numPr>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货款的支付</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1.合同签订后，乙方应编制并提交系统集成定制化实施方案，明确项目实施流程、关键节点、验收标准及保障措施，经甲方审核通过后正式启动项目实施。</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项目实施按既定关键节点推进，每一关键节点完成后，乙方须向甲方提交阶段验收申请，并附到货设备清单、安装调试记录等佐证材料。甲方依据合同约定组织阶段验收，验收合格后，向乙方支付对应分项合同价款的30%。</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3.整套系统全部安装调试完毕，经甲方组织最终验收合格、整体性能达到检测标准后，一次性支付合同剩余尾款。</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4.乙方须在每次申请付款前，向甲方提供符合国家财税制度的合法有效发票，采购方在收到发票后完成付款。</w:t>
      </w:r>
      <w:r/>
    </w:p>
    <w:p>
      <w:pPr>
        <w:numPr>
          <w:ilvl w:val="0"/>
          <w:numId w:val="13"/>
        </w:numPr>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违约责任</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1.产品质保期内，如非人为原因造成的商品损坏，由乙方包修、包换、包退，并承担因此支付的费用。</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2.乙方拒绝承担违约责任或赔偿甲方损失的，甲方有权扣留乙方未付货款、质保金，直至双方争议处理完毕时止。</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3.甲、乙双方任何一方违约，均应赔偿对方的直接经济损失。</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4.若乙方未在合同约定的时间内完成交货，则每延迟一天，向甲方支付合同金额的0.5%的违约金，超过15天的，甲方有权解除本合同。</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、解决纠纷的方式：</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1．甲、乙双方协商解决。</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2．若协商解决不成，则通过下列途径（1）解决：</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（1）向甲方所在地人民法院提起诉讼；</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（2）向甲方所在地仲裁委员会按其仲裁规则申请仲裁。</w:t>
      </w:r>
      <w:r/>
    </w:p>
    <w:p>
      <w:pPr>
        <w:ind w:firstLine="482"/>
        <w:spacing w:line="400" w:lineRule="exact"/>
        <w:rPr>
          <w:rFonts w:hint="eastAsia" w:ascii="宋体" w:hAnsi="宋体" w:cs="宋体"/>
          <w:sz w:val="24"/>
          <w:highlight w:val="none"/>
        </w:rPr>
      </w:pPr>
      <w:r>
        <w:rPr>
          <w:rFonts w:hint="eastAsia" w:ascii="宋体" w:hAnsi="宋体" w:cs="宋体"/>
          <w:b/>
          <w:sz w:val="24"/>
          <w:highlight w:val="none"/>
          <w:lang w:val="en-US" w:eastAsia="zh-CN"/>
        </w:rPr>
        <w:t xml:space="preserve">九</w:t>
      </w:r>
      <w:r>
        <w:rPr>
          <w:rFonts w:hint="eastAsia" w:ascii="宋体" w:hAnsi="宋体" w:cs="宋体"/>
          <w:b/>
          <w:sz w:val="24"/>
          <w:highlight w:val="none"/>
        </w:rPr>
        <w:t xml:space="preserve">、合同生效：</w:t>
      </w:r>
      <w:r>
        <w:rPr>
          <w:rFonts w:hint="eastAsia" w:ascii="宋体" w:hAnsi="宋体" w:cs="宋体"/>
          <w:sz w:val="24"/>
          <w:highlight w:val="none"/>
        </w:rPr>
        <w:t xml:space="preserve">本合同自双方签名盖章之日起生效。</w:t>
      </w:r>
      <w:r/>
    </w:p>
    <w:p>
      <w:pPr>
        <w:ind w:firstLine="482"/>
        <w:spacing w:line="400" w:lineRule="exact"/>
        <w:rPr>
          <w:rFonts w:hint="eastAsia" w:ascii="宋体" w:hAnsi="宋体" w:cs="宋体"/>
          <w:sz w:val="24"/>
          <w:highlight w:val="none"/>
        </w:rPr>
      </w:pPr>
      <w:r>
        <w:rPr>
          <w:rFonts w:hint="eastAsia" w:ascii="宋体" w:hAnsi="宋体" w:cs="宋体"/>
          <w:b/>
          <w:sz w:val="24"/>
          <w:highlight w:val="none"/>
          <w:lang w:val="en-US" w:eastAsia="zh-CN"/>
        </w:rPr>
        <w:t xml:space="preserve">十</w:t>
      </w:r>
      <w:r>
        <w:rPr>
          <w:rFonts w:hint="eastAsia" w:ascii="宋体" w:hAnsi="宋体" w:cs="宋体"/>
          <w:b/>
          <w:sz w:val="24"/>
          <w:highlight w:val="none"/>
        </w:rPr>
        <w:t xml:space="preserve">、合同份数：</w:t>
      </w:r>
      <w:r>
        <w:rPr>
          <w:rFonts w:hint="eastAsia" w:ascii="宋体" w:hAnsi="宋体" w:cs="宋体"/>
          <w:sz w:val="24"/>
          <w:highlight w:val="none"/>
        </w:rPr>
        <w:t xml:space="preserve">本合同一式</w:t>
      </w:r>
      <w:r>
        <w:rPr>
          <w:rFonts w:hint="eastAsia" w:ascii="宋体" w:hAnsi="宋体" w:cs="宋体"/>
          <w:b/>
          <w:bCs/>
          <w:sz w:val="24"/>
          <w:highlight w:val="none"/>
        </w:rPr>
        <w:t xml:space="preserve">伍</w:t>
      </w:r>
      <w:r>
        <w:rPr>
          <w:rFonts w:hint="eastAsia" w:ascii="宋体" w:hAnsi="宋体" w:cs="宋体"/>
          <w:sz w:val="24"/>
          <w:highlight w:val="none"/>
        </w:rPr>
        <w:t xml:space="preserve">份。甲、乙双方各执</w:t>
      </w:r>
      <w:r>
        <w:rPr>
          <w:rFonts w:hint="eastAsia" w:ascii="宋体" w:hAnsi="宋体" w:cs="宋体"/>
          <w:b/>
          <w:bCs/>
          <w:sz w:val="24"/>
          <w:highlight w:val="none"/>
        </w:rPr>
        <w:t xml:space="preserve">贰</w:t>
      </w:r>
      <w:r>
        <w:rPr>
          <w:rFonts w:hint="eastAsia" w:ascii="宋体" w:hAnsi="宋体" w:cs="宋体"/>
          <w:sz w:val="24"/>
          <w:highlight w:val="none"/>
        </w:rPr>
        <w:t xml:space="preserve">份，采购代理机构执</w:t>
      </w:r>
      <w:r>
        <w:rPr>
          <w:rFonts w:hint="eastAsia" w:ascii="宋体" w:hAnsi="宋体" w:cs="宋体"/>
          <w:b/>
          <w:bCs/>
          <w:sz w:val="24"/>
          <w:highlight w:val="none"/>
        </w:rPr>
        <w:t xml:space="preserve">壹</w:t>
      </w:r>
      <w:r>
        <w:rPr>
          <w:rFonts w:hint="eastAsia" w:ascii="宋体" w:hAnsi="宋体" w:cs="宋体"/>
          <w:sz w:val="24"/>
          <w:highlight w:val="none"/>
        </w:rPr>
        <w:t xml:space="preserve">份。</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tbl>
      <w:tblPr>
        <w:tblStyle w:val="955"/>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256"/>
        <w:gridCol w:w="4265"/>
      </w:tblGrid>
      <w:tr>
        <w:trPr>
          <w:jc w:val="center"/>
        </w:trPr>
        <w:tc>
          <w:tcPr>
            <w:tcW w:w="2497"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甲方（盖公章）：  </w:t>
            </w:r>
            <w:r/>
          </w:p>
        </w:tc>
        <w:tc>
          <w:tcPr>
            <w:tcW w:w="2502"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乙方（盖公章）：</w:t>
            </w:r>
            <w:r/>
          </w:p>
        </w:tc>
      </w:tr>
      <w:tr>
        <w:trPr>
          <w:jc w:val="center"/>
        </w:trPr>
        <w:tc>
          <w:tcPr>
            <w:tcW w:w="2497"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单位地址：</w:t>
            </w:r>
            <w:r/>
          </w:p>
        </w:tc>
        <w:tc>
          <w:tcPr>
            <w:tcW w:w="2502"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单位地址：</w:t>
            </w:r>
            <w:r/>
          </w:p>
        </w:tc>
      </w:tr>
      <w:tr>
        <w:trPr>
          <w:jc w:val="center"/>
        </w:trPr>
        <w:tc>
          <w:tcPr>
            <w:tcW w:w="2497"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p>
        </w:tc>
        <w:tc>
          <w:tcPr>
            <w:tcW w:w="2502"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p>
        </w:tc>
      </w:tr>
      <w:tr>
        <w:trPr>
          <w:jc w:val="center"/>
        </w:trPr>
        <w:tc>
          <w:tcPr>
            <w:tcW w:w="2497"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代理人：</w:t>
            </w:r>
            <w:r/>
          </w:p>
        </w:tc>
        <w:tc>
          <w:tcPr>
            <w:tcW w:w="2502"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代理人：</w:t>
            </w:r>
            <w:r/>
          </w:p>
        </w:tc>
      </w:tr>
      <w:tr>
        <w:trPr>
          <w:jc w:val="center"/>
        </w:trPr>
        <w:tc>
          <w:tcPr>
            <w:tcW w:w="2497"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电话：</w:t>
            </w:r>
            <w:r/>
          </w:p>
        </w:tc>
        <w:tc>
          <w:tcPr>
            <w:tcW w:w="2502"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电话：</w:t>
            </w:r>
            <w:r/>
          </w:p>
        </w:tc>
      </w:tr>
      <w:tr>
        <w:trPr>
          <w:jc w:val="center"/>
        </w:trPr>
        <w:tc>
          <w:tcPr>
            <w:tcW w:w="2497"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传真：</w:t>
            </w:r>
            <w:r/>
          </w:p>
        </w:tc>
        <w:tc>
          <w:tcPr>
            <w:tcW w:w="2502"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传真：</w:t>
            </w:r>
            <w:r/>
          </w:p>
        </w:tc>
      </w:tr>
      <w:tr>
        <w:trPr>
          <w:jc w:val="center"/>
        </w:trPr>
        <w:tc>
          <w:tcPr>
            <w:tcW w:w="2497"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开户银行：</w:t>
            </w:r>
            <w:r/>
          </w:p>
        </w:tc>
        <w:tc>
          <w:tcPr>
            <w:tcW w:w="2502"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开户银行：</w:t>
            </w:r>
            <w:r/>
          </w:p>
        </w:tc>
      </w:tr>
      <w:tr>
        <w:trPr>
          <w:jc w:val="center"/>
        </w:trPr>
        <w:tc>
          <w:tcPr>
            <w:tcW w:w="2497"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银行账号：</w:t>
            </w:r>
            <w:r/>
          </w:p>
        </w:tc>
        <w:tc>
          <w:tcPr>
            <w:tcW w:w="2502"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银行账号：</w:t>
            </w:r>
            <w:r/>
          </w:p>
        </w:tc>
      </w:tr>
      <w:tr>
        <w:trPr>
          <w:jc w:val="center"/>
        </w:trPr>
        <w:tc>
          <w:tcPr>
            <w:tcW w:w="2497"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签订日期：  年  月   日</w:t>
            </w:r>
            <w:r/>
          </w:p>
        </w:tc>
        <w:tc>
          <w:tcPr>
            <w:tcW w:w="2502"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签订日期：  年  月   日</w:t>
            </w:r>
            <w:r/>
          </w:p>
        </w:tc>
      </w:tr>
    </w:tbl>
    <w:p>
      <w:pPr>
        <w:spacing w:line="360" w:lineRule="auto"/>
        <w:rPr>
          <w:rFonts w:hint="eastAsia" w:ascii="宋体" w:hAnsi="宋体" w:cs="宋体"/>
          <w:sz w:val="24"/>
          <w:highlight w:val="none"/>
        </w:rPr>
      </w:pPr>
      <w:r>
        <w:rPr>
          <w:rFonts w:hint="eastAsia" w:ascii="宋体" w:hAnsi="宋体" w:cs="宋体"/>
          <w:sz w:val="24"/>
          <w:highlight w:val="none"/>
        </w:rPr>
      </w:r>
      <w:r/>
    </w:p>
    <w:p>
      <w:pPr>
        <w:pStyle w:val="1024"/>
        <w:spacing w:line="360" w:lineRule="auto"/>
        <w:rPr>
          <w:rFonts w:hint="eastAsia" w:ascii="宋体" w:hAnsi="宋体" w:cs="宋体"/>
          <w:color w:val="auto"/>
          <w:highlight w:val="none"/>
        </w:rPr>
      </w:pPr>
      <w:r>
        <w:rPr>
          <w:rFonts w:hint="eastAsia" w:ascii="宋体" w:hAnsi="宋体" w:cs="宋体"/>
          <w:color w:val="auto"/>
          <w:highlight w:val="none"/>
        </w:rPr>
        <w:t xml:space="preserve">采购代理机构（见证方盖公章）：</w:t>
      </w:r>
      <w:r/>
    </w:p>
    <w:p>
      <w:pPr>
        <w:pStyle w:val="1024"/>
        <w:spacing w:line="360" w:lineRule="auto"/>
        <w:rPr>
          <w:rFonts w:hint="eastAsia" w:ascii="宋体" w:hAnsi="宋体" w:cs="宋体"/>
          <w:color w:val="auto"/>
          <w:highlight w:val="none"/>
        </w:rPr>
      </w:pPr>
      <w:r>
        <w:rPr>
          <w:rFonts w:hint="eastAsia" w:ascii="宋体" w:hAnsi="宋体" w:cs="宋体"/>
          <w:color w:val="auto"/>
          <w:highlight w:val="none"/>
        </w:rPr>
        <w:t xml:space="preserve">代理人：</w:t>
      </w:r>
      <w:r/>
    </w:p>
    <w:p>
      <w:pPr>
        <w:ind w:firstLine="422"/>
        <w:spacing w:line="400" w:lineRule="exact"/>
        <w:rPr>
          <w:rFonts w:hint="eastAsia"/>
          <w:highlight w:val="none"/>
        </w:rPr>
      </w:pPr>
      <w:r>
        <w:rPr>
          <w:rFonts w:hint="eastAsia"/>
          <w:b/>
          <w:bCs/>
          <w:highlight w:val="none"/>
        </w:rPr>
        <w:t xml:space="preserve">注：</w:t>
      </w:r>
      <w:r>
        <w:rPr>
          <w:rFonts w:hint="eastAsia"/>
          <w:highlight w:val="none"/>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pStyle w:val="946"/>
        <w:keepLines w:val="0"/>
        <w:spacing w:before="0" w:line="400" w:lineRule="exact"/>
        <w:widowControl/>
        <w:rPr>
          <w:rFonts w:hint="eastAsia"/>
          <w:sz w:val="28"/>
          <w:szCs w:val="28"/>
          <w:highlight w:val="none"/>
        </w:rPr>
      </w:pPr>
      <w:r>
        <w:rPr>
          <w:rFonts w:hint="eastAsia" w:ascii="宋体" w:hAnsi="宋体" w:eastAsia="宋体"/>
          <w:spacing w:val="23"/>
          <w:sz w:val="24"/>
          <w:szCs w:val="24"/>
          <w:highlight w:val="none"/>
        </w:rPr>
        <w:br w:type="page" w:clear="all"/>
      </w:r>
      <w:r>
        <w:rPr>
          <w:rFonts w:hint="eastAsia" w:ascii="黑体" w:hAnsi="黑体" w:cs="黑体"/>
          <w:sz w:val="28"/>
          <w:szCs w:val="28"/>
          <w:highlight w:val="none"/>
        </w:rPr>
        <w:t xml:space="preserve">廉政责任书</w:t>
      </w:r>
      <w:r/>
    </w:p>
    <w:p>
      <w:pPr>
        <w:ind w:firstLine="480"/>
        <w:spacing w:before="100" w:beforeAutospacing="1" w:after="240" w:line="360" w:lineRule="auto"/>
        <w:rPr>
          <w:rFonts w:hint="eastAsia" w:ascii="宋体" w:hAnsi="宋体" w:cs="宋体"/>
          <w:sz w:val="24"/>
          <w:highlight w:val="none"/>
        </w:rPr>
      </w:pPr>
      <w:r>
        <w:rPr>
          <w:rFonts w:hint="eastAsia" w:ascii="宋体" w:hAnsi="宋体" w:cs="宋体"/>
          <w:sz w:val="24"/>
          <w:highlight w:val="none"/>
        </w:rPr>
        <w:t xml:space="preserve">招标单位（甲方）：                      中标单位（乙方）：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为规范双方的各项活动，防止发生谋取不正当利益的违法违纪行为，根据有关法律法规和廉政建设责任规定，特订立本廉政责任书：</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本协议所称“关系人”是指近亲属、其他关系密切的亲属、朋友等自然人，有股权等经济联系的法人或其他组织。 </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1、甲乙双方在业务交往中，不论是单位或业务经办人员，均不得以任何形式（如现钞、有价证券、实物等）向对方人员或其他关系人、指定人行贿索贿或给付其他不正当利益。</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2、甲乙双方均有责任教育本单位人员，禁止在业务活动中索贿、行贿、受贿，并拒绝对方人员的索贿、行贿行为。</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3、在经济交往中，甲乙双方任何一方给予对方让利（返利）、回扣（佣金）、奖励等，均应在主合同中清楚列明，或以书面形式通知对方，并通过双方财务部门收付结算。</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7、本责任书作为合同的附件，与合同具有同等法律效力。本责任书自双方签署后立即生效。</w:t>
      </w:r>
      <w:r/>
    </w:p>
    <w:p>
      <w:pPr>
        <w:ind w:firstLine="720"/>
        <w:rPr>
          <w:rFonts w:hint="eastAsia" w:ascii="宋体" w:hAnsi="宋体" w:cs="宋体"/>
          <w:bCs/>
          <w:sz w:val="24"/>
          <w:highlight w:val="none"/>
        </w:rPr>
      </w:pPr>
      <w:r>
        <w:rPr>
          <w:rFonts w:hint="eastAsia" w:ascii="宋体" w:hAnsi="宋体" w:cs="宋体"/>
          <w:bCs/>
          <w:sz w:val="24"/>
          <w:highlight w:val="none"/>
        </w:rPr>
      </w:r>
      <w:r/>
    </w:p>
    <w:p>
      <w:pPr>
        <w:ind w:firstLine="720"/>
        <w:rPr>
          <w:rFonts w:hint="eastAsia" w:ascii="宋体" w:hAnsi="宋体" w:cs="宋体"/>
          <w:bCs/>
          <w:sz w:val="24"/>
          <w:highlight w:val="none"/>
        </w:rPr>
      </w:pPr>
      <w:r>
        <w:rPr>
          <w:rFonts w:hint="eastAsia" w:ascii="宋体" w:hAnsi="宋体" w:cs="宋体"/>
          <w:bCs/>
          <w:sz w:val="24"/>
          <w:highlight w:val="none"/>
        </w:rPr>
        <w:t xml:space="preserve">甲方（盖章）：                          乙方（盖章）：</w:t>
      </w:r>
      <w:r/>
    </w:p>
    <w:p>
      <w:pPr>
        <w:rPr>
          <w:rFonts w:hint="eastAsia" w:ascii="宋体" w:hAnsi="宋体" w:cs="宋体"/>
          <w:bCs/>
          <w:sz w:val="24"/>
          <w:highlight w:val="none"/>
        </w:rPr>
      </w:pPr>
      <w:r>
        <w:rPr>
          <w:rFonts w:hint="eastAsia" w:ascii="宋体" w:hAnsi="宋体" w:cs="宋体"/>
          <w:bCs/>
          <w:sz w:val="24"/>
          <w:highlight w:val="none"/>
        </w:rPr>
        <w:t xml:space="preserve">                </w:t>
      </w:r>
      <w:r/>
    </w:p>
    <w:p>
      <w:pPr>
        <w:ind w:firstLine="1920"/>
        <w:rPr>
          <w:rFonts w:hint="eastAsia" w:ascii="宋体" w:hAnsi="宋体" w:cs="宋体"/>
          <w:bCs/>
          <w:sz w:val="24"/>
          <w:highlight w:val="none"/>
        </w:rPr>
      </w:pPr>
      <w:r>
        <w:rPr>
          <w:rFonts w:hint="eastAsia" w:ascii="宋体" w:hAnsi="宋体" w:cs="宋体"/>
          <w:bCs/>
          <w:sz w:val="24"/>
          <w:highlight w:val="none"/>
        </w:rPr>
        <w:t xml:space="preserve">年   月   日                            年   月   日</w:t>
      </w:r>
      <w:r/>
    </w:p>
    <w:p>
      <w:pPr>
        <w:pStyle w:val="945"/>
        <w:spacing w:before="0" w:after="0"/>
        <w:widowControl/>
        <w:rPr>
          <w:rFonts w:eastAsia="黑体"/>
          <w:b w:val="0"/>
          <w:sz w:val="44"/>
          <w:szCs w:val="44"/>
          <w:highlight w:val="none"/>
        </w:rPr>
      </w:pPr>
      <w:r>
        <w:rPr>
          <w:rFonts w:hint="eastAsia" w:hAnsi="宋体" w:cs="宋体"/>
          <w:bCs/>
          <w:sz w:val="24"/>
          <w:highlight w:val="none"/>
        </w:rPr>
        <w:br w:type="page" w:clear="all"/>
      </w:r>
      <w:r>
        <w:rPr>
          <w:rFonts w:eastAsia="黑体"/>
          <w:b w:val="0"/>
          <w:sz w:val="28"/>
          <w:szCs w:val="28"/>
          <w:highlight w:val="none"/>
        </w:rPr>
        <w:t xml:space="preserve">安全协议书</w:t>
      </w:r>
      <w:r/>
    </w:p>
    <w:p>
      <w:pPr>
        <w:jc w:val="left"/>
        <w:spacing w:line="288" w:lineRule="atLeast"/>
        <w:widowControl/>
        <w:rPr>
          <w:rFonts w:ascii="宋体" w:hAnsi="宋体" w:cs="宋体"/>
          <w:sz w:val="19"/>
          <w:szCs w:val="19"/>
          <w:highlight w:val="none"/>
          <w:lang w:bidi="ar"/>
        </w:rPr>
      </w:pPr>
      <w:r>
        <w:rPr>
          <w:rFonts w:ascii="宋体" w:hAnsi="宋体" w:cs="宋体"/>
          <w:sz w:val="19"/>
          <w:szCs w:val="19"/>
          <w:highlight w:val="none"/>
          <w:lang w:bidi="ar"/>
        </w:rPr>
      </w:r>
      <w:r/>
    </w:p>
    <w:p>
      <w:pPr>
        <w:spacing w:line="360" w:lineRule="auto"/>
        <w:rPr>
          <w:rFonts w:ascii="宋体" w:hAnsi="宋体" w:cs="宋体"/>
          <w:sz w:val="24"/>
          <w:highlight w:val="none"/>
        </w:rPr>
      </w:pPr>
      <w:r>
        <w:rPr>
          <w:rFonts w:hint="eastAsia" w:ascii="宋体" w:hAnsi="宋体" w:cs="宋体"/>
          <w:sz w:val="24"/>
          <w:highlight w:val="none"/>
        </w:rPr>
        <w:t xml:space="preserve">甲方：                      </w:t>
      </w:r>
      <w:r/>
    </w:p>
    <w:p>
      <w:pPr>
        <w:spacing w:line="360" w:lineRule="auto"/>
        <w:rPr>
          <w:rFonts w:ascii="宋体" w:hAnsi="宋体" w:cs="宋体"/>
          <w:sz w:val="24"/>
          <w:highlight w:val="none"/>
        </w:rPr>
      </w:pPr>
      <w:r>
        <w:rPr>
          <w:rFonts w:hint="eastAsia" w:ascii="宋体" w:hAnsi="宋体" w:cs="宋体"/>
          <w:sz w:val="24"/>
          <w:highlight w:val="none"/>
        </w:rPr>
        <w:t xml:space="preserve">乙方：</w:t>
      </w:r>
      <w:r/>
    </w:p>
    <w:p>
      <w:pPr>
        <w:ind w:firstLine="480"/>
        <w:spacing w:line="360" w:lineRule="auto"/>
        <w:rPr>
          <w:sz w:val="24"/>
          <w:highlight w:val="none"/>
        </w:rPr>
      </w:pPr>
      <w:r>
        <w:rPr>
          <w:rFonts w:ascii="宋体" w:hAnsi="宋体" w:cs="宋体"/>
          <w:sz w:val="24"/>
          <w:highlight w:val="none"/>
          <w:lang w:bidi="ar"/>
        </w:rPr>
        <w:t xml:space="preserve">为了加强对项目安全的管理，明确甲乙双方的责任和义务，按照 “安全第一、预防为主” 的方针，结合项目现场大楼</w:t>
      </w:r>
      <w:r>
        <w:rPr>
          <w:rFonts w:hint="eastAsia" w:ascii="宋体" w:hAnsi="宋体" w:cs="宋体"/>
          <w:sz w:val="24"/>
          <w:highlight w:val="none"/>
          <w:lang w:bidi="ar"/>
        </w:rPr>
        <w:t xml:space="preserve">结构安全、安全文明生产、治安、消防、成品保护等</w:t>
      </w:r>
      <w:r>
        <w:rPr>
          <w:rFonts w:ascii="宋体" w:hAnsi="宋体" w:cs="宋体"/>
          <w:sz w:val="24"/>
          <w:highlight w:val="none"/>
          <w:lang w:bidi="ar"/>
        </w:rPr>
        <w:t xml:space="preserve">管理要求，特签订本安全责任协议，以资共同遵守。</w:t>
      </w:r>
      <w:r/>
    </w:p>
    <w:p>
      <w:pPr>
        <w:ind w:firstLine="480"/>
        <w:spacing w:line="360" w:lineRule="auto"/>
        <w:rPr>
          <w:sz w:val="24"/>
          <w:highlight w:val="none"/>
        </w:rPr>
      </w:pPr>
      <w:r>
        <w:rPr>
          <w:rFonts w:ascii="宋体" w:hAnsi="宋体" w:cs="宋体"/>
          <w:sz w:val="24"/>
          <w:highlight w:val="none"/>
          <w:lang w:bidi="ar"/>
        </w:rPr>
        <w:t xml:space="preserve">一、甲乙双方均严格遵守国家有关安全生产的法律法规规定，认真执行合同中的有关安全要求。乙方承诺项目实施期间无条件配合甲方开展安全监督管理工作，项目实施期间乙方发生的一切安全事故，均由乙方承担全部责任。</w:t>
      </w:r>
      <w:r/>
    </w:p>
    <w:p>
      <w:pPr>
        <w:ind w:firstLine="480"/>
        <w:spacing w:line="360" w:lineRule="auto"/>
        <w:rPr>
          <w:sz w:val="24"/>
          <w:highlight w:val="none"/>
        </w:rPr>
      </w:pPr>
      <w:r>
        <w:rPr>
          <w:rFonts w:ascii="宋体" w:hAnsi="宋体" w:cs="宋体"/>
          <w:sz w:val="24"/>
          <w:highlight w:val="none"/>
          <w:lang w:bidi="ar"/>
        </w:rPr>
        <w:t xml:space="preserve">二、乙方安全负责人为：</w:t>
      </w:r>
      <w:r>
        <w:rPr>
          <w:rFonts w:hint="eastAsia" w:ascii="宋体" w:hAnsi="宋体" w:cs="宋体"/>
          <w:sz w:val="24"/>
          <w:highlight w:val="none"/>
          <w:lang w:bidi="ar"/>
        </w:rPr>
        <w:t xml:space="preserve">    </w:t>
      </w:r>
      <w:r>
        <w:rPr>
          <w:rFonts w:ascii="宋体" w:hAnsi="宋体" w:cs="宋体"/>
          <w:sz w:val="24"/>
          <w:highlight w:val="none"/>
          <w:lang w:bidi="ar"/>
        </w:rPr>
        <w:t xml:space="preserve">，联系方式：</w:t>
      </w:r>
      <w:r>
        <w:rPr>
          <w:rFonts w:hint="eastAsia" w:ascii="宋体" w:hAnsi="宋体" w:cs="宋体"/>
          <w:sz w:val="24"/>
          <w:highlight w:val="none"/>
          <w:lang w:bidi="ar"/>
        </w:rPr>
        <w:t xml:space="preserve">   </w:t>
      </w:r>
      <w:r>
        <w:rPr>
          <w:rFonts w:ascii="宋体" w:hAnsi="宋体" w:cs="宋体"/>
          <w:sz w:val="24"/>
          <w:highlight w:val="none"/>
          <w:lang w:bidi="ar"/>
        </w:rPr>
        <w:t xml:space="preserve">，如该人员或联系方式发生变动，乙方须第一时间书面通知甲方，未及时通知造成的一切后果由乙方承担。</w:t>
      </w:r>
      <w:r/>
    </w:p>
    <w:p>
      <w:pPr>
        <w:ind w:firstLine="480"/>
        <w:spacing w:line="360" w:lineRule="auto"/>
        <w:rPr>
          <w:rFonts w:ascii="宋体" w:hAnsi="宋体" w:cs="宋体"/>
          <w:sz w:val="24"/>
          <w:highlight w:val="none"/>
          <w:lang w:bidi="ar"/>
        </w:rPr>
      </w:pPr>
      <w:r>
        <w:rPr>
          <w:rFonts w:ascii="宋体" w:hAnsi="宋体" w:cs="宋体"/>
          <w:sz w:val="24"/>
          <w:highlight w:val="none"/>
          <w:lang w:bidi="ar"/>
        </w:rPr>
        <w:t xml:space="preserve">三、本项目涉及各大楼施工，甲方仅向乙方提供现场大楼承重相关参数，乙方须安排专业人员提前到项目现场进行全面勘察，结合甲方提供的承重参数，充分评估设备、材料进场、运输、安装等全流程的承重安全风险，制定符合现场实际的安全施工方案和应急处置预案，确保施工行为符合大楼承重要求。因乙方未进行现场勘察、未结合承重参数评估风险、施工方案不合理等原因，引发的设备倾倒、结构损坏、人员伤亡等一切安全事故及财产损失，均由乙方承担全部责任。</w:t>
      </w:r>
      <w:r/>
    </w:p>
    <w:p>
      <w:pPr>
        <w:ind w:firstLine="480"/>
        <w:spacing w:line="360" w:lineRule="auto"/>
        <w:rPr>
          <w:rFonts w:hint="eastAsia"/>
          <w:sz w:val="24"/>
          <w:highlight w:val="none"/>
        </w:rPr>
      </w:pPr>
      <w:r>
        <w:rPr>
          <w:rFonts w:hint="eastAsia" w:ascii="宋体" w:hAnsi="宋体" w:cs="宋体"/>
          <w:sz w:val="24"/>
          <w:highlight w:val="none"/>
          <w:lang w:bidi="ar"/>
        </w:rPr>
        <w:t xml:space="preserve">四</w:t>
      </w:r>
      <w:r>
        <w:rPr>
          <w:rFonts w:ascii="宋体" w:hAnsi="宋体" w:cs="宋体"/>
          <w:sz w:val="24"/>
          <w:highlight w:val="none"/>
          <w:lang w:bidi="ar"/>
        </w:rPr>
        <w:t xml:space="preserve">、若项目涉及动火、高空、临时用电、有限空间等特殊作业，</w:t>
      </w:r>
      <w:r>
        <w:rPr>
          <w:rFonts w:hint="eastAsia" w:ascii="宋体" w:hAnsi="宋体" w:cs="宋体"/>
          <w:sz w:val="24"/>
          <w:highlight w:val="none"/>
          <w:lang w:bidi="ar"/>
        </w:rPr>
        <w:t xml:space="preserve">乙方</w:t>
      </w:r>
      <w:r>
        <w:rPr>
          <w:rFonts w:ascii="宋体" w:hAnsi="宋体" w:cs="宋体"/>
          <w:sz w:val="24"/>
          <w:highlight w:val="none"/>
          <w:lang w:bidi="ar"/>
        </w:rPr>
        <w:t xml:space="preserve">须按照国家及行业规定事先办理审批手续，采取相应的消防安全及作业防护措施，完成备案并取得相关许可后，方可开展作业。如因违法违规作业造成损失，由乙方自行承担。</w:t>
      </w:r>
      <w:r/>
    </w:p>
    <w:p>
      <w:pPr>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五</w:t>
      </w:r>
      <w:r>
        <w:rPr>
          <w:rFonts w:ascii="宋体" w:hAnsi="宋体" w:cs="宋体"/>
          <w:sz w:val="24"/>
          <w:highlight w:val="none"/>
          <w:lang w:bidi="ar"/>
        </w:rPr>
        <w:t xml:space="preserve">、乙方应确保合法用工，相关用工证件齐全有效；乙方须对所有工作人员进行安全生产教育培训，确保工作人员具备相应的安全知识和操作技能，特种作业人员必须持证上岗；并采取各种合理的预防措施，防止其员工发生任何违法、违禁、暴力或妨碍治安的行为。</w:t>
      </w:r>
      <w:r/>
    </w:p>
    <w:p>
      <w:pPr>
        <w:ind w:firstLine="480"/>
        <w:spacing w:line="360" w:lineRule="auto"/>
        <w:rPr>
          <w:rFonts w:ascii="宋体" w:hAnsi="宋体" w:cs="宋体"/>
          <w:sz w:val="24"/>
          <w:highlight w:val="none"/>
          <w:lang w:bidi="ar"/>
        </w:rPr>
      </w:pPr>
      <w:r>
        <w:rPr>
          <w:rFonts w:hint="eastAsia" w:ascii="宋体" w:hAnsi="宋体" w:cs="宋体"/>
          <w:sz w:val="24"/>
          <w:highlight w:val="none"/>
          <w:lang w:bidi="ar"/>
        </w:rPr>
        <w:t xml:space="preserve">六</w:t>
      </w:r>
      <w:r>
        <w:rPr>
          <w:rFonts w:ascii="宋体" w:hAnsi="宋体" w:cs="宋体"/>
          <w:sz w:val="24"/>
          <w:highlight w:val="none"/>
          <w:lang w:bidi="ar"/>
        </w:rPr>
        <w:t xml:space="preserve">、乙方应为现场所有工作人员配备合格的劳动保护用品（如安全帽、安全带、绝缘手套、防护鞋等），并监督工作人员正确佩戴和使用。所有施工机具设备、高空作业设备及辅助设施均应定期检查、维护、保养，并有专职安全员的签字记录，保证其经常处于完好使用状态；不合格的机具、设备和劳动保护用品严禁进入施工现场和投入使用。</w:t>
      </w:r>
      <w:r/>
    </w:p>
    <w:p>
      <w:pPr>
        <w:ind w:firstLine="480"/>
        <w:spacing w:line="360" w:lineRule="auto"/>
        <w:rPr>
          <w:rFonts w:ascii="宋体" w:hAnsi="宋体" w:cs="宋体"/>
          <w:sz w:val="24"/>
          <w:highlight w:val="none"/>
          <w:lang w:bidi="ar"/>
        </w:rPr>
      </w:pPr>
      <w:r>
        <w:rPr>
          <w:rFonts w:hint="eastAsia" w:ascii="宋体" w:hAnsi="宋体" w:cs="宋体"/>
          <w:sz w:val="24"/>
          <w:highlight w:val="none"/>
          <w:lang w:bidi="ar"/>
        </w:rPr>
        <w:t xml:space="preserve">七</w:t>
      </w:r>
      <w:r>
        <w:rPr>
          <w:rFonts w:ascii="宋体" w:hAnsi="宋体" w:cs="宋体"/>
          <w:sz w:val="24"/>
          <w:highlight w:val="none"/>
          <w:lang w:bidi="ar"/>
        </w:rPr>
        <w:t xml:space="preserve">、乙方应在施工现场关键位置设置明显、规范的安全警示标志，对危险区域（如高空作业区、设备吊装区、临时通道等）采取有效的安全防护措施，如设置围栏、防护网、警示灯带等，安排专人现场值守，防止无关人员进入危险区域。</w:t>
      </w:r>
      <w:r/>
    </w:p>
    <w:p>
      <w:pPr>
        <w:ind w:firstLine="480"/>
        <w:spacing w:line="360" w:lineRule="auto"/>
        <w:rPr>
          <w:rFonts w:hint="eastAsia"/>
          <w:sz w:val="24"/>
          <w:highlight w:val="none"/>
        </w:rPr>
      </w:pPr>
      <w:r>
        <w:rPr>
          <w:rFonts w:hint="eastAsia" w:ascii="宋体" w:hAnsi="宋体" w:cs="宋体"/>
          <w:sz w:val="24"/>
          <w:highlight w:val="none"/>
          <w:lang w:bidi="ar"/>
        </w:rPr>
        <w:t xml:space="preserve">八</w:t>
      </w:r>
      <w:r>
        <w:rPr>
          <w:rFonts w:ascii="宋体" w:hAnsi="宋体" w:cs="宋体"/>
          <w:sz w:val="24"/>
          <w:highlight w:val="none"/>
          <w:lang w:bidi="ar"/>
        </w:rPr>
        <w:t xml:space="preserve">、</w:t>
      </w:r>
      <w:r>
        <w:rPr>
          <w:rFonts w:hint="eastAsia" w:ascii="宋体" w:hAnsi="宋体" w:cs="宋体"/>
          <w:sz w:val="24"/>
          <w:highlight w:val="none"/>
          <w:lang w:bidi="ar"/>
        </w:rPr>
        <w:t xml:space="preserve">乙方应按规范自行配备合格的临时用电配电箱、灭火器等；施工中使用电器设备、电气线路必须符合消防安全要求以及符合相关电气规范，严格做好防火、防触电等措施；</w:t>
      </w:r>
      <w:r>
        <w:rPr>
          <w:rFonts w:hint="eastAsia"/>
          <w:sz w:val="24"/>
          <w:highlight w:val="none"/>
        </w:rPr>
        <w:t xml:space="preserve">大楼内凡配备的消防设施（水枪、水带、灭火器等）非火警不准擅自动用，水电接驳位置需经甲方同意才能使用，未经甲方同意的水电接驳位置不得擅自使用；大楼内禁止吸烟以及在非受监管状态下使用明火。</w:t>
      </w:r>
      <w:r/>
    </w:p>
    <w:p>
      <w:pPr>
        <w:ind w:firstLine="480"/>
        <w:spacing w:line="360" w:lineRule="auto"/>
        <w:rPr>
          <w:rFonts w:ascii="宋体" w:hAnsi="宋体" w:cs="宋体"/>
          <w:sz w:val="24"/>
          <w:highlight w:val="none"/>
          <w:lang w:bidi="ar"/>
        </w:rPr>
      </w:pPr>
      <w:r>
        <w:rPr>
          <w:rFonts w:hint="eastAsia"/>
          <w:sz w:val="24"/>
          <w:highlight w:val="none"/>
        </w:rPr>
        <w:t xml:space="preserve">九、</w:t>
      </w:r>
      <w:r>
        <w:rPr>
          <w:rFonts w:ascii="宋体" w:hAnsi="宋体" w:cs="宋体"/>
          <w:sz w:val="24"/>
          <w:highlight w:val="none"/>
          <w:lang w:bidi="ar"/>
        </w:rPr>
        <w:t xml:space="preserve">乙方应做好施工现场的成品保护工作，不得污染和损坏原有建筑装饰、设备、设施及公共区域，否则需及时进行清理、恢复原样或据实赔偿，直至达到甲方满意。若项目实施过程中因乙方原因造成甲方设施、设备损坏的，乙方应照价赔偿；因乙方违规操作、管理疏漏等导致安全事故，造成人员伤亡或第三方财产损失的，由乙方承担全部事故责任和经济赔偿责任。</w:t>
      </w:r>
      <w:r/>
    </w:p>
    <w:p>
      <w:pPr>
        <w:ind w:firstLine="480"/>
        <w:spacing w:line="360" w:lineRule="auto"/>
        <w:rPr>
          <w:rFonts w:hint="eastAsia"/>
          <w:sz w:val="24"/>
          <w:highlight w:val="none"/>
        </w:rPr>
      </w:pPr>
      <w:r>
        <w:rPr>
          <w:rFonts w:hint="eastAsia"/>
          <w:sz w:val="24"/>
          <w:highlight w:val="none"/>
        </w:rPr>
        <w:t xml:space="preserve">十、乙方自行落实安防制度，提高自防能力，负责保管好自己的建材、设备等。在竣工验收合格并办理交接手续前如有遗失，由乙方自行承担。</w:t>
      </w:r>
      <w:r/>
    </w:p>
    <w:p>
      <w:pPr>
        <w:ind w:firstLine="480"/>
        <w:spacing w:line="360" w:lineRule="auto"/>
        <w:rPr>
          <w:sz w:val="24"/>
          <w:highlight w:val="none"/>
        </w:rPr>
      </w:pPr>
      <w:r>
        <w:rPr>
          <w:rFonts w:hint="eastAsia" w:ascii="宋体" w:hAnsi="宋体" w:cs="宋体"/>
          <w:sz w:val="24"/>
          <w:highlight w:val="none"/>
          <w:lang w:bidi="ar"/>
        </w:rPr>
        <w:t xml:space="preserve">十一</w:t>
      </w:r>
      <w:r>
        <w:rPr>
          <w:rFonts w:ascii="宋体" w:hAnsi="宋体" w:cs="宋体"/>
          <w:sz w:val="24"/>
          <w:highlight w:val="none"/>
          <w:lang w:bidi="ar"/>
        </w:rPr>
        <w:t xml:space="preserve">、若乙方违反本协议约定的安全责任，或未按国家安全操作规程、甲方安全管理要求及乙方既定施工方案实施作业的，甲方有权要求乙方限期整改，乙方须按甲方要求按时完成整改并书面回复；逾期未整改或整改不合格的，甲方有权扣除相应的工程款项；若因此发生安全事故，乙方除承担全部事故责任外，还应赔偿甲方因此遭受的全部直接和间接损失。</w:t>
      </w:r>
      <w:r/>
    </w:p>
    <w:p>
      <w:pPr>
        <w:ind w:firstLine="480"/>
        <w:spacing w:line="360" w:lineRule="auto"/>
        <w:rPr>
          <w:sz w:val="24"/>
          <w:highlight w:val="none"/>
        </w:rPr>
      </w:pPr>
      <w:r>
        <w:rPr>
          <w:rFonts w:hint="eastAsia" w:ascii="宋体" w:hAnsi="宋体" w:cs="宋体"/>
          <w:sz w:val="24"/>
          <w:highlight w:val="none"/>
          <w:lang w:bidi="ar"/>
        </w:rPr>
        <w:t xml:space="preserve">十二</w:t>
      </w:r>
      <w:r>
        <w:rPr>
          <w:rFonts w:ascii="宋体" w:hAnsi="宋体" w:cs="宋体"/>
          <w:sz w:val="24"/>
          <w:highlight w:val="none"/>
          <w:lang w:bidi="ar"/>
        </w:rPr>
        <w:t xml:space="preserve">、甲方对乙方在项目现场的一切安全施工行为具有监督、检查、指导的权利，对于甲方提出的安全整改意见，乙方必须在规定期限内完成整改；若乙方拒不整改、多次整改不合格或存在重大安全隐患的，甲方有权单方解除本协议及相关施工合同，并不承担任何违约责任，由此造成的一切工期延误、经济损失等后果均由乙方负责。</w:t>
      </w:r>
      <w:r/>
    </w:p>
    <w:p>
      <w:pPr>
        <w:ind w:firstLine="480"/>
        <w:spacing w:line="360" w:lineRule="auto"/>
        <w:rPr>
          <w:sz w:val="24"/>
          <w:highlight w:val="none"/>
        </w:rPr>
      </w:pPr>
      <w:r>
        <w:rPr>
          <w:rFonts w:hint="eastAsia" w:ascii="宋体" w:hAnsi="宋体" w:cs="宋体"/>
          <w:sz w:val="24"/>
          <w:highlight w:val="none"/>
          <w:lang w:bidi="ar"/>
        </w:rPr>
        <w:t xml:space="preserve">十三</w:t>
      </w:r>
      <w:r>
        <w:rPr>
          <w:rFonts w:ascii="宋体" w:hAnsi="宋体" w:cs="宋体"/>
          <w:sz w:val="24"/>
          <w:highlight w:val="none"/>
          <w:lang w:bidi="ar"/>
        </w:rPr>
        <w:t xml:space="preserve">、本协议书作为甲乙双方签订的项目施工合同的附件，与施工合同具有同等法律效力，未尽事宜可由双方另行协商签订补充协议，补充协议与本协议书具有同等法律效力。</w:t>
      </w:r>
      <w:r/>
    </w:p>
    <w:p>
      <w:pPr>
        <w:ind w:firstLine="480"/>
        <w:spacing w:line="360" w:lineRule="auto"/>
        <w:rPr>
          <w:sz w:val="24"/>
          <w:highlight w:val="none"/>
        </w:rPr>
      </w:pPr>
      <w:r>
        <w:rPr>
          <w:rFonts w:hint="eastAsia" w:ascii="宋体" w:hAnsi="宋体" w:cs="宋体"/>
          <w:sz w:val="24"/>
          <w:highlight w:val="none"/>
          <w:lang w:bidi="ar"/>
        </w:rPr>
        <w:t xml:space="preserve">十四</w:t>
      </w:r>
      <w:r>
        <w:rPr>
          <w:rFonts w:ascii="宋体" w:hAnsi="宋体" w:cs="宋体"/>
          <w:sz w:val="24"/>
          <w:highlight w:val="none"/>
          <w:lang w:bidi="ar"/>
        </w:rPr>
        <w:t xml:space="preserve">、本协议书自甲乙双方签字并加盖公章后立即生效，项目竣工验收合格、乙方清理完施工现场并撤离全部人员及设备后自动终止。协议书一式两份，甲方、乙方各执一份，具有同等法律效力。</w:t>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hint="eastAsia" w:ascii="宋体" w:hAnsi="宋体"/>
          <w:sz w:val="24"/>
          <w:highlight w:val="none"/>
        </w:rPr>
        <w:t xml:space="preserve">甲方：（公章）                       乙方：（公章）</w:t>
      </w:r>
      <w:r/>
    </w:p>
    <w:p>
      <w:pPr>
        <w:spacing w:line="360" w:lineRule="auto"/>
        <w:rPr>
          <w:rFonts w:ascii="宋体" w:hAnsi="宋体"/>
          <w:sz w:val="24"/>
          <w:highlight w:val="none"/>
        </w:rPr>
      </w:pPr>
      <w:r>
        <w:rPr>
          <w:rFonts w:hint="eastAsia" w:ascii="宋体" w:hAnsi="宋体"/>
          <w:sz w:val="24"/>
          <w:highlight w:val="none"/>
        </w:rPr>
        <w:t xml:space="preserve">法定代表人</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法定代表人  </w:t>
      </w:r>
      <w:r/>
    </w:p>
    <w:p>
      <w:pPr>
        <w:spacing w:line="360" w:lineRule="auto"/>
        <w:rPr>
          <w:rFonts w:ascii="宋体" w:hAnsi="宋体"/>
          <w:sz w:val="24"/>
          <w:highlight w:val="none"/>
        </w:rPr>
      </w:pPr>
      <w:r>
        <w:rPr>
          <w:rFonts w:hint="eastAsia" w:ascii="宋体" w:hAnsi="宋体"/>
          <w:sz w:val="24"/>
          <w:highlight w:val="none"/>
        </w:rPr>
        <w:t xml:space="preserve">或其授权的代理人（签名）：</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或其授权的代理人（签名）：</w:t>
      </w:r>
      <w:r/>
    </w:p>
    <w:p>
      <w:pPr>
        <w:spacing w:line="360" w:lineRule="auto"/>
        <w:rPr>
          <w:sz w:val="24"/>
          <w:highlight w:val="none"/>
        </w:rPr>
      </w:pPr>
      <w:r>
        <w:rPr>
          <w:rFonts w:hint="eastAsia" w:ascii="宋体" w:hAnsi="宋体"/>
          <w:sz w:val="24"/>
          <w:highlight w:val="none"/>
        </w:rPr>
        <w:t xml:space="preserve">日期：   </w:t>
      </w:r>
      <w:r>
        <w:rPr>
          <w:rFonts w:ascii="宋体" w:hAnsi="宋体"/>
          <w:sz w:val="24"/>
          <w:highlight w:val="none"/>
        </w:rPr>
        <w:t xml:space="preserve"> </w:t>
      </w:r>
      <w:r>
        <w:rPr>
          <w:rFonts w:hint="eastAsia" w:ascii="宋体" w:hAnsi="宋体"/>
          <w:sz w:val="24"/>
          <w:highlight w:val="none"/>
        </w:rPr>
        <w:t xml:space="preserve">年   月   日                日期：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年  </w:t>
      </w:r>
      <w:r>
        <w:rPr>
          <w:rFonts w:ascii="宋体" w:hAnsi="宋体"/>
          <w:sz w:val="24"/>
          <w:highlight w:val="none"/>
        </w:rPr>
        <w:t xml:space="preserve"> </w:t>
      </w:r>
      <w:r>
        <w:rPr>
          <w:rFonts w:hint="eastAsia" w:ascii="宋体" w:hAnsi="宋体"/>
          <w:sz w:val="24"/>
          <w:highlight w:val="none"/>
        </w:rPr>
        <w:t xml:space="preserve">月  </w:t>
      </w:r>
      <w:r>
        <w:rPr>
          <w:rFonts w:ascii="宋体" w:hAnsi="宋体"/>
          <w:sz w:val="24"/>
          <w:highlight w:val="none"/>
        </w:rPr>
        <w:t xml:space="preserve"> </w:t>
      </w:r>
      <w:r>
        <w:rPr>
          <w:rFonts w:hint="eastAsia" w:ascii="宋体" w:hAnsi="宋体"/>
          <w:sz w:val="24"/>
          <w:highlight w:val="none"/>
        </w:rPr>
        <w:t xml:space="preserve">日 </w:t>
      </w:r>
      <w:r/>
    </w:p>
    <w:p>
      <w:pPr>
        <w:spacing w:line="360" w:lineRule="auto"/>
        <w:rPr>
          <w:sz w:val="24"/>
          <w:highlight w:val="none"/>
        </w:rPr>
      </w:pPr>
      <w:r>
        <w:rPr>
          <w:sz w:val="24"/>
          <w:highlight w:val="none"/>
        </w:rPr>
      </w:r>
      <w:r/>
    </w:p>
    <w:p>
      <w:pP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b/>
          <w:sz w:val="36"/>
          <w:szCs w:val="36"/>
          <w:highlight w:val="none"/>
        </w:rPr>
        <w:outlineLvl w:val="0"/>
      </w:pPr>
      <w:r>
        <w:rPr>
          <w:rFonts w:hint="eastAsia"/>
          <w:b/>
          <w:highlight w:val="none"/>
        </w:rPr>
        <w:br w:type="page" w:clear="all"/>
      </w:r>
      <w:bookmarkStart w:id="1003" w:name="_Toc22909"/>
      <w:r>
        <w:rPr>
          <w:b/>
          <w:sz w:val="36"/>
          <w:szCs w:val="36"/>
          <w:highlight w:val="none"/>
        </w:rPr>
        <w:t xml:space="preserve">第七章   投标文件格式</w:t>
      </w:r>
      <w:bookmarkEnd w:id="1003"/>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b/>
          <w:sz w:val="24"/>
          <w:highlight w:val="none"/>
        </w:rPr>
        <w:t xml:space="preserve">投标人编制文件须知</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对于招标文件中标记了“实质性格式”文件的，</w:t>
      </w:r>
      <w:r>
        <w:rPr>
          <w:rFonts w:hint="eastAsia" w:ascii="宋体" w:hAnsi="宋体" w:cs="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p>
    <w:p>
      <w:pPr>
        <w:jc w:val="left"/>
        <w:widowControl/>
        <w:rPr>
          <w:sz w:val="24"/>
          <w:highlight w:val="none"/>
        </w:rPr>
      </w:pPr>
      <w:r>
        <w:rPr>
          <w:sz w:val="24"/>
          <w:highlight w:val="none"/>
        </w:rPr>
        <w:br w:type="page" w:clear="all"/>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b/>
          <w:spacing w:val="60"/>
          <w:sz w:val="52"/>
          <w:szCs w:val="52"/>
          <w:highlight w:val="none"/>
        </w:rPr>
      </w:pPr>
      <w:r>
        <w:rPr>
          <w:b/>
          <w:spacing w:val="60"/>
          <w:sz w:val="52"/>
          <w:szCs w:val="52"/>
          <w:highlight w:val="none"/>
        </w:rPr>
      </w:r>
      <w:r/>
    </w:p>
    <w:p>
      <w:pPr>
        <w:ind w:firstLine="963"/>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rPr>
          <w:rFonts w:ascii="宋体" w:hAnsi="宋体"/>
          <w:b/>
          <w:sz w:val="36"/>
          <w:highlight w:val="none"/>
        </w:rPr>
      </w:pPr>
      <w:r>
        <w:rPr>
          <w:rFonts w:hint="eastAsia" w:ascii="宋体" w:hAnsi="宋体"/>
          <w:b/>
          <w:sz w:val="36"/>
          <w:highlight w:val="none"/>
        </w:rPr>
        <w:t xml:space="preserve">项 目 名 称：</w:t>
      </w:r>
      <w:r/>
    </w:p>
    <w:p>
      <w:pPr>
        <w:rPr>
          <w:rFonts w:hint="eastAsia" w:ascii="宋体" w:hAnsi="宋体"/>
          <w:b/>
          <w:sz w:val="36"/>
          <w:highlight w:val="none"/>
        </w:rPr>
      </w:pPr>
      <w:r>
        <w:rPr>
          <w:rFonts w:hint="eastAsia" w:ascii="宋体" w:hAnsi="宋体"/>
          <w:b/>
          <w:sz w:val="36"/>
          <w:highlight w:val="none"/>
        </w:rPr>
        <w:t xml:space="preserve">项 目 编 号：</w:t>
      </w:r>
      <w:r/>
    </w:p>
    <w:p>
      <w:pPr>
        <w:rPr>
          <w:rFonts w:hint="eastAsia" w:ascii="宋体" w:hAnsi="宋体"/>
          <w:b/>
          <w:sz w:val="36"/>
          <w:highlight w:val="none"/>
        </w:rPr>
      </w:pPr>
      <w:r>
        <w:rPr>
          <w:rFonts w:hint="eastAsia" w:ascii="宋体" w:hAnsi="宋体"/>
          <w:b/>
          <w:sz w:val="36"/>
          <w:highlight w:val="none"/>
        </w:rPr>
        <w:t xml:space="preserve">投标人名称 ：</w:t>
      </w:r>
      <w:r/>
    </w:p>
    <w:p>
      <w:pPr>
        <w:rPr>
          <w:rFonts w:hint="eastAsia" w:ascii="宋体" w:hAnsi="宋体"/>
          <w:b/>
          <w:sz w:val="36"/>
          <w:highlight w:val="none"/>
        </w:rPr>
      </w:pPr>
      <w:r>
        <w:rPr>
          <w:rFonts w:hint="eastAsia" w:ascii="宋体" w:hAnsi="宋体"/>
          <w:b/>
          <w:sz w:val="36"/>
          <w:highlight w:val="none"/>
        </w:rPr>
        <w:t xml:space="preserve">日       期：</w:t>
      </w:r>
      <w:r/>
    </w:p>
    <w:p>
      <w:pPr>
        <w:jc w:val="center"/>
        <w:rPr>
          <w:b/>
          <w:sz w:val="32"/>
          <w:szCs w:val="32"/>
          <w:highlight w:val="none"/>
        </w:rPr>
      </w:pPr>
      <w:r>
        <w:rPr>
          <w:b/>
          <w:sz w:val="32"/>
          <w:szCs w:val="32"/>
          <w:highlight w:val="none"/>
        </w:rPr>
      </w:r>
      <w:r/>
    </w:p>
    <w:p>
      <w:pPr>
        <w:jc w:val="left"/>
        <w:keepLines/>
        <w:keepNext/>
        <w:spacing w:before="120" w:line="300" w:lineRule="auto"/>
        <w:rPr>
          <w:rFonts w:ascii="宋体" w:hAnsi="宋体"/>
          <w:b/>
          <w:sz w:val="32"/>
          <w:szCs w:val="32"/>
          <w:highlight w:val="none"/>
        </w:rPr>
        <w:outlineLvl w:val="1"/>
      </w:pPr>
      <w:r>
        <w:rPr>
          <w:b/>
          <w:spacing w:val="20"/>
          <w:sz w:val="32"/>
          <w:szCs w:val="32"/>
          <w:highlight w:val="none"/>
        </w:rPr>
        <w:br w:type="page" w:clear="all"/>
      </w:r>
      <w:r>
        <w:rPr>
          <w:rFonts w:hint="eastAsia"/>
          <w:b/>
          <w:spacing w:val="20"/>
          <w:sz w:val="24"/>
          <w:highlight w:val="none"/>
        </w:rPr>
        <w:t xml:space="preserve">一、资格证明文件</w:t>
      </w:r>
      <w:r/>
    </w:p>
    <w:p>
      <w:pPr>
        <w:rPr>
          <w:b/>
          <w:highlight w:val="none"/>
        </w:rPr>
      </w:pPr>
      <w:r>
        <w:rPr>
          <w:b/>
          <w:highlight w:val="none"/>
        </w:rPr>
      </w:r>
      <w:r/>
    </w:p>
    <w:p>
      <w:pPr>
        <w:spacing w:line="400" w:lineRule="exact"/>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rPr>
          <w:rFonts w:hint="eastAsia"/>
          <w:highlight w:val="none"/>
        </w:rPr>
      </w:pPr>
      <w:r>
        <w:rPr>
          <w:rFonts w:hint="eastAsia"/>
          <w:highlight w:val="none"/>
        </w:rPr>
      </w:r>
      <w:r/>
    </w:p>
    <w:p>
      <w:pPr>
        <w:pStyle w:val="947"/>
        <w:rPr>
          <w:rFonts w:hint="eastAsia"/>
          <w:color w:val="auto"/>
          <w:highlight w:val="none"/>
        </w:rPr>
      </w:pPr>
      <w:r>
        <w:rPr>
          <w:rFonts w:hint="eastAsia"/>
          <w:color w:val="auto"/>
          <w:highlight w:val="none"/>
        </w:rPr>
        <w:t xml:space="preserve">1-1 投标人资格声明函（实质性格式）</w:t>
      </w:r>
      <w:r/>
    </w:p>
    <w:p>
      <w:pPr>
        <w:jc w:val="center"/>
        <w:spacing w:before="120" w:line="360" w:lineRule="auto"/>
        <w:widowControl/>
        <w:rPr>
          <w:rFonts w:ascii="宋体" w:hAnsi="宋体" w:cs="宋体"/>
          <w:sz w:val="36"/>
          <w:szCs w:val="36"/>
          <w:highlight w:val="none"/>
        </w:rPr>
      </w:pPr>
      <w:r>
        <w:rPr>
          <w:rFonts w:hint="eastAsia" w:ascii="宋体" w:hAnsi="宋体" w:cs="宋体"/>
          <w:b/>
          <w:sz w:val="36"/>
          <w:szCs w:val="36"/>
          <w:highlight w:val="none"/>
        </w:rPr>
        <w:t xml:space="preserve">投标人资格声明函</w:t>
      </w:r>
      <w:r/>
    </w:p>
    <w:p>
      <w:pPr>
        <w:pStyle w:val="956"/>
        <w:ind w:firstLine="480"/>
        <w:spacing w:line="460" w:lineRule="exact"/>
        <w:rPr>
          <w:highlight w:val="none"/>
        </w:rPr>
      </w:pPr>
      <w:r>
        <w:rPr>
          <w:highlight w:val="none"/>
        </w:rPr>
      </w:r>
      <w:r/>
    </w:p>
    <w:p>
      <w:pPr>
        <w:pStyle w:val="956"/>
        <w:ind w:firstLine="480"/>
        <w:spacing w:line="400" w:lineRule="exact"/>
        <w:rPr>
          <w:highlight w:val="none"/>
        </w:rPr>
      </w:pPr>
      <w:r>
        <w:rPr>
          <w:rFonts w:hint="eastAsia"/>
          <w:highlight w:val="none"/>
        </w:rPr>
        <w:t xml:space="preserve">致：常州润邦招标代理有限公司</w:t>
      </w:r>
      <w:r/>
    </w:p>
    <w:p>
      <w:pPr>
        <w:pStyle w:val="956"/>
        <w:ind w:firstLine="960"/>
        <w:spacing w:line="400" w:lineRule="exact"/>
        <w:rPr>
          <w:highlight w:val="none"/>
          <w:u w:val="single"/>
        </w:rPr>
      </w:pPr>
      <w:r>
        <w:rPr>
          <w:rFonts w:hint="eastAsia"/>
          <w:highlight w:val="none"/>
          <w:u w:val="single"/>
        </w:rPr>
        <w:t xml:space="preserve">（采购人名称）</w:t>
      </w:r>
      <w:r/>
    </w:p>
    <w:p>
      <w:pPr>
        <w:pStyle w:val="956"/>
        <w:ind w:firstLine="480"/>
        <w:spacing w:line="400" w:lineRule="exact"/>
        <w:rPr>
          <w:highlight w:val="none"/>
        </w:rPr>
      </w:pPr>
      <w:r>
        <w:rPr>
          <w:highlight w:val="none"/>
        </w:rPr>
      </w:r>
      <w:r/>
    </w:p>
    <w:p>
      <w:pPr>
        <w:pStyle w:val="956"/>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956"/>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956"/>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956"/>
        <w:ind w:firstLine="480"/>
        <w:spacing w:line="460" w:lineRule="exact"/>
        <w:rPr>
          <w:highlight w:val="none"/>
        </w:rPr>
      </w:pPr>
      <w:r>
        <w:rPr>
          <w:rFonts w:hint="eastAsia"/>
          <w:highlight w:val="none"/>
        </w:rPr>
        <w:t xml:space="preserve">三、我单位依法进行纳税和社会保险申报并实际履行了义务。</w:t>
      </w:r>
      <w:r/>
    </w:p>
    <w:p>
      <w:pPr>
        <w:pStyle w:val="956"/>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956"/>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956"/>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956"/>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56"/>
        <w:ind w:firstLine="480"/>
        <w:spacing w:line="460" w:lineRule="exact"/>
        <w:rPr>
          <w:highlight w:val="none"/>
        </w:rPr>
      </w:pPr>
      <w:r>
        <w:rPr>
          <w:rFonts w:hint="eastAsia"/>
          <w:highlight w:val="none"/>
        </w:rPr>
        <w:t xml:space="preserve">六、我单位具备法律、行政法规规定的其他条件。</w:t>
      </w:r>
      <w:r/>
    </w:p>
    <w:p>
      <w:pPr>
        <w:pStyle w:val="956"/>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956"/>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956"/>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956"/>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956"/>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956"/>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956"/>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956"/>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956"/>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956"/>
        <w:ind w:firstLine="480"/>
        <w:spacing w:line="400" w:lineRule="exact"/>
        <w:rPr>
          <w:highlight w:val="none"/>
        </w:rPr>
      </w:pPr>
      <w:r>
        <w:rPr>
          <w:highlight w:val="none"/>
        </w:rPr>
      </w:r>
      <w:r/>
    </w:p>
    <w:p>
      <w:pPr>
        <w:pStyle w:val="956"/>
        <w:ind w:firstLine="480"/>
        <w:spacing w:line="40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956"/>
        <w:ind w:firstLine="480"/>
        <w:spacing w:line="400" w:lineRule="exact"/>
        <w:rPr>
          <w:highlight w:val="none"/>
        </w:rPr>
      </w:pPr>
      <w:r>
        <w:rPr>
          <w:highlight w:val="none"/>
        </w:rPr>
      </w:r>
      <w:r/>
    </w:p>
    <w:p>
      <w:pPr>
        <w:pStyle w:val="956"/>
        <w:ind w:firstLine="480"/>
        <w:spacing w:line="400" w:lineRule="exact"/>
        <w:rPr>
          <w:highlight w:val="none"/>
        </w:rPr>
      </w:pPr>
      <w:r>
        <w:rPr>
          <w:highlight w:val="none"/>
        </w:rPr>
      </w:r>
      <w:r/>
    </w:p>
    <w:p>
      <w:pPr>
        <w:pStyle w:val="956"/>
        <w:ind w:firstLine="480"/>
        <w:spacing w:line="400" w:lineRule="exact"/>
        <w:rPr>
          <w:highlight w:val="none"/>
        </w:rPr>
      </w:pPr>
      <w:r>
        <w:rPr>
          <w:rFonts w:hint="eastAsia"/>
          <w:highlight w:val="none"/>
        </w:rPr>
        <w:t xml:space="preserve">                                   投标人：（加盖公章）</w:t>
      </w:r>
      <w:r/>
    </w:p>
    <w:p>
      <w:pPr>
        <w:pStyle w:val="956"/>
        <w:ind w:firstLine="480"/>
        <w:spacing w:line="400" w:lineRule="exact"/>
        <w:rPr>
          <w:highlight w:val="none"/>
        </w:rPr>
      </w:pPr>
      <w:r>
        <w:rPr>
          <w:rFonts w:hint="eastAsia"/>
          <w:highlight w:val="none"/>
        </w:rPr>
        <w:t xml:space="preserve">                                   法定代表人（或单位负责人）签字或盖章：</w:t>
      </w:r>
      <w:r/>
    </w:p>
    <w:p>
      <w:pPr>
        <w:pStyle w:val="956"/>
        <w:ind w:firstLine="4920"/>
        <w:spacing w:line="400" w:lineRule="exact"/>
        <w:rPr>
          <w:highlight w:val="none"/>
        </w:rPr>
      </w:pPr>
      <w:r>
        <w:rPr>
          <w:rFonts w:hint="eastAsia"/>
          <w:highlight w:val="none"/>
        </w:rPr>
        <w:t xml:space="preserve">日期：    年    月    日</w:t>
      </w:r>
      <w:r/>
    </w:p>
    <w:p>
      <w:pPr>
        <w:spacing w:line="400" w:lineRule="exact"/>
        <w:rPr>
          <w:sz w:val="24"/>
          <w:highlight w:val="none"/>
        </w:rPr>
      </w:pPr>
      <w:r>
        <w:rPr>
          <w:sz w:val="24"/>
          <w:highlight w:val="none"/>
        </w:rPr>
      </w:r>
      <w:r/>
    </w:p>
    <w:p>
      <w:pPr>
        <w:spacing w:line="400" w:lineRule="exact"/>
        <w:rPr>
          <w:sz w:val="24"/>
          <w:highlight w:val="none"/>
        </w:rPr>
      </w:pPr>
      <w:r>
        <w:rPr>
          <w:sz w:val="24"/>
          <w:highlight w:val="none"/>
        </w:rPr>
      </w:r>
      <w:r/>
    </w:p>
    <w:p>
      <w:pPr>
        <w:spacing w:line="400" w:lineRule="exact"/>
        <w:rPr>
          <w:sz w:val="24"/>
          <w:highlight w:val="none"/>
        </w:rPr>
      </w:pPr>
      <w:r>
        <w:rPr>
          <w:sz w:val="24"/>
          <w:highlight w:val="none"/>
        </w:rPr>
      </w:r>
      <w:r/>
    </w:p>
    <w:p>
      <w:pPr>
        <w:spacing w:line="400" w:lineRule="exact"/>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400" w:lineRule="exact"/>
        <w:tabs>
          <w:tab w:val="left" w:pos="5580" w:leader="none"/>
        </w:tabs>
        <w:rPr>
          <w:sz w:val="24"/>
          <w:highlight w:val="none"/>
        </w:rPr>
        <w:sectPr>
          <w:footnotePr/>
          <w:endnotePr/>
          <w:type w:val="nextPage"/>
          <w:pgSz w:w="11907" w:h="16840" w:orient="portrait"/>
          <w:pgMar w:top="1440" w:right="1800" w:bottom="1440" w:left="1800" w:header="851" w:footer="850" w:gutter="0"/>
          <w:cols w:num="1" w:sep="0" w:space="720" w:equalWidth="1"/>
          <w:docGrid w:linePitch="360"/>
          <w:titlePg/>
        </w:sectPr>
      </w:pPr>
      <w:r>
        <w:rPr>
          <w:sz w:val="24"/>
          <w:highlight w:val="none"/>
        </w:rPr>
      </w:r>
      <w:r/>
    </w:p>
    <w:p>
      <w:pPr>
        <w:pStyle w:val="947"/>
        <w:rPr>
          <w:color w:val="auto"/>
          <w:highlight w:val="none"/>
        </w:rPr>
      </w:pPr>
      <w:r>
        <w:rPr>
          <w:color w:val="auto"/>
          <w:highlight w:val="none"/>
        </w:rPr>
        <w:t xml:space="preserve">2 落实政府采购政策需满足的资格要求（如有）</w:t>
      </w:r>
      <w:r/>
    </w:p>
    <w:p>
      <w:pPr>
        <w:spacing w:line="400" w:lineRule="exact"/>
        <w:rPr>
          <w:rFonts w:ascii="宋体" w:hAnsi="宋体"/>
          <w:b/>
          <w:sz w:val="24"/>
          <w:szCs w:val="20"/>
          <w:highlight w:val="none"/>
        </w:rPr>
        <w:outlineLvl w:val="2"/>
      </w:pPr>
      <w:r>
        <w:rPr>
          <w:rFonts w:ascii="宋体" w:hAnsi="宋体"/>
          <w:b/>
          <w:sz w:val="24"/>
          <w:szCs w:val="20"/>
          <w:highlight w:val="none"/>
        </w:rPr>
        <w:t xml:space="preserve">2-</w:t>
      </w:r>
      <w:r>
        <w:rPr>
          <w:rFonts w:hint="eastAsia" w:ascii="宋体" w:hAnsi="宋体"/>
          <w:b/>
          <w:sz w:val="24"/>
          <w:szCs w:val="20"/>
          <w:highlight w:val="none"/>
        </w:rPr>
        <w:t xml:space="preserve">1</w:t>
      </w:r>
      <w:r>
        <w:rPr>
          <w:rFonts w:ascii="宋体" w:hAnsi="宋体"/>
          <w:b/>
          <w:sz w:val="24"/>
          <w:szCs w:val="20"/>
          <w:highlight w:val="none"/>
        </w:rPr>
        <w:t xml:space="preserve"> </w:t>
      </w:r>
      <w:r>
        <w:rPr>
          <w:rFonts w:hint="eastAsia" w:ascii="宋体" w:hAnsi="宋体"/>
          <w:b/>
          <w:sz w:val="24"/>
          <w:highlight w:val="none"/>
        </w:rPr>
        <w:t xml:space="preserve">其他</w:t>
      </w:r>
      <w:r>
        <w:rPr>
          <w:rFonts w:ascii="宋体" w:hAnsi="宋体"/>
          <w:b/>
          <w:sz w:val="24"/>
          <w:highlight w:val="none"/>
        </w:rPr>
        <w:t xml:space="preserve">落实政府采购政策的资格要求</w:t>
      </w:r>
      <w:r>
        <w:rPr>
          <w:rFonts w:ascii="宋体" w:hAnsi="宋体"/>
          <w:b/>
          <w:sz w:val="24"/>
          <w:szCs w:val="20"/>
          <w:highlight w:val="none"/>
        </w:rPr>
        <w:t xml:space="preserve">（如有）</w:t>
      </w:r>
      <w:r/>
    </w:p>
    <w:p>
      <w:pPr>
        <w:pStyle w:val="947"/>
        <w:rPr>
          <w:rFonts w:hint="eastAsia"/>
          <w:color w:val="auto"/>
          <w:highlight w:val="none"/>
        </w:rPr>
      </w:pPr>
      <w:r>
        <w:rPr>
          <w:color w:val="auto"/>
          <w:highlight w:val="none"/>
        </w:rPr>
        <w:t xml:space="preserve">3 本项目的特定资格要求：无</w:t>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4 营业执照</w:t>
      </w:r>
      <w:r/>
    </w:p>
    <w:p>
      <w:pPr>
        <w:jc w:val="left"/>
        <w:widowControl/>
        <w:rPr>
          <w:sz w:val="24"/>
          <w:highlight w:val="none"/>
        </w:rPr>
      </w:pPr>
      <w:r>
        <w:rPr>
          <w:sz w:val="24"/>
          <w:highlight w:val="none"/>
        </w:rPr>
      </w:r>
      <w:r/>
    </w:p>
    <w:p>
      <w:pPr>
        <w:rPr>
          <w:rFonts w:ascii="宋体" w:hAnsi="宋体"/>
          <w:b/>
          <w:sz w:val="32"/>
          <w:szCs w:val="32"/>
          <w:highlight w:val="none"/>
        </w:rPr>
      </w:pPr>
      <w:r>
        <w:rPr>
          <w:sz w:val="24"/>
          <w:szCs w:val="20"/>
          <w:highlight w:val="none"/>
        </w:rPr>
        <w:br w:type="page" w:clear="all"/>
      </w:r>
      <w:r>
        <w:rPr>
          <w:b/>
          <w:spacing w:val="20"/>
          <w:sz w:val="24"/>
          <w:highlight w:val="none"/>
        </w:rPr>
        <w:t xml:space="preserve">二、商务技术文件格式</w:t>
      </w:r>
      <w:bookmarkStart w:id="1004" w:name="_Toc226337252"/>
      <w:r/>
      <w:bookmarkStart w:id="1005" w:name="_Toc142311058"/>
      <w:r/>
      <w:bookmarkStart w:id="1006" w:name="_Ref467988698"/>
      <w:r/>
      <w:bookmarkStart w:id="1007" w:name="_Toc127151556"/>
      <w:r/>
      <w:bookmarkStart w:id="1008" w:name="_Toc226965829"/>
      <w:r/>
      <w:bookmarkStart w:id="1009" w:name="_Toc480942349"/>
      <w:r/>
      <w:bookmarkStart w:id="1010" w:name="_Toc226309800"/>
      <w:r/>
      <w:bookmarkStart w:id="1011" w:name="_Toc150480794"/>
      <w:r/>
      <w:bookmarkStart w:id="1012" w:name="_Toc226965746"/>
      <w:r/>
      <w:bookmarkStart w:id="1013" w:name="_Toc520356217"/>
      <w:r/>
      <w:bookmarkStart w:id="1014" w:name="_Toc195842921"/>
      <w:r/>
      <w:bookmarkStart w:id="1015" w:name="_Toc150774761"/>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7"/>
        <w:rPr>
          <w:rFonts w:hint="eastAsia"/>
          <w:color w:val="auto"/>
          <w:highlight w:val="none"/>
        </w:rPr>
      </w:pPr>
      <w:r>
        <w:rPr>
          <w:rFonts w:hint="eastAsia"/>
          <w:color w:val="auto"/>
          <w:highlight w:val="none"/>
        </w:rPr>
        <w:t xml:space="preserve">1 投标</w:t>
      </w:r>
      <w:bookmarkEnd w:id="1004"/>
      <w:r/>
      <w:bookmarkEnd w:id="1005"/>
      <w:r/>
      <w:bookmarkEnd w:id="1006"/>
      <w:r/>
      <w:bookmarkEnd w:id="1007"/>
      <w:r/>
      <w:bookmarkEnd w:id="1008"/>
      <w:r/>
      <w:bookmarkEnd w:id="1009"/>
      <w:r/>
      <w:bookmarkEnd w:id="1010"/>
      <w:r/>
      <w:bookmarkEnd w:id="1011"/>
      <w:r/>
      <w:bookmarkEnd w:id="1012"/>
      <w:r/>
      <w:bookmarkEnd w:id="1013"/>
      <w:r/>
      <w:bookmarkEnd w:id="1014"/>
      <w:r/>
      <w:bookmarkEnd w:id="1015"/>
      <w:r>
        <w:rPr>
          <w:rFonts w:hint="eastAsia"/>
          <w:color w:val="auto"/>
          <w:highlight w:val="none"/>
        </w:rPr>
        <w:t xml:space="preserve">函（实质性格式）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400" w:lineRule="exact"/>
        <w:tabs>
          <w:tab w:val="left" w:pos="5580" w:leader="none"/>
        </w:tabs>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（采购人或采购代理机构）</w:t>
      </w:r>
      <w:r/>
    </w:p>
    <w:p>
      <w:pPr>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ind w:firstLine="408"/>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我方参加你方就___________（项目名称，项目编号/包号）组织的招标活动，并对此项目进行投标。</w:t>
      </w:r>
      <w:r/>
    </w:p>
    <w:p>
      <w:pPr>
        <w:ind w:firstLine="48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1.我方</w:t>
      </w:r>
      <w:r>
        <w:rPr>
          <w:rFonts w:hint="eastAsia" w:ascii="宋体" w:hAnsi="宋体" w:cs="宋体"/>
          <w:sz w:val="24"/>
          <w:highlight w:val="none"/>
        </w:rPr>
        <w:t xml:space="preserve">已详细审查全部招标文件</w:t>
      </w:r>
      <w:r>
        <w:rPr>
          <w:rFonts w:hint="eastAsia" w:ascii="宋体" w:hAnsi="宋体" w:cs="宋体"/>
          <w:sz w:val="24"/>
          <w:szCs w:val="20"/>
          <w:highlight w:val="none"/>
        </w:rPr>
        <w:t xml:space="preserve">，自愿参与投标并承诺如下：</w:t>
      </w:r>
      <w:r/>
    </w:p>
    <w:p>
      <w:pPr>
        <w:ind w:firstLine="480"/>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（1）本投标有效期为自提交投标文件的截止之日起</w:t>
      </w:r>
      <w:r>
        <w:rPr>
          <w:rFonts w:hint="eastAsia" w:ascii="宋体" w:hAnsi="宋体" w:cs="宋体"/>
          <w:sz w:val="24"/>
          <w:highlight w:val="none"/>
        </w:rPr>
        <w:t xml:space="preserve">60</w:t>
      </w:r>
      <w:r>
        <w:rPr>
          <w:rFonts w:hint="eastAsia" w:ascii="宋体" w:hAnsi="宋体" w:cs="宋体"/>
          <w:sz w:val="24"/>
          <w:szCs w:val="20"/>
          <w:highlight w:val="none"/>
        </w:rPr>
        <w:t xml:space="preserve">个日历日。</w:t>
      </w:r>
      <w:r/>
    </w:p>
    <w:p>
      <w:pPr>
        <w:ind w:firstLine="480"/>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（2）除合同条款及采购需求偏离表列出的偏离外，我方响应招标文件的全部要求。</w:t>
      </w:r>
      <w:r/>
    </w:p>
    <w:p>
      <w:pPr>
        <w:ind w:firstLine="48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（3）我方已提供的全部文件资料是真实、准确的，并对此承担一切法律后果。</w:t>
      </w:r>
      <w:r/>
    </w:p>
    <w:p>
      <w:pPr>
        <w:ind w:firstLine="480"/>
        <w:spacing w:line="400" w:lineRule="exact"/>
        <w:tabs>
          <w:tab w:val="left" w:pos="5580" w:leader="none"/>
        </w:tabs>
        <w:rPr>
          <w:rFonts w:ascii="宋体" w:hAnsi="宋体" w:cs="宋体"/>
          <w:sz w:val="24"/>
          <w:highlight w:val="none"/>
        </w:rPr>
      </w:pPr>
      <w:r>
        <w:rPr>
          <w:rFonts w:hint="eastAsia" w:ascii="宋体" w:hAnsi="宋体" w:cs="宋体"/>
          <w:sz w:val="24"/>
          <w:szCs w:val="20"/>
          <w:highlight w:val="none"/>
        </w:rPr>
        <w:t xml:space="preserve">（4）如我方中标，我方将在法律规定的期限内与你方签订合同，按照招标文件要求提交履约保证金，并在合同约定的期限内完成合同规定的全部义务。</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2.其他补充条款（如有）：</w:t>
      </w:r>
      <w:r>
        <w:rPr>
          <w:rFonts w:hint="eastAsia" w:ascii="宋体" w:hAnsi="宋体" w:cs="宋体"/>
          <w:sz w:val="24"/>
          <w:szCs w:val="20"/>
          <w:highlight w:val="none"/>
        </w:rPr>
        <w:t xml:space="preserve">___________</w:t>
      </w:r>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与本投标有关的一切正式往来信函请寄：</w:t>
      </w:r>
      <w:r/>
    </w:p>
    <w:p>
      <w:pPr>
        <w:ind w:left="420"/>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ind w:left="420"/>
        <w:spacing w:line="400" w:lineRule="exact"/>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400" w:lineRule="exact"/>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400" w:lineRule="exact"/>
        <w:tabs>
          <w:tab w:val="left" w:pos="5580" w:leader="none"/>
        </w:tabs>
        <w:rPr>
          <w:sz w:val="24"/>
          <w:szCs w:val="20"/>
          <w:highlight w:val="none"/>
        </w:rPr>
      </w:pPr>
      <w:r>
        <w:rPr>
          <w:sz w:val="24"/>
          <w:szCs w:val="20"/>
          <w:highlight w:val="none"/>
        </w:rPr>
      </w:r>
      <w:r/>
    </w:p>
    <w:p>
      <w:pPr>
        <w:ind w:left="420"/>
        <w:spacing w:line="400" w:lineRule="exact"/>
        <w:tabs>
          <w:tab w:val="left" w:pos="5580" w:leader="none"/>
        </w:tabs>
        <w:rPr>
          <w:sz w:val="24"/>
          <w:szCs w:val="20"/>
          <w:highlight w:val="none"/>
        </w:rPr>
      </w:pPr>
      <w:r>
        <w:rPr>
          <w:sz w:val="24"/>
          <w:szCs w:val="20"/>
          <w:highlight w:val="none"/>
        </w:rPr>
        <w:t xml:space="preserve">投标人名称（加盖公章） ___________</w:t>
      </w:r>
      <w:r/>
    </w:p>
    <w:p>
      <w:pPr>
        <w:ind w:left="420"/>
        <w:spacing w:line="400" w:lineRule="exact"/>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1016" w:name="_Hlt520356243"/>
      <w:r/>
      <w:bookmarkEnd w:id="1016"/>
      <w:r/>
      <w:bookmarkStart w:id="1017" w:name="_Hlt520355938"/>
      <w:r/>
      <w:bookmarkEnd w:id="1017"/>
      <w:r>
        <w:rPr>
          <w:sz w:val="24"/>
          <w:highlight w:val="none"/>
        </w:rPr>
        <w:br w:type="page" w:clear="all"/>
      </w:r>
      <w:r/>
    </w:p>
    <w:p>
      <w:pPr>
        <w:pStyle w:val="947"/>
        <w:rPr>
          <w:rFonts w:hint="eastAsia"/>
          <w:color w:val="auto"/>
          <w:highlight w:val="none"/>
        </w:rPr>
      </w:pPr>
      <w:r>
        <w:rPr>
          <w:rFonts w:hint="eastAsia"/>
          <w:color w:val="auto"/>
          <w:highlight w:val="none"/>
        </w:rPr>
        <w:t xml:space="preserve">2 法定代表人资格证明书（实质性格式）</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360" w:lineRule="auto"/>
        <w:rPr>
          <w:b/>
          <w:sz w:val="36"/>
          <w:szCs w:val="36"/>
          <w:highlight w:val="none"/>
        </w:rPr>
      </w:pPr>
      <w:r>
        <w:rPr>
          <w:rFonts w:hint="eastAsia"/>
          <w:b/>
          <w:sz w:val="36"/>
          <w:szCs w:val="36"/>
          <w:highlight w:val="none"/>
        </w:rPr>
        <w:t xml:space="preserve">法定代表人（单位负责人）资格证明书</w:t>
      </w:r>
      <w:r/>
    </w:p>
    <w:p>
      <w:pPr>
        <w:spacing w:line="400" w:lineRule="exact"/>
        <w:rPr>
          <w:rFonts w:ascii="宋体" w:hAnsi="宋体"/>
          <w:sz w:val="24"/>
          <w:highlight w:val="none"/>
        </w:rPr>
      </w:pPr>
      <w:r>
        <w:rPr>
          <w:rFonts w:hint="eastAsia" w:ascii="宋体" w:hAnsi="宋体"/>
          <w:sz w:val="24"/>
          <w:highlight w:val="none"/>
        </w:rPr>
        <w:t xml:space="preserve">单位名称:</w:t>
      </w:r>
      <w:r/>
    </w:p>
    <w:p>
      <w:pPr>
        <w:spacing w:line="400" w:lineRule="exact"/>
        <w:rPr>
          <w:rFonts w:ascii="宋体" w:hAnsi="宋体"/>
          <w:sz w:val="24"/>
          <w:highlight w:val="none"/>
        </w:rPr>
      </w:pPr>
      <w:r>
        <w:rPr>
          <w:rFonts w:hint="eastAsia" w:ascii="宋体" w:hAnsi="宋体"/>
          <w:sz w:val="24"/>
          <w:highlight w:val="none"/>
        </w:rPr>
        <w:t xml:space="preserve">地址:</w:t>
      </w:r>
      <w:r/>
    </w:p>
    <w:p>
      <w:pPr>
        <w:spacing w:line="400" w:lineRule="exact"/>
        <w:rPr>
          <w:rFonts w:ascii="宋体" w:hAnsi="宋体"/>
          <w:sz w:val="24"/>
          <w:highlight w:val="none"/>
        </w:rPr>
      </w:pPr>
      <w:r>
        <w:rPr>
          <w:rFonts w:hint="eastAsia" w:ascii="宋体" w:hAnsi="宋体"/>
          <w:sz w:val="24"/>
          <w:highlight w:val="none"/>
        </w:rPr>
        <w:t xml:space="preserve">姓名:     性别:       年龄:      职务:</w:t>
      </w:r>
      <w:r/>
    </w:p>
    <w:p>
      <w:pPr>
        <w:spacing w:line="40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的法定代表人（单位负责人）。为参与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40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962"/>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电子件。</w:t>
      </w:r>
      <w:r/>
    </w:p>
    <w:tbl>
      <w:tblPr>
        <w:tblStyle w:val="95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4"/>
        <w:gridCol w:w="4196"/>
      </w:tblGrid>
      <w:tr>
        <w:trPr>
          <w:jc w:val="center"/>
          <w:trHeight w:val="2885"/>
        </w:trPr>
        <w:tc>
          <w:tcPr>
            <w:tcW w:w="2537" w:type="pct"/>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2462" w:type="pct"/>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400" w:lineRule="exact"/>
        <w:rPr>
          <w:rFonts w:ascii="宋体" w:hAnsi="宋体"/>
          <w:sz w:val="24"/>
          <w:highlight w:val="none"/>
        </w:rPr>
      </w:pPr>
      <w:r>
        <w:rPr>
          <w:rFonts w:hint="eastAsia" w:ascii="宋体" w:hAnsi="宋体"/>
          <w:sz w:val="24"/>
          <w:highlight w:val="none"/>
        </w:rPr>
        <w:t xml:space="preserve">                     投标人名称：（加盖公章）</w:t>
      </w:r>
      <w:r/>
    </w:p>
    <w:p>
      <w:pPr>
        <w:spacing w:line="40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400" w:lineRule="exact"/>
        <w:rPr>
          <w:rFonts w:ascii="宋体" w:hAnsi="宋体"/>
          <w:sz w:val="24"/>
          <w:highlight w:val="none"/>
        </w:rPr>
      </w:pPr>
      <w:r>
        <w:rPr>
          <w:rFonts w:hint="eastAsia" w:ascii="宋体" w:hAnsi="宋体"/>
          <w:sz w:val="24"/>
          <w:highlight w:val="none"/>
        </w:rPr>
        <w:t xml:space="preserve">日期：    年    月    日</w:t>
      </w:r>
      <w:r/>
    </w:p>
    <w:p>
      <w:pPr>
        <w:jc w:val="left"/>
        <w:spacing w:line="400" w:lineRule="exact"/>
        <w:widowControl/>
        <w:rPr>
          <w:sz w:val="24"/>
          <w:highlight w:val="none"/>
        </w:rPr>
      </w:pPr>
      <w:r>
        <w:rPr>
          <w:sz w:val="24"/>
          <w:highlight w:val="none"/>
        </w:rPr>
      </w:r>
      <w:r/>
    </w:p>
    <w:p>
      <w:pPr>
        <w:jc w:val="left"/>
        <w:spacing w:line="400" w:lineRule="exact"/>
        <w:widowControl/>
        <w:rPr>
          <w:sz w:val="24"/>
          <w:highlight w:val="none"/>
        </w:rPr>
      </w:pPr>
      <w:r>
        <w:rPr>
          <w:sz w:val="24"/>
          <w:highlight w:val="none"/>
        </w:rPr>
      </w:r>
      <w:r/>
    </w:p>
    <w:p>
      <w:pPr>
        <w:jc w:val="left"/>
        <w:spacing w:line="400" w:lineRule="exact"/>
        <w:widowControl/>
        <w:rPr>
          <w:sz w:val="24"/>
          <w:highlight w:val="none"/>
        </w:rPr>
      </w:pPr>
      <w:r>
        <w:rPr>
          <w:sz w:val="24"/>
          <w:highlight w:val="none"/>
        </w:rPr>
      </w:r>
      <w:r/>
    </w:p>
    <w:p>
      <w:pPr>
        <w:jc w:val="left"/>
        <w:spacing w:line="400" w:lineRule="exact"/>
        <w:tabs>
          <w:tab w:val="left" w:pos="5580" w:leader="none"/>
        </w:tabs>
        <w:rPr>
          <w:rFonts w:ascii="宋体" w:hAnsi="宋体"/>
          <w:sz w:val="24"/>
          <w:szCs w:val="20"/>
          <w:highlight w:val="none"/>
        </w:rPr>
      </w:pPr>
      <w:r>
        <w:rPr>
          <w:rFonts w:ascii="宋体" w:hAnsi="宋体"/>
          <w:sz w:val="24"/>
          <w:szCs w:val="20"/>
          <w:highlight w:val="none"/>
        </w:rPr>
      </w:r>
      <w:r/>
    </w:p>
    <w:p>
      <w:pPr>
        <w:jc w:val="left"/>
        <w:spacing w:line="400" w:lineRule="exact"/>
        <w:tabs>
          <w:tab w:val="left" w:pos="5580" w:leader="none"/>
        </w:tabs>
        <w:rPr>
          <w:rFonts w:ascii="宋体" w:hAnsi="宋体"/>
          <w:sz w:val="24"/>
          <w:szCs w:val="20"/>
          <w:highlight w:val="none"/>
        </w:rPr>
      </w:pPr>
      <w:r>
        <w:rPr>
          <w:rFonts w:ascii="宋体" w:hAnsi="宋体"/>
          <w:sz w:val="24"/>
          <w:szCs w:val="20"/>
          <w:highlight w:val="none"/>
        </w:rPr>
      </w:r>
      <w:r/>
    </w:p>
    <w:p>
      <w:pPr>
        <w:jc w:val="left"/>
        <w:spacing w:line="400" w:lineRule="exact"/>
        <w:tabs>
          <w:tab w:val="left" w:pos="5580" w:leader="none"/>
        </w:tabs>
        <w:rPr>
          <w:rFonts w:ascii="宋体" w:hAnsi="宋体"/>
          <w:sz w:val="24"/>
          <w:szCs w:val="20"/>
          <w:highlight w:val="none"/>
        </w:rPr>
      </w:pPr>
      <w:r>
        <w:rPr>
          <w:rFonts w:ascii="宋体" w:hAnsi="宋体"/>
          <w:sz w:val="24"/>
          <w:szCs w:val="20"/>
          <w:highlight w:val="none"/>
        </w:rPr>
      </w:r>
      <w:r/>
    </w:p>
    <w:p>
      <w:pPr>
        <w:jc w:val="left"/>
        <w:spacing w:line="400" w:lineRule="exact"/>
        <w:tabs>
          <w:tab w:val="left" w:pos="5580" w:leader="none"/>
        </w:tabs>
        <w:rPr>
          <w:rFonts w:ascii="宋体" w:hAnsi="宋体"/>
          <w:sz w:val="24"/>
          <w:szCs w:val="20"/>
          <w:highlight w:val="none"/>
        </w:rPr>
      </w:pPr>
      <w:r>
        <w:rPr>
          <w:rFonts w:ascii="宋体" w:hAnsi="宋体"/>
          <w:sz w:val="24"/>
          <w:szCs w:val="20"/>
          <w:highlight w:val="none"/>
        </w:rPr>
      </w:r>
      <w:r/>
    </w:p>
    <w:p>
      <w:pPr>
        <w:pStyle w:val="947"/>
        <w:rPr>
          <w:color w:val="auto"/>
          <w:highlight w:val="none"/>
        </w:rPr>
      </w:pPr>
      <w:r>
        <w:rPr>
          <w:rFonts w:hint="eastAsia"/>
          <w:color w:val="auto"/>
          <w:highlight w:val="none"/>
        </w:rPr>
        <w:br w:type="page" w:clear="all"/>
      </w:r>
      <w:r>
        <w:rPr>
          <w:rFonts w:hint="eastAsia"/>
          <w:color w:val="auto"/>
          <w:highlight w:val="none"/>
        </w:rPr>
        <w:t xml:space="preserve">3  政府采购供应商信用承诺书（实质性格式）</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360" w:lineRule="auto"/>
        <w:rPr>
          <w:b/>
          <w:sz w:val="36"/>
          <w:szCs w:val="36"/>
          <w:highlight w:val="none"/>
        </w:rPr>
      </w:pPr>
      <w:r>
        <w:rPr>
          <w:rFonts w:hint="eastAsia"/>
          <w:b/>
          <w:sz w:val="36"/>
          <w:szCs w:val="36"/>
          <w:highlight w:val="none"/>
        </w:rPr>
        <w:t xml:space="preserve">政府采购供应商信用承诺书</w:t>
      </w:r>
      <w:r/>
    </w:p>
    <w:p>
      <w:pPr>
        <w:ind w:firstLine="640"/>
        <w:rPr>
          <w:highlight w:val="none"/>
        </w:rPr>
      </w:pPr>
      <w:r>
        <w:rPr>
          <w:highlight w:val="none"/>
        </w:rPr>
      </w:r>
      <w:r/>
    </w:p>
    <w:p>
      <w:pPr>
        <w:ind w:firstLine="482"/>
        <w:spacing w:line="400" w:lineRule="exact"/>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2"/>
        <w:spacing w:line="400" w:lineRule="exact"/>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2"/>
        <w:spacing w:line="400" w:lineRule="exact"/>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00" w:lineRule="exact"/>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2"/>
        <w:spacing w:line="400" w:lineRule="exact"/>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400" w:lineRule="exact"/>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2"/>
        <w:spacing w:line="400" w:lineRule="exact"/>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00" w:lineRule="exact"/>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2"/>
        <w:spacing w:line="400" w:lineRule="exact"/>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2"/>
        <w:spacing w:line="400" w:lineRule="exact"/>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2"/>
        <w:spacing w:line="400" w:lineRule="exact"/>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400" w:lineRule="exact"/>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050"/>
        <w:ind w:right="1050" w:firstLine="2880"/>
        <w:jc w:val="both"/>
        <w:spacing w:line="400" w:lineRule="exact"/>
        <w:rPr>
          <w:rFonts w:ascii="宋体" w:hAnsi="宋体" w:eastAsia="宋体"/>
          <w:sz w:val="24"/>
          <w:szCs w:val="22"/>
          <w:highlight w:val="none"/>
        </w:rPr>
      </w:pPr>
      <w:r>
        <w:rPr>
          <w:rFonts w:ascii="宋体" w:hAnsi="宋体" w:eastAsia="宋体"/>
          <w:sz w:val="24"/>
          <w:szCs w:val="22"/>
          <w:highlight w:val="none"/>
        </w:rPr>
      </w:r>
      <w:r/>
    </w:p>
    <w:p>
      <w:pPr>
        <w:spacing w:line="400" w:lineRule="exact"/>
        <w:rPr>
          <w:sz w:val="24"/>
          <w:highlight w:val="none"/>
          <w:lang w:val="zh-CN"/>
        </w:rPr>
      </w:pPr>
      <w:r>
        <w:rPr>
          <w:sz w:val="24"/>
          <w:highlight w:val="none"/>
        </w:rPr>
        <w:t xml:space="preserve">投标人名称（加盖公章）</w:t>
      </w:r>
      <w:r>
        <w:rPr>
          <w:sz w:val="24"/>
          <w:highlight w:val="none"/>
          <w:lang w:val="zh-CN"/>
        </w:rPr>
        <w:t xml:space="preserve">：____________</w:t>
      </w:r>
      <w:r/>
    </w:p>
    <w:p>
      <w:pPr>
        <w:spacing w:line="400" w:lineRule="exact"/>
        <w:rPr>
          <w:sz w:val="24"/>
          <w:highlight w:val="none"/>
          <w:lang w:val="zh-CN"/>
        </w:rPr>
      </w:pPr>
      <w:r>
        <w:rPr>
          <w:sz w:val="24"/>
          <w:szCs w:val="20"/>
          <w:highlight w:val="none"/>
        </w:rPr>
        <w:t xml:space="preserve">日期：_____年______月______日   </w:t>
      </w:r>
      <w:r/>
    </w:p>
    <w:p>
      <w:pPr>
        <w:pStyle w:val="947"/>
        <w:rPr>
          <w:rFonts w:hint="eastAsia"/>
          <w:color w:val="auto"/>
          <w:highlight w:val="none"/>
        </w:rPr>
      </w:pPr>
      <w:r/>
      <w:bookmarkStart w:id="1018" w:name="_Hlt520355504"/>
      <w:r/>
      <w:bookmarkEnd w:id="1018"/>
      <w:r/>
      <w:bookmarkStart w:id="1019" w:name="_Hlt520350918"/>
      <w:r/>
      <w:bookmarkEnd w:id="1019"/>
      <w:r/>
      <w:bookmarkStart w:id="1020" w:name="_Hlt520271212"/>
      <w:r/>
      <w:bookmarkEnd w:id="1020"/>
      <w:r/>
      <w:bookmarkStart w:id="1021" w:name="_Hlt520274407"/>
      <w:r/>
      <w:bookmarkEnd w:id="1021"/>
      <w:r/>
      <w:bookmarkStart w:id="1022" w:name="_Hlt520274393"/>
      <w:r/>
      <w:bookmarkEnd w:id="1022"/>
      <w:r/>
      <w:bookmarkStart w:id="1023" w:name="_Hlt520274065"/>
      <w:r/>
      <w:bookmarkEnd w:id="1023"/>
      <w:r/>
      <w:bookmarkStart w:id="1024" w:name="_Hlt520343000"/>
      <w:r/>
      <w:bookmarkEnd w:id="1024"/>
      <w:r/>
      <w:bookmarkStart w:id="1025" w:name="_Hlt520273711"/>
      <w:r/>
      <w:bookmarkEnd w:id="1025"/>
      <w:r/>
      <w:bookmarkStart w:id="1026" w:name="_Hlt520274121"/>
      <w:r/>
      <w:bookmarkEnd w:id="1026"/>
      <w:r/>
      <w:bookmarkStart w:id="1027" w:name="_Hlt520343392"/>
      <w:r/>
      <w:bookmarkEnd w:id="1027"/>
      <w:r/>
      <w:bookmarkStart w:id="1028" w:name="_Toc142311059"/>
      <w:r/>
      <w:bookmarkStart w:id="1029" w:name="_Toc127151557"/>
      <w:r/>
      <w:bookmarkStart w:id="1030" w:name="_Toc305158825"/>
      <w:r/>
      <w:bookmarkStart w:id="1031" w:name="_Toc226309801"/>
      <w:r/>
      <w:bookmarkStart w:id="1032" w:name="_Toc195842922"/>
      <w:r/>
      <w:bookmarkStart w:id="1033" w:name="_Toc226337253"/>
      <w:r/>
      <w:bookmarkStart w:id="1034" w:name="_Toc264969247"/>
      <w:r/>
      <w:bookmarkStart w:id="1035" w:name="_Toc150774762"/>
      <w:r/>
      <w:bookmarkStart w:id="1036" w:name="_Toc150480795"/>
      <w:r/>
      <w:bookmarkStart w:id="1037" w:name="_Toc265228395"/>
      <w:r/>
      <w:bookmarkStart w:id="1038" w:name="_Toc520356218"/>
      <w:r/>
      <w:bookmarkStart w:id="1039" w:name="_Toc480942350"/>
      <w:r/>
      <w:bookmarkStart w:id="1040" w:name="_Toc305158899"/>
      <w:r/>
      <w:bookmarkStart w:id="1041" w:name="_Toc226965830"/>
      <w:r/>
      <w:bookmarkStart w:id="1042" w:name="_Toc226965747"/>
      <w:r/>
      <w:bookmarkStart w:id="1043" w:name="_Ref467988705"/>
      <w:r>
        <w:rPr>
          <w:color w:val="auto"/>
          <w:highlight w:val="none"/>
        </w:rPr>
        <w:br w:type="page" w:clear="all"/>
      </w:r>
      <w:r>
        <w:rPr>
          <w:rFonts w:hint="eastAsia"/>
          <w:color w:val="auto"/>
          <w:highlight w:val="none"/>
        </w:rPr>
        <w:t xml:space="preserve">4 供应商管理关系或控股关系信息情况表（实质性格式）</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360" w:lineRule="auto"/>
        <w:rPr>
          <w:rFonts w:hint="eastAsia"/>
          <w:b/>
          <w:sz w:val="36"/>
          <w:szCs w:val="36"/>
          <w:highlight w:val="none"/>
        </w:rPr>
      </w:pPr>
      <w:r>
        <w:rPr>
          <w:rFonts w:hint="eastAsia"/>
          <w:b/>
          <w:sz w:val="36"/>
          <w:szCs w:val="36"/>
          <w:highlight w:val="none"/>
        </w:rPr>
        <w:t xml:space="preserve">供应商管理关系或控股关系信息情况表</w:t>
      </w:r>
      <w:r/>
    </w:p>
    <w:p>
      <w:pPr>
        <w:ind w:firstLine="480"/>
        <w:spacing w:before="156" w:line="360" w:lineRule="auto"/>
        <w:widowControl/>
        <w:rPr>
          <w:rFonts w:ascii="宋体" w:hAnsi="宋体" w:cs="宋体"/>
          <w:sz w:val="24"/>
          <w:highlight w:val="none"/>
        </w:rPr>
      </w:pPr>
      <w:r>
        <w:rPr>
          <w:rFonts w:hint="eastAsia" w:ascii="宋体" w:hAnsi="宋体" w:cs="宋体"/>
          <w:sz w:val="24"/>
          <w:highlight w:val="none"/>
        </w:rPr>
        <w:t xml:space="preserve">供应商名称：</w:t>
      </w:r>
      <w:r/>
    </w:p>
    <w:tbl>
      <w:tblPr>
        <w:tblStyle w:val="95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法定代表人</w:t>
            </w:r>
            <w:r/>
          </w:p>
        </w:tc>
        <w:tc>
          <w:tcPr>
            <w:tcW w:w="1994"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成立日期</w:t>
            </w:r>
            <w:r/>
          </w:p>
        </w:tc>
        <w:tc>
          <w:tcPr>
            <w:tcW w:w="2808"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r>
      <w:tr>
        <w:trPr>
          <w:cantSplit/>
          <w:jc w:val="center"/>
          <w:trHeight w:val="412"/>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企业地址</w:t>
            </w:r>
            <w:r/>
          </w:p>
        </w:tc>
        <w:tc>
          <w:tcPr>
            <w:tcW w:w="1994"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注册资本</w:t>
            </w:r>
            <w:r/>
          </w:p>
        </w:tc>
        <w:tc>
          <w:tcPr>
            <w:tcW w:w="2808"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万元</w:t>
            </w:r>
            <w:r/>
          </w:p>
        </w:tc>
      </w:tr>
      <w:tr>
        <w:trPr>
          <w:cantSplit/>
          <w:jc w:val="center"/>
          <w:trHeight w:val="412"/>
        </w:trPr>
        <w:tc>
          <w:tcPr>
            <w:tcW w:w="2496"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统一社会信用代码</w:t>
            </w:r>
            <w:r/>
          </w:p>
        </w:tc>
        <w:tc>
          <w:tcPr>
            <w:gridSpan w:val="3"/>
            <w:tcW w:w="6255"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r>
      <w:tr>
        <w:trPr>
          <w:cantSplit/>
          <w:jc w:val="center"/>
          <w:trHeight w:val="2164"/>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股东信息</w:t>
            </w:r>
            <w:r/>
          </w:p>
        </w:tc>
        <w:tc>
          <w:tcPr>
            <w:gridSpan w:val="3"/>
            <w:tcW w:w="6255"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股东1（姓名或单位名称）：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股东1持股比例：</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股东2（姓名或单位名称）：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股东2持股比例：</w:t>
            </w:r>
            <w:r/>
          </w:p>
          <w:p>
            <w:pPr>
              <w:jc w:val="left"/>
              <w:spacing w:line="420" w:lineRule="exact"/>
              <w:rPr>
                <w:rFonts w:ascii="宋体" w:hAnsi="宋体" w:cs="宋体"/>
                <w:sz w:val="24"/>
                <w:highlight w:val="none"/>
              </w:rPr>
            </w:pPr>
            <w:r>
              <w:rPr>
                <w:rFonts w:hint="eastAsia" w:ascii="宋体" w:hAnsi="宋体" w:cs="宋体"/>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p>
        </w:tc>
        <w:tc>
          <w:tcPr>
            <w:gridSpan w:val="3"/>
            <w:tcW w:w="6255" w:type="dxa"/>
            <w:vAlign w:val="center"/>
            <w:textDirection w:val="lrTb"/>
            <w:noWrap w:val="false"/>
          </w:tcPr>
          <w:p>
            <w:pPr>
              <w:jc w:val="left"/>
              <w:spacing w:line="42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p>
          <w:p>
            <w:pPr>
              <w:jc w:val="left"/>
              <w:spacing w:line="42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p>
          <w:p>
            <w:pPr>
              <w:jc w:val="left"/>
              <w:spacing w:line="420" w:lineRule="exact"/>
              <w:rPr>
                <w:rFonts w:ascii="宋体" w:hAnsi="宋体" w:cs="宋体"/>
                <w:sz w:val="24"/>
                <w:highlight w:val="none"/>
              </w:rPr>
            </w:pPr>
            <w:r>
              <w:rPr>
                <w:rFonts w:hint="eastAsia" w:ascii="宋体" w:hAnsi="宋体" w:cs="宋体"/>
                <w:sz w:val="24"/>
                <w:highlight w:val="none"/>
              </w:rPr>
              <w:t xml:space="preserve">企业1名称：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20" w:lineRule="exact"/>
              <w:rPr>
                <w:rFonts w:ascii="宋体" w:hAnsi="宋体" w:cs="宋体"/>
                <w:sz w:val="24"/>
                <w:highlight w:val="none"/>
              </w:rPr>
            </w:pPr>
            <w:r>
              <w:rPr>
                <w:rFonts w:hint="eastAsia" w:ascii="宋体" w:hAnsi="宋体" w:cs="宋体"/>
                <w:sz w:val="24"/>
                <w:highlight w:val="none"/>
              </w:rPr>
              <w:t xml:space="preserve">企业2名称：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20" w:lineRule="exact"/>
              <w:rPr>
                <w:rFonts w:ascii="宋体" w:hAnsi="宋体" w:cs="宋体"/>
                <w:sz w:val="24"/>
                <w:highlight w:val="none"/>
              </w:rPr>
            </w:pPr>
            <w:r>
              <w:rPr>
                <w:rFonts w:hint="eastAsia" w:ascii="宋体" w:hAnsi="宋体" w:cs="宋体"/>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本单位承诺：</w:t>
            </w:r>
            <w:r/>
          </w:p>
          <w:p>
            <w:pPr>
              <w:numPr>
                <w:ilvl w:val="0"/>
                <w:numId w:val="14"/>
              </w:numPr>
              <w:ind w:firstLine="561"/>
              <w:jc w:val="left"/>
              <w:spacing w:line="42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分，对所提供信息的真实性、完整性、准确性负责。</w:t>
            </w:r>
            <w:r/>
          </w:p>
          <w:p>
            <w:pPr>
              <w:numPr>
                <w:ilvl w:val="0"/>
                <w:numId w:val="14"/>
              </w:numPr>
              <w:ind w:firstLine="561"/>
              <w:jc w:val="left"/>
              <w:spacing w:line="420" w:lineRule="exact"/>
              <w:rPr>
                <w:rFonts w:ascii="宋体" w:hAnsi="宋体"/>
                <w:sz w:val="24"/>
                <w:highlight w:val="none"/>
              </w:rPr>
            </w:pPr>
            <w:r>
              <w:rPr>
                <w:rFonts w:hint="eastAsia" w:ascii="宋体" w:hAnsi="宋体"/>
                <w:sz w:val="24"/>
                <w:highlight w:val="none"/>
              </w:rPr>
              <w:t xml:space="preserve">自觉接受行政管理、监督部门、行业组织、社会公众的监督。</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供应商（盖章）：</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法定代表人（签字或盖章）：</w:t>
            </w:r>
            <w:r/>
          </w:p>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                 日期：   年  月  日</w:t>
            </w:r>
            <w:r/>
          </w:p>
        </w:tc>
      </w:tr>
    </w:tbl>
    <w:p>
      <w:pPr>
        <w:pStyle w:val="947"/>
        <w:rPr>
          <w:color w:val="auto"/>
          <w:highlight w:val="none"/>
        </w:rPr>
      </w:pPr>
      <w:r>
        <w:rPr>
          <w:rFonts w:hint="eastAsia"/>
          <w:color w:val="auto"/>
          <w:highlight w:val="none"/>
        </w:rPr>
        <w:br w:type="page" w:clear="all"/>
      </w:r>
      <w:r>
        <w:rPr>
          <w:rFonts w:hint="eastAsia"/>
          <w:color w:val="auto"/>
          <w:highlight w:val="none"/>
        </w:rPr>
        <w:t xml:space="preserve">5 开标一览表</w:t>
      </w:r>
      <w:bookmarkEnd w:id="1028"/>
      <w:r/>
      <w:bookmarkEnd w:id="1029"/>
      <w:r/>
      <w:bookmarkEnd w:id="1030"/>
      <w:r/>
      <w:bookmarkEnd w:id="1031"/>
      <w:r/>
      <w:bookmarkEnd w:id="1032"/>
      <w:r/>
      <w:bookmarkEnd w:id="1033"/>
      <w:r/>
      <w:bookmarkEnd w:id="1034"/>
      <w:r/>
      <w:bookmarkEnd w:id="1035"/>
      <w:r/>
      <w:bookmarkEnd w:id="1036"/>
      <w:r/>
      <w:bookmarkEnd w:id="1037"/>
      <w:r/>
      <w:bookmarkEnd w:id="1038"/>
      <w:r/>
      <w:bookmarkEnd w:id="1039"/>
      <w:r/>
      <w:bookmarkEnd w:id="1040"/>
      <w:r/>
      <w:bookmarkEnd w:id="1041"/>
      <w:r/>
      <w:bookmarkEnd w:id="1042"/>
      <w:r/>
      <w:bookmarkEnd w:id="1043"/>
      <w:r>
        <w:rPr>
          <w:rFonts w:hint="eastAsia"/>
          <w:color w:val="auto"/>
          <w:highlight w:val="none"/>
        </w:rPr>
        <w:t xml:space="preserve">（实质性格式）</w:t>
      </w:r>
      <w:r/>
    </w:p>
    <w:p>
      <w:pPr>
        <w:jc w:val="center"/>
        <w:spacing w:line="360" w:lineRule="auto"/>
        <w:rPr>
          <w:b/>
          <w:sz w:val="36"/>
          <w:szCs w:val="36"/>
          <w:highlight w:val="none"/>
        </w:rPr>
      </w:pPr>
      <w:r/>
      <w:bookmarkStart w:id="1044" w:name="_Toc264969248"/>
      <w:r/>
      <w:bookmarkStart w:id="1045" w:name="_Toc164608827"/>
      <w:r/>
      <w:bookmarkStart w:id="1046" w:name="_Toc164608672"/>
      <w:r/>
      <w:bookmarkStart w:id="1047" w:name="_Toc226965831"/>
      <w:r/>
      <w:bookmarkStart w:id="1048" w:name="_Toc265228396"/>
      <w:r/>
      <w:bookmarkStart w:id="1049" w:name="_Toc226965748"/>
      <w:r/>
      <w:bookmarkStart w:id="1050" w:name="_Toc305158826"/>
      <w:r/>
      <w:bookmarkStart w:id="1051" w:name="_Toc305158900"/>
      <w:r/>
      <w:bookmarkStart w:id="1052" w:name="_Toc226337254"/>
      <w:r/>
      <w:bookmarkStart w:id="1053" w:name="_Toc226309802"/>
      <w:r/>
      <w:bookmarkStart w:id="1054" w:name="_Toc195842923"/>
      <w:r>
        <w:rPr>
          <w:rFonts w:hint="eastAsia"/>
          <w:b/>
          <w:sz w:val="36"/>
          <w:szCs w:val="36"/>
          <w:highlight w:val="none"/>
        </w:rPr>
        <w:t xml:space="preserve">开标一览表</w:t>
      </w:r>
      <w:bookmarkEnd w:id="1044"/>
      <w:r/>
      <w:bookmarkEnd w:id="1045"/>
      <w:r/>
      <w:bookmarkEnd w:id="1046"/>
      <w:r/>
      <w:bookmarkEnd w:id="1047"/>
      <w:r/>
      <w:bookmarkEnd w:id="1048"/>
      <w:r/>
      <w:bookmarkEnd w:id="1049"/>
      <w:r/>
      <w:bookmarkEnd w:id="1050"/>
      <w:r/>
      <w:bookmarkEnd w:id="1051"/>
      <w:r/>
      <w:bookmarkEnd w:id="1052"/>
      <w:r/>
      <w:bookmarkEnd w:id="1053"/>
      <w:r/>
      <w:bookmarkEnd w:id="1054"/>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w:t>
      </w:r>
      <w:r/>
    </w:p>
    <w:p>
      <w:pPr>
        <w:ind w:firstLine="6240"/>
        <w:spacing w:line="360" w:lineRule="auto"/>
        <w:tabs>
          <w:tab w:val="left" w:pos="1800" w:leader="none"/>
          <w:tab w:val="left" w:pos="5580" w:leader="none"/>
        </w:tabs>
        <w:rPr>
          <w:sz w:val="24"/>
          <w:highlight w:val="none"/>
          <w:u w:val="single"/>
        </w:rPr>
      </w:pPr>
      <w:r>
        <w:rPr>
          <w:sz w:val="24"/>
          <w:highlight w:val="none"/>
        </w:rPr>
        <w:t xml:space="preserve">报价单位：人民币元</w:t>
      </w:r>
      <w:r/>
    </w:p>
    <w:tbl>
      <w:tblPr>
        <w:tblStyle w:val="95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6473"/>
      </w:tblGrid>
      <w:tr>
        <w:trPr>
          <w:jc w:val="center"/>
          <w:trHeight w:val="1130"/>
        </w:trPr>
        <w:tc>
          <w:tcPr>
            <w:tcW w:w="1201"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投标报价</w:t>
            </w:r>
            <w:r/>
          </w:p>
          <w:p>
            <w:pPr>
              <w:jc w:val="center"/>
              <w:rPr>
                <w:rFonts w:hint="eastAsia" w:ascii="宋体" w:hAnsi="宋体" w:cs="宋体"/>
                <w:b/>
                <w:bCs/>
                <w:sz w:val="24"/>
                <w:highlight w:val="none"/>
              </w:rPr>
            </w:pPr>
            <w:r>
              <w:rPr>
                <w:rFonts w:hint="eastAsia" w:ascii="宋体" w:hAnsi="宋体" w:cs="宋体"/>
                <w:b/>
                <w:bCs/>
                <w:sz w:val="24"/>
                <w:highlight w:val="none"/>
              </w:rPr>
              <w:t xml:space="preserve">（人民币：元）</w:t>
            </w:r>
            <w:r/>
          </w:p>
        </w:tc>
        <w:tc>
          <w:tcPr>
            <w:tcW w:w="3798" w:type="pct"/>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大写：人民币</w:t>
            </w:r>
            <w:r/>
          </w:p>
          <w:p>
            <w:pPr>
              <w:spacing w:line="360" w:lineRule="auto"/>
              <w:rPr>
                <w:rFonts w:hint="eastAsia" w:ascii="宋体" w:hAnsi="宋体" w:cs="宋体"/>
                <w:sz w:val="24"/>
                <w:highlight w:val="none"/>
              </w:rPr>
            </w:pPr>
            <w:r>
              <w:rPr>
                <w:rFonts w:hint="eastAsia" w:ascii="宋体" w:hAnsi="宋体" w:cs="宋体"/>
                <w:sz w:val="24"/>
                <w:highlight w:val="none"/>
              </w:rPr>
              <w:t xml:space="preserve">小写：¥</w:t>
            </w:r>
            <w:r/>
          </w:p>
        </w:tc>
      </w:tr>
      <w:tr>
        <w:trPr>
          <w:jc w:val="center"/>
          <w:trHeight w:val="1303"/>
        </w:trPr>
        <w:tc>
          <w:tcPr>
            <w:tcW w:w="1201" w:type="pct"/>
            <w:vAlign w:val="center"/>
            <w:textDirection w:val="lrTb"/>
            <w:noWrap w:val="false"/>
          </w:tcPr>
          <w:p>
            <w:pPr>
              <w:jc w:val="center"/>
              <w:rPr>
                <w:rFonts w:hint="eastAsia" w:ascii="宋体" w:hAnsi="宋体" w:cs="宋体"/>
                <w:sz w:val="24"/>
                <w:highlight w:val="none"/>
              </w:rPr>
            </w:pPr>
            <w:r>
              <w:rPr>
                <w:rFonts w:hint="eastAsia" w:ascii="宋体" w:hAnsi="宋体" w:cs="宋体"/>
                <w:b/>
                <w:bCs/>
                <w:sz w:val="24"/>
                <w:highlight w:val="none"/>
              </w:rPr>
              <w:t xml:space="preserve">供货期</w:t>
            </w:r>
            <w:r/>
          </w:p>
        </w:tc>
        <w:tc>
          <w:tcPr>
            <w:tcW w:w="379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1026"/>
        </w:trPr>
        <w:tc>
          <w:tcPr>
            <w:tcW w:w="1201" w:type="pct"/>
            <w:vAlign w:val="center"/>
            <w:textDirection w:val="lrTb"/>
            <w:noWrap w:val="false"/>
          </w:tcPr>
          <w:p>
            <w:pPr>
              <w:pStyle w:val="987"/>
              <w:ind w:left="0" w:firstLine="0"/>
              <w:jc w:val="center"/>
              <w:spacing w:after="0" w:line="400" w:lineRule="exact"/>
              <w:rPr>
                <w:rFonts w:hint="eastAsia" w:ascii="宋体" w:hAnsi="宋体" w:cs="宋体"/>
                <w:szCs w:val="24"/>
                <w:highlight w:val="none"/>
              </w:rPr>
            </w:pPr>
            <w:r>
              <w:rPr>
                <w:rFonts w:hint="eastAsia" w:ascii="宋体" w:hAnsi="宋体" w:cs="宋体"/>
                <w:b/>
                <w:bCs/>
                <w:szCs w:val="24"/>
                <w:highlight w:val="none"/>
              </w:rPr>
              <w:t xml:space="preserve">免费质保期</w:t>
            </w:r>
            <w:r/>
          </w:p>
        </w:tc>
        <w:tc>
          <w:tcPr>
            <w:tcW w:w="379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bl>
    <w:p>
      <w:pPr>
        <w:jc w:val="left"/>
        <w:rPr>
          <w:sz w:val="24"/>
          <w:highlight w:val="none"/>
        </w:rPr>
      </w:pPr>
      <w:r>
        <w:rPr>
          <w:sz w:val="24"/>
          <w:highlight w:val="none"/>
        </w:rPr>
      </w:r>
      <w:r/>
    </w:p>
    <w:p>
      <w:pPr>
        <w:jc w:val="left"/>
        <w:spacing w:line="400" w:lineRule="exact"/>
        <w:rPr>
          <w:rFonts w:ascii="宋体" w:hAnsi="宋体" w:cs="宋体"/>
          <w:sz w:val="24"/>
          <w:szCs w:val="20"/>
          <w:highlight w:val="none"/>
        </w:rPr>
      </w:pPr>
      <w:r>
        <w:rPr>
          <w:rFonts w:hint="eastAsia" w:ascii="宋体" w:hAnsi="宋体" w:cs="宋体"/>
          <w:sz w:val="24"/>
          <w:highlight w:val="none"/>
        </w:rPr>
        <w:t xml:space="preserve">注：1</w:t>
      </w:r>
      <w:r>
        <w:rPr>
          <w:rFonts w:hint="eastAsia" w:ascii="宋体" w:hAnsi="宋体" w:cs="宋体"/>
          <w:sz w:val="24"/>
          <w:szCs w:val="20"/>
          <w:highlight w:val="none"/>
        </w:rPr>
        <w:t xml:space="preserve">.此表中，每包的投标报价应和《投标分项报价表》中的总价相一致。</w:t>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pStyle w:val="947"/>
        <w:rPr>
          <w:color w:val="auto"/>
          <w:highlight w:val="none"/>
        </w:rPr>
      </w:pPr>
      <w:r/>
      <w:bookmarkStart w:id="1055" w:name="_Toc195842924"/>
      <w:r/>
      <w:bookmarkStart w:id="1056" w:name="_Toc150480796"/>
      <w:r/>
      <w:bookmarkStart w:id="1057" w:name="_Toc226309803"/>
      <w:r/>
      <w:bookmarkStart w:id="1058" w:name="_Toc127151558"/>
      <w:r/>
      <w:bookmarkStart w:id="1059" w:name="_Toc226965749"/>
      <w:r/>
      <w:bookmarkStart w:id="1060" w:name="_Toc265228397"/>
      <w:r/>
      <w:bookmarkStart w:id="1061" w:name="_Toc305158827"/>
      <w:r/>
      <w:bookmarkStart w:id="1062" w:name="_Toc226965832"/>
      <w:r/>
      <w:bookmarkStart w:id="1063" w:name="_Toc264969249"/>
      <w:r/>
      <w:bookmarkStart w:id="1064" w:name="_Toc226337255"/>
      <w:r/>
      <w:bookmarkStart w:id="1065" w:name="_Toc150774763"/>
      <w:r/>
      <w:bookmarkStart w:id="1066" w:name="_Toc305158901"/>
      <w:r/>
      <w:bookmarkStart w:id="1067" w:name="_Toc142311060"/>
      <w:r>
        <w:rPr>
          <w:color w:val="auto"/>
          <w:highlight w:val="none"/>
        </w:rPr>
        <w:br w:type="page" w:clear="all"/>
      </w:r>
      <w:r>
        <w:rPr>
          <w:rFonts w:hint="eastAsia"/>
          <w:color w:val="auto"/>
          <w:highlight w:val="none"/>
        </w:rPr>
        <w:t xml:space="preserve">6 投标分项报价表（实质性格式）</w:t>
      </w:r>
      <w:r/>
    </w:p>
    <w:p>
      <w:pPr>
        <w:jc w:val="center"/>
        <w:spacing w:line="360" w:lineRule="auto"/>
        <w:rPr>
          <w:b/>
          <w:sz w:val="36"/>
          <w:szCs w:val="36"/>
          <w:highlight w:val="none"/>
        </w:rPr>
      </w:pPr>
      <w:r>
        <w:rPr>
          <w:rFonts w:hint="eastAsia"/>
          <w:b/>
          <w:sz w:val="36"/>
          <w:szCs w:val="36"/>
          <w:highlight w:val="none"/>
        </w:rPr>
        <w:t xml:space="preserve">投标分项报价表</w:t>
      </w:r>
      <w:r/>
    </w:p>
    <w:p>
      <w:pPr>
        <w:jc w:val="center"/>
        <w:spacing w:line="260" w:lineRule="exact"/>
        <w:rPr>
          <w:sz w:val="36"/>
          <w:szCs w:val="36"/>
          <w:highlight w:val="none"/>
        </w:rPr>
      </w:pPr>
      <w:r>
        <w:rPr>
          <w:sz w:val="36"/>
          <w:szCs w:val="36"/>
          <w:highlight w:val="none"/>
        </w:rPr>
      </w:r>
      <w:r/>
    </w:p>
    <w:p>
      <w:pPr>
        <w:tabs>
          <w:tab w:val="left" w:pos="1800" w:leader="none"/>
          <w:tab w:val="left" w:pos="5580" w:leader="none"/>
        </w:tabs>
        <w:rPr>
          <w:sz w:val="24"/>
          <w:highlight w:val="none"/>
        </w:rPr>
      </w:pPr>
      <w:r>
        <w:rPr>
          <w:sz w:val="24"/>
          <w:highlight w:val="none"/>
        </w:rPr>
        <w:t xml:space="preserve">项目编号/包号：___________ 项目名称：__________报价单位：人民币元</w:t>
      </w:r>
      <w:r/>
    </w:p>
    <w:tbl>
      <w:tblPr>
        <w:tblStyle w:val="955"/>
        <w:tblW w:w="53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588"/>
        <w:gridCol w:w="749"/>
        <w:gridCol w:w="834"/>
        <w:gridCol w:w="702"/>
        <w:gridCol w:w="704"/>
        <w:gridCol w:w="809"/>
        <w:gridCol w:w="745"/>
        <w:gridCol w:w="751"/>
        <w:gridCol w:w="1449"/>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395"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78"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414"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品牌型号</w:t>
            </w:r>
            <w:r/>
          </w:p>
        </w:tc>
        <w:tc>
          <w:tcPr>
            <w:tcBorders>
              <w:top w:val="single" w:color="auto" w:sz="4" w:space="0"/>
              <w:left w:val="single" w:color="auto" w:sz="4" w:space="0"/>
              <w:right w:val="single" w:color="auto" w:sz="4" w:space="0"/>
            </w:tcBorders>
            <w:tcW w:w="461" w:type="pct"/>
            <w:vAlign w:val="center"/>
            <w:vMerge w:val="restart"/>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制造商名称</w:t>
            </w:r>
            <w:r/>
          </w:p>
        </w:tc>
        <w:tc>
          <w:tcPr>
            <w:tcBorders>
              <w:top w:val="single" w:color="auto" w:sz="4" w:space="0"/>
              <w:left w:val="single" w:color="auto" w:sz="4" w:space="0"/>
              <w:right w:val="single" w:color="auto" w:sz="4" w:space="0"/>
            </w:tcBorders>
            <w:tcW w:w="388"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产地</w:t>
            </w:r>
            <w:r/>
          </w:p>
        </w:tc>
        <w:tc>
          <w:tcPr>
            <w:tcBorders>
              <w:top w:val="single" w:color="auto" w:sz="4" w:space="0"/>
              <w:left w:val="single" w:color="auto" w:sz="4" w:space="0"/>
              <w:bottom w:val="single" w:color="auto" w:sz="4" w:space="0"/>
              <w:right w:val="single" w:color="auto" w:sz="4" w:space="0"/>
            </w:tcBorders>
            <w:tcW w:w="389"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447"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数量（套）</w:t>
            </w:r>
            <w:r/>
          </w:p>
        </w:tc>
        <w:tc>
          <w:tcPr>
            <w:gridSpan w:val="2"/>
            <w:tcBorders>
              <w:top w:val="single" w:color="auto" w:sz="4" w:space="0"/>
              <w:left w:val="single" w:color="auto" w:sz="4" w:space="0"/>
              <w:bottom w:val="single" w:color="auto" w:sz="4" w:space="0"/>
              <w:right w:val="single" w:color="auto" w:sz="4" w:space="0"/>
            </w:tcBorders>
            <w:tcW w:w="827" w:type="pct"/>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投标价格（元）</w:t>
            </w:r>
            <w:r/>
          </w:p>
        </w:tc>
        <w:tc>
          <w:tcPr>
            <w:tcBorders>
              <w:top w:val="single" w:color="auto" w:sz="4" w:space="0"/>
              <w:left w:val="single" w:color="auto" w:sz="4" w:space="0"/>
              <w:right w:val="single" w:color="auto" w:sz="4" w:space="0"/>
            </w:tcBorders>
            <w:tcW w:w="797"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备注</w:t>
            </w:r>
            <w:r/>
          </w:p>
        </w:tc>
      </w:tr>
      <w:tr>
        <w:trPr>
          <w:cantSplit/>
          <w:jc w:val="center"/>
          <w:trHeight w:val="567"/>
          <w:tblHeader/>
        </w:trPr>
        <w:tc>
          <w:tcPr>
            <w:tcBorders>
              <w:top w:val="single" w:color="auto" w:sz="4" w:space="0"/>
              <w:left w:val="single" w:color="auto" w:sz="4" w:space="0"/>
              <w:bottom w:val="single" w:color="auto" w:sz="4" w:space="0"/>
              <w:right w:val="single" w:color="auto" w:sz="4" w:space="0"/>
            </w:tcBorders>
            <w:tcW w:w="395"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78"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left w:val="single" w:color="auto" w:sz="4" w:space="0"/>
              <w:bottom w:val="single" w:color="auto" w:sz="4" w:space="0"/>
              <w:right w:val="single" w:color="auto" w:sz="4" w:space="0"/>
            </w:tcBorders>
            <w:tcW w:w="461"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left w:val="single" w:color="auto" w:sz="4" w:space="0"/>
              <w:bottom w:val="single" w:color="auto" w:sz="4" w:space="0"/>
              <w:right w:val="single" w:color="auto" w:sz="4" w:space="0"/>
            </w:tcBorders>
            <w:tcW w:w="388"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合价</w:t>
            </w:r>
            <w:r/>
          </w:p>
        </w:tc>
        <w:tc>
          <w:tcPr>
            <w:tcBorders>
              <w:left w:val="single" w:color="auto" w:sz="4" w:space="0"/>
              <w:bottom w:val="single" w:color="auto" w:sz="4" w:space="0"/>
              <w:right w:val="single" w:color="auto" w:sz="4" w:space="0"/>
            </w:tcBorders>
            <w:tcW w:w="797"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bookmarkStart w:id="1068" w:name="OLE_LINK438"/>
            <w:r/>
            <w:bookmarkStart w:id="1069" w:name="OLE_LINK437"/>
            <w:r/>
            <w:bookmarkStart w:id="1070" w:name="_Hlk224918472"/>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电磁兼容暗室（核心产品）</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10米法电波暗室</w:t>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屏蔽房</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包含控制室1间、功放室1间、传导骚扰屏蔽房1间、EMS测试房1间</w:t>
            </w:r>
            <w:bookmarkEnd w:id="1068"/>
            <w:r/>
            <w:bookmarkEnd w:id="1069"/>
            <w:r/>
            <w:bookmarkEnd w:id="1070"/>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辐射骚扰测试系统</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辐射抗扰度测试系统</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屏蔽房传导骚扰测试系统</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三相谐波闪烁测试系统</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抗扰度设备</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合计</w:t>
            </w:r>
            <w:r/>
          </w:p>
        </w:tc>
        <w:tc>
          <w:tcPr>
            <w:gridSpan w:val="8"/>
            <w:tcBorders>
              <w:top w:val="single" w:color="auto" w:sz="4" w:space="0"/>
              <w:left w:val="single" w:color="auto" w:sz="4" w:space="0"/>
              <w:bottom w:val="single" w:color="auto" w:sz="4" w:space="0"/>
              <w:right w:val="single" w:color="auto" w:sz="4" w:space="0"/>
            </w:tcBorders>
            <w:tcW w:w="3726"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大写：               人民币</w:t>
            </w:r>
            <w:r/>
          </w:p>
          <w:p>
            <w:pPr>
              <w:jc w:val="left"/>
              <w:widowControl/>
              <w:rPr>
                <w:rFonts w:hint="eastAsia" w:ascii="宋体" w:hAnsi="宋体" w:cs="宋体"/>
                <w:sz w:val="24"/>
                <w:highlight w:val="none"/>
              </w:rPr>
            </w:pPr>
            <w:r>
              <w:rPr>
                <w:rFonts w:hint="eastAsia" w:ascii="宋体" w:hAnsi="宋体" w:cs="宋体"/>
                <w:sz w:val="24"/>
                <w:highlight w:val="none"/>
              </w:rPr>
              <w:t xml:space="preserve">小写：¥</w:t>
            </w:r>
            <w:r/>
          </w:p>
        </w:tc>
      </w:tr>
      <w:tr>
        <w:trPr>
          <w:jc w:val="center"/>
          <w:trHeight w:val="567"/>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本采购包中提供的符合本国产品标准的产品成本之和占该采购包提供的全部产品成本之和的比例为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tc>
      </w:tr>
    </w:tbl>
    <w:p>
      <w:pPr>
        <w:jc w:val="left"/>
        <w:tabs>
          <w:tab w:val="left" w:pos="1800" w:leader="none"/>
          <w:tab w:val="left" w:pos="5580" w:leader="none"/>
        </w:tabs>
        <w:rPr>
          <w:sz w:val="24"/>
          <w:highlight w:val="none"/>
        </w:rPr>
      </w:pPr>
      <w:r>
        <w:rPr>
          <w:sz w:val="24"/>
          <w:highlight w:val="none"/>
        </w:rPr>
      </w:r>
      <w:r/>
    </w:p>
    <w:p>
      <w:pPr>
        <w:tabs>
          <w:tab w:val="left" w:pos="1800" w:leader="none"/>
          <w:tab w:val="left" w:pos="5580" w:leader="none"/>
        </w:tabs>
        <w:rPr>
          <w:rFonts w:ascii="宋体" w:hAnsi="宋体" w:cs="宋体"/>
          <w:szCs w:val="21"/>
          <w:highlight w:val="none"/>
        </w:rPr>
      </w:pPr>
      <w:r>
        <w:rPr>
          <w:rFonts w:hint="eastAsia" w:ascii="宋体" w:hAnsi="宋体" w:cs="宋体"/>
          <w:szCs w:val="21"/>
          <w:highlight w:val="none"/>
        </w:rPr>
        <w:t xml:space="preserve">注：1.，本表应按包分别填写。</w:t>
      </w:r>
      <w:r/>
    </w:p>
    <w:p>
      <w:pPr>
        <w:ind w:firstLine="422"/>
        <w:tabs>
          <w:tab w:val="left" w:pos="1800" w:leader="none"/>
          <w:tab w:val="left" w:pos="5580" w:leader="none"/>
        </w:tabs>
        <w:rPr>
          <w:rFonts w:ascii="宋体" w:hAnsi="宋体" w:cs="宋体"/>
          <w:b/>
          <w:bCs/>
          <w:szCs w:val="21"/>
          <w:highlight w:val="none"/>
          <w:u w:val="single"/>
        </w:rPr>
      </w:pPr>
      <w:r>
        <w:rPr>
          <w:rFonts w:hint="eastAsia" w:ascii="宋体" w:hAnsi="宋体" w:cs="宋体"/>
          <w:b/>
          <w:bCs/>
          <w:szCs w:val="21"/>
          <w:highlight w:val="none"/>
          <w:u w:val="single"/>
        </w:rPr>
        <w:t xml:space="preserve">2.如果不提供分项报价将视为没有实质性响应招标文件。</w:t>
      </w:r>
      <w:r/>
    </w:p>
    <w:p>
      <w:pPr>
        <w:ind w:firstLine="422"/>
        <w:tabs>
          <w:tab w:val="left" w:pos="1800" w:leader="none"/>
          <w:tab w:val="left" w:pos="5580" w:leader="none"/>
        </w:tabs>
        <w:rPr>
          <w:rFonts w:ascii="宋体" w:hAnsi="宋体" w:cs="宋体"/>
          <w:b/>
          <w:bCs/>
          <w:szCs w:val="21"/>
          <w:highlight w:val="none"/>
          <w:u w:val="single"/>
        </w:rPr>
      </w:pPr>
      <w:r>
        <w:rPr>
          <w:rFonts w:hint="eastAsia" w:ascii="宋体" w:hAnsi="宋体" w:cs="宋体"/>
          <w:b/>
          <w:bCs/>
          <w:szCs w:val="21"/>
          <w:highlight w:val="none"/>
          <w:u w:val="single"/>
        </w:rPr>
        <w:t xml:space="preserve">3.本表可以按照项目配置情况增加分项内容。</w:t>
      </w:r>
      <w:r/>
    </w:p>
    <w:p>
      <w:pPr>
        <w:ind w:firstLine="420"/>
        <w:tabs>
          <w:tab w:val="left" w:pos="1800" w:leader="none"/>
          <w:tab w:val="left" w:pos="5580" w:leader="none"/>
        </w:tabs>
        <w:rPr>
          <w:rFonts w:ascii="宋体" w:hAnsi="宋体" w:cs="宋体"/>
          <w:szCs w:val="21"/>
          <w:highlight w:val="none"/>
        </w:rPr>
      </w:pPr>
      <w:r>
        <w:rPr>
          <w:rFonts w:hint="eastAsia" w:ascii="宋体" w:hAnsi="宋体" w:cs="宋体"/>
          <w:szCs w:val="21"/>
          <w:highlight w:val="none"/>
        </w:rPr>
        <w:t xml:space="preserve">4.上述各项的详细规格、技术参数如表格中填写不下的，可以逐项另页描述。</w:t>
      </w:r>
      <w:r/>
    </w:p>
    <w:p>
      <w:pPr>
        <w:ind w:firstLine="420"/>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400" w:lineRule="exact"/>
        <w:rPr>
          <w:sz w:val="24"/>
          <w:highlight w:val="none"/>
        </w:rPr>
      </w:pPr>
      <w:r>
        <w:rPr>
          <w:sz w:val="24"/>
          <w:highlight w:val="none"/>
        </w:rPr>
      </w:r>
      <w:r/>
    </w:p>
    <w:p>
      <w:pPr>
        <w:spacing w:line="400" w:lineRule="exact"/>
        <w:rPr>
          <w:sz w:val="24"/>
          <w:highlight w:val="none"/>
          <w:lang w:val="zh-CN"/>
        </w:rPr>
      </w:pPr>
      <w:r>
        <w:rPr>
          <w:sz w:val="24"/>
          <w:highlight w:val="none"/>
        </w:rPr>
        <w:t xml:space="preserve">投标人名称（加盖公章）</w:t>
      </w:r>
      <w:r>
        <w:rPr>
          <w:sz w:val="24"/>
          <w:highlight w:val="none"/>
          <w:lang w:val="zh-CN"/>
        </w:rPr>
        <w:t xml:space="preserve">：____________</w:t>
      </w:r>
      <w:r/>
    </w:p>
    <w:p>
      <w:pPr>
        <w:spacing w:line="400" w:lineRule="exact"/>
        <w:rPr>
          <w:sz w:val="24"/>
          <w:highlight w:val="none"/>
          <w:lang w:val="zh-CN"/>
        </w:rPr>
      </w:pPr>
      <w:r>
        <w:rPr>
          <w:sz w:val="24"/>
          <w:szCs w:val="20"/>
          <w:highlight w:val="none"/>
        </w:rPr>
        <w:t xml:space="preserve">日期：_____年______月______日   </w:t>
      </w:r>
      <w:r/>
    </w:p>
    <w:p>
      <w:pPr>
        <w:pStyle w:val="947"/>
        <w:rPr>
          <w:color w:val="auto"/>
          <w:highlight w:val="none"/>
        </w:rPr>
      </w:pPr>
      <w:r>
        <w:rPr>
          <w:color w:val="auto"/>
          <w:highlight w:val="none"/>
        </w:rPr>
        <w:br w:type="page" w:clear="all"/>
      </w:r>
      <w:bookmarkStart w:id="1071" w:name="_Toc7466"/>
      <w:r/>
      <w:bookmarkStart w:id="1072" w:name="_Toc26728"/>
      <w:r/>
      <w:bookmarkStart w:id="1073" w:name="_Toc20424"/>
      <w:r>
        <w:rPr>
          <w:rFonts w:hint="eastAsia"/>
          <w:color w:val="auto"/>
          <w:highlight w:val="none"/>
        </w:rPr>
        <w:t xml:space="preserve">7 设备配置清单（实质性格式）</w:t>
      </w:r>
      <w:r/>
    </w:p>
    <w:p>
      <w:pPr>
        <w:pStyle w:val="947"/>
        <w:jc w:val="center"/>
        <w:rPr>
          <w:rFonts w:hint="eastAsia" w:eastAsia="仿宋"/>
          <w:color w:val="auto"/>
          <w:szCs w:val="24"/>
          <w:highlight w:val="none"/>
        </w:rPr>
      </w:pPr>
      <w:r>
        <w:rPr>
          <w:rFonts w:hint="eastAsia" w:ascii="Times New Roman" w:hAnsi="Times New Roman" w:cs="Times New Roman"/>
          <w:bCs w:val="0"/>
          <w:color w:val="auto"/>
          <w:sz w:val="36"/>
          <w:szCs w:val="36"/>
          <w:highlight w:val="none"/>
        </w:rPr>
        <w:t xml:space="preserve">设备配置清单</w:t>
      </w:r>
      <w:bookmarkEnd w:id="1071"/>
      <w:r/>
      <w:bookmarkEnd w:id="1072"/>
      <w:r/>
      <w:bookmarkEnd w:id="1073"/>
      <w:r/>
      <w:r/>
    </w:p>
    <w:tbl>
      <w:tblPr>
        <w:tblStyle w:val="955"/>
        <w:tblW w:w="50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02"/>
        <w:gridCol w:w="898"/>
        <w:gridCol w:w="1839"/>
        <w:gridCol w:w="1044"/>
        <w:gridCol w:w="552"/>
        <w:gridCol w:w="589"/>
        <w:gridCol w:w="750"/>
        <w:gridCol w:w="750"/>
        <w:gridCol w:w="748"/>
        <w:gridCol w:w="863"/>
      </w:tblGrid>
      <w:tr>
        <w:trPr>
          <w:cantSplit/>
          <w:jc w:val="center"/>
          <w:trHeight w:val="283"/>
          <w:tblHeader/>
        </w:trPr>
        <w:tc>
          <w:tcPr>
            <w:shd w:val="clear" w:color="auto" w:fill="e0e0e0"/>
            <w:tcBorders>
              <w:top w:val="single" w:color="auto" w:sz="6" w:space="0"/>
              <w:left w:val="single" w:color="auto" w:sz="6" w:space="0"/>
              <w:bottom w:val="single" w:color="auto" w:sz="6" w:space="0"/>
              <w:right w:val="single" w:color="auto" w:sz="6" w:space="0"/>
            </w:tcBorders>
            <w:tcW w:w="238"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序号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532"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设备名称</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设备组成</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规格型号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327"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数量</w:t>
            </w:r>
            <w:r/>
          </w:p>
        </w:tc>
        <w:tc>
          <w:tcPr>
            <w:shd w:val="clear" w:color="auto" w:fill="e0e0e0"/>
            <w:tcBorders>
              <w:top w:val="single" w:color="auto" w:sz="6" w:space="0"/>
              <w:left w:val="single" w:color="auto" w:sz="6" w:space="0"/>
              <w:bottom w:val="single" w:color="auto" w:sz="4" w:space="0"/>
              <w:right w:val="single" w:color="auto" w:sz="4" w:space="0"/>
            </w:tcBorders>
            <w:tcW w:w="349"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单位</w:t>
            </w:r>
            <w:r/>
          </w:p>
        </w:tc>
        <w:tc>
          <w:tcPr>
            <w:shd w:val="clear" w:color="auto" w:fill="e0e0e0"/>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单价（元）</w:t>
            </w:r>
            <w:r/>
          </w:p>
        </w:tc>
        <w:tc>
          <w:tcPr>
            <w:shd w:val="clear" w:color="auto" w:fill="e0e0e0"/>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总价（元）</w:t>
            </w:r>
            <w:r/>
          </w:p>
        </w:tc>
        <w:tc>
          <w:tcPr>
            <w:shd w:val="clear" w:color="auto" w:fill="e0e0e0"/>
            <w:tcBorders>
              <w:top w:val="single" w:color="auto" w:sz="6" w:space="0"/>
              <w:left w:val="single" w:color="auto" w:sz="6" w:space="0"/>
              <w:bottom w:val="single" w:color="auto" w:sz="6" w:space="0"/>
              <w:right w:val="single" w:color="auto" w:sz="6" w:space="0"/>
            </w:tcBorders>
            <w:tcW w:w="443"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产地</w:t>
            </w:r>
            <w:r/>
          </w:p>
        </w:tc>
        <w:tc>
          <w:tcPr>
            <w:shd w:val="clear" w:color="auto" w:fill="e0e0e0"/>
            <w:tcBorders>
              <w:top w:val="single" w:color="auto" w:sz="6" w:space="0"/>
              <w:left w:val="single" w:color="auto" w:sz="4" w:space="0"/>
              <w:bottom w:val="single" w:color="auto" w:sz="6" w:space="0"/>
              <w:right w:val="single" w:color="auto" w:sz="6" w:space="0"/>
            </w:tcBorders>
            <w:tcW w:w="511"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备注</w:t>
            </w:r>
            <w:r/>
          </w:p>
        </w:tc>
      </w:tr>
      <w:tr>
        <w:trPr>
          <w:cantSplit/>
          <w:jc w:val="center"/>
          <w:trHeight w:val="283"/>
        </w:trPr>
        <w:tc>
          <w:tcPr>
            <w:tcBorders>
              <w:top w:val="single" w:color="auto" w:sz="6" w:space="0"/>
              <w:left w:val="single" w:color="auto" w:sz="6" w:space="0"/>
              <w:right w:val="single" w:color="auto" w:sz="6" w:space="0"/>
            </w:tcBorders>
            <w:tcW w:w="238" w:type="pct"/>
            <w:vAlign w:val="center"/>
            <w:vMerge w:val="restart"/>
            <w:textDirection w:val="lrTb"/>
            <w:noWrap w:val="false"/>
          </w:tcPr>
          <w:p>
            <w:pPr>
              <w:jc w:val="center"/>
              <w:widowControl/>
              <w:rPr>
                <w:rFonts w:hint="eastAsia" w:ascii="宋体" w:hAnsi="宋体" w:cs="宋体"/>
                <w:b/>
                <w:szCs w:val="21"/>
                <w:highlight w:val="none"/>
              </w:rPr>
            </w:pPr>
            <w:r/>
            <w:bookmarkStart w:id="1074" w:name="OLE_LINK540"/>
            <w:r/>
            <w:bookmarkStart w:id="1075" w:name="OLE_LINK541"/>
            <w:r/>
            <w:bookmarkStart w:id="1076" w:name="_Hlk225426084"/>
            <w:r>
              <w:rPr>
                <w:rFonts w:hint="eastAsia" w:ascii="宋体" w:hAnsi="宋体" w:cs="宋体"/>
                <w:b/>
                <w:szCs w:val="21"/>
                <w:highlight w:val="none"/>
              </w:rPr>
              <w:t xml:space="preserve">1</w:t>
            </w:r>
            <w:r/>
          </w:p>
        </w:tc>
        <w:tc>
          <w:tcPr>
            <w:tcBorders>
              <w:top w:val="single" w:color="auto" w:sz="6" w:space="0"/>
              <w:left w:val="single" w:color="auto" w:sz="6" w:space="0"/>
              <w:right w:val="single" w:color="auto" w:sz="6" w:space="0"/>
            </w:tcBorders>
            <w:tcMar>
              <w:left w:w="15" w:type="dxa"/>
              <w:top w:w="15" w:type="dxa"/>
              <w:right w:w="15" w:type="dxa"/>
              <w:bottom w:w="0" w:type="dxa"/>
            </w:tcMar>
            <w:tcW w:w="532" w:type="pct"/>
            <w:vAlign w:val="center"/>
            <w:vMerge w:val="restart"/>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辐射骚扰测试系统</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测量接收机</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EMF测试球</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前置放大器</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天线组</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软件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射频电缆及附件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梳状信号源</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机柜</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个</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rPr>
                <w:rFonts w:hint="eastAsia" w:ascii="宋体" w:hAnsi="宋体" w:cs="宋体"/>
                <w:b/>
                <w:szCs w:val="21"/>
                <w:highlight w:val="none"/>
              </w:rPr>
              <w:outlineLvl w:val="5"/>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配件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bookmarkEnd w:id="1074"/>
            <w:r/>
            <w:bookmarkEnd w:id="1075"/>
            <w:r/>
            <w:bookmarkEnd w:id="1076"/>
            <w:r/>
            <w:r/>
          </w:p>
        </w:tc>
      </w:tr>
      <w:tr>
        <w:trPr>
          <w:cantSplit/>
          <w:jc w:val="center"/>
          <w:trHeight w:val="283"/>
        </w:trPr>
        <w:tc>
          <w:tcPr>
            <w:tcBorders>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rPr>
                <w:rFonts w:hint="eastAsia" w:ascii="宋体" w:hAnsi="宋体" w:cs="宋体"/>
                <w:b/>
                <w:szCs w:val="21"/>
                <w:highlight w:val="none"/>
              </w:rPr>
              <w:outlineLvl w:val="5"/>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6" w:space="0"/>
              <w:left w:val="single" w:color="auto" w:sz="6" w:space="0"/>
              <w:right w:val="single" w:color="auto" w:sz="6" w:space="0"/>
            </w:tcBorders>
            <w:tcW w:w="238" w:type="pct"/>
            <w:vAlign w:val="center"/>
            <w:vMerge w:val="restart"/>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2</w:t>
            </w:r>
            <w:r/>
          </w:p>
        </w:tc>
        <w:tc>
          <w:tcPr>
            <w:tcBorders>
              <w:top w:val="single" w:color="auto" w:sz="6" w:space="0"/>
              <w:left w:val="single" w:color="auto" w:sz="6" w:space="0"/>
              <w:right w:val="single" w:color="auto" w:sz="6" w:space="0"/>
            </w:tcBorders>
            <w:tcMar>
              <w:left w:w="15" w:type="dxa"/>
              <w:top w:w="15" w:type="dxa"/>
              <w:right w:w="15" w:type="dxa"/>
              <w:bottom w:w="0" w:type="dxa"/>
            </w:tcMar>
            <w:tcW w:w="532" w:type="pct"/>
            <w:vAlign w:val="center"/>
            <w:vMerge w:val="restart"/>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辐射抗扰度测试系统</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信号发生器</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射频开关</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功率放大器</w:t>
            </w:r>
            <w:r/>
          </w:p>
          <w:p>
            <w:pPr>
              <w:ind w:hanging="21"/>
              <w:jc w:val="center"/>
              <w:rPr>
                <w:rFonts w:hint="eastAsia" w:ascii="宋体" w:hAnsi="宋体" w:cs="宋体"/>
                <w:szCs w:val="21"/>
                <w:highlight w:val="none"/>
              </w:rPr>
            </w:pPr>
            <w:r>
              <w:rPr>
                <w:rFonts w:hint="eastAsia" w:ascii="宋体" w:hAnsi="宋体" w:cs="宋体"/>
                <w:szCs w:val="21"/>
                <w:highlight w:val="none"/>
              </w:rPr>
              <w:t xml:space="preserve">（1GHz～6GHz）</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功率放大器</w:t>
            </w:r>
            <w:r/>
          </w:p>
          <w:p>
            <w:pPr>
              <w:ind w:hanging="21"/>
              <w:jc w:val="center"/>
              <w:rPr>
                <w:rFonts w:hint="eastAsia" w:ascii="宋体" w:hAnsi="宋体" w:cs="宋体"/>
                <w:szCs w:val="21"/>
                <w:highlight w:val="none"/>
              </w:rPr>
            </w:pPr>
            <w:r>
              <w:rPr>
                <w:rFonts w:hint="eastAsia" w:ascii="宋体" w:hAnsi="宋体" w:cs="宋体"/>
                <w:szCs w:val="21"/>
                <w:highlight w:val="none"/>
              </w:rPr>
              <w:t xml:space="preserve">（80M～1GHz）</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功率探头</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天线组</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场强探头</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软件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射频电缆及附件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机柜</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个</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配件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ind w:hanging="21"/>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6" w:space="0"/>
              <w:left w:val="single" w:color="auto" w:sz="6" w:space="0"/>
              <w:bottom w:val="single" w:color="auto" w:sz="4" w:space="0"/>
              <w:right w:val="single" w:color="auto" w:sz="6" w:space="0"/>
            </w:tcBorders>
            <w:tcW w:w="238" w:type="pct"/>
            <w:vAlign w:val="center"/>
            <w:vMerge w:val="restart"/>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3</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restart"/>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屏蔽房传导骚扰测试系统</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导轨及导轨控制器</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吸收钳(含6dB衰减器)</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去耦钳</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 w:val="24"/>
                <w:highlight w:val="none"/>
              </w:rPr>
            </w:pPr>
            <w:r>
              <w:rPr>
                <w:rFonts w:hint="eastAsia" w:ascii="宋体" w:hAnsi="宋体" w:cs="宋体"/>
                <w:szCs w:val="21"/>
                <w:highlight w:val="none"/>
              </w:rPr>
              <w:t xml:space="preserve">电流钳</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测试软件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人工电源网络（三相）</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脉冲限幅器</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高阻抗容性电压探头</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阻抗稳定网络ISN</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梳状信号源</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射频开关</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模拟手</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bCs/>
                <w:szCs w:val="21"/>
                <w:highlight w:val="none"/>
              </w:rPr>
              <w:t xml:space="preserve">射频电缆及附件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机柜</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个</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rPr>
                <w:rFonts w:hint="eastAsia" w:ascii="宋体" w:hAnsi="宋体" w:cs="宋体"/>
                <w:b/>
                <w:szCs w:val="21"/>
                <w:highlight w:val="none"/>
              </w:rPr>
              <w:outlineLvl w:val="5"/>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配件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rPr>
                <w:rFonts w:hint="eastAsia" w:ascii="宋体" w:hAnsi="宋体" w:cs="宋体"/>
                <w:b/>
                <w:szCs w:val="21"/>
                <w:highlight w:val="none"/>
              </w:rPr>
              <w:outlineLvl w:val="5"/>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6" w:space="0"/>
              <w:left w:val="single" w:color="auto" w:sz="6" w:space="0"/>
              <w:right w:val="single" w:color="auto" w:sz="6" w:space="0"/>
            </w:tcBorders>
            <w:tcW w:w="238" w:type="pct"/>
            <w:vAlign w:val="center"/>
            <w:vMerge w:val="restart"/>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4</w:t>
            </w:r>
            <w:r/>
          </w:p>
        </w:tc>
        <w:tc>
          <w:tcPr>
            <w:tcBorders>
              <w:top w:val="single" w:color="auto" w:sz="6" w:space="0"/>
              <w:left w:val="single" w:color="auto" w:sz="6" w:space="0"/>
              <w:right w:val="single" w:color="auto" w:sz="6" w:space="0"/>
            </w:tcBorders>
            <w:tcMar>
              <w:left w:w="15" w:type="dxa"/>
              <w:top w:w="15" w:type="dxa"/>
              <w:right w:w="15" w:type="dxa"/>
              <w:bottom w:w="0" w:type="dxa"/>
            </w:tcMar>
            <w:tcW w:w="532" w:type="pct"/>
            <w:vAlign w:val="center"/>
            <w:vMerge w:val="restart"/>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三相谐波闪烁测试系统</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三相谐波闪烁分析仪</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b/>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三相交流回馈式纯净电压源</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三相实体阻抗网络同时兼容单相实体阻抗</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兼容单相16A及三相75A</w:t>
            </w:r>
            <w:r/>
          </w:p>
        </w:tc>
      </w:tr>
      <w:tr>
        <w:trPr>
          <w:cantSplit/>
          <w:jc w:val="center"/>
          <w:trHeight w:val="283"/>
        </w:trPr>
        <w:tc>
          <w:tcPr>
            <w:tcBorders>
              <w:left w:val="single" w:color="auto" w:sz="6"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谐波闪烁专用测试软件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配置工作站</w:t>
            </w:r>
            <w:r/>
          </w:p>
        </w:tc>
      </w:tr>
      <w:tr>
        <w:trPr>
          <w:cantSplit/>
          <w:jc w:val="center"/>
          <w:trHeight w:val="283"/>
        </w:trPr>
        <w:tc>
          <w:tcPr>
            <w:tcBorders>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6" w:space="0"/>
              <w:left w:val="single" w:color="auto" w:sz="6" w:space="0"/>
              <w:bottom w:val="single" w:color="auto" w:sz="4" w:space="0"/>
              <w:right w:val="single" w:color="auto" w:sz="6" w:space="0"/>
            </w:tcBorders>
            <w:tcW w:w="238" w:type="pct"/>
            <w:vAlign w:val="center"/>
            <w:vMerge w:val="restart"/>
            <w:textDirection w:val="lrTb"/>
            <w:noWrap w:val="false"/>
          </w:tcPr>
          <w:p>
            <w:pPr>
              <w:jc w:val="center"/>
              <w:widowControl/>
              <w:rPr>
                <w:rFonts w:hint="eastAsia" w:ascii="宋体" w:hAnsi="宋体" w:cs="宋体"/>
                <w:b/>
                <w:szCs w:val="21"/>
                <w:highlight w:val="none"/>
              </w:rPr>
            </w:pPr>
            <w:r/>
            <w:bookmarkStart w:id="1077" w:name="OLE_LINK439"/>
            <w:r/>
            <w:bookmarkStart w:id="1078" w:name="OLE_LINK441"/>
            <w:r/>
            <w:bookmarkStart w:id="1079" w:name="_Hlk224918476"/>
            <w:r/>
            <w:bookmarkStart w:id="1080" w:name="OLE_LINK440"/>
            <w:r/>
            <w:bookmarkStart w:id="1081" w:name="OLE_LINK442"/>
            <w:r>
              <w:rPr>
                <w:rFonts w:hint="eastAsia" w:ascii="宋体" w:hAnsi="宋体" w:cs="宋体"/>
                <w:b/>
                <w:szCs w:val="21"/>
                <w:highlight w:val="none"/>
              </w:rPr>
              <w:t xml:space="preserve">5</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restart"/>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抗扰度设备</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静电放电抗扰度测试系统</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b/>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瞬变脉冲群抗扰度测试系统（三相五线电流200A）</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雷击浪涌抗扰度测试系统</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bookmarkEnd w:id="1077"/>
            <w:r/>
            <w:bookmarkEnd w:id="1078"/>
            <w:r/>
            <w:bookmarkEnd w:id="1079"/>
            <w:r/>
            <w:bookmarkEnd w:id="1080"/>
            <w:r/>
            <w:bookmarkEnd w:id="1081"/>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电压暂降/短时中断抗扰度测试系统</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射频传导骚扰抗扰度测试系统</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套</w:t>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jc w:val="center"/>
          <w:trHeight w:val="283"/>
        </w:trPr>
        <w:tc>
          <w:tcPr>
            <w:tcBorders>
              <w:top w:val="single" w:color="auto" w:sz="4" w:space="0"/>
              <w:left w:val="single" w:color="auto" w:sz="6" w:space="0"/>
              <w:bottom w:val="single" w:color="auto" w:sz="4" w:space="0"/>
              <w:right w:val="single" w:color="auto" w:sz="6" w:space="0"/>
            </w:tcBorders>
            <w:tcW w:w="238" w:type="pct"/>
            <w:vAlign w:val="center"/>
            <w:vMerge w:val="continue"/>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532" w:type="pct"/>
            <w:vAlign w:val="center"/>
            <w:vMerge w:val="continue"/>
            <w:textDirection w:val="lrTb"/>
            <w:noWrap w:val="false"/>
          </w:tcPr>
          <w:p>
            <w:pPr>
              <w:widowControl/>
              <w:rPr>
                <w:rFonts w:hint="eastAsia" w:ascii="宋体" w:hAnsi="宋体" w:cs="宋体"/>
                <w:b/>
                <w:szCs w:val="21"/>
                <w:highlight w:val="none"/>
              </w:rPr>
            </w:pPr>
            <w:r>
              <w:rPr>
                <w:rFonts w:hint="eastAsia" w:ascii="宋体" w:hAnsi="宋体" w:cs="宋体"/>
                <w:b/>
                <w:szCs w:val="21"/>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1089"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18"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327"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34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443"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6" w:space="0"/>
              <w:left w:val="single" w:color="auto" w:sz="4" w:space="0"/>
              <w:bottom w:val="single" w:color="auto" w:sz="6" w:space="0"/>
              <w:right w:val="single" w:color="auto" w:sz="6" w:space="0"/>
            </w:tcBorders>
            <w:tcW w:w="511" w:type="pct"/>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bl>
    <w:p>
      <w:pPr>
        <w:rPr>
          <w:rFonts w:hint="eastAsia"/>
          <w:b/>
          <w:bCs/>
          <w:highlight w:val="none"/>
        </w:rPr>
      </w:pPr>
      <w:r>
        <w:rPr>
          <w:rFonts w:hint="eastAsia"/>
          <w:b/>
          <w:bCs/>
          <w:highlight w:val="none"/>
        </w:rPr>
        <w:t xml:space="preserve">注：上表为样表，投标人可以对相关内容进行补充完善但不得删减表中内容，行数可自行添加。</w:t>
      </w:r>
      <w:r/>
    </w:p>
    <w:p>
      <w:pPr>
        <w:ind w:firstLine="480"/>
        <w:rPr>
          <w:rFonts w:eastAsia="仿宋"/>
          <w:sz w:val="24"/>
          <w:highlight w:val="none"/>
        </w:rPr>
      </w:pPr>
      <w:r>
        <w:rPr>
          <w:rFonts w:eastAsia="仿宋"/>
          <w:sz w:val="24"/>
          <w:highlight w:val="none"/>
        </w:rPr>
      </w:r>
      <w:r/>
    </w:p>
    <w:p>
      <w:pPr>
        <w:spacing w:line="400" w:lineRule="exact"/>
        <w:rPr>
          <w:sz w:val="24"/>
          <w:highlight w:val="none"/>
          <w:lang w:val="zh-CN"/>
        </w:rPr>
      </w:pPr>
      <w:r>
        <w:rPr>
          <w:sz w:val="24"/>
          <w:highlight w:val="none"/>
        </w:rPr>
        <w:t xml:space="preserve">投标人名称（加盖公章）</w:t>
      </w:r>
      <w:r>
        <w:rPr>
          <w:sz w:val="24"/>
          <w:highlight w:val="none"/>
          <w:lang w:val="zh-CN"/>
        </w:rPr>
        <w:t xml:space="preserve">：____________</w:t>
      </w:r>
      <w:r/>
    </w:p>
    <w:p>
      <w:pPr>
        <w:spacing w:line="360" w:lineRule="auto"/>
        <w:rPr>
          <w:rFonts w:hint="eastAsia" w:eastAsia="仿宋"/>
          <w:sz w:val="24"/>
          <w:highlight w:val="none"/>
        </w:rPr>
      </w:pPr>
      <w:r>
        <w:rPr>
          <w:sz w:val="24"/>
          <w:szCs w:val="20"/>
          <w:highlight w:val="none"/>
        </w:rPr>
        <w:t xml:space="preserve">日期：_____年______月______日 </w:t>
      </w:r>
      <w:r/>
    </w:p>
    <w:p>
      <w:pPr>
        <w:spacing w:line="360" w:lineRule="auto"/>
        <w:rPr>
          <w:sz w:val="20"/>
          <w:highlight w:val="none"/>
        </w:rPr>
        <w:sectPr>
          <w:footnotePr/>
          <w:endnotePr/>
          <w:type w:val="nextPage"/>
          <w:pgSz w:w="11906" w:h="16838" w:orient="portrait"/>
          <w:pgMar w:top="1440" w:right="1800" w:bottom="1440" w:left="1800" w:header="851" w:footer="992" w:gutter="0"/>
          <w:lnNumType w:countBy="0" w:distance="360"/>
          <w:cols w:num="1" w:sep="0" w:space="720" w:equalWidth="1"/>
          <w:docGrid w:linePitch="360"/>
          <w:titlePg/>
        </w:sectPr>
      </w:pPr>
      <w:r>
        <w:rPr>
          <w:sz w:val="20"/>
          <w:highlight w:val="none"/>
        </w:rPr>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bookmarkEnd w:id="1067"/>
      <w:r/>
      <w:r/>
    </w:p>
    <w:p>
      <w:pPr>
        <w:pStyle w:val="947"/>
        <w:rPr>
          <w:rFonts w:hint="eastAsia"/>
          <w:color w:val="auto"/>
          <w:highlight w:val="none"/>
        </w:rPr>
      </w:pPr>
      <w:r/>
      <w:bookmarkStart w:id="1082" w:name="_Toc226337258"/>
      <w:r/>
      <w:bookmarkStart w:id="1083" w:name="_Toc226965752"/>
      <w:r/>
      <w:bookmarkStart w:id="1084" w:name="_Toc264969252"/>
      <w:r/>
      <w:bookmarkStart w:id="1085" w:name="_Toc195842927"/>
      <w:r/>
      <w:bookmarkStart w:id="1086" w:name="_Toc142311062"/>
      <w:r/>
      <w:bookmarkStart w:id="1087" w:name="_Toc265228400"/>
      <w:r/>
      <w:bookmarkStart w:id="1088" w:name="_Toc305158904"/>
      <w:r/>
      <w:bookmarkStart w:id="1089" w:name="_Toc127151562"/>
      <w:r/>
      <w:bookmarkStart w:id="1090" w:name="_Toc150480798"/>
      <w:r/>
      <w:bookmarkStart w:id="1091" w:name="_Toc226965835"/>
      <w:r/>
      <w:bookmarkStart w:id="1092" w:name="_Toc150774765"/>
      <w:r/>
      <w:bookmarkStart w:id="1093" w:name="_Toc226309806"/>
      <w:r/>
      <w:bookmarkStart w:id="1094" w:name="_Toc305158830"/>
      <w:r/>
      <w:bookmarkStart w:id="1095" w:name="_Toc305158829"/>
      <w:r/>
      <w:bookmarkStart w:id="1096" w:name="_Toc226965834"/>
      <w:r/>
      <w:bookmarkStart w:id="1097" w:name="_Toc127151561"/>
      <w:r/>
      <w:bookmarkStart w:id="1098" w:name="_Toc226965751"/>
      <w:r/>
      <w:bookmarkStart w:id="1099" w:name="_Toc142311061"/>
      <w:r/>
      <w:bookmarkStart w:id="1100" w:name="_Toc305158903"/>
      <w:r/>
      <w:bookmarkStart w:id="1101" w:name="_Toc226337257"/>
      <w:r/>
      <w:bookmarkStart w:id="1102" w:name="_Toc150480797"/>
      <w:r/>
      <w:bookmarkStart w:id="1103" w:name="_Toc264969251"/>
      <w:r/>
      <w:bookmarkStart w:id="1104" w:name="_Toc265228399"/>
      <w:r/>
      <w:bookmarkStart w:id="1105" w:name="_Toc150774764"/>
      <w:r/>
      <w:bookmarkStart w:id="1106" w:name="_Toc195842926"/>
      <w:r/>
      <w:bookmarkStart w:id="1107" w:name="_Toc226309805"/>
      <w:r>
        <w:rPr>
          <w:rFonts w:hint="eastAsia"/>
          <w:color w:val="auto"/>
          <w:highlight w:val="none"/>
        </w:rPr>
        <w:t xml:space="preserve">8 合同条款偏离表</w:t>
      </w:r>
      <w:bookmarkEnd w:id="1082"/>
      <w:r/>
      <w:bookmarkEnd w:id="1083"/>
      <w:r/>
      <w:bookmarkEnd w:id="1084"/>
      <w:r/>
      <w:bookmarkEnd w:id="1085"/>
      <w:r/>
      <w:bookmarkEnd w:id="1086"/>
      <w:r/>
      <w:bookmarkEnd w:id="1087"/>
      <w:r/>
      <w:bookmarkEnd w:id="1088"/>
      <w:r/>
      <w:bookmarkEnd w:id="1089"/>
      <w:r/>
      <w:bookmarkEnd w:id="1090"/>
      <w:r/>
      <w:bookmarkEnd w:id="1091"/>
      <w:r/>
      <w:bookmarkEnd w:id="1092"/>
      <w:r/>
      <w:bookmarkEnd w:id="1093"/>
      <w:r/>
      <w:bookmarkEnd w:id="1094"/>
      <w:r>
        <w:rPr>
          <w:rFonts w:hint="eastAsia"/>
          <w:color w:val="auto"/>
          <w:highlight w:val="none"/>
        </w:rPr>
        <w:t xml:space="preserve">（实质性格式）</w:t>
      </w:r>
      <w:r/>
    </w:p>
    <w:p>
      <w:pPr>
        <w:spacing w:line="360" w:lineRule="auto"/>
        <w:rPr>
          <w:sz w:val="24"/>
          <w:szCs w:val="20"/>
          <w:highlight w:val="none"/>
        </w:rPr>
      </w:pPr>
      <w:r>
        <w:rPr>
          <w:sz w:val="24"/>
          <w:szCs w:val="20"/>
          <w:highlight w:val="none"/>
        </w:rPr>
      </w:r>
      <w:r/>
    </w:p>
    <w:p>
      <w:pPr>
        <w:jc w:val="center"/>
        <w:spacing w:line="360" w:lineRule="auto"/>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9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214"/>
        <w:gridCol w:w="1785"/>
        <w:gridCol w:w="1786"/>
        <w:gridCol w:w="2172"/>
        <w:gridCol w:w="755"/>
      </w:tblGrid>
      <w:tr>
        <w:trPr>
          <w:jc w:val="center"/>
          <w:trHeight w:val="930"/>
        </w:trPr>
        <w:tc>
          <w:tcPr>
            <w:gridSpan w:val="6"/>
            <w:tcW w:w="5000" w:type="pct"/>
            <w:vAlign w:val="center"/>
            <w:textDirection w:val="lrTb"/>
            <w:noWrap w:val="false"/>
          </w:tcPr>
          <w:p>
            <w:pPr>
              <w:jc w:val="left"/>
              <w:rPr>
                <w:rFonts w:ascii="宋体" w:hAnsi="宋体" w:cs="宋体"/>
                <w:b/>
                <w:sz w:val="24"/>
                <w:highlight w:val="none"/>
              </w:rPr>
            </w:pPr>
            <w:r>
              <w:rPr>
                <w:rFonts w:hint="eastAsia" w:ascii="宋体" w:hAnsi="宋体" w:cs="宋体"/>
                <w:b/>
                <w:sz w:val="24"/>
                <w:highlight w:val="none"/>
              </w:rPr>
              <w:t xml:space="preserve">对本项目合同条款的偏离情况（请进行勾选）：</w:t>
            </w:r>
            <w:r/>
          </w:p>
          <w:p>
            <w:pPr>
              <w:jc w:val="left"/>
              <w:rPr>
                <w:rFonts w:ascii="宋体" w:hAnsi="宋体" w:cs="宋体"/>
                <w:b/>
                <w:sz w:val="24"/>
                <w:highlight w:val="none"/>
              </w:rPr>
            </w:pPr>
            <w:r>
              <w:rPr>
                <w:rFonts w:hint="eastAsia" w:ascii="宋体" w:hAnsi="宋体" w:cs="宋体"/>
                <w:b/>
                <w:sz w:val="24"/>
                <w:highlight w:val="none"/>
              </w:rPr>
              <w:t xml:space="preserve">□无偏离</w:t>
            </w:r>
            <w:r>
              <w:rPr>
                <w:rFonts w:hint="eastAsia" w:ascii="宋体" w:hAnsi="宋体" w:cs="宋体"/>
                <w:sz w:val="24"/>
                <w:highlight w:val="none"/>
              </w:rPr>
              <w:t xml:space="preserve">（</w:t>
            </w:r>
            <w:r>
              <w:rPr>
                <w:rFonts w:hint="eastAsia" w:ascii="宋体" w:hAnsi="宋体" w:cs="宋体"/>
                <w:sz w:val="24"/>
                <w:szCs w:val="21"/>
                <w:highlight w:val="none"/>
              </w:rPr>
              <w:t xml:space="preserve">如无偏离，仅勾选无偏离即可</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b/>
                <w:sz w:val="24"/>
                <w:highlight w:val="none"/>
              </w:rPr>
              <w:t xml:space="preserve">□有偏离</w:t>
            </w:r>
            <w:r>
              <w:rPr>
                <w:rFonts w:hint="eastAsia" w:ascii="宋体" w:hAnsi="宋体" w:cs="宋体"/>
                <w:sz w:val="24"/>
                <w:highlight w:val="none"/>
              </w:rPr>
              <w:t xml:space="preserve">（</w:t>
            </w:r>
            <w:r>
              <w:rPr>
                <w:rFonts w:hint="eastAsia" w:ascii="宋体" w:hAnsi="宋体" w:cs="宋体"/>
                <w:sz w:val="24"/>
                <w:szCs w:val="21"/>
                <w:highlight w:val="none"/>
              </w:rPr>
              <w:t xml:space="preserve">如有偏离，</w:t>
            </w:r>
            <w:r>
              <w:rPr>
                <w:rFonts w:hint="eastAsia" w:ascii="宋体" w:hAnsi="宋体" w:cs="宋体"/>
                <w:sz w:val="24"/>
                <w:highlight w:val="none"/>
              </w:rPr>
              <w:t xml:space="preserve">则应在本表中对偏离项逐一列明）</w:t>
            </w:r>
            <w:r/>
          </w:p>
        </w:tc>
      </w:tr>
      <w:tr>
        <w:trPr>
          <w:jc w:val="center"/>
          <w:trHeight w:val="930"/>
        </w:trPr>
        <w:tc>
          <w:tcPr>
            <w:tcW w:w="476"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712" w:type="pct"/>
            <w:vAlign w:val="center"/>
            <w:textDirection w:val="lrTb"/>
            <w:noWrap w:val="false"/>
          </w:tcPr>
          <w:p>
            <w:pPr>
              <w:jc w:val="center"/>
              <w:rPr>
                <w:rFonts w:ascii="宋体" w:hAnsi="宋体" w:cs="宋体"/>
                <w:sz w:val="24"/>
                <w:highlight w:val="none"/>
              </w:rPr>
            </w:pPr>
            <w:r>
              <w:rPr>
                <w:rFonts w:hint="eastAsia" w:ascii="宋体" w:hAnsi="宋体" w:cs="宋体"/>
                <w:sz w:val="24"/>
                <w:szCs w:val="21"/>
                <w:highlight w:val="none"/>
              </w:rPr>
              <w:t xml:space="preserve">招标文件</w:t>
            </w:r>
            <w:r>
              <w:rPr>
                <w:rFonts w:hint="eastAsia" w:ascii="宋体" w:hAnsi="宋体" w:cs="宋体"/>
                <w:sz w:val="24"/>
                <w:highlight w:val="none"/>
              </w:rPr>
              <w:t xml:space="preserve">条目号（页码）</w:t>
            </w:r>
            <w:r/>
          </w:p>
        </w:tc>
        <w:tc>
          <w:tcPr>
            <w:tcW w:w="1047" w:type="pct"/>
            <w:vAlign w:val="center"/>
            <w:textDirection w:val="lrTb"/>
            <w:noWrap w:val="false"/>
          </w:tcPr>
          <w:p>
            <w:pPr>
              <w:jc w:val="center"/>
              <w:rPr>
                <w:rFonts w:ascii="宋体" w:hAnsi="宋体" w:cs="宋体"/>
                <w:sz w:val="24"/>
                <w:highlight w:val="none"/>
              </w:rPr>
            </w:pPr>
            <w:r>
              <w:rPr>
                <w:rFonts w:hint="eastAsia" w:ascii="宋体" w:hAnsi="宋体" w:cs="宋体"/>
                <w:sz w:val="24"/>
                <w:szCs w:val="21"/>
                <w:highlight w:val="none"/>
              </w:rPr>
              <w:t xml:space="preserve">招标文件</w:t>
            </w:r>
            <w:r>
              <w:rPr>
                <w:rFonts w:hint="eastAsia" w:ascii="宋体" w:hAnsi="宋体" w:cs="宋体"/>
                <w:sz w:val="24"/>
                <w:highlight w:val="none"/>
              </w:rPr>
              <w:t xml:space="preserve">要求</w:t>
            </w:r>
            <w:r/>
          </w:p>
        </w:tc>
        <w:tc>
          <w:tcPr>
            <w:tcW w:w="104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投标文件内容</w:t>
            </w:r>
            <w:r/>
          </w:p>
        </w:tc>
        <w:tc>
          <w:tcPr>
            <w:tcW w:w="1274"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偏离情况</w:t>
            </w:r>
            <w:r/>
          </w:p>
        </w:tc>
        <w:tc>
          <w:tcPr>
            <w:tcW w:w="43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说明</w:t>
            </w:r>
            <w:r/>
          </w:p>
        </w:tc>
      </w:tr>
      <w:tr>
        <w:trPr>
          <w:jc w:val="center"/>
          <w:trHeight w:val="930"/>
        </w:trPr>
        <w:tc>
          <w:tcPr>
            <w:tcW w:w="47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1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4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48"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7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38"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7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1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4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48"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7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38"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7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1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4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48"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7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38"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76"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w:t>
            </w:r>
            <w:r/>
          </w:p>
        </w:tc>
        <w:tc>
          <w:tcPr>
            <w:tcW w:w="71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4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48"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7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38"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w:t>
      </w:r>
      <w:r/>
    </w:p>
    <w:p>
      <w:pPr>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1. 对合同条款中的所有要求，除本表所列明的所有偏离外，均视作供应商已对之理解和响应。</w:t>
      </w:r>
      <w:r/>
    </w:p>
    <w:p>
      <w:pPr>
        <w:jc w:val="left"/>
        <w:spacing w:line="400" w:lineRule="exac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2. “偏离情况”列应据实填写“正偏离”、“负偏离”或“无偏离”。</w:t>
      </w:r>
      <w:r/>
    </w:p>
    <w:p>
      <w:pPr>
        <w:spacing w:line="400" w:lineRule="exact"/>
        <w:rPr>
          <w:rFonts w:ascii="宋体" w:hAnsi="宋体" w:cs="宋体"/>
          <w:sz w:val="24"/>
          <w:szCs w:val="20"/>
          <w:highlight w:val="none"/>
        </w:rPr>
      </w:pPr>
      <w:r>
        <w:rPr>
          <w:rFonts w:ascii="宋体" w:hAnsi="宋体" w:cs="宋体"/>
          <w:sz w:val="24"/>
          <w:szCs w:val="20"/>
          <w:highlight w:val="none"/>
        </w:rPr>
      </w:r>
      <w:r/>
    </w:p>
    <w:p>
      <w:pPr>
        <w:spacing w:line="400" w:lineRule="exact"/>
        <w:rPr>
          <w:rFonts w:ascii="宋体" w:hAnsi="宋体" w:cs="宋体"/>
          <w:sz w:val="24"/>
          <w:highlight w:val="none"/>
          <w:lang w:val="zh-CN"/>
        </w:rPr>
      </w:pPr>
      <w:r>
        <w:rPr>
          <w:rFonts w:ascii="宋体" w:hAnsi="宋体" w:cs="宋体"/>
          <w:sz w:val="24"/>
          <w:highlight w:val="none"/>
          <w:lang w:val="zh-CN"/>
        </w:rPr>
      </w:r>
      <w:r/>
    </w:p>
    <w:p>
      <w:pPr>
        <w:spacing w:line="400" w:lineRule="exact"/>
        <w:rPr>
          <w:rFonts w:ascii="宋体" w:hAnsi="宋体" w:cs="宋体"/>
          <w:sz w:val="24"/>
          <w:highlight w:val="none"/>
          <w:lang w:val="zh-CN"/>
        </w:rPr>
      </w:pPr>
      <w:r>
        <w:rPr>
          <w:rFonts w:hint="eastAsia" w:ascii="宋体" w:hAnsi="宋体" w:cs="宋体"/>
          <w:sz w:val="24"/>
          <w:highlight w:val="none"/>
        </w:rPr>
        <w:t xml:space="preserve">投标人名称（加盖公章）</w:t>
      </w:r>
      <w:r>
        <w:rPr>
          <w:rFonts w:hint="eastAsia" w:ascii="宋体" w:hAnsi="宋体" w:cs="宋体"/>
          <w:sz w:val="24"/>
          <w:highlight w:val="none"/>
          <w:lang w:val="zh-CN"/>
        </w:rPr>
        <w:t xml:space="preserve">：____________</w:t>
      </w:r>
      <w:r/>
    </w:p>
    <w:p>
      <w:pPr>
        <w:spacing w:line="400" w:lineRule="exact"/>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pStyle w:val="947"/>
        <w:rPr>
          <w:color w:val="auto"/>
          <w:highlight w:val="none"/>
        </w:rPr>
      </w:pPr>
      <w:r>
        <w:rPr>
          <w:color w:val="auto"/>
          <w:highlight w:val="none"/>
        </w:rPr>
        <w:br w:type="page" w:clear="all"/>
      </w:r>
      <w:bookmarkEnd w:id="1095"/>
      <w:r/>
      <w:bookmarkEnd w:id="1096"/>
      <w:r/>
      <w:bookmarkEnd w:id="1097"/>
      <w:r/>
      <w:bookmarkEnd w:id="1098"/>
      <w:r/>
      <w:bookmarkEnd w:id="1099"/>
      <w:r/>
      <w:bookmarkEnd w:id="1100"/>
      <w:r/>
      <w:bookmarkEnd w:id="1101"/>
      <w:r/>
      <w:bookmarkEnd w:id="1102"/>
      <w:r/>
      <w:bookmarkEnd w:id="1103"/>
      <w:r/>
      <w:bookmarkEnd w:id="1104"/>
      <w:r/>
      <w:bookmarkEnd w:id="1105"/>
      <w:r/>
      <w:bookmarkEnd w:id="1106"/>
      <w:r/>
      <w:bookmarkEnd w:id="1107"/>
      <w:r>
        <w:rPr>
          <w:rFonts w:hint="eastAsia"/>
          <w:color w:val="auto"/>
          <w:highlight w:val="none"/>
        </w:rPr>
        <w:t xml:space="preserve">9 采购需求偏离表（实质性格式）</w:t>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955"/>
        <w:tblW w:w="55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078"/>
        <w:gridCol w:w="3696"/>
        <w:gridCol w:w="1692"/>
        <w:gridCol w:w="959"/>
        <w:gridCol w:w="1214"/>
      </w:tblGrid>
      <w:tr>
        <w:trPr>
          <w:jc w:val="center"/>
          <w:trHeight w:val="454"/>
          <w:tblHeader/>
        </w:trPr>
        <w:tc>
          <w:tcPr>
            <w:tcW w:w="39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序号</w:t>
            </w:r>
            <w:r/>
          </w:p>
        </w:tc>
        <w:tc>
          <w:tcPr>
            <w:tcW w:w="57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名称</w:t>
            </w:r>
            <w:r/>
          </w:p>
        </w:tc>
        <w:tc>
          <w:tcPr>
            <w:tcW w:w="1970"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招标文件要求</w:t>
            </w:r>
            <w:r/>
          </w:p>
        </w:tc>
        <w:tc>
          <w:tcPr>
            <w:tcW w:w="902"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投标响应内容</w:t>
            </w:r>
            <w:r/>
          </w:p>
        </w:tc>
        <w:tc>
          <w:tcPr>
            <w:tcW w:w="511"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偏离情况</w:t>
            </w:r>
            <w:r/>
          </w:p>
        </w:tc>
        <w:tc>
          <w:tcPr>
            <w:tcW w:w="64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必要的证明材料所在页码</w:t>
            </w:r>
            <w:r/>
          </w:p>
        </w:tc>
      </w:tr>
      <w:tr>
        <w:trPr>
          <w:jc w:val="center"/>
          <w:trHeight w:val="454"/>
        </w:trPr>
        <w:tc>
          <w:tcPr>
            <w:gridSpan w:val="6"/>
            <w:tcW w:w="5000"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t xml:space="preserve">★</w:t>
            </w:r>
            <w:r>
              <w:rPr>
                <w:rFonts w:hint="eastAsia" w:ascii="宋体" w:hAnsi="宋体" w:cs="宋体"/>
                <w:b/>
                <w:bCs/>
                <w:sz w:val="24"/>
                <w:highlight w:val="none"/>
              </w:rPr>
              <w:t xml:space="preserve">”条款</w:t>
            </w:r>
            <w:r/>
          </w:p>
          <w:p>
            <w:pPr>
              <w:jc w:val="center"/>
              <w:rPr>
                <w:rFonts w:hint="eastAsia" w:ascii="宋体" w:hAnsi="宋体" w:cs="宋体"/>
                <w:b/>
                <w:bCs/>
                <w:sz w:val="24"/>
                <w:highlight w:val="none"/>
              </w:rPr>
            </w:pPr>
            <w:r>
              <w:rPr>
                <w:rFonts w:hint="eastAsia" w:ascii="宋体" w:hAnsi="宋体" w:cs="宋体"/>
                <w:b/>
                <w:bCs/>
                <w:sz w:val="24"/>
                <w:highlight w:val="none"/>
              </w:rPr>
              <w:t xml:space="preserve">（实质性响应条款，如有负偏离，投标文件将作为无效投标处理）</w:t>
            </w:r>
            <w:r/>
          </w:p>
        </w:tc>
      </w:tr>
      <w:tr>
        <w:trPr>
          <w:jc w:val="center"/>
          <w:trHeight w:val="454"/>
        </w:trPr>
        <w:tc>
          <w:tcPr>
            <w:tcW w:w="395" w:type="pct"/>
            <w:vAlign w:val="center"/>
            <w:vMerge w:val="restart"/>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1</w:t>
            </w:r>
            <w:r/>
          </w:p>
        </w:tc>
        <w:tc>
          <w:tcPr>
            <w:tcW w:w="575" w:type="pct"/>
            <w:vAlign w:val="center"/>
            <w:vMerge w:val="restart"/>
            <w:textDirection w:val="lrTb"/>
            <w:noWrap w:val="false"/>
          </w:tcPr>
          <w:p>
            <w:pPr>
              <w:jc w:val="center"/>
              <w:rPr>
                <w:rFonts w:hint="eastAsia" w:ascii="宋体" w:hAnsi="宋体" w:cs="宋体"/>
                <w:b/>
                <w:sz w:val="24"/>
                <w:highlight w:val="none"/>
                <w:u w:val="single"/>
              </w:rPr>
            </w:pPr>
            <w:r>
              <w:rPr>
                <w:rFonts w:hint="eastAsia" w:ascii="宋体" w:hAnsi="宋体" w:cs="宋体"/>
                <w:b/>
                <w:sz w:val="24"/>
                <w:highlight w:val="none"/>
                <w:u w:val="single"/>
              </w:rPr>
              <w:t xml:space="preserve">电波暗室技术要求</w:t>
            </w:r>
            <w:r/>
          </w:p>
          <w:p>
            <w:pPr>
              <w:jc w:val="center"/>
              <w:rPr>
                <w:rFonts w:hint="eastAsia" w:ascii="宋体" w:hAnsi="宋体" w:cs="宋体"/>
                <w:b/>
                <w:bCs/>
                <w:sz w:val="24"/>
                <w:highlight w:val="none"/>
              </w:rPr>
            </w:pPr>
            <w:r>
              <w:rPr>
                <w:rFonts w:hint="eastAsia" w:ascii="宋体" w:hAnsi="宋体" w:cs="宋体"/>
                <w:b/>
                <w:bCs/>
                <w:sz w:val="24"/>
                <w:highlight w:val="none"/>
              </w:rPr>
            </w:r>
            <w:r/>
          </w:p>
        </w:tc>
        <w:tc>
          <w:tcPr>
            <w:tcW w:w="1970" w:type="pct"/>
            <w:vAlign w:val="center"/>
            <w:textDirection w:val="lrTb"/>
            <w:noWrap w:val="false"/>
          </w:tcPr>
          <w:p>
            <w:pPr>
              <w:rPr>
                <w:rFonts w:hint="eastAsia" w:ascii="宋体" w:hAnsi="宋体" w:cs="宋体"/>
                <w:b/>
                <w:sz w:val="24"/>
                <w:highlight w:val="none"/>
                <w:u w:val="single"/>
              </w:rPr>
            </w:pPr>
            <w:r>
              <w:rPr>
                <w:rFonts w:hint="eastAsia" w:ascii="宋体" w:hAnsi="宋体" w:cs="宋体"/>
                <w:b/>
                <w:sz w:val="24"/>
                <w:highlight w:val="none"/>
                <w:u w:val="single"/>
              </w:rPr>
              <w:t xml:space="preserve">★1.3归一化场地衰减（NSA）</w:t>
            </w:r>
            <w:r/>
          </w:p>
          <w:p>
            <w:pPr>
              <w:ind w:firstLine="480"/>
              <w:rPr>
                <w:rFonts w:hint="eastAsia" w:ascii="宋体" w:hAnsi="宋体" w:cs="宋体"/>
                <w:bCs/>
                <w:sz w:val="24"/>
                <w:highlight w:val="none"/>
                <w:u w:val="single"/>
              </w:rPr>
            </w:pPr>
            <w:r>
              <w:rPr>
                <w:rFonts w:hint="eastAsia" w:ascii="宋体" w:hAnsi="宋体" w:cs="宋体"/>
                <w:bCs/>
                <w:sz w:val="24"/>
                <w:highlight w:val="none"/>
                <w:u w:val="single"/>
              </w:rPr>
              <w:t xml:space="preserve">30M-1GHz暗室的归一化场地衰减（NSA）应不大于±3.0dB。按最新版的CISPR 32、ANSI C63.4的要求对以下两种情况进行测量（测试点为两个，测试点的选取在现场确定）：</w:t>
            </w:r>
            <w:r/>
          </w:p>
          <w:p>
            <w:pPr>
              <w:ind w:firstLine="480"/>
              <w:rPr>
                <w:rFonts w:hint="eastAsia" w:ascii="宋体" w:hAnsi="宋体" w:cs="宋体"/>
                <w:bCs/>
                <w:sz w:val="24"/>
                <w:highlight w:val="none"/>
                <w:u w:val="single"/>
              </w:rPr>
            </w:pPr>
            <w:r>
              <w:rPr>
                <w:rFonts w:hint="eastAsia" w:ascii="宋体" w:hAnsi="宋体" w:cs="宋体"/>
                <w:bCs/>
                <w:sz w:val="24"/>
                <w:highlight w:val="none"/>
                <w:u w:val="single"/>
              </w:rPr>
              <w:t xml:space="preserve">测试距离3米：静区为2米直径，2米高度，与转台同心同轴。</w:t>
            </w:r>
            <w:r/>
          </w:p>
          <w:p>
            <w:pPr>
              <w:ind w:firstLine="480"/>
              <w:rPr>
                <w:rFonts w:hint="eastAsia" w:ascii="宋体" w:hAnsi="宋体" w:cs="宋体"/>
                <w:bCs/>
                <w:sz w:val="24"/>
                <w:highlight w:val="none"/>
                <w:u w:val="single"/>
              </w:rPr>
            </w:pPr>
            <w:r>
              <w:rPr>
                <w:rFonts w:hint="eastAsia" w:ascii="宋体" w:hAnsi="宋体" w:cs="宋体"/>
                <w:bCs/>
                <w:sz w:val="24"/>
                <w:highlight w:val="none"/>
                <w:u w:val="single"/>
              </w:rPr>
              <w:t xml:space="preserve">测试距离10米：静区为6米直径，2米高度，与转台同心同轴。</w:t>
            </w:r>
            <w:r/>
          </w:p>
          <w:p>
            <w:pPr>
              <w:ind w:firstLine="480"/>
              <w:rPr>
                <w:rFonts w:hint="eastAsia" w:ascii="宋体" w:hAnsi="宋体" w:cs="宋体"/>
                <w:bCs/>
                <w:sz w:val="24"/>
                <w:highlight w:val="none"/>
                <w:u w:val="single"/>
              </w:rPr>
            </w:pPr>
            <w:r>
              <w:rPr>
                <w:rFonts w:hint="eastAsia" w:ascii="宋体" w:hAnsi="宋体" w:cs="宋体"/>
                <w:bCs/>
                <w:sz w:val="24"/>
                <w:highlight w:val="none"/>
                <w:u w:val="single"/>
              </w:rPr>
              <w:t xml:space="preserve">频率范围：30MHz以下</w:t>
            </w:r>
            <w:r/>
          </w:p>
          <w:p>
            <w:pPr>
              <w:ind w:firstLine="480"/>
              <w:rPr>
                <w:rFonts w:hint="eastAsia" w:ascii="宋体" w:hAnsi="宋体" w:cs="宋体"/>
                <w:bCs/>
                <w:sz w:val="24"/>
                <w:highlight w:val="none"/>
                <w:u w:val="single"/>
              </w:rPr>
            </w:pPr>
            <w:r>
              <w:rPr>
                <w:rFonts w:hint="eastAsia" w:ascii="宋体" w:hAnsi="宋体" w:cs="宋体"/>
                <w:bCs/>
                <w:sz w:val="24"/>
                <w:highlight w:val="none"/>
                <w:u w:val="single"/>
              </w:rPr>
              <w:t xml:space="preserve">场地要求：投标人应充分关注 CISPR文件关于该频段的场地验证要求，并应用于本项目方案中，暗室主体质保期内正式标准发布后，如场地校准达不到相关要求，投标人必须免费进行升级改造。</w:t>
            </w:r>
            <w:r/>
          </w:p>
          <w:p>
            <w:pPr>
              <w:ind w:firstLine="480"/>
              <w:rPr>
                <w:rFonts w:hint="eastAsia" w:ascii="宋体" w:hAnsi="宋体" w:cs="宋体"/>
                <w:bCs/>
                <w:sz w:val="24"/>
                <w:highlight w:val="none"/>
                <w:u w:val="single"/>
              </w:rPr>
            </w:pPr>
            <w:r>
              <w:rPr>
                <w:rFonts w:hint="eastAsia" w:ascii="宋体" w:hAnsi="宋体" w:cs="宋体"/>
                <w:bCs/>
                <w:sz w:val="24"/>
                <w:highlight w:val="none"/>
                <w:u w:val="single"/>
              </w:rPr>
              <w:t xml:space="preserve">归一化场地衰减（NSA）按照双天线法要求校准两根轴线且NSA验收时暗室地面不允许铺设任何铁氧体及吸波材料。</w:t>
            </w:r>
            <w:r/>
          </w:p>
          <w:p>
            <w:pPr>
              <w:ind w:firstLine="480"/>
              <w:rPr>
                <w:rFonts w:hint="eastAsia" w:ascii="宋体" w:hAnsi="宋体" w:cs="宋体"/>
                <w:bCs/>
                <w:sz w:val="24"/>
                <w:highlight w:val="none"/>
                <w:u w:val="single"/>
              </w:rPr>
            </w:pPr>
            <w:r>
              <w:rPr>
                <w:rFonts w:hint="eastAsia" w:ascii="宋体" w:hAnsi="宋体" w:cs="宋体"/>
                <w:bCs/>
                <w:sz w:val="24"/>
                <w:highlight w:val="none"/>
                <w:u w:val="single"/>
              </w:rPr>
              <w:t xml:space="preserve">归一化场地插入损耗(NSIL)偏差要求：≤±4.0 dB；</w:t>
            </w:r>
            <w:r/>
          </w:p>
          <w:p>
            <w:pPr>
              <w:ind w:firstLine="480"/>
              <w:rPr>
                <w:rFonts w:hint="eastAsia" w:ascii="宋体" w:hAnsi="宋体" w:cs="宋体"/>
                <w:bCs/>
                <w:sz w:val="24"/>
                <w:highlight w:val="none"/>
                <w:u w:val="single"/>
              </w:rPr>
            </w:pPr>
            <w:r>
              <w:rPr>
                <w:rFonts w:hint="eastAsia" w:ascii="宋体" w:hAnsi="宋体" w:cs="宋体"/>
                <w:bCs/>
                <w:sz w:val="24"/>
                <w:highlight w:val="none"/>
                <w:u w:val="single"/>
              </w:rPr>
              <w:t xml:space="preserve">频率范围：9 kHz～30 MHz；</w:t>
            </w:r>
            <w:r/>
          </w:p>
          <w:p>
            <w:pPr>
              <w:ind w:firstLine="480"/>
              <w:rPr>
                <w:rFonts w:hint="eastAsia" w:ascii="宋体" w:hAnsi="宋体" w:cs="宋体"/>
                <w:bCs/>
                <w:sz w:val="24"/>
                <w:highlight w:val="none"/>
                <w:u w:val="single"/>
              </w:rPr>
            </w:pPr>
            <w:r>
              <w:rPr>
                <w:rFonts w:hint="eastAsia" w:ascii="宋体" w:hAnsi="宋体" w:cs="宋体"/>
                <w:bCs/>
                <w:sz w:val="24"/>
                <w:highlight w:val="none"/>
                <w:u w:val="single"/>
              </w:rPr>
              <w:t xml:space="preserve">测试点：测试距离3 m，静区为直径2m、高2m的圆柱体；</w:t>
            </w:r>
            <w:r/>
          </w:p>
          <w:p>
            <w:pPr>
              <w:ind w:firstLine="480"/>
              <w:rPr>
                <w:rFonts w:hint="eastAsia" w:ascii="宋体" w:hAnsi="宋体" w:cs="宋体"/>
                <w:bCs/>
                <w:sz w:val="24"/>
                <w:highlight w:val="none"/>
                <w:u w:val="single"/>
              </w:rPr>
            </w:pPr>
            <w:r>
              <w:rPr>
                <w:rFonts w:hint="eastAsia" w:ascii="宋体" w:hAnsi="宋体" w:cs="宋体"/>
                <w:bCs/>
                <w:sz w:val="24"/>
                <w:highlight w:val="none"/>
                <w:u w:val="single"/>
              </w:rPr>
              <w:t xml:space="preserve">依据标准：CISPR 16-1-4。</w:t>
            </w:r>
            <w:r/>
          </w:p>
          <w:p>
            <w:pPr>
              <w:ind w:firstLine="480"/>
              <w:rPr>
                <w:rFonts w:hint="eastAsia" w:ascii="宋体" w:hAnsi="宋体" w:cs="宋体"/>
                <w:bCs/>
                <w:sz w:val="24"/>
                <w:highlight w:val="none"/>
              </w:rPr>
            </w:pPr>
            <w:r>
              <w:rPr>
                <w:rFonts w:hint="eastAsia" w:ascii="宋体" w:hAnsi="宋体" w:cs="宋体"/>
                <w:bCs/>
                <w:sz w:val="24"/>
                <w:highlight w:val="none"/>
                <w:u w:val="single"/>
              </w:rPr>
              <w:t xml:space="preserve">（本项是实质性响应条款。如不满足，投标文件作为无效投标。投标文件中须提供承诺函。）</w:t>
            </w:r>
            <w:r/>
          </w:p>
        </w:tc>
        <w:tc>
          <w:tcPr>
            <w:tcW w:w="902"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511"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64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r>
      <w:tr>
        <w:trPr>
          <w:jc w:val="center"/>
          <w:trHeight w:val="454"/>
        </w:trPr>
        <w:tc>
          <w:tcPr>
            <w:tcW w:w="395" w:type="pct"/>
            <w:vAlign w:val="center"/>
            <w:vMerge w:val="continue"/>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575" w:type="pct"/>
            <w:vAlign w:val="center"/>
            <w:vMerge w:val="continue"/>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1970" w:type="pct"/>
            <w:vAlign w:val="center"/>
            <w:textDirection w:val="lrTb"/>
            <w:noWrap w:val="false"/>
          </w:tcPr>
          <w:p>
            <w:pPr>
              <w:rPr>
                <w:rFonts w:hint="eastAsia" w:ascii="宋体" w:hAnsi="宋体" w:cs="宋体"/>
                <w:bCs/>
                <w:sz w:val="24"/>
                <w:highlight w:val="none"/>
              </w:rPr>
            </w:pPr>
            <w:r>
              <w:rPr>
                <w:rFonts w:hint="eastAsia" w:ascii="宋体" w:hAnsi="宋体" w:cs="宋体"/>
                <w:b/>
                <w:sz w:val="24"/>
                <w:highlight w:val="none"/>
              </w:rPr>
              <w:t xml:space="preserve">★质量保障：</w:t>
            </w:r>
            <w:r>
              <w:rPr>
                <w:rFonts w:hint="eastAsia" w:ascii="宋体" w:hAnsi="宋体" w:cs="宋体"/>
                <w:bCs/>
                <w:sz w:val="24"/>
                <w:highlight w:val="none"/>
              </w:rPr>
              <w:t xml:space="preserve">质保期内若铁氧体及吸波材料出现吸潮、变形、阻燃性能下降等质量问题，投标人必须无偿更换并承担相关损失；防火性能在质保期内若不符合上述标准要求，投标人需在15日内完成整改并承担全部费用。（本项是实质性响应条款，如不满足，投标文件将作为无效投标。投标文件中须提供承诺函。）</w:t>
            </w:r>
            <w:r/>
          </w:p>
        </w:tc>
        <w:tc>
          <w:tcPr>
            <w:tcW w:w="902"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511"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64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r>
      <w:tr>
        <w:trPr>
          <w:jc w:val="center"/>
          <w:trHeight w:val="454"/>
        </w:trPr>
        <w:tc>
          <w:tcPr>
            <w:tcW w:w="395" w:type="pct"/>
            <w:vAlign w:val="center"/>
            <w:vMerge w:val="continue"/>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575" w:type="pct"/>
            <w:vAlign w:val="center"/>
            <w:vMerge w:val="continue"/>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1970" w:type="pct"/>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★2.10</w:t>
            </w:r>
            <w:r>
              <w:rPr>
                <w:rFonts w:hint="eastAsia" w:ascii="宋体" w:hAnsi="宋体" w:cs="宋体"/>
                <w:sz w:val="24"/>
                <w:highlight w:val="none"/>
              </w:rPr>
              <w:t xml:space="preserve">投标文件中必须提供EMC实验室的整套参考设计图纸，明确10米法暗室、控制室、功放室、屏蔽房、EMS测试区的位置（按比例并标注实际尺寸），标注EMC测试系统在各个区域内摆放设计图，考虑实验室布局的美观、科学、紧凑，便于样品的运输、设备的维修、货物的存放等因素。（本项是实质性响应条款，如不满足，投标文件将作为无效投标。）</w:t>
            </w:r>
            <w:r/>
          </w:p>
        </w:tc>
        <w:tc>
          <w:tcPr>
            <w:tcW w:w="902"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511"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64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r>
      <w:tr>
        <w:trPr>
          <w:jc w:val="center"/>
          <w:trHeight w:val="454"/>
        </w:trPr>
        <w:tc>
          <w:tcPr>
            <w:tcW w:w="395" w:type="pct"/>
            <w:vAlign w:val="center"/>
            <w:vMerge w:val="restart"/>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2</w:t>
            </w:r>
            <w:r/>
          </w:p>
        </w:tc>
        <w:tc>
          <w:tcPr>
            <w:tcW w:w="575" w:type="pct"/>
            <w:vAlign w:val="center"/>
            <w:vMerge w:val="restart"/>
            <w:textDirection w:val="lrTb"/>
            <w:noWrap w:val="false"/>
          </w:tcPr>
          <w:p>
            <w:pPr>
              <w:jc w:val="center"/>
              <w:rPr>
                <w:rFonts w:hint="eastAsia" w:ascii="宋体" w:hAnsi="宋体" w:cs="宋体"/>
                <w:sz w:val="24"/>
                <w:highlight w:val="none"/>
              </w:rPr>
            </w:pPr>
            <w:r>
              <w:rPr>
                <w:rFonts w:hint="eastAsia" w:ascii="宋体" w:hAnsi="宋体" w:cs="宋体"/>
                <w:b/>
                <w:bCs/>
                <w:sz w:val="24"/>
                <w:highlight w:val="none"/>
              </w:rPr>
              <w:t xml:space="preserve">辐射骚扰测试系统</w:t>
            </w:r>
            <w:r/>
          </w:p>
        </w:tc>
        <w:tc>
          <w:tcPr>
            <w:tcW w:w="1970" w:type="pct"/>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★1</w:t>
            </w:r>
            <w:r>
              <w:rPr>
                <w:rFonts w:hint="eastAsia" w:ascii="宋体" w:hAnsi="宋体" w:cs="宋体"/>
                <w:b/>
                <w:bCs/>
                <w:sz w:val="24"/>
                <w:highlight w:val="none"/>
              </w:rPr>
              <w:tab/>
            </w:r>
            <w:r>
              <w:rPr>
                <w:rFonts w:hint="eastAsia" w:ascii="宋体" w:hAnsi="宋体" w:cs="宋体"/>
                <w:b/>
                <w:bCs/>
                <w:sz w:val="24"/>
                <w:highlight w:val="none"/>
              </w:rPr>
              <w:t xml:space="preserve">测量接收机</w:t>
            </w:r>
            <w:r/>
          </w:p>
          <w:p>
            <w:pPr>
              <w:rPr>
                <w:rFonts w:hint="eastAsia" w:ascii="宋体" w:hAnsi="宋体" w:cs="宋体"/>
                <w:sz w:val="24"/>
                <w:highlight w:val="none"/>
              </w:rPr>
            </w:pPr>
            <w:r>
              <w:rPr>
                <w:rFonts w:hint="eastAsia" w:ascii="宋体" w:hAnsi="宋体" w:cs="宋体"/>
                <w:sz w:val="24"/>
                <w:highlight w:val="none"/>
              </w:rPr>
              <w:t xml:space="preserve">频率范围：9kHz～7GHz</w:t>
            </w:r>
            <w:r/>
          </w:p>
          <w:p>
            <w:pPr>
              <w:rPr>
                <w:rFonts w:hint="eastAsia" w:ascii="宋体" w:hAnsi="宋体" w:cs="宋体"/>
                <w:sz w:val="24"/>
                <w:highlight w:val="none"/>
              </w:rPr>
            </w:pPr>
            <w:r>
              <w:rPr>
                <w:rFonts w:hint="eastAsia" w:ascii="宋体" w:hAnsi="宋体" w:cs="宋体"/>
                <w:sz w:val="24"/>
                <w:highlight w:val="none"/>
              </w:rPr>
              <w:t xml:space="preserve">最大射频电平（CW）：</w:t>
            </w:r>
            <w:r/>
          </w:p>
          <w:p>
            <w:pPr>
              <w:rPr>
                <w:rFonts w:hint="eastAsia" w:ascii="宋体" w:hAnsi="宋体" w:cs="宋体"/>
                <w:sz w:val="24"/>
                <w:highlight w:val="none"/>
              </w:rPr>
            </w:pPr>
            <w:r>
              <w:rPr>
                <w:rFonts w:hint="eastAsia" w:ascii="宋体" w:hAnsi="宋体" w:cs="宋体"/>
                <w:sz w:val="24"/>
                <w:highlight w:val="none"/>
              </w:rPr>
              <w:t xml:space="preserve">30dBm（前置放大器关闭）</w:t>
            </w:r>
            <w:r/>
          </w:p>
          <w:p>
            <w:pPr>
              <w:rPr>
                <w:rFonts w:hint="eastAsia" w:ascii="宋体" w:hAnsi="宋体" w:cs="宋体"/>
                <w:sz w:val="24"/>
                <w:highlight w:val="none"/>
              </w:rPr>
            </w:pPr>
            <w:r>
              <w:rPr>
                <w:rFonts w:hint="eastAsia" w:ascii="宋体" w:hAnsi="宋体" w:cs="宋体"/>
                <w:sz w:val="24"/>
                <w:highlight w:val="none"/>
              </w:rPr>
              <w:t xml:space="preserve">23dBm（前置放大器开启）</w:t>
            </w:r>
            <w:r/>
          </w:p>
          <w:p>
            <w:pPr>
              <w:rPr>
                <w:rFonts w:hint="eastAsia" w:ascii="宋体" w:hAnsi="宋体" w:cs="宋体"/>
                <w:sz w:val="24"/>
                <w:highlight w:val="none"/>
              </w:rPr>
            </w:pPr>
            <w:r>
              <w:rPr>
                <w:rFonts w:hint="eastAsia" w:ascii="宋体" w:hAnsi="宋体" w:cs="宋体"/>
                <w:sz w:val="24"/>
                <w:highlight w:val="none"/>
              </w:rPr>
              <w:t xml:space="preserve">三阶截止点：18dBm（typ.）</w:t>
            </w:r>
            <w:r/>
          </w:p>
          <w:p>
            <w:pPr>
              <w:rPr>
                <w:rFonts w:hint="eastAsia" w:ascii="宋体" w:hAnsi="宋体" w:cs="宋体"/>
                <w:sz w:val="24"/>
                <w:highlight w:val="none"/>
              </w:rPr>
            </w:pPr>
            <w:r>
              <w:rPr>
                <w:rFonts w:hint="eastAsia" w:ascii="宋体" w:hAnsi="宋体" w:cs="宋体"/>
                <w:sz w:val="24"/>
                <w:highlight w:val="none"/>
              </w:rPr>
              <w:t xml:space="preserve">最大扫描点数（接收机模式）：4,000,000</w:t>
            </w:r>
            <w:r/>
          </w:p>
          <w:p>
            <w:pPr>
              <w:rPr>
                <w:rFonts w:hint="eastAsia" w:ascii="宋体" w:hAnsi="宋体" w:cs="宋体"/>
                <w:sz w:val="24"/>
                <w:highlight w:val="none"/>
              </w:rPr>
            </w:pPr>
            <w:r>
              <w:rPr>
                <w:rFonts w:hint="eastAsia" w:ascii="宋体" w:hAnsi="宋体" w:cs="宋体"/>
                <w:sz w:val="24"/>
                <w:highlight w:val="none"/>
              </w:rPr>
              <w:t xml:space="preserve">中频和分辨率带宽：10Hz～10MHz（-3dB）20Hz、9kHz、120kHz（-6dB）,1MHz（脉冲带宽）</w:t>
            </w:r>
            <w:r/>
          </w:p>
          <w:p>
            <w:pPr>
              <w:rPr>
                <w:rFonts w:hint="eastAsia" w:ascii="宋体" w:hAnsi="宋体" w:cs="宋体"/>
                <w:sz w:val="24"/>
                <w:highlight w:val="none"/>
              </w:rPr>
            </w:pPr>
            <w:r>
              <w:rPr>
                <w:rFonts w:hint="eastAsia" w:ascii="宋体" w:hAnsi="宋体" w:cs="宋体"/>
                <w:sz w:val="24"/>
                <w:highlight w:val="none"/>
              </w:rPr>
              <w:t xml:space="preserve">端口内置DC、AC耦合；</w:t>
            </w:r>
            <w:r/>
          </w:p>
          <w:p>
            <w:pPr>
              <w:rPr>
                <w:rFonts w:hint="eastAsia" w:ascii="宋体" w:hAnsi="宋体" w:cs="宋体"/>
                <w:sz w:val="24"/>
                <w:highlight w:val="none"/>
              </w:rPr>
            </w:pPr>
            <w:r>
              <w:rPr>
                <w:rFonts w:hint="eastAsia" w:ascii="宋体" w:hAnsi="宋体" w:cs="宋体"/>
                <w:sz w:val="24"/>
                <w:highlight w:val="none"/>
              </w:rPr>
              <w:t xml:space="preserve">具备接收机和频谱仪模式，可升级实时频谱仪模式；</w:t>
            </w:r>
            <w:r/>
          </w:p>
          <w:p>
            <w:pPr>
              <w:rPr>
                <w:rFonts w:hint="eastAsia" w:ascii="宋体" w:hAnsi="宋体" w:cs="宋体"/>
                <w:sz w:val="24"/>
                <w:highlight w:val="none"/>
              </w:rPr>
            </w:pPr>
            <w:r>
              <w:rPr>
                <w:rFonts w:hint="eastAsia" w:ascii="宋体" w:hAnsi="宋体" w:cs="宋体"/>
                <w:sz w:val="24"/>
                <w:highlight w:val="none"/>
              </w:rPr>
              <w:t xml:space="preserve">频率分辨率：接收机模式：0.1Hz；频谱仪模式：0.01Hz；</w:t>
            </w:r>
            <w:r/>
          </w:p>
          <w:p>
            <w:pPr>
              <w:rPr>
                <w:rFonts w:hint="eastAsia" w:ascii="宋体" w:hAnsi="宋体" w:cs="宋体"/>
                <w:sz w:val="24"/>
                <w:highlight w:val="none"/>
              </w:rPr>
            </w:pPr>
            <w:r>
              <w:rPr>
                <w:rFonts w:hint="eastAsia" w:ascii="宋体" w:hAnsi="宋体" w:cs="宋体"/>
                <w:sz w:val="24"/>
                <w:highlight w:val="none"/>
              </w:rPr>
              <w:t xml:space="preserve">最大DC输入电压：≥50 V，AC耦合；</w:t>
            </w:r>
            <w:r/>
          </w:p>
          <w:p>
            <w:pPr>
              <w:rPr>
                <w:rFonts w:hint="eastAsia" w:ascii="宋体" w:hAnsi="宋体" w:cs="宋体"/>
                <w:sz w:val="24"/>
                <w:highlight w:val="none"/>
              </w:rPr>
            </w:pPr>
            <w:r>
              <w:rPr>
                <w:rFonts w:hint="eastAsia" w:ascii="宋体" w:hAnsi="宋体" w:cs="宋体"/>
                <w:sz w:val="24"/>
                <w:highlight w:val="none"/>
              </w:rPr>
              <w:t xml:space="preserve">最大连续波RF输入功率：≥1 W（射频衰减≥10 dB，；射频前置放大器关闭）；</w:t>
            </w:r>
            <w:r/>
          </w:p>
          <w:p>
            <w:pPr>
              <w:rPr>
                <w:rFonts w:hint="eastAsia" w:ascii="宋体" w:hAnsi="宋体" w:cs="宋体"/>
                <w:sz w:val="24"/>
                <w:highlight w:val="none"/>
              </w:rPr>
            </w:pPr>
            <w:r>
              <w:rPr>
                <w:rFonts w:hint="eastAsia" w:ascii="宋体" w:hAnsi="宋体" w:cs="宋体"/>
                <w:sz w:val="24"/>
                <w:highlight w:val="none"/>
              </w:rPr>
              <w:t xml:space="preserve">最大脉冲能量（射频衰减≥10 dB，10 μs）：端口1 ≥1 mWs，端口2 ≥20 mWs；</w:t>
            </w:r>
            <w:r/>
          </w:p>
          <w:p>
            <w:pPr>
              <w:rPr>
                <w:rFonts w:hint="eastAsia" w:ascii="宋体" w:hAnsi="宋体" w:cs="宋体"/>
                <w:sz w:val="24"/>
                <w:highlight w:val="none"/>
              </w:rPr>
            </w:pPr>
            <w:r>
              <w:rPr>
                <w:rFonts w:hint="eastAsia" w:ascii="宋体" w:hAnsi="宋体" w:cs="宋体"/>
                <w:sz w:val="24"/>
                <w:highlight w:val="none"/>
              </w:rPr>
              <w:t xml:space="preserve">接收机扫描模式下测量时间：50μs～100s；频谱仪模式下扫描时间（SPAN=0Hz）：1us～16000s；</w:t>
            </w:r>
            <w:r/>
          </w:p>
          <w:p>
            <w:pPr>
              <w:rPr>
                <w:rFonts w:hint="eastAsia" w:ascii="宋体" w:hAnsi="宋体" w:cs="宋体"/>
                <w:sz w:val="24"/>
                <w:highlight w:val="none"/>
              </w:rPr>
            </w:pPr>
            <w:r>
              <w:rPr>
                <w:rFonts w:hint="eastAsia" w:ascii="宋体" w:hAnsi="宋体" w:cs="宋体"/>
                <w:sz w:val="24"/>
                <w:highlight w:val="none"/>
              </w:rPr>
              <w:t xml:space="preserve">检波方式：峰值（Peak）、均方根值（RMS）、平均值（AV）、准峰值（QP）、CISPR平均值（CISPR-AV）、CISPR均方根值（CISPR-RMS）；</w:t>
            </w:r>
            <w:r/>
          </w:p>
          <w:p>
            <w:pPr>
              <w:rPr>
                <w:rFonts w:hint="eastAsia" w:ascii="宋体" w:hAnsi="宋体" w:cs="宋体"/>
                <w:sz w:val="24"/>
                <w:highlight w:val="none"/>
              </w:rPr>
            </w:pPr>
            <w:r>
              <w:rPr>
                <w:rFonts w:hint="eastAsia" w:ascii="宋体" w:hAnsi="宋体" w:cs="宋体"/>
                <w:sz w:val="24"/>
                <w:highlight w:val="none"/>
              </w:rPr>
              <w:t xml:space="preserve">1dB压缩点：≥ 8dBm @6GHz；</w:t>
            </w:r>
            <w:r/>
          </w:p>
          <w:p>
            <w:pPr>
              <w:rPr>
                <w:rFonts w:hint="eastAsia" w:ascii="宋体" w:hAnsi="宋体" w:cs="宋体"/>
                <w:sz w:val="24"/>
                <w:highlight w:val="none"/>
              </w:rPr>
            </w:pPr>
            <w:r>
              <w:rPr>
                <w:rFonts w:hint="eastAsia" w:ascii="宋体" w:hAnsi="宋体" w:cs="宋体"/>
                <w:sz w:val="24"/>
                <w:highlight w:val="none"/>
              </w:rPr>
              <w:t xml:space="preserve">内置衰减器设置：0 dB～75 dB；</w:t>
            </w:r>
            <w:r/>
          </w:p>
          <w:p>
            <w:pPr>
              <w:rPr>
                <w:rFonts w:hint="eastAsia" w:ascii="宋体" w:hAnsi="宋体" w:cs="宋体"/>
                <w:sz w:val="24"/>
                <w:highlight w:val="none"/>
              </w:rPr>
            </w:pPr>
            <w:r>
              <w:rPr>
                <w:rFonts w:hint="eastAsia" w:ascii="宋体" w:hAnsi="宋体" w:cs="宋体"/>
                <w:sz w:val="24"/>
                <w:highlight w:val="none"/>
              </w:rPr>
              <w:t xml:space="preserve">满足CISPR16-1-1对接收机要求，带预选器。</w:t>
            </w:r>
            <w:r/>
          </w:p>
          <w:p>
            <w:pPr>
              <w:rPr>
                <w:rFonts w:hint="eastAsia" w:ascii="宋体" w:hAnsi="宋体" w:cs="宋体"/>
                <w:sz w:val="24"/>
                <w:highlight w:val="none"/>
              </w:rPr>
            </w:pPr>
            <w:r>
              <w:rPr>
                <w:rFonts w:hint="eastAsia" w:ascii="宋体" w:hAnsi="宋体" w:cs="宋体"/>
                <w:sz w:val="24"/>
                <w:highlight w:val="none"/>
              </w:rPr>
              <w:t xml:space="preserve">检波器：PEAK，RMS，average，quasi peak可选；</w:t>
            </w:r>
            <w:r/>
          </w:p>
          <w:p>
            <w:pPr>
              <w:rPr>
                <w:rFonts w:hint="eastAsia" w:ascii="宋体" w:hAnsi="宋体" w:cs="宋体"/>
                <w:sz w:val="24"/>
                <w:highlight w:val="none"/>
              </w:rPr>
            </w:pPr>
            <w:r>
              <w:rPr>
                <w:rFonts w:hint="eastAsia" w:ascii="宋体" w:hAnsi="宋体" w:cs="宋体"/>
                <w:sz w:val="24"/>
                <w:highlight w:val="none"/>
              </w:rPr>
              <w:t xml:space="preserve">内置预放</w:t>
            </w:r>
            <w:r/>
          </w:p>
        </w:tc>
        <w:tc>
          <w:tcPr>
            <w:tcW w:w="902"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511"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64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r>
      <w:tr>
        <w:trPr>
          <w:jc w:val="center"/>
          <w:trHeight w:val="454"/>
        </w:trPr>
        <w:tc>
          <w:tcPr>
            <w:tcW w:w="395" w:type="pct"/>
            <w:vAlign w:val="center"/>
            <w:vMerge w:val="continue"/>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575" w:type="pct"/>
            <w:vAlign w:val="center"/>
            <w:vMerge w:val="continue"/>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970" w:type="pct"/>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rPr>
              <w:tab/>
            </w:r>
            <w:r>
              <w:rPr>
                <w:rFonts w:hint="eastAsia" w:ascii="宋体" w:hAnsi="宋体" w:cs="宋体"/>
                <w:b/>
                <w:bCs/>
                <w:sz w:val="24"/>
                <w:highlight w:val="none"/>
              </w:rPr>
              <w:t xml:space="preserve">EMF测试球</w:t>
            </w:r>
            <w:r/>
          </w:p>
          <w:p>
            <w:pPr>
              <w:rPr>
                <w:rFonts w:hint="eastAsia" w:ascii="宋体" w:hAnsi="宋体" w:cs="宋体"/>
                <w:sz w:val="24"/>
                <w:highlight w:val="none"/>
              </w:rPr>
            </w:pPr>
            <w:r>
              <w:rPr>
                <w:rFonts w:hint="eastAsia" w:ascii="宋体" w:hAnsi="宋体" w:cs="宋体"/>
                <w:sz w:val="24"/>
                <w:highlight w:val="none"/>
              </w:rPr>
              <w:t xml:space="preserve">主机：场探头自动检测和识别；</w:t>
            </w:r>
            <w:r/>
          </w:p>
          <w:p>
            <w:pPr>
              <w:rPr>
                <w:rFonts w:hint="eastAsia" w:ascii="宋体" w:hAnsi="宋体" w:cs="宋体"/>
                <w:sz w:val="24"/>
                <w:highlight w:val="none"/>
              </w:rPr>
            </w:pPr>
            <w:r>
              <w:rPr>
                <w:rFonts w:hint="eastAsia" w:ascii="宋体" w:hAnsi="宋体" w:cs="宋体"/>
                <w:sz w:val="24"/>
                <w:highlight w:val="none"/>
              </w:rPr>
              <w:t xml:space="preserve">宽带测量0Hz-60GHz(取决于场探头)；</w:t>
            </w:r>
            <w:r/>
          </w:p>
          <w:p>
            <w:pPr>
              <w:rPr>
                <w:rFonts w:hint="eastAsia" w:ascii="宋体" w:hAnsi="宋体" w:cs="宋体"/>
                <w:sz w:val="24"/>
                <w:highlight w:val="none"/>
              </w:rPr>
            </w:pPr>
            <w:r>
              <w:rPr>
                <w:rFonts w:hint="eastAsia" w:ascii="宋体" w:hAnsi="宋体" w:cs="宋体"/>
                <w:sz w:val="24"/>
                <w:highlight w:val="none"/>
              </w:rPr>
              <w:t xml:space="preserve">频谱分析达到10MHz；</w:t>
            </w:r>
            <w:r/>
          </w:p>
          <w:p>
            <w:pPr>
              <w:rPr>
                <w:rFonts w:hint="eastAsia" w:ascii="宋体" w:hAnsi="宋体" w:cs="宋体"/>
                <w:sz w:val="24"/>
                <w:highlight w:val="none"/>
              </w:rPr>
            </w:pPr>
            <w:r>
              <w:rPr>
                <w:rFonts w:hint="eastAsia" w:ascii="宋体" w:hAnsi="宋体" w:cs="宋体"/>
                <w:sz w:val="24"/>
                <w:highlight w:val="none"/>
              </w:rPr>
              <w:t xml:space="preserve">加权峰值法(WPM)1Hz–10MHz(加权峰值测量，实时与标准限值对比)；</w:t>
            </w:r>
            <w:r/>
          </w:p>
          <w:p>
            <w:pPr>
              <w:rPr>
                <w:rFonts w:hint="eastAsia" w:ascii="宋体" w:hAnsi="宋体" w:cs="宋体"/>
                <w:sz w:val="24"/>
                <w:highlight w:val="none"/>
              </w:rPr>
            </w:pPr>
            <w:r>
              <w:rPr>
                <w:rFonts w:hint="eastAsia" w:ascii="宋体" w:hAnsi="宋体" w:cs="宋体"/>
                <w:sz w:val="24"/>
                <w:highlight w:val="none"/>
              </w:rPr>
              <w:t xml:space="preserve">显示值总场值(实时值，最大值，最小值和平均值)，轴数值(X，Y，Z)；</w:t>
            </w:r>
            <w:r/>
          </w:p>
          <w:p>
            <w:pPr>
              <w:rPr>
                <w:rFonts w:hint="eastAsia" w:ascii="宋体" w:hAnsi="宋体" w:cs="宋体"/>
                <w:sz w:val="24"/>
                <w:highlight w:val="none"/>
              </w:rPr>
            </w:pPr>
            <w:r>
              <w:rPr>
                <w:rFonts w:hint="eastAsia" w:ascii="宋体" w:hAnsi="宋体" w:cs="宋体"/>
                <w:sz w:val="24"/>
                <w:highlight w:val="none"/>
              </w:rPr>
              <w:t xml:space="preserve">时域及频域曲线图；</w:t>
            </w:r>
            <w:r/>
          </w:p>
          <w:p>
            <w:pPr>
              <w:rPr>
                <w:rFonts w:hint="eastAsia" w:ascii="宋体" w:hAnsi="宋体" w:cs="宋体"/>
                <w:sz w:val="24"/>
                <w:highlight w:val="none"/>
              </w:rPr>
            </w:pPr>
            <w:r>
              <w:rPr>
                <w:rFonts w:hint="eastAsia" w:ascii="宋体" w:hAnsi="宋体" w:cs="宋体"/>
                <w:sz w:val="24"/>
                <w:highlight w:val="none"/>
              </w:rPr>
              <w:t xml:space="preserve">时间及电量，探头信息包括型号、频率范围、序列号</w:t>
            </w:r>
            <w:r/>
          </w:p>
          <w:p>
            <w:pPr>
              <w:rPr>
                <w:rFonts w:hint="eastAsia" w:ascii="宋体" w:hAnsi="宋体" w:cs="宋体"/>
                <w:sz w:val="24"/>
                <w:highlight w:val="none"/>
              </w:rPr>
            </w:pPr>
            <w:r>
              <w:rPr>
                <w:rFonts w:hint="eastAsia" w:ascii="宋体" w:hAnsi="宋体" w:cs="宋体"/>
                <w:sz w:val="24"/>
                <w:highlight w:val="none"/>
              </w:rPr>
              <w:t xml:space="preserve">电场单位V/m，kV/m，pW/cm2，mW/cm2，W/m2，%；磁场单位nT，pT，mT，T ，A/m，%，mG，G；</w:t>
            </w:r>
            <w:r/>
          </w:p>
          <w:p>
            <w:pPr>
              <w:rPr>
                <w:rFonts w:hint="eastAsia" w:ascii="宋体" w:hAnsi="宋体" w:cs="宋体"/>
                <w:sz w:val="24"/>
                <w:highlight w:val="none"/>
              </w:rPr>
            </w:pPr>
            <w:r>
              <w:rPr>
                <w:rFonts w:hint="eastAsia" w:ascii="宋体" w:hAnsi="宋体" w:cs="宋体"/>
                <w:sz w:val="24"/>
                <w:highlight w:val="none"/>
              </w:rPr>
              <w:t xml:space="preserve">记录时间可自主设置(0.5秒到6分钟)；</w:t>
            </w:r>
            <w:r/>
          </w:p>
          <w:p>
            <w:pPr>
              <w:rPr>
                <w:rFonts w:hint="eastAsia" w:ascii="宋体" w:hAnsi="宋体" w:cs="宋体"/>
                <w:sz w:val="24"/>
                <w:highlight w:val="none"/>
              </w:rPr>
            </w:pPr>
            <w:r>
              <w:rPr>
                <w:rFonts w:hint="eastAsia" w:ascii="宋体" w:hAnsi="宋体" w:cs="宋体"/>
                <w:sz w:val="24"/>
                <w:highlight w:val="none"/>
              </w:rPr>
              <w:t xml:space="preserve">平均模式固定或者滑动(根据国际标准)；</w:t>
            </w:r>
            <w:r/>
          </w:p>
          <w:p>
            <w:pPr>
              <w:rPr>
                <w:rFonts w:hint="eastAsia" w:ascii="宋体" w:hAnsi="宋体" w:cs="宋体"/>
                <w:sz w:val="24"/>
                <w:highlight w:val="none"/>
              </w:rPr>
            </w:pPr>
            <w:r>
              <w:rPr>
                <w:rFonts w:hint="eastAsia" w:ascii="宋体" w:hAnsi="宋体" w:cs="宋体"/>
                <w:sz w:val="24"/>
                <w:highlight w:val="none"/>
              </w:rPr>
              <w:t xml:space="preserve">平均间隔10秒、15秒、30秒、1分钟、2分钟、5分钟、6分钟、10分钟、15分钟、30分钟；</w:t>
            </w:r>
            <w:r/>
          </w:p>
          <w:p>
            <w:pPr>
              <w:rPr>
                <w:rFonts w:hint="eastAsia" w:ascii="宋体" w:hAnsi="宋体" w:cs="宋体"/>
                <w:sz w:val="24"/>
                <w:highlight w:val="none"/>
              </w:rPr>
            </w:pPr>
            <w:r>
              <w:rPr>
                <w:rFonts w:hint="eastAsia" w:ascii="宋体" w:hAnsi="宋体" w:cs="宋体"/>
                <w:sz w:val="24"/>
                <w:highlight w:val="none"/>
              </w:rPr>
              <w:t xml:space="preserve">定时测量可自主设置(可达24小时)；</w:t>
            </w:r>
            <w:r/>
          </w:p>
          <w:p>
            <w:pPr>
              <w:rPr>
                <w:rFonts w:hint="eastAsia" w:ascii="宋体" w:hAnsi="宋体" w:cs="宋体"/>
                <w:sz w:val="24"/>
                <w:highlight w:val="none"/>
              </w:rPr>
            </w:pPr>
            <w:r>
              <w:rPr>
                <w:rFonts w:hint="eastAsia" w:ascii="宋体" w:hAnsi="宋体" w:cs="宋体"/>
                <w:sz w:val="24"/>
                <w:highlight w:val="none"/>
              </w:rPr>
              <w:t xml:space="preserve">存储容量超过1百万个样本，输出excel报告；</w:t>
            </w:r>
            <w:r/>
          </w:p>
          <w:p>
            <w:pPr>
              <w:rPr>
                <w:rFonts w:hint="eastAsia" w:ascii="宋体" w:hAnsi="宋体" w:cs="宋体"/>
                <w:sz w:val="24"/>
                <w:highlight w:val="none"/>
              </w:rPr>
            </w:pPr>
            <w:r>
              <w:rPr>
                <w:rFonts w:hint="eastAsia" w:ascii="宋体" w:hAnsi="宋体" w:cs="宋体"/>
                <w:sz w:val="24"/>
                <w:highlight w:val="none"/>
              </w:rPr>
              <w:t xml:space="preserve">数据下载USB-C和光纤，远程设置和控制仪器操作；</w:t>
            </w:r>
            <w:r/>
          </w:p>
          <w:p>
            <w:pPr>
              <w:rPr>
                <w:rFonts w:hint="eastAsia" w:ascii="宋体" w:hAnsi="宋体" w:cs="宋体"/>
                <w:sz w:val="24"/>
                <w:highlight w:val="none"/>
              </w:rPr>
            </w:pPr>
            <w:r>
              <w:rPr>
                <w:rFonts w:hint="eastAsia" w:ascii="宋体" w:hAnsi="宋体" w:cs="宋体"/>
                <w:sz w:val="24"/>
                <w:highlight w:val="none"/>
              </w:rPr>
              <w:t xml:space="preserve">探头1：</w:t>
            </w:r>
            <w:r/>
          </w:p>
          <w:p>
            <w:pPr>
              <w:rPr>
                <w:rFonts w:hint="eastAsia" w:ascii="宋体" w:hAnsi="宋体" w:cs="宋体"/>
                <w:sz w:val="24"/>
                <w:highlight w:val="none"/>
              </w:rPr>
            </w:pPr>
            <w:r>
              <w:rPr>
                <w:rFonts w:hint="eastAsia" w:ascii="宋体" w:hAnsi="宋体" w:cs="宋体"/>
                <w:sz w:val="24"/>
                <w:highlight w:val="none"/>
              </w:rPr>
              <w:t xml:space="preserve">频率范围：（0–40）kHz；响应：平坦；</w:t>
            </w:r>
            <w:r/>
          </w:p>
          <w:p>
            <w:pPr>
              <w:rPr>
                <w:rFonts w:hint="eastAsia" w:ascii="宋体" w:hAnsi="宋体" w:cs="宋体"/>
                <w:sz w:val="24"/>
                <w:highlight w:val="none"/>
              </w:rPr>
            </w:pPr>
            <w:r>
              <w:rPr>
                <w:rFonts w:hint="eastAsia" w:ascii="宋体" w:hAnsi="宋体" w:cs="宋体"/>
                <w:sz w:val="24"/>
                <w:highlight w:val="none"/>
              </w:rPr>
              <w:t xml:space="preserve">测量范围：磁场： 10 μT–10 T 0.6% (100 uT–1 T)；线性度：1% (100 uT–2.4 T)</w:t>
            </w:r>
            <w:r/>
          </w:p>
          <w:p>
            <w:pPr>
              <w:rPr>
                <w:rFonts w:hint="eastAsia" w:ascii="宋体" w:hAnsi="宋体" w:cs="宋体"/>
                <w:sz w:val="24"/>
                <w:highlight w:val="none"/>
              </w:rPr>
            </w:pPr>
            <w:r>
              <w:rPr>
                <w:rFonts w:hint="eastAsia" w:ascii="宋体" w:hAnsi="宋体" w:cs="宋体"/>
                <w:sz w:val="24"/>
                <w:highlight w:val="none"/>
              </w:rPr>
              <w:t xml:space="preserve">探头2：</w:t>
            </w:r>
            <w:r/>
          </w:p>
          <w:p>
            <w:pPr>
              <w:rPr>
                <w:rFonts w:hint="eastAsia" w:ascii="宋体" w:hAnsi="宋体" w:cs="宋体"/>
                <w:sz w:val="24"/>
                <w:highlight w:val="none"/>
              </w:rPr>
            </w:pPr>
            <w:r>
              <w:rPr>
                <w:rFonts w:hint="eastAsia" w:ascii="宋体" w:hAnsi="宋体" w:cs="宋体"/>
                <w:sz w:val="24"/>
                <w:highlight w:val="none"/>
              </w:rPr>
              <w:t xml:space="preserve">频率范围：1Hz-10MHz；</w:t>
            </w:r>
            <w:r/>
          </w:p>
          <w:p>
            <w:pPr>
              <w:rPr>
                <w:rFonts w:hint="eastAsia" w:ascii="宋体" w:hAnsi="宋体" w:cs="宋体"/>
                <w:sz w:val="24"/>
                <w:highlight w:val="none"/>
              </w:rPr>
            </w:pPr>
            <w:r>
              <w:rPr>
                <w:rFonts w:hint="eastAsia" w:ascii="宋体" w:hAnsi="宋体" w:cs="宋体"/>
                <w:sz w:val="24"/>
                <w:highlight w:val="none"/>
              </w:rPr>
              <w:t xml:space="preserve">响应：平坦/加权(加权峰值法WPM)；</w:t>
            </w:r>
            <w:r/>
          </w:p>
          <w:p>
            <w:pPr>
              <w:rPr>
                <w:rFonts w:hint="eastAsia" w:ascii="宋体" w:hAnsi="宋体" w:cs="宋体"/>
                <w:sz w:val="24"/>
                <w:highlight w:val="none"/>
              </w:rPr>
            </w:pPr>
            <w:r>
              <w:rPr>
                <w:rFonts w:hint="eastAsia" w:ascii="宋体" w:hAnsi="宋体" w:cs="宋体"/>
                <w:sz w:val="24"/>
                <w:highlight w:val="none"/>
              </w:rPr>
              <w:t xml:space="preserve">测量范围：电场：2V/m-100kV/m</w:t>
            </w:r>
            <w:r/>
          </w:p>
          <w:p>
            <w:pPr>
              <w:rPr>
                <w:rFonts w:hint="eastAsia" w:ascii="宋体" w:hAnsi="宋体" w:cs="宋体"/>
                <w:sz w:val="24"/>
                <w:highlight w:val="none"/>
              </w:rPr>
            </w:pPr>
            <w:r>
              <w:rPr>
                <w:rFonts w:hint="eastAsia" w:ascii="宋体" w:hAnsi="宋体" w:cs="宋体"/>
                <w:sz w:val="24"/>
                <w:highlight w:val="none"/>
              </w:rPr>
              <w:t xml:space="preserve">2V/m-47kV/m</w:t>
            </w:r>
            <w:r/>
          </w:p>
          <w:p>
            <w:pPr>
              <w:rPr>
                <w:rFonts w:hint="eastAsia" w:ascii="宋体" w:hAnsi="宋体" w:cs="宋体"/>
                <w:sz w:val="24"/>
                <w:highlight w:val="none"/>
              </w:rPr>
            </w:pPr>
            <w:r>
              <w:rPr>
                <w:rFonts w:hint="eastAsia" w:ascii="宋体" w:hAnsi="宋体" w:cs="宋体"/>
                <w:sz w:val="24"/>
                <w:highlight w:val="none"/>
              </w:rPr>
              <w:t xml:space="preserve">(160kHz-10MHz)</w:t>
            </w:r>
            <w:r/>
          </w:p>
          <w:p>
            <w:pPr>
              <w:rPr>
                <w:rFonts w:hint="eastAsia" w:ascii="宋体" w:hAnsi="宋体" w:cs="宋体"/>
                <w:sz w:val="24"/>
                <w:highlight w:val="none"/>
              </w:rPr>
            </w:pPr>
            <w:r>
              <w:rPr>
                <w:rFonts w:hint="eastAsia" w:ascii="宋体" w:hAnsi="宋体" w:cs="宋体"/>
                <w:sz w:val="24"/>
                <w:highlight w:val="none"/>
              </w:rPr>
              <w:t xml:space="preserve">磁场：100nT-47mT@50Hz</w:t>
            </w:r>
            <w:r/>
          </w:p>
          <w:p>
            <w:pPr>
              <w:rPr>
                <w:rFonts w:hint="eastAsia" w:ascii="宋体" w:hAnsi="宋体" w:cs="宋体"/>
                <w:sz w:val="24"/>
                <w:highlight w:val="none"/>
              </w:rPr>
            </w:pPr>
            <w:r>
              <w:rPr>
                <w:rFonts w:hint="eastAsia" w:ascii="宋体" w:hAnsi="宋体" w:cs="宋体"/>
                <w:sz w:val="24"/>
                <w:highlight w:val="none"/>
              </w:rPr>
              <w:t xml:space="preserve">400nT–4.7mT</w:t>
            </w:r>
            <w:r/>
          </w:p>
          <w:p>
            <w:pPr>
              <w:rPr>
                <w:rFonts w:hint="eastAsia" w:ascii="宋体" w:hAnsi="宋体" w:cs="宋体"/>
                <w:sz w:val="24"/>
                <w:highlight w:val="none"/>
              </w:rPr>
            </w:pPr>
            <w:r>
              <w:rPr>
                <w:rFonts w:hint="eastAsia" w:ascii="宋体" w:hAnsi="宋体" w:cs="宋体"/>
                <w:sz w:val="24"/>
                <w:highlight w:val="none"/>
              </w:rPr>
              <w:t xml:space="preserve">(500Hz-10MHz)</w:t>
            </w:r>
            <w:r/>
          </w:p>
          <w:p>
            <w:pPr>
              <w:rPr>
                <w:rFonts w:hint="eastAsia" w:ascii="宋体" w:hAnsi="宋体" w:cs="宋体"/>
                <w:sz w:val="24"/>
                <w:highlight w:val="none"/>
              </w:rPr>
            </w:pPr>
            <w:r>
              <w:rPr>
                <w:rFonts w:hint="eastAsia" w:ascii="宋体" w:hAnsi="宋体" w:cs="宋体"/>
                <w:sz w:val="24"/>
                <w:highlight w:val="none"/>
              </w:rPr>
              <w:t xml:space="preserve">线性度：+/-1% (典型值)、+/-2% (最大值)；</w:t>
            </w:r>
            <w:r/>
          </w:p>
          <w:p>
            <w:pPr>
              <w:rPr>
                <w:rFonts w:hint="eastAsia" w:ascii="宋体" w:hAnsi="宋体" w:cs="宋体"/>
                <w:sz w:val="24"/>
                <w:highlight w:val="none"/>
              </w:rPr>
            </w:pPr>
            <w:r>
              <w:rPr>
                <w:rFonts w:hint="eastAsia" w:ascii="宋体" w:hAnsi="宋体" w:cs="宋体"/>
                <w:sz w:val="24"/>
                <w:highlight w:val="none"/>
              </w:rPr>
              <w:t xml:space="preserve">频率范围：DC-10MHz；</w:t>
            </w:r>
            <w:r/>
          </w:p>
          <w:p>
            <w:pPr>
              <w:rPr>
                <w:rFonts w:hint="eastAsia" w:ascii="宋体" w:hAnsi="宋体" w:cs="宋体"/>
                <w:sz w:val="24"/>
                <w:highlight w:val="none"/>
              </w:rPr>
            </w:pPr>
            <w:r>
              <w:rPr>
                <w:rFonts w:hint="eastAsia" w:ascii="宋体" w:hAnsi="宋体" w:cs="宋体"/>
                <w:sz w:val="24"/>
                <w:highlight w:val="none"/>
              </w:rPr>
              <w:t xml:space="preserve">有专用测试软件，把主机波形图抓取到电脑；</w:t>
            </w:r>
            <w:r/>
          </w:p>
          <w:p>
            <w:pPr>
              <w:rPr>
                <w:rFonts w:hint="eastAsia" w:ascii="宋体" w:hAnsi="宋体" w:cs="宋体"/>
                <w:sz w:val="24"/>
                <w:highlight w:val="none"/>
              </w:rPr>
            </w:pPr>
            <w:r>
              <w:rPr>
                <w:rFonts w:hint="eastAsia" w:ascii="宋体" w:hAnsi="宋体" w:cs="宋体"/>
                <w:sz w:val="24"/>
                <w:highlight w:val="none"/>
              </w:rPr>
              <w:t xml:space="preserve">可以升级测试GBT37130测试标准；含专用测试支架。</w:t>
            </w:r>
            <w:r/>
          </w:p>
        </w:tc>
        <w:tc>
          <w:tcPr>
            <w:tcW w:w="902"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511"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64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r>
      <w:tr>
        <w:trPr>
          <w:jc w:val="center"/>
          <w:trHeight w:val="454"/>
        </w:trPr>
        <w:tc>
          <w:tcPr>
            <w:tcW w:w="39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3</w:t>
            </w:r>
            <w:r/>
          </w:p>
        </w:tc>
        <w:tc>
          <w:tcPr>
            <w:tcW w:w="575" w:type="pct"/>
            <w:vAlign w:val="center"/>
            <w:textDirection w:val="lrTb"/>
            <w:noWrap w:val="false"/>
          </w:tcPr>
          <w:p>
            <w:pPr>
              <w:jc w:val="center"/>
              <w:rPr>
                <w:rFonts w:hint="eastAsia" w:ascii="宋体" w:hAnsi="宋体" w:cs="宋体"/>
                <w:sz w:val="24"/>
                <w:highlight w:val="none"/>
              </w:rPr>
            </w:pPr>
            <w:r>
              <w:rPr>
                <w:rFonts w:hint="eastAsia" w:ascii="宋体" w:hAnsi="宋体" w:cs="宋体"/>
                <w:b/>
                <w:sz w:val="24"/>
                <w:highlight w:val="none"/>
              </w:rPr>
              <w:t xml:space="preserve">暗室及屏蔽房供货要求</w:t>
            </w:r>
            <w:r/>
          </w:p>
        </w:tc>
        <w:tc>
          <w:tcPr>
            <w:tcW w:w="1970" w:type="pct"/>
            <w:vAlign w:val="center"/>
            <w:textDirection w:val="lrTb"/>
            <w:noWrap w:val="false"/>
          </w:tcPr>
          <w:p>
            <w:pPr>
              <w:ind w:firstLine="482"/>
              <w:widowControl/>
              <w:rPr>
                <w:rFonts w:hint="eastAsia" w:ascii="宋体" w:hAnsi="宋体" w:cs="宋体"/>
                <w:b/>
                <w:bCs/>
                <w:sz w:val="24"/>
                <w:highlight w:val="none"/>
                <w:u w:val="single"/>
              </w:rPr>
            </w:pPr>
            <w:r>
              <w:rPr>
                <w:rFonts w:hint="eastAsia" w:ascii="宋体" w:hAnsi="宋体" w:cs="宋体"/>
                <w:b/>
                <w:bCs/>
                <w:sz w:val="24"/>
                <w:highlight w:val="none"/>
                <w:u w:val="single"/>
              </w:rPr>
              <w:t xml:space="preserve">★1.投标人应承诺所提供的仪器设备免费维修保修期不低于下表年限，投标文件中提供免费保修承诺并列出相应配置、配件报价清单。计量校准费用（包含在总价内，并列出分项价格）全部由中标方承担。（此项为实质性响应条款，不按要求提供承诺及相应清单，投标文件将作为无效投标处理）</w:t>
            </w:r>
            <w:r/>
          </w:p>
          <w:tbl>
            <w:tblPr>
              <w:tblStyle w:val="9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2276"/>
              <w:gridCol w:w="688"/>
            </w:tblGrid>
            <w:tr>
              <w:trPr>
                <w:jc w:val="center"/>
                <w:trHeight w:val="407"/>
              </w:trPr>
              <w:tc>
                <w:tcPr>
                  <w:tcW w:w="727"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序号</w:t>
                  </w:r>
                  <w:r/>
                </w:p>
              </w:tc>
              <w:tc>
                <w:tcPr>
                  <w:tcW w:w="3280"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仪器名称</w:t>
                  </w:r>
                  <w:r/>
                </w:p>
              </w:tc>
              <w:tc>
                <w:tcPr>
                  <w:tcW w:w="992"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年限</w:t>
                  </w:r>
                  <w:r/>
                </w:p>
              </w:tc>
            </w:tr>
            <w:tr>
              <w:trPr>
                <w:jc w:val="center"/>
                <w:trHeight w:val="380"/>
              </w:trPr>
              <w:tc>
                <w:tcPr>
                  <w:tcW w:w="727"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1</w:t>
                  </w:r>
                  <w:r/>
                </w:p>
              </w:tc>
              <w:tc>
                <w:tcPr>
                  <w:tcW w:w="3280"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暗室主体：屏蔽体、铁氧体、吸波材料</w:t>
                  </w:r>
                  <w:r/>
                </w:p>
              </w:tc>
              <w:tc>
                <w:tcPr>
                  <w:tcW w:w="992"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10年</w:t>
                  </w:r>
                  <w:r/>
                </w:p>
              </w:tc>
            </w:tr>
            <w:tr>
              <w:trPr>
                <w:jc w:val="center"/>
                <w:trHeight w:val="380"/>
              </w:trPr>
              <w:tc>
                <w:tcPr>
                  <w:tcW w:w="727"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2</w:t>
                  </w:r>
                  <w:r/>
                </w:p>
              </w:tc>
              <w:tc>
                <w:tcPr>
                  <w:tcW w:w="3280"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暗室整体性能</w:t>
                  </w:r>
                  <w:r/>
                </w:p>
              </w:tc>
              <w:tc>
                <w:tcPr>
                  <w:tcW w:w="992"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10年</w:t>
                  </w:r>
                  <w:r/>
                </w:p>
              </w:tc>
            </w:tr>
            <w:tr>
              <w:trPr>
                <w:jc w:val="center"/>
                <w:trHeight w:val="380"/>
              </w:trPr>
              <w:tc>
                <w:tcPr>
                  <w:tcW w:w="727"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3</w:t>
                  </w:r>
                  <w:r/>
                </w:p>
              </w:tc>
              <w:tc>
                <w:tcPr>
                  <w:tcW w:w="3280"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屏蔽门</w:t>
                  </w:r>
                  <w:r/>
                </w:p>
              </w:tc>
              <w:tc>
                <w:tcPr>
                  <w:tcW w:w="992"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3年</w:t>
                  </w:r>
                  <w:r/>
                </w:p>
              </w:tc>
            </w:tr>
            <w:tr>
              <w:trPr>
                <w:jc w:val="center"/>
                <w:trHeight w:val="380"/>
              </w:trPr>
              <w:tc>
                <w:tcPr>
                  <w:tcW w:w="727"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4</w:t>
                  </w:r>
                  <w:r/>
                </w:p>
              </w:tc>
              <w:tc>
                <w:tcPr>
                  <w:tcW w:w="3280"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转台、天线塔</w:t>
                  </w:r>
                  <w:r/>
                </w:p>
              </w:tc>
              <w:tc>
                <w:tcPr>
                  <w:tcW w:w="992"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3年</w:t>
                  </w:r>
                  <w:r/>
                </w:p>
              </w:tc>
            </w:tr>
            <w:tr>
              <w:trPr>
                <w:jc w:val="center"/>
                <w:trHeight w:val="380"/>
              </w:trPr>
              <w:tc>
                <w:tcPr>
                  <w:tcW w:w="727"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5</w:t>
                  </w:r>
                  <w:r/>
                </w:p>
              </w:tc>
              <w:tc>
                <w:tcPr>
                  <w:tcW w:w="3280"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滤波器</w:t>
                  </w:r>
                  <w:r/>
                </w:p>
              </w:tc>
              <w:tc>
                <w:tcPr>
                  <w:tcW w:w="992"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3年</w:t>
                  </w:r>
                  <w:r/>
                </w:p>
              </w:tc>
            </w:tr>
            <w:tr>
              <w:trPr>
                <w:jc w:val="center"/>
                <w:trHeight w:val="380"/>
              </w:trPr>
              <w:tc>
                <w:tcPr>
                  <w:tcW w:w="727"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6</w:t>
                  </w:r>
                  <w:r/>
                </w:p>
              </w:tc>
              <w:tc>
                <w:tcPr>
                  <w:tcW w:w="3280"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其他部分</w:t>
                  </w:r>
                  <w:r/>
                </w:p>
              </w:tc>
              <w:tc>
                <w:tcPr>
                  <w:tcW w:w="992" w:type="pct"/>
                  <w:vAlign w:val="center"/>
                  <w:textDirection w:val="lrTb"/>
                  <w:noWrap w:val="false"/>
                </w:tcPr>
                <w:p>
                  <w:pPr>
                    <w:jc w:val="center"/>
                    <w:rPr>
                      <w:rFonts w:hint="eastAsia" w:ascii="宋体" w:hAnsi="宋体" w:cs="宋体"/>
                      <w:bCs/>
                      <w:sz w:val="24"/>
                      <w:highlight w:val="none"/>
                    </w:rPr>
                    <w:outlineLvl w:val="0"/>
                  </w:pPr>
                  <w:r>
                    <w:rPr>
                      <w:rFonts w:hint="eastAsia" w:ascii="宋体" w:hAnsi="宋体" w:cs="宋体"/>
                      <w:bCs/>
                      <w:sz w:val="24"/>
                      <w:highlight w:val="none"/>
                    </w:rPr>
                    <w:t xml:space="preserve">3年</w:t>
                  </w:r>
                  <w:r/>
                </w:p>
              </w:tc>
            </w:tr>
          </w:tbl>
          <w:p>
            <w:pPr>
              <w:rPr>
                <w:rFonts w:hint="eastAsia" w:ascii="宋体" w:hAnsi="宋体" w:cs="宋体"/>
                <w:sz w:val="24"/>
                <w:highlight w:val="none"/>
              </w:rPr>
            </w:pPr>
            <w:r>
              <w:rPr>
                <w:rFonts w:hint="eastAsia" w:ascii="宋体" w:hAnsi="宋体" w:cs="宋体"/>
                <w:sz w:val="24"/>
                <w:highlight w:val="none"/>
              </w:rPr>
            </w:r>
            <w:r/>
          </w:p>
        </w:tc>
        <w:tc>
          <w:tcPr>
            <w:tcW w:w="902"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511"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64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r>
      <w:tr>
        <w:trPr>
          <w:jc w:val="center"/>
          <w:trHeight w:val="454"/>
        </w:trPr>
        <w:tc>
          <w:tcPr>
            <w:tcW w:w="395"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4</w:t>
            </w:r>
            <w:r/>
          </w:p>
        </w:tc>
        <w:tc>
          <w:tcPr>
            <w:tcW w:w="575" w:type="pct"/>
            <w:vAlign w:val="center"/>
            <w:textDirection w:val="lrTb"/>
            <w:noWrap w:val="false"/>
          </w:tcPr>
          <w:p>
            <w:pPr>
              <w:jc w:val="center"/>
              <w:rPr>
                <w:rFonts w:hint="eastAsia" w:ascii="宋体" w:hAnsi="宋体" w:cs="宋体"/>
                <w:b/>
                <w:sz w:val="24"/>
                <w:highlight w:val="none"/>
              </w:rPr>
            </w:pPr>
            <w:r>
              <w:rPr>
                <w:rFonts w:hint="eastAsia" w:ascii="宋体" w:hAnsi="宋体" w:cs="宋体"/>
                <w:b/>
                <w:sz w:val="24"/>
                <w:highlight w:val="none"/>
              </w:rPr>
              <w:t xml:space="preserve">质量保证及售后服务要求</w:t>
            </w:r>
            <w:r/>
          </w:p>
        </w:tc>
        <w:tc>
          <w:tcPr>
            <w:tcW w:w="1970" w:type="pct"/>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（一）免费质保要求</w:t>
            </w:r>
            <w:r/>
          </w:p>
          <w:p>
            <w:pPr>
              <w:rPr>
                <w:rFonts w:hint="eastAsia" w:ascii="宋体" w:hAnsi="宋体" w:cs="宋体"/>
                <w:sz w:val="24"/>
                <w:highlight w:val="none"/>
              </w:rPr>
            </w:pPr>
            <w:r>
              <w:rPr>
                <w:rFonts w:hint="eastAsia" w:ascii="宋体" w:hAnsi="宋体" w:cs="宋体"/>
                <w:sz w:val="24"/>
                <w:highlight w:val="none"/>
              </w:rPr>
              <w:t xml:space="preserve">★1.本项目配套仪器设备及涉及系统免费质保期不少于一年，自采购方签署最终验收合格报告之日起计算。质保期内，因非人为损坏导致的所有器件（含进口器件）免费更换，因非人为因素出现的任何仪器故障免费维修。若因设备故障导致实验室检测工作停止，中标人必须配合采购方追溯相关损失，严格按照《中华人民共和国产品质量法》相关要求处理质量问题。（本项为实质性响应条款，投标文件中提供承诺并加盖投标人公章，未按要求提供的，投标文件将作为无效投标处理）</w:t>
            </w:r>
            <w:r/>
          </w:p>
        </w:tc>
        <w:tc>
          <w:tcPr>
            <w:tcW w:w="902"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511"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c>
          <w:tcPr>
            <w:tcW w:w="64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r>
            <w:r/>
          </w:p>
        </w:tc>
      </w:tr>
      <w:tr>
        <w:trPr>
          <w:jc w:val="center"/>
          <w:trHeight w:val="454"/>
        </w:trPr>
        <w:tc>
          <w:tcPr>
            <w:gridSpan w:val="6"/>
            <w:tcW w:w="5000"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Cs/>
                <w:sz w:val="24"/>
                <w:highlight w:val="none"/>
              </w:rPr>
              <w:t xml:space="preserve">▲</w:t>
            </w:r>
            <w:r>
              <w:rPr>
                <w:rFonts w:hint="eastAsia" w:ascii="宋体" w:hAnsi="宋体" w:cs="宋体"/>
                <w:b/>
                <w:bCs/>
                <w:sz w:val="24"/>
                <w:highlight w:val="none"/>
              </w:rPr>
              <w:t xml:space="preserve">”技术参数条款</w:t>
            </w:r>
            <w:r/>
          </w:p>
        </w:tc>
      </w:tr>
      <w:tr>
        <w:trPr>
          <w:jc w:val="center"/>
          <w:trHeight w:val="454"/>
        </w:trPr>
        <w:tc>
          <w:tcPr>
            <w:tcW w:w="395" w:type="pct"/>
            <w:vAlign w:val="center"/>
            <w:vMerge w:val="restart"/>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W w:w="575" w:type="pct"/>
            <w:vAlign w:val="center"/>
            <w:vMerge w:val="restart"/>
            <w:textDirection w:val="lrTb"/>
            <w:noWrap w:val="false"/>
          </w:tcPr>
          <w:p>
            <w:pPr>
              <w:jc w:val="center"/>
              <w:rPr>
                <w:rFonts w:hint="eastAsia" w:ascii="宋体" w:hAnsi="宋体" w:cs="宋体"/>
                <w:sz w:val="24"/>
                <w:highlight w:val="none"/>
              </w:rPr>
            </w:pPr>
            <w:r>
              <w:rPr>
                <w:rFonts w:hint="eastAsia" w:ascii="宋体" w:hAnsi="宋体" w:cs="宋体"/>
                <w:b/>
                <w:sz w:val="24"/>
                <w:highlight w:val="none"/>
              </w:rPr>
              <w:t xml:space="preserve">电波暗室</w:t>
            </w:r>
            <w:r/>
          </w:p>
        </w:tc>
        <w:tc>
          <w:tcPr>
            <w:tcW w:w="1970" w:type="pct"/>
            <w:vAlign w:val="center"/>
            <w:textDirection w:val="lrTb"/>
            <w:noWrap w:val="false"/>
          </w:tcPr>
          <w:p>
            <w:pPr>
              <w:rPr>
                <w:rFonts w:hint="eastAsia" w:ascii="宋体" w:hAnsi="宋体" w:cs="宋体"/>
                <w:b/>
                <w:sz w:val="24"/>
                <w:highlight w:val="none"/>
              </w:rPr>
            </w:pPr>
            <w:r>
              <w:rPr>
                <w:rFonts w:hint="eastAsia" w:ascii="宋体" w:hAnsi="宋体" w:cs="宋体"/>
                <w:b/>
                <w:sz w:val="24"/>
                <w:highlight w:val="none"/>
              </w:rPr>
              <w:t xml:space="preserve">电波暗室主要技术指标</w:t>
            </w:r>
            <w:r/>
          </w:p>
          <w:p>
            <w:pPr>
              <w:ind w:firstLine="480"/>
              <w:rPr>
                <w:rFonts w:hint="eastAsia" w:ascii="宋体" w:hAnsi="宋体" w:cs="宋体"/>
                <w:bCs/>
                <w:sz w:val="24"/>
                <w:highlight w:val="none"/>
              </w:rPr>
            </w:pPr>
            <w:r>
              <w:rPr>
                <w:rFonts w:hint="eastAsia" w:ascii="宋体" w:hAnsi="宋体" w:cs="宋体"/>
                <w:bCs/>
                <w:sz w:val="24"/>
                <w:highlight w:val="none"/>
              </w:rPr>
              <w:t xml:space="preserve">▲1.1暗室静区：10m距离：直径6m、高2m的圆柱体；3m距离：直径2m、高2m的圆柱体；</w:t>
            </w:r>
            <w:r/>
          </w:p>
          <w:p>
            <w:pPr>
              <w:ind w:firstLine="480"/>
              <w:rPr>
                <w:rFonts w:hint="eastAsia" w:ascii="宋体" w:hAnsi="宋体" w:cs="宋体"/>
                <w:bCs/>
                <w:sz w:val="24"/>
                <w:highlight w:val="none"/>
              </w:rPr>
            </w:pPr>
            <w:r>
              <w:rPr>
                <w:rFonts w:hint="eastAsia" w:ascii="宋体" w:hAnsi="宋体" w:cs="宋体"/>
                <w:bCs/>
                <w:sz w:val="24"/>
                <w:highlight w:val="none"/>
              </w:rPr>
              <w:t xml:space="preserve">▲1.2屏蔽效能：暗室及其配套的控制室、功放室、屏蔽室的屏蔽效能应满足如下指标，按最新版的EN 50147-1、GB/T 12190的要求进行测量。</w:t>
            </w:r>
            <w:r/>
          </w:p>
          <w:tbl>
            <w:tblPr>
              <w:tblStyle w:val="955"/>
              <w:tblpPr w:horzAnchor="page" w:tblpX="100" w:vertAnchor="text" w:tblpY="54"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544"/>
              <w:gridCol w:w="1044"/>
            </w:tblGrid>
            <w:tr>
              <w:trPr/>
              <w:tc>
                <w:tcPr>
                  <w:tcW w:w="1269"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场类型</w:t>
                  </w:r>
                  <w:r/>
                </w:p>
              </w:tc>
              <w:tc>
                <w:tcPr>
                  <w:tcW w:w="222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频率</w:t>
                  </w:r>
                  <w:r/>
                </w:p>
              </w:tc>
              <w:tc>
                <w:tcPr>
                  <w:tcW w:w="1504"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屏蔽效能</w:t>
                  </w:r>
                  <w:r/>
                </w:p>
              </w:tc>
            </w:tr>
            <w:tr>
              <w:trPr/>
              <w:tc>
                <w:tcPr>
                  <w:tcW w:w="126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磁场</w:t>
                  </w:r>
                  <w:r/>
                </w:p>
              </w:tc>
              <w:tc>
                <w:tcPr>
                  <w:tcW w:w="222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10kHz</w:t>
                  </w:r>
                  <w:r/>
                </w:p>
              </w:tc>
              <w:tc>
                <w:tcPr>
                  <w:tcW w:w="150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≥80dB</w:t>
                  </w:r>
                  <w:r/>
                </w:p>
              </w:tc>
            </w:tr>
            <w:tr>
              <w:trPr/>
              <w:tc>
                <w:tcPr>
                  <w:tcW w:w="126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磁场</w:t>
                  </w:r>
                  <w:r/>
                </w:p>
              </w:tc>
              <w:tc>
                <w:tcPr>
                  <w:tcW w:w="222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100kHz</w:t>
                  </w:r>
                  <w:r/>
                </w:p>
              </w:tc>
              <w:tc>
                <w:tcPr>
                  <w:tcW w:w="150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≥90dB</w:t>
                  </w:r>
                  <w:r/>
                </w:p>
              </w:tc>
            </w:tr>
            <w:tr>
              <w:trPr/>
              <w:tc>
                <w:tcPr>
                  <w:tcW w:w="126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磁场</w:t>
                  </w:r>
                  <w:r/>
                </w:p>
              </w:tc>
              <w:tc>
                <w:tcPr>
                  <w:tcW w:w="222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1MHz～30MHz</w:t>
                  </w:r>
                  <w:r/>
                </w:p>
              </w:tc>
              <w:tc>
                <w:tcPr>
                  <w:tcW w:w="150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≥110dB</w:t>
                  </w:r>
                  <w:r/>
                </w:p>
              </w:tc>
            </w:tr>
            <w:tr>
              <w:trPr/>
              <w:tc>
                <w:tcPr>
                  <w:tcW w:w="126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电场</w:t>
                  </w:r>
                  <w:r/>
                </w:p>
              </w:tc>
              <w:tc>
                <w:tcPr>
                  <w:tcW w:w="222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10MHz～100MHz</w:t>
                  </w:r>
                  <w:r/>
                </w:p>
              </w:tc>
              <w:tc>
                <w:tcPr>
                  <w:tcW w:w="150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≥110dB</w:t>
                  </w:r>
                  <w:r/>
                </w:p>
              </w:tc>
            </w:tr>
            <w:tr>
              <w:trPr/>
              <w:tc>
                <w:tcPr>
                  <w:tcW w:w="126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平面波</w:t>
                  </w:r>
                  <w:r/>
                </w:p>
              </w:tc>
              <w:tc>
                <w:tcPr>
                  <w:tcW w:w="222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1GHz～18GHz</w:t>
                  </w:r>
                  <w:r/>
                </w:p>
              </w:tc>
              <w:tc>
                <w:tcPr>
                  <w:tcW w:w="150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≥100dB</w:t>
                  </w:r>
                  <w:r/>
                </w:p>
              </w:tc>
            </w:tr>
            <w:tr>
              <w:trPr/>
              <w:tc>
                <w:tcPr>
                  <w:tcW w:w="126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平面波</w:t>
                  </w:r>
                  <w:r/>
                </w:p>
              </w:tc>
              <w:tc>
                <w:tcPr>
                  <w:tcW w:w="222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18GHz～40GHz</w:t>
                  </w:r>
                  <w:r/>
                </w:p>
              </w:tc>
              <w:tc>
                <w:tcPr>
                  <w:tcW w:w="150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≥90dB</w:t>
                  </w:r>
                  <w:r/>
                </w:p>
              </w:tc>
            </w:tr>
          </w:tbl>
          <w:p>
            <w:pPr>
              <w:ind w:firstLine="480"/>
              <w:rPr>
                <w:rFonts w:hint="eastAsia" w:ascii="宋体" w:hAnsi="宋体" w:cs="宋体"/>
                <w:bCs/>
                <w:sz w:val="24"/>
                <w:highlight w:val="none"/>
              </w:rPr>
            </w:pPr>
            <w:r>
              <w:rPr>
                <w:rFonts w:hint="eastAsia" w:ascii="宋体" w:hAnsi="宋体" w:cs="宋体"/>
                <w:bCs/>
                <w:sz w:val="24"/>
                <w:highlight w:val="none"/>
              </w:rPr>
              <w:t xml:space="preserve">▲1.4场地电压驻波比（SVSWR）：1-18GHz暗室的场地电压驻波比（SVSWR）应≤5.0dB。校准时，参照最新版的CISPR16-1-4的要求对以下情况进行电压驻波比的测量：静区直径2m、高2m，测试距离3m（</w:t>
            </w:r>
            <w:r>
              <w:rPr>
                <w:rFonts w:hint="eastAsia" w:ascii="宋体" w:hAnsi="宋体" w:cs="宋体"/>
                <w:b/>
                <w:sz w:val="24"/>
                <w:highlight w:val="none"/>
              </w:rPr>
              <w:t xml:space="preserve">1G以上辐射发射测试吸波材料的铺设需考虑转台旋转，投标文件中提供具体方案</w:t>
            </w:r>
            <w:r>
              <w:rPr>
                <w:rFonts w:hint="eastAsia" w:ascii="宋体" w:hAnsi="宋体" w:cs="宋体"/>
                <w:bCs/>
                <w:sz w:val="24"/>
                <w:highlight w:val="none"/>
              </w:rPr>
              <w:t xml:space="preserve">）。</w:t>
            </w:r>
            <w:r/>
          </w:p>
          <w:p>
            <w:pPr>
              <w:ind w:firstLine="480"/>
              <w:rPr>
                <w:rFonts w:hint="eastAsia" w:ascii="宋体" w:hAnsi="宋体" w:cs="宋体"/>
                <w:bCs/>
                <w:sz w:val="24"/>
                <w:highlight w:val="none"/>
              </w:rPr>
            </w:pPr>
            <w:r>
              <w:rPr>
                <w:rFonts w:hint="eastAsia" w:ascii="宋体" w:hAnsi="宋体" w:cs="宋体"/>
                <w:bCs/>
                <w:sz w:val="24"/>
                <w:highlight w:val="none"/>
              </w:rPr>
              <w:t xml:space="preserve">▲1.5场地均匀性（FU）</w:t>
            </w:r>
            <w:r>
              <w:rPr>
                <w:rFonts w:hint="eastAsia" w:ascii="宋体" w:hAnsi="宋体" w:cs="宋体"/>
                <w:b/>
                <w:sz w:val="24"/>
                <w:highlight w:val="none"/>
              </w:rPr>
              <w:t xml:space="preserve">：</w:t>
            </w:r>
            <w:r>
              <w:rPr>
                <w:rFonts w:hint="eastAsia" w:ascii="宋体" w:hAnsi="宋体" w:cs="宋体"/>
                <w:bCs/>
                <w:sz w:val="24"/>
                <w:highlight w:val="none"/>
              </w:rPr>
              <w:t xml:space="preserve">20M-18GHz暗室的场均匀性按最新版的IEC 61000-4-3的要求进行测量。测试距离3m，16个点中75%的点中场地均匀性在0～5.0dB范围内</w:t>
            </w:r>
            <w:r>
              <w:rPr>
                <w:rFonts w:hint="eastAsia" w:ascii="宋体" w:hAnsi="宋体" w:cs="宋体"/>
                <w:b/>
                <w:sz w:val="24"/>
                <w:highlight w:val="none"/>
              </w:rPr>
              <w:t xml:space="preserve">(需考虑地面吸波材料及铁氧体搬运的便利性，投标文件中提供对应的方案，配置多层储物车辆)</w:t>
            </w:r>
            <w:r>
              <w:rPr>
                <w:rFonts w:hint="eastAsia" w:ascii="宋体" w:hAnsi="宋体" w:cs="宋体"/>
                <w:bCs/>
                <w:sz w:val="24"/>
                <w:highlight w:val="none"/>
              </w:rPr>
              <w:t xml:space="preserve">。</w:t>
            </w:r>
            <w:r/>
          </w:p>
          <w:p>
            <w:pPr>
              <w:ind w:firstLine="480"/>
              <w:rPr>
                <w:rFonts w:hint="eastAsia" w:ascii="宋体" w:hAnsi="宋体" w:cs="宋体"/>
                <w:sz w:val="24"/>
                <w:highlight w:val="none"/>
              </w:rPr>
            </w:pPr>
            <w:r>
              <w:rPr>
                <w:rFonts w:hint="eastAsia" w:ascii="宋体" w:hAnsi="宋体" w:cs="宋体"/>
                <w:bCs/>
                <w:sz w:val="24"/>
                <w:highlight w:val="none"/>
              </w:rPr>
              <w:t xml:space="preserve">▲1.6背景噪声(ABN)：暗室内背景噪声（暗室在不含EUT情况下，所有设备处于运行状态）测试Peak值电平比在30MHz～18GHz 的频率范围内的CISPR 32 标准所规定Class B 级的限值的电平至少低12dB。 </w:t>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vMerge w:val="continue"/>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75" w:type="pct"/>
            <w:vAlign w:val="center"/>
            <w:vMerge w:val="continue"/>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970" w:type="pct"/>
            <w:vAlign w:val="center"/>
            <w:textDirection w:val="lrTb"/>
            <w:noWrap w:val="false"/>
          </w:tcPr>
          <w:p>
            <w:pPr>
              <w:rPr>
                <w:rFonts w:hint="eastAsia" w:ascii="宋体" w:hAnsi="宋体" w:cs="宋体"/>
                <w:b/>
                <w:sz w:val="24"/>
                <w:highlight w:val="none"/>
              </w:rPr>
            </w:pPr>
            <w:r>
              <w:rPr>
                <w:rFonts w:hint="eastAsia" w:ascii="宋体" w:hAnsi="宋体" w:cs="宋体"/>
                <w:b/>
                <w:sz w:val="24"/>
                <w:highlight w:val="none"/>
              </w:rPr>
              <w:t xml:space="preserve">2.电波暗室施工要求</w:t>
            </w:r>
            <w:r/>
          </w:p>
          <w:p>
            <w:pPr>
              <w:ind w:firstLine="480"/>
              <w:rPr>
                <w:rFonts w:hint="eastAsia" w:ascii="宋体" w:hAnsi="宋体" w:cs="宋体"/>
                <w:b/>
                <w:sz w:val="24"/>
                <w:highlight w:val="none"/>
              </w:rPr>
            </w:pPr>
            <w:r>
              <w:rPr>
                <w:rFonts w:hint="eastAsia" w:ascii="宋体" w:hAnsi="宋体" w:cs="宋体"/>
                <w:bCs/>
                <w:sz w:val="24"/>
                <w:highlight w:val="none"/>
              </w:rPr>
              <w:t xml:space="preserve">▲2.1暗室的结构尺寸：暗室建在检测楼内，包括暖通风管、钢架、屏蔽体和</w:t>
            </w:r>
            <w:r>
              <w:rPr>
                <w:rFonts w:hint="eastAsia" w:ascii="宋体" w:hAnsi="宋体" w:cs="宋体"/>
                <w:bCs/>
                <w:sz w:val="24"/>
                <w:highlight w:val="none"/>
              </w:rPr>
              <w:t xml:space="preserve">下沉区域在内的建设空间不大于26m*16m*12m（基础下沉0.85m，投标人负责对暗室安装后周围基坑进行处理，基坑区域要做防潮处理），暗室尺寸不小于23m*15m*9.5m（该尺寸为扣掉柱子尺寸后的净空间）。吸波材料尖劈和尖劈保护盖与转台边缘水平距离需大于2m。安装好的暗室应在墙体和屏蔽壳体之间留下足够的人员通道，便于维护。暗室为独立支撑钢结构，抗震裂度不低于8级，除底部外同主建筑结构无其他接触。此外，在暗室样品区（1/3长度区域）的高架地板承重能力应大于5000kg/㎡，其他区域应大于2000kg/㎡。</w:t>
            </w:r>
            <w:r/>
          </w:p>
          <w:p>
            <w:pPr>
              <w:ind w:firstLine="480"/>
              <w:rPr>
                <w:rFonts w:hint="eastAsia" w:ascii="宋体" w:hAnsi="宋体" w:cs="宋体"/>
                <w:bCs/>
                <w:sz w:val="24"/>
                <w:highlight w:val="none"/>
              </w:rPr>
            </w:pPr>
            <w:r>
              <w:rPr>
                <w:rFonts w:hint="eastAsia" w:ascii="宋体" w:hAnsi="宋体" w:cs="宋体"/>
                <w:bCs/>
                <w:sz w:val="24"/>
                <w:highlight w:val="none"/>
              </w:rPr>
              <w:t xml:space="preserve">▲2.2暗室的门：该暗室的大门（即被测物出入的门为全自动轨道平移门）进出门洞净尺寸不小于4.2m×4.2m。该暗室的小门（即人员出入的门）门洞尺寸不小于1.5m×2.0m。屏蔽门采用电动锁紧，屏蔽门应有良好的射频接触，采用2刀4簧的模式以保证屏蔽效能达到采购文件要求，门上安装应急灯和安全互联开关。屏蔽门表面要用烤漆工艺，防止门生锈。</w:t>
            </w:r>
            <w:r/>
          </w:p>
          <w:p>
            <w:pPr>
              <w:ind w:firstLine="480"/>
              <w:rPr>
                <w:rFonts w:hint="eastAsia" w:ascii="宋体" w:hAnsi="宋体" w:cs="宋体"/>
                <w:bCs/>
                <w:sz w:val="24"/>
                <w:highlight w:val="none"/>
              </w:rPr>
            </w:pPr>
            <w:r>
              <w:rPr>
                <w:rFonts w:hint="eastAsia" w:ascii="宋体" w:hAnsi="宋体" w:cs="宋体"/>
                <w:bCs/>
                <w:sz w:val="24"/>
                <w:highlight w:val="none"/>
              </w:rPr>
              <w:t xml:space="preserve">电波暗室屏蔽门安装互锁开关，在抗扰度测试过程中开启暗室屏蔽滑移大门和员工屏蔽门时，抗扰度测试应能自动终止。</w:t>
            </w:r>
            <w:r/>
          </w:p>
          <w:p>
            <w:pPr>
              <w:ind w:firstLine="480"/>
              <w:rPr>
                <w:rFonts w:hint="eastAsia" w:ascii="宋体" w:hAnsi="宋体" w:cs="宋体"/>
                <w:bCs/>
                <w:sz w:val="24"/>
                <w:highlight w:val="none"/>
              </w:rPr>
            </w:pPr>
            <w:r>
              <w:rPr>
                <w:rFonts w:hint="eastAsia" w:ascii="宋体" w:hAnsi="宋体" w:cs="宋体"/>
                <w:bCs/>
                <w:sz w:val="24"/>
                <w:highlight w:val="none"/>
              </w:rPr>
              <w:t xml:space="preserve">▲2.4暗室的铁氧体及吸波材料</w:t>
            </w:r>
            <w:r/>
          </w:p>
          <w:p>
            <w:pPr>
              <w:ind w:firstLine="480"/>
              <w:rPr>
                <w:rFonts w:hint="eastAsia" w:ascii="宋体" w:hAnsi="宋体" w:cs="宋体"/>
                <w:bCs/>
                <w:sz w:val="24"/>
                <w:highlight w:val="none"/>
              </w:rPr>
            </w:pPr>
            <w:r>
              <w:rPr>
                <w:rFonts w:hint="eastAsia" w:ascii="宋体" w:hAnsi="宋体" w:cs="宋体"/>
                <w:bCs/>
                <w:sz w:val="24"/>
                <w:highlight w:val="none"/>
              </w:rPr>
              <w:t xml:space="preserve">尖劈吸波材料：工作频率上限≥40GHz；采用硬质环保吸波材料（明确基材成分及配比，不接受聚氨酯海绵材质）；具备阻燃、环保特性，不吸潮、不下垂变形，能安全耐受200V/m的连续场强或600V/m的断续场强；技术指标应不低于TDK、法兰克尼亚、日本理研或相当于以上品牌技术水平的产品；</w:t>
            </w:r>
            <w:r>
              <w:rPr>
                <w:rFonts w:hint="eastAsia" w:ascii="宋体" w:hAnsi="宋体" w:cs="宋体"/>
                <w:b/>
                <w:bCs/>
                <w:sz w:val="24"/>
                <w:highlight w:val="none"/>
              </w:rPr>
              <w:t xml:space="preserve">（投标文件中提供具备CNAS或ILAC-MRA认可资质的第三方机构出具的检测报告）</w:t>
            </w:r>
            <w:r/>
          </w:p>
          <w:p>
            <w:pPr>
              <w:pStyle w:val="1066"/>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防火标准：需满足标准要求之一（</w:t>
            </w:r>
            <w:r>
              <w:rPr>
                <w:rFonts w:hint="eastAsia" w:ascii="宋体" w:hAnsi="宋体" w:cs="宋体"/>
                <w:b/>
                <w:sz w:val="24"/>
                <w:szCs w:val="24"/>
                <w:highlight w:val="none"/>
              </w:rPr>
              <w:t xml:space="preserve">投标文件中提供对应的第三方检测报告，检测机构需具备相关标准检测资质</w:t>
            </w:r>
            <w:r>
              <w:rPr>
                <w:rFonts w:hint="eastAsia" w:ascii="宋体" w:hAnsi="宋体" w:cs="宋体"/>
                <w:sz w:val="24"/>
                <w:szCs w:val="24"/>
                <w:highlight w:val="none"/>
              </w:rPr>
              <w:t xml:space="preserve">）：​</w:t>
            </w:r>
            <w:r/>
          </w:p>
          <w:p>
            <w:pPr>
              <w:pStyle w:val="1066"/>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DIN 4102 B2（德国建筑材料燃烧性能标准，满足难燃级要求）；​</w:t>
            </w:r>
            <w:r/>
          </w:p>
          <w:p>
            <w:pPr>
              <w:pStyle w:val="1066"/>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MIT Lincoln Laboratory specification MS-8-21（Tests I，II，and III）；</w:t>
            </w:r>
            <w:r/>
          </w:p>
          <w:p>
            <w:pPr>
              <w:pStyle w:val="1066"/>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NRL Report 8093（Tests 1，2，and 3）；​UL 94 HBF（美国阻燃等级标准，水平燃烧测试合格）；​</w:t>
            </w:r>
            <w:r/>
          </w:p>
          <w:p>
            <w:pPr>
              <w:pStyle w:val="1066"/>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GB 8624《建筑材料及制品燃烧性能分级》中阻燃级要求（明确达到B级及以上等级）</w:t>
            </w:r>
            <w:r/>
          </w:p>
          <w:p>
            <w:pPr>
              <w:pStyle w:val="1066"/>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铺设要求：五面（除地面外）等高满铺，表面需铺设白色防护盖板；盖板材质需与吸波材料同等防火等级（阻燃级，符合 GB 8624 B 级及以上标准），盖板拼接缝隙≤2mm，表面平整度误差≤3mm/m，不影响吸波性能及暗室整体屏蔽效能；  </w:t>
            </w:r>
            <w:r/>
          </w:p>
          <w:p>
            <w:pPr>
              <w:pStyle w:val="1066"/>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地面吸波材料：数量需满足1GHz以上辐射骚扰测试的SVSWR技术指标及辐射抗扰度测试的场均匀性指标，便于人工搬运，需提供专用多层储物运输车辆（载重≥500kg，可分层存放，配备固定装置防止运输过程中损坏）；​特殊设计：门边吸波材料采用防碰撞设计</w:t>
            </w:r>
            <w:r>
              <w:rPr>
                <w:rFonts w:hint="eastAsia" w:ascii="宋体" w:hAnsi="宋体" w:cs="宋体"/>
                <w:b/>
                <w:bCs/>
                <w:sz w:val="24"/>
                <w:szCs w:val="24"/>
                <w:highlight w:val="none"/>
              </w:rPr>
              <w:t xml:space="preserve">（投标文件中提供结构示意图，明确防护层材质、厚度及固定方式，防护层需不影响吸波性能）</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注：尖劈吸波材料若为进口产品，投标文件中提供报关单（含产品名称、数量、规格型号，报关日期距投标截止日≤2年）或者承诺函（承诺中标后所供产品均提供报关单）及原厂针对本项目的专项授权文件（明确授权期限、项目名称及产品型号）；同时提供材料材质检测报告、性能参数检测报告、防火检测报告等完整佐证资料；</w:t>
            </w:r>
            <w:r/>
          </w:p>
          <w:p>
            <w:pPr>
              <w:pStyle w:val="1066"/>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铁氧体吸波材料：厚度≥6.7mm，环保材质（提供RoHS或同等环保认证报告）；具备阻燃、不吸潮特性，能安全耐受200V/m的连续场强或600V/m的断续场强；防火标准同“尖劈吸波材料”防火标准要求（</w:t>
            </w:r>
            <w:r>
              <w:rPr>
                <w:rFonts w:hint="eastAsia" w:ascii="宋体" w:hAnsi="宋体" w:cs="宋体"/>
                <w:b/>
                <w:sz w:val="24"/>
                <w:szCs w:val="24"/>
                <w:highlight w:val="none"/>
              </w:rPr>
              <w:t xml:space="preserve">投标文件中提供对应的第三方检测报告，检测机构需具备相关标准检测资质</w:t>
            </w:r>
            <w:r>
              <w:rPr>
                <w:rFonts w:hint="eastAsia" w:ascii="宋体" w:hAnsi="宋体" w:cs="宋体"/>
                <w:sz w:val="24"/>
                <w:szCs w:val="24"/>
                <w:highlight w:val="none"/>
              </w:rPr>
              <w:t xml:space="preserve">）；五面（除地面外）等高满铺，与尖劈吸波材料衔接紧密，拼接缝隙≤1mm；技术指标应不低于TDK、韩国三瓦、日本理研、韩国梨树</w:t>
            </w:r>
            <w:r>
              <w:rPr>
                <w:rFonts w:hint="eastAsia" w:ascii="宋体" w:hAnsi="宋体" w:cs="宋体"/>
                <w:bCs/>
                <w:sz w:val="24"/>
                <w:highlight w:val="none"/>
              </w:rPr>
              <w:t xml:space="preserve">或相当于以上品牌技术水平的产品</w:t>
            </w:r>
            <w:r>
              <w:rPr>
                <w:rFonts w:hint="eastAsia" w:ascii="宋体" w:hAnsi="宋体" w:cs="宋体"/>
                <w:sz w:val="24"/>
                <w:szCs w:val="24"/>
                <w:highlight w:val="none"/>
              </w:rPr>
              <w:t xml:space="preserve">。</w:t>
            </w:r>
            <w:r/>
          </w:p>
          <w:p>
            <w:pPr>
              <w:rPr>
                <w:rFonts w:hint="eastAsia" w:ascii="宋体" w:hAnsi="宋体" w:cs="宋体"/>
                <w:b/>
                <w:sz w:val="24"/>
                <w:highlight w:val="none"/>
              </w:rPr>
            </w:pPr>
            <w:r>
              <w:rPr>
                <w:rFonts w:hint="eastAsia" w:ascii="宋体" w:hAnsi="宋体" w:cs="宋体"/>
                <w:b/>
                <w:bCs/>
                <w:sz w:val="24"/>
                <w:highlight w:val="none"/>
              </w:rPr>
              <w:t xml:space="preserve">注：</w:t>
            </w:r>
            <w:r>
              <w:rPr>
                <w:rFonts w:hint="eastAsia" w:ascii="宋体" w:hAnsi="宋体" w:cs="宋体"/>
                <w:b/>
                <w:sz w:val="24"/>
                <w:highlight w:val="none"/>
              </w:rPr>
              <w:t xml:space="preserve">铁氧体吸波材料若为进口产品，投标文件中提供报关单（含产品名称、数量、规格型号）或者承诺函（承诺中标后所供产品均提供报关单）及原厂针对本项目的专项授权文件（明确授权期限、项目名称及产品型号）；</w:t>
            </w:r>
            <w:r/>
          </w:p>
          <w:p>
            <w:pPr>
              <w:ind w:firstLine="480"/>
              <w:rPr>
                <w:rFonts w:hint="eastAsia" w:ascii="宋体" w:hAnsi="宋体" w:cs="宋体"/>
                <w:sz w:val="24"/>
                <w:highlight w:val="none"/>
              </w:rPr>
            </w:pPr>
            <w:r>
              <w:rPr>
                <w:rFonts w:hint="eastAsia" w:ascii="宋体" w:hAnsi="宋体" w:cs="宋体"/>
                <w:sz w:val="24"/>
                <w:highlight w:val="none"/>
              </w:rPr>
              <w:t xml:space="preserve">▲2.5转台、天线塔及控制器</w:t>
            </w:r>
            <w:r/>
          </w:p>
          <w:p>
            <w:pPr>
              <w:ind w:firstLine="480"/>
              <w:rPr>
                <w:rFonts w:hint="eastAsia" w:ascii="宋体" w:hAnsi="宋体" w:cs="宋体"/>
                <w:sz w:val="24"/>
                <w:highlight w:val="none"/>
              </w:rPr>
            </w:pPr>
            <w:r>
              <w:rPr>
                <w:rFonts w:hint="eastAsia" w:ascii="宋体" w:hAnsi="宋体" w:cs="宋体"/>
                <w:sz w:val="24"/>
                <w:highlight w:val="none"/>
              </w:rPr>
              <w:t xml:space="preserve">转台直径≥6m，承重能力≥5000kg</w:t>
            </w:r>
            <w:r>
              <w:rPr>
                <w:rFonts w:hint="eastAsia" w:ascii="宋体" w:hAnsi="宋体" w:cs="宋体"/>
                <w:sz w:val="24"/>
                <w:highlight w:val="none"/>
              </w:rPr>
              <w:t xml:space="preserve">，可-40°～400°旋转，转速可调，定位精度≤1°。转台需要预留安装机器人转接板的固定螺孔、承受机器人运动产生的惯量（转接板图纸在施工前细化）。转台应使用不锈钢钢板，与暗室反射面平齐。高架地板及反射地面必须保证平整，反射地面钢板间必须保证优异的电接触，并保证与屏蔽墙体及转台间的电接触。转台中间设置接口板，小功率被测设备供电线、校准用的射频线、测试用的信号线连接器安装在转台中心的接口板上，以减小测量误差，接头数量根据需求方要求进行定制。转台大功率电源线接头须采用履带式进出方式，含大电流电缆以及柔性电缆通道。</w:t>
            </w:r>
            <w:r/>
          </w:p>
          <w:p>
            <w:pPr>
              <w:ind w:firstLine="480"/>
              <w:rPr>
                <w:rFonts w:hint="eastAsia" w:ascii="宋体" w:hAnsi="宋体" w:cs="宋体"/>
                <w:sz w:val="24"/>
                <w:highlight w:val="none"/>
              </w:rPr>
            </w:pPr>
            <w:r>
              <w:rPr>
                <w:rFonts w:hint="eastAsia" w:ascii="宋体" w:hAnsi="宋体" w:cs="宋体"/>
                <w:sz w:val="24"/>
                <w:highlight w:val="none"/>
              </w:rPr>
              <w:t xml:space="preserve">天线塔承重能力＞10kg，天线塔的升降范围优于（1～4）m，可进行水平极化和垂直极化的自动切换，定位精度＜1cm，带俯仰功能天线塔并具有自动调节俯仰角功能，倾斜角度从0°到45°，俯仰精度±0.5°。在3m/10m测试距离时，天线在升降过程中始终指向EUT高度位置；满足ANSI C63.4标准，天线塔支持各种类型天线。高架地板内配压缩空气管道系统带阀门和管接头以提供天线塔气动极化的压缩空气源，配置高强度支架，便于线缆走线。</w:t>
            </w:r>
            <w:r/>
          </w:p>
          <w:p>
            <w:pPr>
              <w:ind w:firstLine="480"/>
              <w:rPr>
                <w:rFonts w:hint="eastAsia" w:ascii="宋体" w:hAnsi="宋体" w:cs="宋体"/>
                <w:sz w:val="24"/>
                <w:highlight w:val="none"/>
              </w:rPr>
            </w:pPr>
            <w:r>
              <w:rPr>
                <w:rFonts w:hint="eastAsia" w:ascii="宋体" w:hAnsi="宋体" w:cs="宋体"/>
                <w:sz w:val="24"/>
                <w:highlight w:val="none"/>
              </w:rPr>
              <w:t xml:space="preserve">在转台区域应设计针对被测物使用的水、气的处置措施。上下水、尾气通道设在转台外适当位置，能处置被测物的进出水以及产生的尾气。水和气的处理方式应在投标文件中给出具体方案。</w:t>
            </w:r>
            <w:r/>
          </w:p>
          <w:p>
            <w:pPr>
              <w:ind w:firstLine="480"/>
              <w:rPr>
                <w:rFonts w:hint="eastAsia" w:ascii="宋体" w:hAnsi="宋体" w:cs="宋体"/>
                <w:b/>
                <w:sz w:val="24"/>
                <w:highlight w:val="none"/>
              </w:rPr>
            </w:pPr>
            <w:r>
              <w:rPr>
                <w:rFonts w:hint="eastAsia" w:ascii="宋体" w:hAnsi="宋体" w:cs="宋体"/>
                <w:sz w:val="24"/>
                <w:highlight w:val="none"/>
              </w:rPr>
              <w:t xml:space="preserve">暗室内部的转台和天线塔控制器应放置在易于检修的位置，在设计图上标明。</w:t>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vMerge w:val="continue"/>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75" w:type="pct"/>
            <w:vAlign w:val="center"/>
            <w:vMerge w:val="continue"/>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970" w:type="pct"/>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3.控制室要求</w:t>
            </w:r>
            <w:r/>
          </w:p>
          <w:p>
            <w:pPr>
              <w:ind w:firstLine="480"/>
              <w:rPr>
                <w:rFonts w:hint="eastAsia" w:ascii="宋体" w:hAnsi="宋体" w:cs="宋体"/>
                <w:sz w:val="24"/>
                <w:highlight w:val="none"/>
              </w:rPr>
            </w:pPr>
            <w:r>
              <w:rPr>
                <w:rFonts w:hint="eastAsia" w:ascii="宋体" w:hAnsi="宋体" w:cs="宋体"/>
                <w:sz w:val="24"/>
                <w:highlight w:val="none"/>
              </w:rPr>
              <w:t xml:space="preserve">▲3.1控制室的结构尺寸：控制室的尺寸不小于7.5m*3m *3m，内部采用铝塑复合板装修，多孔铝板吊顶，地面完成面与室外高度差不大于10cm，如有高度差供应商应提供货物车辆临时进出时的缓坡部件。屏蔽门的门洞最小尺寸为1.2m*2.0m，屏蔽门应有良好的射频接触，采用2刀4簧的模式以保证屏蔽效能达到采购要求，屏蔽效能不低于电波暗室要求，控制室的门采用电动开合方式。</w:t>
            </w:r>
            <w:r/>
          </w:p>
          <w:p>
            <w:pPr>
              <w:ind w:firstLine="480"/>
              <w:rPr>
                <w:rFonts w:hint="eastAsia" w:ascii="宋体" w:hAnsi="宋体" w:cs="宋体"/>
                <w:sz w:val="24"/>
                <w:highlight w:val="none"/>
              </w:rPr>
            </w:pPr>
            <w:r>
              <w:rPr>
                <w:rFonts w:hint="eastAsia" w:ascii="宋体" w:hAnsi="宋体" w:cs="宋体"/>
                <w:sz w:val="24"/>
                <w:highlight w:val="none"/>
              </w:rPr>
              <w:t xml:space="preserve">▲3.2屏蔽壳体：屏蔽壳体应采用拼装结构的屏蔽壳体，镀锌钢板厚度不小于2mm，其镀锌层的厚度不小于20μm。任意相邻两块屏蔽模板间采用屏蔽衬垫，以保证优异的射频屏蔽和电接触。控制室地板为满铺不锈钢板，厚度不低于3mm，并提供相关的证明材料。屏蔽体在建造时应经过防水设计，抗震裂度8级；屏蔽体与地隔离，屏蔽体对地电阻应大于2MΩ（为保证屏蔽体与建筑地面绝缘性能，绝缘层应至少选用一层聚四氟乙烯薄膜材质）。屏蔽体外面层采用静电喷塑涂层，颜色由采购方确认。</w:t>
            </w:r>
            <w:r/>
          </w:p>
          <w:p>
            <w:pPr>
              <w:pStyle w:val="1024"/>
              <w:ind w:firstLine="480"/>
              <w:jc w:val="both"/>
              <w:rPr>
                <w:rFonts w:hint="eastAsia" w:ascii="宋体" w:hAnsi="宋体" w:cs="宋体"/>
                <w:color w:val="auto"/>
                <w:highlight w:val="none"/>
              </w:rPr>
            </w:pPr>
            <w:r>
              <w:rPr>
                <w:rFonts w:hint="eastAsia" w:ascii="宋体" w:hAnsi="宋体" w:cs="宋体"/>
                <w:color w:val="auto"/>
                <w:highlight w:val="none"/>
              </w:rPr>
              <w:t xml:space="preserve">电源进线对屏蔽室金属壁的绝缘电阻及导线与导线之间的绝缘电阻大于2MΩ。屏蔽壳体采用单独接地，接地电阻小于1Ω。</w:t>
            </w:r>
            <w:r/>
          </w:p>
          <w:p>
            <w:pPr>
              <w:pStyle w:val="1024"/>
              <w:ind w:firstLine="480"/>
              <w:jc w:val="both"/>
              <w:rPr>
                <w:rFonts w:hint="eastAsia" w:ascii="宋体" w:hAnsi="宋体" w:cs="宋体"/>
                <w:color w:val="auto"/>
                <w:highlight w:val="none"/>
              </w:rPr>
            </w:pPr>
            <w:r>
              <w:rPr>
                <w:rFonts w:hint="eastAsia" w:ascii="宋体" w:hAnsi="宋体" w:cs="宋体"/>
                <w:color w:val="auto"/>
                <w:highlight w:val="none"/>
              </w:rPr>
              <w:t xml:space="preserve">屏蔽室地板附近设置接地铜排作为测试接地使用，最终接地端子数量及位置在项目协调会确定。</w:t>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vMerge w:val="continue"/>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75" w:type="pct"/>
            <w:vAlign w:val="center"/>
            <w:vMerge w:val="continue"/>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970" w:type="pct"/>
            <w:vAlign w:val="center"/>
            <w:textDirection w:val="lrTb"/>
            <w:noWrap w:val="false"/>
          </w:tcPr>
          <w:p>
            <w:pPr>
              <w:pStyle w:val="1066"/>
              <w:ind w:firstLine="0"/>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4.功放室要求</w:t>
            </w:r>
            <w:r/>
          </w:p>
          <w:p>
            <w:pPr>
              <w:pStyle w:val="1066"/>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4.1功放室的结构尺寸：功放室的尺寸应不小于2m*3m*3m，内部采用铝塑复合板装修，多孔铝板吊顶，地面完成面与室外高度差不大于10cm，如有高度差供应商应提供货物车辆临时进出时的缓坡部件。门的最小尺寸为1.0m*2.0m，屏蔽门应有良好的射频接触，采用2刀4簧的模式以保证屏蔽效能达到采购要求，屏蔽效能不低于电波暗室要求，门采用手动开合方式。</w:t>
            </w:r>
            <w:r/>
          </w:p>
          <w:p>
            <w:pPr>
              <w:ind w:firstLine="480"/>
              <w:rPr>
                <w:rFonts w:hint="eastAsia" w:ascii="宋体" w:hAnsi="宋体" w:cs="宋体"/>
                <w:sz w:val="24"/>
                <w:highlight w:val="none"/>
              </w:rPr>
            </w:pPr>
            <w:r>
              <w:rPr>
                <w:rFonts w:hint="eastAsia" w:ascii="宋体" w:hAnsi="宋体" w:cs="宋体"/>
                <w:sz w:val="24"/>
                <w:highlight w:val="none"/>
              </w:rPr>
              <w:t xml:space="preserve">▲4.2屏蔽壳体：屏蔽壳体应采用拼装结构的屏蔽壳体，镀锌钢板厚度不小于2mm，其镀锌层的厚度不小于20μm。任意相邻两块屏蔽模板间采用屏蔽衬垫，以保证优异的射频屏蔽和电接触。功放室地板为满铺不锈钢板，厚度不低于3mm，并提供相关的证明材料。屏蔽体在建造时应经过防水设计，抗震裂度8级；屏蔽体与地隔离，屏蔽体对地电阻应大于2MΩ（为保证屏蔽体与建筑地面绝缘性能，绝缘层应至少选用一层聚四氟乙烯薄膜材质）。屏蔽体外面层采用静电喷塑涂层，颜色由采购方确认。</w:t>
            </w:r>
            <w:r/>
          </w:p>
          <w:p>
            <w:pPr>
              <w:pStyle w:val="1024"/>
              <w:ind w:firstLine="480"/>
              <w:rPr>
                <w:rFonts w:hint="eastAsia" w:ascii="宋体" w:hAnsi="宋体" w:cs="宋体"/>
                <w:color w:val="auto"/>
                <w:highlight w:val="none"/>
              </w:rPr>
            </w:pPr>
            <w:r>
              <w:rPr>
                <w:rFonts w:hint="eastAsia" w:ascii="宋体" w:hAnsi="宋体" w:cs="宋体"/>
                <w:color w:val="auto"/>
                <w:highlight w:val="none"/>
              </w:rPr>
              <w:t xml:space="preserve">电源进线对屏蔽室金属壁的绝缘电阻及导线与导线之间的绝缘电阻大于2MΩ。屏蔽壳体采用单独接地，接地电阻小于1Ω。</w:t>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vMerge w:val="continue"/>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75" w:type="pct"/>
            <w:vAlign w:val="center"/>
            <w:vMerge w:val="continue"/>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970" w:type="pct"/>
            <w:vAlign w:val="center"/>
            <w:textDirection w:val="lrTb"/>
            <w:noWrap w:val="false"/>
          </w:tcPr>
          <w:p>
            <w:pPr>
              <w:jc w:val="left"/>
              <w:rPr>
                <w:rFonts w:hint="eastAsia" w:ascii="宋体" w:hAnsi="宋体" w:cs="宋体"/>
                <w:b/>
                <w:bCs/>
                <w:sz w:val="24"/>
                <w:highlight w:val="none"/>
              </w:rPr>
            </w:pPr>
            <w:r>
              <w:rPr>
                <w:rFonts w:hint="eastAsia" w:ascii="宋体" w:hAnsi="宋体" w:cs="宋体"/>
                <w:b/>
                <w:bCs/>
                <w:sz w:val="24"/>
                <w:highlight w:val="none"/>
              </w:rPr>
              <w:t xml:space="preserve">5.传导骚扰测试房的要求</w:t>
            </w:r>
            <w:r/>
          </w:p>
          <w:p>
            <w:pPr>
              <w:ind w:firstLine="480"/>
              <w:rPr>
                <w:rFonts w:hint="eastAsia" w:ascii="宋体" w:hAnsi="宋体" w:cs="宋体"/>
                <w:sz w:val="24"/>
                <w:highlight w:val="none"/>
              </w:rPr>
            </w:pPr>
            <w:r>
              <w:rPr>
                <w:rFonts w:hint="eastAsia" w:ascii="宋体" w:hAnsi="宋体" w:cs="宋体"/>
                <w:sz w:val="24"/>
                <w:highlight w:val="none"/>
              </w:rPr>
              <w:t xml:space="preserve">▲5.1结构尺寸：尺寸不小于9m*5m*3.5m，内部采用铝塑复合板装修，多孔铝板吊顶，地面完成面与室外高度差不大于10cm，如有高度差供应商应提供货物车辆临时进出时的缓坡部件。屏蔽门最小尺寸为1.5m*2.0m，屏蔽门应有良好的射频接触，采用2刀4簧的模式保证屏蔽效能达到标书要求，控制室的门采用电动开合方式。</w:t>
            </w:r>
            <w:r/>
          </w:p>
          <w:p>
            <w:pPr>
              <w:ind w:firstLine="480"/>
              <w:rPr>
                <w:rFonts w:hint="eastAsia" w:ascii="宋体" w:hAnsi="宋体" w:cs="宋体"/>
                <w:sz w:val="24"/>
                <w:highlight w:val="none"/>
              </w:rPr>
            </w:pPr>
            <w:r>
              <w:rPr>
                <w:rFonts w:hint="eastAsia" w:ascii="宋体" w:hAnsi="宋体" w:cs="宋体"/>
                <w:sz w:val="24"/>
                <w:highlight w:val="none"/>
              </w:rPr>
              <w:t xml:space="preserve">▲5.2屏蔽壳体：采用拼装结构的屏蔽壳体，</w:t>
            </w:r>
            <w:r>
              <w:rPr>
                <w:rFonts w:hint="eastAsia" w:ascii="宋体" w:hAnsi="宋体" w:cs="宋体"/>
                <w:sz w:val="24"/>
                <w:highlight w:val="none"/>
              </w:rPr>
              <w:t xml:space="preserve">镀锌钢板厚度不小于2mm，其镀锌层的厚度不小于20μm。屏蔽室地板为满铺不锈钢板，厚度不低于3mm，并提供相关的证明材料，任意相邻两块屏蔽模板间采用屏蔽衬垫，以保证优异的射频屏蔽和电接触。屏蔽体在建造时应经过防水设计，抗震裂度8级；屏蔽体与地隔离，屏蔽体对地电阻应大于2MΩ（为保证屏蔽体与建筑地面绝缘性能，绝缘层应至少选用一层聚四氟乙烯薄膜材质）。安装后外表面采用静电喷涂方式处理，颜色由采购方拟定。电源进线对屏蔽室金属壁的绝缘电阻及导线与导线之间的绝缘电阻大于2MΩ。屏蔽壳体采用单独接地，接地电阻小于1Ω。</w:t>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vMerge w:val="continue"/>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75" w:type="pct"/>
            <w:vAlign w:val="center"/>
            <w:vMerge w:val="continue"/>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970" w:type="pct"/>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6.附件</w:t>
            </w:r>
            <w:r/>
          </w:p>
          <w:p>
            <w:pPr>
              <w:ind w:firstLine="482"/>
              <w:rPr>
                <w:rFonts w:hint="eastAsia" w:ascii="宋体" w:hAnsi="宋体" w:cs="宋体"/>
                <w:b/>
                <w:bCs/>
                <w:sz w:val="24"/>
                <w:highlight w:val="none"/>
              </w:rPr>
            </w:pPr>
            <w:r>
              <w:rPr>
                <w:rFonts w:hint="eastAsia" w:ascii="宋体" w:hAnsi="宋体" w:cs="宋体"/>
                <w:b/>
                <w:bCs/>
                <w:sz w:val="24"/>
                <w:highlight w:val="none"/>
              </w:rPr>
              <w:t xml:space="preserve">▲6.1视频监控系统：</w:t>
            </w:r>
            <w:r/>
          </w:p>
          <w:p>
            <w:pPr>
              <w:ind w:firstLine="480"/>
              <w:rPr>
                <w:rFonts w:hint="eastAsia" w:ascii="宋体" w:hAnsi="宋体" w:cs="宋体"/>
                <w:sz w:val="24"/>
                <w:highlight w:val="none"/>
              </w:rPr>
            </w:pPr>
            <w:r>
              <w:rPr>
                <w:rFonts w:hint="eastAsia" w:ascii="宋体" w:hAnsi="宋体" w:cs="宋体"/>
                <w:sz w:val="24"/>
                <w:highlight w:val="none"/>
              </w:rPr>
              <w:t xml:space="preserve">数字视频监控系统3套：2套采用顶部嵌入式（CCTV系统包括云台，电源，摄像头，光电转换器，数字图像处理器、高性能服</w:t>
            </w:r>
            <w:r>
              <w:rPr>
                <w:rFonts w:hint="eastAsia" w:ascii="宋体" w:hAnsi="宋体" w:cs="宋体"/>
                <w:sz w:val="24"/>
                <w:highlight w:val="none"/>
              </w:rPr>
              <w:t xml:space="preserve">务器和监视显示器，有图像记录功能，可以通过软件控制暗室内云台上下，左右移动，并可以控制摄像头调整摄像头变焦，广角,不低于30倍光学变焦的摄像系统）分别指向样品和天线；1套采用移动式，规定动态范围，附带三脚架。视频监控系统需要带辐射抗扰度提醒功能，带有辐射抗扰度EUT异常自动提醒报警功能，产品异常自动报警，方便客户及时进行整改，具备异常情况下记录异常状态视频功能，生成视频报告。彩色摄像机应能承受DC到18GHz频率范围内的200V/m辐射场强，干扰水平低于CISPR 32 Class B辐射干扰限值10dB。</w:t>
            </w:r>
            <w:r/>
          </w:p>
          <w:p>
            <w:pPr>
              <w:ind w:firstLine="482"/>
              <w:rPr>
                <w:rFonts w:hint="eastAsia" w:ascii="宋体" w:hAnsi="宋体" w:cs="宋体"/>
                <w:b/>
                <w:bCs/>
                <w:sz w:val="24"/>
                <w:highlight w:val="none"/>
              </w:rPr>
            </w:pPr>
            <w:r>
              <w:rPr>
                <w:rFonts w:hint="eastAsia" w:ascii="宋体" w:hAnsi="宋体" w:cs="宋体"/>
                <w:b/>
                <w:bCs/>
                <w:sz w:val="24"/>
                <w:highlight w:val="none"/>
              </w:rPr>
              <w:t xml:space="preserve">▲6.2消防系统：</w:t>
            </w:r>
            <w:r/>
          </w:p>
          <w:p>
            <w:pPr>
              <w:ind w:firstLine="480"/>
              <w:rPr>
                <w:rFonts w:hint="eastAsia" w:ascii="宋体" w:hAnsi="宋体" w:cs="宋体"/>
                <w:sz w:val="24"/>
                <w:highlight w:val="none"/>
              </w:rPr>
            </w:pPr>
            <w:r>
              <w:rPr>
                <w:rFonts w:hint="eastAsia" w:ascii="宋体" w:hAnsi="宋体" w:cs="宋体"/>
                <w:sz w:val="24"/>
                <w:highlight w:val="none"/>
              </w:rPr>
              <w:t xml:space="preserve">采用基于空气采样的消防报警系统，抗干扰性能超过200V/m以上，具备声光报警输出。</w:t>
            </w:r>
            <w:r/>
          </w:p>
          <w:p>
            <w:pPr>
              <w:ind w:firstLine="482"/>
              <w:rPr>
                <w:rFonts w:hint="eastAsia" w:ascii="宋体" w:hAnsi="宋体" w:cs="宋体"/>
                <w:sz w:val="24"/>
                <w:highlight w:val="none"/>
              </w:rPr>
            </w:pPr>
            <w:r>
              <w:rPr>
                <w:rFonts w:hint="eastAsia" w:ascii="宋体" w:hAnsi="宋体" w:cs="宋体"/>
                <w:b/>
                <w:bCs/>
                <w:sz w:val="24"/>
                <w:highlight w:val="none"/>
              </w:rPr>
              <w:t xml:space="preserve">▲6.4语音交互及整改系统：</w:t>
            </w:r>
            <w:r>
              <w:rPr>
                <w:rFonts w:hint="eastAsia" w:ascii="宋体" w:hAnsi="宋体" w:cs="宋体"/>
                <w:sz w:val="24"/>
                <w:highlight w:val="none"/>
              </w:rPr>
              <w:t xml:space="preserve">应配备半双工语音通讯系统。暗室用整改投影系统：配备地面无干扰投影系统，安装在高架地板下，投影板安装在白盖上，可以连接接收机以及外部电脑进行暗室内部整改以及展示实验室使用，具有声音播放功能，能承受DC到18GHz频率范围内的 200V/m辐射场强，干扰水平低于CISPR 32 Class B辐射干扰限值10dB。</w:t>
            </w:r>
            <w:r/>
          </w:p>
          <w:p>
            <w:pPr>
              <w:ind w:firstLine="482"/>
              <w:rPr>
                <w:rFonts w:hint="eastAsia" w:ascii="宋体" w:hAnsi="宋体" w:cs="宋体"/>
                <w:b/>
                <w:bCs/>
                <w:sz w:val="24"/>
                <w:highlight w:val="none"/>
              </w:rPr>
            </w:pPr>
            <w:r>
              <w:rPr>
                <w:rFonts w:hint="eastAsia" w:ascii="宋体" w:hAnsi="宋体" w:cs="宋体"/>
                <w:b/>
                <w:bCs/>
                <w:sz w:val="24"/>
                <w:highlight w:val="none"/>
              </w:rPr>
              <w:t xml:space="preserve">▲6.7暗室单相120VAC/50Hz供电电源1台</w:t>
            </w:r>
            <w:r/>
          </w:p>
          <w:p>
            <w:pPr>
              <w:ind w:firstLine="480"/>
              <w:rPr>
                <w:rFonts w:hint="eastAsia" w:ascii="宋体" w:hAnsi="宋体" w:cs="宋体"/>
                <w:sz w:val="24"/>
                <w:highlight w:val="none"/>
              </w:rPr>
            </w:pPr>
            <w:r>
              <w:rPr>
                <w:rFonts w:hint="eastAsia" w:ascii="宋体" w:hAnsi="宋体" w:cs="宋体"/>
                <w:sz w:val="24"/>
                <w:highlight w:val="none"/>
              </w:rPr>
              <w:t xml:space="preserve">容量：45KVA；输入电压：3Φ4W+G 380V/220V±10%；输入频率：50Hz±5%；</w:t>
            </w:r>
            <w:r/>
          </w:p>
          <w:p>
            <w:pPr>
              <w:ind w:firstLine="480"/>
              <w:rPr>
                <w:rFonts w:hint="eastAsia" w:ascii="宋体" w:hAnsi="宋体" w:cs="宋体"/>
                <w:sz w:val="24"/>
                <w:highlight w:val="none"/>
              </w:rPr>
            </w:pPr>
            <w:r>
              <w:rPr>
                <w:rFonts w:hint="eastAsia" w:ascii="宋体" w:hAnsi="宋体" w:cs="宋体"/>
                <w:sz w:val="24"/>
                <w:highlight w:val="none"/>
              </w:rPr>
              <w:t xml:space="preserve">输出交流电压范围及电流: (低压档)0-150V(L-N)/最大电流398A</w:t>
            </w:r>
            <w:r/>
          </w:p>
          <w:p>
            <w:pPr>
              <w:ind w:firstLine="3360"/>
              <w:rPr>
                <w:rFonts w:hint="eastAsia" w:ascii="宋体" w:hAnsi="宋体" w:cs="宋体"/>
                <w:sz w:val="24"/>
                <w:highlight w:val="none"/>
              </w:rPr>
            </w:pPr>
            <w:r>
              <w:rPr>
                <w:rFonts w:hint="eastAsia" w:ascii="宋体" w:hAnsi="宋体" w:cs="宋体"/>
                <w:sz w:val="24"/>
                <w:highlight w:val="none"/>
              </w:rPr>
              <w:t xml:space="preserve">(高压档)0-300V(L-N)/最大电流189A</w:t>
            </w:r>
            <w:r/>
          </w:p>
          <w:p>
            <w:pPr>
              <w:ind w:firstLine="480"/>
              <w:rPr>
                <w:rFonts w:hint="eastAsia" w:ascii="宋体" w:hAnsi="宋体" w:cs="宋体"/>
                <w:sz w:val="24"/>
                <w:highlight w:val="none"/>
              </w:rPr>
            </w:pPr>
            <w:r>
              <w:rPr>
                <w:rFonts w:hint="eastAsia" w:ascii="宋体" w:hAnsi="宋体" w:cs="宋体"/>
                <w:sz w:val="24"/>
                <w:highlight w:val="none"/>
              </w:rPr>
              <w:t xml:space="preserve">输出频率:47-63Hz 连续可调、50Hz、60Hz；</w:t>
            </w:r>
            <w:r/>
          </w:p>
          <w:p>
            <w:pPr>
              <w:ind w:firstLine="480"/>
              <w:rPr>
                <w:rFonts w:hint="eastAsia" w:ascii="宋体" w:hAnsi="宋体" w:cs="宋体"/>
                <w:sz w:val="24"/>
                <w:highlight w:val="none"/>
              </w:rPr>
            </w:pPr>
            <w:r>
              <w:rPr>
                <w:rFonts w:hint="eastAsia" w:ascii="宋体" w:hAnsi="宋体" w:cs="宋体"/>
                <w:sz w:val="24"/>
                <w:highlight w:val="none"/>
              </w:rPr>
              <w:t xml:space="preserve">固定档位带网线通讯，一组电分到10m法暗室，一组分配到CE屏蔽室SR-953，一组分配到EMS测试区。</w:t>
            </w:r>
            <w:r/>
          </w:p>
          <w:p>
            <w:pPr>
              <w:ind w:firstLine="482"/>
              <w:rPr>
                <w:rFonts w:hint="eastAsia" w:ascii="宋体" w:hAnsi="宋体" w:cs="宋体"/>
                <w:b/>
                <w:bCs/>
                <w:sz w:val="24"/>
                <w:highlight w:val="none"/>
              </w:rPr>
            </w:pPr>
            <w:r>
              <w:rPr>
                <w:rFonts w:hint="eastAsia" w:ascii="宋体" w:hAnsi="宋体" w:cs="宋体"/>
                <w:b/>
                <w:bCs/>
                <w:sz w:val="24"/>
                <w:highlight w:val="none"/>
              </w:rPr>
              <w:t xml:space="preserve">▲6.8暗室低压大电流供电电源1台</w:t>
            </w:r>
            <w:r/>
          </w:p>
          <w:p>
            <w:pPr>
              <w:ind w:firstLine="480"/>
              <w:rPr>
                <w:rFonts w:hint="eastAsia" w:ascii="宋体" w:hAnsi="宋体" w:cs="宋体"/>
                <w:sz w:val="24"/>
                <w:highlight w:val="none"/>
              </w:rPr>
            </w:pPr>
            <w:r>
              <w:rPr>
                <w:rFonts w:hint="eastAsia" w:ascii="宋体" w:hAnsi="宋体" w:cs="宋体"/>
                <w:sz w:val="24"/>
                <w:highlight w:val="none"/>
              </w:rPr>
              <w:t xml:space="preserve">输入端：额定输入功率：20KW；输入类型：三相五线制；额定电压：380Vac±15%；额定频率及范围：50/60Hz；</w:t>
            </w:r>
            <w:r/>
          </w:p>
          <w:p>
            <w:pPr>
              <w:ind w:firstLine="480"/>
              <w:rPr>
                <w:rFonts w:hint="eastAsia" w:ascii="宋体" w:hAnsi="宋体" w:cs="宋体"/>
                <w:sz w:val="24"/>
                <w:highlight w:val="none"/>
              </w:rPr>
            </w:pPr>
            <w:r>
              <w:rPr>
                <w:rFonts w:hint="eastAsia" w:ascii="宋体" w:hAnsi="宋体" w:cs="宋体"/>
                <w:sz w:val="24"/>
                <w:highlight w:val="none"/>
              </w:rPr>
              <w:t xml:space="preserve">输出端：电压范围：0-60Vdc；电流范围：0-400A；最大功率：20KW；</w:t>
            </w:r>
            <w:r/>
          </w:p>
          <w:p>
            <w:pPr>
              <w:ind w:firstLine="480"/>
              <w:rPr>
                <w:rFonts w:hint="eastAsia" w:ascii="宋体" w:hAnsi="宋体" w:cs="宋体"/>
                <w:sz w:val="24"/>
                <w:highlight w:val="none"/>
              </w:rPr>
            </w:pPr>
            <w:r>
              <w:rPr>
                <w:rFonts w:hint="eastAsia" w:ascii="宋体" w:hAnsi="宋体" w:cs="宋体"/>
                <w:sz w:val="24"/>
                <w:highlight w:val="none"/>
              </w:rPr>
              <w:t xml:space="preserve">一组电分到10m法暗室，一组分配到CE屏蔽室SR-953。</w:t>
            </w:r>
            <w:r/>
          </w:p>
          <w:p>
            <w:pPr>
              <w:ind w:firstLine="482"/>
              <w:rPr>
                <w:rFonts w:hint="eastAsia" w:ascii="宋体" w:hAnsi="宋体" w:cs="宋体"/>
                <w:b/>
                <w:bCs/>
                <w:sz w:val="24"/>
                <w:highlight w:val="none"/>
              </w:rPr>
            </w:pPr>
            <w:r>
              <w:rPr>
                <w:rFonts w:hint="eastAsia" w:ascii="宋体" w:hAnsi="宋体" w:cs="宋体"/>
                <w:b/>
                <w:bCs/>
                <w:sz w:val="24"/>
                <w:highlight w:val="none"/>
              </w:rPr>
              <w:t xml:space="preserve">▲6.9暗室高压直流回馈式供电电源2台</w:t>
            </w:r>
            <w:r/>
          </w:p>
          <w:p>
            <w:pPr>
              <w:ind w:firstLine="480"/>
              <w:rPr>
                <w:rFonts w:hint="eastAsia" w:ascii="宋体" w:hAnsi="宋体" w:cs="宋体"/>
                <w:sz w:val="24"/>
                <w:highlight w:val="none"/>
              </w:rPr>
            </w:pPr>
            <w:r>
              <w:rPr>
                <w:rFonts w:hint="eastAsia" w:ascii="宋体" w:hAnsi="宋体" w:cs="宋体"/>
                <w:sz w:val="24"/>
                <w:highlight w:val="none"/>
              </w:rPr>
              <w:t xml:space="preserve">两套并机最大可达60KW，电压1000Vdc/60A，电压300Vdc/200A。通过并联可以扩展到更大功率。EMI专用电源，电源EMI骚扰满足实验室需求。</w:t>
            </w:r>
            <w:r/>
          </w:p>
          <w:p>
            <w:pPr>
              <w:ind w:firstLine="480"/>
              <w:rPr>
                <w:rFonts w:hint="eastAsia" w:ascii="宋体" w:hAnsi="宋体" w:cs="宋体"/>
                <w:sz w:val="24"/>
                <w:highlight w:val="none"/>
              </w:rPr>
            </w:pPr>
            <w:r>
              <w:rPr>
                <w:rFonts w:hint="eastAsia" w:ascii="宋体" w:hAnsi="宋体" w:cs="宋体"/>
                <w:sz w:val="24"/>
                <w:highlight w:val="none"/>
              </w:rPr>
              <w:t xml:space="preserve">输入端：额定输入功率：30kW；输入类型：三相五线制；额定电压：380Vac±15%；额定电流：45A；额定频率及范围：50/60Hz；功率因数调节范围：±1；谐波含量THDi：≤3%；</w:t>
            </w:r>
            <w:r/>
          </w:p>
          <w:p>
            <w:pPr>
              <w:ind w:firstLine="480"/>
              <w:rPr>
                <w:rFonts w:hint="eastAsia" w:ascii="宋体" w:hAnsi="宋体" w:cs="宋体"/>
                <w:sz w:val="24"/>
                <w:highlight w:val="none"/>
              </w:rPr>
            </w:pPr>
            <w:r>
              <w:rPr>
                <w:rFonts w:hint="eastAsia" w:ascii="宋体" w:hAnsi="宋体" w:cs="宋体"/>
                <w:sz w:val="24"/>
                <w:highlight w:val="none"/>
              </w:rPr>
              <w:t xml:space="preserve">输出端：额定电压（BAT+/-）：300Vdc；电压范围（BAT+/-）：50Vdc-950Vdc；电压范围（DC+/-）：680Vdc-1000Vdc；额定电流（BAT+/-）：100A；电流范围：±100A电压误差±0.1%；</w:t>
            </w:r>
            <w:r/>
          </w:p>
          <w:p>
            <w:pPr>
              <w:ind w:firstLine="480"/>
              <w:rPr>
                <w:rFonts w:hint="eastAsia" w:ascii="宋体" w:hAnsi="宋体" w:cs="宋体"/>
                <w:sz w:val="24"/>
                <w:highlight w:val="none"/>
              </w:rPr>
            </w:pPr>
            <w:r>
              <w:rPr>
                <w:rFonts w:hint="eastAsia" w:ascii="宋体" w:hAnsi="宋体" w:cs="宋体"/>
                <w:sz w:val="24"/>
                <w:highlight w:val="none"/>
              </w:rPr>
              <w:t xml:space="preserve">一组电分到10m法暗室，一组分配到CE屏蔽室SR-953，一组分配到EMS测试区（可以用于-4-39的dip测试）。</w:t>
            </w:r>
            <w:r/>
          </w:p>
          <w:p>
            <w:pPr>
              <w:ind w:firstLine="482"/>
              <w:rPr>
                <w:rFonts w:hint="eastAsia" w:ascii="宋体" w:hAnsi="宋体" w:cs="宋体"/>
                <w:sz w:val="24"/>
                <w:highlight w:val="none"/>
              </w:rPr>
            </w:pPr>
            <w:r>
              <w:rPr>
                <w:rFonts w:hint="eastAsia" w:ascii="宋体" w:hAnsi="宋体" w:cs="宋体"/>
                <w:b/>
                <w:bCs/>
                <w:sz w:val="24"/>
                <w:highlight w:val="none"/>
              </w:rPr>
              <w:t xml:space="preserve">▲6.11电磁兼容抗扰度（EMS）测试区域高架地板铺设：</w:t>
            </w:r>
            <w:r>
              <w:rPr>
                <w:rFonts w:hint="eastAsia" w:ascii="宋体" w:hAnsi="宋体" w:cs="宋体"/>
                <w:sz w:val="24"/>
                <w:highlight w:val="none"/>
              </w:rPr>
              <w:t xml:space="preserve">在L*W≥6m*10m的EMS测试区，搭建35cm高的高架地板，并铺设3mm厚不锈钢板，保证承重≥3t，同时与现有地板持平。</w:t>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2</w:t>
            </w:r>
            <w:r/>
          </w:p>
        </w:tc>
        <w:tc>
          <w:tcPr>
            <w:tcW w:w="575" w:type="pct"/>
            <w:vAlign w:val="center"/>
            <w:textDirection w:val="lrTb"/>
            <w:noWrap w:val="false"/>
          </w:tcPr>
          <w:p>
            <w:pPr>
              <w:jc w:val="center"/>
              <w:rPr>
                <w:rFonts w:hint="eastAsia" w:ascii="宋体" w:hAnsi="宋体" w:cs="宋体"/>
                <w:sz w:val="24"/>
                <w:highlight w:val="none"/>
              </w:rPr>
            </w:pPr>
            <w:r>
              <w:rPr>
                <w:rFonts w:hint="eastAsia" w:ascii="宋体" w:hAnsi="宋体" w:cs="宋体"/>
                <w:b/>
                <w:bCs/>
                <w:sz w:val="24"/>
                <w:highlight w:val="none"/>
              </w:rPr>
              <w:t xml:space="preserve">辐射骚扰测试系统</w:t>
            </w:r>
            <w:r/>
          </w:p>
        </w:tc>
        <w:tc>
          <w:tcPr>
            <w:tcW w:w="1970" w:type="pct"/>
            <w:vAlign w:val="center"/>
            <w:textDirection w:val="lrTb"/>
            <w:noWrap w:val="false"/>
          </w:tcPr>
          <w:p>
            <w:pPr>
              <w:rPr>
                <w:rFonts w:hint="eastAsia" w:ascii="宋体" w:hAnsi="宋体" w:cs="宋体"/>
                <w:sz w:val="24"/>
                <w:highlight w:val="none"/>
              </w:rPr>
            </w:pPr>
            <w:r>
              <w:rPr>
                <w:rFonts w:hint="eastAsia" w:ascii="宋体" w:hAnsi="宋体" w:cs="宋体"/>
                <w:b/>
                <w:bCs/>
                <w:sz w:val="24"/>
                <w:highlight w:val="none"/>
              </w:rPr>
              <w:t xml:space="preserve">▲5</w:t>
            </w:r>
            <w:r>
              <w:rPr>
                <w:rFonts w:hint="eastAsia" w:ascii="宋体" w:hAnsi="宋体" w:cs="宋体"/>
                <w:b/>
                <w:bCs/>
                <w:sz w:val="24"/>
                <w:highlight w:val="none"/>
              </w:rPr>
              <w:tab/>
            </w:r>
            <w:r>
              <w:rPr>
                <w:rFonts w:hint="eastAsia" w:ascii="宋体" w:hAnsi="宋体" w:cs="宋体"/>
                <w:b/>
                <w:bCs/>
                <w:sz w:val="24"/>
                <w:highlight w:val="none"/>
              </w:rPr>
              <w:t xml:space="preserve">软件</w:t>
            </w:r>
            <w:r>
              <w:rPr>
                <w:rFonts w:hint="eastAsia" w:ascii="宋体" w:hAnsi="宋体" w:cs="宋体"/>
                <w:sz w:val="24"/>
                <w:highlight w:val="none"/>
              </w:rPr>
              <w:tab/>
            </w:r>
            <w:r/>
          </w:p>
          <w:p>
            <w:pPr>
              <w:rPr>
                <w:rFonts w:hint="eastAsia" w:ascii="宋体" w:hAnsi="宋体" w:cs="宋体"/>
                <w:sz w:val="24"/>
                <w:highlight w:val="none"/>
              </w:rPr>
            </w:pPr>
            <w:r>
              <w:rPr>
                <w:rFonts w:hint="eastAsia" w:ascii="宋体" w:hAnsi="宋体" w:cs="宋体"/>
                <w:sz w:val="24"/>
                <w:highlight w:val="none"/>
              </w:rPr>
              <w:t xml:space="preserve">测试软件包含CE,RE,CNDE,CLAMP,LOOP,ISN等功能</w:t>
            </w:r>
            <w:r/>
          </w:p>
          <w:p>
            <w:pPr>
              <w:rPr>
                <w:rFonts w:hint="eastAsia" w:ascii="宋体" w:hAnsi="宋体" w:cs="宋体"/>
                <w:sz w:val="24"/>
                <w:highlight w:val="none"/>
              </w:rPr>
            </w:pPr>
            <w:r>
              <w:rPr>
                <w:rFonts w:hint="eastAsia" w:ascii="宋体" w:hAnsi="宋体" w:cs="宋体"/>
                <w:sz w:val="24"/>
                <w:highlight w:val="none"/>
              </w:rPr>
              <w:t xml:space="preserve">软件须具备RF信号通道、预放、衰减器、滤波器等以及系统信号路径的校准功能；可支持目前市场上主流接收机和频谱仪 (R&amp;S、Keysight等)</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可用于传导骚扰测试、功率辐射骚扰测试、磁场辐射骚扰测试和辐射骚扰测试；</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支持多厂家的设备，可以根据设备型号升级驱动；</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测试资料为资料库型态数据，可供其他软件共享； </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除一般列印外可转成WMF档，测试资料点数据可转成Excel档，扫图可转成BMP档，方便报告制作；</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可在软件任意添加或者删除标准限值和测试参数，可读入符合格式之Excel Factor档；</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可对两条轨迹资料做加或减运算(处理Cable loss)，转换成Factor；</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可对每一点单一点选频率标注记(20字)；</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可执行多种设定Auto Test 功能\手动测试功能；</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实时输出频谱之轨迹资料，达到在PC屏幕上动态显示资料功能；</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具有良好的用户操作界面，操作方便，各功能方块能在移动滑鼠最短距离内完成设定；</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执行zero span 下读spectrum analyzer轨迹资料；</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提供宏指令，可依需求改变测试参数并自动测试；</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单点资料可记录至少300点。</w:t>
            </w:r>
            <w:r/>
          </w:p>
          <w:p>
            <w:pPr>
              <w:rPr>
                <w:rFonts w:hint="eastAsia" w:ascii="宋体" w:hAnsi="宋体" w:cs="宋体"/>
                <w:b/>
                <w:bCs/>
                <w:sz w:val="24"/>
                <w:highlight w:val="none"/>
              </w:rPr>
            </w:pPr>
            <w:r>
              <w:rPr>
                <w:rFonts w:hint="eastAsia" w:ascii="宋体" w:hAnsi="宋体" w:cs="宋体"/>
                <w:b/>
                <w:bCs/>
                <w:sz w:val="24"/>
                <w:highlight w:val="none"/>
              </w:rPr>
              <w:t xml:space="preserve">▲7</w:t>
            </w:r>
            <w:r>
              <w:rPr>
                <w:rFonts w:hint="eastAsia" w:ascii="宋体" w:hAnsi="宋体" w:cs="宋体"/>
                <w:b/>
                <w:bCs/>
                <w:sz w:val="24"/>
                <w:highlight w:val="none"/>
              </w:rPr>
              <w:tab/>
            </w:r>
            <w:r>
              <w:rPr>
                <w:rFonts w:hint="eastAsia" w:ascii="宋体" w:hAnsi="宋体" w:cs="宋体"/>
                <w:b/>
                <w:bCs/>
                <w:sz w:val="24"/>
                <w:highlight w:val="none"/>
              </w:rPr>
              <w:t xml:space="preserve">梳状信号源</w:t>
            </w:r>
            <w:r/>
          </w:p>
          <w:p>
            <w:pPr>
              <w:rPr>
                <w:rFonts w:hint="eastAsia" w:ascii="宋体" w:hAnsi="宋体" w:cs="宋体"/>
                <w:sz w:val="24"/>
                <w:highlight w:val="none"/>
              </w:rPr>
            </w:pPr>
            <w:r>
              <w:rPr>
                <w:rFonts w:hint="eastAsia" w:ascii="宋体" w:hAnsi="宋体" w:cs="宋体"/>
                <w:sz w:val="24"/>
                <w:highlight w:val="none"/>
              </w:rPr>
              <w:t xml:space="preserve">Comb Generator（5MHz-6GHz）梳状信号发生器，5MHz/100MHz/step</w:t>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3</w:t>
            </w:r>
            <w:r/>
          </w:p>
        </w:tc>
        <w:tc>
          <w:tcPr>
            <w:tcW w:w="57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辐射抗扰度测试系统</w:t>
            </w:r>
            <w:r/>
          </w:p>
        </w:tc>
        <w:tc>
          <w:tcPr>
            <w:tcW w:w="1970" w:type="pct"/>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▲3</w:t>
            </w:r>
            <w:r>
              <w:rPr>
                <w:rFonts w:hint="eastAsia" w:ascii="宋体" w:hAnsi="宋体" w:cs="宋体"/>
                <w:b/>
                <w:bCs/>
                <w:sz w:val="24"/>
                <w:highlight w:val="none"/>
              </w:rPr>
              <w:tab/>
            </w:r>
            <w:r>
              <w:rPr>
                <w:rFonts w:hint="eastAsia" w:ascii="宋体" w:hAnsi="宋体" w:cs="宋体"/>
                <w:b/>
                <w:bCs/>
                <w:sz w:val="24"/>
                <w:highlight w:val="none"/>
              </w:rPr>
              <w:t xml:space="preserve">功率放大器</w:t>
            </w:r>
            <w:r>
              <w:rPr>
                <w:rFonts w:hint="eastAsia" w:ascii="宋体" w:hAnsi="宋体" w:cs="宋体"/>
                <w:b/>
                <w:bCs/>
                <w:sz w:val="24"/>
                <w:highlight w:val="none"/>
              </w:rPr>
              <w:tab/>
            </w:r>
            <w:r/>
          </w:p>
          <w:p>
            <w:pPr>
              <w:rPr>
                <w:rFonts w:hint="eastAsia" w:ascii="宋体" w:hAnsi="宋体" w:cs="宋体"/>
                <w:sz w:val="24"/>
                <w:highlight w:val="none"/>
              </w:rPr>
            </w:pPr>
            <w:r>
              <w:rPr>
                <w:rFonts w:hint="eastAsia" w:ascii="宋体" w:hAnsi="宋体" w:cs="宋体"/>
                <w:sz w:val="24"/>
                <w:highlight w:val="none"/>
              </w:rPr>
              <w:t xml:space="preserve">工作频率范围：1GHz～6GHz（放大器放功放室满足30V/m@3m要求）；</w:t>
            </w:r>
            <w:r/>
          </w:p>
          <w:p>
            <w:pPr>
              <w:rPr>
                <w:rFonts w:hint="eastAsia" w:ascii="宋体" w:hAnsi="宋体" w:cs="宋体"/>
                <w:sz w:val="24"/>
                <w:highlight w:val="none"/>
              </w:rPr>
            </w:pPr>
            <w:r>
              <w:rPr>
                <w:rFonts w:hint="eastAsia" w:ascii="宋体" w:hAnsi="宋体" w:cs="宋体"/>
                <w:sz w:val="24"/>
                <w:highlight w:val="none"/>
              </w:rPr>
              <w:t xml:space="preserve">线性输出功率：</w:t>
            </w:r>
            <w:r/>
          </w:p>
          <w:p>
            <w:pPr>
              <w:rPr>
                <w:rFonts w:hint="eastAsia" w:ascii="宋体" w:hAnsi="宋体" w:cs="宋体"/>
                <w:sz w:val="24"/>
                <w:highlight w:val="none"/>
              </w:rPr>
            </w:pPr>
            <w:r>
              <w:rPr>
                <w:rFonts w:hint="eastAsia" w:ascii="宋体" w:hAnsi="宋体" w:cs="宋体"/>
                <w:sz w:val="24"/>
                <w:highlight w:val="none"/>
              </w:rPr>
              <w:t xml:space="preserve">1000M～6000MHz：≥200W　1dB压缩点。</w:t>
            </w:r>
            <w:r/>
          </w:p>
          <w:p>
            <w:pPr>
              <w:rPr>
                <w:rFonts w:hint="eastAsia" w:ascii="宋体" w:hAnsi="宋体" w:cs="宋体"/>
                <w:sz w:val="24"/>
                <w:highlight w:val="none"/>
              </w:rPr>
            </w:pPr>
            <w:r>
              <w:rPr>
                <w:rFonts w:hint="eastAsia" w:ascii="宋体" w:hAnsi="宋体" w:cs="宋体"/>
                <w:sz w:val="24"/>
                <w:highlight w:val="none"/>
              </w:rPr>
              <w:t xml:space="preserve">输入/输出阻抗：50欧姆；输入VSWR :＜ 2: 1；</w:t>
            </w:r>
            <w:r/>
          </w:p>
          <w:p>
            <w:pPr>
              <w:rPr>
                <w:rFonts w:hint="eastAsia" w:ascii="宋体" w:hAnsi="宋体" w:cs="宋体"/>
                <w:sz w:val="24"/>
                <w:highlight w:val="none"/>
              </w:rPr>
            </w:pPr>
            <w:r>
              <w:rPr>
                <w:rFonts w:hint="eastAsia" w:ascii="宋体" w:hAnsi="宋体" w:cs="宋体"/>
                <w:sz w:val="24"/>
                <w:highlight w:val="none"/>
              </w:rPr>
              <w:t xml:space="preserve">杂散： -50 dBc 典型值,(不包括谐波)，含定向耦合器、校准负载；</w:t>
            </w:r>
            <w:r/>
          </w:p>
          <w:p>
            <w:pPr>
              <w:rPr>
                <w:rFonts w:hint="eastAsia" w:ascii="宋体" w:hAnsi="宋体" w:cs="宋体"/>
                <w:sz w:val="24"/>
                <w:highlight w:val="none"/>
              </w:rPr>
            </w:pPr>
            <w:r>
              <w:rPr>
                <w:rFonts w:hint="eastAsia" w:ascii="宋体" w:hAnsi="宋体" w:cs="宋体"/>
                <w:sz w:val="24"/>
                <w:highlight w:val="none"/>
              </w:rPr>
              <w:t xml:space="preserve">控制方式及接口：提供通信协议，带LAN、GPIB接口； </w:t>
            </w:r>
            <w:r/>
          </w:p>
          <w:p>
            <w:pPr>
              <w:rPr>
                <w:rFonts w:hint="eastAsia" w:ascii="宋体" w:hAnsi="宋体" w:cs="宋体"/>
                <w:b/>
                <w:bCs/>
                <w:sz w:val="24"/>
                <w:highlight w:val="none"/>
              </w:rPr>
            </w:pPr>
            <w:r>
              <w:rPr>
                <w:rFonts w:hint="eastAsia" w:ascii="宋体" w:hAnsi="宋体" w:cs="宋体"/>
                <w:b/>
                <w:bCs/>
                <w:sz w:val="24"/>
                <w:highlight w:val="none"/>
              </w:rPr>
              <w:t xml:space="preserve">▲4</w:t>
            </w:r>
            <w:r>
              <w:rPr>
                <w:rFonts w:hint="eastAsia" w:ascii="宋体" w:hAnsi="宋体" w:cs="宋体"/>
                <w:b/>
                <w:bCs/>
                <w:sz w:val="24"/>
                <w:highlight w:val="none"/>
              </w:rPr>
              <w:tab/>
            </w:r>
            <w:r>
              <w:rPr>
                <w:rFonts w:hint="eastAsia" w:ascii="宋体" w:hAnsi="宋体" w:cs="宋体"/>
                <w:b/>
                <w:bCs/>
                <w:sz w:val="24"/>
                <w:highlight w:val="none"/>
              </w:rPr>
              <w:t xml:space="preserve">功率放大器</w:t>
            </w:r>
            <w:r>
              <w:rPr>
                <w:rFonts w:hint="eastAsia" w:ascii="宋体" w:hAnsi="宋体" w:cs="宋体"/>
                <w:b/>
                <w:bCs/>
                <w:sz w:val="24"/>
                <w:highlight w:val="none"/>
              </w:rPr>
              <w:tab/>
            </w:r>
            <w:r/>
          </w:p>
          <w:p>
            <w:pPr>
              <w:rPr>
                <w:rFonts w:hint="eastAsia" w:ascii="宋体" w:hAnsi="宋体" w:cs="宋体"/>
                <w:sz w:val="24"/>
                <w:highlight w:val="none"/>
              </w:rPr>
            </w:pPr>
            <w:r>
              <w:rPr>
                <w:rFonts w:hint="eastAsia" w:ascii="宋体" w:hAnsi="宋体" w:cs="宋体"/>
                <w:sz w:val="24"/>
                <w:highlight w:val="none"/>
              </w:rPr>
              <w:t xml:space="preserve">工作频率范围：80M～1GHz（满足30V/m@3m要求）；</w:t>
            </w:r>
            <w:r/>
          </w:p>
          <w:p>
            <w:pPr>
              <w:rPr>
                <w:rFonts w:hint="eastAsia" w:ascii="宋体" w:hAnsi="宋体" w:cs="宋体"/>
                <w:sz w:val="24"/>
                <w:highlight w:val="none"/>
              </w:rPr>
            </w:pPr>
            <w:r>
              <w:rPr>
                <w:rFonts w:hint="eastAsia" w:ascii="宋体" w:hAnsi="宋体" w:cs="宋体"/>
                <w:sz w:val="24"/>
                <w:highlight w:val="none"/>
              </w:rPr>
              <w:t xml:space="preserve">线性输出功率：</w:t>
            </w:r>
            <w:r/>
          </w:p>
          <w:p>
            <w:pPr>
              <w:rPr>
                <w:rFonts w:hint="eastAsia" w:ascii="宋体" w:hAnsi="宋体" w:cs="宋体"/>
                <w:sz w:val="24"/>
                <w:highlight w:val="none"/>
              </w:rPr>
            </w:pPr>
            <w:r>
              <w:rPr>
                <w:rFonts w:hint="eastAsia" w:ascii="宋体" w:hAnsi="宋体" w:cs="宋体"/>
                <w:sz w:val="24"/>
                <w:highlight w:val="none"/>
              </w:rPr>
              <w:t xml:space="preserve">80M～400MHz:  ≥1000W　1dB压缩点；</w:t>
            </w:r>
            <w:r/>
          </w:p>
          <w:p>
            <w:pPr>
              <w:rPr>
                <w:rFonts w:hint="eastAsia" w:ascii="宋体" w:hAnsi="宋体" w:cs="宋体"/>
                <w:sz w:val="24"/>
                <w:highlight w:val="none"/>
              </w:rPr>
            </w:pPr>
            <w:r>
              <w:rPr>
                <w:rFonts w:hint="eastAsia" w:ascii="宋体" w:hAnsi="宋体" w:cs="宋体"/>
                <w:sz w:val="24"/>
                <w:highlight w:val="none"/>
              </w:rPr>
              <w:t xml:space="preserve">400M～1000MHz:≥500W　1dB压缩点；</w:t>
            </w:r>
            <w:r/>
          </w:p>
          <w:p>
            <w:pPr>
              <w:rPr>
                <w:rFonts w:hint="eastAsia" w:ascii="宋体" w:hAnsi="宋体" w:cs="宋体"/>
                <w:sz w:val="24"/>
                <w:highlight w:val="none"/>
              </w:rPr>
            </w:pPr>
            <w:r>
              <w:rPr>
                <w:rFonts w:hint="eastAsia" w:ascii="宋体" w:hAnsi="宋体" w:cs="宋体"/>
                <w:sz w:val="24"/>
                <w:highlight w:val="none"/>
              </w:rPr>
              <w:t xml:space="preserve">输入/输出阻抗：50欧姆；输入VSWR:&lt;2:1；</w:t>
            </w:r>
            <w:r/>
          </w:p>
          <w:p>
            <w:pPr>
              <w:rPr>
                <w:rFonts w:hint="eastAsia" w:ascii="宋体" w:hAnsi="宋体" w:cs="宋体"/>
                <w:sz w:val="24"/>
                <w:highlight w:val="none"/>
              </w:rPr>
            </w:pPr>
            <w:r>
              <w:rPr>
                <w:rFonts w:hint="eastAsia" w:ascii="宋体" w:hAnsi="宋体" w:cs="宋体"/>
                <w:sz w:val="24"/>
                <w:highlight w:val="none"/>
              </w:rPr>
              <w:t xml:space="preserve">杂散: -50 dBc 典型值,(不包括谐波)；</w:t>
            </w:r>
            <w:r/>
          </w:p>
          <w:p>
            <w:pPr>
              <w:rPr>
                <w:rFonts w:hint="eastAsia" w:ascii="宋体" w:hAnsi="宋体" w:cs="宋体"/>
                <w:sz w:val="24"/>
                <w:highlight w:val="none"/>
              </w:rPr>
            </w:pPr>
            <w:r>
              <w:rPr>
                <w:rFonts w:hint="eastAsia" w:ascii="宋体" w:hAnsi="宋体" w:cs="宋体"/>
                <w:sz w:val="24"/>
                <w:highlight w:val="none"/>
              </w:rPr>
              <w:t xml:space="preserve">含定向耦合器、校准负载。</w:t>
            </w:r>
            <w:r/>
          </w:p>
          <w:p>
            <w:pPr>
              <w:rPr>
                <w:rFonts w:hint="eastAsia" w:ascii="宋体" w:hAnsi="宋体" w:cs="宋体"/>
                <w:sz w:val="24"/>
                <w:highlight w:val="none"/>
              </w:rPr>
            </w:pPr>
            <w:r>
              <w:rPr>
                <w:rFonts w:hint="eastAsia" w:ascii="宋体" w:hAnsi="宋体" w:cs="宋体"/>
                <w:b/>
                <w:bCs/>
                <w:sz w:val="24"/>
                <w:highlight w:val="none"/>
              </w:rPr>
              <w:t xml:space="preserve">▲8</w:t>
            </w:r>
            <w:r>
              <w:rPr>
                <w:rFonts w:hint="eastAsia" w:ascii="宋体" w:hAnsi="宋体" w:cs="宋体"/>
                <w:b/>
                <w:bCs/>
                <w:sz w:val="24"/>
                <w:highlight w:val="none"/>
              </w:rPr>
              <w:tab/>
            </w:r>
            <w:r>
              <w:rPr>
                <w:rFonts w:hint="eastAsia" w:ascii="宋体" w:hAnsi="宋体" w:cs="宋体"/>
                <w:b/>
                <w:bCs/>
                <w:sz w:val="24"/>
                <w:highlight w:val="none"/>
              </w:rPr>
              <w:t xml:space="preserve">软件</w:t>
            </w:r>
            <w:r>
              <w:rPr>
                <w:rFonts w:hint="eastAsia" w:ascii="宋体" w:hAnsi="宋体" w:cs="宋体"/>
                <w:sz w:val="24"/>
                <w:highlight w:val="none"/>
              </w:rPr>
              <w:tab/>
            </w:r>
            <w:r/>
          </w:p>
          <w:p>
            <w:pPr>
              <w:rPr>
                <w:rFonts w:hint="eastAsia" w:ascii="宋体" w:hAnsi="宋体" w:cs="宋体"/>
                <w:sz w:val="24"/>
                <w:highlight w:val="none"/>
              </w:rPr>
            </w:pPr>
            <w:r>
              <w:rPr>
                <w:rFonts w:hint="eastAsia" w:ascii="宋体" w:hAnsi="宋体" w:cs="宋体"/>
                <w:sz w:val="24"/>
                <w:highlight w:val="none"/>
              </w:rPr>
              <w:t xml:space="preserve">可实施9KHz~18GHz 军规/IT类产品测试；</w:t>
            </w:r>
            <w:r/>
          </w:p>
          <w:p>
            <w:pPr>
              <w:rPr>
                <w:rFonts w:hint="eastAsia" w:ascii="宋体" w:hAnsi="宋体" w:cs="宋体"/>
                <w:sz w:val="24"/>
                <w:highlight w:val="none"/>
              </w:rPr>
            </w:pPr>
            <w:r>
              <w:rPr>
                <w:rFonts w:hint="eastAsia" w:ascii="宋体" w:hAnsi="宋体" w:cs="宋体"/>
                <w:sz w:val="24"/>
                <w:highlight w:val="none"/>
              </w:rPr>
              <w:t xml:space="preserve">分段单独设置设备参数,可分段或全段测试；</w:t>
            </w:r>
            <w:r/>
          </w:p>
          <w:p>
            <w:pPr>
              <w:rPr>
                <w:rFonts w:hint="eastAsia" w:ascii="宋体" w:hAnsi="宋体" w:cs="宋体"/>
                <w:sz w:val="24"/>
                <w:highlight w:val="none"/>
              </w:rPr>
            </w:pPr>
            <w:r>
              <w:rPr>
                <w:rFonts w:hint="eastAsia" w:ascii="宋体" w:hAnsi="宋体" w:cs="宋体"/>
                <w:sz w:val="24"/>
                <w:highlight w:val="none"/>
              </w:rPr>
              <w:t xml:space="preserve">用户可依法规创建新测试规格及参数；</w:t>
            </w:r>
            <w:r/>
          </w:p>
          <w:p>
            <w:pPr>
              <w:rPr>
                <w:rFonts w:hint="eastAsia" w:ascii="宋体" w:hAnsi="宋体" w:cs="宋体"/>
                <w:sz w:val="24"/>
                <w:highlight w:val="none"/>
              </w:rPr>
            </w:pPr>
            <w:r>
              <w:rPr>
                <w:rFonts w:hint="eastAsia" w:ascii="宋体" w:hAnsi="宋体" w:cs="宋体"/>
                <w:sz w:val="24"/>
                <w:highlight w:val="none"/>
              </w:rPr>
              <w:t xml:space="preserve">测试频率可以用步进(Step)或百分比(%)方式进行测试；测试及校验场强弹性设置,定值或斜率；</w:t>
            </w:r>
            <w:r/>
          </w:p>
          <w:p>
            <w:pPr>
              <w:rPr>
                <w:rFonts w:hint="eastAsia" w:ascii="宋体" w:hAnsi="宋体" w:cs="宋体"/>
                <w:sz w:val="24"/>
                <w:highlight w:val="none"/>
              </w:rPr>
            </w:pPr>
            <w:r>
              <w:rPr>
                <w:rFonts w:hint="eastAsia" w:ascii="宋体" w:hAnsi="宋体" w:cs="宋体"/>
                <w:sz w:val="24"/>
                <w:highlight w:val="none"/>
              </w:rPr>
              <w:t xml:space="preserve">频率表可插入特殊单点数据测试；</w:t>
            </w:r>
            <w:r/>
          </w:p>
          <w:p>
            <w:pPr>
              <w:rPr>
                <w:rFonts w:hint="eastAsia" w:ascii="宋体" w:hAnsi="宋体" w:cs="宋体"/>
                <w:sz w:val="24"/>
                <w:highlight w:val="none"/>
              </w:rPr>
            </w:pPr>
            <w:r>
              <w:rPr>
                <w:rFonts w:hint="eastAsia" w:ascii="宋体" w:hAnsi="宋体" w:cs="宋体"/>
                <w:sz w:val="24"/>
                <w:highlight w:val="none"/>
              </w:rPr>
              <w:t xml:space="preserve">测试数据可打印输出或存成pdf文档格式；</w:t>
            </w:r>
            <w:r/>
          </w:p>
          <w:p>
            <w:pPr>
              <w:rPr>
                <w:rFonts w:hint="eastAsia" w:ascii="宋体" w:hAnsi="宋体" w:cs="宋体"/>
                <w:sz w:val="24"/>
                <w:highlight w:val="none"/>
              </w:rPr>
            </w:pPr>
            <w:r>
              <w:rPr>
                <w:rFonts w:hint="eastAsia" w:ascii="宋体" w:hAnsi="宋体" w:cs="宋体"/>
                <w:sz w:val="24"/>
                <w:highlight w:val="none"/>
              </w:rPr>
              <w:t xml:space="preserve">支持测试暂停或某点频率开始重测；</w:t>
            </w:r>
            <w:r/>
          </w:p>
          <w:p>
            <w:pPr>
              <w:rPr>
                <w:rFonts w:hint="eastAsia" w:ascii="宋体" w:hAnsi="宋体" w:cs="宋体"/>
                <w:sz w:val="24"/>
                <w:highlight w:val="none"/>
              </w:rPr>
            </w:pPr>
            <w:r>
              <w:rPr>
                <w:rFonts w:hint="eastAsia" w:ascii="宋体" w:hAnsi="宋体" w:cs="宋体"/>
                <w:sz w:val="24"/>
                <w:highlight w:val="none"/>
              </w:rPr>
              <w:t xml:space="preserve">支持固定单点频率测试；</w:t>
            </w:r>
            <w:r/>
          </w:p>
          <w:p>
            <w:pPr>
              <w:rPr>
                <w:rFonts w:hint="eastAsia" w:ascii="宋体" w:hAnsi="宋体" w:cs="宋体"/>
                <w:sz w:val="24"/>
                <w:highlight w:val="none"/>
              </w:rPr>
            </w:pPr>
            <w:r>
              <w:rPr>
                <w:rFonts w:hint="eastAsia" w:ascii="宋体" w:hAnsi="宋体" w:cs="宋体"/>
                <w:sz w:val="24"/>
                <w:highlight w:val="none"/>
              </w:rPr>
              <w:t xml:space="preserve">支持CW/AM/FM/PM/Pulse/Radar波调制测试；</w:t>
            </w:r>
            <w:r/>
          </w:p>
          <w:p>
            <w:pPr>
              <w:rPr>
                <w:rFonts w:hint="eastAsia" w:ascii="宋体" w:hAnsi="宋体" w:cs="宋体"/>
                <w:sz w:val="24"/>
                <w:highlight w:val="none"/>
              </w:rPr>
            </w:pPr>
            <w:r>
              <w:rPr>
                <w:rFonts w:hint="eastAsia" w:ascii="宋体" w:hAnsi="宋体" w:cs="宋体"/>
                <w:sz w:val="24"/>
                <w:highlight w:val="none"/>
              </w:rPr>
              <w:t xml:space="preserve">可实施单点,4点,16点FU校验.校验完成后自动计算结果；</w:t>
            </w:r>
            <w:r/>
          </w:p>
          <w:p>
            <w:pPr>
              <w:rPr>
                <w:rFonts w:hint="eastAsia" w:ascii="宋体" w:hAnsi="宋体" w:cs="宋体"/>
                <w:sz w:val="24"/>
                <w:highlight w:val="none"/>
              </w:rPr>
            </w:pPr>
            <w:r>
              <w:rPr>
                <w:rFonts w:hint="eastAsia" w:ascii="宋体" w:hAnsi="宋体" w:cs="宋体"/>
                <w:sz w:val="24"/>
                <w:highlight w:val="none"/>
              </w:rPr>
              <w:t xml:space="preserve">设备控制方式支持GPIB/LAN/COM口通信；</w:t>
            </w:r>
            <w:r/>
          </w:p>
          <w:p>
            <w:pPr>
              <w:rPr>
                <w:rFonts w:hint="eastAsia" w:ascii="宋体" w:hAnsi="宋体" w:cs="宋体"/>
                <w:sz w:val="24"/>
                <w:highlight w:val="none"/>
              </w:rPr>
            </w:pPr>
            <w:r>
              <w:rPr>
                <w:rFonts w:hint="eastAsia" w:ascii="宋体" w:hAnsi="宋体" w:cs="宋体"/>
                <w:sz w:val="24"/>
                <w:highlight w:val="none"/>
              </w:rPr>
              <w:t xml:space="preserve">各项测试参数可存取,方便下次测试时再使用；使用者设置后,可重复呼叫；</w:t>
            </w:r>
            <w:r/>
          </w:p>
          <w:p>
            <w:pPr>
              <w:rPr>
                <w:rFonts w:hint="eastAsia" w:ascii="宋体" w:hAnsi="宋体" w:cs="宋体"/>
                <w:sz w:val="24"/>
                <w:highlight w:val="none"/>
              </w:rPr>
            </w:pPr>
            <w:r>
              <w:rPr>
                <w:rFonts w:hint="eastAsia" w:ascii="宋体" w:hAnsi="宋体" w:cs="宋体"/>
                <w:sz w:val="24"/>
                <w:highlight w:val="none"/>
              </w:rPr>
              <w:t xml:space="preserve">设置SG输出限制,可以固定值或频率对应限值方式,控制SG最大输出强度,确保功放输入强度；</w:t>
            </w:r>
            <w:r/>
          </w:p>
          <w:p>
            <w:pPr>
              <w:rPr>
                <w:rFonts w:hint="eastAsia" w:ascii="宋体" w:hAnsi="宋体" w:cs="宋体"/>
                <w:sz w:val="24"/>
                <w:highlight w:val="none"/>
              </w:rPr>
            </w:pPr>
            <w:r>
              <w:rPr>
                <w:rFonts w:hint="eastAsia" w:ascii="宋体" w:hAnsi="宋体" w:cs="宋体"/>
                <w:sz w:val="24"/>
                <w:highlight w:val="none"/>
              </w:rPr>
              <w:t xml:space="preserve">软件支持多家厂牌设备型号及RF切换开关,可自动切换频段设置。</w:t>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4</w:t>
            </w:r>
            <w:r/>
          </w:p>
        </w:tc>
        <w:tc>
          <w:tcPr>
            <w:tcW w:w="575" w:type="pct"/>
            <w:vAlign w:val="center"/>
            <w:textDirection w:val="lrTb"/>
            <w:noWrap w:val="false"/>
          </w:tcPr>
          <w:p>
            <w:pPr>
              <w:jc w:val="center"/>
              <w:rPr>
                <w:rFonts w:hint="eastAsia" w:ascii="宋体" w:hAnsi="宋体" w:cs="宋体"/>
                <w:sz w:val="24"/>
                <w:highlight w:val="none"/>
              </w:rPr>
            </w:pPr>
            <w:r>
              <w:rPr>
                <w:rFonts w:hint="eastAsia" w:ascii="宋体" w:hAnsi="宋体" w:cs="宋体"/>
                <w:b/>
                <w:bCs/>
                <w:sz w:val="24"/>
                <w:highlight w:val="none"/>
              </w:rPr>
              <w:t xml:space="preserve">屏蔽房传导骚扰测试系统</w:t>
            </w:r>
            <w:r/>
          </w:p>
        </w:tc>
        <w:tc>
          <w:tcPr>
            <w:tcW w:w="1970" w:type="pct"/>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▲5</w:t>
            </w:r>
            <w:r>
              <w:rPr>
                <w:rFonts w:hint="eastAsia" w:ascii="宋体" w:hAnsi="宋体" w:cs="宋体"/>
                <w:b/>
                <w:bCs/>
                <w:sz w:val="24"/>
                <w:highlight w:val="none"/>
              </w:rPr>
              <w:tab/>
            </w:r>
            <w:r>
              <w:rPr>
                <w:rFonts w:hint="eastAsia" w:ascii="宋体" w:hAnsi="宋体" w:cs="宋体"/>
                <w:b/>
                <w:bCs/>
                <w:sz w:val="24"/>
                <w:highlight w:val="none"/>
              </w:rPr>
              <w:t xml:space="preserve">测试软件</w:t>
            </w:r>
            <w:r>
              <w:rPr>
                <w:rFonts w:hint="eastAsia" w:ascii="宋体" w:hAnsi="宋体" w:cs="宋体"/>
                <w:b/>
                <w:bCs/>
                <w:sz w:val="24"/>
                <w:highlight w:val="none"/>
              </w:rPr>
              <w:tab/>
            </w:r>
            <w:r/>
          </w:p>
          <w:p>
            <w:pPr>
              <w:rPr>
                <w:rFonts w:hint="eastAsia" w:ascii="宋体" w:hAnsi="宋体" w:cs="宋体"/>
                <w:sz w:val="24"/>
                <w:highlight w:val="none"/>
              </w:rPr>
            </w:pPr>
            <w:r>
              <w:rPr>
                <w:rFonts w:hint="eastAsia" w:ascii="宋体" w:hAnsi="宋体" w:cs="宋体"/>
                <w:sz w:val="24"/>
                <w:highlight w:val="none"/>
              </w:rPr>
              <w:t xml:space="preserve">EMC测试软件，包含测试功能，CE,RE,CNDE,CLAMP,LOOP，ISN；软件须具备RF信号通道、预放、衰减器、滤波器等以及系统信号路径的校准功能；可支持目前市场上主流接收机和频谱仪 (R&amp;S、Keysight)。</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可用于传导骚扰测试、功率辐射骚扰测试、磁场辐射骚扰测试和辐射骚扰测试；</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支持多个厂家的设备，并可以根据设备型号升级驱动；</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测试资料为资料库型态数据，可供其他软件共享； </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除一般列印外可转成WMF档，测试资料点数据可转成Excel档，扫图可转成BMP档，方便报告制作；</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配合外挂软件可制成PDF文件；</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可在软件上任意添加或者删除标准限值和测试参数，也可读入符合格式之Excel Factor档；</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可对两条轨迹资料做加或减运算(处理Cable loss)，转换成Factor；</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可对每一点单一点选频率标注记(20字)；</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可执行多种设定之Auto Test 功能\手动测试功能；</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实时输出频谱之轨迹资料，达到在PC屏幕上动态显示资料功能；</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操作方便，各功能方块能在移动滑鼠最短距离内完成设定。可执行 zero span 下读取spectrum analyzer轨迹资料；</w:t>
            </w:r>
            <w:r/>
          </w:p>
          <w:p>
            <w:pPr>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ab/>
            </w:r>
            <w:r>
              <w:rPr>
                <w:rFonts w:hint="eastAsia" w:ascii="宋体" w:hAnsi="宋体" w:cs="宋体"/>
                <w:sz w:val="24"/>
                <w:highlight w:val="none"/>
              </w:rPr>
              <w:t xml:space="preserve">提供宏指令，用户可依需求改变测试参数，并自动测试。单点资料可记录300点。</w:t>
            </w:r>
            <w:r/>
          </w:p>
          <w:p>
            <w:pPr>
              <w:rPr>
                <w:rFonts w:hint="eastAsia" w:ascii="宋体" w:hAnsi="宋体" w:cs="宋体"/>
                <w:b/>
                <w:bCs/>
                <w:sz w:val="24"/>
                <w:highlight w:val="none"/>
              </w:rPr>
            </w:pPr>
            <w:r>
              <w:rPr>
                <w:rFonts w:hint="eastAsia" w:ascii="宋体" w:hAnsi="宋体" w:cs="宋体"/>
                <w:b/>
                <w:bCs/>
                <w:sz w:val="24"/>
                <w:highlight w:val="none"/>
              </w:rPr>
              <w:t xml:space="preserve">▲7</w:t>
            </w:r>
            <w:r>
              <w:rPr>
                <w:rFonts w:hint="eastAsia" w:ascii="宋体" w:hAnsi="宋体" w:cs="宋体"/>
                <w:b/>
                <w:bCs/>
                <w:sz w:val="24"/>
                <w:highlight w:val="none"/>
              </w:rPr>
              <w:tab/>
            </w:r>
            <w:r>
              <w:rPr>
                <w:rFonts w:hint="eastAsia" w:ascii="宋体" w:hAnsi="宋体" w:cs="宋体"/>
                <w:b/>
                <w:bCs/>
                <w:sz w:val="24"/>
                <w:highlight w:val="none"/>
              </w:rPr>
              <w:t xml:space="preserve">脉冲限幅器</w:t>
            </w:r>
            <w:r>
              <w:rPr>
                <w:rFonts w:hint="eastAsia" w:ascii="宋体" w:hAnsi="宋体" w:cs="宋体"/>
                <w:b/>
                <w:bCs/>
                <w:sz w:val="24"/>
                <w:highlight w:val="none"/>
              </w:rPr>
              <w:tab/>
            </w:r>
            <w:r/>
          </w:p>
          <w:p>
            <w:pPr>
              <w:rPr>
                <w:rFonts w:hint="eastAsia" w:ascii="宋体" w:hAnsi="宋体" w:cs="宋体"/>
                <w:sz w:val="24"/>
                <w:highlight w:val="none"/>
              </w:rPr>
            </w:pPr>
            <w:r>
              <w:rPr>
                <w:rFonts w:hint="eastAsia" w:ascii="宋体" w:hAnsi="宋体" w:cs="宋体"/>
                <w:sz w:val="24"/>
                <w:highlight w:val="none"/>
              </w:rPr>
              <w:t xml:space="preserve">频率范围：DC~250MHz；</w:t>
            </w:r>
            <w:r/>
          </w:p>
          <w:p>
            <w:pPr>
              <w:rPr>
                <w:rFonts w:hint="eastAsia" w:ascii="宋体" w:hAnsi="宋体" w:cs="宋体"/>
                <w:sz w:val="24"/>
                <w:highlight w:val="none"/>
              </w:rPr>
            </w:pPr>
            <w:r>
              <w:rPr>
                <w:rFonts w:hint="eastAsia" w:ascii="宋体" w:hAnsi="宋体" w:cs="宋体"/>
                <w:sz w:val="24"/>
                <w:highlight w:val="none"/>
              </w:rPr>
              <w:t xml:space="preserve">衰减：10dB；测量输出接口：N型</w:t>
            </w:r>
            <w:r/>
          </w:p>
          <w:p>
            <w:pPr>
              <w:rPr>
                <w:rFonts w:hint="eastAsia" w:ascii="宋体" w:hAnsi="宋体" w:cs="宋体"/>
                <w:b/>
                <w:bCs/>
                <w:sz w:val="24"/>
                <w:highlight w:val="none"/>
              </w:rPr>
            </w:pPr>
            <w:r>
              <w:rPr>
                <w:rFonts w:hint="eastAsia" w:ascii="宋体" w:hAnsi="宋体" w:cs="宋体"/>
                <w:b/>
                <w:bCs/>
                <w:sz w:val="24"/>
                <w:highlight w:val="none"/>
              </w:rPr>
              <w:t xml:space="preserve">▲10梳状信号源</w:t>
            </w:r>
            <w:r>
              <w:rPr>
                <w:rFonts w:hint="eastAsia" w:ascii="宋体" w:hAnsi="宋体" w:cs="宋体"/>
                <w:b/>
                <w:bCs/>
                <w:sz w:val="24"/>
                <w:highlight w:val="none"/>
              </w:rPr>
              <w:tab/>
            </w:r>
            <w:r/>
          </w:p>
          <w:p>
            <w:pPr>
              <w:rPr>
                <w:rFonts w:hint="eastAsia" w:ascii="宋体" w:hAnsi="宋体" w:cs="宋体"/>
                <w:sz w:val="24"/>
                <w:highlight w:val="none"/>
              </w:rPr>
            </w:pPr>
            <w:r>
              <w:rPr>
                <w:rFonts w:hint="eastAsia" w:ascii="宋体" w:hAnsi="宋体" w:cs="宋体"/>
                <w:sz w:val="24"/>
                <w:highlight w:val="none"/>
              </w:rPr>
              <w:t xml:space="preserve">频率范围：10 kHz至300 MHz；</w:t>
            </w:r>
            <w:r/>
          </w:p>
          <w:p>
            <w:pPr>
              <w:rPr>
                <w:rFonts w:hint="eastAsia" w:ascii="宋体" w:hAnsi="宋体" w:cs="宋体"/>
                <w:sz w:val="24"/>
                <w:highlight w:val="none"/>
              </w:rPr>
            </w:pPr>
            <w:r>
              <w:rPr>
                <w:rFonts w:hint="eastAsia" w:ascii="宋体" w:hAnsi="宋体" w:cs="宋体"/>
                <w:sz w:val="24"/>
                <w:highlight w:val="none"/>
              </w:rPr>
              <w:t xml:space="preserve">频率步长：10 kHz或1MHz；</w:t>
            </w:r>
            <w:r/>
          </w:p>
          <w:p>
            <w:pPr>
              <w:rPr>
                <w:rFonts w:hint="eastAsia" w:ascii="宋体" w:hAnsi="宋体" w:cs="宋体"/>
                <w:sz w:val="24"/>
                <w:highlight w:val="none"/>
              </w:rPr>
            </w:pPr>
            <w:r>
              <w:rPr>
                <w:rFonts w:hint="eastAsia" w:ascii="宋体" w:hAnsi="宋体" w:cs="宋体"/>
                <w:sz w:val="24"/>
                <w:highlight w:val="none"/>
              </w:rPr>
              <w:t xml:space="preserve">振幅稳定性：±0.1dB；</w:t>
            </w:r>
            <w:r/>
          </w:p>
          <w:p>
            <w:pPr>
              <w:rPr>
                <w:rFonts w:hint="eastAsia" w:ascii="宋体" w:hAnsi="宋体" w:cs="宋体"/>
                <w:sz w:val="24"/>
                <w:highlight w:val="none"/>
              </w:rPr>
            </w:pPr>
            <w:r>
              <w:rPr>
                <w:rFonts w:hint="eastAsia" w:ascii="宋体" w:hAnsi="宋体" w:cs="宋体"/>
                <w:sz w:val="24"/>
                <w:highlight w:val="none"/>
              </w:rPr>
              <w:t xml:space="preserve">时间稳定性：12个月内&lt;1 dB；</w:t>
            </w:r>
            <w:r/>
          </w:p>
          <w:p>
            <w:pPr>
              <w:rPr>
                <w:rFonts w:hint="eastAsia" w:ascii="宋体" w:hAnsi="宋体" w:cs="宋体"/>
                <w:sz w:val="24"/>
                <w:highlight w:val="none"/>
              </w:rPr>
            </w:pPr>
            <w:r>
              <w:rPr>
                <w:rFonts w:hint="eastAsia" w:ascii="宋体" w:hAnsi="宋体" w:cs="宋体"/>
                <w:sz w:val="24"/>
                <w:highlight w:val="none"/>
              </w:rPr>
              <w:t xml:space="preserve">充电适配器输出：6 VDC（无调节），500 mA；</w:t>
            </w:r>
            <w:r/>
          </w:p>
          <w:p>
            <w:pPr>
              <w:rPr>
                <w:rFonts w:hint="eastAsia" w:ascii="宋体" w:hAnsi="宋体" w:cs="宋体"/>
                <w:sz w:val="24"/>
                <w:highlight w:val="none"/>
              </w:rPr>
            </w:pPr>
            <w:r>
              <w:rPr>
                <w:rFonts w:hint="eastAsia" w:ascii="宋体" w:hAnsi="宋体" w:cs="宋体"/>
                <w:sz w:val="24"/>
                <w:highlight w:val="none"/>
              </w:rPr>
              <w:t xml:space="preserve">电池类型：6V NiMH，1 Ah；</w:t>
            </w:r>
            <w:r/>
          </w:p>
          <w:p>
            <w:pPr>
              <w:rPr>
                <w:rFonts w:hint="eastAsia" w:ascii="宋体" w:hAnsi="宋体" w:cs="宋体"/>
                <w:sz w:val="24"/>
                <w:highlight w:val="none"/>
              </w:rPr>
            </w:pPr>
            <w:r>
              <w:rPr>
                <w:rFonts w:hint="eastAsia" w:ascii="宋体" w:hAnsi="宋体" w:cs="宋体"/>
                <w:sz w:val="24"/>
                <w:highlight w:val="none"/>
              </w:rPr>
              <w:t xml:space="preserve">电池工作时间：通常&gt;18小时（电池充满电）。</w:t>
            </w:r>
            <w:r/>
          </w:p>
          <w:p>
            <w:pPr>
              <w:rPr>
                <w:rFonts w:hint="eastAsia" w:ascii="宋体" w:hAnsi="宋体" w:cs="宋体"/>
                <w:sz w:val="24"/>
                <w:highlight w:val="none"/>
              </w:rPr>
            </w:pPr>
            <w:r>
              <w:rPr>
                <w:rFonts w:hint="eastAsia" w:ascii="宋体" w:hAnsi="宋体" w:cs="宋体"/>
                <w:sz w:val="24"/>
                <w:highlight w:val="none"/>
              </w:rPr>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w:t>
            </w:r>
            <w:r/>
          </w:p>
        </w:tc>
        <w:tc>
          <w:tcPr>
            <w:tcW w:w="575" w:type="pct"/>
            <w:vAlign w:val="center"/>
            <w:textDirection w:val="lrTb"/>
            <w:noWrap w:val="false"/>
          </w:tcPr>
          <w:p>
            <w:pPr>
              <w:jc w:val="center"/>
              <w:rPr>
                <w:rFonts w:hint="eastAsia" w:ascii="宋体" w:hAnsi="宋体" w:cs="宋体"/>
                <w:b/>
                <w:bCs/>
                <w:sz w:val="24"/>
                <w:highlight w:val="none"/>
              </w:rPr>
            </w:pPr>
            <w:r>
              <w:rPr>
                <w:rFonts w:hint="eastAsia" w:ascii="宋体" w:hAnsi="宋体" w:cs="宋体"/>
                <w:b/>
                <w:sz w:val="24"/>
                <w:highlight w:val="none"/>
              </w:rPr>
              <w:t xml:space="preserve">三相谐波闪烁测试系统</w:t>
            </w:r>
            <w:r/>
          </w:p>
        </w:tc>
        <w:tc>
          <w:tcPr>
            <w:tcW w:w="1970" w:type="pct"/>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▲1.3.2 电流</w:t>
            </w:r>
            <w:r/>
          </w:p>
          <w:p>
            <w:pPr>
              <w:rPr>
                <w:rFonts w:hint="eastAsia" w:ascii="宋体" w:hAnsi="宋体" w:cs="宋体"/>
                <w:sz w:val="24"/>
                <w:highlight w:val="none"/>
              </w:rPr>
            </w:pPr>
            <w:r>
              <w:rPr>
                <w:rFonts w:hint="eastAsia" w:ascii="宋体" w:hAnsi="宋体" w:cs="宋体"/>
                <w:sz w:val="24"/>
                <w:highlight w:val="none"/>
              </w:rPr>
              <w:t xml:space="preserve">电流量程：14个量程,最小量程档位500μA，最大可到16A；</w:t>
            </w:r>
            <w:r/>
          </w:p>
          <w:p>
            <w:pPr>
              <w:rPr>
                <w:rFonts w:hint="eastAsia" w:ascii="宋体" w:hAnsi="宋体" w:cs="宋体"/>
                <w:sz w:val="24"/>
                <w:highlight w:val="none"/>
              </w:rPr>
            </w:pPr>
            <w:r>
              <w:rPr>
                <w:rFonts w:hint="eastAsia" w:ascii="宋体" w:hAnsi="宋体" w:cs="宋体"/>
                <w:sz w:val="24"/>
                <w:highlight w:val="none"/>
              </w:rPr>
              <w:t xml:space="preserve">电流精度50Hz：0.03%+0.03%；</w:t>
            </w:r>
            <w:r/>
          </w:p>
          <w:p>
            <w:pPr>
              <w:rPr>
                <w:rFonts w:hint="eastAsia" w:ascii="宋体" w:hAnsi="宋体" w:cs="宋体"/>
                <w:sz w:val="24"/>
                <w:highlight w:val="none"/>
              </w:rPr>
            </w:pPr>
            <w:r>
              <w:rPr>
                <w:rFonts w:hint="eastAsia" w:ascii="宋体" w:hAnsi="宋体" w:cs="宋体"/>
                <w:sz w:val="24"/>
                <w:highlight w:val="none"/>
              </w:rPr>
              <w:t xml:space="preserve">电流带宽：DC, 0.05Hz-500kHz。</w:t>
            </w:r>
            <w:r/>
          </w:p>
          <w:p>
            <w:pPr>
              <w:rPr>
                <w:rFonts w:hint="eastAsia" w:ascii="宋体" w:hAnsi="宋体" w:cs="宋体"/>
                <w:b/>
                <w:bCs/>
                <w:sz w:val="24"/>
                <w:highlight w:val="none"/>
              </w:rPr>
            </w:pPr>
            <w:r>
              <w:rPr>
                <w:rFonts w:hint="eastAsia" w:ascii="宋体" w:hAnsi="宋体" w:cs="宋体"/>
                <w:b/>
                <w:bCs/>
                <w:sz w:val="24"/>
                <w:highlight w:val="none"/>
              </w:rPr>
              <w:t xml:space="preserve">▲1.3.3 电流传感器</w:t>
            </w:r>
            <w:r/>
          </w:p>
          <w:p>
            <w:pPr>
              <w:rPr>
                <w:rFonts w:hint="eastAsia" w:ascii="宋体" w:hAnsi="宋体" w:cs="宋体"/>
                <w:sz w:val="24"/>
                <w:highlight w:val="none"/>
              </w:rPr>
            </w:pPr>
            <w:r>
              <w:rPr>
                <w:rFonts w:hint="eastAsia" w:ascii="宋体" w:hAnsi="宋体" w:cs="宋体"/>
                <w:sz w:val="24"/>
                <w:highlight w:val="none"/>
              </w:rPr>
              <w:t xml:space="preserve">电流量程:200A AC/300A DC；</w:t>
            </w:r>
            <w:r/>
          </w:p>
          <w:p>
            <w:pPr>
              <w:rPr>
                <w:rFonts w:hint="eastAsia" w:ascii="宋体" w:hAnsi="宋体" w:cs="宋体"/>
                <w:sz w:val="24"/>
                <w:highlight w:val="none"/>
              </w:rPr>
            </w:pPr>
            <w:r>
              <w:rPr>
                <w:rFonts w:hint="eastAsia" w:ascii="宋体" w:hAnsi="宋体" w:cs="宋体"/>
                <w:sz w:val="24"/>
                <w:highlight w:val="none"/>
              </w:rPr>
              <w:t xml:space="preserve">变比:500:1；</w:t>
            </w:r>
            <w:r/>
          </w:p>
          <w:p>
            <w:pPr>
              <w:rPr>
                <w:rFonts w:hint="eastAsia" w:ascii="宋体" w:hAnsi="宋体" w:cs="宋体"/>
                <w:sz w:val="24"/>
                <w:highlight w:val="none"/>
              </w:rPr>
            </w:pPr>
            <w:r>
              <w:rPr>
                <w:rFonts w:hint="eastAsia" w:ascii="宋体" w:hAnsi="宋体" w:cs="宋体"/>
                <w:sz w:val="24"/>
                <w:highlight w:val="none"/>
              </w:rPr>
              <w:t xml:space="preserve">精度:相对于特定输入电流；</w:t>
            </w:r>
            <w:r/>
          </w:p>
          <w:p>
            <w:pPr>
              <w:rPr>
                <w:rFonts w:hint="eastAsia" w:ascii="宋体" w:hAnsi="宋体" w:cs="宋体"/>
                <w:sz w:val="24"/>
                <w:highlight w:val="none"/>
              </w:rPr>
            </w:pPr>
            <w:r>
              <w:rPr>
                <w:rFonts w:hint="eastAsia" w:ascii="宋体" w:hAnsi="宋体" w:cs="宋体"/>
                <w:sz w:val="24"/>
                <w:highlight w:val="none"/>
              </w:rPr>
              <w:t xml:space="preserve">DC-10Hz:±0.0035%；</w:t>
            </w:r>
            <w:r/>
          </w:p>
          <w:p>
            <w:pPr>
              <w:rPr>
                <w:rFonts w:hint="eastAsia" w:ascii="宋体" w:hAnsi="宋体" w:cs="宋体"/>
                <w:sz w:val="24"/>
                <w:highlight w:val="none"/>
              </w:rPr>
            </w:pPr>
            <w:r>
              <w:rPr>
                <w:rFonts w:hint="eastAsia" w:ascii="宋体" w:hAnsi="宋体" w:cs="宋体"/>
                <w:sz w:val="24"/>
                <w:highlight w:val="none"/>
              </w:rPr>
              <w:t xml:space="preserve">10Hz-5kHz:±0.01%；</w:t>
            </w:r>
            <w:r/>
          </w:p>
          <w:p>
            <w:pPr>
              <w:rPr>
                <w:rFonts w:hint="eastAsia" w:ascii="宋体" w:hAnsi="宋体" w:cs="宋体"/>
                <w:sz w:val="24"/>
                <w:highlight w:val="none"/>
              </w:rPr>
            </w:pPr>
            <w:r>
              <w:rPr>
                <w:rFonts w:hint="eastAsia" w:ascii="宋体" w:hAnsi="宋体" w:cs="宋体"/>
                <w:sz w:val="24"/>
                <w:highlight w:val="none"/>
              </w:rPr>
              <w:t xml:space="preserve">5kHz-100kHz:±1%；</w:t>
            </w:r>
            <w:r/>
          </w:p>
          <w:p>
            <w:pPr>
              <w:rPr>
                <w:rFonts w:hint="eastAsia" w:ascii="宋体" w:hAnsi="宋体" w:cs="宋体"/>
                <w:sz w:val="24"/>
                <w:highlight w:val="none"/>
              </w:rPr>
            </w:pPr>
            <w:r>
              <w:rPr>
                <w:rFonts w:hint="eastAsia" w:ascii="宋体" w:hAnsi="宋体" w:cs="宋体"/>
                <w:sz w:val="24"/>
                <w:highlight w:val="none"/>
              </w:rPr>
              <w:t xml:space="preserve">100kHZ-1MHz:+20%；</w:t>
            </w:r>
            <w:r/>
          </w:p>
          <w:p>
            <w:pPr>
              <w:rPr>
                <w:rFonts w:hint="eastAsia" w:ascii="宋体" w:hAnsi="宋体" w:cs="宋体"/>
                <w:sz w:val="24"/>
                <w:highlight w:val="none"/>
              </w:rPr>
            </w:pPr>
            <w:r>
              <w:rPr>
                <w:rFonts w:hint="eastAsia" w:ascii="宋体" w:hAnsi="宋体" w:cs="宋体"/>
                <w:sz w:val="24"/>
                <w:highlight w:val="none"/>
              </w:rPr>
              <w:t xml:space="preserve">钳口直径:27.6mm；</w:t>
            </w:r>
            <w:r/>
          </w:p>
          <w:p>
            <w:pPr>
              <w:rPr>
                <w:rFonts w:hint="eastAsia" w:ascii="宋体" w:hAnsi="宋体" w:cs="宋体"/>
                <w:sz w:val="24"/>
                <w:highlight w:val="none"/>
              </w:rPr>
            </w:pPr>
            <w:r>
              <w:rPr>
                <w:rFonts w:hint="eastAsia" w:ascii="宋体" w:hAnsi="宋体" w:cs="宋体"/>
                <w:sz w:val="24"/>
                <w:highlight w:val="none"/>
              </w:rPr>
              <w:t xml:space="preserve">供电电源:±15V DC；</w:t>
            </w:r>
            <w:r/>
          </w:p>
          <w:p>
            <w:pPr>
              <w:rPr>
                <w:rFonts w:hint="eastAsia" w:ascii="宋体" w:hAnsi="宋体" w:cs="宋体"/>
                <w:sz w:val="24"/>
                <w:highlight w:val="none"/>
              </w:rPr>
            </w:pPr>
            <w:r>
              <w:rPr>
                <w:rFonts w:hint="eastAsia" w:ascii="宋体" w:hAnsi="宋体" w:cs="宋体"/>
                <w:sz w:val="24"/>
                <w:highlight w:val="none"/>
              </w:rPr>
              <w:t xml:space="preserve">操作温度:-40℃~+65℃℃(-40C-+85℃@输入电流rmss200 A)；</w:t>
            </w:r>
            <w:r/>
          </w:p>
          <w:p>
            <w:pPr>
              <w:rPr>
                <w:rFonts w:hint="eastAsia" w:ascii="宋体" w:hAnsi="宋体" w:cs="宋体"/>
                <w:b/>
                <w:bCs/>
                <w:sz w:val="24"/>
                <w:highlight w:val="none"/>
              </w:rPr>
            </w:pPr>
            <w:r>
              <w:rPr>
                <w:rFonts w:hint="eastAsia" w:ascii="宋体" w:hAnsi="宋体" w:cs="宋体"/>
                <w:b/>
                <w:bCs/>
                <w:sz w:val="24"/>
                <w:highlight w:val="none"/>
              </w:rPr>
              <w:t xml:space="preserve">▲5.谐波闪烁标准信号源</w:t>
            </w:r>
            <w:r/>
          </w:p>
          <w:p>
            <w:pPr>
              <w:rPr>
                <w:rFonts w:hint="eastAsia" w:ascii="宋体" w:hAnsi="宋体" w:cs="宋体"/>
                <w:sz w:val="24"/>
                <w:highlight w:val="none"/>
              </w:rPr>
            </w:pPr>
            <w:r>
              <w:rPr>
                <w:rFonts w:hint="eastAsia" w:ascii="宋体" w:hAnsi="宋体" w:cs="宋体"/>
                <w:sz w:val="24"/>
                <w:highlight w:val="none"/>
              </w:rPr>
              <w:t xml:space="preserve">Up to 40th harmonic: 50Hz to 2 kHz；</w:t>
            </w:r>
            <w:r/>
          </w:p>
          <w:p>
            <w:pPr>
              <w:rPr>
                <w:rFonts w:hint="eastAsia" w:ascii="宋体" w:hAnsi="宋体" w:cs="宋体"/>
                <w:sz w:val="24"/>
                <w:highlight w:val="none"/>
              </w:rPr>
            </w:pPr>
            <w:r>
              <w:rPr>
                <w:rFonts w:hint="eastAsia" w:ascii="宋体" w:hAnsi="宋体" w:cs="宋体"/>
                <w:sz w:val="24"/>
                <w:highlight w:val="none"/>
              </w:rPr>
              <w:t xml:space="preserve">符合IEC/EN61000-3-2谐波/3-3闪烁；</w:t>
            </w:r>
            <w:r/>
          </w:p>
          <w:p>
            <w:pPr>
              <w:rPr>
                <w:rFonts w:hint="eastAsia" w:ascii="宋体" w:hAnsi="宋体" w:cs="宋体"/>
                <w:sz w:val="24"/>
                <w:highlight w:val="none"/>
              </w:rPr>
            </w:pPr>
            <w:r>
              <w:rPr>
                <w:rFonts w:hint="eastAsia" w:ascii="宋体" w:hAnsi="宋体" w:cs="宋体"/>
                <w:sz w:val="24"/>
                <w:highlight w:val="none"/>
              </w:rPr>
              <w:t xml:space="preserve">谐波电流：高达40 次 谐波：50 Hz至2 kHz；</w:t>
            </w:r>
            <w:r/>
          </w:p>
          <w:p>
            <w:pPr>
              <w:rPr>
                <w:rFonts w:hint="eastAsia" w:ascii="宋体" w:hAnsi="宋体" w:cs="宋体"/>
                <w:sz w:val="24"/>
                <w:highlight w:val="none"/>
              </w:rPr>
            </w:pPr>
            <w:r>
              <w:rPr>
                <w:rFonts w:hint="eastAsia" w:ascii="宋体" w:hAnsi="宋体" w:cs="宋体"/>
                <w:sz w:val="24"/>
                <w:highlight w:val="none"/>
              </w:rPr>
              <w:t xml:space="preserve">闪烁干扰：1 Hz和8.33 Hz。</w:t>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6</w:t>
            </w:r>
            <w:r/>
          </w:p>
        </w:tc>
        <w:tc>
          <w:tcPr>
            <w:tcW w:w="575" w:type="pct"/>
            <w:vAlign w:val="center"/>
            <w:textDirection w:val="lrTb"/>
            <w:noWrap w:val="false"/>
          </w:tcPr>
          <w:p>
            <w:pPr>
              <w:jc w:val="center"/>
              <w:rPr>
                <w:rFonts w:hint="eastAsia" w:ascii="宋体" w:hAnsi="宋体" w:cs="宋体"/>
                <w:sz w:val="24"/>
                <w:highlight w:val="none"/>
              </w:rPr>
            </w:pPr>
            <w:r>
              <w:rPr>
                <w:rFonts w:hint="eastAsia" w:ascii="宋体" w:hAnsi="宋体" w:cs="宋体"/>
                <w:b/>
                <w:sz w:val="24"/>
                <w:highlight w:val="none"/>
              </w:rPr>
              <w:t xml:space="preserve">抗扰度设备</w:t>
            </w:r>
            <w:r/>
          </w:p>
        </w:tc>
        <w:tc>
          <w:tcPr>
            <w:tcW w:w="1970" w:type="pct"/>
            <w:vAlign w:val="center"/>
            <w:textDirection w:val="lrTb"/>
            <w:noWrap w:val="false"/>
          </w:tcPr>
          <w:p>
            <w:pPr>
              <w:rPr>
                <w:rFonts w:hint="eastAsia" w:ascii="宋体" w:hAnsi="宋体" w:cs="宋体"/>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rPr>
              <w:tab/>
            </w:r>
            <w:r>
              <w:rPr>
                <w:rFonts w:hint="eastAsia" w:ascii="宋体" w:hAnsi="宋体" w:cs="宋体"/>
                <w:b/>
                <w:bCs/>
                <w:sz w:val="24"/>
                <w:highlight w:val="none"/>
              </w:rPr>
              <w:t xml:space="preserve">瞬变脉冲群抗扰度测试系统（三相五线电流200A）（1套）</w:t>
            </w:r>
            <w:r/>
          </w:p>
          <w:p>
            <w:pPr>
              <w:rPr>
                <w:rFonts w:hint="eastAsia" w:ascii="宋体" w:hAnsi="宋体" w:cs="宋体"/>
                <w:sz w:val="24"/>
                <w:highlight w:val="none"/>
              </w:rPr>
            </w:pPr>
            <w:r>
              <w:rPr>
                <w:rFonts w:hint="eastAsia" w:ascii="宋体" w:hAnsi="宋体" w:cs="宋体"/>
                <w:sz w:val="24"/>
                <w:highlight w:val="none"/>
              </w:rPr>
              <w:t xml:space="preserve">2.1≥10寸触摸屏、中英文显示，操作方便；</w:t>
            </w:r>
            <w:r/>
          </w:p>
          <w:p>
            <w:pPr>
              <w:rPr>
                <w:rFonts w:hint="eastAsia" w:ascii="宋体" w:hAnsi="宋体" w:cs="宋体"/>
                <w:sz w:val="24"/>
                <w:highlight w:val="none"/>
              </w:rPr>
            </w:pPr>
            <w:r>
              <w:rPr>
                <w:rFonts w:hint="eastAsia" w:ascii="宋体" w:hAnsi="宋体" w:cs="宋体"/>
                <w:sz w:val="24"/>
                <w:highlight w:val="none"/>
              </w:rPr>
              <w:t xml:space="preserve">2.2输出电压：0.2～±6.0KV；</w:t>
            </w:r>
            <w:r/>
          </w:p>
          <w:p>
            <w:pPr>
              <w:rPr>
                <w:rFonts w:hint="eastAsia" w:ascii="宋体" w:hAnsi="宋体" w:cs="宋体"/>
                <w:sz w:val="24"/>
                <w:highlight w:val="none"/>
              </w:rPr>
            </w:pPr>
            <w:r>
              <w:rPr>
                <w:rFonts w:hint="eastAsia" w:ascii="宋体" w:hAnsi="宋体" w:cs="宋体"/>
                <w:sz w:val="24"/>
                <w:highlight w:val="none"/>
              </w:rPr>
              <w:t xml:space="preserve">2.3脉冲前沿5ns，脉宽50ns；</w:t>
            </w:r>
            <w:r/>
          </w:p>
          <w:p>
            <w:pPr>
              <w:rPr>
                <w:rFonts w:hint="eastAsia" w:ascii="宋体" w:hAnsi="宋体" w:cs="宋体"/>
                <w:sz w:val="24"/>
                <w:highlight w:val="none"/>
              </w:rPr>
            </w:pPr>
            <w:r>
              <w:rPr>
                <w:rFonts w:hint="eastAsia" w:ascii="宋体" w:hAnsi="宋体" w:cs="宋体"/>
                <w:sz w:val="24"/>
                <w:highlight w:val="none"/>
              </w:rPr>
              <w:t xml:space="preserve">2.4脉冲频率：1kHz～1200kHz±10%</w:t>
            </w:r>
            <w:r/>
          </w:p>
          <w:p>
            <w:pPr>
              <w:rPr>
                <w:rFonts w:hint="eastAsia" w:ascii="宋体" w:hAnsi="宋体" w:cs="宋体"/>
                <w:sz w:val="24"/>
                <w:highlight w:val="none"/>
              </w:rPr>
            </w:pPr>
            <w:r>
              <w:rPr>
                <w:rFonts w:hint="eastAsia" w:ascii="宋体" w:hAnsi="宋体" w:cs="宋体"/>
                <w:sz w:val="24"/>
                <w:highlight w:val="none"/>
              </w:rPr>
              <w:t xml:space="preserve">2.5内置三相五线耦合去耦网络</w:t>
            </w:r>
            <w:r/>
          </w:p>
          <w:p>
            <w:pPr>
              <w:rPr>
                <w:rFonts w:hint="eastAsia" w:ascii="宋体" w:hAnsi="宋体" w:cs="宋体"/>
                <w:sz w:val="24"/>
                <w:highlight w:val="none"/>
              </w:rPr>
            </w:pPr>
            <w:r>
              <w:rPr>
                <w:rFonts w:hint="eastAsia" w:ascii="宋体" w:hAnsi="宋体" w:cs="宋体"/>
                <w:sz w:val="24"/>
                <w:highlight w:val="none"/>
              </w:rPr>
              <w:t xml:space="preserve">2.6负载能力：AC380VImax16A/DC220VImax16A；</w:t>
            </w:r>
            <w:r/>
          </w:p>
          <w:p>
            <w:pPr>
              <w:rPr>
                <w:rFonts w:hint="eastAsia" w:ascii="宋体" w:hAnsi="宋体" w:cs="宋体"/>
                <w:sz w:val="24"/>
                <w:highlight w:val="none"/>
              </w:rPr>
            </w:pPr>
            <w:r>
              <w:rPr>
                <w:rFonts w:hint="eastAsia" w:ascii="宋体" w:hAnsi="宋体" w:cs="宋体"/>
                <w:sz w:val="24"/>
                <w:highlight w:val="none"/>
              </w:rPr>
              <w:t xml:space="preserve">2.7环境温湿度显示；程控高压源，内置国际标准等级参数，用户直接调用；</w:t>
            </w:r>
            <w:r/>
          </w:p>
          <w:p>
            <w:pPr>
              <w:rPr>
                <w:rFonts w:hint="eastAsia" w:ascii="宋体" w:hAnsi="宋体" w:cs="宋体"/>
                <w:sz w:val="24"/>
                <w:highlight w:val="none"/>
              </w:rPr>
            </w:pPr>
            <w:r>
              <w:rPr>
                <w:rFonts w:hint="eastAsia" w:ascii="宋体" w:hAnsi="宋体" w:cs="宋体"/>
                <w:sz w:val="24"/>
                <w:highlight w:val="none"/>
              </w:rPr>
              <w:t xml:space="preserve">2.8仪器工作电源：220V50/60Hz;</w:t>
            </w:r>
            <w:r/>
          </w:p>
          <w:p>
            <w:pPr>
              <w:rPr>
                <w:rFonts w:hint="eastAsia" w:ascii="宋体" w:hAnsi="宋体" w:cs="宋体"/>
                <w:sz w:val="24"/>
                <w:highlight w:val="none"/>
              </w:rPr>
            </w:pPr>
            <w:r>
              <w:rPr>
                <w:rFonts w:hint="eastAsia" w:ascii="宋体" w:hAnsi="宋体" w:cs="宋体"/>
                <w:sz w:val="24"/>
                <w:highlight w:val="none"/>
              </w:rPr>
              <w:t xml:space="preserve">2.9满足标准：IEC/EN61000-4-4GB/T17626.4</w:t>
            </w:r>
            <w:r/>
          </w:p>
          <w:p>
            <w:pPr>
              <w:rPr>
                <w:rFonts w:hint="eastAsia" w:ascii="宋体" w:hAnsi="宋体" w:cs="宋体"/>
                <w:sz w:val="24"/>
                <w:highlight w:val="none"/>
              </w:rPr>
            </w:pPr>
            <w:r>
              <w:rPr>
                <w:rFonts w:hint="eastAsia" w:ascii="宋体" w:hAnsi="宋体" w:cs="宋体"/>
                <w:sz w:val="24"/>
                <w:highlight w:val="none"/>
              </w:rPr>
              <w:t xml:space="preserve">2.10电容耦合夹要求符合IEC61000-4-4最新版标准要求</w:t>
            </w:r>
            <w:r/>
          </w:p>
          <w:p>
            <w:pPr>
              <w:rPr>
                <w:rFonts w:hint="eastAsia" w:ascii="宋体" w:hAnsi="宋体" w:cs="宋体"/>
                <w:sz w:val="24"/>
                <w:highlight w:val="none"/>
              </w:rPr>
            </w:pPr>
            <w:r>
              <w:rPr>
                <w:rFonts w:hint="eastAsia" w:ascii="宋体" w:hAnsi="宋体" w:cs="宋体"/>
                <w:sz w:val="24"/>
                <w:highlight w:val="none"/>
              </w:rPr>
              <w:t xml:space="preserve">2.11含相关校准件</w:t>
            </w:r>
            <w:r/>
          </w:p>
          <w:p>
            <w:pPr>
              <w:rPr>
                <w:rFonts w:hint="eastAsia" w:ascii="宋体" w:hAnsi="宋体" w:cs="宋体"/>
                <w:sz w:val="24"/>
                <w:highlight w:val="none"/>
              </w:rPr>
            </w:pPr>
            <w:r>
              <w:rPr>
                <w:rFonts w:hint="eastAsia" w:ascii="宋体" w:hAnsi="宋体" w:cs="宋体"/>
                <w:sz w:val="24"/>
                <w:highlight w:val="none"/>
              </w:rPr>
              <w:t xml:space="preserve">2.12内置电压监测功能，方便期间核查。</w:t>
            </w:r>
            <w:r/>
          </w:p>
          <w:p>
            <w:pPr>
              <w:rPr>
                <w:rFonts w:hint="eastAsia" w:ascii="宋体" w:hAnsi="宋体" w:cs="宋体"/>
                <w:sz w:val="24"/>
                <w:highlight w:val="none"/>
              </w:rPr>
            </w:pPr>
            <w:r>
              <w:rPr>
                <w:rFonts w:hint="eastAsia" w:ascii="宋体" w:hAnsi="宋体" w:cs="宋体"/>
                <w:sz w:val="24"/>
                <w:highlight w:val="none"/>
              </w:rPr>
              <w:t xml:space="preserve">2.13配置三相耦合去耦网络：三相，额定线电压≥690V（DC≥1500V），工作电流≥200A，符合IEC及ANSI标准，L1、L2、L3、N、PE，共模方式及其各种组合网络自动投切。</w:t>
            </w:r>
            <w:r/>
          </w:p>
          <w:p>
            <w:pPr>
              <w:rPr>
                <w:rFonts w:hint="eastAsia" w:ascii="宋体" w:hAnsi="宋体" w:cs="宋体"/>
                <w:sz w:val="24"/>
                <w:highlight w:val="none"/>
              </w:rPr>
            </w:pPr>
            <w:r>
              <w:rPr>
                <w:rFonts w:hint="eastAsia" w:ascii="宋体" w:hAnsi="宋体" w:cs="宋体"/>
                <w:b/>
                <w:bCs/>
                <w:sz w:val="24"/>
                <w:highlight w:val="none"/>
              </w:rPr>
              <w:t xml:space="preserve">▲3</w:t>
            </w:r>
            <w:r>
              <w:rPr>
                <w:rFonts w:hint="eastAsia" w:ascii="宋体" w:hAnsi="宋体" w:cs="宋体"/>
                <w:b/>
                <w:bCs/>
                <w:sz w:val="24"/>
                <w:highlight w:val="none"/>
              </w:rPr>
              <w:tab/>
            </w:r>
            <w:r>
              <w:rPr>
                <w:rFonts w:hint="eastAsia" w:ascii="宋体" w:hAnsi="宋体" w:cs="宋体"/>
                <w:b/>
                <w:bCs/>
                <w:sz w:val="24"/>
                <w:highlight w:val="none"/>
              </w:rPr>
              <w:t xml:space="preserve">雷击浪涌抗扰度测试系统（1套）</w:t>
            </w:r>
            <w:r>
              <w:rPr>
                <w:rFonts w:hint="eastAsia" w:ascii="宋体" w:hAnsi="宋体" w:cs="宋体"/>
                <w:sz w:val="24"/>
                <w:highlight w:val="none"/>
              </w:rPr>
              <w:tab/>
            </w:r>
            <w:r/>
          </w:p>
          <w:p>
            <w:pPr>
              <w:rPr>
                <w:rFonts w:hint="eastAsia" w:ascii="宋体" w:hAnsi="宋体" w:cs="宋体"/>
                <w:sz w:val="24"/>
                <w:highlight w:val="none"/>
              </w:rPr>
            </w:pPr>
            <w:r>
              <w:rPr>
                <w:rFonts w:hint="eastAsia" w:ascii="宋体" w:hAnsi="宋体" w:cs="宋体"/>
                <w:sz w:val="24"/>
                <w:highlight w:val="none"/>
              </w:rPr>
              <w:t xml:space="preserve">3.1组合波抗扰度（三相五线电流200A），覆盖的标准如下：EN/IEC 61000-4-5、GB/T 17626.5；</w:t>
            </w:r>
            <w:r/>
          </w:p>
          <w:p>
            <w:pPr>
              <w:rPr>
                <w:rFonts w:hint="eastAsia" w:ascii="宋体" w:hAnsi="宋体" w:cs="宋体"/>
                <w:sz w:val="24"/>
                <w:highlight w:val="none"/>
              </w:rPr>
            </w:pPr>
            <w:r>
              <w:rPr>
                <w:rFonts w:hint="eastAsia" w:ascii="宋体" w:hAnsi="宋体" w:cs="宋体"/>
                <w:sz w:val="24"/>
                <w:highlight w:val="none"/>
              </w:rPr>
              <w:t xml:space="preserve">3.1.1 脉冲电压（开路）：0.2~± 8.0kV±10%</w:t>
            </w:r>
            <w:r/>
          </w:p>
          <w:p>
            <w:pPr>
              <w:rPr>
                <w:rFonts w:hint="eastAsia" w:ascii="宋体" w:hAnsi="宋体" w:cs="宋体"/>
                <w:sz w:val="24"/>
                <w:highlight w:val="none"/>
              </w:rPr>
            </w:pPr>
            <w:r>
              <w:rPr>
                <w:rFonts w:hint="eastAsia" w:ascii="宋体" w:hAnsi="宋体" w:cs="宋体"/>
                <w:sz w:val="24"/>
                <w:highlight w:val="none"/>
              </w:rPr>
              <w:t xml:space="preserve">波前时间：1.2μs±30%</w:t>
            </w:r>
            <w:r/>
          </w:p>
          <w:p>
            <w:pPr>
              <w:rPr>
                <w:rFonts w:hint="eastAsia" w:ascii="宋体" w:hAnsi="宋体" w:cs="宋体"/>
                <w:sz w:val="24"/>
                <w:highlight w:val="none"/>
              </w:rPr>
            </w:pPr>
            <w:r>
              <w:rPr>
                <w:rFonts w:hint="eastAsia" w:ascii="宋体" w:hAnsi="宋体" w:cs="宋体"/>
                <w:sz w:val="24"/>
                <w:highlight w:val="none"/>
              </w:rPr>
              <w:t xml:space="preserve">半峰值时间：50μs±20%</w:t>
            </w:r>
            <w:r/>
          </w:p>
          <w:p>
            <w:pPr>
              <w:rPr>
                <w:rFonts w:hint="eastAsia" w:ascii="宋体" w:hAnsi="宋体" w:cs="宋体"/>
                <w:sz w:val="24"/>
                <w:highlight w:val="none"/>
              </w:rPr>
            </w:pPr>
            <w:r>
              <w:rPr>
                <w:rFonts w:hint="eastAsia" w:ascii="宋体" w:hAnsi="宋体" w:cs="宋体"/>
                <w:sz w:val="24"/>
                <w:highlight w:val="none"/>
              </w:rPr>
              <w:t xml:space="preserve">3.1.2 脉冲电流(短路)：0.1~ ±4.0 kA</w:t>
            </w:r>
            <w:r/>
          </w:p>
          <w:p>
            <w:pPr>
              <w:rPr>
                <w:rFonts w:hint="eastAsia" w:ascii="宋体" w:hAnsi="宋体" w:cs="宋体"/>
                <w:sz w:val="24"/>
                <w:highlight w:val="none"/>
              </w:rPr>
            </w:pPr>
            <w:r>
              <w:rPr>
                <w:rFonts w:hint="eastAsia" w:ascii="宋体" w:hAnsi="宋体" w:cs="宋体"/>
                <w:sz w:val="24"/>
                <w:highlight w:val="none"/>
              </w:rPr>
              <w:t xml:space="preserve">波前时间：8μs±20%</w:t>
            </w:r>
            <w:r/>
          </w:p>
          <w:p>
            <w:pPr>
              <w:rPr>
                <w:rFonts w:hint="eastAsia" w:ascii="宋体" w:hAnsi="宋体" w:cs="宋体"/>
                <w:sz w:val="24"/>
                <w:highlight w:val="none"/>
              </w:rPr>
            </w:pPr>
            <w:r>
              <w:rPr>
                <w:rFonts w:hint="eastAsia" w:ascii="宋体" w:hAnsi="宋体" w:cs="宋体"/>
                <w:sz w:val="24"/>
                <w:highlight w:val="none"/>
              </w:rPr>
              <w:t xml:space="preserve">半峰值时间：20μs±20%</w:t>
            </w:r>
            <w:r/>
          </w:p>
          <w:p>
            <w:pPr>
              <w:rPr>
                <w:rFonts w:hint="eastAsia" w:ascii="宋体" w:hAnsi="宋体" w:cs="宋体"/>
                <w:sz w:val="24"/>
                <w:highlight w:val="none"/>
              </w:rPr>
            </w:pPr>
            <w:r>
              <w:rPr>
                <w:rFonts w:hint="eastAsia" w:ascii="宋体" w:hAnsi="宋体" w:cs="宋体"/>
                <w:sz w:val="24"/>
                <w:highlight w:val="none"/>
              </w:rPr>
              <w:t xml:space="preserve">3.1.3阻抗： 2Ω/12Ω</w:t>
            </w:r>
            <w:r/>
          </w:p>
          <w:p>
            <w:pPr>
              <w:rPr>
                <w:rFonts w:hint="eastAsia" w:ascii="宋体" w:hAnsi="宋体" w:cs="宋体"/>
                <w:sz w:val="24"/>
                <w:highlight w:val="none"/>
              </w:rPr>
            </w:pPr>
            <w:r>
              <w:rPr>
                <w:rFonts w:hint="eastAsia" w:ascii="宋体" w:hAnsi="宋体" w:cs="宋体"/>
                <w:sz w:val="24"/>
                <w:highlight w:val="none"/>
              </w:rPr>
              <w:t xml:space="preserve">3.1.4耦合方式： ANSI / IEC</w:t>
            </w:r>
            <w:r/>
          </w:p>
          <w:p>
            <w:pPr>
              <w:rPr>
                <w:rFonts w:hint="eastAsia" w:ascii="宋体" w:hAnsi="宋体" w:cs="宋体"/>
                <w:sz w:val="24"/>
                <w:highlight w:val="none"/>
              </w:rPr>
            </w:pPr>
            <w:r>
              <w:rPr>
                <w:rFonts w:hint="eastAsia" w:ascii="宋体" w:hAnsi="宋体" w:cs="宋体"/>
                <w:sz w:val="24"/>
                <w:highlight w:val="none"/>
              </w:rPr>
              <w:t xml:space="preserve">3.1.5相关附件：</w:t>
            </w:r>
            <w:r/>
          </w:p>
          <w:p>
            <w:pPr>
              <w:rPr>
                <w:rFonts w:hint="eastAsia" w:ascii="宋体" w:hAnsi="宋体" w:cs="宋体"/>
                <w:sz w:val="24"/>
                <w:highlight w:val="none"/>
              </w:rPr>
            </w:pPr>
            <w:r>
              <w:rPr>
                <w:rFonts w:hint="eastAsia" w:ascii="宋体" w:hAnsi="宋体" w:cs="宋体"/>
                <w:sz w:val="24"/>
                <w:highlight w:val="none"/>
              </w:rPr>
              <w:t xml:space="preserve">主机内置三相耦合去耦网络：额定电压≥240V，工作电流≥16A</w:t>
            </w:r>
            <w:r/>
          </w:p>
          <w:p>
            <w:pPr>
              <w:rPr>
                <w:rFonts w:hint="eastAsia" w:ascii="宋体" w:hAnsi="宋体" w:cs="宋体"/>
                <w:sz w:val="24"/>
                <w:highlight w:val="none"/>
              </w:rPr>
            </w:pPr>
            <w:r>
              <w:rPr>
                <w:rFonts w:hint="eastAsia" w:ascii="宋体" w:hAnsi="宋体" w:cs="宋体"/>
                <w:sz w:val="24"/>
                <w:highlight w:val="none"/>
              </w:rPr>
              <w:t xml:space="preserve">配置三相耦合去耦网络：额定线电压≥690V（DC≥1500V），工作电流≥200A网络自动投切。</w:t>
            </w:r>
            <w:r/>
          </w:p>
          <w:p>
            <w:pPr>
              <w:rPr>
                <w:rFonts w:hint="eastAsia" w:ascii="宋体" w:hAnsi="宋体" w:cs="宋体"/>
                <w:sz w:val="24"/>
                <w:highlight w:val="none"/>
              </w:rPr>
            </w:pPr>
            <w:r>
              <w:rPr>
                <w:rFonts w:hint="eastAsia" w:ascii="宋体" w:hAnsi="宋体" w:cs="宋体"/>
                <w:sz w:val="24"/>
                <w:highlight w:val="none"/>
              </w:rPr>
              <w:t xml:space="preserve">3.2满足32A/63A/125A/200A电流校准要求，四档位负载电流档位自动识别或手动切换；</w:t>
            </w:r>
            <w:r/>
          </w:p>
          <w:p>
            <w:pPr>
              <w:rPr>
                <w:rFonts w:hint="eastAsia" w:ascii="宋体" w:hAnsi="宋体" w:cs="宋体"/>
                <w:sz w:val="24"/>
                <w:highlight w:val="none"/>
              </w:rPr>
            </w:pPr>
            <w:r>
              <w:rPr>
                <w:rFonts w:hint="eastAsia" w:ascii="宋体" w:hAnsi="宋体" w:cs="宋体"/>
                <w:sz w:val="24"/>
                <w:highlight w:val="none"/>
              </w:rPr>
              <w:t xml:space="preserve">3.3内置电压和电流探头，直接示波器可以测波形</w:t>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gridSpan w:val="6"/>
            <w:tcW w:w="5000" w:type="pct"/>
            <w:vAlign w:val="center"/>
            <w:textDirection w:val="lrTb"/>
            <w:noWrap w:val="false"/>
          </w:tcPr>
          <w:p>
            <w:pPr>
              <w:jc w:val="center"/>
              <w:rPr>
                <w:rFonts w:hint="eastAsia" w:ascii="宋体" w:hAnsi="宋体" w:cs="宋体"/>
                <w:sz w:val="24"/>
                <w:highlight w:val="none"/>
              </w:rPr>
            </w:pPr>
            <w:r>
              <w:rPr>
                <w:rFonts w:hint="eastAsia" w:ascii="宋体" w:hAnsi="宋体" w:cs="宋体"/>
                <w:b/>
                <w:bCs/>
                <w:sz w:val="24"/>
                <w:highlight w:val="none"/>
              </w:rPr>
              <w:t xml:space="preserve">未标注符号的技术参数（如有偏离，请将偏离情况逐一列出）</w:t>
            </w:r>
            <w:r/>
          </w:p>
        </w:tc>
      </w:tr>
      <w:tr>
        <w:trPr>
          <w:jc w:val="center"/>
          <w:trHeight w:val="454"/>
        </w:trPr>
        <w:tc>
          <w:tcPr>
            <w:tcW w:w="39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W w:w="575" w:type="pct"/>
            <w:vAlign w:val="center"/>
            <w:textDirection w:val="lrTb"/>
            <w:noWrap w:val="false"/>
          </w:tcPr>
          <w:p>
            <w:pPr>
              <w:jc w:val="center"/>
              <w:rPr>
                <w:rFonts w:hint="eastAsia" w:ascii="宋体" w:hAnsi="宋体" w:cs="宋体"/>
                <w:b/>
                <w:sz w:val="24"/>
                <w:highlight w:val="none"/>
              </w:rPr>
            </w:pPr>
            <w:r>
              <w:rPr>
                <w:rFonts w:hint="eastAsia" w:ascii="宋体" w:hAnsi="宋体" w:cs="宋体"/>
                <w:b/>
                <w:sz w:val="24"/>
                <w:highlight w:val="none"/>
              </w:rPr>
            </w:r>
            <w:r/>
          </w:p>
        </w:tc>
        <w:tc>
          <w:tcPr>
            <w:tcW w:w="197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W w:w="575" w:type="pct"/>
            <w:vAlign w:val="center"/>
            <w:textDirection w:val="lrTb"/>
            <w:noWrap w:val="false"/>
          </w:tcPr>
          <w:p>
            <w:pPr>
              <w:jc w:val="center"/>
              <w:rPr>
                <w:rFonts w:hint="eastAsia" w:ascii="宋体" w:hAnsi="宋体" w:cs="宋体"/>
                <w:b/>
                <w:sz w:val="24"/>
                <w:highlight w:val="none"/>
              </w:rPr>
            </w:pPr>
            <w:r>
              <w:rPr>
                <w:rFonts w:hint="eastAsia" w:ascii="宋体" w:hAnsi="宋体" w:cs="宋体"/>
                <w:b/>
                <w:sz w:val="24"/>
                <w:highlight w:val="none"/>
              </w:rPr>
            </w:r>
            <w:r/>
          </w:p>
        </w:tc>
        <w:tc>
          <w:tcPr>
            <w:tcW w:w="197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454"/>
        </w:trPr>
        <w:tc>
          <w:tcPr>
            <w:tcW w:w="39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w:t>
            </w:r>
            <w:r/>
          </w:p>
        </w:tc>
        <w:tc>
          <w:tcPr>
            <w:tcW w:w="575" w:type="pct"/>
            <w:vAlign w:val="center"/>
            <w:textDirection w:val="lrTb"/>
            <w:noWrap w:val="false"/>
          </w:tcPr>
          <w:p>
            <w:pPr>
              <w:jc w:val="center"/>
              <w:rPr>
                <w:rFonts w:hint="eastAsia" w:ascii="宋体" w:hAnsi="宋体" w:cs="宋体"/>
                <w:b/>
                <w:sz w:val="24"/>
                <w:highlight w:val="none"/>
              </w:rPr>
            </w:pPr>
            <w:r>
              <w:rPr>
                <w:rFonts w:hint="eastAsia" w:ascii="宋体" w:hAnsi="宋体" w:cs="宋体"/>
                <w:b/>
                <w:sz w:val="24"/>
                <w:highlight w:val="none"/>
              </w:rPr>
            </w:r>
            <w:r/>
          </w:p>
        </w:tc>
        <w:tc>
          <w:tcPr>
            <w:tcW w:w="1970"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902"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51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64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spacing w:line="400" w:lineRule="exact"/>
        <w:tabs>
          <w:tab w:val="left" w:pos="1800" w:leader="none"/>
          <w:tab w:val="left" w:pos="5580" w:leader="none"/>
        </w:tabs>
        <w:rPr>
          <w:rFonts w:ascii="宋体" w:hAnsi="宋体" w:cs="宋体"/>
          <w:b/>
          <w:bCs/>
          <w:sz w:val="24"/>
          <w:highlight w:val="none"/>
        </w:rPr>
      </w:pPr>
      <w:r>
        <w:rPr>
          <w:rFonts w:hint="eastAsia" w:ascii="宋体" w:hAnsi="宋体" w:cs="宋体"/>
          <w:b/>
          <w:bCs/>
          <w:sz w:val="24"/>
          <w:highlight w:val="none"/>
        </w:rPr>
        <w:t xml:space="preserve">注：</w:t>
      </w:r>
      <w:r/>
    </w:p>
    <w:p>
      <w:pPr>
        <w:jc w:val="left"/>
        <w:spacing w:line="400" w:lineRule="exact"/>
        <w:tabs>
          <w:tab w:val="left" w:pos="1800" w:leader="none"/>
          <w:tab w:val="left" w:pos="5580" w:leader="none"/>
        </w:tabs>
        <w:rPr>
          <w:rFonts w:ascii="宋体" w:hAnsi="宋体" w:cs="宋体"/>
          <w:b/>
          <w:bCs/>
          <w:sz w:val="24"/>
          <w:highlight w:val="none"/>
        </w:rPr>
      </w:pPr>
      <w:r>
        <w:rPr>
          <w:rFonts w:hint="eastAsia" w:ascii="宋体" w:hAnsi="宋体" w:cs="宋体"/>
          <w:b/>
          <w:bCs/>
          <w:sz w:val="24"/>
          <w:highlight w:val="none"/>
        </w:rPr>
        <w:t xml:space="preserve">1.对招标文件中的所有商务、技术要求，除本表所列明的所有偏离外，均视作供应商已对之理解和响应。</w:t>
      </w:r>
      <w:r/>
    </w:p>
    <w:p>
      <w:pPr>
        <w:jc w:val="left"/>
        <w:spacing w:line="400" w:lineRule="exact"/>
        <w:tabs>
          <w:tab w:val="left" w:pos="1800" w:leader="none"/>
          <w:tab w:val="left" w:pos="5580" w:leader="none"/>
        </w:tabs>
        <w:rPr>
          <w:rFonts w:ascii="宋体" w:hAnsi="宋体" w:cs="宋体"/>
          <w:b/>
          <w:bCs/>
          <w:sz w:val="24"/>
          <w:highlight w:val="none"/>
        </w:rPr>
      </w:pPr>
      <w:r>
        <w:rPr>
          <w:rFonts w:hint="eastAsia" w:ascii="宋体" w:hAnsi="宋体" w:cs="宋体"/>
          <w:b/>
          <w:bCs/>
          <w:sz w:val="24"/>
          <w:highlight w:val="none"/>
        </w:rPr>
        <w:t xml:space="preserve">2.偏离包括正、负偏离，正偏离指供应商的响应高于招标文件要求，负偏离指供应商的响应低于招标文件要求。</w:t>
      </w:r>
      <w:r/>
    </w:p>
    <w:p>
      <w:pPr>
        <w:jc w:val="left"/>
        <w:spacing w:line="400" w:lineRule="exact"/>
        <w:tabs>
          <w:tab w:val="left" w:pos="1800" w:leader="none"/>
          <w:tab w:val="left" w:pos="5580" w:leader="none"/>
        </w:tabs>
        <w:rPr>
          <w:rFonts w:ascii="宋体" w:hAnsi="宋体" w:cs="宋体"/>
          <w:b/>
          <w:bCs/>
          <w:sz w:val="24"/>
          <w:highlight w:val="none"/>
        </w:rPr>
      </w:pPr>
      <w:r>
        <w:rPr>
          <w:rFonts w:hint="eastAsia" w:ascii="宋体" w:hAnsi="宋体" w:cs="宋体"/>
          <w:b/>
          <w:bCs/>
          <w:sz w:val="24"/>
          <w:highlight w:val="none"/>
        </w:rPr>
        <w:t xml:space="preserve">3.证明材料的有效性由评标小组综合判断是否认可。若投标人未根据自身产品实际情况进行响应，而是简单复制粘贴招标文件中所有技术参数，可视为‌缺乏实质性内容‌或‌虚假响应‌，投标文件将作为无效投标处理。</w:t>
      </w:r>
      <w:r/>
    </w:p>
    <w:p>
      <w:pPr>
        <w:spacing w:line="400" w:lineRule="exact"/>
        <w:rPr>
          <w:rFonts w:hint="eastAsia" w:ascii="宋体" w:hAnsi="宋体" w:cs="宋体"/>
          <w:sz w:val="24"/>
          <w:highlight w:val="none"/>
        </w:rPr>
      </w:pPr>
      <w:r>
        <w:rPr>
          <w:rFonts w:hint="eastAsia" w:ascii="宋体" w:hAnsi="宋体" w:cs="宋体"/>
          <w:sz w:val="24"/>
          <w:highlight w:val="none"/>
        </w:rPr>
      </w:r>
      <w:r/>
    </w:p>
    <w:p>
      <w:pPr>
        <w:spacing w:line="400" w:lineRule="exact"/>
        <w:rPr>
          <w:rFonts w:ascii="宋体" w:hAnsi="宋体" w:cs="宋体"/>
          <w:sz w:val="24"/>
          <w:highlight w:val="none"/>
          <w:lang w:val="zh-CN"/>
        </w:rPr>
      </w:pPr>
      <w:r>
        <w:rPr>
          <w:rFonts w:hint="eastAsia" w:ascii="宋体" w:hAnsi="宋体" w:cs="宋体"/>
          <w:sz w:val="24"/>
          <w:highlight w:val="none"/>
        </w:rPr>
        <w:t xml:space="preserve">投标人名称（加盖公章）</w:t>
      </w:r>
      <w:r>
        <w:rPr>
          <w:rFonts w:hint="eastAsia" w:ascii="宋体" w:hAnsi="宋体" w:cs="宋体"/>
          <w:sz w:val="24"/>
          <w:highlight w:val="none"/>
          <w:lang w:val="zh-CN"/>
        </w:rPr>
        <w:t xml:space="preserve">：____________</w:t>
      </w:r>
      <w:r/>
    </w:p>
    <w:p>
      <w:pPr>
        <w:spacing w:line="400" w:lineRule="exact"/>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pStyle w:val="947"/>
        <w:rPr>
          <w:color w:val="auto"/>
          <w:highlight w:val="none"/>
        </w:rPr>
      </w:pPr>
      <w:r>
        <w:rPr>
          <w:rFonts w:hint="eastAsia"/>
          <w:color w:val="auto"/>
          <w:highlight w:val="none"/>
        </w:rPr>
        <w:br w:type="page" w:clear="all"/>
      </w:r>
      <w:r>
        <w:rPr>
          <w:rFonts w:hint="eastAsia"/>
          <w:color w:val="auto"/>
          <w:highlight w:val="none"/>
        </w:rPr>
        <w:t xml:space="preserve">10 中小企业声明函</w:t>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说明：</w:t>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bookmarkStart w:id="1108" w:name="OLE_LINK428"/>
      <w:r/>
      <w:bookmarkStart w:id="1109" w:name="OLE_LINK427"/>
      <w:r>
        <w:rPr>
          <w:rFonts w:hint="eastAsia" w:ascii="宋体" w:hAnsi="宋体" w:cs="宋体"/>
          <w:sz w:val="24"/>
          <w:highlight w:val="none"/>
        </w:rPr>
        <w:t xml:space="preserve">https://baosong.miit.gov.cn/ScaleTest</w:t>
      </w:r>
      <w:bookmarkEnd w:id="1108"/>
      <w:r/>
      <w:bookmarkEnd w:id="1109"/>
      <w:r>
        <w:rPr>
          <w:rFonts w:hint="eastAsia" w:ascii="宋体" w:hAnsi="宋体" w:cs="宋体"/>
          <w:sz w:val="24"/>
          <w:highlight w:val="none"/>
        </w:rPr>
        <w:t xml:space="preserve">）</w:t>
      </w:r>
      <w:r/>
    </w:p>
    <w:p>
      <w:pPr>
        <w:spacing w:line="360" w:lineRule="auto"/>
        <w:tabs>
          <w:tab w:val="left" w:pos="5580" w:leader="none"/>
        </w:tabs>
        <w:rPr>
          <w:rFonts w:ascii="宋体" w:hAnsi="宋体" w:cs="宋体"/>
          <w:b/>
          <w:sz w:val="24"/>
          <w:highlight w:val="none"/>
        </w:rPr>
      </w:pPr>
      <w:r>
        <w:rPr>
          <w:rFonts w:hint="eastAsia" w:ascii="宋体" w:hAnsi="宋体" w:cs="宋体"/>
          <w:sz w:val="24"/>
          <w:highlight w:val="none"/>
        </w:rPr>
        <w:t xml:space="preserve">6）</w:t>
      </w:r>
      <w:r>
        <w:rPr>
          <w:rFonts w:hint="eastAsia" w:ascii="宋体" w:hAnsi="宋体" w:cs="宋体"/>
          <w:b/>
          <w:sz w:val="24"/>
          <w:highlight w:val="none"/>
        </w:rPr>
        <w:t xml:space="preserve">在货物采购项目中，供应商提供的货物既有中型企业制造货物，也有小微企业制造货物的，不享受小微企业扶持政策，不予价格扣除。</w:t>
      </w:r>
      <w:r/>
    </w:p>
    <w:p>
      <w:pPr>
        <w:spacing w:line="360" w:lineRule="auto"/>
        <w:tabs>
          <w:tab w:val="left" w:pos="5580" w:leader="none"/>
        </w:tabs>
        <w:rPr>
          <w:rFonts w:ascii="宋体" w:hAnsi="宋体" w:cs="宋体"/>
          <w:b/>
          <w:sz w:val="24"/>
          <w:highlight w:val="none"/>
        </w:rPr>
      </w:pPr>
      <w:r>
        <w:rPr>
          <w:rFonts w:hint="eastAsia" w:ascii="宋体" w:hAnsi="宋体" w:cs="宋体"/>
          <w:b/>
          <w:sz w:val="24"/>
          <w:highlight w:val="none"/>
        </w:rPr>
        <w:t xml:space="preserve">7）小微企业未提供声明函的，价格分评审将不予价格扣除。</w:t>
      </w:r>
      <w:r/>
    </w:p>
    <w:p>
      <w:pPr>
        <w:jc w:val="left"/>
        <w:spacing w:line="360" w:lineRule="auto"/>
        <w:tabs>
          <w:tab w:val="left" w:pos="5580" w:leader="none"/>
        </w:tabs>
        <w:rPr>
          <w:rFonts w:ascii="宋体" w:hAnsi="宋体"/>
          <w:b/>
          <w:sz w:val="24"/>
          <w:highlight w:val="none"/>
        </w:rPr>
      </w:pPr>
      <w:r>
        <w:rPr>
          <w:rFonts w:hint="eastAsia" w:ascii="宋体" w:hAnsi="宋体"/>
          <w:b/>
          <w:sz w:val="24"/>
          <w:highlight w:val="none"/>
        </w:rPr>
        <w:t xml:space="preserve">8）填写请参考“常州市政府采购中心关于规范填写《中小企业声明函》的温馨提示”（网址：</w:t>
      </w:r>
      <w:bookmarkStart w:id="1110" w:name="OLE_LINK414"/>
      <w:r>
        <w:rPr>
          <w:rFonts w:hint="eastAsia" w:ascii="宋体" w:hAnsi="宋体"/>
          <w:b/>
          <w:sz w:val="24"/>
          <w:highlight w:val="none"/>
        </w:rPr>
        <w:t xml:space="preserve">http://zfcg.changzhou.gov.cn/html/ns/tzgg/980332060316367.html</w:t>
      </w:r>
      <w:bookmarkEnd w:id="1110"/>
      <w:r>
        <w:rPr>
          <w:rFonts w:hint="eastAsia" w:ascii="宋体" w:hAnsi="宋体"/>
          <w:b/>
          <w:sz w:val="24"/>
          <w:highlight w:val="none"/>
        </w:rPr>
        <w:t xml:space="preserve">）</w:t>
      </w:r>
      <w:r/>
    </w:p>
    <w:p>
      <w:pPr>
        <w:jc w:val="left"/>
        <w:widowControl/>
        <w:rPr>
          <w:b/>
          <w:bCs/>
          <w:sz w:val="24"/>
          <w:highlight w:val="none"/>
        </w:rPr>
      </w:pPr>
      <w:r>
        <w:rPr>
          <w:b/>
          <w:bCs/>
          <w:sz w:val="24"/>
          <w:highlight w:val="none"/>
        </w:rPr>
        <w:br w:type="page" w:clear="all"/>
      </w:r>
      <w:r/>
    </w:p>
    <w:p>
      <w:pPr>
        <w:jc w:val="center"/>
        <w:spacing w:before="240" w:after="240" w:line="360" w:lineRule="auto"/>
        <w:rPr>
          <w:b/>
          <w:sz w:val="36"/>
          <w:szCs w:val="36"/>
          <w:highlight w:val="none"/>
        </w:rPr>
      </w:pPr>
      <w:r>
        <w:rPr>
          <w:b/>
          <w:bCs/>
          <w:sz w:val="36"/>
          <w:szCs w:val="36"/>
          <w:highlight w:val="none"/>
        </w:rPr>
        <w:t xml:space="preserve">中小企业声明函（货物）格式</w:t>
      </w:r>
      <w:r/>
    </w:p>
    <w:p>
      <w:pPr>
        <w:ind w:left="220" w:right="415" w:firstLine="640"/>
        <w:jc w:val="left"/>
        <w:spacing w:line="360" w:lineRule="auto"/>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本公司（联合体）郑重声明，根据《政府采购促进中小企业发展管理办法》（财库﹝2020﹞46号）的规定，本公司</w:t>
      </w:r>
      <w:bookmarkStart w:id="1111" w:name="OLE_LINK355"/>
      <w:r/>
      <w:bookmarkStart w:id="1112" w:name="OLE_LINK413"/>
      <w:r>
        <w:rPr>
          <w:rFonts w:hint="eastAsia" w:ascii="宋体" w:hAnsi="宋体" w:cs="宋体"/>
          <w:sz w:val="24"/>
          <w:highlight w:val="none"/>
        </w:rPr>
        <w:t xml:space="preserve">（联合体</w:t>
      </w:r>
      <w:bookmarkEnd w:id="1111"/>
      <w:r/>
      <w:bookmarkEnd w:id="1112"/>
      <w:r>
        <w:rPr>
          <w:rFonts w:hint="eastAsia" w:ascii="宋体" w:hAnsi="宋体" w:cs="宋体"/>
          <w:sz w:val="24"/>
          <w:highlight w:val="none"/>
        </w:rPr>
        <w:t xml:space="preserve">）参加</w:t>
      </w:r>
      <w:r>
        <w:rPr>
          <w:rFonts w:hint="eastAsia" w:ascii="宋体" w:hAnsi="宋体" w:cs="宋体"/>
          <w:i/>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i/>
          <w:sz w:val="24"/>
          <w:highlight w:val="none"/>
          <w:u w:val="single"/>
        </w:rPr>
        <w:t xml:space="preserve">（项目名称）</w:t>
      </w:r>
      <w:r>
        <w:rPr>
          <w:rFonts w:hint="eastAsia" w:ascii="宋体" w:hAnsi="宋体" w:cs="宋体"/>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s="宋体"/>
          <w:sz w:val="24"/>
          <w:highlight w:val="none"/>
        </w:rPr>
      </w:pPr>
      <w:r>
        <w:rPr>
          <w:rFonts w:hint="eastAsia" w:ascii="宋体" w:hAnsi="宋体" w:cs="宋体"/>
          <w:i/>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sz w:val="24"/>
          <w:highlight w:val="none"/>
        </w:rPr>
        <w:t xml:space="preserve">（</w:t>
      </w:r>
      <w:r>
        <w:rPr>
          <w:rFonts w:hint="eastAsia" w:ascii="宋体" w:hAnsi="宋体" w:cs="宋体"/>
          <w:i/>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i/>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ab/>
      </w:r>
      <w:r>
        <w:rPr>
          <w:rFonts w:hint="eastAsia" w:ascii="宋体" w:hAnsi="宋体" w:cs="宋体"/>
          <w:sz w:val="24"/>
          <w:highlight w:val="none"/>
        </w:rPr>
        <w:t xml:space="preserve">人，营业收入为</w:t>
      </w:r>
      <w:r>
        <w:rPr>
          <w:rFonts w:hint="eastAsia" w:ascii="宋体" w:hAnsi="宋体" w:cs="宋体"/>
          <w:sz w:val="24"/>
          <w:highlight w:val="none"/>
          <w:u w:val="single"/>
        </w:rPr>
        <w:tab/>
      </w:r>
      <w:r>
        <w:rPr>
          <w:rFonts w:hint="eastAsia" w:ascii="宋体" w:hAnsi="宋体" w:cs="宋体"/>
          <w:sz w:val="24"/>
          <w:highlight w:val="none"/>
        </w:rPr>
        <w:t xml:space="preserve">万元，资产总额为</w:t>
      </w:r>
      <w:r>
        <w:rPr>
          <w:rFonts w:hint="eastAsia" w:ascii="宋体" w:hAnsi="宋体" w:cs="宋体"/>
          <w:sz w:val="24"/>
          <w:highlight w:val="none"/>
          <w:u w:val="single"/>
        </w:rPr>
        <w:tab/>
      </w:r>
      <w:r>
        <w:rPr>
          <w:rFonts w:hint="eastAsia" w:ascii="宋体" w:hAnsi="宋体" w:cs="宋体"/>
          <w:sz w:val="24"/>
          <w:highlight w:val="none"/>
        </w:rPr>
        <w:t xml:space="preserve">万元，属于</w:t>
      </w:r>
      <w:r>
        <w:rPr>
          <w:rFonts w:hint="eastAsia" w:ascii="宋体" w:hAnsi="宋体" w:cs="宋体"/>
          <w:i/>
          <w:sz w:val="24"/>
          <w:highlight w:val="none"/>
          <w:u w:val="single"/>
        </w:rPr>
        <w:t xml:space="preserve">（中型企业、小型企业、微型企业）</w:t>
      </w:r>
      <w:r>
        <w:rPr>
          <w:rFonts w:hint="eastAsia" w:ascii="宋体" w:hAnsi="宋体" w:cs="宋体"/>
          <w:sz w:val="24"/>
          <w:highlight w:val="none"/>
        </w:rPr>
        <w:t xml:space="preserve">；</w:t>
      </w:r>
      <w:r/>
    </w:p>
    <w:p>
      <w:pPr>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s="宋体"/>
          <w:sz w:val="24"/>
          <w:highlight w:val="none"/>
        </w:rPr>
      </w:pPr>
      <w:r>
        <w:rPr>
          <w:rFonts w:hint="eastAsia" w:ascii="宋体" w:hAnsi="宋体" w:cs="宋体"/>
          <w:i/>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sz w:val="24"/>
          <w:highlight w:val="none"/>
        </w:rPr>
        <w:t xml:space="preserve">（</w:t>
      </w:r>
      <w:r>
        <w:rPr>
          <w:rFonts w:hint="eastAsia" w:ascii="宋体" w:hAnsi="宋体" w:cs="宋体"/>
          <w:i/>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i/>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ab/>
      </w:r>
      <w:r>
        <w:rPr>
          <w:rFonts w:hint="eastAsia" w:ascii="宋体" w:hAnsi="宋体" w:cs="宋体"/>
          <w:sz w:val="24"/>
          <w:highlight w:val="none"/>
        </w:rPr>
        <w:t xml:space="preserve">人，营业收入为</w:t>
      </w:r>
      <w:r>
        <w:rPr>
          <w:rFonts w:hint="eastAsia" w:ascii="宋体" w:hAnsi="宋体" w:cs="宋体"/>
          <w:sz w:val="24"/>
          <w:highlight w:val="none"/>
          <w:u w:val="single"/>
        </w:rPr>
        <w:tab/>
      </w:r>
      <w:r>
        <w:rPr>
          <w:rFonts w:hint="eastAsia" w:ascii="宋体" w:hAnsi="宋体" w:cs="宋体"/>
          <w:sz w:val="24"/>
          <w:highlight w:val="none"/>
        </w:rPr>
        <w:t xml:space="preserve">万元，资产总额为</w:t>
      </w:r>
      <w:r>
        <w:rPr>
          <w:rFonts w:hint="eastAsia" w:ascii="宋体" w:hAnsi="宋体" w:cs="宋体"/>
          <w:sz w:val="24"/>
          <w:highlight w:val="none"/>
          <w:u w:val="single"/>
        </w:rPr>
        <w:tab/>
      </w:r>
      <w:r>
        <w:rPr>
          <w:rFonts w:hint="eastAsia" w:ascii="宋体" w:hAnsi="宋体" w:cs="宋体"/>
          <w:sz w:val="24"/>
          <w:highlight w:val="none"/>
        </w:rPr>
        <w:t xml:space="preserve">万元，属于</w:t>
      </w:r>
      <w:r>
        <w:rPr>
          <w:rFonts w:hint="eastAsia" w:ascii="宋体" w:hAnsi="宋体" w:cs="宋体"/>
          <w:i/>
          <w:sz w:val="24"/>
          <w:highlight w:val="none"/>
          <w:u w:val="single"/>
        </w:rPr>
        <w:t xml:space="preserve">（中型企业、小型企业、微型企业）</w:t>
      </w:r>
      <w:r>
        <w:rPr>
          <w:rFonts w:hint="eastAsia" w:ascii="宋体" w:hAnsi="宋体" w:cs="宋体"/>
          <w:sz w:val="24"/>
          <w:highlight w:val="none"/>
        </w:rPr>
        <w:t xml:space="preserve">；</w:t>
      </w:r>
      <w:r/>
    </w:p>
    <w:p>
      <w:pPr>
        <w:ind w:left="860"/>
        <w:jc w:val="left"/>
        <w:spacing w:line="360" w:lineRule="auto"/>
        <w:rPr>
          <w:rFonts w:ascii="宋体" w:hAnsi="宋体" w:cs="宋体"/>
          <w:sz w:val="24"/>
          <w:highlight w:val="none"/>
        </w:rPr>
      </w:pPr>
      <w:r>
        <w:rPr>
          <w:rFonts w:hint="eastAsia" w:ascii="宋体" w:hAnsi="宋体" w:cs="宋体"/>
          <w:sz w:val="24"/>
          <w:highlight w:val="none"/>
        </w:rPr>
        <w:t xml:space="preserve">……</w:t>
      </w:r>
      <w:r/>
    </w:p>
    <w:p>
      <w:pPr>
        <w:ind w:left="220" w:right="417" w:firstLine="645"/>
        <w:spacing w:line="360" w:lineRule="auto"/>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sz w:val="24"/>
          <w:highlight w:val="none"/>
        </w:rPr>
      </w:pPr>
      <w:r>
        <w:rPr>
          <w:rFonts w:hint="eastAsia" w:ascii="宋体" w:hAnsi="宋体" w:cs="宋体"/>
          <w:sz w:val="24"/>
          <w:highlight w:val="none"/>
        </w:rPr>
        <w:t xml:space="preserve">本企业对上述声明内容的真实性负责。如有虚</w:t>
      </w:r>
      <w:r>
        <w:rPr>
          <w:sz w:val="24"/>
          <w:highlight w:val="none"/>
        </w:rPr>
        <w:t xml:space="preserve">假，将依法承担相应责任。</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r>
      <w:r/>
    </w:p>
    <w:tbl>
      <w:tblPr>
        <w:tblStyle w:val="95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3"/>
      </w:tblGrid>
      <w:tr>
        <w:trPr/>
        <w:tc>
          <w:tcPr>
            <w:tcW w:w="8946" w:type="dxa"/>
            <w:vAlign w:val="top"/>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ind w:firstLine="420"/>
        <w:jc w:val="left"/>
        <w:rPr>
          <w:sz w:val="24"/>
          <w:highlight w:val="none"/>
        </w:rPr>
      </w:pPr>
      <w:r>
        <w:rPr>
          <w:sz w:val="24"/>
          <w:highlight w:val="none"/>
        </w:rPr>
      </w:r>
      <w:r/>
    </w:p>
    <w:p>
      <w:pPr>
        <w:spacing w:line="360" w:lineRule="auto"/>
        <w:rPr>
          <w:sz w:val="24"/>
          <w:highlight w:val="none"/>
        </w:rPr>
      </w:pPr>
      <w:r>
        <w:rPr>
          <w:sz w:val="24"/>
          <w:highlight w:val="none"/>
        </w:rPr>
      </w:r>
      <w:r/>
    </w:p>
    <w:p>
      <w:pPr>
        <w:jc w:val="center"/>
        <w:spacing w:before="240" w:after="240" w:line="360" w:lineRule="auto"/>
        <w:rPr>
          <w:rFonts w:ascii="宋体" w:hAnsi="宋体" w:cs="宋体"/>
          <w:b/>
          <w:sz w:val="36"/>
          <w:szCs w:val="36"/>
          <w:highlight w:val="none"/>
        </w:rPr>
      </w:pPr>
      <w:r>
        <w:rPr>
          <w:sz w:val="24"/>
          <w:highlight w:val="none"/>
        </w:rPr>
        <w:br w:type="page" w:clear="all"/>
      </w:r>
      <w:r>
        <w:rPr>
          <w:rFonts w:hint="eastAsia" w:ascii="宋体" w:hAnsi="宋体" w:cs="宋体"/>
          <w:b/>
          <w:bCs/>
          <w:sz w:val="36"/>
          <w:szCs w:val="36"/>
          <w:highlight w:val="none"/>
        </w:rPr>
        <w:t xml:space="preserve">残疾人福利性单位声明函格式</w:t>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 141</w:t>
      </w:r>
      <w:r>
        <w:rPr>
          <w:rFonts w:hint="eastAsia" w:ascii="宋体" w:hAnsi="宋体" w:cs="宋体"/>
          <w:spacing w:val="6"/>
          <w:sz w:val="24"/>
          <w:highlight w:val="none"/>
        </w:rPr>
        <w:t xml:space="preserve">号）的规定，本单位</w:t>
      </w:r>
      <w:r>
        <w:rPr>
          <w:rFonts w:hint="eastAsia" w:ascii="宋体" w:hAnsi="宋体" w:cs="宋体"/>
          <w:b/>
          <w:sz w:val="24"/>
          <w:highlight w:val="none"/>
        </w:rPr>
        <w:t xml:space="preserve">（请进行勾选）</w:t>
      </w:r>
      <w:r>
        <w:rPr>
          <w:rFonts w:hint="eastAsia" w:ascii="宋体" w:hAnsi="宋体" w:cs="宋体"/>
          <w:spacing w:val="6"/>
          <w:sz w:val="24"/>
          <w:highlight w:val="none"/>
        </w:rPr>
        <w:t xml:space="preserve">：</w:t>
      </w:r>
      <w:r/>
    </w:p>
    <w:p>
      <w:pPr>
        <w:ind w:firstLine="482"/>
        <w:spacing w:line="588" w:lineRule="exact"/>
        <w:rPr>
          <w:rFonts w:ascii="宋体" w:hAnsi="宋体" w:cs="宋体"/>
          <w:b/>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不属于符合条件的残疾人福利性单位。</w:t>
      </w:r>
      <w:r/>
    </w:p>
    <w:p>
      <w:pPr>
        <w:ind w:firstLine="482"/>
        <w:spacing w:line="588" w:lineRule="exact"/>
        <w:rPr>
          <w:rFonts w:ascii="宋体" w:hAnsi="宋体" w:cs="宋体"/>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属于符合条件的残疾人福利性单位，</w:t>
      </w:r>
      <w:r>
        <w:rPr>
          <w:rFonts w:hint="eastAsia" w:ascii="宋体" w:hAnsi="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spacing w:val="6"/>
          <w:sz w:val="24"/>
          <w:highlight w:val="none"/>
        </w:rPr>
      </w:pPr>
      <w:r>
        <w:rPr>
          <w:rFonts w:hint="eastAsia" w:ascii="宋体" w:hAnsi="宋体" w:cs="宋体"/>
          <w:b/>
          <w:spacing w:val="6"/>
          <w:sz w:val="24"/>
          <w:highlight w:val="none"/>
        </w:rPr>
        <w:t xml:space="preserve">本单位对上述声明的真实性负责。如有虚假，将依法承担相应责任。</w:t>
      </w:r>
      <w:r/>
    </w:p>
    <w:p>
      <w:pPr>
        <w:ind w:firstLine="504"/>
        <w:spacing w:line="588" w:lineRule="exact"/>
        <w:rPr>
          <w:rFonts w:ascii="宋体" w:hAnsi="宋体" w:cs="宋体"/>
          <w:spacing w:val="6"/>
          <w:sz w:val="24"/>
          <w:highlight w:val="none"/>
        </w:rPr>
      </w:pPr>
      <w:r>
        <w:rPr>
          <w:rFonts w:ascii="宋体" w:hAnsi="宋体" w:cs="宋体"/>
          <w:spacing w:val="6"/>
          <w:sz w:val="24"/>
          <w:highlight w:val="none"/>
        </w:rPr>
      </w:r>
      <w:r/>
    </w:p>
    <w:p>
      <w:pPr>
        <w:ind w:firstLine="504"/>
        <w:spacing w:line="588" w:lineRule="exact"/>
        <w:rPr>
          <w:rFonts w:ascii="宋体" w:hAnsi="宋体" w:cs="宋体"/>
          <w:spacing w:val="6"/>
          <w:sz w:val="24"/>
          <w:highlight w:val="none"/>
        </w:rPr>
      </w:pPr>
      <w:r>
        <w:rPr>
          <w:rFonts w:ascii="宋体" w:hAnsi="宋体" w:cs="宋体"/>
          <w:spacing w:val="6"/>
          <w:sz w:val="24"/>
          <w:highlight w:val="none"/>
        </w:rPr>
      </w:r>
      <w:r/>
    </w:p>
    <w:p>
      <w:pPr>
        <w:ind w:right="1560" w:firstLine="504"/>
        <w:jc w:val="center"/>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日  期：</w:t>
      </w:r>
      <w:r/>
    </w:p>
    <w:p>
      <w:pPr>
        <w:ind w:right="1560" w:firstLine="504"/>
        <w:jc w:val="center"/>
        <w:spacing w:line="588" w:lineRule="exact"/>
        <w:tabs>
          <w:tab w:val="left" w:pos="4860" w:leader="none"/>
        </w:tabs>
        <w:rPr>
          <w:rFonts w:ascii="宋体" w:hAnsi="宋体" w:cs="宋体"/>
          <w:spacing w:val="6"/>
          <w:sz w:val="24"/>
          <w:highlight w:val="none"/>
        </w:rPr>
      </w:pPr>
      <w:r>
        <w:rPr>
          <w:rFonts w:ascii="宋体" w:hAnsi="宋体" w:cs="宋体"/>
          <w:spacing w:val="6"/>
          <w:sz w:val="24"/>
          <w:highlight w:val="none"/>
        </w:rPr>
      </w:r>
      <w:r/>
    </w:p>
    <w:p>
      <w:pPr>
        <w:ind w:right="1560" w:firstLine="504"/>
        <w:jc w:val="center"/>
        <w:spacing w:line="588" w:lineRule="exact"/>
        <w:tabs>
          <w:tab w:val="left" w:pos="4860" w:leader="none"/>
        </w:tabs>
        <w:rPr>
          <w:rFonts w:ascii="宋体" w:hAnsi="宋体" w:cs="宋体"/>
          <w:spacing w:val="6"/>
          <w:sz w:val="24"/>
          <w:highlight w:val="none"/>
        </w:rPr>
      </w:pPr>
      <w:r>
        <w:rPr>
          <w:rFonts w:ascii="宋体" w:hAnsi="宋体" w:cs="宋体"/>
          <w:spacing w:val="6"/>
          <w:sz w:val="24"/>
          <w:highlight w:val="none"/>
        </w:rPr>
      </w:r>
      <w:r/>
    </w:p>
    <w:p>
      <w:pPr>
        <w:rPr>
          <w:highlight w:val="none"/>
        </w:rPr>
      </w:pPr>
      <w:r>
        <w:rPr>
          <w:highlight w:val="none"/>
        </w:rPr>
        <w:br w:type="page" w:clear="all"/>
      </w:r>
      <w:r/>
    </w:p>
    <w:p>
      <w:pPr>
        <w:pStyle w:val="947"/>
        <w:rPr>
          <w:rFonts w:hint="eastAsia"/>
          <w:color w:val="auto"/>
          <w:highlight w:val="none"/>
        </w:rPr>
      </w:pPr>
      <w:r>
        <w:rPr>
          <w:rFonts w:hint="eastAsia"/>
          <w:color w:val="auto"/>
          <w:highlight w:val="none"/>
        </w:rPr>
        <w:t xml:space="preserve">11 关于符合本国产品标准的声明函</w:t>
      </w:r>
      <w:r/>
    </w:p>
    <w:p>
      <w:pPr>
        <w:pStyle w:val="983"/>
        <w:ind w:firstLine="420"/>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983"/>
        <w:jc w:val="center"/>
        <w:spacing w:before="0" w:beforeAutospacing="0" w:after="0" w:afterAutospacing="0" w:line="0" w:lineRule="atLeast"/>
        <w:rPr>
          <w:rFonts w:hint="eastAsia"/>
          <w:b/>
          <w:bCs/>
          <w:sz w:val="36"/>
          <w:szCs w:val="36"/>
          <w:highlight w:val="none"/>
        </w:rPr>
      </w:pPr>
      <w:r>
        <w:rPr>
          <w:rFonts w:hint="eastAsia"/>
          <w:b/>
          <w:bCs/>
          <w:sz w:val="36"/>
          <w:szCs w:val="36"/>
          <w:highlight w:val="none"/>
        </w:rPr>
        <w:t xml:space="preserve">关于符合本国产品标准的声明函</w:t>
      </w:r>
      <w:r/>
    </w:p>
    <w:p>
      <w:pPr>
        <w:rPr>
          <w:rFonts w:hint="eastAsia"/>
          <w:highlight w:val="none"/>
        </w:rPr>
      </w:pPr>
      <w:r>
        <w:rPr>
          <w:rFonts w:hint="eastAsia"/>
          <w:highlight w:val="none"/>
        </w:rPr>
      </w:r>
      <w:r/>
    </w:p>
    <w:p>
      <w:pPr>
        <w:pStyle w:val="983"/>
        <w:ind w:firstLine="420"/>
        <w:spacing w:before="0" w:beforeAutospacing="0" w:after="0" w:afterAutospacing="0" w:line="400" w:lineRule="exact"/>
        <w:rPr>
          <w:rFonts w:hint="eastAsia"/>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3"/>
        <w:ind w:firstLine="420"/>
        <w:spacing w:before="30" w:beforeAutospacing="0" w:after="30" w:afterAutospacing="0" w:line="40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4689475</wp:posOffset>
                </wp:positionH>
                <wp:positionV relativeFrom="paragraph">
                  <wp:posOffset>121285</wp:posOffset>
                </wp:positionV>
                <wp:extent cx="577215" cy="92075"/>
                <wp:effectExtent l="635" t="4445" r="12700" b="17780"/>
                <wp:wrapNone/>
                <wp:docPr id="4" name="自选图形 1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369.2pt;mso-position-horizontal:absolute;mso-position-vertical-relative:text;margin-top:9.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2860040</wp:posOffset>
                </wp:positionH>
                <wp:positionV relativeFrom="paragraph">
                  <wp:posOffset>359410</wp:posOffset>
                </wp:positionV>
                <wp:extent cx="816610" cy="103505"/>
                <wp:effectExtent l="635" t="4445" r="1905" b="6350"/>
                <wp:wrapNone/>
                <wp:docPr id="5" name="自选图形 1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25.2pt;mso-position-horizontal:absolute;mso-position-vertical-relative:text;margin-top:28.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2055495</wp:posOffset>
                </wp:positionH>
                <wp:positionV relativeFrom="paragraph">
                  <wp:posOffset>582930</wp:posOffset>
                </wp:positionV>
                <wp:extent cx="816610" cy="147320"/>
                <wp:effectExtent l="635" t="4445" r="1905" b="19685"/>
                <wp:wrapNone/>
                <wp:docPr id="6" name="自选图形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161.8pt;mso-position-horizontal:absolute;mso-position-vertical-relative:text;margin-top:45.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4099560</wp:posOffset>
                </wp:positionH>
                <wp:positionV relativeFrom="paragraph">
                  <wp:posOffset>342265</wp:posOffset>
                </wp:positionV>
                <wp:extent cx="565785" cy="130810"/>
                <wp:effectExtent l="1270" t="4445" r="4445" b="17145"/>
                <wp:wrapNone/>
                <wp:docPr id="7" name="自选图形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22.8pt;mso-position-horizontal:absolute;mso-position-vertical-relative:text;margin-top:26.9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62230</wp:posOffset>
                </wp:positionH>
                <wp:positionV relativeFrom="paragraph">
                  <wp:posOffset>597535</wp:posOffset>
                </wp:positionV>
                <wp:extent cx="816610" cy="76200"/>
                <wp:effectExtent l="635" t="4445" r="1905" b="14604"/>
                <wp:wrapNone/>
                <wp:docPr id="8" name="自选图形 1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4.9pt;mso-position-horizontal:absolute;mso-position-vertical-relative:text;margin-top:47.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3156585</wp:posOffset>
                </wp:positionH>
                <wp:positionV relativeFrom="paragraph">
                  <wp:posOffset>601980</wp:posOffset>
                </wp:positionV>
                <wp:extent cx="876300" cy="120015"/>
                <wp:effectExtent l="635" t="4445" r="18415" b="8890"/>
                <wp:wrapNone/>
                <wp:docPr id="9" name="自选图形 1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48.5pt;mso-position-horizontal:absolute;mso-position-vertical-relative:text;margin-top:47.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1.</w:t>
      </w:r>
      <w:r>
        <w:rPr>
          <w:rStyle w:val="993"/>
          <w:rFonts w:hint="eastAsia"/>
          <w:color w:val="auto"/>
          <w:highlight w:val="none"/>
          <w:u w:val="single"/>
          <w:shd w:val="clear" w:color="auto" w:fill="ffffff"/>
        </w:rPr>
        <w:t xml:space="preserve">（产品名称1）</w:t>
      </w:r>
      <w:r>
        <w:rPr>
          <w:rStyle w:val="993"/>
          <w:rFonts w:hint="eastAsia"/>
          <w:color w:val="auto"/>
          <w:highlight w:val="none"/>
          <w:shd w:val="clear" w:color="auto" w:fill="ffffff"/>
          <w:vertAlign w:val="superscript"/>
        </w:rPr>
        <w:t xml:space="preserve">1</w:t>
      </w:r>
      <w:r>
        <w:rPr>
          <w:rFonts w:hint="eastAsia"/>
          <w:highlight w:val="none"/>
          <w:shd w:val="clear" w:color="auto" w:fill="ffffff"/>
        </w:rPr>
        <w:t xml:space="preserve">，生产厂为</w:t>
      </w:r>
      <w:r>
        <w:rPr>
          <w:rStyle w:val="993"/>
          <w:rFonts w:hint="eastAsia"/>
          <w:color w:val="auto"/>
          <w:highlight w:val="none"/>
          <w:u w:val="single"/>
          <w:shd w:val="clear" w:color="auto" w:fill="ffffff"/>
        </w:rPr>
        <w:t xml:space="preserve">（厂名）</w:t>
      </w:r>
      <w:r>
        <w:rPr>
          <w:rStyle w:val="993"/>
          <w:rFonts w:hint="eastAsia"/>
          <w:color w:val="auto"/>
          <w:highlight w:val="none"/>
          <w:shd w:val="clear" w:color="auto" w:fill="ffffff"/>
          <w:vertAlign w:val="superscript"/>
        </w:rPr>
        <w:t xml:space="preserve">2</w:t>
      </w:r>
      <w:r>
        <w:rPr>
          <w:rFonts w:hint="eastAsia"/>
          <w:highlight w:val="none"/>
          <w:shd w:val="clear" w:color="auto" w:fill="ffffff"/>
        </w:rPr>
        <w:t xml:space="preserve">，厂址为</w:t>
      </w:r>
      <w:r>
        <w:rPr>
          <w:rStyle w:val="993"/>
          <w:rFonts w:hint="eastAsia"/>
          <w:color w:val="auto"/>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993"/>
          <w:rFonts w:hint="eastAsia"/>
          <w:color w:val="auto"/>
          <w:highlight w:val="none"/>
          <w:u w:val="single"/>
          <w:shd w:val="clear" w:color="auto" w:fill="ffffff"/>
        </w:rPr>
        <w:t xml:space="preserve">（产品名称1） </w:t>
      </w:r>
      <w:r>
        <w:rPr>
          <w:rFonts w:hint="eastAsia"/>
          <w:highlight w:val="none"/>
          <w:shd w:val="clear" w:color="auto" w:fill="ffffff"/>
        </w:rPr>
        <w:t xml:space="preserve">的中国境内生产的组件成本占比≥</w:t>
      </w:r>
      <w:r>
        <w:rPr>
          <w:rStyle w:val="993"/>
          <w:rFonts w:hint="eastAsia"/>
          <w:color w:val="auto"/>
          <w:highlight w:val="none"/>
          <w:u w:val="single"/>
          <w:shd w:val="clear" w:color="auto" w:fill="ffffff"/>
        </w:rPr>
        <w:t xml:space="preserve">（规定比例）</w:t>
      </w:r>
      <w:r>
        <w:rPr>
          <w:rStyle w:val="993"/>
          <w:rFonts w:hint="eastAsia"/>
          <w:color w:val="auto"/>
          <w:highlight w:val="none"/>
          <w:shd w:val="clear" w:color="auto" w:fill="ffffff"/>
          <w:vertAlign w:val="superscript"/>
        </w:rPr>
        <w:t xml:space="preserve">3</w:t>
      </w:r>
      <w:r>
        <w:rPr>
          <w:rFonts w:hint="eastAsia"/>
          <w:highlight w:val="none"/>
          <w:shd w:val="clear" w:color="auto" w:fill="ffffff"/>
        </w:rPr>
        <w:t xml:space="preserve">。</w:t>
      </w:r>
      <w:r>
        <w:rPr>
          <w:rStyle w:val="993"/>
          <w:rFonts w:hint="eastAsia"/>
          <w:color w:val="auto"/>
          <w:highlight w:val="none"/>
          <w:u w:val="single"/>
          <w:shd w:val="clear" w:color="auto" w:fill="ffffff"/>
        </w:rPr>
        <w:t xml:space="preserve">（产品名称1）</w:t>
      </w:r>
      <w:r>
        <w:rPr>
          <w:rFonts w:hint="eastAsia"/>
          <w:highlight w:val="none"/>
          <w:shd w:val="clear" w:color="auto" w:fill="ffffff"/>
        </w:rPr>
        <w:t xml:space="preserve">的</w:t>
      </w:r>
      <w:r>
        <w:rPr>
          <w:rStyle w:val="993"/>
          <w:rFonts w:hint="eastAsia"/>
          <w:color w:val="auto"/>
          <w:highlight w:val="none"/>
          <w:u w:val="single"/>
          <w:shd w:val="clear" w:color="auto" w:fill="ffffff"/>
        </w:rPr>
        <w:t xml:space="preserve">（关键组件）</w:t>
      </w:r>
      <w:r>
        <w:rPr>
          <w:rStyle w:val="993"/>
          <w:rFonts w:hint="eastAsia"/>
          <w:color w:val="auto"/>
          <w:highlight w:val="none"/>
          <w:shd w:val="clear" w:color="auto" w:fill="ffffff"/>
          <w:vertAlign w:val="superscript"/>
        </w:rPr>
        <w:t xml:space="preserve">4</w:t>
      </w:r>
      <w:r>
        <w:rPr>
          <w:rFonts w:hint="eastAsia"/>
          <w:highlight w:val="none"/>
          <w:shd w:val="clear" w:color="auto" w:fill="ffffff"/>
        </w:rPr>
        <w:t xml:space="preserve">在中国境内生产。</w:t>
      </w:r>
      <w:r>
        <w:rPr>
          <w:rStyle w:val="993"/>
          <w:rFonts w:hint="eastAsia"/>
          <w:color w:val="auto"/>
          <w:highlight w:val="none"/>
          <w:u w:val="single"/>
          <w:shd w:val="clear" w:color="auto" w:fill="ffffff"/>
        </w:rPr>
        <w:t xml:space="preserve">（产品名称1）</w:t>
      </w:r>
      <w:r>
        <w:rPr>
          <w:rFonts w:hint="eastAsia"/>
          <w:highlight w:val="none"/>
          <w:shd w:val="clear" w:color="auto" w:fill="ffffff"/>
        </w:rPr>
        <w:t xml:space="preserve">的</w:t>
      </w:r>
      <w:r>
        <w:rPr>
          <w:rStyle w:val="993"/>
          <w:rFonts w:hint="eastAsia"/>
          <w:color w:val="auto"/>
          <w:highlight w:val="none"/>
          <w:u w:val="single"/>
          <w:shd w:val="clear" w:color="auto" w:fill="ffffff"/>
        </w:rPr>
        <w:t xml:space="preserve">（关键工序）</w:t>
      </w:r>
      <w:r>
        <w:rPr>
          <w:rStyle w:val="993"/>
          <w:rFonts w:hint="eastAsia"/>
          <w:color w:val="auto"/>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983"/>
        <w:ind w:firstLine="420"/>
        <w:spacing w:before="30" w:beforeAutospacing="0" w:after="30" w:afterAutospacing="0" w:line="40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2791460</wp:posOffset>
                </wp:positionH>
                <wp:positionV relativeFrom="paragraph">
                  <wp:posOffset>579755</wp:posOffset>
                </wp:positionV>
                <wp:extent cx="908685" cy="140970"/>
                <wp:effectExtent l="635" t="4445" r="5080" b="6985"/>
                <wp:wrapNone/>
                <wp:docPr id="10" name="自选图形 2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219.8pt;mso-position-horizontal:absolute;mso-position-vertical-relative:text;margin-top:45.6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1898015</wp:posOffset>
                </wp:positionH>
                <wp:positionV relativeFrom="paragraph">
                  <wp:posOffset>570865</wp:posOffset>
                </wp:positionV>
                <wp:extent cx="821690" cy="102870"/>
                <wp:effectExtent l="635" t="4445" r="15875" b="6985"/>
                <wp:wrapNone/>
                <wp:docPr id="11" name="自选图形 2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149.4pt;mso-position-horizontal:absolute;mso-position-vertical-relative:text;margin-top:44.9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2663825</wp:posOffset>
                </wp:positionH>
                <wp:positionV relativeFrom="paragraph">
                  <wp:posOffset>349250</wp:posOffset>
                </wp:positionV>
                <wp:extent cx="816610" cy="103505"/>
                <wp:effectExtent l="635" t="4445" r="1905" b="6350"/>
                <wp:wrapNone/>
                <wp:docPr id="12" name="自选图形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209.8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3707130</wp:posOffset>
                </wp:positionH>
                <wp:positionV relativeFrom="paragraph">
                  <wp:posOffset>357505</wp:posOffset>
                </wp:positionV>
                <wp:extent cx="849630" cy="120015"/>
                <wp:effectExtent l="635" t="4445" r="6985" b="8890"/>
                <wp:wrapNone/>
                <wp:docPr id="13" name="自选图形 2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91.9pt;mso-position-horizontal:absolute;mso-position-vertical-relative:text;margin-top:28.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-74930</wp:posOffset>
                </wp:positionH>
                <wp:positionV relativeFrom="paragraph">
                  <wp:posOffset>577215</wp:posOffset>
                </wp:positionV>
                <wp:extent cx="843915" cy="125730"/>
                <wp:effectExtent l="635" t="4445" r="12700" b="22225"/>
                <wp:wrapNone/>
                <wp:docPr id="14" name="自选图形 2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5.9pt;mso-position-horizontal:absolute;mso-position-vertical-relative:text;margin-top:45.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4552315</wp:posOffset>
                </wp:positionH>
                <wp:positionV relativeFrom="paragraph">
                  <wp:posOffset>102235</wp:posOffset>
                </wp:positionV>
                <wp:extent cx="718185" cy="97790"/>
                <wp:effectExtent l="635" t="4445" r="5080" b="12065"/>
                <wp:wrapNone/>
                <wp:docPr id="15" name="自选图形 2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2.</w:t>
      </w:r>
      <w:r>
        <w:rPr>
          <w:rStyle w:val="993"/>
          <w:rFonts w:hint="eastAsia"/>
          <w:color w:val="auto"/>
          <w:highlight w:val="none"/>
          <w:u w:val="single"/>
          <w:shd w:val="clear" w:color="auto" w:fill="ffffff"/>
        </w:rPr>
        <w:t xml:space="preserve">（产品名称2）</w:t>
      </w:r>
      <w:r>
        <w:rPr>
          <w:rFonts w:hint="eastAsia"/>
          <w:highlight w:val="none"/>
          <w:shd w:val="clear" w:color="auto" w:fill="ffffff"/>
        </w:rPr>
        <w:t xml:space="preserve">，生产厂为</w:t>
      </w:r>
      <w:r>
        <w:rPr>
          <w:rStyle w:val="993"/>
          <w:rFonts w:hint="eastAsia"/>
          <w:color w:val="auto"/>
          <w:highlight w:val="none"/>
          <w:u w:val="single"/>
          <w:shd w:val="clear" w:color="auto" w:fill="ffffff"/>
        </w:rPr>
        <w:t xml:space="preserve">（厂名）</w:t>
      </w:r>
      <w:r>
        <w:rPr>
          <w:rFonts w:hint="eastAsia"/>
          <w:highlight w:val="none"/>
          <w:shd w:val="clear" w:color="auto" w:fill="ffffff"/>
        </w:rPr>
        <w:t xml:space="preserve">，厂址为</w:t>
      </w:r>
      <w:r>
        <w:rPr>
          <w:rStyle w:val="993"/>
          <w:rFonts w:hint="eastAsia"/>
          <w:color w:val="auto"/>
          <w:highlight w:val="none"/>
          <w:u w:val="single"/>
          <w:shd w:val="clear" w:color="auto" w:fill="ffffff"/>
        </w:rPr>
        <w:t xml:space="preserve">（生产厂址）</w:t>
      </w:r>
      <w:r>
        <w:rPr>
          <w:rFonts w:hint="eastAsia"/>
          <w:highlight w:val="none"/>
          <w:shd w:val="clear" w:color="auto" w:fill="ffffff"/>
        </w:rPr>
        <w:t xml:space="preserve">。</w:t>
      </w:r>
      <w:r>
        <w:rPr>
          <w:rStyle w:val="993"/>
          <w:rFonts w:hint="eastAsia"/>
          <w:color w:val="auto"/>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993"/>
          <w:rFonts w:hint="eastAsia"/>
          <w:color w:val="auto"/>
          <w:highlight w:val="none"/>
          <w:u w:val="single"/>
          <w:shd w:val="clear" w:color="auto" w:fill="ffffff"/>
        </w:rPr>
        <w:t xml:space="preserve">（规定比例）</w:t>
      </w:r>
      <w:r>
        <w:rPr>
          <w:rFonts w:hint="eastAsia"/>
          <w:highlight w:val="none"/>
          <w:shd w:val="clear" w:color="auto" w:fill="ffffff"/>
        </w:rPr>
        <w:t xml:space="preserve">。</w:t>
      </w:r>
      <w:r>
        <w:rPr>
          <w:rStyle w:val="993"/>
          <w:rFonts w:hint="eastAsia"/>
          <w:color w:val="auto"/>
          <w:highlight w:val="none"/>
          <w:u w:val="single"/>
          <w:shd w:val="clear" w:color="auto" w:fill="ffffff"/>
        </w:rPr>
        <w:t xml:space="preserve">（产品名称2）</w:t>
      </w:r>
      <w:r>
        <w:rPr>
          <w:rFonts w:hint="eastAsia"/>
          <w:highlight w:val="none"/>
          <w:shd w:val="clear" w:color="auto" w:fill="ffffff"/>
        </w:rPr>
        <w:t xml:space="preserve">的</w:t>
      </w:r>
      <w:r>
        <w:rPr>
          <w:rStyle w:val="993"/>
          <w:rFonts w:hint="eastAsia"/>
          <w:color w:val="auto"/>
          <w:highlight w:val="none"/>
          <w:u w:val="single"/>
          <w:shd w:val="clear" w:color="auto" w:fill="ffffff"/>
        </w:rPr>
        <w:t xml:space="preserve">（关键组件）</w:t>
      </w:r>
      <w:r>
        <w:rPr>
          <w:rFonts w:hint="eastAsia"/>
          <w:highlight w:val="none"/>
          <w:shd w:val="clear" w:color="auto" w:fill="ffffff"/>
        </w:rPr>
        <w:t xml:space="preserve">在中国境内生产。</w:t>
      </w:r>
      <w:r>
        <w:rPr>
          <w:rStyle w:val="993"/>
          <w:rFonts w:hint="eastAsia"/>
          <w:color w:val="auto"/>
          <w:highlight w:val="none"/>
          <w:u w:val="single"/>
          <w:shd w:val="clear" w:color="auto" w:fill="ffffff"/>
        </w:rPr>
        <w:t xml:space="preserve">（产品名称1）</w:t>
      </w:r>
      <w:r>
        <w:rPr>
          <w:rFonts w:hint="eastAsia"/>
          <w:highlight w:val="none"/>
          <w:shd w:val="clear" w:color="auto" w:fill="ffffff"/>
        </w:rPr>
        <w:t xml:space="preserve">的</w:t>
      </w:r>
      <w:r>
        <w:rPr>
          <w:rStyle w:val="993"/>
          <w:rFonts w:hint="eastAsia"/>
          <w:color w:val="auto"/>
          <w:highlight w:val="none"/>
          <w:u w:val="single"/>
          <w:shd w:val="clear" w:color="auto" w:fill="ffffff"/>
        </w:rPr>
        <w:t xml:space="preserve">（关键工序）</w:t>
      </w:r>
      <w:r>
        <w:rPr>
          <w:rFonts w:hint="eastAsia"/>
          <w:highlight w:val="none"/>
          <w:shd w:val="clear" w:color="auto" w:fill="ffffff"/>
        </w:rPr>
        <w:t xml:space="preserve">在中国境内完成。</w:t>
      </w:r>
      <w:r/>
    </w:p>
    <w:p>
      <w:pPr>
        <w:pStyle w:val="983"/>
        <w:ind w:firstLine="420"/>
        <w:spacing w:before="30" w:beforeAutospacing="0" w:after="30" w:afterAutospacing="0" w:line="400" w:lineRule="exact"/>
        <w:rPr>
          <w:rFonts w:hint="eastAsia"/>
          <w:highlight w:val="none"/>
        </w:rPr>
      </w:pPr>
      <w:r>
        <w:rPr>
          <w:rFonts w:hint="eastAsia"/>
          <w:highlight w:val="none"/>
          <w:shd w:val="clear" w:color="auto" w:fill="ffffff"/>
        </w:rPr>
        <w:t xml:space="preserve">……</w:t>
      </w:r>
      <w:r/>
    </w:p>
    <w:p>
      <w:pPr>
        <w:pStyle w:val="983"/>
        <w:ind w:firstLine="420"/>
        <w:spacing w:before="30" w:beforeAutospacing="0" w:after="30" w:afterAutospacing="0" w:line="400" w:lineRule="exact"/>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983"/>
        <w:spacing w:before="30" w:beforeAutospacing="0" w:after="30" w:afterAutospacing="0" w:line="400" w:lineRule="exact"/>
        <w:rPr>
          <w:rFonts w:hint="eastAsia"/>
          <w:highlight w:val="none"/>
        </w:rPr>
      </w:pPr>
      <w:r>
        <w:rPr>
          <w:rFonts w:hint="eastAsia"/>
          <w:highlight w:val="none"/>
        </w:rPr>
      </w:r>
      <w:r/>
    </w:p>
    <w:p>
      <w:pPr>
        <w:pStyle w:val="983"/>
        <w:ind w:right="480" w:firstLine="3720"/>
        <w:spacing w:before="30" w:beforeAutospacing="0" w:after="30" w:afterAutospacing="0" w:line="400" w:lineRule="exact"/>
        <w:rPr>
          <w:rFonts w:hint="eastAsia"/>
          <w:highlight w:val="none"/>
        </w:rPr>
      </w:pPr>
      <w:r>
        <w:rPr>
          <w:rFonts w:hint="eastAsia"/>
          <w:highlight w:val="none"/>
          <w:shd w:val="clear" w:color="auto" w:fill="ffffff"/>
        </w:rPr>
        <w:t xml:space="preserve">公司（单位）名称（盖章）：　        </w:t>
      </w:r>
      <w:r/>
    </w:p>
    <w:p>
      <w:pPr>
        <w:pStyle w:val="983"/>
        <w:jc w:val="center"/>
        <w:spacing w:before="30" w:beforeAutospacing="0" w:after="30" w:afterAutospacing="0" w:line="400" w:lineRule="exact"/>
        <w:rPr>
          <w:rFonts w:hint="eastAsia"/>
          <w:highlight w:val="none"/>
        </w:rPr>
      </w:pPr>
      <w:r>
        <w:rPr>
          <w:rFonts w:hint="eastAsia"/>
          <w:highlight w:val="none"/>
          <w:shd w:val="clear" w:color="auto" w:fill="ffffff"/>
        </w:rPr>
        <w:t xml:space="preserve">                                日期：　   年　  月　  日         </w:t>
      </w:r>
      <w:r/>
    </w:p>
    <w:p>
      <w:pPr>
        <w:pStyle w:val="983"/>
        <w:spacing w:before="30" w:beforeAutospacing="0" w:after="30" w:afterAutospacing="0" w:line="0" w:lineRule="atLeast"/>
        <w:rPr>
          <w:rFonts w:hint="eastAsia" w:ascii="方正魏碑_GBK" w:hAnsi="方正魏碑_GBK" w:eastAsia="方正魏碑_GBK" w:cs="方正魏碑_GBK"/>
          <w:highlight w:val="none"/>
          <w:shd w:val="clear" w:color="auto" w:fill="ffffff"/>
        </w:rPr>
      </w:pPr>
      <w:r>
        <w:rPr>
          <w:rFonts w:hint="eastAsia" w:ascii="方正魏碑_GBK" w:hAnsi="方正魏碑_GBK" w:eastAsia="方正魏碑_GBK" w:cs="方正魏碑_GBK"/>
          <w:highlight w:val="none"/>
          <w:shd w:val="clear" w:color="auto" w:fill="ffffff"/>
        </w:rPr>
      </w:r>
      <w:r/>
    </w:p>
    <w:p>
      <w:pPr>
        <w:pStyle w:val="983"/>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__________________</w:t>
      </w:r>
      <w:r/>
    </w:p>
    <w:p>
      <w:pPr>
        <w:pStyle w:val="983"/>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1.产品如有型号，请在“产品名称”栏一并填写。</w:t>
      </w:r>
      <w:r/>
    </w:p>
    <w:p>
      <w:pPr>
        <w:pStyle w:val="983"/>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2.生产厂名与厂址应与生产厂营业执照载明的相关信息保持一致。</w:t>
      </w:r>
      <w:r/>
    </w:p>
    <w:p>
      <w:pPr>
        <w:pStyle w:val="983"/>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3.该产品的中国境内生产的组件成本占比相关要求实施前，“规定比例”栏可不填，下同。</w:t>
      </w:r>
      <w:r/>
    </w:p>
    <w:p>
      <w:pPr>
        <w:pStyle w:val="983"/>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4.该产品的关键组件要求实施前，“关键组件”栏可不填，下同。</w:t>
      </w:r>
      <w:r/>
    </w:p>
    <w:p>
      <w:pPr>
        <w:pStyle w:val="983"/>
        <w:spacing w:before="30" w:beforeAutospacing="0" w:after="30" w:afterAutospacing="0" w:line="0" w:lineRule="atLeast"/>
        <w:rPr>
          <w:rFonts w:ascii="方正魏碑_GBK" w:hAnsi="方正魏碑_GBK" w:eastAsia="方正魏碑_GBK" w:cs="方正魏碑_GBK"/>
          <w:b/>
          <w:bCs/>
          <w:sz w:val="22"/>
          <w:highlight w:val="none"/>
          <w:shd w:val="clear" w:color="auto" w:fill="ffffff"/>
        </w:rPr>
      </w:pPr>
      <w:r>
        <w:rPr>
          <w:rFonts w:hint="eastAsia" w:ascii="方正魏碑_GBK" w:hAnsi="方正魏碑_GBK" w:eastAsia="方正魏碑_GBK" w:cs="方正魏碑_GBK"/>
          <w:b/>
          <w:bCs/>
          <w:sz w:val="22"/>
          <w:highlight w:val="none"/>
          <w:shd w:val="clear" w:color="auto" w:fill="ffffff"/>
        </w:rPr>
        <w:t xml:space="preserve">5.该产品的关键工序要求实施前，“关键工序”栏可不填，下同。</w:t>
      </w:r>
      <w:r/>
    </w:p>
    <w:p>
      <w:pPr>
        <w:pStyle w:val="983"/>
        <w:spacing w:before="30" w:beforeAutospacing="0" w:after="30" w:afterAutospacing="0" w:line="0" w:lineRule="atLeast"/>
        <w:rPr>
          <w:rFonts w:ascii="方正魏碑_GBK" w:hAnsi="方正魏碑_GBK" w:eastAsia="方正魏碑_GBK" w:cs="方正魏碑_GBK"/>
          <w:b/>
          <w:bCs/>
          <w:sz w:val="22"/>
          <w:highlight w:val="none"/>
          <w:shd w:val="clear" w:color="auto" w:fill="ffffff"/>
        </w:rPr>
      </w:pPr>
      <w:r>
        <w:rPr>
          <w:rFonts w:hint="eastAsia" w:ascii="方正魏碑_GBK" w:hAnsi="方正魏碑_GBK" w:eastAsia="方正魏碑_GBK" w:cs="方正魏碑_GBK"/>
          <w:b/>
          <w:bCs/>
          <w:sz w:val="22"/>
          <w:highlight w:val="none"/>
          <w:shd w:val="clear" w:color="auto" w:fill="ffffff"/>
        </w:rPr>
        <w:t xml:space="preserve">6.用斜线划除的地方无需填写。</w:t>
      </w:r>
      <w:r/>
    </w:p>
    <w:p>
      <w:pPr>
        <w:rPr>
          <w:rFonts w:hint="eastAsia"/>
          <w:highlight w:val="none"/>
        </w:rPr>
      </w:pPr>
      <w:r>
        <w:rPr>
          <w:rFonts w:hint="eastAsia"/>
          <w:highlight w:val="none"/>
        </w:rPr>
        <w:br w:type="page" w:clear="all"/>
      </w:r>
      <w:r/>
    </w:p>
    <w:p>
      <w:pPr>
        <w:pStyle w:val="947"/>
        <w:rPr>
          <w:rFonts w:hint="eastAsia"/>
          <w:color w:val="auto"/>
          <w:highlight w:val="none"/>
        </w:rPr>
      </w:pPr>
      <w:r>
        <w:rPr>
          <w:rFonts w:hint="eastAsia"/>
          <w:color w:val="auto"/>
          <w:highlight w:val="none"/>
        </w:rPr>
        <w:t xml:space="preserve">12 参加本项目人员一览表</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6"/>
          <w:szCs w:val="36"/>
          <w:highlight w:val="none"/>
        </w:rPr>
      </w:pPr>
      <w:r>
        <w:rPr>
          <w:rFonts w:hint="eastAsia" w:ascii="宋体" w:hAnsi="宋体"/>
          <w:b/>
          <w:sz w:val="36"/>
          <w:szCs w:val="36"/>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p>
    <w:tbl>
      <w:tblPr>
        <w:tblStyle w:val="955"/>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
        <w:gridCol w:w="852"/>
        <w:gridCol w:w="852"/>
        <w:gridCol w:w="852"/>
        <w:gridCol w:w="852"/>
        <w:gridCol w:w="852"/>
        <w:gridCol w:w="852"/>
        <w:gridCol w:w="852"/>
        <w:gridCol w:w="852"/>
        <w:gridCol w:w="852"/>
      </w:tblGrid>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责任</w:t>
            </w:r>
            <w:r/>
          </w:p>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或分工</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项目经历或主要工作</w:t>
            </w:r>
            <w:r/>
          </w:p>
          <w:p>
            <w:pPr>
              <w:jc w:val="center"/>
              <w:tabs>
                <w:tab w:val="left" w:pos="9765" w:leader="none"/>
              </w:tabs>
              <w:rPr>
                <w:rFonts w:ascii="宋体" w:hAnsi="宋体" w:cs="宋体"/>
                <w:szCs w:val="21"/>
                <w:highlight w:val="none"/>
              </w:rPr>
            </w:pPr>
            <w:r>
              <w:rPr>
                <w:rFonts w:hint="eastAsia" w:ascii="宋体" w:hAnsi="宋体" w:cs="宋体"/>
                <w:szCs w:val="21"/>
                <w:highlight w:val="none"/>
              </w:rPr>
              <w:t xml:space="preserve">业绩</w:t>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2"/>
          <w:highlight w:val="none"/>
        </w:rPr>
      </w:pPr>
      <w:r>
        <w:rPr>
          <w:sz w:val="22"/>
          <w:highlight w:val="none"/>
        </w:rPr>
        <w:br w:type="page" w:clear="all"/>
      </w:r>
      <w:bookmarkStart w:id="1113" w:name="_Toc288738839"/>
      <w:r/>
      <w:bookmarkStart w:id="1114" w:name="_Toc288738397"/>
      <w:r/>
      <w:r/>
    </w:p>
    <w:p>
      <w:pPr>
        <w:pStyle w:val="947"/>
        <w:rPr>
          <w:rFonts w:hint="eastAsia"/>
          <w:color w:val="auto"/>
          <w:highlight w:val="none"/>
        </w:rPr>
      </w:pPr>
      <w:r>
        <w:rPr>
          <w:rFonts w:hint="eastAsia"/>
          <w:color w:val="auto"/>
          <w:highlight w:val="none"/>
        </w:rPr>
        <w:t xml:space="preserve">13 相关业绩案例一览表</w:t>
      </w:r>
      <w:r/>
    </w:p>
    <w:p>
      <w:pPr>
        <w:rPr>
          <w:sz w:val="24"/>
          <w:szCs w:val="20"/>
          <w:highlight w:val="none"/>
        </w:rPr>
      </w:pPr>
      <w:r>
        <w:rPr>
          <w:sz w:val="24"/>
          <w:szCs w:val="20"/>
          <w:highlight w:val="none"/>
        </w:rPr>
      </w:r>
      <w:r/>
    </w:p>
    <w:p>
      <w:pPr>
        <w:jc w:val="center"/>
        <w:rPr>
          <w:rFonts w:ascii="宋体" w:hAnsi="宋体"/>
          <w:b/>
          <w:sz w:val="36"/>
          <w:szCs w:val="36"/>
          <w:highlight w:val="none"/>
        </w:rPr>
      </w:pPr>
      <w:r>
        <w:rPr>
          <w:rFonts w:hint="eastAsia" w:ascii="宋体" w:hAnsi="宋体"/>
          <w:b/>
          <w:sz w:val="36"/>
          <w:szCs w:val="36"/>
          <w:highlight w:val="none"/>
        </w:rPr>
        <w:t xml:space="preserve">相关业绩案例一览表</w:t>
      </w:r>
      <w:bookmarkEnd w:id="1113"/>
      <w:r/>
      <w:bookmarkEnd w:id="1114"/>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p>
    <w:tbl>
      <w:tblPr>
        <w:tblStyle w:val="95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214"/>
        <w:gridCol w:w="1589"/>
        <w:gridCol w:w="1437"/>
        <w:gridCol w:w="1132"/>
        <w:gridCol w:w="1637"/>
        <w:gridCol w:w="1511"/>
      </w:tblGrid>
      <w:tr>
        <w:trPr>
          <w:jc w:val="center"/>
          <w:trHeight w:val="498"/>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szCs w:val="21"/>
                <w:highlight w:val="none"/>
                <w:lang w:val="zh-CN"/>
              </w:rPr>
            </w:pPr>
            <w:r>
              <w:rPr>
                <w:rFonts w:hint="eastAsia" w:ascii="宋体" w:hAnsi="宋体" w:cs="宋体"/>
                <w:szCs w:val="21"/>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szCs w:val="21"/>
                <w:highlight w:val="none"/>
                <w:lang w:val="zh-CN"/>
              </w:rPr>
            </w:pPr>
            <w:r>
              <w:rPr>
                <w:rFonts w:hint="eastAsia" w:ascii="宋体" w:hAnsi="宋体" w:cs="宋体"/>
                <w:szCs w:val="21"/>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szCs w:val="21"/>
                <w:highlight w:val="none"/>
                <w:lang w:val="zh-CN"/>
              </w:rPr>
            </w:pPr>
            <w:r>
              <w:rPr>
                <w:rFonts w:hint="eastAsia" w:ascii="宋体" w:hAnsi="宋体" w:cs="宋体"/>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szCs w:val="21"/>
                <w:highlight w:val="none"/>
                <w:lang w:val="zh-CN"/>
              </w:rPr>
            </w:pPr>
            <w:r>
              <w:rPr>
                <w:rFonts w:hint="eastAsia" w:ascii="宋体" w:hAnsi="宋体" w:cs="宋体"/>
                <w:szCs w:val="21"/>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szCs w:val="21"/>
                <w:highlight w:val="none"/>
                <w:lang w:val="zh-CN"/>
              </w:rPr>
            </w:pPr>
            <w:r>
              <w:rPr>
                <w:rFonts w:hint="eastAsia" w:ascii="宋体" w:hAnsi="宋体" w:cs="宋体"/>
                <w:szCs w:val="21"/>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szCs w:val="21"/>
                <w:highlight w:val="none"/>
                <w:lang w:val="zh-CN"/>
              </w:rPr>
            </w:pPr>
            <w:r>
              <w:rPr>
                <w:rFonts w:hint="eastAsia" w:ascii="宋体" w:hAnsi="宋体" w:cs="宋体"/>
                <w:szCs w:val="21"/>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43"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960"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tabs>
                <w:tab w:val="left" w:pos="9765" w:leader="none"/>
              </w:tabs>
              <w:rPr>
                <w:rFonts w:ascii="宋体" w:hAnsi="宋体" w:cs="宋体"/>
                <w:szCs w:val="21"/>
                <w:highlight w:val="none"/>
              </w:rPr>
            </w:pPr>
            <w:r>
              <w:rPr>
                <w:rFonts w:ascii="宋体" w:hAnsi="宋体" w:cs="宋体"/>
                <w:szCs w:val="21"/>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47"/>
        <w:rPr>
          <w:color w:val="auto"/>
          <w:highlight w:val="none"/>
        </w:rPr>
      </w:pPr>
      <w:r>
        <w:rPr>
          <w:rFonts w:hint="eastAsia"/>
          <w:color w:val="auto"/>
          <w:highlight w:val="none"/>
        </w:rPr>
        <w:br w:type="page" w:clear="all"/>
      </w:r>
      <w:r>
        <w:rPr>
          <w:rFonts w:hint="eastAsia"/>
          <w:color w:val="auto"/>
          <w:highlight w:val="none"/>
        </w:rPr>
        <w:t xml:space="preserve">14 暗室、屏蔽房配</w:t>
      </w:r>
      <w:bookmarkStart w:id="1115" w:name="OLE_LINK535"/>
      <w:r>
        <w:rPr>
          <w:rFonts w:hint="eastAsia"/>
          <w:color w:val="auto"/>
          <w:highlight w:val="none"/>
        </w:rPr>
        <w:t xml:space="preserve">置、配件、材料等报价清单</w:t>
      </w:r>
      <w:bookmarkEnd w:id="1115"/>
      <w:r>
        <w:rPr>
          <w:rFonts w:hint="eastAsia"/>
          <w:color w:val="auto"/>
          <w:highlight w:val="none"/>
        </w:rPr>
        <w:t xml:space="preserve">（格式自拟）</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left"/>
        <w:spacing w:line="360" w:lineRule="auto"/>
        <w:rPr>
          <w:highlight w:val="none"/>
        </w:rPr>
      </w:pPr>
      <w:r>
        <w:rPr>
          <w:rFonts w:hint="eastAsia"/>
          <w:highlight w:val="none"/>
        </w:rPr>
        <w:br w:type="page" w:clear="all"/>
      </w:r>
      <w:r>
        <w:rPr>
          <w:rFonts w:hint="eastAsia" w:ascii="宋体" w:hAnsi="宋体" w:cs="宋体"/>
          <w:b/>
          <w:bCs/>
          <w:sz w:val="24"/>
          <w:highlight w:val="none"/>
        </w:rPr>
        <w:t xml:space="preserve">15 现场踏勘确认书</w:t>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t xml:space="preserve">现场踏勘确认书</w:t>
      </w:r>
      <w:r/>
    </w:p>
    <w:p>
      <w:pPr>
        <w:ind w:firstLine="480"/>
        <w:spacing w:line="400" w:lineRule="exact"/>
        <w:rPr>
          <w:rFonts w:ascii="宋体" w:hAnsi="宋体" w:cs="宋体"/>
          <w:sz w:val="24"/>
          <w:highlight w:val="none"/>
        </w:rPr>
      </w:pPr>
      <w:r>
        <w:rPr>
          <w:rFonts w:ascii="宋体" w:hAnsi="宋体" w:cs="宋体"/>
          <w:sz w:val="24"/>
          <w:highlight w:val="none"/>
        </w:rPr>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项目名称：</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项目编号：</w:t>
      </w:r>
      <w:r/>
    </w:p>
    <w:tbl>
      <w:tblPr>
        <w:tblStyle w:val="9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00"/>
        <w:gridCol w:w="5420"/>
      </w:tblGrid>
      <w:tr>
        <w:trPr>
          <w:jc w:val="center"/>
          <w:trHeight w:val="1058"/>
        </w:trPr>
        <w:tc>
          <w:tcPr>
            <w:tcW w:w="1819" w:type="pct"/>
            <w:vAlign w:val="center"/>
            <w:textDirection w:val="lrTb"/>
            <w:noWrap w:val="false"/>
          </w:tcPr>
          <w:p>
            <w:pPr>
              <w:jc w:val="center"/>
              <w:spacing w:line="440" w:lineRule="exact"/>
              <w:rPr>
                <w:rFonts w:hint="eastAsia" w:ascii="宋体" w:hAnsi="宋体" w:cs="宋体"/>
                <w:sz w:val="24"/>
                <w:highlight w:val="none"/>
              </w:rPr>
            </w:pPr>
            <w:r>
              <w:rPr>
                <w:rFonts w:hint="eastAsia" w:ascii="宋体" w:hAnsi="宋体" w:cs="宋体"/>
                <w:sz w:val="24"/>
                <w:highlight w:val="none"/>
              </w:rPr>
              <w:t xml:space="preserve">投标人名称（公章）</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970"/>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现场踏勘人姓名</w:t>
            </w:r>
            <w:r/>
          </w:p>
        </w:tc>
        <w:tc>
          <w:tcPr>
            <w:tcW w:w="3180" w:type="pct"/>
            <w:vAlign w:val="center"/>
            <w:textDirection w:val="lrTb"/>
            <w:noWrap w:val="false"/>
          </w:tcPr>
          <w:p>
            <w:pPr>
              <w:jc w:val="cente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953"/>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联系电话</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966"/>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踏勘时间</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bl>
    <w:p>
      <w:pPr>
        <w:rPr>
          <w:highlight w:val="none"/>
        </w:rPr>
      </w:pPr>
      <w:r>
        <w:rPr>
          <w:highlight w:val="none"/>
        </w:rPr>
      </w:r>
      <w:r/>
    </w:p>
    <w:p>
      <w:pPr>
        <w:pStyle w:val="947"/>
        <w:rPr>
          <w:rFonts w:hint="eastAsia"/>
          <w:color w:val="auto"/>
          <w:highlight w:val="none"/>
        </w:rPr>
      </w:pPr>
      <w:r>
        <w:rPr>
          <w:rFonts w:hint="eastAsia"/>
          <w:color w:val="auto"/>
          <w:highlight w:val="none"/>
        </w:rPr>
        <w:t xml:space="preserve">注：</w:t>
      </w:r>
      <w:r/>
    </w:p>
    <w:p>
      <w:pPr>
        <w:pStyle w:val="947"/>
        <w:ind w:firstLine="482"/>
        <w:rPr>
          <w:rFonts w:hint="eastAsia"/>
          <w:color w:val="auto"/>
          <w:highlight w:val="none"/>
        </w:rPr>
      </w:pPr>
      <w:r>
        <w:rPr>
          <w:rFonts w:hint="eastAsia"/>
          <w:color w:val="auto"/>
          <w:highlight w:val="none"/>
        </w:rPr>
        <w:t xml:space="preserve">1.为确保投标单位了解真实的现场情况和项目实际需求，保证项目按时按质按量完成，建议投标人自行踏勘现场，踏勘现场时须提供填写好的《现场踏勘确认书（见采购文件附件）》及“苏采云”政府采购交易系统中获取本项目招标文件时签章的“投标供应商确认函”并加盖投标人公章。</w:t>
      </w:r>
      <w:r/>
    </w:p>
    <w:p>
      <w:pPr>
        <w:pStyle w:val="947"/>
        <w:ind w:firstLine="482"/>
        <w:rPr>
          <w:rFonts w:hint="eastAsia"/>
          <w:color w:val="auto"/>
          <w:highlight w:val="none"/>
        </w:rPr>
      </w:pPr>
      <w:r>
        <w:rPr>
          <w:rFonts w:hint="eastAsia"/>
          <w:color w:val="auto"/>
          <w:highlight w:val="none"/>
        </w:rPr>
        <w:t xml:space="preserve">2.未踏勘现场或踏勘工作不详细的投标人中标后，不得以不完全了解现场情况为理由而向采购人提出任何索赔或其他要求，对此采购人不承担任何责任并将不作任何答复。</w:t>
      </w:r>
      <w:r>
        <w:rPr>
          <w:rFonts w:hint="eastAsia"/>
          <w:color w:val="auto"/>
          <w:highlight w:val="none"/>
        </w:rPr>
        <w:br w:type="page" w:clear="all"/>
      </w:r>
      <w:r>
        <w:rPr>
          <w:rFonts w:hint="eastAsia"/>
          <w:color w:val="auto"/>
          <w:highlight w:val="none"/>
        </w:rPr>
        <w:t xml:space="preserve">16 项目实施方案等，按照采购需求和评分标准编制</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spacing w:line="360" w:lineRule="auto"/>
        <w:rPr>
          <w:rFonts w:hint="eastAsia" w:ascii="宋体" w:hAnsi="宋体" w:cs="宋体"/>
          <w:b/>
          <w:bCs/>
          <w:sz w:val="24"/>
          <w:szCs w:val="20"/>
          <w:highlight w:val="none"/>
        </w:rPr>
        <w:outlineLvl w:val="2"/>
      </w:pPr>
      <w:r>
        <w:rPr>
          <w:rFonts w:hint="eastAsia" w:ascii="宋体" w:hAnsi="宋体" w:cs="宋体"/>
          <w:b/>
          <w:bCs/>
          <w:sz w:val="24"/>
          <w:szCs w:val="20"/>
          <w:highlight w:val="none"/>
        </w:rPr>
        <w:t xml:space="preserve">17 招标文件要求提供或投标人认为应附的其他材料</w:t>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sectPr>
      <w:footnotePr/>
      <w:endnotePr/>
      <w:type w:val="nextPage"/>
      <w:pgSz w:w="11907" w:h="16840" w:orient="portrait"/>
      <w:pgMar w:top="1440" w:right="1800" w:bottom="1440" w:left="1800" w:header="851"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right="360"/>
      <w:rPr>
        <w:rStyle w:val="991"/>
      </w:rPr>
      <w:framePr w:wrap="around" w:vAnchor="text" w:hAnchor="margin" w:y="1"/>
    </w:pPr>
    <w:r/>
    <w:r/>
  </w:p>
  <w:p>
    <w:pPr>
      <w:pStyle w:val="975"/>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91"/>
      </w:rPr>
      <w:framePr w:wrap="around" w:vAnchor="text" w:hAnchor="margin" w:xAlign="center" w:y="1"/>
    </w:pPr>
    <w:r>
      <w:fldChar w:fldCharType="begin"/>
    </w:r>
    <w:r>
      <w:rPr>
        <w:rStyle w:val="991"/>
      </w:rPr>
      <w:instrText xml:space="preserve">PAGE  </w:instrText>
    </w:r>
    <w:r>
      <w:fldChar w:fldCharType="end"/>
    </w:r>
    <w:r/>
  </w:p>
  <w:p>
    <w:pPr>
      <w:pStyle w:val="97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91"/>
      </w:rPr>
      <w:framePr w:wrap="around" w:vAnchor="text" w:hAnchor="margin" w:xAlign="right" w:y="1"/>
    </w:pPr>
    <w:r/>
    <w:r/>
  </w:p>
  <w:p>
    <w:pPr>
      <w:pStyle w:val="975"/>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Pr>
        <w:rFonts w:hint="eastAsia"/>
        <w:b/>
      </w:rPr>
      <mc:AlternateContent>
        <mc:Choice Requires="wpg">
          <w:drawing>
            <wp:inline xmlns:wp="http://schemas.openxmlformats.org/drawingml/2006/wordprocessingDrawing" distT="0" distB="0" distL="0" distR="0">
              <wp:extent cx="906145" cy="224790"/>
              <wp:effectExtent l="0" t="0" r="8255" b="3810"/>
              <wp:docPr id="1"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1592744622(1)"/>
                      <pic:cNvPicPr>
                        <a:picLocks noChangeAspect="1"/>
                      </pic:cNvPicPr>
                      <pic:nvPr/>
                    </pic:nvPicPr>
                    <pic:blipFill>
                      <a:blip r:embed="rId1"/>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1.3pt;height:17.7pt;mso-wrap-distance-left:0.0pt;mso-wrap-distance-top:0.0pt;mso-wrap-distance-right:0.0pt;mso-wrap-distance-bottom:0.0pt;" stroked="f">
              <v:path textboxrect="0,0,0,0"/>
              <v:imagedata r:id="rId1" o:title=""/>
            </v:shape>
          </w:pict>
        </mc:Fallback>
      </mc:AlternateContent>
    </w:r>
    <w:r>
      <w:rPr>
        <w:rFonts w:hint="eastAsia"/>
        <w:b/>
      </w:rPr>
      <w:t xml:space="preserve">                                                   常州润邦招标代理有限公司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Pr>
        <w:rFonts w:hint="eastAsia"/>
        <w:b/>
      </w:rPr>
      <mc:AlternateContent>
        <mc:Choice Requires="wpg">
          <w:drawing>
            <wp:inline xmlns:wp="http://schemas.openxmlformats.org/drawingml/2006/wordprocessingDrawing" distT="0" distB="0" distL="0" distR="0">
              <wp:extent cx="906145" cy="224790"/>
              <wp:effectExtent l="0" t="0" r="8255" b="3810"/>
              <wp:docPr id="2"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1592744622(1)"/>
                      <pic:cNvPicPr>
                        <a:picLocks noChangeAspect="1"/>
                      </pic:cNvPicPr>
                      <pic:nvPr/>
                    </pic:nvPicPr>
                    <pic:blipFill>
                      <a:blip r:embed="rId1"/>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1" o:title=""/>
            </v:shape>
          </w:pict>
        </mc:Fallback>
      </mc:AlternateContent>
    </w:r>
    <w:r>
      <w:rPr>
        <w:rFonts w:hint="eastAsia"/>
        <w:b/>
      </w:rPr>
      <w:t xml:space="preserve">                                                    常州润邦招标代理有限公司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nothing"/>
      <w:lvlText w:val="2.8.%1　"/>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6.5.%1　"/>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2.6.%1　"/>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default" w:ascii="宋体" w:hAnsi="宋体" w:eastAsia="宋体" w:cs="宋体"/>
        <w:sz w:val="24"/>
        <w:szCs w:val="24"/>
      </w:rPr>
    </w:lvl>
    <w:lvl w:ilvl="1">
      <w:start w:val="1"/>
      <w:numFmt w:val="decimal"/>
      <w:isLgl w:val="false"/>
      <w:suff w:val="nothing"/>
      <w:lvlText w:val="%1.%2"/>
      <w:lvlJc w:val="left"/>
      <w:pPr>
        <w:ind w:left="0" w:firstLine="0"/>
      </w:pPr>
      <w:rPr>
        <w:rFonts w:hint="default" w:ascii="宋体" w:hAnsi="宋体" w:eastAsia="宋体" w:cs="宋体"/>
        <w:sz w:val="24"/>
        <w:szCs w:val="24"/>
      </w:rPr>
    </w:lvl>
    <w:lvl w:ilvl="2">
      <w:start w:val="1"/>
      <w:numFmt w:val="decimal"/>
      <w:isLgl w:val="false"/>
      <w:suff w:val="nothing"/>
      <w:lvlText w:val="%1.%2.%3"/>
      <w:lvlJc w:val="left"/>
      <w:pPr>
        <w:ind w:left="0" w:firstLine="0"/>
      </w:pPr>
      <w:rPr>
        <w:rFonts w:hint="default" w:ascii="宋体" w:hAnsi="宋体" w:eastAsia="宋体" w:cs="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2.7.%1　"/>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5.3.%1　"/>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default" w:ascii="宋体" w:hAnsi="宋体" w:eastAsia="宋体" w:cs="宋体"/>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0"/>
  </w:num>
  <w:num w:numId="3">
    <w:abstractNumId w:val="1"/>
  </w:num>
  <w:num w:numId="4">
    <w:abstractNumId w:val="11"/>
  </w:num>
  <w:num w:numId="5">
    <w:abstractNumId w:val="4"/>
  </w:num>
  <w:num w:numId="6">
    <w:abstractNumId w:val="8"/>
  </w:num>
  <w:num w:numId="7">
    <w:abstractNumId w:val="2"/>
  </w:num>
  <w:num w:numId="8">
    <w:abstractNumId w:val="9"/>
  </w:num>
  <w:num w:numId="9">
    <w:abstractNumId w:val="3"/>
  </w:num>
  <w:num w:numId="10">
    <w:abstractNumId w:val="6"/>
  </w:num>
  <w:num w:numId="11">
    <w:abstractNumId w:val="7"/>
  </w:num>
  <w:num w:numId="12">
    <w:abstractNumId w:val="14"/>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Heading 1 Char"/>
    <w:basedOn w:val="954"/>
    <w:link w:val="945"/>
    <w:uiPriority w:val="9"/>
    <w:rPr>
      <w:rFonts w:ascii="Arial" w:hAnsi="Arial" w:eastAsia="Arial" w:cs="Arial"/>
      <w:sz w:val="40"/>
      <w:szCs w:val="40"/>
    </w:rPr>
  </w:style>
  <w:style w:type="character" w:styleId="793">
    <w:name w:val="Heading 2 Char"/>
    <w:basedOn w:val="954"/>
    <w:link w:val="946"/>
    <w:uiPriority w:val="9"/>
    <w:rPr>
      <w:rFonts w:ascii="Arial" w:hAnsi="Arial" w:eastAsia="Arial" w:cs="Arial"/>
      <w:sz w:val="34"/>
    </w:rPr>
  </w:style>
  <w:style w:type="character" w:styleId="794">
    <w:name w:val="Heading 3 Char"/>
    <w:basedOn w:val="954"/>
    <w:link w:val="947"/>
    <w:uiPriority w:val="9"/>
    <w:rPr>
      <w:rFonts w:ascii="Arial" w:hAnsi="Arial" w:eastAsia="Arial" w:cs="Arial"/>
      <w:sz w:val="30"/>
      <w:szCs w:val="30"/>
    </w:rPr>
  </w:style>
  <w:style w:type="character" w:styleId="795">
    <w:name w:val="Heading 4 Char"/>
    <w:basedOn w:val="954"/>
    <w:link w:val="948"/>
    <w:uiPriority w:val="9"/>
    <w:rPr>
      <w:rFonts w:ascii="Arial" w:hAnsi="Arial" w:eastAsia="Arial" w:cs="Arial"/>
      <w:b/>
      <w:bCs/>
      <w:sz w:val="26"/>
      <w:szCs w:val="26"/>
    </w:rPr>
  </w:style>
  <w:style w:type="character" w:styleId="796">
    <w:name w:val="Heading 5 Char"/>
    <w:basedOn w:val="954"/>
    <w:link w:val="949"/>
    <w:uiPriority w:val="9"/>
    <w:rPr>
      <w:rFonts w:ascii="Arial" w:hAnsi="Arial" w:eastAsia="Arial" w:cs="Arial"/>
      <w:b/>
      <w:bCs/>
      <w:sz w:val="24"/>
      <w:szCs w:val="24"/>
    </w:rPr>
  </w:style>
  <w:style w:type="character" w:styleId="797">
    <w:name w:val="Heading 6 Char"/>
    <w:basedOn w:val="954"/>
    <w:link w:val="950"/>
    <w:uiPriority w:val="9"/>
    <w:rPr>
      <w:rFonts w:ascii="Arial" w:hAnsi="Arial" w:eastAsia="Arial" w:cs="Arial"/>
      <w:b/>
      <w:bCs/>
      <w:sz w:val="22"/>
      <w:szCs w:val="22"/>
    </w:rPr>
  </w:style>
  <w:style w:type="character" w:styleId="798">
    <w:name w:val="Heading 7 Char"/>
    <w:basedOn w:val="954"/>
    <w:link w:val="951"/>
    <w:uiPriority w:val="9"/>
    <w:rPr>
      <w:rFonts w:ascii="Arial" w:hAnsi="Arial" w:eastAsia="Arial" w:cs="Arial"/>
      <w:b/>
      <w:bCs/>
      <w:i/>
      <w:iCs/>
      <w:sz w:val="22"/>
      <w:szCs w:val="22"/>
    </w:rPr>
  </w:style>
  <w:style w:type="character" w:styleId="799">
    <w:name w:val="Heading 8 Char"/>
    <w:basedOn w:val="954"/>
    <w:link w:val="952"/>
    <w:uiPriority w:val="9"/>
    <w:rPr>
      <w:rFonts w:ascii="Arial" w:hAnsi="Arial" w:eastAsia="Arial" w:cs="Arial"/>
      <w:i/>
      <w:iCs/>
      <w:sz w:val="22"/>
      <w:szCs w:val="22"/>
    </w:rPr>
  </w:style>
  <w:style w:type="character" w:styleId="800">
    <w:name w:val="Heading 9 Char"/>
    <w:basedOn w:val="954"/>
    <w:link w:val="953"/>
    <w:uiPriority w:val="9"/>
    <w:rPr>
      <w:rFonts w:ascii="Arial" w:hAnsi="Arial" w:eastAsia="Arial" w:cs="Arial"/>
      <w:i/>
      <w:iCs/>
      <w:sz w:val="21"/>
      <w:szCs w:val="21"/>
    </w:rPr>
  </w:style>
  <w:style w:type="character" w:styleId="801">
    <w:name w:val="Title Char"/>
    <w:basedOn w:val="954"/>
    <w:link w:val="985"/>
    <w:uiPriority w:val="10"/>
    <w:rPr>
      <w:sz w:val="48"/>
      <w:szCs w:val="48"/>
    </w:rPr>
  </w:style>
  <w:style w:type="paragraph" w:styleId="802">
    <w:name w:val="Subtitle"/>
    <w:basedOn w:val="944"/>
    <w:next w:val="944"/>
    <w:link w:val="803"/>
    <w:uiPriority w:val="11"/>
    <w:qFormat/>
    <w:pPr>
      <w:spacing w:before="200" w:after="200"/>
    </w:pPr>
    <w:rPr>
      <w:sz w:val="24"/>
      <w:szCs w:val="24"/>
    </w:rPr>
  </w:style>
  <w:style w:type="character" w:styleId="803">
    <w:name w:val="Subtitle Char"/>
    <w:basedOn w:val="954"/>
    <w:link w:val="802"/>
    <w:uiPriority w:val="11"/>
    <w:rPr>
      <w:sz w:val="24"/>
      <w:szCs w:val="24"/>
    </w:rPr>
  </w:style>
  <w:style w:type="paragraph" w:styleId="804">
    <w:name w:val="Quote"/>
    <w:basedOn w:val="944"/>
    <w:next w:val="944"/>
    <w:link w:val="805"/>
    <w:uiPriority w:val="29"/>
    <w:qFormat/>
    <w:pPr>
      <w:ind w:left="720" w:right="720"/>
    </w:pPr>
    <w:rPr>
      <w:i/>
    </w:rPr>
  </w:style>
  <w:style w:type="character" w:styleId="805">
    <w:name w:val="Quote Char"/>
    <w:link w:val="804"/>
    <w:uiPriority w:val="29"/>
    <w:rPr>
      <w:i/>
    </w:rPr>
  </w:style>
  <w:style w:type="paragraph" w:styleId="806">
    <w:name w:val="Intense Quote"/>
    <w:basedOn w:val="944"/>
    <w:next w:val="944"/>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character" w:styleId="808">
    <w:name w:val="Header Char"/>
    <w:basedOn w:val="954"/>
    <w:link w:val="976"/>
    <w:uiPriority w:val="99"/>
  </w:style>
  <w:style w:type="character" w:styleId="809">
    <w:name w:val="Footer Char"/>
    <w:basedOn w:val="954"/>
    <w:link w:val="975"/>
    <w:uiPriority w:val="99"/>
  </w:style>
  <w:style w:type="character" w:styleId="810">
    <w:name w:val="Caption Char"/>
    <w:basedOn w:val="958"/>
    <w:link w:val="975"/>
    <w:uiPriority w:val="99"/>
  </w:style>
  <w:style w:type="table" w:styleId="811">
    <w:name w:val="Table Grid Light"/>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7">
    <w:name w:val="Grid Table 5 Dark - Accent 2"/>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8">
    <w:name w:val="Grid Table 5 Dark - Accent 3"/>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9">
    <w:name w:val="Grid Table 5 Dark- Accent 4"/>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0">
    <w:name w:val="Grid Table 5 Dark - Accent 5"/>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1">
    <w:name w:val="Grid Table 5 Dark - Accent 6"/>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2">
    <w:name w:val="Grid Table 6 Colorful"/>
    <w:basedOn w:val="9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7 Colorful"/>
    <w:basedOn w:val="9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3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3">
    <w:name w:val="List Table 3 - Accent 3"/>
    <w:basedOn w:val="9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4">
    <w:name w:val="List Table 3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5">
    <w:name w:val="List Table 3 - Accent 5"/>
    <w:basedOn w:val="9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6">
    <w:name w:val="List Table 3 - Accent 6"/>
    <w:basedOn w:val="9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7">
    <w:name w:val="List Table 4"/>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4 - Accent 2"/>
    <w:basedOn w:val="9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0">
    <w:name w:val="List Table 4 - Accent 3"/>
    <w:basedOn w:val="9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1">
    <w:name w:val="List Table 4 - Accent 4"/>
    <w:basedOn w:val="9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2">
    <w:name w:val="List Table 4 - Accent 5"/>
    <w:basedOn w:val="9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3">
    <w:name w:val="List Table 4 - Accent 6"/>
    <w:basedOn w:val="9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4">
    <w:name w:val="List Table 5 Dark"/>
    <w:basedOn w:val="9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3">
    <w:name w:val="List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4">
    <w:name w:val="List Table 6 Colorful - Accent 3"/>
    <w:basedOn w:val="9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5">
    <w:name w:val="List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6">
    <w:name w:val="List Table 6 Colorful - Accent 5"/>
    <w:basedOn w:val="9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7">
    <w:name w:val="List Table 6 Colorful - Accent 6"/>
    <w:basedOn w:val="9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8">
    <w:name w:val="List Table 7 Colorful"/>
    <w:basedOn w:val="9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0">
    <w:name w:val="List Table 7 Colorful - Accent 2"/>
    <w:basedOn w:val="9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1">
    <w:name w:val="List Table 7 Colorful - Accent 3"/>
    <w:basedOn w:val="9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2">
    <w:name w:val="List Table 7 Colorful - Accent 4"/>
    <w:basedOn w:val="9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3">
    <w:name w:val="List Table 7 Colorful - Accent 5"/>
    <w:basedOn w:val="9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4">
    <w:name w:val="List Table 7 Colorful - Accent 6"/>
    <w:basedOn w:val="9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5">
    <w:name w:val="Lined - Accent"/>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Lined - Accent 2"/>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Lined - Accent 3"/>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Lined - Accent 4"/>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Lined - Accent 5"/>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Lined - Accent 6"/>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amp; Lined - Accent"/>
    <w:basedOn w:val="9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Bordered &amp; Lined - Accent 2"/>
    <w:basedOn w:val="9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Bordered &amp; Lined - Accent 3"/>
    <w:basedOn w:val="9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Bordered &amp; Lined - Accent 4"/>
    <w:basedOn w:val="9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Bordered &amp; Lined - Accent 5"/>
    <w:basedOn w:val="9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Bordered &amp; Lined - Accent 6"/>
    <w:basedOn w:val="9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w:basedOn w:val="9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6">
    <w:name w:val="footnote text"/>
    <w:basedOn w:val="944"/>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basedOn w:val="954"/>
    <w:uiPriority w:val="99"/>
    <w:unhideWhenUsed/>
    <w:rPr>
      <w:vertAlign w:val="superscript"/>
    </w:rPr>
  </w:style>
  <w:style w:type="paragraph" w:styleId="939">
    <w:name w:val="endnote text"/>
    <w:basedOn w:val="944"/>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54"/>
    <w:uiPriority w:val="99"/>
    <w:semiHidden/>
    <w:unhideWhenUsed/>
    <w:rPr>
      <w:vertAlign w:val="superscript"/>
    </w:r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5">
    <w:name w:val="Heading 1"/>
    <w:basedOn w:val="944"/>
    <w:next w:val="944"/>
    <w:link w:val="997"/>
    <w:uiPriority w:val="0"/>
    <w:qFormat/>
    <w:pPr>
      <w:jc w:val="center"/>
      <w:keepLines/>
      <w:keepNext/>
      <w:spacing w:before="240" w:after="120" w:line="300" w:lineRule="auto"/>
      <w:outlineLvl w:val="0"/>
    </w:pPr>
    <w:rPr>
      <w:rFonts w:ascii="宋体"/>
      <w:b/>
      <w:sz w:val="32"/>
      <w:szCs w:val="20"/>
    </w:rPr>
  </w:style>
  <w:style w:type="paragraph" w:styleId="946">
    <w:name w:val="Heading 2"/>
    <w:basedOn w:val="944"/>
    <w:next w:val="956"/>
    <w:link w:val="998"/>
    <w:uiPriority w:val="0"/>
    <w:qFormat/>
    <w:pPr>
      <w:jc w:val="center"/>
      <w:keepLines/>
      <w:keepNext/>
      <w:spacing w:before="120" w:line="300" w:lineRule="auto"/>
      <w:outlineLvl w:val="1"/>
    </w:pPr>
    <w:rPr>
      <w:rFonts w:ascii="Arial" w:hAnsi="Arial" w:eastAsia="黑体"/>
      <w:b/>
      <w:sz w:val="30"/>
      <w:szCs w:val="20"/>
    </w:rPr>
  </w:style>
  <w:style w:type="paragraph" w:styleId="947">
    <w:name w:val="Heading 3"/>
    <w:basedOn w:val="944"/>
    <w:next w:val="944"/>
    <w:link w:val="1000"/>
    <w:uiPriority w:val="0"/>
    <w:qFormat/>
    <w:pPr>
      <w:spacing w:line="360" w:lineRule="auto"/>
      <w:outlineLvl w:val="2"/>
    </w:pPr>
    <w:rPr>
      <w:rFonts w:ascii="宋体" w:hAnsi="宋体" w:eastAsia="宋体" w:cs="宋体"/>
      <w:b/>
      <w:bCs/>
      <w:color w:val="000000"/>
      <w:sz w:val="24"/>
      <w:szCs w:val="20"/>
      <w:highlight w:val="none"/>
    </w:rPr>
  </w:style>
  <w:style w:type="paragraph" w:styleId="948">
    <w:name w:val="Heading 4"/>
    <w:basedOn w:val="944"/>
    <w:next w:val="944"/>
    <w:link w:val="1001"/>
    <w:uiPriority w:val="0"/>
    <w:qFormat/>
    <w:pPr>
      <w:keepLines/>
      <w:keepNext/>
      <w:spacing w:before="280" w:after="290" w:line="376" w:lineRule="atLeast"/>
      <w:outlineLvl w:val="3"/>
    </w:pPr>
    <w:rPr>
      <w:rFonts w:ascii="Arial" w:hAnsi="Arial" w:eastAsia="黑体"/>
      <w:b/>
      <w:sz w:val="28"/>
      <w:szCs w:val="20"/>
    </w:rPr>
  </w:style>
  <w:style w:type="paragraph" w:styleId="949">
    <w:name w:val="Heading 5"/>
    <w:basedOn w:val="944"/>
    <w:next w:val="944"/>
    <w:link w:val="1002"/>
    <w:uiPriority w:val="0"/>
    <w:qFormat/>
    <w:pPr>
      <w:keepLines/>
      <w:keepNext/>
      <w:spacing w:before="280" w:after="290" w:line="376" w:lineRule="atLeast"/>
      <w:outlineLvl w:val="4"/>
    </w:pPr>
    <w:rPr>
      <w:b/>
      <w:sz w:val="28"/>
      <w:szCs w:val="20"/>
    </w:rPr>
  </w:style>
  <w:style w:type="paragraph" w:styleId="950">
    <w:name w:val="Heading 6"/>
    <w:basedOn w:val="944"/>
    <w:next w:val="944"/>
    <w:link w:val="1003"/>
    <w:uiPriority w:val="0"/>
    <w:qFormat/>
    <w:pPr>
      <w:keepLines/>
      <w:keepNext/>
      <w:spacing w:before="240" w:after="64" w:line="320" w:lineRule="atLeast"/>
      <w:outlineLvl w:val="5"/>
    </w:pPr>
    <w:rPr>
      <w:rFonts w:ascii="Arial" w:hAnsi="Arial" w:eastAsia="黑体"/>
      <w:b/>
      <w:sz w:val="24"/>
      <w:szCs w:val="20"/>
    </w:rPr>
  </w:style>
  <w:style w:type="paragraph" w:styleId="951">
    <w:name w:val="Heading 7"/>
    <w:basedOn w:val="944"/>
    <w:next w:val="944"/>
    <w:link w:val="1004"/>
    <w:uiPriority w:val="0"/>
    <w:qFormat/>
    <w:pPr>
      <w:keepLines/>
      <w:keepNext/>
      <w:spacing w:before="240" w:after="64" w:line="320" w:lineRule="atLeast"/>
      <w:outlineLvl w:val="6"/>
    </w:pPr>
    <w:rPr>
      <w:b/>
      <w:sz w:val="24"/>
      <w:szCs w:val="20"/>
    </w:rPr>
  </w:style>
  <w:style w:type="paragraph" w:styleId="952">
    <w:name w:val="Heading 8"/>
    <w:basedOn w:val="944"/>
    <w:next w:val="944"/>
    <w:link w:val="1005"/>
    <w:uiPriority w:val="0"/>
    <w:qFormat/>
    <w:pPr>
      <w:keepLines/>
      <w:keepNext/>
      <w:spacing w:before="240" w:after="64" w:line="320" w:lineRule="atLeast"/>
      <w:outlineLvl w:val="7"/>
    </w:pPr>
    <w:rPr>
      <w:rFonts w:ascii="Arial" w:hAnsi="Arial" w:eastAsia="黑体"/>
      <w:sz w:val="24"/>
      <w:szCs w:val="20"/>
    </w:rPr>
  </w:style>
  <w:style w:type="paragraph" w:styleId="953">
    <w:name w:val="Heading 9"/>
    <w:basedOn w:val="944"/>
    <w:next w:val="944"/>
    <w:link w:val="1006"/>
    <w:uiPriority w:val="0"/>
    <w:qFormat/>
    <w:pPr>
      <w:keepLines/>
      <w:keepNext/>
      <w:spacing w:before="240" w:after="64" w:line="320" w:lineRule="atLeast"/>
      <w:outlineLvl w:val="8"/>
    </w:pPr>
    <w:rPr>
      <w:rFonts w:ascii="Arial" w:hAnsi="Arial" w:eastAsia="黑体"/>
      <w:szCs w:val="20"/>
    </w:rPr>
  </w:style>
  <w:style w:type="character" w:styleId="954" w:default="1">
    <w:name w:val="Default Paragraph Font"/>
    <w:uiPriority w:val="1"/>
    <w:unhideWhenUsed/>
    <w:qFormat/>
  </w:style>
  <w:style w:type="table" w:styleId="955" w:default="1">
    <w:name w:val="Normal Table"/>
    <w:uiPriority w:val="99"/>
    <w:unhideWhenUsed/>
    <w:qFormat/>
    <w:tblPr>
      <w:tblCellMar>
        <w:left w:w="108" w:type="dxa"/>
        <w:top w:w="0" w:type="dxa"/>
        <w:right w:w="108" w:type="dxa"/>
        <w:bottom w:w="0" w:type="dxa"/>
      </w:tblCellMar>
    </w:tblPr>
  </w:style>
  <w:style w:type="paragraph" w:styleId="956">
    <w:name w:val="Normal Indent"/>
    <w:basedOn w:val="944"/>
    <w:link w:val="999"/>
    <w:uiPriority w:val="0"/>
    <w:qFormat/>
    <w:pPr>
      <w:ind w:firstLine="420"/>
      <w:jc w:val="left"/>
    </w:pPr>
    <w:rPr>
      <w:rFonts w:ascii="宋体"/>
      <w:sz w:val="24"/>
    </w:rPr>
  </w:style>
  <w:style w:type="paragraph" w:styleId="957">
    <w:name w:val="toc 7"/>
    <w:basedOn w:val="944"/>
    <w:next w:val="944"/>
    <w:uiPriority w:val="0"/>
    <w:qFormat/>
    <w:pPr>
      <w:ind w:left="2520"/>
    </w:pPr>
  </w:style>
  <w:style w:type="paragraph" w:styleId="958">
    <w:name w:val="Caption"/>
    <w:basedOn w:val="944"/>
    <w:next w:val="944"/>
    <w:uiPriority w:val="0"/>
    <w:qFormat/>
    <w:pPr>
      <w:spacing w:line="480" w:lineRule="auto"/>
    </w:pPr>
    <w:rPr>
      <w:rFonts w:ascii="华文中宋" w:hAnsi="华文中宋" w:eastAsia="华文中宋"/>
      <w:sz w:val="36"/>
      <w:szCs w:val="20"/>
    </w:rPr>
  </w:style>
  <w:style w:type="paragraph" w:styleId="959">
    <w:name w:val="Document Map"/>
    <w:basedOn w:val="944"/>
    <w:link w:val="1007"/>
    <w:uiPriority w:val="0"/>
    <w:qFormat/>
    <w:pPr>
      <w:shd w:val="clear" w:color="auto" w:fill="000080"/>
    </w:pPr>
  </w:style>
  <w:style w:type="paragraph" w:styleId="960">
    <w:name w:val="annotation text"/>
    <w:basedOn w:val="944"/>
    <w:link w:val="1008"/>
    <w:uiPriority w:val="99"/>
    <w:qFormat/>
    <w:pPr>
      <w:jc w:val="left"/>
    </w:pPr>
  </w:style>
  <w:style w:type="paragraph" w:styleId="961">
    <w:name w:val="Body Text 3"/>
    <w:basedOn w:val="944"/>
    <w:link w:val="1009"/>
    <w:uiPriority w:val="0"/>
    <w:qFormat/>
    <w:pPr>
      <w:spacing w:after="120"/>
    </w:pPr>
    <w:rPr>
      <w:sz w:val="16"/>
      <w:szCs w:val="16"/>
    </w:rPr>
  </w:style>
  <w:style w:type="paragraph" w:styleId="962">
    <w:name w:val="Body Text"/>
    <w:basedOn w:val="944"/>
    <w:next w:val="944"/>
    <w:link w:val="1010"/>
    <w:uiPriority w:val="0"/>
    <w:qFormat/>
    <w:pPr>
      <w:spacing w:before="120" w:line="22" w:lineRule="atLeast"/>
      <w:tabs>
        <w:tab w:val="left" w:pos="567" w:leader="none"/>
      </w:tabs>
    </w:pPr>
    <w:rPr>
      <w:rFonts w:ascii="宋体" w:hAnsi="宋体"/>
      <w:sz w:val="24"/>
    </w:rPr>
  </w:style>
  <w:style w:type="paragraph" w:styleId="963">
    <w:name w:val="Body Text Indent"/>
    <w:basedOn w:val="944"/>
    <w:next w:val="964"/>
    <w:link w:val="1011"/>
    <w:uiPriority w:val="0"/>
    <w:qFormat/>
    <w:pPr>
      <w:ind w:firstLine="570"/>
      <w:spacing w:line="360" w:lineRule="auto"/>
    </w:pPr>
    <w:rPr>
      <w:sz w:val="24"/>
    </w:rPr>
  </w:style>
  <w:style w:type="paragraph" w:styleId="964">
    <w:name w:val="envelope return"/>
    <w:basedOn w:val="944"/>
    <w:uiPriority w:val="99"/>
    <w:unhideWhenUsed/>
    <w:qFormat/>
    <w:rPr>
      <w:rFonts w:ascii="Arial" w:hAnsi="Arial"/>
    </w:rPr>
  </w:style>
  <w:style w:type="paragraph" w:styleId="965">
    <w:name w:val="List 2"/>
    <w:basedOn w:val="944"/>
    <w:next w:val="966"/>
    <w:uiPriority w:val="0"/>
    <w:qFormat/>
    <w:pPr>
      <w:ind w:left="100" w:hanging="200"/>
    </w:pPr>
  </w:style>
  <w:style w:type="paragraph" w:styleId="966">
    <w:name w:val="Plain Text"/>
    <w:basedOn w:val="944"/>
    <w:next w:val="967"/>
    <w:link w:val="1012"/>
    <w:uiPriority w:val="0"/>
    <w:qFormat/>
    <w:rPr>
      <w:rFonts w:hint="eastAsia" w:ascii="宋体" w:hAnsi="Courier New"/>
      <w:szCs w:val="20"/>
    </w:rPr>
  </w:style>
  <w:style w:type="paragraph" w:styleId="967">
    <w:name w:val="toc 4"/>
    <w:basedOn w:val="944"/>
    <w:next w:val="944"/>
    <w:uiPriority w:val="0"/>
    <w:qFormat/>
    <w:pPr>
      <w:ind w:left="1260"/>
    </w:pPr>
  </w:style>
  <w:style w:type="paragraph" w:styleId="968">
    <w:name w:val="Block Text"/>
    <w:basedOn w:val="944"/>
    <w:uiPriority w:val="0"/>
    <w:qFormat/>
    <w:pPr>
      <w:ind w:left="480" w:right="-341" w:firstLine="513"/>
      <w:widowControl/>
    </w:pPr>
    <w:rPr>
      <w:sz w:val="24"/>
      <w:szCs w:val="20"/>
    </w:rPr>
  </w:style>
  <w:style w:type="paragraph" w:styleId="969">
    <w:name w:val="toc 5"/>
    <w:basedOn w:val="944"/>
    <w:next w:val="944"/>
    <w:uiPriority w:val="0"/>
    <w:qFormat/>
    <w:pPr>
      <w:ind w:left="1680"/>
    </w:pPr>
  </w:style>
  <w:style w:type="paragraph" w:styleId="970">
    <w:name w:val="toc 3"/>
    <w:basedOn w:val="944"/>
    <w:next w:val="944"/>
    <w:uiPriority w:val="39"/>
    <w:qFormat/>
    <w:pPr>
      <w:ind w:left="840"/>
    </w:pPr>
  </w:style>
  <w:style w:type="paragraph" w:styleId="971">
    <w:name w:val="toc 8"/>
    <w:basedOn w:val="944"/>
    <w:next w:val="944"/>
    <w:uiPriority w:val="0"/>
    <w:qFormat/>
    <w:pPr>
      <w:ind w:left="2940"/>
    </w:pPr>
  </w:style>
  <w:style w:type="paragraph" w:styleId="972">
    <w:name w:val="Date"/>
    <w:basedOn w:val="944"/>
    <w:next w:val="944"/>
    <w:link w:val="1013"/>
    <w:uiPriority w:val="0"/>
    <w:qFormat/>
    <w:pPr>
      <w:ind w:left="100"/>
    </w:pPr>
    <w:rPr>
      <w:rFonts w:ascii="仿宋_GB2312" w:hAnsi="宋体" w:eastAsia="仿宋_GB2312"/>
      <w:color w:val="000000"/>
      <w:sz w:val="24"/>
    </w:rPr>
  </w:style>
  <w:style w:type="paragraph" w:styleId="973">
    <w:name w:val="Body Text Indent 2"/>
    <w:basedOn w:val="944"/>
    <w:link w:val="1014"/>
    <w:uiPriority w:val="0"/>
    <w:qFormat/>
    <w:pPr>
      <w:ind w:firstLine="480"/>
    </w:pPr>
    <w:rPr>
      <w:rFonts w:ascii="仿宋_GB2312" w:eastAsia="仿宋_GB2312"/>
      <w:sz w:val="24"/>
    </w:rPr>
  </w:style>
  <w:style w:type="paragraph" w:styleId="974">
    <w:name w:val="Balloon Text"/>
    <w:basedOn w:val="944"/>
    <w:link w:val="1015"/>
    <w:uiPriority w:val="0"/>
    <w:qFormat/>
    <w:rPr>
      <w:sz w:val="18"/>
      <w:szCs w:val="18"/>
    </w:rPr>
  </w:style>
  <w:style w:type="paragraph" w:styleId="975">
    <w:name w:val="Footer"/>
    <w:basedOn w:val="944"/>
    <w:link w:val="1016"/>
    <w:uiPriority w:val="99"/>
    <w:qFormat/>
    <w:pPr>
      <w:jc w:val="left"/>
      <w:tabs>
        <w:tab w:val="center" w:pos="4153" w:leader="none"/>
        <w:tab w:val="right" w:pos="8306" w:leader="none"/>
      </w:tabs>
    </w:pPr>
    <w:rPr>
      <w:rFonts w:ascii="宋体"/>
      <w:sz w:val="18"/>
      <w:szCs w:val="20"/>
    </w:rPr>
  </w:style>
  <w:style w:type="paragraph" w:styleId="976">
    <w:name w:val="Header"/>
    <w:basedOn w:val="944"/>
    <w:link w:val="1017"/>
    <w:uiPriority w:val="0"/>
    <w:qFormat/>
    <w:pPr>
      <w:jc w:val="center"/>
      <w:tabs>
        <w:tab w:val="center" w:pos="4153" w:leader="none"/>
        <w:tab w:val="right" w:pos="8306" w:leader="none"/>
      </w:tabs>
      <w:pBdr>
        <w:bottom w:val="single" w:color="auto" w:sz="6" w:space="1"/>
      </w:pBdr>
    </w:pPr>
    <w:rPr>
      <w:sz w:val="18"/>
      <w:szCs w:val="18"/>
    </w:rPr>
  </w:style>
  <w:style w:type="paragraph" w:styleId="977">
    <w:name w:val="toc 1"/>
    <w:basedOn w:val="944"/>
    <w:next w:val="944"/>
    <w:uiPriority w:val="39"/>
    <w:qFormat/>
    <w:pPr>
      <w:spacing w:line="300" w:lineRule="auto"/>
      <w:tabs>
        <w:tab w:val="left" w:pos="1050" w:leader="none"/>
        <w:tab w:val="right" w:pos="8937" w:leader="dot"/>
      </w:tabs>
    </w:pPr>
    <w:rPr>
      <w:rFonts w:ascii="宋体" w:hAnsi="宋体"/>
      <w:b/>
      <w:sz w:val="24"/>
    </w:rPr>
  </w:style>
  <w:style w:type="paragraph" w:styleId="978">
    <w:name w:val="toc 6"/>
    <w:basedOn w:val="944"/>
    <w:next w:val="944"/>
    <w:uiPriority w:val="0"/>
    <w:qFormat/>
    <w:pPr>
      <w:ind w:left="2100"/>
    </w:pPr>
  </w:style>
  <w:style w:type="paragraph" w:styleId="979">
    <w:name w:val="Body Text Indent 3"/>
    <w:basedOn w:val="944"/>
    <w:link w:val="1018"/>
    <w:uiPriority w:val="0"/>
    <w:qFormat/>
    <w:pPr>
      <w:ind w:left="720" w:firstLine="480"/>
      <w:jc w:val="left"/>
      <w:spacing w:before="120" w:line="22" w:lineRule="atLeast"/>
    </w:pPr>
    <w:rPr>
      <w:rFonts w:ascii="宋体"/>
      <w:sz w:val="24"/>
      <w:szCs w:val="20"/>
    </w:rPr>
  </w:style>
  <w:style w:type="paragraph" w:styleId="980">
    <w:name w:val="toc 2"/>
    <w:basedOn w:val="944"/>
    <w:next w:val="944"/>
    <w:uiPriority w:val="39"/>
    <w:qFormat/>
    <w:pPr>
      <w:ind w:left="420"/>
      <w:spacing w:line="312" w:lineRule="auto"/>
      <w:tabs>
        <w:tab w:val="right" w:pos="8937" w:leader="dot"/>
      </w:tabs>
    </w:pPr>
  </w:style>
  <w:style w:type="paragraph" w:styleId="981">
    <w:name w:val="toc 9"/>
    <w:basedOn w:val="944"/>
    <w:next w:val="944"/>
    <w:uiPriority w:val="0"/>
    <w:qFormat/>
    <w:pPr>
      <w:ind w:left="3360"/>
    </w:pPr>
  </w:style>
  <w:style w:type="paragraph" w:styleId="982">
    <w:name w:val="HTML Preformatted"/>
    <w:basedOn w:val="944"/>
    <w:link w:val="10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3">
    <w:name w:val="Normal (Web)"/>
    <w:basedOn w:val="944"/>
    <w:uiPriority w:val="99"/>
    <w:unhideWhenUsed/>
    <w:qFormat/>
    <w:pPr>
      <w:jc w:val="left"/>
      <w:spacing w:before="100" w:beforeAutospacing="1" w:after="100" w:afterAutospacing="1"/>
      <w:widowControl/>
    </w:pPr>
    <w:rPr>
      <w:rFonts w:ascii="宋体" w:hAnsi="宋体" w:cs="宋体"/>
      <w:sz w:val="24"/>
    </w:rPr>
  </w:style>
  <w:style w:type="paragraph" w:styleId="984">
    <w:name w:val="index 1"/>
    <w:basedOn w:val="944"/>
    <w:next w:val="944"/>
    <w:uiPriority w:val="0"/>
    <w:qFormat/>
    <w:rPr>
      <w:szCs w:val="20"/>
    </w:rPr>
  </w:style>
  <w:style w:type="paragraph" w:styleId="985">
    <w:name w:val="Title"/>
    <w:basedOn w:val="965"/>
    <w:next w:val="944"/>
    <w:link w:val="1020"/>
    <w:uiPriority w:val="0"/>
    <w:qFormat/>
    <w:pPr>
      <w:jc w:val="center"/>
      <w:outlineLvl w:val="0"/>
    </w:pPr>
    <w:rPr>
      <w:b/>
      <w:sz w:val="32"/>
      <w:szCs w:val="20"/>
    </w:rPr>
  </w:style>
  <w:style w:type="paragraph" w:styleId="986">
    <w:name w:val="annotation subject"/>
    <w:basedOn w:val="960"/>
    <w:next w:val="960"/>
    <w:link w:val="1021"/>
    <w:uiPriority w:val="0"/>
    <w:qFormat/>
    <w:rPr>
      <w:b/>
      <w:bCs/>
    </w:rPr>
  </w:style>
  <w:style w:type="paragraph" w:styleId="987">
    <w:name w:val="Body Text First Indent 2"/>
    <w:basedOn w:val="963"/>
    <w:next w:val="944"/>
    <w:link w:val="1022"/>
    <w:uiPriority w:val="0"/>
    <w:qFormat/>
    <w:pPr>
      <w:ind w:left="420" w:firstLine="420"/>
      <w:spacing w:after="120" w:line="480" w:lineRule="exact"/>
    </w:pPr>
    <w:rPr>
      <w:szCs w:val="20"/>
    </w:rPr>
  </w:style>
  <w:style w:type="table" w:styleId="988">
    <w:name w:val="Table Grid"/>
    <w:basedOn w:val="9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9">
    <w:name w:val="Medium Grid 1 Accent 2"/>
    <w:basedOn w:val="95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0">
    <w:name w:val="Strong"/>
    <w:uiPriority w:val="0"/>
    <w:qFormat/>
    <w:rPr>
      <w:b/>
      <w:bCs/>
    </w:rPr>
  </w:style>
  <w:style w:type="character" w:styleId="991">
    <w:name w:val="page number"/>
    <w:uiPriority w:val="0"/>
    <w:qFormat/>
  </w:style>
  <w:style w:type="character" w:styleId="992">
    <w:name w:val="FollowedHyperlink"/>
    <w:uiPriority w:val="0"/>
    <w:qFormat/>
    <w:rPr>
      <w:color w:val="800080"/>
      <w:u w:val="single"/>
    </w:rPr>
  </w:style>
  <w:style w:type="character" w:styleId="993">
    <w:name w:val="Emphasis"/>
    <w:uiPriority w:val="0"/>
    <w:qFormat/>
    <w:rPr>
      <w:color w:val="cc0033"/>
    </w:rPr>
  </w:style>
  <w:style w:type="character" w:styleId="994">
    <w:name w:val="Hyperlink"/>
    <w:uiPriority w:val="99"/>
    <w:qFormat/>
    <w:rPr>
      <w:color w:val="0000ff"/>
      <w:u w:val="single"/>
    </w:rPr>
  </w:style>
  <w:style w:type="character" w:styleId="995">
    <w:name w:val="annotation reference"/>
    <w:uiPriority w:val="99"/>
    <w:qFormat/>
    <w:rPr>
      <w:sz w:val="21"/>
      <w:szCs w:val="21"/>
    </w:rPr>
  </w:style>
  <w:style w:type="character" w:styleId="996">
    <w:name w:val="HTML Cite"/>
    <w:uiPriority w:val="0"/>
    <w:qFormat/>
    <w:rPr>
      <w:i/>
      <w:iCs/>
    </w:rPr>
  </w:style>
  <w:style w:type="character" w:styleId="997" w:customStyle="1">
    <w:name w:val="标题 1 Char"/>
    <w:link w:val="945"/>
    <w:uiPriority w:val="0"/>
    <w:qFormat/>
    <w:rPr>
      <w:rFonts w:ascii="宋体"/>
      <w:b/>
      <w:sz w:val="32"/>
    </w:rPr>
  </w:style>
  <w:style w:type="character" w:styleId="998" w:customStyle="1">
    <w:name w:val="标题 2 Char1"/>
    <w:link w:val="946"/>
    <w:uiPriority w:val="0"/>
    <w:qFormat/>
    <w:rPr>
      <w:rFonts w:ascii="Arial" w:hAnsi="Arial" w:eastAsia="黑体"/>
      <w:b/>
      <w:sz w:val="30"/>
      <w:lang w:val="en-US" w:eastAsia="zh-CN" w:bidi="ar-SA"/>
    </w:rPr>
  </w:style>
  <w:style w:type="character" w:styleId="999" w:customStyle="1">
    <w:name w:val="正文缩进 Char1"/>
    <w:link w:val="956"/>
    <w:uiPriority w:val="0"/>
    <w:qFormat/>
    <w:rPr>
      <w:rFonts w:ascii="宋体" w:eastAsia="宋体"/>
      <w:sz w:val="24"/>
      <w:szCs w:val="24"/>
      <w:lang w:val="en-US" w:eastAsia="zh-CN" w:bidi="ar-SA"/>
    </w:rPr>
  </w:style>
  <w:style w:type="character" w:styleId="1000" w:customStyle="1">
    <w:name w:val="标题 3 Char1"/>
    <w:link w:val="947"/>
    <w:uiPriority w:val="0"/>
    <w:qFormat/>
    <w:rPr>
      <w:rFonts w:ascii="宋体" w:hAnsi="宋体" w:eastAsia="宋体" w:cs="宋体"/>
      <w:b/>
      <w:bCs/>
      <w:color w:val="000000"/>
      <w:sz w:val="24"/>
      <w:szCs w:val="20"/>
      <w:highlight w:val="none"/>
      <w:lang w:val="en-US" w:eastAsia="zh-CN" w:bidi="ar-SA"/>
    </w:rPr>
  </w:style>
  <w:style w:type="character" w:styleId="1001" w:customStyle="1">
    <w:name w:val="标题 4 Char"/>
    <w:link w:val="948"/>
    <w:uiPriority w:val="0"/>
    <w:qFormat/>
    <w:rPr>
      <w:rFonts w:ascii="Arial" w:hAnsi="Arial" w:eastAsia="黑体"/>
      <w:b/>
      <w:sz w:val="28"/>
    </w:rPr>
  </w:style>
  <w:style w:type="character" w:styleId="1002" w:customStyle="1">
    <w:name w:val="标题 5 Char"/>
    <w:link w:val="949"/>
    <w:uiPriority w:val="0"/>
    <w:qFormat/>
    <w:rPr>
      <w:b/>
      <w:sz w:val="28"/>
    </w:rPr>
  </w:style>
  <w:style w:type="character" w:styleId="1003" w:customStyle="1">
    <w:name w:val="标题 6 Char"/>
    <w:link w:val="950"/>
    <w:uiPriority w:val="0"/>
    <w:qFormat/>
    <w:rPr>
      <w:rFonts w:ascii="Arial" w:hAnsi="Arial" w:eastAsia="黑体"/>
      <w:b/>
      <w:sz w:val="24"/>
    </w:rPr>
  </w:style>
  <w:style w:type="character" w:styleId="1004" w:customStyle="1">
    <w:name w:val="标题 7 Char"/>
    <w:link w:val="951"/>
    <w:uiPriority w:val="0"/>
    <w:qFormat/>
    <w:rPr>
      <w:b/>
      <w:sz w:val="24"/>
    </w:rPr>
  </w:style>
  <w:style w:type="character" w:styleId="1005" w:customStyle="1">
    <w:name w:val="标题 8 Char"/>
    <w:link w:val="952"/>
    <w:uiPriority w:val="0"/>
    <w:qFormat/>
    <w:rPr>
      <w:rFonts w:ascii="Arial" w:hAnsi="Arial" w:eastAsia="黑体"/>
      <w:sz w:val="24"/>
    </w:rPr>
  </w:style>
  <w:style w:type="character" w:styleId="1006" w:customStyle="1">
    <w:name w:val="标题 9 Char"/>
    <w:link w:val="953"/>
    <w:uiPriority w:val="0"/>
    <w:qFormat/>
    <w:rPr>
      <w:rFonts w:ascii="Arial" w:hAnsi="Arial" w:eastAsia="黑体"/>
      <w:sz w:val="21"/>
    </w:rPr>
  </w:style>
  <w:style w:type="character" w:styleId="1007" w:customStyle="1">
    <w:name w:val="文档结构图 Char"/>
    <w:link w:val="959"/>
    <w:uiPriority w:val="0"/>
    <w:qFormat/>
    <w:rPr>
      <w:sz w:val="21"/>
      <w:szCs w:val="24"/>
      <w:shd w:val="clear" w:color="auto" w:fill="000080"/>
    </w:rPr>
  </w:style>
  <w:style w:type="character" w:styleId="1008" w:customStyle="1">
    <w:name w:val="批注文字 Char1"/>
    <w:link w:val="960"/>
    <w:uiPriority w:val="99"/>
    <w:qFormat/>
    <w:rPr>
      <w:sz w:val="21"/>
      <w:szCs w:val="24"/>
    </w:rPr>
  </w:style>
  <w:style w:type="character" w:styleId="1009" w:customStyle="1">
    <w:name w:val="正文文本 3 Char"/>
    <w:link w:val="961"/>
    <w:uiPriority w:val="0"/>
    <w:qFormat/>
    <w:rPr>
      <w:sz w:val="16"/>
      <w:szCs w:val="16"/>
    </w:rPr>
  </w:style>
  <w:style w:type="character" w:styleId="1010" w:customStyle="1">
    <w:name w:val="正文文本 Char"/>
    <w:link w:val="962"/>
    <w:uiPriority w:val="0"/>
    <w:qFormat/>
    <w:rPr>
      <w:rFonts w:ascii="宋体" w:hAnsi="宋体"/>
      <w:sz w:val="24"/>
      <w:szCs w:val="24"/>
    </w:rPr>
  </w:style>
  <w:style w:type="character" w:styleId="1011" w:customStyle="1">
    <w:name w:val="正文文本缩进 Char2"/>
    <w:link w:val="963"/>
    <w:uiPriority w:val="0"/>
    <w:qFormat/>
    <w:rPr>
      <w:rFonts w:eastAsia="宋体"/>
      <w:sz w:val="24"/>
      <w:szCs w:val="24"/>
      <w:lang w:val="en-US" w:eastAsia="zh-CN" w:bidi="ar-SA"/>
    </w:rPr>
  </w:style>
  <w:style w:type="character" w:styleId="1012" w:customStyle="1">
    <w:name w:val="纯文本 Char"/>
    <w:link w:val="966"/>
    <w:uiPriority w:val="0"/>
    <w:qFormat/>
    <w:rPr>
      <w:rFonts w:hint="eastAsia" w:ascii="宋体" w:hAnsi="Courier New" w:eastAsia="宋体" w:cs="宋体"/>
      <w:sz w:val="21"/>
    </w:rPr>
  </w:style>
  <w:style w:type="character" w:styleId="1013" w:customStyle="1">
    <w:name w:val="日期 Char"/>
    <w:link w:val="972"/>
    <w:uiPriority w:val="0"/>
    <w:qFormat/>
    <w:rPr>
      <w:rFonts w:ascii="仿宋_GB2312" w:hAnsi="宋体" w:eastAsia="仿宋_GB2312"/>
      <w:color w:val="000000"/>
      <w:sz w:val="24"/>
      <w:szCs w:val="24"/>
    </w:rPr>
  </w:style>
  <w:style w:type="character" w:styleId="1014" w:customStyle="1">
    <w:name w:val="正文文本缩进 2 Char"/>
    <w:link w:val="973"/>
    <w:uiPriority w:val="0"/>
    <w:qFormat/>
    <w:rPr>
      <w:rFonts w:ascii="仿宋_GB2312" w:eastAsia="仿宋_GB2312"/>
      <w:sz w:val="24"/>
      <w:szCs w:val="24"/>
    </w:rPr>
  </w:style>
  <w:style w:type="character" w:styleId="1015" w:customStyle="1">
    <w:name w:val="批注框文本 Char"/>
    <w:link w:val="974"/>
    <w:uiPriority w:val="0"/>
    <w:qFormat/>
    <w:rPr>
      <w:sz w:val="18"/>
      <w:szCs w:val="18"/>
    </w:rPr>
  </w:style>
  <w:style w:type="character" w:styleId="1016" w:customStyle="1">
    <w:name w:val="页脚 Char1"/>
    <w:link w:val="975"/>
    <w:uiPriority w:val="99"/>
    <w:qFormat/>
    <w:rPr>
      <w:rFonts w:ascii="宋体" w:eastAsia="宋体"/>
      <w:sz w:val="18"/>
      <w:lang w:val="en-US" w:eastAsia="zh-CN" w:bidi="ar-SA"/>
    </w:rPr>
  </w:style>
  <w:style w:type="character" w:styleId="1017" w:customStyle="1">
    <w:name w:val="页眉 Char1"/>
    <w:link w:val="976"/>
    <w:uiPriority w:val="0"/>
    <w:qFormat/>
    <w:rPr>
      <w:rFonts w:eastAsia="宋体"/>
      <w:sz w:val="18"/>
      <w:szCs w:val="18"/>
      <w:lang w:val="en-US" w:eastAsia="zh-CN" w:bidi="ar-SA"/>
    </w:rPr>
  </w:style>
  <w:style w:type="character" w:styleId="1018" w:customStyle="1">
    <w:name w:val="正文文本缩进 3 Char"/>
    <w:link w:val="979"/>
    <w:uiPriority w:val="0"/>
    <w:qFormat/>
    <w:rPr>
      <w:rFonts w:ascii="宋体"/>
      <w:sz w:val="24"/>
    </w:rPr>
  </w:style>
  <w:style w:type="character" w:styleId="1019" w:customStyle="1">
    <w:name w:val="HTML 预设格式 Char"/>
    <w:link w:val="982"/>
    <w:uiPriority w:val="0"/>
    <w:qFormat/>
    <w:rPr>
      <w:rFonts w:ascii="宋体" w:hAnsi="宋体" w:cs="宋体"/>
      <w:sz w:val="24"/>
      <w:szCs w:val="24"/>
    </w:rPr>
  </w:style>
  <w:style w:type="character" w:styleId="1020" w:customStyle="1">
    <w:name w:val="标题 Char1"/>
    <w:link w:val="985"/>
    <w:uiPriority w:val="0"/>
    <w:qFormat/>
    <w:rPr>
      <w:b/>
      <w:sz w:val="32"/>
    </w:rPr>
  </w:style>
  <w:style w:type="character" w:styleId="1021" w:customStyle="1">
    <w:name w:val="批注主题 Char"/>
    <w:link w:val="986"/>
    <w:uiPriority w:val="0"/>
    <w:qFormat/>
    <w:rPr>
      <w:rFonts w:ascii="Times New Roman" w:hAnsi="Times New Roman" w:eastAsia="宋体" w:cs="Times New Roman"/>
      <w:b/>
      <w:bCs/>
      <w:sz w:val="21"/>
      <w:szCs w:val="24"/>
      <w:lang w:val="en-US" w:eastAsia="zh-CN" w:bidi="ar-SA"/>
    </w:rPr>
  </w:style>
  <w:style w:type="character" w:styleId="1022" w:customStyle="1">
    <w:name w:val="正文首行缩进 2 Char"/>
    <w:link w:val="987"/>
    <w:uiPriority w:val="0"/>
    <w:qFormat/>
    <w:rPr>
      <w:rFonts w:eastAsia="宋体"/>
      <w:sz w:val="24"/>
      <w:szCs w:val="24"/>
      <w:lang w:val="en-US" w:eastAsia="zh-CN" w:bidi="ar-SA"/>
    </w:rPr>
  </w:style>
  <w:style w:type="character" w:styleId="1023" w:customStyle="1">
    <w:name w:val="标题 2 Char"/>
    <w:uiPriority w:val="0"/>
    <w:qFormat/>
    <w:rPr>
      <w:rFonts w:ascii="Arial" w:hAnsi="Arial" w:eastAsia="黑体"/>
      <w:b/>
      <w:sz w:val="30"/>
      <w:lang w:val="en-US" w:eastAsia="zh-CN" w:bidi="ar-SA"/>
    </w:rPr>
  </w:style>
  <w:style w:type="paragraph" w:styleId="1024"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025" w:customStyle="1">
    <w:name w:val="批注文字 字符"/>
    <w:uiPriority w:val="99"/>
    <w:qFormat/>
    <w:rPr>
      <w:rFonts w:ascii="Times New Roman" w:hAnsi="Times New Roman" w:eastAsia="宋体" w:cs="Times New Roman"/>
      <w:sz w:val="24"/>
      <w:lang w:val="en-US" w:eastAsia="zh-CN" w:bidi="ar-SA"/>
    </w:rPr>
  </w:style>
  <w:style w:type="character" w:styleId="1026" w:customStyle="1">
    <w:name w:val="列出段落 Char"/>
    <w:uiPriority w:val="0"/>
    <w:qFormat/>
    <w:rPr>
      <w:rFonts w:ascii="Calibri" w:hAnsi="Calibri" w:eastAsia="宋体"/>
      <w:sz w:val="21"/>
      <w:szCs w:val="22"/>
      <w:lang w:val="en-US" w:eastAsia="zh-CN" w:bidi="ar-SA"/>
    </w:rPr>
  </w:style>
  <w:style w:type="character" w:styleId="1027" w:customStyle="1">
    <w:name w:val="txt"/>
    <w:uiPriority w:val="0"/>
    <w:qFormat/>
  </w:style>
  <w:style w:type="character" w:styleId="1028" w:customStyle="1">
    <w:name w:val="title4"/>
    <w:uiPriority w:val="0"/>
    <w:qFormat/>
    <w:rPr>
      <w:b/>
      <w:bCs/>
      <w:color w:val="1d87b3"/>
      <w:sz w:val="15"/>
      <w:szCs w:val="15"/>
    </w:rPr>
  </w:style>
  <w:style w:type="character" w:styleId="1029" w:customStyle="1">
    <w:name w:val="apple-style-span"/>
    <w:uiPriority w:val="0"/>
    <w:qFormat/>
    <w:rPr>
      <w:rFonts w:cs="Times New Roman"/>
    </w:rPr>
  </w:style>
  <w:style w:type="character" w:styleId="1030" w:customStyle="1">
    <w:name w:val="正文大标题 Char"/>
    <w:link w:val="1031"/>
    <w:uiPriority w:val="0"/>
    <w:qFormat/>
    <w:rPr>
      <w:rFonts w:ascii="宋体" w:hAnsi="宋体"/>
      <w:b/>
      <w:color w:val="000000"/>
      <w:sz w:val="28"/>
      <w:szCs w:val="21"/>
    </w:rPr>
  </w:style>
  <w:style w:type="paragraph" w:styleId="1031" w:customStyle="1">
    <w:name w:val="正文大标题"/>
    <w:basedOn w:val="1032"/>
    <w:next w:val="956"/>
    <w:link w:val="1030"/>
    <w:uiPriority w:val="0"/>
    <w:qFormat/>
    <w:pPr>
      <w:jc w:val="center"/>
    </w:pPr>
    <w:rPr>
      <w:i w:val="0"/>
      <w:color w:val="000000"/>
      <w:sz w:val="28"/>
      <w:szCs w:val="21"/>
    </w:rPr>
  </w:style>
  <w:style w:type="paragraph" w:styleId="1032" w:customStyle="1">
    <w:name w:val="正文小标题"/>
    <w:basedOn w:val="944"/>
    <w:next w:val="956"/>
    <w:link w:val="1033"/>
    <w:uiPriority w:val="0"/>
    <w:qFormat/>
    <w:pPr>
      <w:ind w:firstLine="482"/>
      <w:jc w:val="left"/>
    </w:pPr>
    <w:rPr>
      <w:rFonts w:ascii="宋体" w:hAnsi="宋体"/>
      <w:b/>
      <w:i/>
      <w:color w:val="ff0000"/>
      <w:sz w:val="24"/>
      <w:szCs w:val="20"/>
    </w:rPr>
  </w:style>
  <w:style w:type="character" w:styleId="1033" w:customStyle="1">
    <w:name w:val="正文小标题 Char"/>
    <w:link w:val="1032"/>
    <w:uiPriority w:val="0"/>
    <w:qFormat/>
    <w:rPr>
      <w:rFonts w:ascii="宋体" w:hAnsi="宋体"/>
      <w:b/>
      <w:i/>
      <w:color w:val="ff0000"/>
      <w:sz w:val="24"/>
    </w:rPr>
  </w:style>
  <w:style w:type="character" w:styleId="1034" w:customStyle="1">
    <w:name w:val="中等深浅网格 1 - 强调文字颜色 2 Char"/>
    <w:link w:val="1035"/>
    <w:uiPriority w:val="0"/>
    <w:qFormat/>
    <w:rPr>
      <w:sz w:val="21"/>
      <w:szCs w:val="24"/>
      <w:lang w:val="zh-CN" w:eastAsia="zh-CN" w:bidi="ar-SA"/>
    </w:rPr>
  </w:style>
  <w:style w:type="paragraph" w:styleId="1035" w:customStyle="1">
    <w:name w:val="1"/>
    <w:link w:val="1034"/>
    <w:uiPriority w:val="0"/>
    <w:qFormat/>
    <w:rPr>
      <w:rFonts w:ascii="Times New Roman" w:hAnsi="Times New Roman" w:eastAsia="宋体" w:cs="Times New Roman"/>
      <w:sz w:val="21"/>
      <w:szCs w:val="24"/>
      <w:lang w:val="zh-CN" w:eastAsia="zh-CN" w:bidi="ar-SA"/>
    </w:rPr>
  </w:style>
  <w:style w:type="character" w:styleId="1036" w:customStyle="1">
    <w:name w:val="正文重点 Char"/>
    <w:link w:val="1037"/>
    <w:uiPriority w:val="0"/>
    <w:qFormat/>
    <w:rPr>
      <w:b/>
      <w:sz w:val="24"/>
    </w:rPr>
  </w:style>
  <w:style w:type="paragraph" w:styleId="1037" w:customStyle="1">
    <w:name w:val="正文重点"/>
    <w:basedOn w:val="944"/>
    <w:link w:val="1036"/>
    <w:uiPriority w:val="0"/>
    <w:qFormat/>
    <w:pPr>
      <w:ind w:firstLine="482"/>
      <w:jc w:val="left"/>
      <w:spacing w:line="360" w:lineRule="auto"/>
    </w:pPr>
    <w:rPr>
      <w:b/>
      <w:sz w:val="24"/>
      <w:szCs w:val="20"/>
    </w:rPr>
  </w:style>
  <w:style w:type="character" w:styleId="1038" w:customStyle="1">
    <w:name w:val="正文缩进 Char"/>
    <w:uiPriority w:val="0"/>
    <w:qFormat/>
    <w:rPr>
      <w:rFonts w:ascii="宋体" w:eastAsia="宋体"/>
      <w:sz w:val="24"/>
      <w:szCs w:val="24"/>
      <w:lang w:val="en-US" w:eastAsia="zh-CN" w:bidi="ar-SA"/>
    </w:rPr>
  </w:style>
  <w:style w:type="character" w:styleId="1039" w:customStyle="1">
    <w:name w:val="标题 3 Char"/>
    <w:uiPriority w:val="0"/>
    <w:qFormat/>
    <w:rPr>
      <w:rFonts w:ascii="宋体" w:eastAsia="宋体"/>
      <w:b/>
      <w:sz w:val="24"/>
      <w:u w:val="single"/>
      <w:lang w:val="en-US" w:eastAsia="zh-CN" w:bidi="ar-SA"/>
    </w:rPr>
  </w:style>
  <w:style w:type="character" w:styleId="1040" w:customStyle="1">
    <w:name w:val="纯文本 字符1"/>
    <w:uiPriority w:val="0"/>
    <w:qFormat/>
    <w:rPr>
      <w:rFonts w:ascii="宋体" w:hAnsi="Courier New"/>
    </w:rPr>
  </w:style>
  <w:style w:type="character" w:styleId="1041" w:customStyle="1">
    <w:name w:val="标题 2 Char Char"/>
    <w:uiPriority w:val="0"/>
    <w:qFormat/>
    <w:rPr>
      <w:rFonts w:ascii="Arial" w:hAnsi="Arial" w:eastAsia="黑体"/>
      <w:b/>
      <w:bCs/>
      <w:sz w:val="32"/>
      <w:szCs w:val="32"/>
      <w:lang w:val="en-US" w:eastAsia="zh-CN" w:bidi="ar-SA"/>
    </w:rPr>
  </w:style>
  <w:style w:type="character" w:styleId="1042" w:customStyle="1">
    <w:name w:val="纯文本 Char1"/>
    <w:uiPriority w:val="0"/>
    <w:qFormat/>
    <w:rPr>
      <w:rFonts w:ascii="宋体" w:hAnsi="Courier New" w:eastAsia="宋体"/>
      <w:sz w:val="21"/>
      <w:lang w:val="en-US" w:eastAsia="zh-CN" w:bidi="ar-SA"/>
    </w:rPr>
  </w:style>
  <w:style w:type="character" w:styleId="1043" w:customStyle="1">
    <w:name w:val="Char Char11"/>
    <w:uiPriority w:val="0"/>
    <w:qFormat/>
    <w:rPr>
      <w:rFonts w:ascii="宋体" w:eastAsia="宋体"/>
      <w:b/>
      <w:sz w:val="24"/>
      <w:u w:val="single"/>
      <w:lang w:val="en-US" w:eastAsia="zh-CN" w:bidi="ar-SA"/>
    </w:rPr>
  </w:style>
  <w:style w:type="character" w:styleId="1044" w:customStyle="1">
    <w:name w:val="标题 Char"/>
    <w:uiPriority w:val="0"/>
    <w:qFormat/>
    <w:rPr>
      <w:b/>
      <w:sz w:val="32"/>
    </w:rPr>
  </w:style>
  <w:style w:type="character" w:styleId="1045" w:customStyle="1">
    <w:name w:val="正文文本缩进 Char"/>
    <w:uiPriority w:val="0"/>
    <w:qFormat/>
    <w:rPr>
      <w:rFonts w:eastAsia="宋体"/>
      <w:sz w:val="24"/>
      <w:szCs w:val="24"/>
      <w:lang w:val="en-US" w:eastAsia="zh-CN" w:bidi="ar-SA"/>
    </w:rPr>
  </w:style>
  <w:style w:type="character" w:styleId="1046" w:customStyle="1">
    <w:name w:val="street-address"/>
    <w:uiPriority w:val="0"/>
    <w:qFormat/>
  </w:style>
  <w:style w:type="character" w:styleId="1047" w:customStyle="1">
    <w:name w:val="段1 Char"/>
    <w:uiPriority w:val="0"/>
    <w:qFormat/>
    <w:rPr>
      <w:rFonts w:ascii="宋体" w:eastAsia="宋体"/>
      <w:sz w:val="24"/>
      <w:lang w:val="en-US" w:eastAsia="zh-CN" w:bidi="ar-SA"/>
    </w:rPr>
  </w:style>
  <w:style w:type="character" w:styleId="1048" w:customStyle="1">
    <w:name w:val="Char Char111"/>
    <w:uiPriority w:val="0"/>
    <w:qFormat/>
    <w:rPr>
      <w:rFonts w:ascii="宋体" w:eastAsia="宋体"/>
      <w:b/>
      <w:sz w:val="24"/>
      <w:u w:val="single"/>
      <w:lang w:val="en-US" w:eastAsia="zh-CN" w:bidi="ar-SA"/>
    </w:rPr>
  </w:style>
  <w:style w:type="character" w:styleId="1049" w:customStyle="1">
    <w:name w:val="成文日期 Char"/>
    <w:link w:val="1050"/>
    <w:uiPriority w:val="0"/>
    <w:qFormat/>
    <w:rPr>
      <w:rFonts w:ascii="仿宋_GB2312" w:eastAsia="仿宋_GB2312"/>
      <w:sz w:val="32"/>
    </w:rPr>
  </w:style>
  <w:style w:type="paragraph" w:styleId="1050" w:customStyle="1">
    <w:name w:val="成文日期"/>
    <w:basedOn w:val="944"/>
    <w:link w:val="1049"/>
    <w:uiPriority w:val="0"/>
    <w:qFormat/>
    <w:pPr>
      <w:ind w:right="400" w:firstLine="200"/>
      <w:jc w:val="right"/>
      <w:spacing w:line="570" w:lineRule="exact"/>
    </w:pPr>
    <w:rPr>
      <w:rFonts w:ascii="仿宋_GB2312" w:eastAsia="仿宋_GB2312"/>
      <w:sz w:val="32"/>
      <w:szCs w:val="20"/>
    </w:rPr>
  </w:style>
  <w:style w:type="character" w:styleId="1051" w:customStyle="1">
    <w:name w:val="locality"/>
    <w:uiPriority w:val="0"/>
    <w:qFormat/>
  </w:style>
  <w:style w:type="character" w:styleId="1052" w:customStyle="1">
    <w:name w:val="页眉 Char"/>
    <w:uiPriority w:val="0"/>
    <w:qFormat/>
    <w:rPr>
      <w:rFonts w:eastAsia="宋体"/>
      <w:sz w:val="18"/>
      <w:szCs w:val="18"/>
      <w:lang w:val="en-US" w:eastAsia="zh-CN" w:bidi="ar-SA"/>
    </w:rPr>
  </w:style>
  <w:style w:type="character" w:styleId="1053" w:customStyle="1">
    <w:name w:val="标题 3 Char Char"/>
    <w:uiPriority w:val="0"/>
    <w:qFormat/>
    <w:rPr>
      <w:rFonts w:eastAsia="宋体"/>
      <w:b/>
      <w:bCs/>
      <w:sz w:val="32"/>
      <w:szCs w:val="32"/>
      <w:lang w:val="en-US" w:eastAsia="zh-CN" w:bidi="ar-SA"/>
    </w:rPr>
  </w:style>
  <w:style w:type="character" w:styleId="1054" w:customStyle="1">
    <w:name w:val="chanpin1"/>
    <w:uiPriority w:val="0"/>
    <w:qFormat/>
    <w:rPr>
      <w:rFonts w:hint="default" w:ascii="ˎ̥" w:hAnsi="ˎ̥"/>
      <w:color w:val="000000"/>
      <w:sz w:val="20"/>
      <w:szCs w:val="20"/>
      <w:u w:val="none"/>
    </w:rPr>
  </w:style>
  <w:style w:type="character" w:styleId="1055" w:customStyle="1">
    <w:name w:val="正文文本缩进 Char1"/>
    <w:link w:val="1056"/>
    <w:uiPriority w:val="0"/>
    <w:qFormat/>
    <w:rPr>
      <w:rFonts w:ascii="宋体" w:hAnsi="宋体" w:eastAsia="宋体"/>
      <w:sz w:val="24"/>
      <w:szCs w:val="24"/>
      <w:lang w:bidi="ar-SA"/>
    </w:rPr>
  </w:style>
  <w:style w:type="paragraph" w:styleId="1056" w:customStyle="1">
    <w:name w:val="正文文本缩进1"/>
    <w:basedOn w:val="944"/>
    <w:link w:val="1055"/>
    <w:uiPriority w:val="0"/>
    <w:qFormat/>
    <w:pPr>
      <w:ind w:firstLine="480"/>
      <w:spacing w:line="480" w:lineRule="exact"/>
    </w:pPr>
    <w:rPr>
      <w:rFonts w:ascii="宋体" w:hAnsi="宋体"/>
      <w:sz w:val="24"/>
    </w:rPr>
  </w:style>
  <w:style w:type="character" w:styleId="1057" w:customStyle="1">
    <w:name w:val="正文缩进 Char Char"/>
    <w:link w:val="1058"/>
    <w:uiPriority w:val="0"/>
    <w:qFormat/>
    <w:rPr>
      <w:rFonts w:ascii="宋体" w:eastAsia="宋体"/>
      <w:color w:val="000000"/>
      <w:sz w:val="28"/>
      <w:lang w:bidi="ar-SA"/>
    </w:rPr>
  </w:style>
  <w:style w:type="paragraph" w:styleId="1058" w:customStyle="1">
    <w:name w:val="正文缩进1"/>
    <w:basedOn w:val="944"/>
    <w:link w:val="1057"/>
    <w:uiPriority w:val="0"/>
    <w:qFormat/>
    <w:pPr>
      <w:ind w:firstLine="567"/>
      <w:spacing w:line="480" w:lineRule="exact"/>
      <w:widowControl/>
    </w:pPr>
    <w:rPr>
      <w:rFonts w:ascii="宋体"/>
      <w:color w:val="000000"/>
      <w:sz w:val="28"/>
      <w:szCs w:val="20"/>
    </w:rPr>
  </w:style>
  <w:style w:type="character" w:styleId="1059" w:customStyle="1">
    <w:name w:val="正文表格 Char"/>
    <w:link w:val="1060"/>
    <w:uiPriority w:val="0"/>
    <w:qFormat/>
    <w:rPr>
      <w:rFonts w:ascii="宋体" w:hAnsi="宋体"/>
      <w:color w:val="000000"/>
      <w:sz w:val="21"/>
      <w:szCs w:val="21"/>
    </w:rPr>
  </w:style>
  <w:style w:type="paragraph" w:styleId="1060" w:customStyle="1">
    <w:name w:val="正文表格"/>
    <w:basedOn w:val="944"/>
    <w:link w:val="1059"/>
    <w:uiPriority w:val="0"/>
    <w:qFormat/>
    <w:pPr>
      <w:jc w:val="left"/>
    </w:pPr>
    <w:rPr>
      <w:rFonts w:ascii="宋体" w:hAnsi="宋体"/>
      <w:color w:val="000000"/>
      <w:szCs w:val="21"/>
    </w:rPr>
  </w:style>
  <w:style w:type="character" w:styleId="1061" w:customStyle="1">
    <w:name w:val="普通文字1 Char1"/>
    <w:uiPriority w:val="0"/>
    <w:qFormat/>
    <w:rPr>
      <w:rFonts w:ascii="宋体" w:hAnsi="Courier New" w:eastAsia="宋体"/>
      <w:sz w:val="21"/>
      <w:lang w:val="en-US" w:eastAsia="zh-CN" w:bidi="ar-SA"/>
    </w:rPr>
  </w:style>
  <w:style w:type="character" w:styleId="1062" w:customStyle="1">
    <w:name w:val="c21"/>
    <w:uiPriority w:val="0"/>
    <w:qFormat/>
    <w:rPr>
      <w:rFonts w:hint="default" w:ascii="ˎ̥" w:hAnsi="ˎ̥"/>
      <w:color w:val="000000"/>
      <w:sz w:val="20"/>
      <w:szCs w:val="20"/>
      <w:u w:val="none"/>
    </w:rPr>
  </w:style>
  <w:style w:type="character" w:styleId="1063" w:customStyle="1">
    <w:name w:val="页脚 Char"/>
    <w:uiPriority w:val="0"/>
    <w:qFormat/>
    <w:rPr>
      <w:rFonts w:ascii="宋体" w:eastAsia="宋体"/>
      <w:sz w:val="18"/>
      <w:lang w:val="en-US" w:eastAsia="zh-CN" w:bidi="ar-SA"/>
    </w:rPr>
  </w:style>
  <w:style w:type="character" w:styleId="1064" w:customStyle="1">
    <w:name w:val="black1"/>
    <w:uiPriority w:val="0"/>
    <w:qFormat/>
    <w:rPr>
      <w:color w:val="000000"/>
    </w:rPr>
  </w:style>
  <w:style w:type="character" w:styleId="1065" w:customStyle="1">
    <w:name w:val="列出段落 Char1"/>
    <w:link w:val="1066"/>
    <w:uiPriority w:val="34"/>
    <w:qFormat/>
    <w:rPr>
      <w:rFonts w:ascii="Calibri" w:hAnsi="Calibri" w:eastAsia="宋体"/>
      <w:sz w:val="21"/>
      <w:szCs w:val="22"/>
      <w:lang w:val="en-US" w:eastAsia="zh-CN" w:bidi="ar-SA"/>
    </w:rPr>
  </w:style>
  <w:style w:type="paragraph" w:styleId="1066">
    <w:name w:val="List Paragraph"/>
    <w:basedOn w:val="944"/>
    <w:link w:val="1065"/>
    <w:uiPriority w:val="34"/>
    <w:qFormat/>
    <w:pPr>
      <w:ind w:firstLine="420"/>
    </w:pPr>
    <w:rPr>
      <w:rFonts w:ascii="Calibri" w:hAnsi="Calibri"/>
      <w:szCs w:val="22"/>
    </w:rPr>
  </w:style>
  <w:style w:type="character" w:styleId="1067" w:customStyle="1">
    <w:name w:val="chanpin拷贝"/>
    <w:uiPriority w:val="0"/>
    <w:qFormat/>
  </w:style>
  <w:style w:type="character" w:styleId="1068" w:customStyle="1">
    <w:name w:val="注释 Char"/>
    <w:link w:val="1069"/>
    <w:uiPriority w:val="0"/>
    <w:qFormat/>
    <w:rPr>
      <w:rFonts w:ascii="宋体" w:hAnsi="宋体"/>
      <w:sz w:val="21"/>
      <w:szCs w:val="21"/>
    </w:rPr>
  </w:style>
  <w:style w:type="paragraph" w:styleId="1069" w:customStyle="1">
    <w:name w:val="注释"/>
    <w:basedOn w:val="944"/>
    <w:link w:val="1068"/>
    <w:uiPriority w:val="0"/>
    <w:qFormat/>
    <w:pPr>
      <w:ind w:left="420" w:hanging="420"/>
      <w:jc w:val="left"/>
    </w:pPr>
    <w:rPr>
      <w:rFonts w:ascii="宋体" w:hAnsi="宋体"/>
      <w:szCs w:val="21"/>
    </w:rPr>
  </w:style>
  <w:style w:type="character" w:styleId="1070" w:customStyle="1">
    <w:name w:val="纯文本 字符"/>
    <w:uiPriority w:val="99"/>
    <w:qFormat/>
    <w:rPr>
      <w:rFonts w:ascii="宋体" w:hAnsi="Courier New" w:eastAsia="宋体" w:cs="Times New Roman"/>
      <w:sz w:val="21"/>
      <w:szCs w:val="21"/>
      <w:lang w:val="en-US" w:eastAsia="zh-CN" w:bidi="ar-SA"/>
    </w:rPr>
  </w:style>
  <w:style w:type="character" w:styleId="1071" w:customStyle="1">
    <w:name w:val="bjh-p"/>
    <w:uiPriority w:val="0"/>
    <w:qFormat/>
  </w:style>
  <w:style w:type="character" w:styleId="1072" w:customStyle="1">
    <w:name w:val="正文格式 Char"/>
    <w:link w:val="1073"/>
    <w:uiPriority w:val="0"/>
    <w:qFormat/>
    <w:rPr>
      <w:rFonts w:ascii="宋体" w:hAnsi="宋体"/>
      <w:sz w:val="24"/>
      <w:szCs w:val="24"/>
      <w:lang w:val="en-GB"/>
    </w:rPr>
  </w:style>
  <w:style w:type="paragraph" w:styleId="1073" w:customStyle="1">
    <w:name w:val="正文格式"/>
    <w:basedOn w:val="944"/>
    <w:link w:val="1072"/>
    <w:uiPriority w:val="0"/>
    <w:qFormat/>
    <w:pPr>
      <w:ind w:firstLine="480"/>
      <w:spacing w:line="360" w:lineRule="auto"/>
    </w:pPr>
    <w:rPr>
      <w:rFonts w:ascii="宋体" w:hAnsi="宋体"/>
      <w:sz w:val="24"/>
      <w:lang w:val="en-GB"/>
    </w:rPr>
  </w:style>
  <w:style w:type="character" w:styleId="1074" w:customStyle="1">
    <w:name w:val="批注文字 Char"/>
    <w:uiPriority w:val="99"/>
    <w:qFormat/>
    <w:rPr>
      <w:sz w:val="21"/>
      <w:szCs w:val="24"/>
    </w:rPr>
  </w:style>
  <w:style w:type="paragraph" w:styleId="1075" w:customStyle="1">
    <w:name w:val="字元 字元1"/>
    <w:basedOn w:val="944"/>
    <w:uiPriority w:val="0"/>
    <w:qFormat/>
    <w:rPr>
      <w:rFonts w:ascii="Tahoma" w:hAnsi="Tahoma"/>
      <w:sz w:val="24"/>
      <w:szCs w:val="20"/>
    </w:rPr>
  </w:style>
  <w:style w:type="paragraph" w:styleId="1076" w:customStyle="1">
    <w:name w:val="1名"/>
    <w:basedOn w:val="944"/>
    <w:uiPriority w:val="0"/>
    <w:qFormat/>
    <w:pPr>
      <w:ind w:left="360" w:hanging="360"/>
      <w:spacing w:before="120"/>
      <w:tabs>
        <w:tab w:val="left" w:pos="360" w:leader="none"/>
      </w:tabs>
    </w:pPr>
    <w:rPr>
      <w:rFonts w:ascii="宋体"/>
      <w:sz w:val="28"/>
      <w:szCs w:val="20"/>
    </w:rPr>
  </w:style>
  <w:style w:type="paragraph" w:styleId="1077" w:customStyle="1">
    <w:name w:val="Char3 Char Char Char"/>
    <w:basedOn w:val="944"/>
    <w:uiPriority w:val="0"/>
    <w:qFormat/>
    <w:rPr>
      <w:rFonts w:ascii="Tahoma" w:hAnsi="Tahoma"/>
      <w:sz w:val="24"/>
      <w:szCs w:val="20"/>
    </w:rPr>
  </w:style>
  <w:style w:type="paragraph" w:styleId="1078" w:customStyle="1">
    <w:name w:val="文档正文"/>
    <w:basedOn w:val="944"/>
    <w:uiPriority w:val="0"/>
    <w:qFormat/>
    <w:pPr>
      <w:spacing w:before="120" w:after="120" w:line="180" w:lineRule="auto"/>
    </w:pPr>
    <w:rPr>
      <w:rFonts w:ascii="Arial" w:hAnsi="Arial"/>
      <w:szCs w:val="20"/>
    </w:rPr>
  </w:style>
  <w:style w:type="paragraph" w:styleId="1079" w:customStyle="1">
    <w:name w:val="Char Char Char Char Char Char Char Char Char Char1"/>
    <w:basedOn w:val="944"/>
    <w:uiPriority w:val="0"/>
    <w:qFormat/>
    <w:rPr>
      <w:rFonts w:ascii="宋体" w:hAnsi="宋体" w:cs="Courier New"/>
      <w:sz w:val="32"/>
      <w:szCs w:val="32"/>
    </w:rPr>
  </w:style>
  <w:style w:type="paragraph" w:styleId="1080" w:customStyle="1">
    <w:name w:val="Char22"/>
    <w:basedOn w:val="944"/>
    <w:uiPriority w:val="0"/>
    <w:qFormat/>
    <w:rPr>
      <w:rFonts w:ascii="Tahoma" w:hAnsi="Tahoma"/>
      <w:sz w:val="24"/>
      <w:szCs w:val="20"/>
    </w:rPr>
  </w:style>
  <w:style w:type="paragraph" w:styleId="1081" w:customStyle="1">
    <w:name w:val="Char Char Char1"/>
    <w:basedOn w:val="944"/>
    <w:uiPriority w:val="0"/>
    <w:qFormat/>
    <w:rPr>
      <w:rFonts w:ascii="Tahoma" w:hAnsi="Tahoma"/>
      <w:sz w:val="24"/>
      <w:szCs w:val="20"/>
    </w:rPr>
  </w:style>
  <w:style w:type="paragraph" w:styleId="1082" w:customStyle="1">
    <w:name w:val="xl43"/>
    <w:basedOn w:val="9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3" w:customStyle="1">
    <w:name w:val="Char Char Char"/>
    <w:basedOn w:val="944"/>
    <w:uiPriority w:val="0"/>
    <w:qFormat/>
    <w:rPr>
      <w:rFonts w:ascii="Tahoma" w:hAnsi="Tahoma"/>
      <w:sz w:val="24"/>
      <w:szCs w:val="20"/>
    </w:rPr>
  </w:style>
  <w:style w:type="paragraph" w:styleId="1084" w:customStyle="1">
    <w:name w:val="font8"/>
    <w:basedOn w:val="944"/>
    <w:uiPriority w:val="0"/>
    <w:qFormat/>
    <w:pPr>
      <w:jc w:val="left"/>
      <w:spacing w:before="100" w:beforeAutospacing="1" w:after="100" w:afterAutospacing="1"/>
      <w:widowControl/>
    </w:pPr>
    <w:rPr>
      <w:sz w:val="36"/>
      <w:szCs w:val="36"/>
    </w:rPr>
  </w:style>
  <w:style w:type="paragraph" w:styleId="1085" w:customStyle="1">
    <w:name w:val="default"/>
    <w:basedOn w:val="944"/>
    <w:uiPriority w:val="0"/>
    <w:qFormat/>
    <w:pPr>
      <w:jc w:val="left"/>
      <w:spacing w:before="100" w:beforeAutospacing="1" w:after="100" w:afterAutospacing="1"/>
      <w:widowControl/>
    </w:pPr>
    <w:rPr>
      <w:rFonts w:ascii="宋体" w:hAnsi="宋体" w:cs="宋体"/>
      <w:sz w:val="24"/>
    </w:rPr>
  </w:style>
  <w:style w:type="paragraph" w:styleId="1086" w:customStyle="1">
    <w:name w:val="样式 宋体 五号 行距: 单倍行距"/>
    <w:basedOn w:val="944"/>
    <w:uiPriority w:val="0"/>
    <w:qFormat/>
    <w:pPr>
      <w:jc w:val="left"/>
    </w:pPr>
    <w:rPr>
      <w:rFonts w:ascii="宋体" w:hAnsi="宋体"/>
      <w:szCs w:val="20"/>
    </w:rPr>
  </w:style>
  <w:style w:type="paragraph" w:styleId="1087" w:customStyle="1">
    <w:name w:val="xl41"/>
    <w:basedOn w:val="9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8" w:customStyle="1">
    <w:name w:val="缺省文本"/>
    <w:basedOn w:val="944"/>
    <w:uiPriority w:val="0"/>
    <w:qFormat/>
    <w:pPr>
      <w:jc w:val="left"/>
    </w:pPr>
    <w:rPr>
      <w:sz w:val="24"/>
    </w:rPr>
  </w:style>
  <w:style w:type="paragraph" w:styleId="1089" w:customStyle="1">
    <w:name w:val="Char"/>
    <w:basedOn w:val="944"/>
    <w:uiPriority w:val="0"/>
    <w:qFormat/>
    <w:pPr>
      <w:tabs>
        <w:tab w:val="left" w:pos="360" w:leader="none"/>
      </w:tabs>
    </w:pPr>
    <w:rPr>
      <w:sz w:val="24"/>
    </w:rPr>
  </w:style>
  <w:style w:type="paragraph" w:styleId="1090" w:customStyle="1">
    <w:name w:val="正文 + 宋体"/>
    <w:basedOn w:val="944"/>
    <w:uiPriority w:val="0"/>
    <w:qFormat/>
    <w:pPr>
      <w:ind w:left="360" w:hanging="360"/>
      <w:jc w:val="left"/>
      <w:widowControl/>
    </w:pPr>
    <w:rPr>
      <w:rFonts w:ascii="宋体" w:hAnsi="宋体" w:cs="宋体"/>
      <w:b/>
      <w:bCs/>
      <w:color w:val="000000"/>
      <w:sz w:val="18"/>
      <w:szCs w:val="18"/>
    </w:rPr>
  </w:style>
  <w:style w:type="paragraph" w:styleId="1091" w:customStyle="1">
    <w:name w:val="xl52"/>
    <w:basedOn w:val="9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92" w:customStyle="1">
    <w:name w:val="xl36"/>
    <w:basedOn w:val="94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customStyle="1">
    <w:name w:val="Char Char1 Char Char Char Char Char Char"/>
    <w:basedOn w:val="944"/>
    <w:uiPriority w:val="0"/>
    <w:qFormat/>
    <w:pPr>
      <w:jc w:val="left"/>
      <w:spacing w:after="160" w:line="240" w:lineRule="exact"/>
      <w:widowControl/>
    </w:pPr>
    <w:rPr>
      <w:rFonts w:ascii="Verdana" w:hAnsi="Verdana" w:eastAsia="仿宋_GB2312"/>
      <w:sz w:val="24"/>
      <w:szCs w:val="20"/>
      <w:lang w:eastAsia="en-US"/>
    </w:rPr>
  </w:style>
  <w:style w:type="paragraph" w:styleId="1094" w:customStyle="1">
    <w:name w:val="xl40"/>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5" w:customStyle="1">
    <w:name w:val="xl38"/>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96" w:customStyle="1">
    <w:name w:val="xl39"/>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7" w:customStyle="1">
    <w:name w:val="Char Char Char Char Char Char Char Char Char Char Char Char Char Char Char Char"/>
    <w:basedOn w:val="944"/>
    <w:uiPriority w:val="0"/>
    <w:qFormat/>
    <w:pPr>
      <w:jc w:val="center"/>
      <w:spacing w:after="160" w:line="240" w:lineRule="exact"/>
      <w:widowControl/>
    </w:pPr>
    <w:rPr>
      <w:rFonts w:ascii="宋体" w:hAnsi="宋体"/>
      <w:b/>
      <w:sz w:val="30"/>
      <w:szCs w:val="30"/>
      <w:lang w:eastAsia="en-US"/>
    </w:rPr>
  </w:style>
  <w:style w:type="paragraph" w:styleId="1098" w:customStyle="1">
    <w:name w:val="项目编号2"/>
    <w:basedOn w:val="1099"/>
    <w:uiPriority w:val="0"/>
    <w:qFormat/>
    <w:pPr>
      <w:numPr>
        <w:ilvl w:val="0"/>
        <w:numId w:val="0"/>
      </w:numPr>
      <w:ind w:left="420" w:hanging="420"/>
    </w:pPr>
  </w:style>
  <w:style w:type="paragraph" w:styleId="1099" w:customStyle="1">
    <w:name w:val="项目编号1"/>
    <w:basedOn w:val="944"/>
    <w:uiPriority w:val="0"/>
    <w:qFormat/>
    <w:pPr>
      <w:ind w:left="420" w:hanging="420"/>
      <w:spacing w:before="100" w:beforeAutospacing="1" w:after="100" w:afterAutospacing="1" w:line="360" w:lineRule="auto"/>
    </w:pPr>
    <w:rPr>
      <w:sz w:val="24"/>
    </w:rPr>
  </w:style>
  <w:style w:type="paragraph" w:styleId="1100" w:customStyle="1">
    <w:name w:val="xl50"/>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01" w:customStyle="1">
    <w:name w:val="List Paragraph1"/>
    <w:basedOn w:val="944"/>
    <w:uiPriority w:val="0"/>
    <w:qFormat/>
    <w:pPr>
      <w:ind w:firstLine="420"/>
    </w:pPr>
    <w:rPr>
      <w:rFonts w:ascii="Calibri" w:hAnsi="Calibri"/>
      <w:szCs w:val="22"/>
    </w:rPr>
  </w:style>
  <w:style w:type="paragraph" w:styleId="1102" w:customStyle="1">
    <w:name w:val="列出段落2"/>
    <w:basedOn w:val="944"/>
    <w:uiPriority w:val="0"/>
    <w:qFormat/>
    <w:pPr>
      <w:ind w:firstLine="420"/>
    </w:pPr>
    <w:rPr>
      <w:rFonts w:ascii="Calibri" w:hAnsi="Calibri"/>
      <w:szCs w:val="22"/>
    </w:rPr>
  </w:style>
  <w:style w:type="paragraph" w:styleId="1103" w:customStyle="1">
    <w:name w:val="xl45"/>
    <w:basedOn w:val="9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4" w:customStyle="1">
    <w:name w:val="font5"/>
    <w:basedOn w:val="944"/>
    <w:uiPriority w:val="0"/>
    <w:qFormat/>
    <w:pPr>
      <w:jc w:val="left"/>
      <w:spacing w:before="100" w:beforeAutospacing="1" w:after="100" w:afterAutospacing="1"/>
      <w:widowControl/>
    </w:pPr>
    <w:rPr>
      <w:rFonts w:ascii="宋体" w:hAnsi="宋体" w:cs="宋体"/>
      <w:sz w:val="18"/>
      <w:szCs w:val="18"/>
    </w:rPr>
  </w:style>
  <w:style w:type="paragraph" w:styleId="1105" w:customStyle="1">
    <w:name w:val="字元 字元"/>
    <w:basedOn w:val="944"/>
    <w:uiPriority w:val="0"/>
    <w:qFormat/>
    <w:rPr>
      <w:rFonts w:ascii="Tahoma" w:hAnsi="Tahoma"/>
      <w:sz w:val="24"/>
      <w:szCs w:val="20"/>
    </w:rPr>
  </w:style>
  <w:style w:type="paragraph" w:styleId="1106" w:customStyle="1">
    <w:name w:val="正文列项_字母"/>
    <w:basedOn w:val="944"/>
    <w:uiPriority w:val="0"/>
    <w:qFormat/>
    <w:pPr>
      <w:ind w:left="480" w:hanging="180"/>
      <w:spacing w:line="460" w:lineRule="exact"/>
      <w:outlineLvl w:val="6"/>
    </w:pPr>
    <w:rPr>
      <w:rFonts w:ascii="宋体"/>
      <w:sz w:val="28"/>
      <w:szCs w:val="20"/>
    </w:rPr>
  </w:style>
  <w:style w:type="paragraph" w:styleId="1107" w:customStyle="1">
    <w:name w:val="font6"/>
    <w:basedOn w:val="944"/>
    <w:uiPriority w:val="0"/>
    <w:qFormat/>
    <w:pPr>
      <w:jc w:val="left"/>
      <w:spacing w:before="100" w:beforeAutospacing="1" w:after="100" w:afterAutospacing="1"/>
      <w:widowControl/>
    </w:pPr>
    <w:rPr>
      <w:rFonts w:ascii="宋体" w:hAnsi="宋体" w:cs="宋体"/>
      <w:sz w:val="20"/>
      <w:szCs w:val="20"/>
    </w:rPr>
  </w:style>
  <w:style w:type="paragraph" w:styleId="1108" w:customStyle="1">
    <w:name w:val="xl37"/>
    <w:basedOn w:val="9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9" w:customStyle="1">
    <w:name w:val="xl26"/>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10" w:customStyle="1">
    <w:name w:val="二级条标题"/>
    <w:basedOn w:val="1111"/>
    <w:next w:val="94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11" w:customStyle="1">
    <w:name w:val="一级条标题"/>
    <w:basedOn w:val="1112"/>
    <w:next w:val="944"/>
    <w:uiPriority w:val="0"/>
    <w:qFormat/>
    <w:pPr>
      <w:numPr>
        <w:ilvl w:val="0"/>
        <w:numId w:val="0"/>
      </w:numPr>
      <w:ind w:hanging="840"/>
      <w:tabs>
        <w:tab w:val="left" w:pos="360" w:leader="none"/>
        <w:tab w:val="left" w:pos="840" w:leader="none"/>
      </w:tabs>
      <w:outlineLvl w:val="1"/>
    </w:pPr>
  </w:style>
  <w:style w:type="paragraph" w:styleId="1112" w:customStyle="1">
    <w:name w:val="章标题"/>
    <w:next w:val="944"/>
    <w:uiPriority w:val="0"/>
    <w:qFormat/>
    <w:pPr>
      <w:jc w:val="both"/>
      <w:spacing w:line="460" w:lineRule="exact"/>
      <w:outlineLvl w:val="0"/>
    </w:pPr>
    <w:rPr>
      <w:rFonts w:ascii="黑体" w:hAnsi="Times New Roman" w:eastAsia="黑体" w:cs="Times New Roman"/>
      <w:b/>
      <w:sz w:val="28"/>
      <w:lang w:val="en-US" w:eastAsia="zh-CN" w:bidi="ar-SA"/>
    </w:rPr>
  </w:style>
  <w:style w:type="paragraph" w:styleId="1113" w:customStyle="1">
    <w:name w:val="项目编号3"/>
    <w:basedOn w:val="1114"/>
    <w:uiPriority w:val="0"/>
    <w:qFormat/>
    <w:pPr>
      <w:ind w:left="902" w:hanging="420"/>
    </w:pPr>
  </w:style>
  <w:style w:type="paragraph" w:styleId="1114" w:customStyle="1">
    <w:name w:val="正文文本样式"/>
    <w:basedOn w:val="944"/>
    <w:uiPriority w:val="0"/>
    <w:qFormat/>
    <w:pPr>
      <w:ind w:firstLine="482"/>
      <w:spacing w:line="360" w:lineRule="auto"/>
    </w:pPr>
    <w:rPr>
      <w:rFonts w:cs="宋体"/>
      <w:sz w:val="24"/>
      <w:szCs w:val="20"/>
    </w:rPr>
  </w:style>
  <w:style w:type="paragraph" w:styleId="1115" w:customStyle="1">
    <w:name w:val="Char1 Char Char Char1"/>
    <w:basedOn w:val="944"/>
    <w:uiPriority w:val="0"/>
    <w:qFormat/>
    <w:rPr>
      <w:rFonts w:ascii="Tahoma" w:hAnsi="Tahoma" w:cs="仿宋_GB2312"/>
      <w:sz w:val="24"/>
      <w:szCs w:val="28"/>
    </w:rPr>
  </w:style>
  <w:style w:type="paragraph" w:styleId="1116" w:customStyle="1">
    <w:name w:val="_Style 172"/>
    <w:uiPriority w:val="99"/>
    <w:unhideWhenUsed/>
    <w:qFormat/>
    <w:rPr>
      <w:rFonts w:ascii="Times New Roman" w:hAnsi="Times New Roman" w:eastAsia="宋体" w:cs="Times New Roman"/>
      <w:sz w:val="21"/>
      <w:szCs w:val="24"/>
      <w:lang w:val="en-US" w:eastAsia="zh-CN" w:bidi="ar-SA"/>
    </w:rPr>
  </w:style>
  <w:style w:type="paragraph" w:styleId="1117" w:customStyle="1">
    <w:name w:val="Char3 Char Char Char2"/>
    <w:basedOn w:val="944"/>
    <w:uiPriority w:val="0"/>
    <w:qFormat/>
    <w:rPr>
      <w:rFonts w:ascii="Tahoma" w:hAnsi="Tahoma"/>
      <w:sz w:val="24"/>
      <w:szCs w:val="20"/>
    </w:rPr>
  </w:style>
  <w:style w:type="paragraph" w:styleId="1118" w:customStyle="1">
    <w:name w:val="font7"/>
    <w:basedOn w:val="944"/>
    <w:uiPriority w:val="0"/>
    <w:qFormat/>
    <w:pPr>
      <w:jc w:val="left"/>
      <w:spacing w:before="100" w:beforeAutospacing="1" w:after="100" w:afterAutospacing="1"/>
      <w:widowControl/>
    </w:pPr>
    <w:rPr>
      <w:rFonts w:eastAsia="Arial Unicode MS"/>
      <w:b/>
      <w:bCs/>
      <w:color w:val="000000"/>
      <w:sz w:val="20"/>
      <w:szCs w:val="20"/>
    </w:rPr>
  </w:style>
  <w:style w:type="paragraph" w:styleId="1119" w:customStyle="1">
    <w:name w:val="图中文字"/>
    <w:basedOn w:val="944"/>
    <w:uiPriority w:val="0"/>
    <w:qFormat/>
    <w:pPr>
      <w:jc w:val="center"/>
      <w:spacing w:line="0" w:lineRule="atLeast"/>
    </w:pPr>
    <w:rPr>
      <w:sz w:val="24"/>
      <w:szCs w:val="20"/>
    </w:rPr>
  </w:style>
  <w:style w:type="paragraph" w:styleId="1120" w:customStyle="1">
    <w:name w:val="列出段落1"/>
    <w:basedOn w:val="944"/>
    <w:uiPriority w:val="0"/>
    <w:qFormat/>
    <w:pPr>
      <w:ind w:firstLine="420"/>
    </w:pPr>
    <w:rPr>
      <w:rFonts w:ascii="Calibri" w:hAnsi="Calibri"/>
      <w:szCs w:val="22"/>
    </w:rPr>
  </w:style>
  <w:style w:type="paragraph" w:styleId="1121" w:customStyle="1">
    <w:name w:val="xl46"/>
    <w:basedOn w:val="94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22" w:customStyle="1">
    <w:name w:val="Char Char Char Char Char Char Char Char Char Char2"/>
    <w:basedOn w:val="944"/>
    <w:uiPriority w:val="0"/>
    <w:qFormat/>
    <w:rPr>
      <w:rFonts w:ascii="宋体" w:hAnsi="宋体" w:cs="Courier New"/>
      <w:sz w:val="32"/>
      <w:szCs w:val="32"/>
    </w:rPr>
  </w:style>
  <w:style w:type="paragraph" w:styleId="1123" w:customStyle="1">
    <w:name w:val="xl25"/>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4" w:customStyle="1">
    <w:name w:val="表格文字"/>
    <w:basedOn w:val="963"/>
    <w:next w:val="962"/>
    <w:uiPriority w:val="0"/>
    <w:qFormat/>
    <w:pPr>
      <w:ind w:firstLine="0"/>
      <w:spacing w:before="20" w:after="20" w:line="240" w:lineRule="auto"/>
    </w:pPr>
    <w:rPr>
      <w:rFonts w:ascii="Century Gothic" w:hAnsi="Century Gothic"/>
      <w:sz w:val="20"/>
      <w:szCs w:val="20"/>
    </w:rPr>
  </w:style>
  <w:style w:type="paragraph" w:styleId="1125" w:customStyle="1">
    <w:name w:val="正文须知-2级"/>
    <w:basedOn w:val="944"/>
    <w:uiPriority w:val="0"/>
    <w:qFormat/>
    <w:pPr>
      <w:ind w:left="851" w:hanging="851"/>
      <w:spacing w:line="300" w:lineRule="auto"/>
    </w:pPr>
    <w:rPr>
      <w:rFonts w:ascii="宋体" w:hAnsi="Calibri"/>
      <w:sz w:val="24"/>
      <w:szCs w:val="21"/>
    </w:rPr>
  </w:style>
  <w:style w:type="paragraph" w:styleId="112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27" w:customStyle="1">
    <w:name w:val="纯文本1"/>
    <w:basedOn w:val="944"/>
    <w:uiPriority w:val="0"/>
    <w:qFormat/>
    <w:rPr>
      <w:rFonts w:ascii="宋体" w:hAnsi="Courier New" w:cs="Courier New"/>
      <w:sz w:val="24"/>
      <w:szCs w:val="21"/>
    </w:rPr>
  </w:style>
  <w:style w:type="paragraph" w:styleId="1128" w:customStyle="1">
    <w:name w:val="Char2"/>
    <w:basedOn w:val="944"/>
    <w:uiPriority w:val="0"/>
    <w:qFormat/>
    <w:rPr>
      <w:rFonts w:ascii="Tahoma" w:hAnsi="Tahoma"/>
      <w:sz w:val="24"/>
      <w:szCs w:val="20"/>
    </w:rPr>
  </w:style>
  <w:style w:type="paragraph" w:styleId="1129" w:customStyle="1">
    <w:name w:val="正文须知-3级"/>
    <w:basedOn w:val="944"/>
    <w:uiPriority w:val="0"/>
    <w:qFormat/>
    <w:pPr>
      <w:ind w:left="851" w:hanging="355"/>
      <w:spacing w:line="300" w:lineRule="auto"/>
    </w:pPr>
    <w:rPr>
      <w:rFonts w:ascii="宋体" w:hAnsi="Calibri"/>
      <w:sz w:val="24"/>
      <w:szCs w:val="21"/>
    </w:rPr>
  </w:style>
  <w:style w:type="paragraph" w:styleId="1130" w:customStyle="1">
    <w:name w:val="1 Char Char Char Char"/>
    <w:basedOn w:val="944"/>
    <w:uiPriority w:val="0"/>
    <w:qFormat/>
    <w:rPr>
      <w:rFonts w:ascii="Tahoma" w:hAnsi="Tahoma"/>
      <w:sz w:val="24"/>
      <w:szCs w:val="20"/>
    </w:rPr>
  </w:style>
  <w:style w:type="paragraph" w:styleId="1131" w:customStyle="1">
    <w:name w:val="xl35"/>
    <w:basedOn w:val="9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2" w:customStyle="1">
    <w:name w:val="正文须知-1级"/>
    <w:basedOn w:val="944"/>
    <w:next w:val="944"/>
    <w:uiPriority w:val="0"/>
    <w:qFormat/>
    <w:pPr>
      <w:ind w:left="680" w:hanging="680"/>
      <w:spacing w:line="300" w:lineRule="auto"/>
    </w:pPr>
    <w:rPr>
      <w:rFonts w:ascii="宋体" w:hAnsi="Calibri"/>
      <w:sz w:val="24"/>
      <w:szCs w:val="21"/>
    </w:rPr>
  </w:style>
  <w:style w:type="paragraph" w:styleId="1133" w:customStyle="1">
    <w:name w:val="xl49"/>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34" w:customStyle="1">
    <w:name w:val="Char Char Char2"/>
    <w:basedOn w:val="944"/>
    <w:uiPriority w:val="0"/>
    <w:qFormat/>
    <w:rPr>
      <w:rFonts w:ascii="Tahoma" w:hAnsi="Tahoma"/>
      <w:sz w:val="24"/>
      <w:szCs w:val="20"/>
    </w:rPr>
  </w:style>
  <w:style w:type="paragraph" w:styleId="1135" w:customStyle="1">
    <w:name w:val="无标题条"/>
    <w:next w:val="944"/>
    <w:uiPriority w:val="0"/>
    <w:qFormat/>
    <w:pPr>
      <w:jc w:val="both"/>
    </w:pPr>
    <w:rPr>
      <w:rFonts w:ascii="Times New Roman" w:hAnsi="Times New Roman" w:eastAsia="宋体" w:cs="Times New Roman"/>
      <w:sz w:val="21"/>
      <w:lang w:val="en-US" w:eastAsia="zh-CN" w:bidi="ar-SA"/>
    </w:rPr>
  </w:style>
  <w:style w:type="paragraph" w:styleId="1136" w:customStyle="1">
    <w:name w:val="Normal_1"/>
    <w:uiPriority w:val="0"/>
    <w:qFormat/>
    <w:rPr>
      <w:rFonts w:ascii="Calibri" w:hAnsi="Calibri" w:eastAsia="宋体" w:cs="Times New Roman"/>
      <w:sz w:val="24"/>
      <w:szCs w:val="24"/>
      <w:lang w:val="en-US" w:eastAsia="zh-CN" w:bidi="ar-SA"/>
    </w:rPr>
  </w:style>
  <w:style w:type="paragraph" w:styleId="1137" w:customStyle="1">
    <w:name w:val="Char Char Char1 Char"/>
    <w:basedOn w:val="944"/>
    <w:uiPriority w:val="0"/>
    <w:qFormat/>
    <w:rPr>
      <w:rFonts w:ascii="Tahoma" w:hAnsi="Tahoma"/>
      <w:sz w:val="24"/>
      <w:szCs w:val="20"/>
    </w:rPr>
  </w:style>
  <w:style w:type="paragraph" w:styleId="1138" w:customStyle="1">
    <w:name w:val="四级条标题"/>
    <w:basedOn w:val="1139"/>
    <w:next w:val="944"/>
    <w:uiPriority w:val="0"/>
    <w:qFormat/>
    <w:pPr>
      <w:numPr>
        <w:ilvl w:val="0"/>
        <w:numId w:val="0"/>
      </w:numPr>
      <w:ind w:hanging="840"/>
      <w:tabs>
        <w:tab w:val="left" w:pos="360" w:leader="none"/>
        <w:tab w:val="left" w:pos="840" w:leader="none"/>
      </w:tabs>
      <w:outlineLvl w:val="4"/>
    </w:pPr>
  </w:style>
  <w:style w:type="paragraph" w:styleId="1139" w:customStyle="1">
    <w:name w:val="三级条标题"/>
    <w:basedOn w:val="1110"/>
    <w:next w:val="944"/>
    <w:uiPriority w:val="0"/>
    <w:qFormat/>
    <w:pPr>
      <w:outlineLvl w:val="3"/>
    </w:pPr>
  </w:style>
  <w:style w:type="paragraph" w:styleId="1140" w:customStyle="1">
    <w:name w:val="默认段落字体 Para Char Char Char Char"/>
    <w:basedOn w:val="944"/>
    <w:uiPriority w:val="0"/>
    <w:qFormat/>
    <w:rPr>
      <w:rFonts w:ascii="Arial" w:hAnsi="Arial" w:cs="Arial"/>
      <w:szCs w:val="21"/>
    </w:rPr>
  </w:style>
  <w:style w:type="paragraph" w:styleId="1141" w:customStyle="1">
    <w:name w:val="Char Char1 Char Char Char Char Char Char Char Char"/>
    <w:basedOn w:val="944"/>
    <w:uiPriority w:val="0"/>
    <w:qFormat/>
    <w:pPr>
      <w:jc w:val="left"/>
      <w:spacing w:after="160" w:line="240" w:lineRule="exact"/>
      <w:widowControl/>
    </w:pPr>
    <w:rPr>
      <w:rFonts w:ascii="Verdana" w:hAnsi="Verdana"/>
      <w:sz w:val="20"/>
      <w:szCs w:val="20"/>
      <w:lang w:eastAsia="en-US"/>
    </w:rPr>
  </w:style>
  <w:style w:type="paragraph" w:styleId="1142" w:customStyle="1">
    <w:name w:val="background1"/>
    <w:basedOn w:val="944"/>
    <w:uiPriority w:val="0"/>
    <w:qFormat/>
    <w:pPr>
      <w:jc w:val="left"/>
      <w:spacing w:before="100" w:beforeAutospacing="1" w:after="100" w:afterAutospacing="1"/>
      <w:widowControl/>
    </w:pPr>
    <w:rPr>
      <w:rFonts w:ascii="宋体" w:hAnsi="宋体" w:cs="宋体"/>
      <w:sz w:val="24"/>
    </w:rPr>
  </w:style>
  <w:style w:type="paragraph" w:styleId="1143" w:customStyle="1">
    <w:name w:val="xl24"/>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4" w:customStyle="1">
    <w:name w:val="Char Char Char Char Char Char Char"/>
    <w:basedOn w:val="944"/>
    <w:uiPriority w:val="0"/>
    <w:qFormat/>
    <w:pPr>
      <w:ind w:firstLine="200"/>
      <w:spacing w:line="360" w:lineRule="auto"/>
    </w:pPr>
    <w:rPr>
      <w:rFonts w:eastAsia="仿宋_GB2312"/>
      <w:sz w:val="24"/>
    </w:rPr>
  </w:style>
  <w:style w:type="paragraph" w:styleId="1145" w:customStyle="1">
    <w:name w:val="Table Paragraph"/>
    <w:basedOn w:val="944"/>
    <w:uiPriority w:val="1"/>
    <w:qFormat/>
    <w:pPr>
      <w:jc w:val="left"/>
    </w:pPr>
    <w:rPr>
      <w:rFonts w:ascii="宋体" w:hAnsi="宋体" w:cs="宋体"/>
      <w:sz w:val="22"/>
      <w:szCs w:val="22"/>
      <w:lang w:eastAsia="en-US"/>
    </w:rPr>
  </w:style>
  <w:style w:type="paragraph" w:styleId="1146" w:customStyle="1">
    <w:name w:val="五级条标题"/>
    <w:basedOn w:val="1138"/>
    <w:next w:val="944"/>
    <w:uiPriority w:val="0"/>
    <w:qFormat/>
    <w:pPr>
      <w:numPr>
        <w:ilvl w:val="5"/>
      </w:numPr>
      <w:ind w:left="0" w:hanging="840"/>
      <w:outlineLvl w:val="5"/>
    </w:pPr>
  </w:style>
  <w:style w:type="paragraph" w:styleId="1147" w:customStyle="1">
    <w:name w:val="正文列项_数字"/>
    <w:basedOn w:val="944"/>
    <w:uiPriority w:val="0"/>
    <w:qFormat/>
    <w:pPr>
      <w:ind w:left="680" w:hanging="150"/>
      <w:spacing w:line="460" w:lineRule="exact"/>
      <w:outlineLvl w:val="7"/>
    </w:pPr>
    <w:rPr>
      <w:rFonts w:ascii="宋体"/>
      <w:sz w:val="28"/>
      <w:szCs w:val="20"/>
    </w:rPr>
  </w:style>
  <w:style w:type="paragraph" w:styleId="1148" w:customStyle="1">
    <w:name w:val="Char1"/>
    <w:basedOn w:val="944"/>
    <w:uiPriority w:val="0"/>
    <w:qFormat/>
    <w:pPr>
      <w:tabs>
        <w:tab w:val="left" w:pos="360" w:leader="none"/>
      </w:tabs>
    </w:pPr>
    <w:rPr>
      <w:sz w:val="24"/>
    </w:rPr>
  </w:style>
  <w:style w:type="paragraph" w:styleId="1149" w:customStyle="1">
    <w:name w:val="样式2"/>
    <w:basedOn w:val="984"/>
    <w:uiPriority w:val="0"/>
    <w:qFormat/>
    <w:pPr>
      <w:jc w:val="center"/>
      <w:spacing w:line="360" w:lineRule="auto"/>
    </w:pPr>
    <w:rPr>
      <w:sz w:val="24"/>
    </w:rPr>
  </w:style>
  <w:style w:type="paragraph" w:styleId="1150" w:customStyle="1">
    <w:name w:val="xl32"/>
    <w:basedOn w:val="9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1" w:customStyle="1">
    <w:name w:val="Char Char1"/>
    <w:basedOn w:val="959"/>
    <w:uiPriority w:val="0"/>
    <w:qFormat/>
    <w:rPr>
      <w:rFonts w:ascii="Tahoma" w:hAnsi="Tahoma"/>
      <w:sz w:val="24"/>
    </w:rPr>
  </w:style>
  <w:style w:type="paragraph" w:styleId="1152" w:customStyle="1">
    <w:name w:val="xl30"/>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3" w:customStyle="1">
    <w:name w:val="正文文本样式 加粗"/>
    <w:basedOn w:val="1114"/>
    <w:uiPriority w:val="0"/>
    <w:qFormat/>
    <w:rPr>
      <w:b/>
    </w:rPr>
  </w:style>
  <w:style w:type="paragraph" w:styleId="1154" w:customStyle="1">
    <w:name w:val="Char Char4"/>
    <w:basedOn w:val="944"/>
    <w:uiPriority w:val="0"/>
    <w:qFormat/>
    <w:pPr>
      <w:jc w:val="center"/>
      <w:spacing w:line="400" w:lineRule="exact"/>
      <w:widowControl/>
    </w:pPr>
  </w:style>
  <w:style w:type="paragraph" w:styleId="1155" w:customStyle="1">
    <w:name w:val="样式 标题 2 + 宋体 五号 行距: 单倍行距"/>
    <w:basedOn w:val="946"/>
    <w:uiPriority w:val="0"/>
    <w:qFormat/>
    <w:pPr>
      <w:ind w:left="1188" w:hanging="360"/>
      <w:jc w:val="left"/>
      <w:spacing w:before="260" w:after="260" w:line="240" w:lineRule="auto"/>
      <w:tabs>
        <w:tab w:val="left" w:pos="1188" w:leader="none"/>
      </w:tabs>
    </w:pPr>
    <w:rPr>
      <w:rFonts w:ascii="宋体" w:hAnsi="宋体" w:eastAsia="宋体"/>
      <w:bCs/>
      <w:sz w:val="21"/>
    </w:rPr>
  </w:style>
  <w:style w:type="paragraph" w:styleId="1156" w:customStyle="1">
    <w:name w:val="表格1"/>
    <w:basedOn w:val="944"/>
    <w:uiPriority w:val="0"/>
    <w:qFormat/>
    <w:pPr>
      <w:ind w:firstLine="480"/>
      <w:jc w:val="center"/>
    </w:pPr>
    <w:rPr>
      <w:sz w:val="24"/>
      <w:szCs w:val="20"/>
    </w:rPr>
  </w:style>
  <w:style w:type="paragraph" w:styleId="1157" w:customStyle="1">
    <w:name w:val="项目符号1"/>
    <w:basedOn w:val="1114"/>
    <w:uiPriority w:val="0"/>
    <w:qFormat/>
    <w:pPr>
      <w:ind w:left="-25" w:firstLine="0"/>
    </w:pPr>
  </w:style>
  <w:style w:type="paragraph" w:styleId="1158" w:customStyle="1">
    <w:name w:val="xl27"/>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59" w:customStyle="1">
    <w:name w:val="字元 字元2"/>
    <w:basedOn w:val="944"/>
    <w:uiPriority w:val="0"/>
    <w:qFormat/>
    <w:rPr>
      <w:rFonts w:ascii="Tahoma" w:hAnsi="Tahoma"/>
      <w:sz w:val="24"/>
      <w:szCs w:val="20"/>
    </w:rPr>
  </w:style>
  <w:style w:type="paragraph" w:styleId="1160" w:customStyle="1">
    <w:name w:val="图文"/>
    <w:basedOn w:val="944"/>
    <w:uiPriority w:val="0"/>
    <w:qFormat/>
    <w:pPr>
      <w:spacing w:after="50" w:line="360" w:lineRule="auto"/>
    </w:pPr>
    <w:rPr>
      <w:sz w:val="24"/>
    </w:rPr>
  </w:style>
  <w:style w:type="paragraph" w:styleId="1161" w:customStyle="1">
    <w:name w:val="xl53"/>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2" w:customStyle="1">
    <w:name w:val="22222222222222"/>
    <w:basedOn w:val="944"/>
    <w:uiPriority w:val="0"/>
    <w:qFormat/>
    <w:pPr>
      <w:ind w:firstLine="480"/>
      <w:jc w:val="left"/>
      <w:spacing w:line="360" w:lineRule="auto"/>
      <w:widowControl/>
    </w:pPr>
    <w:rPr>
      <w:color w:val="ff0000"/>
      <w:sz w:val="24"/>
      <w:szCs w:val="20"/>
    </w:rPr>
  </w:style>
  <w:style w:type="paragraph" w:styleId="1163" w:customStyle="1">
    <w:name w:val="正文缩进11"/>
    <w:basedOn w:val="944"/>
    <w:uiPriority w:val="99"/>
    <w:qFormat/>
    <w:pPr>
      <w:ind w:firstLine="200"/>
    </w:pPr>
    <w:rPr>
      <w:sz w:val="24"/>
    </w:rPr>
  </w:style>
  <w:style w:type="paragraph" w:styleId="1164" w:customStyle="1">
    <w:name w:val="Char3"/>
    <w:basedOn w:val="944"/>
    <w:uiPriority w:val="0"/>
    <w:qFormat/>
    <w:pPr>
      <w:tabs>
        <w:tab w:val="left" w:pos="360" w:leader="none"/>
      </w:tabs>
    </w:pPr>
    <w:rPr>
      <w:sz w:val="24"/>
    </w:rPr>
  </w:style>
  <w:style w:type="paragraph" w:styleId="1165" w:customStyle="1">
    <w:name w:val="xl33"/>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6" w:customStyle="1">
    <w:name w:val="Char21"/>
    <w:basedOn w:val="944"/>
    <w:uiPriority w:val="0"/>
    <w:qFormat/>
    <w:rPr>
      <w:rFonts w:ascii="Tahoma" w:hAnsi="Tahoma"/>
      <w:sz w:val="24"/>
      <w:szCs w:val="20"/>
    </w:rPr>
  </w:style>
  <w:style w:type="paragraph" w:styleId="1167" w:customStyle="1">
    <w:name w:val="xl42"/>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68" w:customStyle="1">
    <w:name w:val="Char2 Char Char Char Char Char Char1"/>
    <w:basedOn w:val="944"/>
    <w:uiPriority w:val="0"/>
    <w:qFormat/>
    <w:pPr>
      <w:jc w:val="center"/>
      <w:spacing w:line="400" w:lineRule="exact"/>
      <w:widowControl/>
    </w:pPr>
  </w:style>
  <w:style w:type="paragraph" w:styleId="1169" w:customStyle="1">
    <w:name w:val="xl44"/>
    <w:basedOn w:val="9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70" w:customStyle="1">
    <w:name w:val="xl34"/>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71" w:customStyle="1">
    <w:name w:val="标题1-附件"/>
    <w:basedOn w:val="945"/>
    <w:uiPriority w:val="0"/>
    <w:qFormat/>
    <w:pPr>
      <w:jc w:val="left"/>
    </w:pPr>
    <w:rPr>
      <w:sz w:val="24"/>
      <w:szCs w:val="24"/>
    </w:rPr>
  </w:style>
  <w:style w:type="paragraph" w:styleId="1172" w:customStyle="1">
    <w:name w:val="xl51"/>
    <w:basedOn w:val="9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3" w:customStyle="1">
    <w:name w:val="xl48"/>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74" w:customStyle="1">
    <w:name w:val="Char Char1 Char Char Char Char Char Char1"/>
    <w:basedOn w:val="944"/>
    <w:uiPriority w:val="0"/>
    <w:qFormat/>
    <w:pPr>
      <w:jc w:val="left"/>
      <w:spacing w:after="160" w:line="240" w:lineRule="exact"/>
      <w:widowControl/>
    </w:pPr>
    <w:rPr>
      <w:rFonts w:ascii="Verdana" w:hAnsi="Verdana" w:eastAsia="仿宋_GB2312"/>
      <w:sz w:val="24"/>
      <w:szCs w:val="20"/>
      <w:lang w:eastAsia="en-US"/>
    </w:rPr>
  </w:style>
  <w:style w:type="paragraph" w:styleId="1175" w:customStyle="1">
    <w:name w:val="font9"/>
    <w:basedOn w:val="94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76" w:customStyle="1">
    <w:name w:val="Char Char41"/>
    <w:basedOn w:val="944"/>
    <w:uiPriority w:val="0"/>
    <w:qFormat/>
    <w:pPr>
      <w:jc w:val="center"/>
      <w:spacing w:line="400" w:lineRule="exact"/>
      <w:widowControl/>
    </w:pPr>
  </w:style>
  <w:style w:type="paragraph" w:styleId="1177" w:customStyle="1">
    <w:name w:val="Char Char Char1 Char1"/>
    <w:basedOn w:val="944"/>
    <w:uiPriority w:val="0"/>
    <w:qFormat/>
    <w:rPr>
      <w:rFonts w:ascii="Tahoma" w:hAnsi="Tahoma"/>
      <w:sz w:val="24"/>
      <w:szCs w:val="20"/>
    </w:rPr>
  </w:style>
  <w:style w:type="paragraph" w:styleId="1178" w:customStyle="1">
    <w:name w:val="正文文本缩进2"/>
    <w:basedOn w:val="944"/>
    <w:uiPriority w:val="0"/>
    <w:qFormat/>
    <w:pPr>
      <w:ind w:firstLine="480"/>
      <w:spacing w:line="480" w:lineRule="exact"/>
    </w:pPr>
    <w:rPr>
      <w:rFonts w:ascii="宋体" w:hAnsi="宋体"/>
      <w:sz w:val="24"/>
      <w:lang w:val="zh-CN"/>
    </w:rPr>
  </w:style>
  <w:style w:type="paragraph" w:styleId="1179" w:customStyle="1">
    <w:name w:val="Char Char Char Char Char Char Char Char Char Char"/>
    <w:basedOn w:val="944"/>
    <w:uiPriority w:val="0"/>
    <w:qFormat/>
  </w:style>
  <w:style w:type="paragraph" w:styleId="118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Char3 Char Char Char1"/>
    <w:basedOn w:val="944"/>
    <w:uiPriority w:val="0"/>
    <w:qFormat/>
    <w:rPr>
      <w:rFonts w:ascii="Tahoma" w:hAnsi="Tahoma"/>
      <w:sz w:val="24"/>
      <w:szCs w:val="20"/>
    </w:rPr>
  </w:style>
  <w:style w:type="paragraph" w:styleId="1182" w:customStyle="1">
    <w:name w:val="Char Char Char Char Char Char Char2"/>
    <w:basedOn w:val="944"/>
    <w:uiPriority w:val="0"/>
    <w:qFormat/>
    <w:pPr>
      <w:ind w:firstLine="200"/>
      <w:spacing w:line="360" w:lineRule="auto"/>
    </w:pPr>
    <w:rPr>
      <w:rFonts w:eastAsia="仿宋_GB2312"/>
      <w:sz w:val="24"/>
    </w:rPr>
  </w:style>
  <w:style w:type="paragraph" w:styleId="1183" w:customStyle="1">
    <w:name w:val="xl28"/>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4" w:customStyle="1">
    <w:name w:val="xl47"/>
    <w:basedOn w:val="9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5" w:customStyle="1">
    <w:name w:val="xl31"/>
    <w:basedOn w:val="9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6" w:customStyle="1">
    <w:name w:val="xl23"/>
    <w:basedOn w:val="944"/>
    <w:uiPriority w:val="0"/>
    <w:qFormat/>
    <w:pPr>
      <w:spacing w:before="100" w:beforeAutospacing="1" w:after="100" w:afterAutospacing="1" w:line="360" w:lineRule="auto"/>
      <w:widowControl/>
    </w:pPr>
    <w:rPr>
      <w:sz w:val="24"/>
      <w:szCs w:val="20"/>
    </w:rPr>
  </w:style>
  <w:style w:type="paragraph" w:styleId="1187" w:customStyle="1">
    <w:name w:val="正文 + 楷体_GB2312"/>
    <w:basedOn w:val="944"/>
    <w:uiPriority w:val="0"/>
    <w:qFormat/>
    <w:pPr>
      <w:jc w:val="left"/>
      <w:widowControl/>
    </w:pPr>
    <w:rPr>
      <w:rFonts w:ascii="楷体_GB2312" w:eastAsia="楷体_GB2312" w:cs="Arial"/>
      <w:sz w:val="24"/>
    </w:rPr>
  </w:style>
  <w:style w:type="paragraph" w:styleId="1188" w:customStyle="1">
    <w:name w:val="Char Char Char Char Char Char Char Char Char Char Char Char Char Char Char Char1"/>
    <w:basedOn w:val="944"/>
    <w:uiPriority w:val="0"/>
    <w:qFormat/>
    <w:pPr>
      <w:jc w:val="center"/>
      <w:spacing w:after="160" w:line="240" w:lineRule="exact"/>
      <w:widowControl/>
    </w:pPr>
    <w:rPr>
      <w:rFonts w:ascii="宋体" w:hAnsi="宋体"/>
      <w:b/>
      <w:sz w:val="30"/>
      <w:szCs w:val="30"/>
      <w:lang w:eastAsia="en-US"/>
    </w:rPr>
  </w:style>
  <w:style w:type="paragraph" w:styleId="1189" w:customStyle="1">
    <w:name w:val="Char Char Char Char Char Char Char1"/>
    <w:basedOn w:val="944"/>
    <w:uiPriority w:val="0"/>
    <w:qFormat/>
    <w:pPr>
      <w:ind w:firstLine="200"/>
      <w:spacing w:line="360" w:lineRule="auto"/>
    </w:pPr>
    <w:rPr>
      <w:rFonts w:eastAsia="仿宋_GB2312"/>
      <w:sz w:val="24"/>
    </w:rPr>
  </w:style>
  <w:style w:type="paragraph" w:styleId="1190" w:customStyle="1">
    <w:name w:val="索引 11"/>
    <w:basedOn w:val="944"/>
    <w:next w:val="944"/>
    <w:uiPriority w:val="0"/>
    <w:qFormat/>
    <w:pPr>
      <w:spacing w:line="360" w:lineRule="auto"/>
    </w:pPr>
    <w:rPr>
      <w:rFonts w:ascii="仿宋_GB2312" w:eastAsia="仿宋_GB2312"/>
      <w:sz w:val="24"/>
      <w:szCs w:val="20"/>
    </w:rPr>
  </w:style>
  <w:style w:type="paragraph" w:styleId="1191" w:customStyle="1">
    <w:name w:val="Char Char Char1 Char2"/>
    <w:basedOn w:val="944"/>
    <w:uiPriority w:val="0"/>
    <w:qFormat/>
    <w:rPr>
      <w:rFonts w:ascii="Tahoma" w:hAnsi="Tahoma"/>
      <w:sz w:val="24"/>
      <w:szCs w:val="20"/>
    </w:rPr>
  </w:style>
  <w:style w:type="paragraph" w:styleId="1192" w:customStyle="1">
    <w:name w:val="xl29"/>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93" w:customStyle="1">
    <w:name w:val="图例"/>
    <w:basedOn w:val="944"/>
    <w:uiPriority w:val="0"/>
    <w:qFormat/>
    <w:pPr>
      <w:jc w:val="center"/>
      <w:spacing w:before="120" w:after="120" w:line="360" w:lineRule="auto"/>
    </w:pPr>
    <w:rPr>
      <w:rFonts w:eastAsia="仿宋_GB2312"/>
      <w:b/>
      <w:sz w:val="24"/>
      <w:szCs w:val="20"/>
    </w:rPr>
  </w:style>
  <w:style w:type="paragraph" w:styleId="1194" w:customStyle="1">
    <w:name w:val="_Style 160"/>
    <w:uiPriority w:val="0"/>
    <w:qFormat/>
    <w:rPr>
      <w:rFonts w:ascii="Times New Roman" w:hAnsi="Times New Roman" w:eastAsia="宋体" w:cs="Times New Roman"/>
      <w:sz w:val="21"/>
      <w:szCs w:val="24"/>
      <w:lang w:val="en-US" w:eastAsia="zh-CN" w:bidi="ar-SA"/>
    </w:rPr>
  </w:style>
  <w:style w:type="paragraph" w:styleId="1195" w:customStyle="1">
    <w:name w:val="p0"/>
    <w:basedOn w:val="944"/>
    <w:uiPriority w:val="0"/>
    <w:qFormat/>
    <w:pPr>
      <w:widowControl/>
    </w:pPr>
    <w:rPr>
      <w:szCs w:val="21"/>
    </w:rPr>
  </w:style>
  <w:style w:type="paragraph" w:styleId="1196" w:customStyle="1">
    <w:name w:val="Char2 Char Char Char Char Char Char"/>
    <w:basedOn w:val="944"/>
    <w:uiPriority w:val="0"/>
    <w:qFormat/>
    <w:pPr>
      <w:jc w:val="center"/>
      <w:spacing w:line="400" w:lineRule="exact"/>
      <w:widowControl/>
    </w:pPr>
  </w:style>
  <w:style w:type="paragraph" w:styleId="1197" w:customStyle="1">
    <w:name w:val="正文缩进2"/>
    <w:basedOn w:val="944"/>
    <w:uiPriority w:val="0"/>
    <w:qFormat/>
    <w:pPr>
      <w:ind w:firstLine="567"/>
      <w:spacing w:line="480" w:lineRule="exact"/>
      <w:widowControl/>
    </w:pPr>
    <w:rPr>
      <w:rFonts w:ascii="宋体"/>
      <w:color w:val="000000"/>
      <w:sz w:val="28"/>
      <w:szCs w:val="20"/>
      <w:lang w:val="zh-CN"/>
    </w:rPr>
  </w:style>
  <w:style w:type="paragraph" w:styleId="1198" w:customStyle="1">
    <w:name w:val="修订1"/>
    <w:uiPriority w:val="0"/>
    <w:qFormat/>
    <w:rPr>
      <w:rFonts w:ascii="Times New Roman" w:hAnsi="Times New Roman" w:eastAsia="宋体" w:cs="Times New Roman"/>
      <w:sz w:val="21"/>
      <w:szCs w:val="24"/>
      <w:lang w:val="en-US" w:eastAsia="zh-CN" w:bidi="ar-SA"/>
    </w:rPr>
  </w:style>
  <w:style w:type="table" w:styleId="1199" w:customStyle="1">
    <w:name w:val="Table Normal"/>
    <w:uiPriority w:val="2"/>
    <w:unhideWhenUsed/>
    <w:qFormat/>
    <w:pPr>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200" w:customStyle="1">
    <w:name w:val="样式1"/>
    <w:basedOn w:val="946"/>
    <w:uiPriority w:val="0"/>
    <w:qFormat/>
    <w:pPr>
      <w:ind w:right="100"/>
      <w:spacing w:before="100" w:beforeAutospacing="1" w:after="100" w:afterAutospacing="1"/>
    </w:pPr>
    <w:rPr>
      <w:sz w:val="21"/>
    </w:rPr>
  </w:style>
  <w:style w:type="character" w:styleId="1201" w:customStyle="1">
    <w:name w:val="sp"/>
    <w:uiPriority w:val="0"/>
    <w:qFormat/>
    <w:rPr>
      <w:color w:val="ffffff"/>
      <w:shd w:val="clear" w:color="auto" w:fill="dddddd"/>
    </w:rPr>
  </w:style>
  <w:style w:type="character" w:styleId="1202" w:customStyle="1">
    <w:name w:val="disabled"/>
    <w:uiPriority w:val="0"/>
    <w:qFormat/>
    <w:rPr>
      <w:color w:val="38322d"/>
    </w:rPr>
  </w:style>
  <w:style w:type="character" w:styleId="1203" w:customStyle="1">
    <w:name w:val="current"/>
    <w:uiPriority w:val="0"/>
    <w:qFormat/>
    <w:rPr>
      <w:b/>
      <w:bCs/>
      <w:color w:val="ffffff"/>
      <w:shd w:val="clear" w:color="auto" w:fill="38322d"/>
    </w:rPr>
  </w:style>
  <w:style w:type="character" w:styleId="1204" w:customStyle="1">
    <w:name w:val="NormalCharacter"/>
    <w:uiPriority w:val="0"/>
    <w:qFormat/>
    <w:rPr>
      <w:rFonts w:ascii="Times New Roman" w:hAnsi="Times New Roman" w:eastAsia="宋体" w:cs="Times New Roman"/>
      <w:sz w:val="21"/>
      <w:szCs w:val="24"/>
      <w:lang w:val="en-US" w:eastAsia="zh-CN" w:bidi="ar-SA"/>
    </w:rPr>
  </w:style>
  <w:style w:type="paragraph" w:styleId="1205" w:customStyle="1">
    <w:name w:val="普通(网站)1"/>
    <w:basedOn w:val="944"/>
    <w:uiPriority w:val="99"/>
    <w:unhideWhenUsed/>
    <w:qFormat/>
    <w:pPr>
      <w:jc w:val="left"/>
      <w:spacing w:before="100" w:beforeAutospacing="1" w:after="100" w:afterAutospacing="1"/>
      <w:widowControl/>
    </w:pPr>
    <w:rPr>
      <w:rFonts w:ascii="宋体" w:hAnsi="宋体" w:cs="宋体"/>
      <w:sz w:val="24"/>
    </w:rPr>
  </w:style>
  <w:style w:type="paragraph" w:styleId="1206" w:customStyle="1">
    <w:name w:val="表 靠左"/>
    <w:basedOn w:val="1207"/>
    <w:uiPriority w:val="0"/>
    <w:qFormat/>
    <w:pPr>
      <w:jc w:val="left"/>
    </w:pPr>
    <w:rPr>
      <w:rFonts w:ascii="宋体" w:hAnsi="宋体" w:eastAsia="宋体"/>
    </w:rPr>
  </w:style>
  <w:style w:type="paragraph" w:styleId="1207" w:customStyle="1">
    <w:name w:val="表"/>
    <w:basedOn w:val="944"/>
    <w:next w:val="944"/>
    <w:uiPriority w:val="7"/>
    <w:qFormat/>
    <w:pPr>
      <w:ind w:firstLine="0"/>
      <w:jc w:val="center"/>
      <w:spacing w:line="240" w:lineRule="auto"/>
    </w:pPr>
  </w:style>
  <w:style w:type="paragraph" w:styleId="1208" w:customStyle="1">
    <w:name w:val="列表段落1"/>
    <w:basedOn w:val="944"/>
    <w:uiPriority w:val="34"/>
    <w:qFormat/>
    <w:pPr>
      <w:ind w:firstLine="420"/>
    </w:pPr>
  </w:style>
  <w:style w:type="paragraph" w:styleId="1209" w:customStyle="1">
    <w:name w:val="首行缩进"/>
    <w:basedOn w:val="944"/>
    <w:uiPriority w:val="0"/>
    <w:qFormat/>
    <w:pPr>
      <w:ind w:firstLine="480"/>
    </w:pPr>
    <w:rPr>
      <w:rFonts w:ascii="宋体" w:hAnsi="宋体" w:cs="宋体"/>
      <w:szCs w:val="22"/>
    </w:rPr>
  </w:style>
  <w:style w:type="paragraph" w:styleId="1210" w:customStyle="1">
    <w:name w:val="0- 正文"/>
    <w:basedOn w:val="944"/>
    <w:uiPriority w:val="0"/>
    <w:qFormat/>
    <w:pPr>
      <w:ind w:firstLine="482"/>
      <w:jc w:val="left"/>
      <w:spacing w:line="360" w:lineRule="auto"/>
      <w:widowControl/>
    </w:pPr>
    <w:rPr>
      <w:rFonts w:ascii="Calibri" w:hAnsi="Calibri" w:eastAsia="宋体" w:cs="Times New Roman"/>
      <w:sz w:val="24"/>
      <w:szCs w:val="22"/>
    </w:rPr>
  </w:style>
  <w:style w:type="paragraph" w:styleId="1211" w:customStyle="1">
    <w:name w:val="_Style 267"/>
    <w:uiPriority w:val="99"/>
    <w:unhideWhenUsed/>
    <w:qFormat/>
    <w:rPr>
      <w:rFonts w:ascii="Times New Roman" w:hAnsi="Times New Roman" w:eastAsia="宋体" w:cs="Times New Roman"/>
      <w:sz w:val="21"/>
      <w:szCs w:val="24"/>
      <w:lang w:val="en-US" w:eastAsia="zh-CN" w:bidi="ar-SA"/>
    </w:rPr>
  </w:style>
  <w:style w:type="paragraph" w:styleId="1212" w:customStyle="1">
    <w:name w:val="表格正文"/>
    <w:basedOn w:val="944"/>
    <w:uiPriority w:val="0"/>
    <w:qFormat/>
    <w:pPr>
      <w:ind w:firstLine="480"/>
      <w:jc w:val="left"/>
      <w:spacing w:line="400" w:lineRule="exact"/>
    </w:pPr>
    <w:rPr>
      <w:rFonts w:hint="eastAsia" w:ascii="仿宋_GB2312" w:hAnsi="仿宋_GB2312" w:eastAsia="仿宋_GB2312" w:cs="仿宋_GB2312"/>
      <w:bCs/>
      <w:sz w:val="24"/>
    </w:rPr>
  </w:style>
  <w:style w:type="paragraph" w:styleId="1213" w:customStyle="1">
    <w:name w:val="批注文字1"/>
    <w:basedOn w:val="944"/>
    <w:uiPriority w:val="99"/>
    <w:qFormat/>
    <w:pPr>
      <w:jc w:val="left"/>
    </w:pPr>
  </w:style>
  <w:style w:type="paragraph" w:styleId="1214" w:customStyle="1">
    <w:name w:val="表内文字居中"/>
    <w:uiPriority w:val="0"/>
    <w:qFormat/>
    <w:pPr>
      <w:jc w:val="center"/>
    </w:pPr>
    <w:rPr>
      <w:rFonts w:ascii="Times New Roman" w:hAnsi="Times New Roman" w:eastAsia="宋体" w:cs="Times New Roman"/>
      <w:sz w:val="24"/>
      <w:szCs w:val="24"/>
      <w:lang w:val="en-US" w:eastAsia="zh-CN" w:bidi="ar-SA"/>
    </w:rPr>
  </w:style>
  <w:style w:type="paragraph" w:styleId="1215" w:customStyle="1">
    <w:name w:val="Style 样式 首行缩进:  2 字符 + Before:  0.5 line"/>
    <w:basedOn w:val="1216"/>
    <w:uiPriority w:val="0"/>
    <w:qFormat/>
    <w:pPr>
      <w:spacing w:before="0" w:line="440" w:lineRule="exact"/>
    </w:pPr>
    <w:rPr>
      <w:rFonts w:cs="Times New Roman"/>
    </w:rPr>
  </w:style>
  <w:style w:type="paragraph" w:styleId="1216" w:customStyle="1">
    <w:name w:val="样式 首行缩进:  2 字符"/>
    <w:basedOn w:val="944"/>
    <w:uiPriority w:val="0"/>
    <w:qFormat/>
    <w:pPr>
      <w:ind w:firstLine="420"/>
      <w:spacing w:before="50" w:line="360" w:lineRule="auto"/>
    </w:pPr>
    <w:rPr>
      <w:rFonts w:ascii="Times New Roman" w:hAnsi="Times New Roman" w:eastAsia="宋体" w:cs="宋体"/>
      <w:szCs w:val="20"/>
    </w:rPr>
  </w:style>
  <w:style w:type="numbering" w:styleId="1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周叶</cp:lastModifiedBy>
  <cp:revision>8</cp:revision>
  <dcterms:created xsi:type="dcterms:W3CDTF">2024-05-10T14:52:00Z</dcterms:created>
  <dcterms:modified xsi:type="dcterms:W3CDTF">2026-04-07T08:53:11Z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D1EF7393C06A48EE9E9570DBC5F11FF4_13</vt:lpwstr>
  </property>
  <property fmtid="{D5CDD505-2E9C-101B-9397-08002B2CF9AE}" pid="4" name="KSOTemplateDocerSaveRecord">
    <vt:lpwstr>eyJoZGlkIjoiN2JmZDhhZDFmMzFiNjE3ODQzZmE1YWM2MDY5MDkxMDIiLCJ1c2VySWQiOiI0NDYxNzY1MTEifQ==</vt:lpwstr>
  </property>
</Properties>
</file>