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JSZC-320500-JZCG-G2026-0067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苏州市公安局交通安全设施零星建设</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3"/>
        <w:ind w:firstLine="0"/>
        <w:jc w:val="left"/>
        <w:spacing w:before="120" w:after="120"/>
        <w:tabs>
          <w:tab w:val="right" w:pos="9856" w:leader="dot"/>
        </w:tabs>
        <w:rPr>
          <w:rStyle w:val="1075"/>
          <w:rFonts w:ascii="宋体" w:hAnsi="宋体" w:cs="Calibri"/>
          <w:bCs/>
          <w:caps/>
          <w:color w:val="auto"/>
          <w:sz w:val="32"/>
          <w:szCs w:val="32"/>
        </w:rPr>
        <w:outlineLvl w:val="9"/>
      </w:pPr>
      <w:r>
        <w:rPr>
          <w:rFonts w:ascii="宋体" w:hAnsi="宋体" w:cs="Calibri"/>
          <w:bCs/>
          <w:caps/>
          <w:color w:val="auto"/>
          <w:sz w:val="32"/>
          <w:szCs w:val="32"/>
        </w:rPr>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rPr>
          <w:rStyle w:val="1075"/>
          <w:rFonts w:ascii="宋体" w:hAnsi="宋体" w:cs="Calibri"/>
          <w:bCs/>
          <w:caps/>
          <w:color w:val="auto"/>
          <w:sz w:val="32"/>
        </w:rPr>
        <w:fldChar w:fldCharType="begin"/>
      </w:r>
      <w:r>
        <w:rPr>
          <w:rStyle w:val="1075"/>
          <w:rFonts w:ascii="宋体" w:hAnsi="宋体" w:cs="Calibri"/>
          <w:bCs/>
          <w:caps/>
          <w:color w:val="auto"/>
          <w:sz w:val="32"/>
        </w:rPr>
        <w:instrText xml:space="preserve"> TOC \o "1-1" \h \z \u </w:instrText>
      </w:r>
      <w:r>
        <w:rPr>
          <w:rStyle w:val="1075"/>
          <w:rFonts w:ascii="宋体" w:hAnsi="宋体" w:cs="Calibri"/>
          <w:bCs/>
          <w:caps/>
          <w:color w:val="auto"/>
          <w:sz w:val="32"/>
        </w:rPr>
        <w:fldChar w:fldCharType="separate"/>
      </w:r>
      <w:hyperlink w:tooltip="#_Toc105397776" w:anchor="_Toc105397776" w:history="1">
        <w:r>
          <w:rPr>
            <w:rStyle w:val="1075"/>
            <w:rFonts w:ascii="宋体" w:hAnsi="宋体" w:cs="Calibri"/>
            <w:bCs/>
            <w:caps/>
            <w:color w:val="auto"/>
            <w:sz w:val="32"/>
            <w:szCs w:val="32"/>
          </w:rPr>
          <w:t xml:space="preserve">第一章 投标邀请函</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_Toc105397776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5</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hyperlink w:tooltip="#_Toc105397777" w:anchor="_Toc105397777" w:history="1">
        <w:r>
          <w:rPr>
            <w:rStyle w:val="1075"/>
            <w:rFonts w:ascii="宋体" w:hAnsi="宋体" w:cs="Calibri"/>
            <w:bCs/>
            <w:caps/>
            <w:color w:val="auto"/>
            <w:sz w:val="32"/>
            <w:szCs w:val="32"/>
          </w:rPr>
          <w:t xml:space="preserve">第二章 投标人须知</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_Toc105397777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8</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hyperlink w:tooltip="#_Toc105397778" w:anchor="_Toc105397778" w:history="1">
        <w:r>
          <w:rPr>
            <w:rStyle w:val="1075"/>
            <w:rFonts w:ascii="宋体" w:hAnsi="宋体" w:cs="Calibri"/>
            <w:bCs/>
            <w:caps/>
            <w:color w:val="auto"/>
            <w:sz w:val="32"/>
            <w:szCs w:val="32"/>
          </w:rPr>
          <w:t xml:space="preserve">第三章 投标文件格式</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_Toc105397778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20</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hyperlink w:tooltip="#_Toc105397793" w:anchor="_Toc105397793" w:history="1">
        <w:r>
          <w:rPr>
            <w:rStyle w:val="1075"/>
            <w:rFonts w:ascii="宋体" w:hAnsi="宋体" w:cs="Calibri"/>
            <w:bCs/>
            <w:caps/>
            <w:color w:val="auto"/>
            <w:sz w:val="32"/>
            <w:szCs w:val="32"/>
          </w:rPr>
          <w:t xml:space="preserve">第四章 招标书</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_Toc105397793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60</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hyperlink w:tooltip="#_Toc105397794" w:anchor="_Toc105397794" w:history="1">
        <w:r>
          <w:rPr>
            <w:rStyle w:val="1075"/>
            <w:rFonts w:ascii="宋体" w:hAnsi="宋体" w:cs="Calibri"/>
            <w:bCs/>
            <w:caps/>
            <w:color w:val="auto"/>
            <w:sz w:val="32"/>
            <w:szCs w:val="32"/>
          </w:rPr>
          <w:t xml:space="preserve">第五章 合同及主要条款</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_Toc105397794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86</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4" w:leader="dot"/>
        </w:tabs>
        <w:rPr>
          <w:rStyle w:val="1075"/>
          <w:rFonts w:ascii="宋体" w:hAnsi="宋体" w:cs="Calibri"/>
          <w:bCs/>
          <w:caps/>
          <w:color w:val="auto"/>
          <w:sz w:val="32"/>
          <w:szCs w:val="32"/>
        </w:rPr>
        <w:outlineLvl w:val="9"/>
      </w:pPr>
      <w:r/>
      <w:hyperlink w:tooltip="#_Toc105397795" w:anchor="_Toc105397795" w:history="1">
        <w:r>
          <w:rPr>
            <w:rStyle w:val="1075"/>
            <w:rFonts w:ascii="宋体" w:hAnsi="宋体" w:cs="Calibri"/>
            <w:bCs/>
            <w:caps/>
            <w:color w:val="auto"/>
            <w:sz w:val="32"/>
            <w:szCs w:val="32"/>
          </w:rPr>
          <w:t xml:space="preserve">第六章 评标办法和评分标准</w:t>
        </w:r>
        <w:r>
          <w:rPr>
            <w:rStyle w:val="1075"/>
            <w:rFonts w:ascii="宋体" w:hAnsi="宋体" w:cs="Calibri"/>
            <w:bCs/>
            <w:caps/>
            <w:color w:val="auto"/>
            <w:sz w:val="32"/>
            <w:szCs w:val="32"/>
          </w:rPr>
          <w:tab/>
        </w: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PAGEREF _Toc105397795 \h </w:instrText>
        </w:r>
        <w:r>
          <w:rPr>
            <w:rStyle w:val="1075"/>
            <w:rFonts w:ascii="宋体" w:hAnsi="宋体" w:cs="Calibri"/>
            <w:bCs/>
            <w:caps/>
            <w:color w:val="auto"/>
            <w:sz w:val="32"/>
            <w:szCs w:val="32"/>
          </w:rPr>
        </w:r>
        <w:r>
          <w:rPr>
            <w:rStyle w:val="1075"/>
            <w:rFonts w:ascii="宋体" w:hAnsi="宋体" w:cs="Calibri"/>
            <w:bCs/>
            <w:caps/>
            <w:color w:val="auto"/>
            <w:sz w:val="32"/>
            <w:szCs w:val="32"/>
          </w:rPr>
          <w:fldChar w:fldCharType="separate"/>
        </w:r>
        <w:r>
          <w:rPr>
            <w:rStyle w:val="1075"/>
            <w:rFonts w:ascii="宋体" w:hAnsi="宋体" w:cs="Calibri"/>
            <w:bCs/>
            <w:caps/>
            <w:color w:val="auto"/>
            <w:sz w:val="32"/>
            <w:szCs w:val="32"/>
          </w:rPr>
          <w:t xml:space="preserve">97</w:t>
        </w:r>
        <w:r>
          <w:rPr>
            <w:rStyle w:val="1075"/>
            <w:rFonts w:ascii="宋体" w:hAnsi="宋体" w:cs="Calibri"/>
            <w:bCs/>
            <w:caps/>
            <w:color w:val="auto"/>
            <w:sz w:val="32"/>
            <w:szCs w:val="32"/>
          </w:rPr>
          <w:fldChar w:fldCharType="end"/>
        </w:r>
      </w:hyperlink>
      <w:r/>
      <w:r/>
    </w:p>
    <w:p>
      <w:pPr>
        <w:pStyle w:val="1043"/>
        <w:ind w:firstLine="0"/>
        <w:jc w:val="left"/>
        <w:spacing w:before="120" w:after="120"/>
        <w:tabs>
          <w:tab w:val="right" w:pos="9856" w:leader="dot"/>
        </w:tabs>
        <w:rPr>
          <w:rFonts w:ascii="宋体" w:hAnsi="宋体"/>
          <w:sz w:val="32"/>
          <w:szCs w:val="32"/>
        </w:rPr>
        <w:outlineLvl w:val="9"/>
      </w:pPr>
      <w:r>
        <w:rPr>
          <w:rStyle w:val="107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7166"/>
            <w:r/>
            <w:bookmarkStart w:id="4" w:name="_Toc28592"/>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苏州市公安局交通安全设施零星建设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联系人：严工、谢工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陈晨</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0512-65110277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05</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33"/>
              <w:ind w:firstLine="0"/>
              <w:rPr>
                <w:rFonts w:ascii="宋体" w:hAnsi="宋体"/>
                <w:sz w:val="21"/>
                <w:szCs w:val="21"/>
              </w:rPr>
            </w:pPr>
            <w:r/>
            <w:bookmarkStart w:id="5" w:name="_Toc224221577"/>
            <w:r>
              <w:rPr>
                <w:rFonts w:hint="eastAsia" w:ascii="宋体" w:hAnsi="宋体"/>
                <w:sz w:val="21"/>
                <w:szCs w:val="21"/>
              </w:rPr>
              <w:t xml:space="preserve">苏州高新区邓尉路105号狮山科技馆8楼</w:t>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rPr>
              <w:t xml:space="preserve">合同总金额的【10】%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3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6"/>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0"/>
        <w:ind w:left="431" w:firstLine="17"/>
        <w:jc w:val="center"/>
        <w:spacing w:before="0" w:after="0" w:line="360" w:lineRule="auto"/>
        <w:rPr>
          <w:rStyle w:val="1140"/>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苏州市公安局交通安全设施零星建设</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2026年05月12日13点30分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JSZC-320500-JZCG-G2026-0067</w:t>
      </w:r>
      <w:r/>
    </w:p>
    <w:p>
      <w:pPr>
        <w:pStyle w:val="102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苏州市公安局交通安全设施零星建设</w:t>
      </w:r>
      <w:r/>
    </w:p>
    <w:p>
      <w:pPr>
        <w:pStyle w:val="102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8"/>
        <w:ind w:left="0" w:firstLine="420"/>
        <w:spacing w:line="360" w:lineRule="auto"/>
        <w:rPr>
          <w:rFonts w:ascii="宋体" w:hAnsi="宋体"/>
          <w:sz w:val="21"/>
          <w:szCs w:val="21"/>
        </w:rPr>
      </w:pPr>
      <w:r>
        <w:rPr>
          <w:rFonts w:hint="eastAsia" w:ascii="宋体" w:hAnsi="宋体"/>
          <w:sz w:val="21"/>
          <w:szCs w:val="21"/>
        </w:rPr>
        <w:t xml:space="preserve">4.预算金额：人民币</w:t>
      </w:r>
      <w:r>
        <w:rPr>
          <w:rFonts w:hint="eastAsia" w:ascii="宋体" w:hAnsi="宋体"/>
          <w:sz w:val="21"/>
          <w:szCs w:val="21"/>
        </w:rPr>
        <w:t xml:space="preserve">捌佰肆拾捌万零贰佰玖拾柒元贰角</w:t>
      </w:r>
      <w:r>
        <w:rPr>
          <w:rFonts w:hint="eastAsia" w:ascii="宋体" w:hAnsi="宋体"/>
          <w:sz w:val="21"/>
          <w:szCs w:val="21"/>
        </w:rPr>
        <w:t xml:space="preserve">叁</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480</w:t>
      </w:r>
      <w:r>
        <w:rPr>
          <w:rFonts w:ascii="宋体" w:hAnsi="宋体"/>
          <w:sz w:val="21"/>
          <w:szCs w:val="21"/>
        </w:rPr>
        <w:t xml:space="preserve">,</w:t>
      </w:r>
      <w:r>
        <w:rPr>
          <w:rFonts w:hint="eastAsia" w:ascii="宋体" w:hAnsi="宋体"/>
          <w:sz w:val="21"/>
          <w:szCs w:val="21"/>
        </w:rPr>
        <w:t xml:space="preserve">297</w:t>
      </w:r>
      <w:r>
        <w:rPr>
          <w:rFonts w:ascii="宋体" w:hAnsi="宋体"/>
          <w:sz w:val="21"/>
          <w:szCs w:val="21"/>
        </w:rPr>
        <w:t xml:space="preserve">.</w:t>
      </w:r>
      <w:r>
        <w:rPr>
          <w:rFonts w:hint="eastAsia" w:ascii="宋体" w:hAnsi="宋体"/>
          <w:sz w:val="21"/>
          <w:szCs w:val="21"/>
        </w:rPr>
        <w:t xml:space="preserve">23 元</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人民币捌佰肆拾柒万玖仟壹佰陆拾叁元贰角叁分（￥8,479,163.23 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24个月，开始时间以采购单位通知为准</w:t>
      </w:r>
      <w:r>
        <w:rPr>
          <w:rFonts w:ascii="宋体" w:hAnsi="宋体"/>
          <w:sz w:val="21"/>
        </w:rPr>
        <w:t xml:space="preserve">。</w:t>
      </w:r>
      <w:r>
        <w:rPr>
          <w:rFonts w:hint="eastAsia" w:ascii="宋体" w:hAnsi="宋体"/>
          <w:sz w:val="21"/>
        </w:rPr>
        <w:t xml:space="preserve">本项目免费质量保证期要求不少于3年，免费质量保证期从货物供货、安装、调试正常且经采购使用部门最终验收通过之日起算。</w:t>
      </w:r>
      <w:r/>
    </w:p>
    <w:p>
      <w:pPr>
        <w:pStyle w:val="1028"/>
        <w:ind w:left="0" w:firstLine="420"/>
        <w:spacing w:line="360" w:lineRule="auto"/>
        <w:rPr>
          <w:rFonts w:ascii="宋体" w:hAnsi="宋体"/>
          <w:sz w:val="21"/>
          <w:szCs w:val="21"/>
        </w:rPr>
      </w:pPr>
      <w:r>
        <w:rPr>
          <w:rFonts w:hint="eastAsia" w:ascii="宋体" w:hAnsi="宋体"/>
          <w:sz w:val="21"/>
          <w:szCs w:val="21"/>
        </w:rPr>
        <w:t xml:space="preserve">7.采购需求：详见招标文件第四章。</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8"/>
        <w:ind w:left="0" w:firstLine="420"/>
        <w:spacing w:line="360" w:lineRule="auto"/>
        <w:rPr>
          <w:rFonts w:ascii="宋体" w:hAnsi="宋体"/>
          <w:sz w:val="21"/>
          <w:szCs w:val="21"/>
        </w:rPr>
      </w:pPr>
      <w:r>
        <w:rPr>
          <w:rFonts w:hint="eastAsia" w:ascii="宋体" w:hAnsi="宋体"/>
          <w:sz w:val="21"/>
          <w:szCs w:val="21"/>
        </w:rPr>
        <w:t xml:space="preserve">3.方式：</w:t>
      </w:r>
      <w:r/>
    </w:p>
    <w:p>
      <w:pPr>
        <w:pStyle w:val="102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2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rPr>
          <w:rFonts w:ascii="宋体" w:hAnsi="宋体"/>
          <w:sz w:val="21"/>
          <w:szCs w:val="21"/>
        </w:rPr>
        <w:t xml:space="preserve">13914088964</w:t>
      </w:r>
      <w:bookmarkEnd w:id="7"/>
      <w:r>
        <w:rPr>
          <w:rFonts w:hint="eastAsia" w:ascii="宋体" w:hAnsi="宋体"/>
          <w:sz w:val="21"/>
          <w:szCs w:val="21"/>
        </w:rPr>
        <w:t xml:space="preserve">；智能客服：登录苏采云系统后，联系系统右下方智能客服图标进行咨询。</w:t>
      </w:r>
      <w:r/>
    </w:p>
    <w:p>
      <w:pPr>
        <w:pStyle w:val="102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2026年05月12日13点30分</w:t>
      </w:r>
      <w:r>
        <w:rPr>
          <w:rFonts w:hint="eastAsia" w:ascii="宋体" w:hAnsi="宋体"/>
          <w:sz w:val="21"/>
          <w:szCs w:val="21"/>
        </w:rPr>
        <w:t xml:space="preserve">（北京时间）；</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2026年05月12日13点30分</w:t>
      </w:r>
      <w:r>
        <w:rPr>
          <w:rFonts w:hint="eastAsia" w:ascii="宋体" w:hAnsi="宋体"/>
          <w:sz w:val="21"/>
          <w:szCs w:val="21"/>
        </w:rPr>
        <w:t xml:space="preserve">（北京时间）；</w:t>
      </w:r>
      <w:r/>
    </w:p>
    <w:p>
      <w:pPr>
        <w:pStyle w:val="102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1028"/>
        <w:ind w:left="0" w:firstLine="420"/>
        <w:spacing w:line="360" w:lineRule="auto"/>
        <w:rPr>
          <w:rFonts w:ascii="宋体" w:hAnsi="宋体"/>
          <w:sz w:val="21"/>
          <w:szCs w:val="21"/>
        </w:rPr>
      </w:pPr>
      <w:r>
        <w:rPr>
          <w:rFonts w:hint="eastAsia" w:ascii="宋体" w:hAnsi="宋体"/>
          <w:sz w:val="21"/>
          <w:szCs w:val="21"/>
        </w:rPr>
        <w:t xml:space="preserve">地址：江苏省苏州市人民路3998号</w:t>
      </w:r>
      <w:r/>
    </w:p>
    <w:p>
      <w:pPr>
        <w:pStyle w:val="1028"/>
        <w:ind w:left="0" w:firstLine="420"/>
        <w:spacing w:line="360" w:lineRule="auto"/>
        <w:rPr>
          <w:rFonts w:ascii="宋体" w:hAnsi="宋体"/>
          <w:sz w:val="21"/>
          <w:szCs w:val="21"/>
        </w:rPr>
      </w:pPr>
      <w:r>
        <w:rPr>
          <w:rFonts w:hint="eastAsia" w:ascii="宋体" w:hAnsi="宋体"/>
          <w:sz w:val="21"/>
          <w:szCs w:val="21"/>
        </w:rPr>
        <w:t xml:space="preserve">联系人：陈晨</w:t>
      </w:r>
      <w:r/>
    </w:p>
    <w:p>
      <w:pPr>
        <w:pStyle w:val="1028"/>
        <w:ind w:left="0" w:firstLine="420"/>
        <w:spacing w:line="360" w:lineRule="auto"/>
        <w:rPr>
          <w:rFonts w:ascii="宋体" w:hAnsi="宋体"/>
          <w:sz w:val="21"/>
          <w:szCs w:val="21"/>
        </w:rPr>
      </w:pPr>
      <w:r>
        <w:rPr>
          <w:rFonts w:hint="eastAsia" w:ascii="宋体" w:hAnsi="宋体"/>
          <w:sz w:val="21"/>
          <w:szCs w:val="21"/>
        </w:rPr>
        <w:t xml:space="preserve">联系电话：0512-65110277</w:t>
      </w:r>
      <w:r/>
    </w:p>
    <w:p>
      <w:pPr>
        <w:pStyle w:val="102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2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rPr>
          <w:rFonts w:hint="eastAsia" w:ascii="宋体" w:hAnsi="宋体"/>
          <w:sz w:val="21"/>
          <w:szCs w:val="21"/>
        </w:rPr>
        <w:t xml:space="preserve">、</w:t>
      </w:r>
      <w:r>
        <w:rPr>
          <w:rFonts w:ascii="宋体" w:hAnsi="宋体"/>
          <w:sz w:val="21"/>
          <w:szCs w:val="21"/>
        </w:rPr>
        <w:t xml:space="preserve">69820255</w:t>
      </w:r>
      <w:r/>
    </w:p>
    <w:p>
      <w:pPr>
        <w:pStyle w:val="102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8"/>
        <w:ind w:left="0" w:firstLine="420"/>
        <w:spacing w:line="360" w:lineRule="auto"/>
        <w:rPr>
          <w:rFonts w:ascii="宋体" w:hAnsi="宋体"/>
          <w:sz w:val="21"/>
          <w:szCs w:val="21"/>
        </w:rPr>
      </w:pPr>
      <w:r>
        <w:rPr>
          <w:rFonts w:hint="eastAsia" w:ascii="宋体" w:hAnsi="宋体"/>
          <w:sz w:val="21"/>
          <w:szCs w:val="21"/>
        </w:rPr>
        <w:t xml:space="preserve">项目联系人：严工、谢工</w:t>
      </w:r>
      <w:r/>
    </w:p>
    <w:p>
      <w:pPr>
        <w:pStyle w:val="102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2"/>
      </w:pPr>
      <w:r/>
      <w:r/>
    </w:p>
    <w:p>
      <w:r/>
      <w:r/>
    </w:p>
    <w:p>
      <w:pPr>
        <w:pStyle w:val="1022"/>
      </w:pPr>
      <w:r/>
      <w:r/>
    </w:p>
    <w:p>
      <w:r/>
      <w:r/>
    </w:p>
    <w:p>
      <w:pPr>
        <w:pStyle w:val="1022"/>
      </w:pPr>
      <w:r/>
      <w:r/>
    </w:p>
    <w:p>
      <w:pPr>
        <w:pStyle w:val="1022"/>
        <w:ind w:left="0" w:firstLine="0"/>
      </w:pPr>
      <w:r/>
      <w:r/>
    </w:p>
    <w:p>
      <w:pPr>
        <w:pStyle w:val="1010"/>
        <w:ind w:left="0" w:firstLine="0"/>
        <w:jc w:val="center"/>
        <w:rPr>
          <w:rFonts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8"/>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8"/>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8"/>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28"/>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8"/>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8"/>
        <w:ind w:left="0" w:firstLine="422"/>
        <w:spacing w:line="360" w:lineRule="auto"/>
        <w:rPr>
          <w:rFonts w:ascii="宋体" w:hAnsi="宋体"/>
          <w:b/>
          <w:sz w:val="21"/>
          <w:szCs w:val="21"/>
        </w:rPr>
      </w:pPr>
      <w:r/>
      <w:bookmarkStart w:id="26" w:name="OLE_LINK32"/>
      <w:r/>
      <w:bookmarkStart w:id="27" w:name="OLE_LINK33"/>
      <w:r/>
      <w:bookmarkStart w:id="28" w:name="OLE_LINK35"/>
      <w:r/>
      <w:bookmarkStart w:id="29"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4"/>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4"/>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010"/>
        <w:ind w:left="0" w:firstLine="0"/>
        <w:jc w:val="center"/>
        <w:rPr>
          <w:rFonts w:ascii="宋体" w:hAnsi="宋体"/>
          <w:sz w:val="21"/>
          <w:szCs w:val="21"/>
          <w:lang w:val="zh-CN"/>
        </w:rPr>
      </w:pPr>
      <w:r/>
      <w:bookmarkStart w:id="47" w:name="_Toc7264"/>
      <w:r/>
      <w:bookmarkStart w:id="48" w:name="_Toc105397778"/>
      <w:r/>
      <w:bookmarkStart w:id="49" w:name="_Toc24711"/>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71810480"/>
      <w:r/>
      <w:bookmarkStart w:id="52" w:name="_Toc3821"/>
      <w:r/>
      <w:bookmarkStart w:id="53" w:name="_Toc17036"/>
      <w:r/>
      <w:bookmarkStart w:id="54" w:name="_Toc105397779"/>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6"/>
        <w:rPr>
          <w:rFonts w:ascii="宋体" w:hAnsi="宋体"/>
        </w:rPr>
      </w:pPr>
      <w:r>
        <w:rPr>
          <w:rFonts w:ascii="宋体" w:hAnsi="宋体"/>
        </w:rPr>
      </w:r>
      <w:r/>
    </w:p>
    <w:p>
      <w:pPr>
        <w:ind w:left="0"/>
        <w:spacing w:line="440" w:lineRule="exact"/>
        <w:rPr>
          <w:rFonts w:ascii="宋体" w:hAnsi="宋体"/>
          <w:b/>
          <w:sz w:val="21"/>
          <w:szCs w:val="21"/>
        </w:rPr>
      </w:pPr>
      <w:r/>
      <w:bookmarkStart w:id="66" w:name="_Toc241"/>
      <w:r/>
      <w:bookmarkStart w:id="67" w:name="_Toc7945"/>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3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21"/>
        <w:gridCol w:w="1134"/>
        <w:gridCol w:w="2693"/>
        <w:gridCol w:w="709"/>
        <w:gridCol w:w="708"/>
        <w:gridCol w:w="709"/>
        <w:gridCol w:w="709"/>
        <w:gridCol w:w="709"/>
        <w:gridCol w:w="708"/>
        <w:gridCol w:w="993"/>
        <w:gridCol w:w="992"/>
      </w:tblGrid>
      <w:tr>
        <w:trPr>
          <w:trHeight w:val="830"/>
        </w:trPr>
        <w:tc>
          <w:tcPr>
            <w:shd w:val="clear" w:color="auto" w:fill="auto"/>
            <w:tcW w:w="421"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序号</w:t>
            </w:r>
            <w:r/>
          </w:p>
        </w:tc>
        <w:tc>
          <w:tcPr>
            <w:shd w:val="clear" w:color="auto" w:fill="auto"/>
            <w:tcW w:w="1134"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品目名称</w:t>
            </w:r>
            <w:r/>
          </w:p>
        </w:tc>
        <w:tc>
          <w:tcPr>
            <w:shd w:val="clear" w:color="auto" w:fill="auto"/>
            <w:tcW w:w="2693"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规格</w:t>
            </w:r>
            <w:r/>
          </w:p>
        </w:tc>
        <w:tc>
          <w:tcPr>
            <w:tcW w:w="709"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cs="Times New Roman"/>
                <w:color w:val="000000"/>
                <w:sz w:val="21"/>
                <w:szCs w:val="21"/>
              </w:rPr>
              <w:t xml:space="preserve">品牌</w:t>
            </w:r>
            <w:r/>
          </w:p>
        </w:tc>
        <w:tc>
          <w:tcPr>
            <w:tcW w:w="708"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制造商名称</w:t>
            </w:r>
            <w:r/>
          </w:p>
        </w:tc>
        <w:tc>
          <w:tcPr>
            <w:tcW w:w="709"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产地</w:t>
            </w:r>
            <w:r/>
          </w:p>
        </w:tc>
        <w:tc>
          <w:tcPr>
            <w:tcW w:w="709"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交付期</w:t>
            </w:r>
            <w:r/>
          </w:p>
        </w:tc>
        <w:tc>
          <w:tcPr>
            <w:tcW w:w="709"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单位</w:t>
            </w:r>
            <w:r/>
          </w:p>
        </w:tc>
        <w:tc>
          <w:tcPr>
            <w:shd w:val="clear" w:color="auto" w:fill="auto"/>
            <w:tcW w:w="708"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数量</w:t>
            </w:r>
            <w:r/>
          </w:p>
        </w:tc>
        <w:tc>
          <w:tcPr>
            <w:shd w:val="clear" w:color="auto" w:fill="auto"/>
            <w:tcW w:w="993"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分项单价</w:t>
            </w:r>
            <w:r/>
          </w:p>
        </w:tc>
        <w:tc>
          <w:tcPr>
            <w:shd w:val="clear" w:color="auto" w:fill="auto"/>
            <w:tcW w:w="992"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分项总价</w:t>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s="Times New Roman"/>
                <w:sz w:val="21"/>
                <w:szCs w:val="21"/>
              </w:rPr>
              <w:t xml:space="preserve">★</w:t>
            </w:r>
            <w:r>
              <w:rPr>
                <w:rFonts w:hint="eastAsia" w:ascii="宋体" w:hAnsi="宋体"/>
                <w:color w:val="000000"/>
                <w:sz w:val="21"/>
                <w:szCs w:val="21"/>
                <w:lang w:bidi="ar"/>
              </w:rPr>
              <w:t xml:space="preserve">热熔型标线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1、材料品种：普通热熔标线涂料</w:t>
            </w:r>
            <w:r>
              <w:rPr>
                <w:rFonts w:hint="eastAsia" w:ascii="宋体" w:hAnsi="宋体"/>
                <w:color w:val="000000"/>
                <w:sz w:val="21"/>
                <w:szCs w:val="21"/>
                <w:lang w:bidi="ar"/>
              </w:rPr>
              <w:br/>
              <w:t xml:space="preserve">2、工艺：厚度应≥1.6mm，颜色为白色、黄</w:t>
            </w:r>
            <w:r>
              <w:rPr>
                <w:rFonts w:hint="eastAsia" w:ascii="宋体" w:hAnsi="宋体"/>
                <w:color w:val="000000"/>
                <w:sz w:val="21"/>
                <w:szCs w:val="21"/>
                <w:lang w:bidi="ar"/>
              </w:rPr>
              <w:br/>
              <w:t xml:space="preserve">色，应添加玻璃微珠等填充材料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11598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地面标线除线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清除方法:原地面标线清除，机械水冲</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4399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标志牌版面(2mm 铝板)、工程级反光膜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2、材质、规格尺寸：圆形直径 800mm，铝合</w:t>
            </w:r>
            <w:r>
              <w:rPr>
                <w:rFonts w:hint="eastAsia" w:ascii="宋体" w:hAnsi="宋体"/>
                <w:color w:val="000000"/>
                <w:sz w:val="21"/>
                <w:szCs w:val="21"/>
                <w:lang w:bidi="ar"/>
              </w:rPr>
              <w:br/>
              <w:t xml:space="preserve">金板，底板厚度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350 高亮热熔型标线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1、材料品种：350 型热熔反光标线涂料，逆</w:t>
            </w:r>
            <w:r>
              <w:rPr>
                <w:rFonts w:hint="eastAsia" w:ascii="宋体" w:hAnsi="宋体"/>
                <w:color w:val="000000"/>
                <w:sz w:val="21"/>
                <w:szCs w:val="21"/>
                <w:lang w:bidi="ar"/>
              </w:rPr>
              <w:br/>
              <w:t xml:space="preserve">反射系数超过 350 的反射亮度的标线</w:t>
            </w:r>
            <w:r>
              <w:rPr>
                <w:rFonts w:hint="eastAsia" w:ascii="宋体" w:hAnsi="宋体"/>
                <w:color w:val="000000"/>
                <w:sz w:val="21"/>
                <w:szCs w:val="21"/>
                <w:lang w:bidi="ar"/>
              </w:rPr>
              <w:br/>
              <w:t xml:space="preserve">2、工艺：厚度应≥1.8mm，颜色为白色，应</w:t>
            </w:r>
            <w:r>
              <w:rPr>
                <w:rFonts w:hint="eastAsia" w:ascii="宋体" w:hAnsi="宋体"/>
                <w:color w:val="000000"/>
                <w:sz w:val="21"/>
                <w:szCs w:val="21"/>
                <w:lang w:bidi="ar"/>
              </w:rPr>
              <w:br/>
              <w:t xml:space="preserve">添加玻璃微珠等填充材料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1050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振荡标线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1、材料品种：振荡热熔标线涂料</w:t>
            </w:r>
            <w:r>
              <w:rPr>
                <w:rFonts w:hint="eastAsia" w:ascii="宋体" w:hAnsi="宋体"/>
                <w:color w:val="000000"/>
                <w:sz w:val="21"/>
                <w:szCs w:val="21"/>
                <w:lang w:bidi="ar"/>
              </w:rPr>
              <w:br/>
              <w:t xml:space="preserve">2、工艺：外形呈凹凸型，基底加突起部分高</w:t>
            </w:r>
            <w:r>
              <w:rPr>
                <w:rFonts w:hint="eastAsia" w:ascii="宋体" w:hAnsi="宋体"/>
                <w:color w:val="000000"/>
                <w:sz w:val="21"/>
                <w:szCs w:val="21"/>
                <w:lang w:bidi="ar"/>
              </w:rPr>
              <w:br/>
              <w:t xml:space="preserve">度为4-6mm，颜色为白色、黄色，应添加玻璃</w:t>
            </w:r>
            <w:r>
              <w:rPr>
                <w:rFonts w:hint="eastAsia" w:ascii="宋体" w:hAnsi="宋体"/>
                <w:color w:val="000000"/>
                <w:sz w:val="21"/>
                <w:szCs w:val="21"/>
                <w:lang w:bidi="ar"/>
              </w:rPr>
              <w:br/>
              <w:t xml:space="preserve">微珠等填充材料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组合式防撞桶(3 件套)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PVC 工程塑料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钢制防撞垫</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防撞等级≥TB</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钢制防撞垫</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防撞等级≥TA</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钢制防撞垫</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防撞等级≥TS</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黄砂桶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PVC 工程塑料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警示桩（PVC）带底座</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警示柱直径 80mm×750mm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隔离栅</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规格尺寸：3000*1800mm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片</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A 级梯座护栏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高架用</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地面彩色标识（预</w:t>
            </w:r>
            <w:r>
              <w:rPr>
                <w:rFonts w:hint="eastAsia" w:ascii="宋体" w:hAnsi="宋体"/>
                <w:color w:val="000000"/>
                <w:sz w:val="21"/>
                <w:szCs w:val="21"/>
                <w:lang w:bidi="ar"/>
              </w:rPr>
              <w:br/>
              <w:t xml:space="preserve">成型）</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文字、图案、箭头、标志等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彩色立体标识（预</w:t>
            </w:r>
            <w:r>
              <w:rPr>
                <w:rFonts w:hint="eastAsia" w:ascii="宋体" w:hAnsi="宋体"/>
                <w:color w:val="000000"/>
                <w:sz w:val="21"/>
                <w:szCs w:val="21"/>
                <w:lang w:bidi="ar"/>
              </w:rPr>
              <w:br/>
              <w:t xml:space="preserve">成型）</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文字、图案、箭头、标志等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全透型发光标志板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1、类型：LED 主动发光标志板</w:t>
            </w:r>
            <w:r>
              <w:rPr>
                <w:rFonts w:hint="eastAsia" w:ascii="宋体" w:hAnsi="宋体"/>
                <w:color w:val="000000"/>
                <w:sz w:val="21"/>
                <w:szCs w:val="21"/>
                <w:lang w:bidi="ar"/>
              </w:rPr>
              <w:br/>
              <w:t xml:space="preserve">2、材质、规格尺寸：三角形边长 900mm，铝</w:t>
            </w:r>
            <w:r>
              <w:rPr>
                <w:rFonts w:hint="eastAsia" w:ascii="宋体" w:hAnsi="宋体"/>
                <w:color w:val="000000"/>
                <w:sz w:val="21"/>
                <w:szCs w:val="21"/>
                <w:lang w:bidi="ar"/>
              </w:rPr>
              <w:br/>
              <w:t xml:space="preserve">合金板，厚度 2mm，内置 LED 光源板，背部定</w:t>
            </w:r>
            <w:r>
              <w:rPr>
                <w:rFonts w:hint="eastAsia" w:ascii="宋体" w:hAnsi="宋体"/>
                <w:color w:val="000000"/>
                <w:sz w:val="21"/>
                <w:szCs w:val="21"/>
                <w:lang w:bidi="ar"/>
              </w:rPr>
              <w:br/>
              <w:t xml:space="preserve">向投射光源</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全透型发光标志板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1、类型：LED 主动发光标志板</w:t>
            </w:r>
            <w:r>
              <w:rPr>
                <w:rFonts w:hint="eastAsia" w:ascii="宋体" w:hAnsi="宋体"/>
                <w:color w:val="000000"/>
                <w:sz w:val="21"/>
                <w:szCs w:val="21"/>
                <w:lang w:bidi="ar"/>
              </w:rPr>
              <w:br/>
              <w:t xml:space="preserve">2、材质、规格尺寸：圆形直径 600mm，铝合</w:t>
            </w:r>
            <w:r>
              <w:rPr>
                <w:rFonts w:hint="eastAsia" w:ascii="宋体" w:hAnsi="宋体"/>
                <w:color w:val="000000"/>
                <w:sz w:val="21"/>
                <w:szCs w:val="21"/>
                <w:lang w:bidi="ar"/>
              </w:rPr>
              <w:br/>
              <w:t xml:space="preserve">金板，厚度 2mm，内置 LED 光源板，背部定向</w:t>
            </w:r>
            <w:r>
              <w:rPr>
                <w:rFonts w:hint="eastAsia" w:ascii="宋体" w:hAnsi="宋体"/>
                <w:color w:val="000000"/>
                <w:sz w:val="21"/>
                <w:szCs w:val="21"/>
                <w:lang w:bidi="ar"/>
              </w:rPr>
              <w:br/>
              <w:t xml:space="preserve">投射光源</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全透型发光标志板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1、类型：LED 主动发光标志板</w:t>
            </w:r>
            <w:r>
              <w:rPr>
                <w:rFonts w:hint="eastAsia" w:ascii="宋体" w:hAnsi="宋体"/>
                <w:color w:val="000000"/>
                <w:sz w:val="21"/>
                <w:szCs w:val="21"/>
                <w:lang w:bidi="ar"/>
              </w:rPr>
              <w:br/>
              <w:t xml:space="preserve">2、材质、规格尺寸：圆形直径 800mm，铝合</w:t>
            </w:r>
            <w:r>
              <w:rPr>
                <w:rFonts w:hint="eastAsia" w:ascii="宋体" w:hAnsi="宋体"/>
                <w:color w:val="000000"/>
                <w:sz w:val="21"/>
                <w:szCs w:val="21"/>
                <w:lang w:bidi="ar"/>
              </w:rPr>
              <w:br/>
              <w:t xml:space="preserve">金板，厚度 2mm，内置 LED 光源板，背部定向</w:t>
            </w:r>
            <w:r>
              <w:rPr>
                <w:rFonts w:hint="eastAsia" w:ascii="宋体" w:hAnsi="宋体"/>
                <w:color w:val="000000"/>
                <w:sz w:val="21"/>
                <w:szCs w:val="21"/>
                <w:lang w:bidi="ar"/>
              </w:rPr>
              <w:br/>
              <w:t xml:space="preserve">投射光源</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全透型发光标志板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1、类型：LED 主动发光标志板</w:t>
            </w:r>
            <w:r>
              <w:rPr>
                <w:rFonts w:hint="eastAsia" w:ascii="宋体" w:hAnsi="宋体"/>
                <w:color w:val="000000"/>
                <w:sz w:val="21"/>
                <w:szCs w:val="21"/>
                <w:lang w:bidi="ar"/>
              </w:rPr>
              <w:br/>
              <w:t xml:space="preserve">2、材质、规格尺寸：正方形 800mm，铝合金</w:t>
            </w:r>
            <w:r>
              <w:rPr>
                <w:rFonts w:hint="eastAsia" w:ascii="宋体" w:hAnsi="宋体"/>
                <w:color w:val="000000"/>
                <w:sz w:val="21"/>
                <w:szCs w:val="21"/>
                <w:lang w:bidi="ar"/>
              </w:rPr>
              <w:br/>
              <w:t xml:space="preserve">板，厚度 2mm，内置 LED 光源板，背部定向投</w:t>
            </w:r>
            <w:r>
              <w:rPr>
                <w:rFonts w:hint="eastAsia" w:ascii="宋体" w:hAnsi="宋体"/>
                <w:color w:val="000000"/>
                <w:sz w:val="21"/>
                <w:szCs w:val="21"/>
                <w:lang w:bidi="ar"/>
              </w:rPr>
              <w:br/>
              <w:t xml:space="preserve">射光源</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2、材质、规格尺寸：三角形边长 1100mm，铝</w:t>
            </w:r>
            <w:r>
              <w:rPr>
                <w:rFonts w:hint="eastAsia" w:ascii="宋体" w:hAnsi="宋体"/>
                <w:color w:val="000000"/>
                <w:sz w:val="21"/>
                <w:szCs w:val="21"/>
                <w:lang w:bidi="ar"/>
              </w:rPr>
              <w:br/>
              <w:t xml:space="preserve">合金板，底板厚度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4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2、材质、规格尺寸：三角形边长 900mm，</w:t>
            </w:r>
            <w:r>
              <w:rPr>
                <w:rFonts w:hint="eastAsia" w:ascii="宋体" w:hAnsi="宋体"/>
                <w:color w:val="000000"/>
                <w:sz w:val="21"/>
                <w:szCs w:val="21"/>
                <w:lang w:bidi="ar"/>
              </w:rPr>
              <w:br/>
              <w:t xml:space="preserve">铝合金板，底板厚度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2、材质、规格尺寸：正方形 800mm*800mm，</w:t>
            </w:r>
            <w:r>
              <w:rPr>
                <w:rFonts w:hint="eastAsia" w:ascii="宋体" w:hAnsi="宋体"/>
                <w:color w:val="000000"/>
                <w:sz w:val="21"/>
                <w:szCs w:val="21"/>
                <w:lang w:bidi="ar"/>
              </w:rPr>
              <w:br/>
              <w:t xml:space="preserve">铝合金板，底板厚度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传统指路标志（悬臂式）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1、类型:单悬臂标志</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3000mm*2000mm ；2.版面材质：2mm 铝合金板，</w:t>
            </w:r>
            <w:r>
              <w:rPr>
                <w:rFonts w:hint="eastAsia" w:ascii="宋体" w:hAnsi="宋体"/>
                <w:color w:val="000000"/>
                <w:sz w:val="21"/>
                <w:szCs w:val="21"/>
                <w:lang w:bidi="ar"/>
              </w:rPr>
              <w:br/>
              <w:t xml:space="preserve">底膜不低于Ⅲ类反光膜，文字、图案不低于</w:t>
            </w:r>
            <w:r>
              <w:rPr>
                <w:rFonts w:hint="eastAsia" w:ascii="宋体" w:hAnsi="宋体"/>
                <w:color w:val="000000"/>
                <w:sz w:val="21"/>
                <w:szCs w:val="21"/>
                <w:lang w:bidi="ar"/>
              </w:rPr>
              <w:br/>
              <w:t xml:space="preserve">Ⅳ类反光膜，含相关附件；3.钢结构材料：</w:t>
            </w:r>
            <w:r>
              <w:rPr>
                <w:rFonts w:hint="eastAsia" w:ascii="宋体" w:hAnsi="宋体"/>
                <w:color w:val="000000"/>
                <w:sz w:val="21"/>
                <w:szCs w:val="21"/>
                <w:lang w:bidi="ar"/>
              </w:rPr>
              <w:br/>
              <w:t xml:space="preserve">直径 299*10*7700mm*1 根，</w:t>
            </w:r>
            <w:r>
              <w:rPr>
                <w:rFonts w:hint="eastAsia" w:ascii="宋体" w:hAnsi="宋体"/>
                <w:color w:val="000000"/>
                <w:sz w:val="21"/>
                <w:szCs w:val="21"/>
                <w:lang w:bidi="ar"/>
              </w:rPr>
              <w:t xml:space="preserve">直径</w:t>
            </w:r>
            <w:r>
              <w:rPr>
                <w:rFonts w:hint="eastAsia" w:ascii="宋体" w:hAnsi="宋体"/>
                <w:color w:val="000000"/>
                <w:sz w:val="21"/>
                <w:szCs w:val="21"/>
                <w:lang w:bidi="ar"/>
              </w:rPr>
              <w:br/>
              <w:t xml:space="preserve">159*6*4000mm*2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传统指路标志（悬臂式）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1、类型:单悬臂标志</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 ；2.版面材质：2mm 铝合金板，</w:t>
            </w:r>
            <w:r>
              <w:rPr>
                <w:rFonts w:hint="eastAsia" w:ascii="宋体" w:hAnsi="宋体"/>
                <w:color w:val="000000"/>
                <w:sz w:val="21"/>
                <w:szCs w:val="21"/>
                <w:lang w:bidi="ar"/>
              </w:rPr>
              <w:br/>
              <w:t xml:space="preserve">底膜不低于Ⅲ类反光膜，文字、图案不低于</w:t>
            </w:r>
            <w:r>
              <w:rPr>
                <w:rFonts w:hint="eastAsia" w:ascii="宋体" w:hAnsi="宋体"/>
                <w:color w:val="000000"/>
                <w:sz w:val="21"/>
                <w:szCs w:val="21"/>
                <w:lang w:bidi="ar"/>
              </w:rPr>
              <w:br/>
              <w:t xml:space="preserve">Ⅳ类反光膜，含相关附件；3.钢结构材料：</w:t>
            </w:r>
            <w:r>
              <w:rPr>
                <w:rFonts w:hint="eastAsia" w:ascii="宋体" w:hAnsi="宋体"/>
                <w:color w:val="000000"/>
                <w:sz w:val="21"/>
                <w:szCs w:val="21"/>
                <w:lang w:bidi="ar"/>
              </w:rPr>
              <w:br/>
              <w:t xml:space="preserve">直径 299*10*7500mm*1 根，直径</w:t>
            </w:r>
            <w:r>
              <w:rPr>
                <w:rFonts w:hint="eastAsia" w:ascii="宋体" w:hAnsi="宋体"/>
                <w:color w:val="000000"/>
                <w:sz w:val="21"/>
                <w:szCs w:val="21"/>
                <w:lang w:bidi="ar"/>
              </w:rPr>
              <w:br/>
              <w:t xml:space="preserve">159*6*4000mm*2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2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br/>
              <w:t xml:space="preserve">传统指路标志、行</w:t>
            </w:r>
            <w:r>
              <w:rPr>
                <w:rFonts w:hint="eastAsia" w:ascii="宋体" w:hAnsi="宋体"/>
                <w:color w:val="000000"/>
                <w:sz w:val="21"/>
                <w:szCs w:val="21"/>
                <w:lang w:bidi="ar"/>
              </w:rPr>
              <w:br/>
              <w:t xml:space="preserve">车道标志（悬臂式）</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1、类型:单悬臂标志</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3000mm*1800mm*2 块，2.版面材质：厚度 2mm</w:t>
            </w:r>
            <w:r>
              <w:rPr>
                <w:rFonts w:hint="eastAsia" w:ascii="宋体" w:hAnsi="宋体"/>
                <w:color w:val="000000"/>
                <w:sz w:val="21"/>
                <w:szCs w:val="21"/>
                <w:lang w:bidi="ar"/>
              </w:rPr>
              <w:br/>
              <w:t xml:space="preserve">铝合金板，底膜不低于Ⅲ类反光膜，文字、</w:t>
            </w:r>
            <w:r>
              <w:rPr>
                <w:rFonts w:hint="eastAsia" w:ascii="宋体" w:hAnsi="宋体"/>
                <w:color w:val="000000"/>
                <w:sz w:val="21"/>
                <w:szCs w:val="21"/>
                <w:lang w:bidi="ar"/>
              </w:rPr>
              <w:br/>
              <w:t xml:space="preserve">图案不低于Ⅳ类反光膜，含相关附件；3.钢</w:t>
            </w:r>
            <w:r>
              <w:rPr>
                <w:rFonts w:hint="eastAsia" w:ascii="宋体" w:hAnsi="宋体"/>
                <w:color w:val="000000"/>
                <w:sz w:val="21"/>
                <w:szCs w:val="21"/>
                <w:lang w:bidi="ar"/>
              </w:rPr>
              <w:br/>
              <w:t xml:space="preserve">结构材料：</w:t>
            </w:r>
            <w:r>
              <w:rPr>
                <w:rFonts w:hint="eastAsia" w:ascii="宋体" w:hAnsi="宋体"/>
                <w:color w:val="000000"/>
                <w:sz w:val="21"/>
                <w:szCs w:val="21"/>
                <w:lang w:bidi="ar"/>
              </w:rPr>
              <w:br/>
              <w:t xml:space="preserve">直径 325*10*7500mm*1 根，直径</w:t>
            </w:r>
            <w:r>
              <w:rPr>
                <w:rFonts w:hint="eastAsia" w:ascii="宋体" w:hAnsi="宋体"/>
                <w:color w:val="000000"/>
                <w:sz w:val="21"/>
                <w:szCs w:val="21"/>
                <w:lang w:bidi="ar"/>
              </w:rPr>
              <w:br/>
              <w:t xml:space="preserve">159*6*7000mm*2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t xml:space="preserve">套</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t xml:space="preserve">2</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传统指路标志（悬臂式）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1、类型:单悬臂指路标志</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4000mm*2500mm ；2.版面材质：3mm 铝合金板，</w:t>
            </w:r>
            <w:r>
              <w:rPr>
                <w:rFonts w:hint="eastAsia" w:ascii="宋体" w:hAnsi="宋体"/>
                <w:color w:val="000000"/>
                <w:sz w:val="21"/>
                <w:szCs w:val="21"/>
                <w:lang w:bidi="ar"/>
              </w:rPr>
              <w:br/>
              <w:t xml:space="preserve">底膜不低于Ⅲ类反光膜，文字、图案不低于</w:t>
            </w:r>
            <w:r>
              <w:rPr>
                <w:rFonts w:hint="eastAsia" w:ascii="宋体" w:hAnsi="宋体"/>
                <w:color w:val="000000"/>
                <w:sz w:val="21"/>
                <w:szCs w:val="21"/>
                <w:lang w:bidi="ar"/>
              </w:rPr>
              <w:br/>
              <w:t xml:space="preserve">Ⅳ类反光膜，含相关附件；3.钢结构材料：</w:t>
            </w:r>
            <w:r>
              <w:rPr>
                <w:rFonts w:hint="eastAsia" w:ascii="宋体" w:hAnsi="宋体"/>
                <w:color w:val="000000"/>
                <w:sz w:val="21"/>
                <w:szCs w:val="21"/>
                <w:lang w:bidi="ar"/>
              </w:rPr>
              <w:br/>
              <w:t xml:space="preserve">直径 325*10*8200mm*1 根，直径</w:t>
            </w:r>
            <w:r>
              <w:rPr>
                <w:rFonts w:hint="eastAsia" w:ascii="宋体" w:hAnsi="宋体"/>
                <w:color w:val="000000"/>
                <w:sz w:val="21"/>
                <w:szCs w:val="21"/>
                <w:lang w:bidi="ar"/>
              </w:rPr>
              <w:br/>
              <w:t xml:space="preserve">159*8*5000mm*3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传统指路标志（悬臂式）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1、类型:单悬臂标志</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4000mm*2500mm*2 块 2.版面材质：3mm 铝合金</w:t>
            </w:r>
            <w:r>
              <w:rPr>
                <w:rFonts w:hint="eastAsia" w:ascii="宋体" w:hAnsi="宋体"/>
                <w:color w:val="000000"/>
                <w:sz w:val="21"/>
                <w:szCs w:val="21"/>
                <w:lang w:bidi="ar"/>
              </w:rPr>
              <w:br/>
              <w:t xml:space="preserve">板，底膜不低于Ⅲ类反光膜，文字、图案不</w:t>
            </w:r>
            <w:r>
              <w:rPr>
                <w:rFonts w:hint="eastAsia" w:ascii="宋体" w:hAnsi="宋体"/>
                <w:color w:val="000000"/>
                <w:sz w:val="21"/>
                <w:szCs w:val="21"/>
                <w:lang w:bidi="ar"/>
              </w:rPr>
              <w:br/>
              <w:t xml:space="preserve">低于Ⅳ类反光膜，含相关附件；3.钢结构材</w:t>
            </w:r>
            <w:r>
              <w:rPr>
                <w:rFonts w:hint="eastAsia" w:ascii="宋体" w:hAnsi="宋体"/>
                <w:color w:val="000000"/>
                <w:sz w:val="21"/>
                <w:szCs w:val="21"/>
                <w:lang w:bidi="ar"/>
              </w:rPr>
              <w:br/>
              <w:t xml:space="preserve">料：直径 457*10*8200mm*1 根，直径</w:t>
            </w:r>
            <w:r>
              <w:rPr>
                <w:rFonts w:hint="eastAsia" w:ascii="宋体" w:hAnsi="宋体"/>
                <w:color w:val="000000"/>
                <w:sz w:val="21"/>
                <w:szCs w:val="21"/>
                <w:lang w:bidi="ar"/>
              </w:rPr>
              <w:br/>
              <w:t xml:space="preserve">220*8*9000mm*3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传统指路标志、行</w:t>
            </w:r>
            <w:r>
              <w:rPr>
                <w:rFonts w:hint="eastAsia" w:ascii="宋体" w:hAnsi="宋体"/>
                <w:color w:val="000000"/>
                <w:sz w:val="21"/>
                <w:szCs w:val="21"/>
                <w:lang w:bidi="ar"/>
              </w:rPr>
              <w:br/>
              <w:t xml:space="preserve">车道标志（悬臂式）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1、类型:单悬臂标志</w:t>
            </w:r>
            <w:r>
              <w:rPr>
                <w:rFonts w:hint="eastAsia" w:ascii="宋体" w:hAnsi="宋体"/>
                <w:color w:val="000000"/>
                <w:sz w:val="21"/>
                <w:szCs w:val="21"/>
                <w:lang w:bidi="ar"/>
              </w:rPr>
              <w:br/>
              <w:t xml:space="preserve">2 、 材 质 、 规 格 尺 寸 :1. 版 面 规 格 ：</w:t>
            </w:r>
            <w:r>
              <w:rPr>
                <w:rFonts w:hint="eastAsia" w:ascii="宋体" w:hAnsi="宋体"/>
                <w:color w:val="000000"/>
                <w:sz w:val="21"/>
                <w:szCs w:val="21"/>
                <w:lang w:bidi="ar"/>
              </w:rPr>
              <w:br/>
              <w:t xml:space="preserve">3000mm*2000mm*2 块 ；2.版面材质：2mm 铝</w:t>
            </w:r>
            <w:r>
              <w:rPr>
                <w:rFonts w:hint="eastAsia" w:ascii="宋体" w:hAnsi="宋体"/>
                <w:color w:val="000000"/>
                <w:sz w:val="21"/>
                <w:szCs w:val="21"/>
                <w:lang w:bidi="ar"/>
              </w:rPr>
              <w:br/>
              <w:t xml:space="preserve">合金板，底膜不低于Ⅲ类反光膜，文字、图</w:t>
            </w:r>
            <w:r>
              <w:rPr>
                <w:rFonts w:hint="eastAsia" w:ascii="宋体" w:hAnsi="宋体"/>
                <w:color w:val="000000"/>
                <w:sz w:val="21"/>
                <w:szCs w:val="21"/>
                <w:lang w:bidi="ar"/>
              </w:rPr>
              <w:br/>
              <w:t xml:space="preserve">案不低于Ⅳ类反光膜，含相关附件；3.钢结</w:t>
            </w:r>
            <w:r>
              <w:rPr>
                <w:rFonts w:hint="eastAsia" w:ascii="宋体" w:hAnsi="宋体"/>
                <w:color w:val="000000"/>
                <w:sz w:val="21"/>
                <w:szCs w:val="21"/>
                <w:lang w:bidi="ar"/>
              </w:rPr>
              <w:br/>
            </w:r>
            <w:r>
              <w:rPr>
                <w:rFonts w:hint="eastAsia" w:ascii="宋体" w:hAnsi="宋体"/>
                <w:color w:val="000000"/>
                <w:sz w:val="21"/>
                <w:szCs w:val="21"/>
                <w:lang w:bidi="ar"/>
              </w:rPr>
              <w:t xml:space="preserve">构材料 ：直径 325*10*7700mm*1 根 ，直径</w:t>
            </w:r>
            <w:r>
              <w:rPr>
                <w:rFonts w:hint="eastAsia" w:ascii="宋体" w:hAnsi="宋体"/>
                <w:color w:val="000000"/>
                <w:sz w:val="21"/>
                <w:szCs w:val="21"/>
                <w:lang w:bidi="ar"/>
              </w:rPr>
              <w:br/>
              <w:t xml:space="preserve">159*8*6500mm*2 根，及钢结构连接板、加强</w:t>
            </w:r>
            <w:r>
              <w:rPr>
                <w:rFonts w:hint="eastAsia" w:ascii="宋体" w:hAnsi="宋体"/>
                <w:color w:val="000000"/>
                <w:sz w:val="21"/>
                <w:szCs w:val="21"/>
                <w:lang w:bidi="ar"/>
              </w:rPr>
              <w:br/>
              <w:t xml:space="preserve">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仿古式指路、车道</w:t>
            </w:r>
            <w:r>
              <w:rPr>
                <w:rFonts w:hint="eastAsia" w:ascii="宋体" w:hAnsi="宋体"/>
                <w:color w:val="000000"/>
                <w:sz w:val="21"/>
                <w:szCs w:val="21"/>
                <w:lang w:bidi="ar"/>
              </w:rPr>
              <w:br/>
              <w:t xml:space="preserve">标志牌（悬臂式）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1、类型:仿古式悬臂标志牌</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3000mm*1800mm*2 块 ；2.版面材质：2mm 铝</w:t>
            </w:r>
            <w:r>
              <w:rPr>
                <w:rFonts w:hint="eastAsia" w:ascii="宋体" w:hAnsi="宋体"/>
                <w:color w:val="000000"/>
                <w:sz w:val="21"/>
                <w:szCs w:val="21"/>
                <w:lang w:bidi="ar"/>
              </w:rPr>
              <w:br/>
              <w:t xml:space="preserve">合金板，底膜不低于Ⅲ类反光膜，文字、图</w:t>
            </w:r>
            <w:r>
              <w:rPr>
                <w:rFonts w:hint="eastAsia" w:ascii="宋体" w:hAnsi="宋体"/>
                <w:color w:val="000000"/>
                <w:sz w:val="21"/>
                <w:szCs w:val="21"/>
                <w:lang w:bidi="ar"/>
              </w:rPr>
              <w:br/>
              <w:t xml:space="preserve">案不低于Ⅳ类反光膜，含相关附件；3.钢结</w:t>
            </w:r>
            <w:r>
              <w:rPr>
                <w:rFonts w:hint="eastAsia" w:ascii="宋体" w:hAnsi="宋体"/>
                <w:color w:val="000000"/>
                <w:sz w:val="21"/>
                <w:szCs w:val="21"/>
                <w:lang w:bidi="ar"/>
              </w:rPr>
              <w:br/>
              <w:t xml:space="preserve">构材料：300*300*8*9060mm*1 根，</w:t>
            </w:r>
            <w:r>
              <w:rPr>
                <w:rFonts w:hint="eastAsia" w:ascii="宋体" w:hAnsi="宋体"/>
                <w:color w:val="000000"/>
                <w:sz w:val="21"/>
                <w:szCs w:val="21"/>
                <w:lang w:bidi="ar"/>
              </w:rPr>
              <w:br/>
              <w:t xml:space="preserve">100*150*6*7710mm*2 根，及钢结构连接板、</w:t>
            </w:r>
            <w:r>
              <w:rPr>
                <w:rFonts w:hint="eastAsia" w:ascii="宋体" w:hAnsi="宋体"/>
                <w:color w:val="000000"/>
                <w:sz w:val="21"/>
                <w:szCs w:val="21"/>
                <w:lang w:bidi="ar"/>
              </w:rPr>
              <w:br/>
              <w:t xml:space="preserve">加强板等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仿古式指路标志牌</w:t>
            </w:r>
            <w:r>
              <w:rPr>
                <w:rFonts w:hint="eastAsia" w:ascii="宋体" w:hAnsi="宋体"/>
                <w:color w:val="000000"/>
                <w:sz w:val="21"/>
                <w:szCs w:val="21"/>
                <w:lang w:bidi="ar"/>
              </w:rPr>
              <w:br/>
              <w:t xml:space="preserve">（悬臂式）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1、类型:仿古式悬臂标志牌</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 ；2.版面材质：2mm 铝合金板，</w:t>
            </w:r>
            <w:r>
              <w:rPr>
                <w:rFonts w:hint="eastAsia" w:ascii="宋体" w:hAnsi="宋体"/>
                <w:color w:val="000000"/>
                <w:sz w:val="21"/>
                <w:szCs w:val="21"/>
                <w:lang w:bidi="ar"/>
              </w:rPr>
              <w:br/>
              <w:t xml:space="preserve">底膜不低于Ⅲ类反光膜，文字、图案不低于</w:t>
            </w:r>
            <w:r>
              <w:rPr>
                <w:rFonts w:hint="eastAsia" w:ascii="宋体" w:hAnsi="宋体"/>
                <w:color w:val="000000"/>
                <w:sz w:val="21"/>
                <w:szCs w:val="21"/>
                <w:lang w:bidi="ar"/>
              </w:rPr>
              <w:br/>
              <w:t xml:space="preserve">Ⅳ类反光膜，含相关附件；3.钢结构材料：</w:t>
            </w:r>
            <w:r>
              <w:rPr>
                <w:rFonts w:hint="eastAsia" w:ascii="宋体" w:hAnsi="宋体"/>
                <w:color w:val="000000"/>
                <w:sz w:val="21"/>
                <w:szCs w:val="21"/>
                <w:lang w:bidi="ar"/>
              </w:rPr>
              <w:br/>
              <w:t xml:space="preserve">300*300*8*9060mm*1 根，</w:t>
            </w:r>
            <w:r>
              <w:rPr>
                <w:rFonts w:hint="eastAsia" w:ascii="宋体" w:hAnsi="宋体"/>
                <w:color w:val="000000"/>
                <w:sz w:val="21"/>
                <w:szCs w:val="21"/>
                <w:lang w:bidi="ar"/>
              </w:rPr>
              <w:br/>
              <w:t xml:space="preserve">100*150*6*5650mm*2 根，及钢结构连接板、</w:t>
            </w:r>
            <w:r>
              <w:rPr>
                <w:rFonts w:hint="eastAsia" w:ascii="宋体" w:hAnsi="宋体"/>
                <w:color w:val="000000"/>
                <w:sz w:val="21"/>
                <w:szCs w:val="21"/>
                <w:lang w:bidi="ar"/>
              </w:rPr>
              <w:br/>
              <w:t xml:space="preserve">加强板等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4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指路、车道标志牌</w:t>
            </w:r>
            <w:r>
              <w:rPr>
                <w:rFonts w:hint="eastAsia" w:ascii="宋体" w:hAnsi="宋体"/>
                <w:color w:val="000000"/>
                <w:sz w:val="21"/>
                <w:szCs w:val="21"/>
                <w:lang w:bidi="ar"/>
              </w:rPr>
              <w:br/>
              <w:t xml:space="preserve">（悬臂式）</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1、类型:组合式悬臂标志牌</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3000mm*1800mm*2 块 ；2.版面材质：2mm 铝</w:t>
            </w:r>
            <w:r>
              <w:rPr>
                <w:rFonts w:hint="eastAsia" w:ascii="宋体" w:hAnsi="宋体"/>
                <w:color w:val="000000"/>
                <w:sz w:val="21"/>
                <w:szCs w:val="21"/>
                <w:lang w:bidi="ar"/>
              </w:rPr>
              <w:br/>
              <w:t xml:space="preserve">合金板，底膜不低于Ⅲ类反光膜，文字、图</w:t>
            </w:r>
            <w:r>
              <w:rPr>
                <w:rFonts w:hint="eastAsia" w:ascii="宋体" w:hAnsi="宋体"/>
                <w:color w:val="000000"/>
                <w:sz w:val="21"/>
                <w:szCs w:val="21"/>
                <w:lang w:bidi="ar"/>
              </w:rPr>
              <w:br/>
              <w:t xml:space="preserve">案不低于Ⅳ类反光膜，含相关附件；3.钢结</w:t>
            </w:r>
            <w:r>
              <w:rPr>
                <w:rFonts w:hint="eastAsia" w:ascii="宋体" w:hAnsi="宋体"/>
                <w:color w:val="000000"/>
                <w:sz w:val="21"/>
                <w:szCs w:val="21"/>
                <w:lang w:bidi="ar"/>
              </w:rPr>
              <w:br/>
              <w:t xml:space="preserve">构材料：</w:t>
            </w:r>
            <w:r>
              <w:rPr>
                <w:rFonts w:hint="eastAsia" w:ascii="宋体" w:hAnsi="宋体"/>
                <w:color w:val="000000"/>
                <w:sz w:val="21"/>
                <w:szCs w:val="21"/>
                <w:lang w:bidi="ar"/>
              </w:rPr>
              <w:br/>
              <w:t xml:space="preserve">150*250*10*10500mm*2 根，</w:t>
            </w:r>
            <w:r>
              <w:rPr>
                <w:rFonts w:hint="eastAsia" w:ascii="宋体" w:hAnsi="宋体"/>
                <w:color w:val="000000"/>
                <w:sz w:val="21"/>
                <w:szCs w:val="21"/>
                <w:lang w:bidi="ar"/>
              </w:rPr>
              <w:br/>
              <w:t xml:space="preserve">100*200*8*7280mm*2 根，</w:t>
            </w:r>
            <w:r>
              <w:rPr>
                <w:rFonts w:hint="eastAsia" w:ascii="宋体" w:hAnsi="宋体"/>
                <w:color w:val="000000"/>
                <w:sz w:val="21"/>
                <w:szCs w:val="21"/>
                <w:lang w:bidi="ar"/>
              </w:rPr>
              <w:br/>
              <w:t xml:space="preserve">100*200*8*2100mm*2 根及钢结构连接板、加</w:t>
            </w:r>
            <w:r>
              <w:rPr>
                <w:rFonts w:hint="eastAsia" w:ascii="宋体" w:hAnsi="宋体"/>
                <w:color w:val="000000"/>
                <w:sz w:val="21"/>
                <w:szCs w:val="21"/>
                <w:lang w:bidi="ar"/>
              </w:rPr>
              <w:br/>
              <w:t xml:space="preserve">强板等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r>
            <w:r>
              <w:rPr>
                <w:rFonts w:hint="eastAsia" w:ascii="宋体" w:hAnsi="宋体"/>
                <w:color w:val="000000"/>
                <w:sz w:val="21"/>
                <w:szCs w:val="21"/>
                <w:lang w:bidi="ar"/>
              </w:rPr>
              <w:br/>
              <w:t xml:space="preserve">套</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r>
            <w:r>
              <w:rPr>
                <w:rFonts w:hint="eastAsia" w:ascii="宋体" w:hAnsi="宋体"/>
                <w:color w:val="000000"/>
                <w:sz w:val="21"/>
                <w:szCs w:val="21"/>
                <w:lang w:bidi="ar"/>
              </w:rPr>
              <w:br/>
              <w:t xml:space="preserve">1</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2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指路标志牌（悬臂</w:t>
            </w:r>
            <w:r>
              <w:rPr>
                <w:rFonts w:hint="eastAsia" w:ascii="宋体" w:hAnsi="宋体"/>
                <w:color w:val="000000"/>
                <w:sz w:val="21"/>
                <w:szCs w:val="21"/>
                <w:lang w:bidi="ar"/>
              </w:rPr>
              <w:br/>
              <w:t xml:space="preserve">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1、类型:组合式悬臂标志牌</w:t>
            </w:r>
            <w:r>
              <w:rPr>
                <w:rFonts w:hint="eastAsia" w:ascii="宋体" w:hAnsi="宋体"/>
                <w:color w:val="000000"/>
                <w:sz w:val="21"/>
                <w:szCs w:val="21"/>
                <w:lang w:bidi="ar"/>
              </w:rPr>
              <w:br/>
              <w:t xml:space="preserve">2、材质、规格尺寸:1.版面规格：</w:t>
            </w:r>
            <w:r>
              <w:rPr>
                <w:rFonts w:hint="eastAsia" w:ascii="宋体" w:hAnsi="宋体"/>
                <w:color w:val="000000"/>
                <w:sz w:val="21"/>
                <w:szCs w:val="21"/>
                <w:lang w:bidi="ar"/>
              </w:rPr>
              <w:br/>
              <w:t xml:space="preserve">3000mm*1800mm ；2.版面材质：2mm 铝合金板，</w:t>
            </w:r>
            <w:r>
              <w:rPr>
                <w:rFonts w:hint="eastAsia" w:ascii="宋体" w:hAnsi="宋体"/>
                <w:color w:val="000000"/>
                <w:sz w:val="21"/>
                <w:szCs w:val="21"/>
                <w:lang w:bidi="ar"/>
              </w:rPr>
              <w:br/>
              <w:t xml:space="preserve">底膜不低于Ⅲ类反光膜，文字、图案不低于</w:t>
            </w:r>
            <w:r>
              <w:rPr>
                <w:rFonts w:hint="eastAsia" w:ascii="宋体" w:hAnsi="宋体"/>
                <w:color w:val="000000"/>
                <w:sz w:val="21"/>
                <w:szCs w:val="21"/>
                <w:lang w:bidi="ar"/>
              </w:rPr>
              <w:br/>
              <w:t xml:space="preserve">Ⅳ类反光膜，含相关附件；3.钢结构材料：</w:t>
            </w:r>
            <w:r>
              <w:rPr>
                <w:rFonts w:hint="eastAsia" w:ascii="宋体" w:hAnsi="宋体"/>
                <w:color w:val="000000"/>
                <w:sz w:val="21"/>
                <w:szCs w:val="21"/>
                <w:lang w:bidi="ar"/>
              </w:rPr>
              <w:br/>
              <w:t xml:space="preserve">150*250*10*8570mm*2 根，</w:t>
            </w:r>
            <w:r>
              <w:rPr>
                <w:rFonts w:hint="eastAsia" w:ascii="宋体" w:hAnsi="宋体"/>
                <w:color w:val="000000"/>
                <w:sz w:val="21"/>
                <w:szCs w:val="21"/>
                <w:lang w:bidi="ar"/>
              </w:rPr>
              <w:br/>
              <w:t xml:space="preserve">100*200*8*7280mm*2 根，</w:t>
            </w:r>
            <w:r>
              <w:rPr>
                <w:rFonts w:hint="eastAsia" w:ascii="宋体" w:hAnsi="宋体"/>
                <w:color w:val="000000"/>
                <w:sz w:val="21"/>
                <w:szCs w:val="21"/>
                <w:lang w:bidi="ar"/>
              </w:rPr>
              <w:br/>
              <w:t xml:space="preserve">100*200*8*2100mm*2 根及钢结构连接板、加</w:t>
            </w:r>
            <w:r>
              <w:rPr>
                <w:rFonts w:hint="eastAsia" w:ascii="宋体" w:hAnsi="宋体"/>
                <w:color w:val="000000"/>
                <w:sz w:val="21"/>
                <w:szCs w:val="21"/>
                <w:lang w:bidi="ar"/>
              </w:rPr>
              <w:br/>
              <w:t xml:space="preserve">强板等</w:t>
            </w:r>
            <w:r>
              <w:rPr>
                <w:rFonts w:hint="eastAsia" w:ascii="宋体" w:hAnsi="宋体"/>
                <w:color w:val="000000"/>
                <w:sz w:val="21"/>
                <w:szCs w:val="21"/>
                <w:lang w:bidi="ar"/>
              </w:rPr>
              <w:br/>
              <w:t xml:space="preserve">3、备注:基础规格：C30 砼基础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机非分道标志（单柱式）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2、材质、规格尺寸:版面规格：圆形直径</w:t>
            </w:r>
            <w:r>
              <w:rPr>
                <w:rFonts w:hint="eastAsia" w:ascii="宋体" w:hAnsi="宋体"/>
                <w:color w:val="000000"/>
                <w:sz w:val="21"/>
                <w:szCs w:val="21"/>
                <w:lang w:bidi="ar"/>
              </w:rPr>
              <w:br/>
              <w:t xml:space="preserve">400mm*2 块，含相关附件，钢结构材质：</w:t>
            </w:r>
            <w:r>
              <w:rPr>
                <w:rFonts w:hint="eastAsia" w:ascii="宋体" w:hAnsi="宋体"/>
                <w:color w:val="000000"/>
                <w:sz w:val="21"/>
                <w:szCs w:val="21"/>
                <w:lang w:bidi="ar"/>
              </w:rPr>
              <w:br/>
              <w:t xml:space="preserve">30*60*2200mm*2mm 厚</w:t>
            </w:r>
            <w:r>
              <w:rPr>
                <w:rFonts w:hint="eastAsia" w:ascii="宋体" w:hAnsi="宋体"/>
                <w:color w:val="000000"/>
                <w:sz w:val="21"/>
                <w:szCs w:val="21"/>
                <w:lang w:bidi="ar"/>
              </w:rPr>
              <w:br/>
              <w:t xml:space="preserve">3、版面采用2mm 厚铝合金板，底膜不低于Ⅲ</w:t>
            </w:r>
            <w:r>
              <w:rPr>
                <w:rFonts w:hint="eastAsia" w:ascii="宋体" w:hAnsi="宋体"/>
                <w:color w:val="000000"/>
                <w:sz w:val="21"/>
                <w:szCs w:val="21"/>
                <w:lang w:bidi="ar"/>
              </w:rPr>
              <w:br/>
            </w:r>
            <w:r>
              <w:rPr>
                <w:rFonts w:hint="eastAsia" w:ascii="宋体" w:hAnsi="宋体"/>
                <w:color w:val="000000"/>
                <w:sz w:val="21"/>
                <w:szCs w:val="21"/>
                <w:lang w:bidi="ar"/>
              </w:rPr>
              <w:t xml:space="preserve">类反光膜，文字、图案不低于Ⅳ类反光膜</w:t>
            </w:r>
            <w:r>
              <w:rPr>
                <w:rFonts w:hint="eastAsia" w:ascii="宋体" w:hAnsi="宋体"/>
                <w:color w:val="000000"/>
                <w:sz w:val="21"/>
                <w:szCs w:val="21"/>
                <w:lang w:bidi="ar"/>
              </w:rPr>
              <w:br/>
              <w:t xml:space="preserve">4、不含基础</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机非分道标志（单柱式）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2、材质、规格尺寸:版面规格：圆形直径</w:t>
            </w:r>
            <w:r>
              <w:rPr>
                <w:rFonts w:hint="eastAsia" w:ascii="宋体" w:hAnsi="宋体"/>
                <w:color w:val="000000"/>
                <w:sz w:val="21"/>
                <w:szCs w:val="21"/>
                <w:lang w:bidi="ar"/>
              </w:rPr>
              <w:br/>
              <w:t xml:space="preserve">800mm*2 块，含相关附件，钢结构材质：直径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机非分道标志（单柱式）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2、材质、规格尺寸:版面规格圆形直径</w:t>
            </w:r>
            <w:r>
              <w:rPr>
                <w:rFonts w:hint="eastAsia" w:ascii="宋体" w:hAnsi="宋体"/>
                <w:color w:val="000000"/>
                <w:sz w:val="21"/>
                <w:szCs w:val="21"/>
                <w:lang w:bidi="ar"/>
              </w:rPr>
              <w:br/>
              <w:t xml:space="preserve">600mm*2 块，含相关附件，钢结构材质：直径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靠右侧行驶标志</w:t>
            </w:r>
            <w:r>
              <w:rPr>
                <w:rFonts w:hint="eastAsia" w:ascii="宋体" w:hAnsi="宋体"/>
                <w:color w:val="000000"/>
                <w:sz w:val="21"/>
                <w:szCs w:val="21"/>
                <w:lang w:bidi="ar"/>
              </w:rPr>
              <w:br/>
              <w:t xml:space="preserve">（单柱式)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2、材质、规格尺寸:版面规格：直径 800mm，</w:t>
            </w:r>
            <w:r>
              <w:rPr>
                <w:rFonts w:hint="eastAsia" w:ascii="宋体" w:hAnsi="宋体"/>
                <w:color w:val="000000"/>
                <w:sz w:val="21"/>
                <w:szCs w:val="21"/>
                <w:lang w:bidi="ar"/>
              </w:rPr>
              <w:br/>
              <w:t xml:space="preserve">含相关附件，钢结构材质：直径 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注意行人、及叉路</w:t>
            </w:r>
            <w:r>
              <w:rPr>
                <w:rFonts w:hint="eastAsia" w:ascii="宋体" w:hAnsi="宋体"/>
                <w:color w:val="000000"/>
                <w:sz w:val="21"/>
                <w:szCs w:val="21"/>
                <w:lang w:bidi="ar"/>
              </w:rPr>
              <w:br/>
              <w:t xml:space="preserve">口标志(单柱式）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2、材质、规格尺寸:版面规格：三角形边长</w:t>
            </w:r>
            <w:r>
              <w:rPr>
                <w:rFonts w:hint="eastAsia" w:ascii="宋体" w:hAnsi="宋体"/>
                <w:color w:val="000000"/>
                <w:sz w:val="21"/>
                <w:szCs w:val="21"/>
                <w:lang w:bidi="ar"/>
              </w:rPr>
              <w:br/>
              <w:t xml:space="preserve">1100mm*2 块，含相关附件，</w:t>
            </w:r>
            <w:r>
              <w:rPr>
                <w:rFonts w:hint="eastAsia" w:ascii="宋体" w:hAnsi="宋体"/>
                <w:color w:val="000000"/>
                <w:sz w:val="21"/>
                <w:szCs w:val="21"/>
                <w:lang w:bidi="ar"/>
              </w:rPr>
              <w:t xml:space="preserve">钢结构材质：直</w:t>
            </w:r>
            <w:r>
              <w:rPr>
                <w:rFonts w:hint="eastAsia" w:ascii="宋体" w:hAnsi="宋体"/>
                <w:color w:val="000000"/>
                <w:sz w:val="21"/>
                <w:szCs w:val="21"/>
                <w:lang w:bidi="ar"/>
              </w:rPr>
              <w:br/>
              <w:t xml:space="preserve">径 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注意行人、及叉路</w:t>
            </w:r>
            <w:r>
              <w:rPr>
                <w:rFonts w:hint="eastAsia" w:ascii="宋体" w:hAnsi="宋体"/>
                <w:color w:val="000000"/>
                <w:sz w:val="21"/>
                <w:szCs w:val="21"/>
                <w:lang w:bidi="ar"/>
              </w:rPr>
              <w:br/>
              <w:t xml:space="preserve">口标志（单柱式）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 :版面规格：三角形边长</w:t>
            </w:r>
            <w:r>
              <w:rPr>
                <w:rFonts w:hint="eastAsia" w:ascii="宋体" w:hAnsi="宋体"/>
                <w:color w:val="000000"/>
                <w:sz w:val="21"/>
                <w:szCs w:val="21"/>
                <w:lang w:bidi="ar"/>
              </w:rPr>
              <w:br/>
              <w:t xml:space="preserve">900mm*2 块，含相关附件，钢结构材质：直径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br/>
              <w:t xml:space="preserve">注意行人标志（单柱式）</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 :版面规格：三角形边长</w:t>
            </w:r>
            <w:r>
              <w:rPr>
                <w:rFonts w:hint="eastAsia" w:ascii="宋体" w:hAnsi="宋体"/>
                <w:color w:val="000000"/>
                <w:sz w:val="21"/>
                <w:szCs w:val="21"/>
                <w:lang w:bidi="ar"/>
              </w:rPr>
              <w:br/>
              <w:t xml:space="preserve">1100mm ，含相关附件，钢结构材质：直径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套</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12</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注意行人标志（单柱式）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 :版面规格：三角形边长</w:t>
            </w:r>
            <w:r>
              <w:rPr>
                <w:rFonts w:hint="eastAsia" w:ascii="宋体" w:hAnsi="宋体"/>
                <w:color w:val="000000"/>
                <w:sz w:val="21"/>
                <w:szCs w:val="21"/>
                <w:lang w:bidi="ar"/>
              </w:rPr>
              <w:br/>
              <w:t xml:space="preserve">900mm ，含相关附件 ，钢结构材质： 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人行横道标志（单柱式）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2、材质、规格尺寸:版面规格：800*800mm ，</w:t>
            </w:r>
            <w:r>
              <w:rPr>
                <w:rFonts w:hint="eastAsia" w:ascii="宋体" w:hAnsi="宋体"/>
                <w:color w:val="000000"/>
                <w:sz w:val="21"/>
                <w:szCs w:val="21"/>
                <w:lang w:bidi="ar"/>
              </w:rPr>
              <w:br/>
              <w:t xml:space="preserve">含相关附件，钢结构材质：直径 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禁令标志+辅助牌</w:t>
            </w:r>
            <w:r>
              <w:rPr>
                <w:rFonts w:hint="eastAsia" w:ascii="宋体" w:hAnsi="宋体"/>
                <w:color w:val="000000"/>
                <w:sz w:val="21"/>
                <w:szCs w:val="21"/>
                <w:lang w:bidi="ar"/>
              </w:rPr>
              <w:br/>
              <w:t xml:space="preserve">(单柱式)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2、材质、规格尺寸:版面规格：直径</w:t>
            </w:r>
            <w:r>
              <w:rPr>
                <w:rFonts w:hint="eastAsia" w:ascii="宋体" w:hAnsi="宋体"/>
                <w:color w:val="000000"/>
                <w:sz w:val="21"/>
                <w:szCs w:val="21"/>
                <w:lang w:bidi="ar"/>
              </w:rPr>
              <w:br/>
              <w:t xml:space="preserve">800mm+300*700mm，含相关附件，钢结构材质：</w:t>
            </w:r>
            <w:r>
              <w:rPr>
                <w:rFonts w:hint="eastAsia" w:ascii="宋体" w:hAnsi="宋体"/>
                <w:color w:val="000000"/>
                <w:sz w:val="21"/>
                <w:szCs w:val="21"/>
                <w:lang w:bidi="ar"/>
              </w:rPr>
              <w:br/>
              <w:t xml:space="preserve">直径 89mm*4mm</w:t>
            </w:r>
            <w:r>
              <w:rPr>
                <w:rFonts w:hint="eastAsia" w:ascii="宋体" w:hAnsi="宋体"/>
                <w:color w:val="000000"/>
                <w:sz w:val="21"/>
                <w:szCs w:val="21"/>
                <w:lang w:bidi="ar"/>
              </w:rPr>
              <w:br/>
              <w:t xml:space="preserve">3、版面厚度 2mm，反光膜等级参照&lt;&lt;道路交</w:t>
            </w:r>
            <w:r>
              <w:rPr>
                <w:rFonts w:hint="eastAsia" w:ascii="宋体" w:hAnsi="宋体"/>
                <w:color w:val="000000"/>
                <w:sz w:val="21"/>
                <w:szCs w:val="21"/>
                <w:lang w:bidi="ar"/>
              </w:rPr>
              <w:br/>
              <w:t xml:space="preserve">通反光膜&gt;&gt;(GB/T18833)要求，基础：C30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51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 、类型:支架式指示标志</w:t>
            </w:r>
            <w:r>
              <w:rPr>
                <w:rFonts w:hint="eastAsia" w:ascii="宋体" w:hAnsi="宋体"/>
                <w:color w:val="000000"/>
                <w:sz w:val="21"/>
                <w:szCs w:val="21"/>
                <w:lang w:bidi="ar"/>
              </w:rPr>
              <w:br/>
              <w:t xml:space="preserve">2 、 材 质 、 规 格 尺 寸 : 版 面 规 格 ：</w:t>
            </w:r>
            <w:r>
              <w:rPr>
                <w:rFonts w:hint="eastAsia" w:ascii="宋体" w:hAnsi="宋体"/>
                <w:color w:val="000000"/>
                <w:sz w:val="21"/>
                <w:szCs w:val="21"/>
                <w:lang w:bidi="ar"/>
              </w:rPr>
              <w:br/>
              <w:t xml:space="preserve">3000*1800mm ，含相关附件，钢结构</w:t>
            </w:r>
            <w:r>
              <w:rPr>
                <w:rFonts w:hint="eastAsia" w:ascii="宋体" w:hAnsi="宋体"/>
                <w:color w:val="000000"/>
                <w:sz w:val="21"/>
                <w:szCs w:val="21"/>
                <w:lang w:bidi="ar"/>
              </w:rPr>
              <w:br/>
              <w:t xml:space="preserve">材质：30*30mm*2mm 镀锌方管</w:t>
            </w:r>
            <w:r>
              <w:rPr>
                <w:rFonts w:hint="eastAsia" w:ascii="宋体" w:hAnsi="宋体"/>
                <w:color w:val="000000"/>
                <w:sz w:val="21"/>
                <w:szCs w:val="21"/>
                <w:lang w:bidi="ar"/>
              </w:rPr>
              <w:br/>
              <w:t xml:space="preserve">3 、版面 2mm 厚，底膜不低于Ⅲ类反</w:t>
            </w:r>
            <w:r>
              <w:rPr>
                <w:rFonts w:hint="eastAsia" w:ascii="宋体" w:hAnsi="宋体"/>
                <w:color w:val="000000"/>
                <w:sz w:val="21"/>
                <w:szCs w:val="21"/>
                <w:lang w:bidi="ar"/>
              </w:rPr>
              <w:br/>
              <w:t xml:space="preserve">光膜，文字、图案不低于Ⅳ类反光膜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2、材质、规格尺寸:版面规格：2400*1400mm，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2、材质、规格尺寸:版面规格：2000*1400mm，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2、材质、规格尺寸:版面规格：2000*800mm，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2、材质、规格尺寸:版面规格：1600*900mm，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49</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支架式指示标志</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2、材质、规格尺寸:版面规格：700*900mm，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套</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t xml:space="preserve">8</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支架式指示标志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1、类型:支架式指示标志</w:t>
            </w:r>
            <w:r>
              <w:rPr>
                <w:rFonts w:hint="eastAsia" w:ascii="宋体" w:hAnsi="宋体"/>
                <w:color w:val="000000"/>
                <w:sz w:val="21"/>
                <w:szCs w:val="21"/>
                <w:lang w:bidi="ar"/>
              </w:rPr>
              <w:br/>
              <w:t xml:space="preserve">2、材质、规格尺寸:版面规格：1500*600mm，</w:t>
            </w:r>
            <w:r>
              <w:rPr>
                <w:rFonts w:hint="eastAsia" w:ascii="宋体" w:hAnsi="宋体"/>
                <w:color w:val="000000"/>
                <w:sz w:val="21"/>
                <w:szCs w:val="21"/>
                <w:lang w:bidi="ar"/>
              </w:rPr>
              <w:br/>
              <w:t xml:space="preserve">含相关附件，钢结构材质：30*30mm*2mm 镀锌</w:t>
            </w:r>
            <w:r>
              <w:rPr>
                <w:rFonts w:hint="eastAsia" w:ascii="宋体" w:hAnsi="宋体"/>
                <w:color w:val="000000"/>
                <w:sz w:val="21"/>
                <w:szCs w:val="21"/>
                <w:lang w:bidi="ar"/>
              </w:rPr>
              <w:br/>
            </w:r>
            <w:r>
              <w:rPr>
                <w:rFonts w:hint="eastAsia" w:ascii="宋体" w:hAnsi="宋体"/>
                <w:color w:val="000000"/>
                <w:sz w:val="21"/>
                <w:szCs w:val="21"/>
                <w:lang w:bidi="ar"/>
              </w:rPr>
              <w:t xml:space="preserve">方管</w:t>
            </w:r>
            <w:r>
              <w:rPr>
                <w:rFonts w:hint="eastAsia" w:ascii="宋体" w:hAnsi="宋体"/>
                <w:color w:val="000000"/>
                <w:sz w:val="21"/>
                <w:szCs w:val="21"/>
                <w:lang w:bidi="ar"/>
              </w:rPr>
              <w:br/>
              <w:t xml:space="preserve">3、版面 2mm 厚，底膜不低于Ⅲ类反光膜，文</w:t>
            </w:r>
            <w:r>
              <w:rPr>
                <w:rFonts w:hint="eastAsia" w:ascii="宋体" w:hAnsi="宋体"/>
                <w:color w:val="000000"/>
                <w:sz w:val="21"/>
                <w:szCs w:val="21"/>
                <w:lang w:bidi="ar"/>
              </w:rPr>
              <w:br/>
              <w:t xml:space="preserve">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标志牌版面(2mm 铝板)、  Ⅰ类反光膜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标志牌版面(2mm 铝板)、Ⅲ类反光膜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标志牌版面(2mm 铝板)、Ⅳ类反光膜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标志牌版面(3mm 铝板)、Ⅲ类反光膜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标志牌版面(3mm 铝板)、Ⅳ类反光膜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标志牌版面(3mm 铝板)、 Ⅴ类反光膜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版面更换反光膜 ( Ⅰ类）</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版面更换反光膜 (Ⅲ类）</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版面更换反光膜 (Ⅳ类）</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附着式标志牌紧固件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不锈钢材质</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钢结构</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含立杆、悬臂、加强板、紧固件、表面处理</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kg</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20000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钢筋混凝土基础</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C30 混凝土，钢筋，含开挖等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立方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悬臂式标志拆除</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仿古式、传统式、多边形、组合式</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悬臂式标志安装</w:t>
            </w:r>
            <w:r>
              <w:rPr>
                <w:rFonts w:hint="eastAsia" w:ascii="宋体" w:hAnsi="宋体"/>
                <w:color w:val="000000"/>
                <w:sz w:val="21"/>
                <w:szCs w:val="21"/>
                <w:lang w:bidi="ar"/>
              </w:rPr>
              <w:br/>
              <w:t xml:space="preserve">（不含基础）</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仿古式、传统式、多边形、组合式</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新泽西护栏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长度 2000mm*高度 810mm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0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油漆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1、除锈级别:标杆油漆</w:t>
            </w:r>
            <w:r>
              <w:rPr>
                <w:rFonts w:hint="eastAsia" w:ascii="宋体" w:hAnsi="宋体"/>
                <w:color w:val="000000"/>
                <w:sz w:val="21"/>
                <w:szCs w:val="21"/>
                <w:lang w:bidi="ar"/>
              </w:rPr>
              <w:br/>
              <w:t xml:space="preserve">2、油漆品种 :①基层处理，铲除原有掉皮脱</w:t>
            </w:r>
            <w:r>
              <w:rPr>
                <w:rFonts w:hint="eastAsia" w:ascii="宋体" w:hAnsi="宋体"/>
                <w:color w:val="000000"/>
                <w:sz w:val="21"/>
                <w:szCs w:val="21"/>
                <w:lang w:bidi="ar"/>
              </w:rPr>
              <w:br/>
              <w:t xml:space="preserve">落 的 油 漆 ，  除 锈 应 不 低 于 标 准</w:t>
            </w:r>
            <w:r>
              <w:rPr>
                <w:rFonts w:hint="eastAsia" w:ascii="宋体" w:hAnsi="宋体"/>
                <w:color w:val="000000"/>
                <w:sz w:val="21"/>
                <w:szCs w:val="21"/>
                <w:lang w:bidi="ar"/>
              </w:rPr>
              <w:br/>
              <w:t xml:space="preserve">GB/T8923.1-2011 的 Sa2 级，打磨面层、刮腻</w:t>
            </w:r>
            <w:r>
              <w:rPr>
                <w:rFonts w:hint="eastAsia" w:ascii="宋体" w:hAnsi="宋体"/>
                <w:color w:val="000000"/>
                <w:sz w:val="21"/>
                <w:szCs w:val="21"/>
                <w:lang w:bidi="ar"/>
              </w:rPr>
              <w:br/>
              <w:t xml:space="preserve">子。②喷涂环氧富锌底漆二</w:t>
            </w:r>
            <w:r>
              <w:rPr>
                <w:rFonts w:hint="eastAsia" w:ascii="宋体" w:hAnsi="宋体"/>
                <w:color w:val="000000"/>
                <w:sz w:val="21"/>
                <w:szCs w:val="21"/>
                <w:lang w:bidi="ar"/>
              </w:rPr>
              <w:t xml:space="preserve">道，要求颜色深</w:t>
            </w:r>
            <w:r>
              <w:rPr>
                <w:rFonts w:hint="eastAsia" w:ascii="宋体" w:hAnsi="宋体"/>
                <w:color w:val="000000"/>
                <w:sz w:val="21"/>
                <w:szCs w:val="21"/>
                <w:lang w:bidi="ar"/>
              </w:rPr>
              <w:br/>
              <w:t xml:space="preserve">灰色。③焊接、划伤部位局部刮补腻子（原</w:t>
            </w:r>
            <w:r>
              <w:rPr>
                <w:rFonts w:hint="eastAsia" w:ascii="宋体" w:hAnsi="宋体"/>
                <w:color w:val="000000"/>
                <w:sz w:val="21"/>
                <w:szCs w:val="21"/>
                <w:lang w:bidi="ar"/>
              </w:rPr>
              <w:br/>
              <w:t xml:space="preserve">子灰）。④喷涂丙烯酸消磁漆二道，要求颜</w:t>
            </w:r>
            <w:r>
              <w:rPr>
                <w:rFonts w:hint="eastAsia" w:ascii="宋体" w:hAnsi="宋体"/>
                <w:color w:val="000000"/>
                <w:sz w:val="21"/>
                <w:szCs w:val="21"/>
                <w:lang w:bidi="ar"/>
              </w:rPr>
              <w:br/>
              <w:t xml:space="preserve">色深灰色</w:t>
            </w:r>
            <w:r>
              <w:rPr>
                <w:rFonts w:hint="eastAsia" w:ascii="宋体" w:hAnsi="宋体"/>
                <w:color w:val="000000"/>
                <w:sz w:val="21"/>
                <w:szCs w:val="21"/>
                <w:lang w:bidi="ar"/>
              </w:rPr>
              <w:br/>
              <w:t xml:space="preserve">工作内容：1、除锈 2、调配、涂刷</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油漆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1、材料品种:水泥饰面油漆</w:t>
            </w:r>
            <w:r>
              <w:rPr>
                <w:rFonts w:hint="eastAsia" w:ascii="宋体" w:hAnsi="宋体"/>
                <w:color w:val="000000"/>
                <w:sz w:val="21"/>
                <w:szCs w:val="21"/>
                <w:lang w:bidi="ar"/>
              </w:rPr>
              <w:br/>
              <w:t xml:space="preserve">2、工艺 :①打扫去毛刺，除尘去污迹，要求</w:t>
            </w:r>
            <w:r>
              <w:rPr>
                <w:rFonts w:hint="eastAsia" w:ascii="宋体" w:hAnsi="宋体"/>
                <w:color w:val="000000"/>
                <w:sz w:val="21"/>
                <w:szCs w:val="21"/>
                <w:lang w:bidi="ar"/>
              </w:rPr>
              <w:br/>
              <w:t xml:space="preserve">侧石洁净且平滑②油漆两遍，油漆涂刷时间</w:t>
            </w:r>
            <w:r>
              <w:rPr>
                <w:rFonts w:hint="eastAsia" w:ascii="宋体" w:hAnsi="宋体"/>
                <w:color w:val="000000"/>
                <w:sz w:val="21"/>
                <w:szCs w:val="21"/>
                <w:lang w:bidi="ar"/>
              </w:rPr>
              <w:br/>
              <w:t xml:space="preserve">需等上一道油漆干燥渗透后才进行下一道油</w:t>
            </w:r>
            <w:r>
              <w:rPr>
                <w:rFonts w:hint="eastAsia" w:ascii="宋体" w:hAnsi="宋体"/>
                <w:color w:val="000000"/>
                <w:sz w:val="21"/>
                <w:szCs w:val="21"/>
                <w:lang w:bidi="ar"/>
              </w:rPr>
              <w:br/>
              <w:t xml:space="preserve">漆③油漆选用黄醇酸磁漆和黑醇酸磁漆</w:t>
            </w:r>
            <w:r>
              <w:rPr>
                <w:rFonts w:hint="eastAsia" w:ascii="宋体" w:hAnsi="宋体"/>
                <w:color w:val="000000"/>
                <w:sz w:val="21"/>
                <w:szCs w:val="21"/>
                <w:lang w:bidi="ar"/>
              </w:rPr>
              <w:br/>
              <w:t xml:space="preserve">工作内容：1、油漆敷设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CB-4 立杆八角型</w:t>
            </w:r>
            <w:r>
              <w:rPr>
                <w:rFonts w:hint="eastAsia" w:ascii="宋体" w:hAnsi="宋体"/>
                <w:color w:val="000000"/>
                <w:sz w:val="21"/>
                <w:szCs w:val="21"/>
                <w:lang w:bidi="ar"/>
              </w:rPr>
              <w:br/>
              <w:t xml:space="preserve">（含配件）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八角型 8500*320*230*8mm、</w:t>
            </w:r>
            <w:r>
              <w:rPr>
                <w:rFonts w:hint="eastAsia" w:ascii="宋体" w:hAnsi="宋体"/>
                <w:color w:val="000000"/>
                <w:sz w:val="21"/>
                <w:szCs w:val="21"/>
                <w:lang w:bidi="ar"/>
              </w:rPr>
              <w:br/>
              <w:t xml:space="preserve">悬臂 4000*267*114*6mm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CB-6 立杆八角型</w:t>
            </w:r>
            <w:r>
              <w:rPr>
                <w:rFonts w:hint="eastAsia" w:ascii="宋体" w:hAnsi="宋体"/>
                <w:color w:val="000000"/>
                <w:sz w:val="21"/>
                <w:szCs w:val="21"/>
                <w:lang w:bidi="ar"/>
              </w:rPr>
              <w:br/>
              <w:t xml:space="preserve">（含配件）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八角型 8500*320*230*8mm、</w:t>
            </w:r>
            <w:r>
              <w:rPr>
                <w:rFonts w:hint="eastAsia" w:ascii="宋体" w:hAnsi="宋体"/>
                <w:color w:val="000000"/>
                <w:sz w:val="21"/>
                <w:szCs w:val="21"/>
                <w:lang w:bidi="ar"/>
              </w:rPr>
              <w:br/>
              <w:t xml:space="preserve">悬臂 6000*267*114*6mm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CB-9 立杆八角型</w:t>
            </w:r>
            <w:r>
              <w:rPr>
                <w:rFonts w:hint="eastAsia" w:ascii="宋体" w:hAnsi="宋体"/>
                <w:color w:val="000000"/>
                <w:sz w:val="21"/>
                <w:szCs w:val="21"/>
                <w:lang w:bidi="ar"/>
              </w:rPr>
              <w:br/>
              <w:t xml:space="preserve">（含配件）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八角型 8500*320*230*8mm、</w:t>
            </w:r>
            <w:r>
              <w:rPr>
                <w:rFonts w:hint="eastAsia" w:ascii="宋体" w:hAnsi="宋体"/>
                <w:color w:val="000000"/>
                <w:sz w:val="21"/>
                <w:szCs w:val="21"/>
                <w:lang w:bidi="ar"/>
              </w:rPr>
              <w:br/>
              <w:t xml:space="preserve">悬臂 9000*267*114*6mm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单柱式信号灯立杆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复合型材料、4.5m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人行灯立杆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复合型材料、3m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多边形悬臂式 F 杆</w:t>
            </w:r>
            <w:r>
              <w:rPr>
                <w:rFonts w:hint="eastAsia" w:ascii="宋体" w:hAnsi="宋体"/>
                <w:color w:val="000000"/>
                <w:sz w:val="21"/>
                <w:szCs w:val="21"/>
                <w:lang w:bidi="ar"/>
              </w:rPr>
              <w:br/>
              <w:t xml:space="preserve">信号灯立杆 CB-10</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六边 400*400*7100mm</w:t>
            </w:r>
            <w:r>
              <w:rPr>
                <w:rFonts w:hint="eastAsia" w:ascii="宋体" w:hAnsi="宋体"/>
                <w:color w:val="000000"/>
                <w:sz w:val="21"/>
                <w:szCs w:val="21"/>
                <w:lang w:bidi="ar"/>
              </w:rPr>
              <w:br/>
              <w:t xml:space="preserve">六边 140*140*10000mm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多边形悬臂式 F 杆</w:t>
            </w:r>
            <w:r>
              <w:rPr>
                <w:rFonts w:hint="eastAsia" w:ascii="宋体" w:hAnsi="宋体"/>
                <w:color w:val="000000"/>
                <w:sz w:val="21"/>
                <w:szCs w:val="21"/>
                <w:lang w:bidi="ar"/>
              </w:rPr>
              <w:br/>
              <w:t xml:space="preserve">信号灯立杆CB-8</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六边 400*400*7100mm</w:t>
            </w:r>
            <w:r>
              <w:rPr>
                <w:rFonts w:hint="eastAsia" w:ascii="宋体" w:hAnsi="宋体"/>
                <w:color w:val="000000"/>
                <w:sz w:val="21"/>
                <w:szCs w:val="21"/>
                <w:lang w:bidi="ar"/>
              </w:rPr>
              <w:br/>
              <w:t xml:space="preserve">六边 140*140*8000mm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多边形悬臂式 F 杆</w:t>
            </w:r>
            <w:r>
              <w:rPr>
                <w:rFonts w:hint="eastAsia" w:ascii="宋体" w:hAnsi="宋体"/>
                <w:color w:val="000000"/>
                <w:sz w:val="21"/>
                <w:szCs w:val="21"/>
                <w:lang w:bidi="ar"/>
              </w:rPr>
              <w:br/>
            </w:r>
            <w:r>
              <w:rPr>
                <w:rFonts w:hint="eastAsia" w:ascii="宋体" w:hAnsi="宋体"/>
                <w:color w:val="000000"/>
                <w:sz w:val="21"/>
                <w:szCs w:val="21"/>
                <w:lang w:bidi="ar"/>
              </w:rPr>
              <w:t xml:space="preserve">信号灯立杆CB-6</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六边 400*400*7100mm</w:t>
            </w:r>
            <w:r>
              <w:rPr>
                <w:rFonts w:hint="eastAsia" w:ascii="宋体" w:hAnsi="宋体"/>
                <w:color w:val="000000"/>
                <w:sz w:val="21"/>
                <w:szCs w:val="21"/>
                <w:lang w:bidi="ar"/>
              </w:rPr>
              <w:br/>
              <w:t xml:space="preserve">六边 140*140*6000mm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多边形单柱式 F 型</w:t>
            </w:r>
            <w:r>
              <w:rPr>
                <w:rFonts w:hint="eastAsia" w:ascii="宋体" w:hAnsi="宋体"/>
                <w:color w:val="000000"/>
                <w:sz w:val="21"/>
                <w:szCs w:val="21"/>
                <w:lang w:bidi="ar"/>
              </w:rPr>
              <w:br/>
              <w:t xml:space="preserve">信号灯立杆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六边 140*3950mm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多边形单柱式 F 型</w:t>
            </w:r>
            <w:r>
              <w:rPr>
                <w:rFonts w:hint="eastAsia" w:ascii="宋体" w:hAnsi="宋体"/>
                <w:color w:val="000000"/>
                <w:sz w:val="21"/>
                <w:szCs w:val="21"/>
                <w:lang w:bidi="ar"/>
              </w:rPr>
              <w:br/>
              <w:t xml:space="preserve">人行灯立杆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六边 140*3600mm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电线管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PVC 管，Ø20mm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预埋管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镀锌钢管、Ø76mm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预埋管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镀锌钢管、Ø102mm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预埋管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尼龙管、Ø40mm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预埋管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硅芯管、Ø80mm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管线顶管施工</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PEØ60mm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绿化带或土方开挖</w:t>
            </w:r>
            <w:r>
              <w:rPr>
                <w:rFonts w:hint="eastAsia" w:ascii="宋体" w:hAnsi="宋体"/>
                <w:color w:val="000000"/>
                <w:sz w:val="21"/>
                <w:szCs w:val="21"/>
                <w:lang w:bidi="ar"/>
              </w:rPr>
              <w:br/>
              <w:t xml:space="preserve">和修复</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宽 400mm×深 600mm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手孔井及井盖</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手孔井（砖砌）</w:t>
            </w:r>
            <w:r>
              <w:rPr>
                <w:rFonts w:hint="eastAsia" w:ascii="宋体" w:hAnsi="宋体"/>
                <w:color w:val="000000"/>
                <w:sz w:val="21"/>
                <w:szCs w:val="21"/>
                <w:lang w:bidi="ar"/>
              </w:rPr>
              <w:br/>
              <w:t xml:space="preserve">规格：500mm*500mm*800mm（内径），含 B125</w:t>
            </w:r>
            <w:r>
              <w:rPr>
                <w:rFonts w:hint="eastAsia" w:ascii="宋体" w:hAnsi="宋体"/>
                <w:color w:val="000000"/>
                <w:sz w:val="21"/>
                <w:szCs w:val="21"/>
                <w:lang w:bidi="ar"/>
              </w:rPr>
              <w:br/>
              <w:t xml:space="preserve">级 600mm*600mm 钢纤维砼井盖</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沥青路面开挖及修复</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含结构层 66cm 以内</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混凝土路面开挖及</w:t>
            </w:r>
            <w:r>
              <w:rPr>
                <w:rFonts w:hint="eastAsia" w:ascii="宋体" w:hAnsi="宋体"/>
                <w:color w:val="000000"/>
                <w:sz w:val="21"/>
                <w:szCs w:val="21"/>
                <w:lang w:bidi="ar"/>
              </w:rPr>
              <w:br/>
              <w:t xml:space="preserve">修复</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含结构层 66cm 以内</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热熔型标线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 1、材料品种：普通热熔标线涂料</w:t>
            </w:r>
            <w:r>
              <w:rPr>
                <w:rFonts w:hint="eastAsia" w:ascii="宋体" w:hAnsi="宋体"/>
                <w:color w:val="000000"/>
                <w:sz w:val="21"/>
                <w:szCs w:val="21"/>
                <w:lang w:bidi="ar"/>
              </w:rPr>
              <w:br/>
              <w:t xml:space="preserve"> 2、工艺：厚度应≥1.6mm，颜色为白色、黄</w:t>
            </w:r>
            <w:r>
              <w:rPr>
                <w:rFonts w:hint="eastAsia" w:ascii="宋体" w:hAnsi="宋体"/>
                <w:color w:val="000000"/>
                <w:sz w:val="21"/>
                <w:szCs w:val="21"/>
                <w:lang w:bidi="ar"/>
              </w:rPr>
              <w:br/>
              <w:t xml:space="preserve">色，应添加玻璃微珠等填充材料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常温型标线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含玻璃微珠</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标线施工台班</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100 ㎡工作量以下</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 1、类型：附着式标志牌</w:t>
            </w:r>
            <w:r>
              <w:rPr>
                <w:rFonts w:hint="eastAsia" w:ascii="宋体" w:hAnsi="宋体"/>
                <w:color w:val="000000"/>
                <w:sz w:val="21"/>
                <w:szCs w:val="21"/>
                <w:lang w:bidi="ar"/>
              </w:rPr>
              <w:br/>
              <w:t xml:space="preserve"> 2、材质、规格尺寸：直径 800mm，铝合金板，</w:t>
            </w:r>
            <w:r>
              <w:rPr>
                <w:rFonts w:hint="eastAsia" w:ascii="宋体" w:hAnsi="宋体"/>
                <w:color w:val="000000"/>
                <w:sz w:val="21"/>
                <w:szCs w:val="21"/>
                <w:lang w:bidi="ar"/>
              </w:rPr>
              <w:br/>
              <w:t xml:space="preserve">底板厚度 1.5mm</w:t>
            </w:r>
            <w:r>
              <w:rPr>
                <w:rFonts w:hint="eastAsia" w:ascii="宋体" w:hAnsi="宋体"/>
                <w:color w:val="000000"/>
                <w:sz w:val="21"/>
                <w:szCs w:val="21"/>
                <w:lang w:bidi="ar"/>
              </w:rPr>
              <w:br/>
              <w:t xml:space="preserve"> 3、板面反光膜等级：底膜不低于Ⅲ类反光</w:t>
            </w:r>
            <w:r>
              <w:rPr>
                <w:rFonts w:hint="eastAsia" w:ascii="宋体" w:hAnsi="宋体"/>
                <w:color w:val="000000"/>
                <w:sz w:val="21"/>
                <w:szCs w:val="21"/>
                <w:lang w:bidi="ar"/>
              </w:rPr>
              <w:br/>
              <w:t xml:space="preserve">膜，文字、图案不低于Ⅳ类反光膜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停车场标志(单柱</w:t>
            </w:r>
            <w:r>
              <w:rPr>
                <w:rFonts w:hint="eastAsia" w:ascii="宋体" w:hAnsi="宋体"/>
                <w:color w:val="000000"/>
                <w:sz w:val="21"/>
                <w:szCs w:val="21"/>
                <w:lang w:bidi="ar"/>
              </w:rPr>
              <w:br/>
              <w:t xml:space="preserve">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 1、类型:单柱式标志</w:t>
            </w:r>
            <w:r>
              <w:rPr>
                <w:rFonts w:hint="eastAsia" w:ascii="宋体" w:hAnsi="宋体"/>
                <w:color w:val="000000"/>
                <w:sz w:val="21"/>
                <w:szCs w:val="21"/>
                <w:lang w:bidi="ar"/>
              </w:rPr>
              <w:br/>
              <w:t xml:space="preserve"> 2、材质、规格尺寸:版面规格：600*600mm，</w:t>
            </w:r>
            <w:r>
              <w:rPr>
                <w:rFonts w:hint="eastAsia" w:ascii="宋体" w:hAnsi="宋体"/>
                <w:color w:val="000000"/>
                <w:sz w:val="21"/>
                <w:szCs w:val="21"/>
                <w:lang w:bidi="ar"/>
              </w:rPr>
              <w:br/>
              <w:t xml:space="preserve">含相关附件，钢结构材质：直径 89mm*4mm</w:t>
            </w:r>
            <w:r>
              <w:rPr>
                <w:rFonts w:hint="eastAsia" w:ascii="宋体" w:hAnsi="宋体"/>
                <w:color w:val="000000"/>
                <w:sz w:val="21"/>
                <w:szCs w:val="21"/>
                <w:lang w:bidi="ar"/>
              </w:rPr>
              <w:br/>
              <w:t xml:space="preserve"> 3、版面厚度2mm，底膜不低于Ⅲ类反光膜，</w:t>
            </w:r>
            <w:r>
              <w:rPr>
                <w:rFonts w:hint="eastAsia" w:ascii="宋体" w:hAnsi="宋体"/>
                <w:color w:val="000000"/>
                <w:sz w:val="21"/>
                <w:szCs w:val="21"/>
                <w:lang w:bidi="ar"/>
              </w:rPr>
              <w:br/>
              <w:t xml:space="preserve">文字、图案不低于Ⅳ类反光膜，基础：C30</w:t>
            </w:r>
            <w:r>
              <w:rPr>
                <w:rFonts w:hint="eastAsia" w:ascii="宋体" w:hAnsi="宋体"/>
                <w:color w:val="000000"/>
                <w:sz w:val="21"/>
                <w:szCs w:val="21"/>
                <w:lang w:bidi="ar"/>
              </w:rPr>
              <w:br/>
              <w:t xml:space="preserve">砼，规格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停车场标志(单柱</w:t>
            </w:r>
            <w:r>
              <w:rPr>
                <w:rFonts w:hint="eastAsia" w:ascii="宋体" w:hAnsi="宋体"/>
                <w:color w:val="000000"/>
                <w:sz w:val="21"/>
                <w:szCs w:val="21"/>
                <w:lang w:bidi="ar"/>
              </w:rPr>
              <w:br/>
              <w:t xml:space="preserve">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 1、类型:单柱式标志；</w:t>
            </w:r>
            <w:r>
              <w:rPr>
                <w:rFonts w:hint="eastAsia" w:ascii="宋体" w:hAnsi="宋体"/>
                <w:color w:val="000000"/>
                <w:sz w:val="21"/>
                <w:szCs w:val="21"/>
                <w:lang w:bidi="ar"/>
              </w:rPr>
              <w:br/>
              <w:t xml:space="preserve"> 2、材质、规格尺寸:版面规格：600*800mm，</w:t>
            </w:r>
            <w:r>
              <w:rPr>
                <w:rFonts w:hint="eastAsia" w:ascii="宋体" w:hAnsi="宋体"/>
                <w:color w:val="000000"/>
                <w:sz w:val="21"/>
                <w:szCs w:val="21"/>
                <w:lang w:bidi="ar"/>
              </w:rPr>
              <w:br/>
              <w:t xml:space="preserve">含相关附件，钢结构材质：直径 89mm*4mm</w:t>
            </w:r>
            <w:r>
              <w:rPr>
                <w:rFonts w:hint="eastAsia" w:ascii="宋体" w:hAnsi="宋体"/>
                <w:color w:val="000000"/>
                <w:sz w:val="21"/>
                <w:szCs w:val="21"/>
                <w:lang w:bidi="ar"/>
              </w:rPr>
              <w:br/>
              <w:t xml:space="preserve"> 3、版面厚度2mm，底膜不低于Ⅲ类反光膜，</w:t>
            </w:r>
            <w:r>
              <w:rPr>
                <w:rFonts w:hint="eastAsia" w:ascii="宋体" w:hAnsi="宋体"/>
                <w:color w:val="000000"/>
                <w:sz w:val="21"/>
                <w:szCs w:val="21"/>
                <w:lang w:bidi="ar"/>
              </w:rPr>
              <w:br/>
              <w:t xml:space="preserve">文字、图案不低于Ⅳ类反光膜，基础：C30</w:t>
            </w:r>
            <w:r>
              <w:rPr>
                <w:rFonts w:hint="eastAsia" w:ascii="宋体" w:hAnsi="宋体"/>
                <w:color w:val="000000"/>
                <w:sz w:val="21"/>
                <w:szCs w:val="21"/>
                <w:lang w:bidi="ar"/>
              </w:rPr>
              <w:br/>
              <w:t xml:space="preserve">砼，规格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右行标志(单柱式)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 1、类型:单柱式标志</w:t>
            </w:r>
            <w:r>
              <w:rPr>
                <w:rFonts w:hint="eastAsia" w:ascii="宋体" w:hAnsi="宋体"/>
                <w:color w:val="000000"/>
                <w:sz w:val="21"/>
                <w:szCs w:val="21"/>
                <w:lang w:bidi="ar"/>
              </w:rPr>
              <w:br/>
              <w:t xml:space="preserve"> 2、材质、规格尺寸:版面规格：300*800mm，</w:t>
            </w:r>
            <w:r>
              <w:rPr>
                <w:rFonts w:hint="eastAsia" w:ascii="宋体" w:hAnsi="宋体"/>
                <w:color w:val="000000"/>
                <w:sz w:val="21"/>
                <w:szCs w:val="21"/>
                <w:lang w:bidi="ar"/>
              </w:rPr>
              <w:br/>
              <w:t xml:space="preserve">含相关附件，钢结构材质：30*60*2200mm</w:t>
            </w:r>
            <w:r>
              <w:rPr>
                <w:rFonts w:hint="eastAsia" w:ascii="宋体" w:hAnsi="宋体"/>
                <w:color w:val="000000"/>
                <w:sz w:val="21"/>
                <w:szCs w:val="21"/>
                <w:lang w:bidi="ar"/>
              </w:rPr>
              <w:br/>
              <w:t xml:space="preserve"> 3、版面采用 2mm 厚铝合金板，底膜不低于</w:t>
            </w:r>
            <w:r>
              <w:rPr>
                <w:rFonts w:hint="eastAsia" w:ascii="宋体" w:hAnsi="宋体"/>
                <w:color w:val="000000"/>
                <w:sz w:val="21"/>
                <w:szCs w:val="21"/>
                <w:lang w:bidi="ar"/>
              </w:rPr>
              <w:br/>
              <w:t xml:space="preserve">Ⅲ类反光膜，文字、图案不低于Ⅳ类反光膜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全透型发光标志板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LED 非定型其他标志</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半透型发光标志板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LED 非定型其他标志</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可变车道显示屏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P6 全彩可变车道显示屏，具体尺寸根据现场</w:t>
            </w:r>
            <w:r>
              <w:rPr>
                <w:rFonts w:hint="eastAsia" w:ascii="宋体" w:hAnsi="宋体"/>
                <w:color w:val="000000"/>
                <w:sz w:val="21"/>
                <w:szCs w:val="21"/>
                <w:lang w:bidi="ar"/>
              </w:rPr>
              <w:br/>
              <w:t xml:space="preserve">标志大小定制，面积在 1.5 ㎡以内</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交通微诱导屏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P10 全彩微诱导显示屏，含主机、控制、接</w:t>
            </w:r>
            <w:r>
              <w:rPr>
                <w:rFonts w:hint="eastAsia" w:ascii="宋体" w:hAnsi="宋体"/>
                <w:color w:val="000000"/>
                <w:sz w:val="21"/>
                <w:szCs w:val="21"/>
                <w:lang w:bidi="ar"/>
              </w:rPr>
              <w:br/>
              <w:t xml:space="preserve">收发送模块等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交通诱导屏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P8 全彩交通信息标志屏,全彩，含主机、控</w:t>
            </w:r>
            <w:r>
              <w:rPr>
                <w:rFonts w:hint="eastAsia" w:ascii="宋体" w:hAnsi="宋体"/>
                <w:color w:val="000000"/>
                <w:sz w:val="21"/>
                <w:szCs w:val="21"/>
                <w:lang w:bidi="ar"/>
              </w:rPr>
              <w:br/>
              <w:t xml:space="preserve">制、接收发送模块等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 YJV5*16</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 YJV3*2.5</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电源线 RVV3*1.0</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网络线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室外屏蔽超五类</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馈线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馈线 RVSP2*1</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发光地砖</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300*300 红绿黄色</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发光地砖底座</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发光地砖底座</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发光地砖专用防水</w:t>
            </w:r>
            <w:r>
              <w:rPr>
                <w:rFonts w:hint="eastAsia" w:ascii="宋体" w:hAnsi="宋体"/>
                <w:color w:val="000000"/>
                <w:sz w:val="21"/>
                <w:szCs w:val="21"/>
                <w:lang w:bidi="ar"/>
              </w:rPr>
              <w:br/>
              <w:t xml:space="preserve">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专用防水线</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发光地砖控制器</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控制器</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警示桩（钢质）</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89mm×高 1300mm×壁厚 3.5mm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警示桩（钢质）</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114mm×高 1400mm×壁厚 4.5mm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警示桩（PVC）</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80mm×750mm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警示桩（钢质）、</w:t>
            </w:r>
            <w:r>
              <w:rPr>
                <w:rFonts w:hint="eastAsia" w:ascii="宋体" w:hAnsi="宋体"/>
                <w:color w:val="000000"/>
                <w:sz w:val="21"/>
                <w:szCs w:val="21"/>
                <w:lang w:bidi="ar"/>
              </w:rPr>
              <w:br/>
              <w:t xml:space="preserve">机械钻孔</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140mm×700mm×壁厚 4.5mm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水马</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PVC 工程塑料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38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反光道钉(3M)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塑料单面</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反光道钉(3M)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塑料双面</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橡胶减速丘</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橡胶型</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锥型标</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橡胶型 70cm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101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锥型标</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橡胶型 40cm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护角</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橡胶型</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阻车器</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橡胶型</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对</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凸面反光镜</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600mm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凸面反光镜</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800mm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凸面反光镜</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直径 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太阳能双面爆闪灯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L500×W220mm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太阳能双面爆闪灯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L780×W180mm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交通隔离护栏（含</w:t>
            </w:r>
            <w:r>
              <w:rPr>
                <w:rFonts w:hint="eastAsia" w:ascii="宋体" w:hAnsi="宋体"/>
                <w:color w:val="000000"/>
                <w:sz w:val="21"/>
                <w:szCs w:val="21"/>
                <w:lang w:bidi="ar"/>
              </w:rPr>
              <w:br/>
              <w:t xml:space="preserve">贴膜）</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护栏片长 2500mm*高 800mm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交通隔离护栏渐变</w:t>
            </w:r>
            <w:r>
              <w:rPr>
                <w:rFonts w:hint="eastAsia" w:ascii="宋体" w:hAnsi="宋体"/>
                <w:color w:val="000000"/>
                <w:sz w:val="21"/>
                <w:szCs w:val="21"/>
                <w:lang w:bidi="ar"/>
              </w:rPr>
              <w:br/>
              <w:t xml:space="preserve">段（含贴膜）</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立柱含底座高度从 1050mm，渐变为 700mm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1850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绿色 机非隔离护栏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护栏片长 2500mm*高 530mm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绿色中央隔离护栏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护栏片长 2500mm*高 830mm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穿管护栏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立 柱 220*180*3.0mm ，  不 锈 钢 上 横 杆</w:t>
            </w:r>
            <w:r>
              <w:rPr>
                <w:rFonts w:hint="eastAsia" w:ascii="宋体" w:hAnsi="宋体"/>
                <w:color w:val="000000"/>
                <w:sz w:val="21"/>
                <w:szCs w:val="21"/>
                <w:lang w:bidi="ar"/>
              </w:rPr>
              <w:br/>
              <w:t xml:space="preserve">76*2*3000mm，下横杆 50*2*3000mm，水泥底</w:t>
            </w:r>
            <w:r>
              <w:rPr>
                <w:rFonts w:hint="eastAsia" w:ascii="宋体" w:hAnsi="宋体"/>
                <w:color w:val="000000"/>
                <w:sz w:val="21"/>
                <w:szCs w:val="21"/>
                <w:lang w:bidi="ar"/>
              </w:rPr>
              <w:br/>
              <w:t xml:space="preserve">座 400*400*20mm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隔离护栏端头</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定制（大号）</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隔离护栏端头</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定制（小号）</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隔离护栏安装</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隔离护栏安装</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隔离护栏拆除</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隔离护栏拆除</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隔离护栏移位安装</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隔离护栏移位安装</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彩色立体斑马线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1、材料品种：热熔彩色立体斑马线</w:t>
            </w:r>
            <w:r>
              <w:rPr>
                <w:rFonts w:hint="eastAsia" w:ascii="宋体" w:hAnsi="宋体"/>
                <w:color w:val="000000"/>
                <w:sz w:val="21"/>
                <w:szCs w:val="21"/>
                <w:lang w:bidi="ar"/>
              </w:rPr>
              <w:br/>
              <w:t xml:space="preserve">2、工艺：厚度应≥1.6mm，黄、蓝、白三色</w:t>
            </w:r>
            <w:r>
              <w:rPr>
                <w:rFonts w:hint="eastAsia" w:ascii="宋体" w:hAnsi="宋体"/>
                <w:color w:val="000000"/>
                <w:sz w:val="21"/>
                <w:szCs w:val="21"/>
                <w:lang w:bidi="ar"/>
              </w:rPr>
              <w:br/>
              <w:t xml:space="preserve">组成，宽度 60cm，应添加玻璃微珠等填充材</w:t>
            </w:r>
            <w:r>
              <w:rPr>
                <w:rFonts w:hint="eastAsia" w:ascii="宋体" w:hAnsi="宋体"/>
                <w:color w:val="000000"/>
                <w:sz w:val="21"/>
                <w:szCs w:val="21"/>
                <w:lang w:bidi="ar"/>
              </w:rPr>
              <w:br/>
              <w:t xml:space="preserve">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冷涂型防滑型标线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专用的双组分树脂胶粘剂，含专用的高温烧</w:t>
            </w:r>
            <w:r>
              <w:rPr>
                <w:rFonts w:hint="eastAsia" w:ascii="宋体" w:hAnsi="宋体"/>
                <w:color w:val="000000"/>
                <w:sz w:val="21"/>
                <w:szCs w:val="21"/>
                <w:lang w:bidi="ar"/>
              </w:rPr>
              <w:br/>
              <w:t xml:space="preserve">结彩色陶瓷颗粒</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2、材质、规格尺寸：300*800mm，铝合金板，</w:t>
            </w:r>
            <w:r>
              <w:rPr>
                <w:rFonts w:hint="eastAsia" w:ascii="宋体" w:hAnsi="宋体"/>
                <w:color w:val="000000"/>
                <w:sz w:val="21"/>
                <w:szCs w:val="21"/>
                <w:lang w:bidi="ar"/>
              </w:rPr>
              <w:br/>
              <w:t xml:space="preserve">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附着式标志牌</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1、类型：附着式标志牌</w:t>
            </w:r>
            <w:r>
              <w:rPr>
                <w:rFonts w:hint="eastAsia" w:ascii="宋体" w:hAnsi="宋体"/>
                <w:color w:val="000000"/>
                <w:sz w:val="21"/>
                <w:szCs w:val="21"/>
                <w:lang w:bidi="ar"/>
              </w:rPr>
              <w:br/>
              <w:t xml:space="preserve">2、材质、规格尺寸：800*1000mm，铝合金板，</w:t>
            </w:r>
            <w:r>
              <w:rPr>
                <w:rFonts w:hint="eastAsia" w:ascii="宋体" w:hAnsi="宋体"/>
                <w:color w:val="000000"/>
                <w:sz w:val="21"/>
                <w:szCs w:val="21"/>
                <w:lang w:bidi="ar"/>
              </w:rPr>
              <w:br/>
              <w:t xml:space="preserve">底板厚度 1.5mm</w:t>
            </w:r>
            <w:r>
              <w:rPr>
                <w:rFonts w:hint="eastAsia" w:ascii="宋体" w:hAnsi="宋体"/>
                <w:color w:val="000000"/>
                <w:sz w:val="21"/>
                <w:szCs w:val="21"/>
                <w:lang w:bidi="ar"/>
              </w:rPr>
              <w:br/>
              <w:t xml:space="preserve">3、板面反光膜等级：底膜不低于Ⅲ类反光膜，</w:t>
            </w:r>
            <w:r>
              <w:rPr>
                <w:rFonts w:hint="eastAsia" w:ascii="宋体" w:hAnsi="宋体"/>
                <w:color w:val="000000"/>
                <w:sz w:val="21"/>
                <w:szCs w:val="21"/>
                <w:lang w:bidi="ar"/>
              </w:rPr>
              <w:br/>
              <w:t xml:space="preserve">文字、图案不低于Ⅳ类反光膜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注意行人标志（单柱式）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 :版面规格：三角形边长</w:t>
            </w:r>
            <w:r>
              <w:rPr>
                <w:rFonts w:hint="eastAsia" w:ascii="宋体" w:hAnsi="宋体"/>
                <w:color w:val="000000"/>
                <w:sz w:val="21"/>
                <w:szCs w:val="21"/>
                <w:lang w:bidi="ar"/>
              </w:rPr>
              <w:br/>
              <w:t xml:space="preserve">900mm ，含相关附件 ，钢结构材质： 直径</w:t>
            </w:r>
            <w:r>
              <w:rPr>
                <w:rFonts w:hint="eastAsia" w:ascii="宋体" w:hAnsi="宋体"/>
                <w:color w:val="000000"/>
                <w:sz w:val="21"/>
                <w:szCs w:val="21"/>
                <w:lang w:bidi="ar"/>
              </w:rPr>
              <w:br/>
              <w:t xml:space="preserve">89mm*4mm</w:t>
            </w:r>
            <w:r>
              <w:rPr>
                <w:rFonts w:hint="eastAsia" w:ascii="宋体" w:hAnsi="宋体"/>
                <w:color w:val="000000"/>
                <w:sz w:val="21"/>
                <w:szCs w:val="21"/>
                <w:lang w:bidi="ar"/>
              </w:rPr>
              <w:br/>
              <w:t xml:space="preserve">3、版面厚度及反光膜按国标，基础：C30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人行横道标志（单柱式）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1、类型:单柱式标志</w:t>
            </w:r>
            <w:r>
              <w:rPr>
                <w:rFonts w:hint="eastAsia" w:ascii="宋体" w:hAnsi="宋体"/>
                <w:color w:val="000000"/>
                <w:sz w:val="21"/>
                <w:szCs w:val="21"/>
                <w:lang w:bidi="ar"/>
              </w:rPr>
              <w:br/>
              <w:t xml:space="preserve">2、材质、规格尺寸:版面规格：800*800mm ，</w:t>
            </w:r>
            <w:r>
              <w:rPr>
                <w:rFonts w:hint="eastAsia" w:ascii="宋体" w:hAnsi="宋体"/>
                <w:color w:val="000000"/>
                <w:sz w:val="21"/>
                <w:szCs w:val="21"/>
                <w:lang w:bidi="ar"/>
              </w:rPr>
              <w:br/>
              <w:t xml:space="preserve">含相关附件，钢结构材质：直径 89mm*4mm</w:t>
            </w:r>
            <w:r>
              <w:rPr>
                <w:rFonts w:hint="eastAsia" w:ascii="宋体" w:hAnsi="宋体"/>
                <w:color w:val="000000"/>
                <w:sz w:val="21"/>
                <w:szCs w:val="21"/>
                <w:lang w:bidi="ar"/>
              </w:rPr>
              <w:br/>
              <w:t xml:space="preserve">3、版面厚度及反光膜按国</w:t>
            </w:r>
            <w:r>
              <w:rPr>
                <w:rFonts w:hint="eastAsia" w:ascii="宋体" w:hAnsi="宋体"/>
                <w:color w:val="000000"/>
                <w:sz w:val="21"/>
                <w:szCs w:val="21"/>
                <w:lang w:bidi="ar"/>
              </w:rPr>
              <w:t xml:space="preserve">标，基础：C30 砼，</w:t>
            </w:r>
            <w:r>
              <w:rPr>
                <w:rFonts w:hint="eastAsia" w:ascii="宋体" w:hAnsi="宋体"/>
                <w:color w:val="000000"/>
                <w:sz w:val="21"/>
                <w:szCs w:val="21"/>
                <w:lang w:bidi="ar"/>
              </w:rPr>
              <w:br/>
              <w:t xml:space="preserve">规格 400mm*400mm*1000mm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双柱式标志拆除</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仿古式、传统式、多边形、组合式</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单柱式标志拆除</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仿古式、传统式、多边形</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标志牌拆除</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标志牌拆除</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哨兵系统一体式主</w:t>
            </w:r>
            <w:r>
              <w:rPr>
                <w:rFonts w:hint="eastAsia" w:ascii="宋体" w:hAnsi="宋体"/>
                <w:color w:val="000000"/>
                <w:sz w:val="21"/>
                <w:szCs w:val="21"/>
                <w:lang w:bidi="ar"/>
              </w:rPr>
              <w:br/>
              <w:t xml:space="preserve">路事故预防主机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钣 金 外 壳 一 体 成 型 ，  表 面 喷 塑 ，</w:t>
            </w:r>
            <w:r>
              <w:rPr>
                <w:rFonts w:hint="eastAsia" w:ascii="宋体" w:hAnsi="宋体"/>
                <w:color w:val="000000"/>
                <w:sz w:val="21"/>
                <w:szCs w:val="21"/>
                <w:lang w:bidi="ar"/>
              </w:rPr>
              <w:br/>
              <w:t xml:space="preserve">3400*380*160mm，包括视频检测器、发光面</w:t>
            </w:r>
            <w:r>
              <w:rPr>
                <w:rFonts w:hint="eastAsia" w:ascii="宋体" w:hAnsi="宋体"/>
                <w:color w:val="000000"/>
                <w:sz w:val="21"/>
                <w:szCs w:val="21"/>
                <w:lang w:bidi="ar"/>
              </w:rPr>
              <w:br/>
              <w:t xml:space="preserve">板等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哨兵系统一体式支</w:t>
            </w:r>
            <w:r>
              <w:rPr>
                <w:rFonts w:hint="eastAsia" w:ascii="宋体" w:hAnsi="宋体"/>
                <w:color w:val="000000"/>
                <w:sz w:val="21"/>
                <w:szCs w:val="21"/>
                <w:lang w:bidi="ar"/>
              </w:rPr>
              <w:br/>
              <w:t xml:space="preserve">路事故预防主机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钣 金 外 壳 一 体 成 型 ，  表 面 喷 塑 ，</w:t>
            </w:r>
            <w:r>
              <w:rPr>
                <w:rFonts w:hint="eastAsia" w:ascii="宋体" w:hAnsi="宋体"/>
                <w:color w:val="000000"/>
                <w:sz w:val="21"/>
                <w:szCs w:val="21"/>
                <w:lang w:bidi="ar"/>
              </w:rPr>
              <w:br/>
              <w:t xml:space="preserve">3400*380*160mm，包括视频检测器、发光面</w:t>
            </w:r>
            <w:r>
              <w:rPr>
                <w:rFonts w:hint="eastAsia" w:ascii="宋体" w:hAnsi="宋体"/>
                <w:color w:val="000000"/>
                <w:sz w:val="21"/>
                <w:szCs w:val="21"/>
                <w:lang w:bidi="ar"/>
              </w:rPr>
              <w:br/>
              <w:t xml:space="preserve">板等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哨兵系统斑马线事</w:t>
            </w:r>
            <w:r>
              <w:rPr>
                <w:rFonts w:hint="eastAsia" w:ascii="宋体" w:hAnsi="宋体"/>
                <w:color w:val="000000"/>
                <w:sz w:val="21"/>
                <w:szCs w:val="21"/>
                <w:lang w:bidi="ar"/>
              </w:rPr>
              <w:br/>
              <w:t xml:space="preserve">故预警主机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钣 金 外 壳 一 体 成 型 ，  表 面 喷 塑 ，</w:t>
            </w:r>
            <w:r>
              <w:rPr>
                <w:rFonts w:hint="eastAsia" w:ascii="宋体" w:hAnsi="宋体"/>
                <w:color w:val="000000"/>
                <w:sz w:val="21"/>
                <w:szCs w:val="21"/>
                <w:lang w:bidi="ar"/>
              </w:rPr>
              <w:br/>
              <w:t xml:space="preserve">3400*380*160mm，包括视频检测器、发光面</w:t>
            </w:r>
            <w:r>
              <w:rPr>
                <w:rFonts w:hint="eastAsia" w:ascii="宋体" w:hAnsi="宋体"/>
                <w:color w:val="000000"/>
                <w:sz w:val="21"/>
                <w:szCs w:val="21"/>
                <w:lang w:bidi="ar"/>
              </w:rPr>
              <w:br/>
              <w:t xml:space="preserve">板等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哨兵系统主路事故</w:t>
            </w:r>
            <w:r>
              <w:rPr>
                <w:rFonts w:hint="eastAsia" w:ascii="宋体" w:hAnsi="宋体"/>
                <w:color w:val="000000"/>
                <w:sz w:val="21"/>
                <w:szCs w:val="21"/>
                <w:lang w:bidi="ar"/>
              </w:rPr>
              <w:br/>
              <w:t xml:space="preserve">预警系统（F 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包括全透面光源发光标志三角形边长 1100mm</w:t>
            </w:r>
            <w:r>
              <w:rPr>
                <w:rFonts w:hint="eastAsia" w:ascii="宋体" w:hAnsi="宋体"/>
                <w:color w:val="000000"/>
                <w:sz w:val="21"/>
                <w:szCs w:val="21"/>
                <w:lang w:bidi="ar"/>
              </w:rPr>
              <w:br/>
              <w:t xml:space="preserve">警告标志、雷达预警 LED 屏 2000*1000*45mm、</w:t>
            </w:r>
            <w:r>
              <w:rPr>
                <w:rFonts w:hint="eastAsia" w:ascii="宋体" w:hAnsi="宋体"/>
                <w:color w:val="000000"/>
                <w:sz w:val="21"/>
                <w:szCs w:val="21"/>
                <w:lang w:bidi="ar"/>
              </w:rPr>
              <w:br/>
              <w:t xml:space="preserve">控制箱等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防撞车</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防撞作业车</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台班</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登高车</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登高车防撞作业车</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台班</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热熔型标线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1、材料品种：普通热熔标线涂料（红、橙、</w:t>
            </w:r>
            <w:r>
              <w:rPr>
                <w:rFonts w:hint="eastAsia" w:ascii="宋体" w:hAnsi="宋体"/>
                <w:color w:val="000000"/>
                <w:sz w:val="21"/>
                <w:szCs w:val="21"/>
                <w:lang w:bidi="ar"/>
              </w:rPr>
              <w:br/>
              <w:t xml:space="preserve">黑）</w:t>
            </w:r>
            <w:r>
              <w:rPr>
                <w:rFonts w:hint="eastAsia" w:ascii="宋体" w:hAnsi="宋体"/>
                <w:color w:val="000000"/>
                <w:sz w:val="21"/>
                <w:szCs w:val="21"/>
                <w:lang w:bidi="ar"/>
              </w:rPr>
              <w:br/>
              <w:t xml:space="preserve">2、工艺：厚度应≥1.6mm，颜色为红色，橙</w:t>
            </w:r>
            <w:r>
              <w:rPr>
                <w:rFonts w:hint="eastAsia" w:ascii="宋体" w:hAnsi="宋体"/>
                <w:color w:val="000000"/>
                <w:sz w:val="21"/>
                <w:szCs w:val="21"/>
                <w:lang w:bidi="ar"/>
              </w:rPr>
              <w:br/>
              <w:t xml:space="preserve">色、黑色等除白黄常规色之外的颜色，应添</w:t>
            </w:r>
            <w:r>
              <w:rPr>
                <w:rFonts w:hint="eastAsia" w:ascii="宋体" w:hAnsi="宋体"/>
                <w:color w:val="000000"/>
                <w:sz w:val="21"/>
                <w:szCs w:val="21"/>
                <w:lang w:bidi="ar"/>
              </w:rPr>
              <w:br/>
              <w:t xml:space="preserve">加玻璃微珠等填充材料</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860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太阳能充电警示灯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太 阳 能 锥 桶 式 爆 闪 警 示 灯 , 规 格 ：</w:t>
            </w:r>
            <w:r>
              <w:rPr>
                <w:rFonts w:hint="eastAsia" w:ascii="宋体" w:hAnsi="宋体"/>
                <w:color w:val="000000"/>
                <w:sz w:val="21"/>
                <w:szCs w:val="21"/>
                <w:lang w:bidi="ar"/>
              </w:rPr>
              <w:br/>
              <w:t xml:space="preserve">138*85*125mm，采用高转换率单晶硅太阳能</w:t>
            </w:r>
            <w:r>
              <w:rPr>
                <w:rFonts w:hint="eastAsia" w:ascii="宋体" w:hAnsi="宋体"/>
                <w:color w:val="000000"/>
                <w:sz w:val="21"/>
                <w:szCs w:val="21"/>
                <w:lang w:bidi="ar"/>
              </w:rPr>
              <w:br/>
              <w:t xml:space="preserve">板，实现无源供电，无需外接线缆 配备高亮</w:t>
            </w:r>
            <w:r>
              <w:rPr>
                <w:rFonts w:hint="eastAsia" w:ascii="宋体" w:hAnsi="宋体"/>
                <w:color w:val="000000"/>
                <w:sz w:val="21"/>
                <w:szCs w:val="21"/>
                <w:lang w:bidi="ar"/>
              </w:rPr>
              <w:br/>
              <w:t xml:space="preserve">度 LED 爆闪光源 + 黄底反光外壳</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不锈钢伸缩护栏</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1、无轨式高度 800mm，长度按需定制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单悬臂立杆加固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1、达到使用年限后无法更新，利旧加固</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土方开挖检测</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土方开挖检测费用</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次</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建筑垃圾处置费</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渣土消纳处置费</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8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路口智能红外语音</w:t>
            </w:r>
            <w:r>
              <w:rPr>
                <w:rFonts w:hint="eastAsia" w:ascii="宋体" w:hAnsi="宋体"/>
                <w:color w:val="000000"/>
                <w:sz w:val="21"/>
                <w:szCs w:val="21"/>
                <w:lang w:bidi="ar"/>
              </w:rPr>
              <w:br/>
              <w:t xml:space="preserve">警示柱</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不 锈 钢 外 壳 ，  两 端 半 圆 警 示 柱 ；  尺</w:t>
            </w:r>
            <w:r>
              <w:rPr>
                <w:rFonts w:hint="eastAsia" w:ascii="宋体" w:hAnsi="宋体"/>
                <w:color w:val="000000"/>
                <w:sz w:val="21"/>
                <w:szCs w:val="21"/>
                <w:lang w:bidi="ar"/>
              </w:rPr>
              <w:br/>
              <w:t xml:space="preserve">1280mm*240mm*120mm，抗腐蚀防锈。顶端两</w:t>
            </w:r>
            <w:r>
              <w:rPr>
                <w:rFonts w:hint="eastAsia" w:ascii="宋体" w:hAnsi="宋体"/>
                <w:color w:val="000000"/>
                <w:sz w:val="21"/>
                <w:szCs w:val="21"/>
                <w:lang w:bidi="ar"/>
              </w:rPr>
              <w:br/>
              <w:t xml:space="preserve">侧带面发光灯带，色同行人信号灯，夜间视</w:t>
            </w:r>
            <w:r>
              <w:rPr>
                <w:rFonts w:hint="eastAsia" w:ascii="宋体" w:hAnsi="宋体"/>
                <w:color w:val="000000"/>
                <w:sz w:val="21"/>
                <w:szCs w:val="21"/>
                <w:lang w:bidi="ar"/>
              </w:rPr>
              <w:br/>
              <w:t xml:space="preserve">距≥150 米；分 AB 两款（一组），头部分</w:t>
            </w:r>
            <w:r>
              <w:rPr>
                <w:rFonts w:hint="eastAsia" w:ascii="宋体" w:hAnsi="宋体"/>
                <w:color w:val="000000"/>
                <w:sz w:val="21"/>
                <w:szCs w:val="21"/>
                <w:lang w:bidi="ar"/>
              </w:rPr>
              <w:br/>
              <w:t xml:space="preserve">别装红外发射/接收装置，检测距≥15 米，</w:t>
            </w:r>
            <w:r>
              <w:rPr>
                <w:rFonts w:hint="eastAsia" w:ascii="宋体" w:hAnsi="宋体"/>
                <w:color w:val="000000"/>
                <w:sz w:val="21"/>
                <w:szCs w:val="21"/>
                <w:lang w:bidi="ar"/>
              </w:rPr>
              <w:br/>
              <w:t xml:space="preserve">采用红外对焦技术，功能稳定；红外部件下</w:t>
            </w:r>
            <w:r>
              <w:rPr>
                <w:rFonts w:hint="eastAsia" w:ascii="宋体" w:hAnsi="宋体"/>
                <w:color w:val="000000"/>
                <w:sz w:val="21"/>
                <w:szCs w:val="21"/>
                <w:lang w:bidi="ar"/>
              </w:rPr>
              <w:br/>
              <w:t xml:space="preserve">部设发声模块，能发警示语音，防尘防水等</w:t>
            </w:r>
            <w:r>
              <w:rPr>
                <w:rFonts w:hint="eastAsia" w:ascii="宋体" w:hAnsi="宋体"/>
                <w:color w:val="000000"/>
                <w:sz w:val="21"/>
                <w:szCs w:val="21"/>
                <w:lang w:bidi="ar"/>
              </w:rPr>
              <w:br/>
              <w:t xml:space="preserve">级不低于 IP65</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道钉</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太阳能同步道钉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8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自发光锥桶</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700mm 高、led 灯带，反光壳体</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诱导标（轮廓标）</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抽拉式轮廓标，突出 53mm，采用V 类白/荧光</w:t>
            </w:r>
            <w:r>
              <w:rPr>
                <w:rFonts w:hint="eastAsia" w:ascii="宋体" w:hAnsi="宋体"/>
                <w:color w:val="000000"/>
                <w:sz w:val="21"/>
                <w:szCs w:val="21"/>
                <w:lang w:bidi="ar"/>
              </w:rPr>
              <w:br/>
              <w:t xml:space="preserve">黄反光膜</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9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基础矮护栏（屋檐</w:t>
            </w:r>
            <w:r>
              <w:rPr>
                <w:rFonts w:hint="eastAsia" w:ascii="宋体" w:hAnsi="宋体"/>
                <w:color w:val="000000"/>
                <w:sz w:val="21"/>
                <w:szCs w:val="21"/>
                <w:lang w:bidi="ar"/>
              </w:rPr>
              <w:br/>
              <w:t xml:space="preserve">图案）</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1、立柱 80*100*2*720mm，镀锌钢材；</w:t>
            </w:r>
            <w:r>
              <w:rPr>
                <w:rFonts w:hint="eastAsia" w:ascii="宋体" w:hAnsi="宋体"/>
                <w:color w:val="000000"/>
                <w:sz w:val="21"/>
                <w:szCs w:val="21"/>
                <w:lang w:bidi="ar"/>
              </w:rPr>
              <w:br/>
              <w:t xml:space="preserve">2、上下横杆 30*60*2*2520mm，镀锌钢材；</w:t>
            </w:r>
            <w:r>
              <w:rPr>
                <w:rFonts w:hint="eastAsia" w:ascii="宋体" w:hAnsi="宋体"/>
                <w:color w:val="000000"/>
                <w:sz w:val="21"/>
                <w:szCs w:val="21"/>
                <w:lang w:bidi="ar"/>
              </w:rPr>
              <w:br/>
              <w:t xml:space="preserve">3、立挡 26 根 20*40*1.5*530mm，镀锌钢材；</w:t>
            </w:r>
            <w:r>
              <w:rPr>
                <w:rFonts w:hint="eastAsia" w:ascii="宋体" w:hAnsi="宋体"/>
                <w:color w:val="000000"/>
                <w:sz w:val="21"/>
                <w:szCs w:val="21"/>
                <w:lang w:bidi="ar"/>
              </w:rPr>
              <w:br/>
              <w:t xml:space="preserve">4、立柱与护栏片满焊后，对焊缝进行打磨除</w:t>
            </w:r>
            <w:r>
              <w:rPr>
                <w:rFonts w:hint="eastAsia" w:ascii="宋体" w:hAnsi="宋体"/>
                <w:color w:val="000000"/>
                <w:sz w:val="21"/>
                <w:szCs w:val="21"/>
                <w:lang w:bidi="ar"/>
              </w:rPr>
              <w:br/>
              <w:t xml:space="preserve">锈防腐处理，再喷塑粉，最后喷涂交通灰色</w:t>
            </w:r>
            <w:r>
              <w:rPr>
                <w:rFonts w:hint="eastAsia" w:ascii="宋体" w:hAnsi="宋体"/>
                <w:color w:val="000000"/>
                <w:sz w:val="21"/>
                <w:szCs w:val="21"/>
                <w:lang w:bidi="ar"/>
              </w:rPr>
              <w:br/>
              <w:t xml:space="preserve">氟碳漆；</w:t>
            </w:r>
            <w:r>
              <w:rPr>
                <w:rFonts w:hint="eastAsia" w:ascii="宋体" w:hAnsi="宋体"/>
                <w:color w:val="000000"/>
                <w:sz w:val="21"/>
                <w:szCs w:val="21"/>
                <w:lang w:bidi="ar"/>
              </w:rPr>
              <w:br/>
              <w:t xml:space="preserve">5、底座材质：实心高分子材质底座，重量 24</w:t>
            </w:r>
            <w:r>
              <w:rPr>
                <w:rFonts w:hint="eastAsia" w:ascii="宋体" w:hAnsi="宋体"/>
                <w:color w:val="000000"/>
                <w:sz w:val="21"/>
                <w:szCs w:val="21"/>
                <w:lang w:bidi="ar"/>
              </w:rPr>
              <w:br/>
              <w:t xml:space="preserve">±1kg</w:t>
            </w:r>
            <w:r>
              <w:rPr>
                <w:rFonts w:hint="eastAsia" w:ascii="宋体" w:hAnsi="宋体"/>
                <w:color w:val="000000"/>
                <w:sz w:val="21"/>
                <w:szCs w:val="21"/>
                <w:lang w:bidi="ar"/>
              </w:rPr>
              <w:br/>
              <w:t xml:space="preserve">6、含反光贴纸、M10 不锈钢连接螺栓等安装</w:t>
            </w:r>
            <w:r>
              <w:rPr>
                <w:rFonts w:hint="eastAsia" w:ascii="宋体" w:hAnsi="宋体"/>
                <w:color w:val="000000"/>
                <w:sz w:val="21"/>
                <w:szCs w:val="21"/>
                <w:lang w:bidi="ar"/>
              </w:rPr>
              <w:br/>
              <w:t xml:space="preserve">配件辅材</w:t>
            </w:r>
            <w:r>
              <w:rPr>
                <w:rFonts w:hint="eastAsia" w:ascii="宋体" w:hAnsi="宋体"/>
                <w:color w:val="000000"/>
                <w:sz w:val="21"/>
                <w:szCs w:val="21"/>
                <w:lang w:bidi="ar"/>
              </w:rPr>
              <w:br/>
              <w:t xml:space="preserve">7、3 厚半透明亚克力 20mm×20mm 信息二维</w:t>
            </w:r>
            <w:r>
              <w:rPr>
                <w:rFonts w:hint="eastAsia" w:ascii="宋体" w:hAnsi="宋体"/>
                <w:color w:val="000000"/>
                <w:sz w:val="21"/>
                <w:szCs w:val="21"/>
                <w:lang w:bidi="ar"/>
              </w:rPr>
              <w:br/>
              <w:t xml:space="preserve">码，由交警等主管单位确认后人工粘贴、扫</w:t>
            </w:r>
            <w:r>
              <w:rPr>
                <w:rFonts w:hint="eastAsia" w:ascii="宋体" w:hAnsi="宋体"/>
                <w:color w:val="000000"/>
                <w:sz w:val="21"/>
                <w:szCs w:val="21"/>
                <w:lang w:bidi="ar"/>
              </w:rPr>
              <w:br/>
              <w:t xml:space="preserve">码、录入信息，粘贴位置</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36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特色矮护栏（屋檐</w:t>
            </w:r>
            <w:r>
              <w:rPr>
                <w:rFonts w:hint="eastAsia" w:ascii="宋体" w:hAnsi="宋体"/>
                <w:color w:val="000000"/>
                <w:sz w:val="21"/>
                <w:szCs w:val="21"/>
                <w:lang w:bidi="ar"/>
              </w:rPr>
              <w:br/>
              <w:t xml:space="preserve">图案）</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1、立柱 80*100*2*720mm，镀锌钢材</w:t>
            </w:r>
            <w:r>
              <w:rPr>
                <w:rFonts w:hint="eastAsia" w:ascii="宋体" w:hAnsi="宋体"/>
                <w:color w:val="000000"/>
                <w:sz w:val="21"/>
                <w:szCs w:val="21"/>
                <w:lang w:bidi="ar"/>
              </w:rPr>
              <w:br/>
              <w:t xml:space="preserve">2、上下横杆 30*60*2*2520mm，镀锌钢材</w:t>
            </w:r>
            <w:r>
              <w:rPr>
                <w:rFonts w:hint="eastAsia" w:ascii="宋体" w:hAnsi="宋体"/>
                <w:color w:val="000000"/>
                <w:sz w:val="21"/>
                <w:szCs w:val="21"/>
                <w:lang w:bidi="ar"/>
              </w:rPr>
              <w:br/>
              <w:t xml:space="preserve">3、立挡 26 根 20*40*1.5*530mm，镀锌钢材</w:t>
            </w:r>
            <w:r>
              <w:rPr>
                <w:rFonts w:hint="eastAsia" w:ascii="宋体" w:hAnsi="宋体"/>
                <w:color w:val="000000"/>
                <w:sz w:val="21"/>
                <w:szCs w:val="21"/>
                <w:lang w:bidi="ar"/>
              </w:rPr>
              <w:br/>
              <w:t xml:space="preserve">4、立柱与护栏片满焊后，对焊缝进行打磨除</w:t>
            </w:r>
            <w:r>
              <w:rPr>
                <w:rFonts w:hint="eastAsia" w:ascii="宋体" w:hAnsi="宋体"/>
                <w:color w:val="000000"/>
                <w:sz w:val="21"/>
                <w:szCs w:val="21"/>
                <w:lang w:bidi="ar"/>
              </w:rPr>
              <w:br/>
              <w:t xml:space="preserve">锈防腐处理，再喷塑粉，最后喷涂交通灰色</w:t>
            </w:r>
            <w:r>
              <w:rPr>
                <w:rFonts w:hint="eastAsia" w:ascii="宋体" w:hAnsi="宋体"/>
                <w:color w:val="000000"/>
                <w:sz w:val="21"/>
                <w:szCs w:val="21"/>
                <w:lang w:bidi="ar"/>
              </w:rPr>
              <w:br/>
              <w:t xml:space="preserve">氟碳漆；</w:t>
            </w:r>
            <w:r>
              <w:rPr>
                <w:rFonts w:hint="eastAsia" w:ascii="宋体" w:hAnsi="宋体"/>
                <w:color w:val="000000"/>
                <w:sz w:val="21"/>
                <w:szCs w:val="21"/>
                <w:lang w:bidi="ar"/>
              </w:rPr>
              <w:br/>
              <w:t xml:space="preserve">5、造型材质为镀锌钢材，外喷塑粉，再喷</w:t>
            </w:r>
            <w:r>
              <w:rPr>
                <w:rFonts w:hint="eastAsia" w:ascii="宋体" w:hAnsi="宋体"/>
                <w:color w:val="000000"/>
                <w:sz w:val="21"/>
                <w:szCs w:val="21"/>
                <w:lang w:bidi="ar"/>
              </w:rPr>
              <w:br/>
              <w:t xml:space="preserve">交通灰色氟碳漆，做法为激光件折弯成矩形</w:t>
            </w:r>
            <w:r>
              <w:rPr>
                <w:rFonts w:hint="eastAsia" w:ascii="宋体" w:hAnsi="宋体"/>
                <w:color w:val="000000"/>
                <w:sz w:val="21"/>
                <w:szCs w:val="21"/>
                <w:lang w:bidi="ar"/>
              </w:rPr>
              <w:br/>
              <w:t xml:space="preserve">管，中间镂空与竖杆穿插焊接</w:t>
            </w:r>
            <w:r>
              <w:rPr>
                <w:rFonts w:hint="eastAsia" w:ascii="宋体" w:hAnsi="宋体"/>
                <w:color w:val="000000"/>
                <w:sz w:val="21"/>
                <w:szCs w:val="21"/>
                <w:lang w:bidi="ar"/>
              </w:rPr>
              <w:br/>
            </w:r>
            <w:r>
              <w:rPr>
                <w:rFonts w:hint="eastAsia" w:ascii="宋体" w:hAnsi="宋体"/>
                <w:color w:val="000000"/>
                <w:sz w:val="21"/>
                <w:szCs w:val="21"/>
                <w:lang w:bidi="ar"/>
              </w:rPr>
              <w:t xml:space="preserve">6、底座材质：实心高分子材质底座，重量 24</w:t>
            </w:r>
            <w:r>
              <w:rPr>
                <w:rFonts w:hint="eastAsia" w:ascii="宋体" w:hAnsi="宋体"/>
                <w:color w:val="000000"/>
                <w:sz w:val="21"/>
                <w:szCs w:val="21"/>
                <w:lang w:bidi="ar"/>
              </w:rPr>
              <w:br/>
              <w:t xml:space="preserve">±1kg</w:t>
            </w:r>
            <w:r>
              <w:rPr>
                <w:rFonts w:hint="eastAsia" w:ascii="宋体" w:hAnsi="宋体"/>
                <w:color w:val="000000"/>
                <w:sz w:val="21"/>
                <w:szCs w:val="21"/>
                <w:lang w:bidi="ar"/>
              </w:rPr>
              <w:br/>
              <w:t xml:space="preserve">7、含反光贴纸、M10 不锈钢连接螺栓等安装</w:t>
            </w:r>
            <w:r>
              <w:rPr>
                <w:rFonts w:hint="eastAsia" w:ascii="宋体" w:hAnsi="宋体"/>
                <w:color w:val="000000"/>
                <w:sz w:val="21"/>
                <w:szCs w:val="21"/>
                <w:lang w:bidi="ar"/>
              </w:rPr>
              <w:br/>
              <w:t xml:space="preserve">配件辅材</w:t>
            </w:r>
            <w:r>
              <w:rPr>
                <w:rFonts w:hint="eastAsia" w:ascii="宋体" w:hAnsi="宋体"/>
                <w:color w:val="000000"/>
                <w:sz w:val="21"/>
                <w:szCs w:val="21"/>
                <w:lang w:bidi="ar"/>
              </w:rPr>
              <w:br/>
              <w:t xml:space="preserve">8、3 厚半透明亚克力 20mm×20mm 信息二维</w:t>
            </w:r>
            <w:r>
              <w:rPr>
                <w:rFonts w:hint="eastAsia" w:ascii="宋体" w:hAnsi="宋体"/>
                <w:color w:val="000000"/>
                <w:sz w:val="21"/>
                <w:szCs w:val="21"/>
                <w:lang w:bidi="ar"/>
              </w:rPr>
              <w:br/>
              <w:t xml:space="preserve">码，由交警等主管单位确认后人工粘贴、扫</w:t>
            </w:r>
            <w:r>
              <w:rPr>
                <w:rFonts w:hint="eastAsia" w:ascii="宋体" w:hAnsi="宋体"/>
                <w:color w:val="000000"/>
                <w:sz w:val="21"/>
                <w:szCs w:val="21"/>
                <w:lang w:bidi="ar"/>
              </w:rPr>
              <w:br/>
              <w:t xml:space="preserve">码、录入信息，粘贴位置</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米</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9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163</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r>
            <w:r>
              <w:rPr>
                <w:rFonts w:hint="eastAsia" w:ascii="宋体" w:hAnsi="宋体"/>
                <w:color w:val="000000"/>
                <w:sz w:val="21"/>
                <w:szCs w:val="21"/>
                <w:lang w:bidi="ar"/>
              </w:rPr>
              <w:br/>
              <w:t xml:space="preserve">可移动发光标志</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1：可直接置于警务车，携带方便、安装快捷</w:t>
            </w:r>
            <w:r>
              <w:rPr>
                <w:rFonts w:hint="eastAsia" w:ascii="宋体" w:hAnsi="宋体"/>
                <w:color w:val="000000"/>
                <w:sz w:val="21"/>
                <w:szCs w:val="21"/>
                <w:lang w:bidi="ar"/>
              </w:rPr>
              <w:br/>
              <w:t xml:space="preserve">2：标志内容可根据场景更替，实现一物多用，</w:t>
            </w:r>
            <w:r>
              <w:rPr>
                <w:rFonts w:hint="eastAsia" w:ascii="宋体" w:hAnsi="宋体"/>
                <w:color w:val="000000"/>
                <w:sz w:val="21"/>
                <w:szCs w:val="21"/>
                <w:lang w:bidi="ar"/>
              </w:rPr>
              <w:br/>
              <w:t xml:space="preserve">主动发光标志可切换为警示、提示、禁令等</w:t>
            </w:r>
            <w:r>
              <w:rPr>
                <w:rFonts w:hint="eastAsia" w:ascii="宋体" w:hAnsi="宋体"/>
                <w:color w:val="000000"/>
                <w:sz w:val="21"/>
                <w:szCs w:val="21"/>
                <w:lang w:bidi="ar"/>
              </w:rPr>
              <w:br/>
              <w:t xml:space="preserve">类型；配备可折叠式字发光标志（两侧可折</w:t>
            </w:r>
            <w:r>
              <w:rPr>
                <w:rFonts w:hint="eastAsia" w:ascii="宋体" w:hAnsi="宋体"/>
                <w:color w:val="000000"/>
                <w:sz w:val="21"/>
                <w:szCs w:val="21"/>
                <w:lang w:bidi="ar"/>
              </w:rPr>
              <w:br/>
              <w:t xml:space="preserve">叠）</w:t>
            </w:r>
            <w:r>
              <w:rPr>
                <w:rFonts w:hint="eastAsia" w:ascii="宋体" w:hAnsi="宋体"/>
                <w:color w:val="000000"/>
                <w:sz w:val="21"/>
                <w:szCs w:val="21"/>
                <w:lang w:bidi="ar"/>
              </w:rPr>
              <w:br/>
              <w:t xml:space="preserve">3：爆闪灯颜色排布可选择；高频语音提示喇</w:t>
            </w:r>
            <w:r>
              <w:rPr>
                <w:rFonts w:hint="eastAsia" w:ascii="宋体" w:hAnsi="宋体"/>
                <w:color w:val="000000"/>
                <w:sz w:val="21"/>
                <w:szCs w:val="21"/>
                <w:lang w:bidi="ar"/>
              </w:rPr>
              <w:br/>
              <w:t xml:space="preserve">叭及激光镭射灯可选择性安装；嵌入高德精</w:t>
            </w:r>
            <w:r>
              <w:rPr>
                <w:rFonts w:hint="eastAsia" w:ascii="宋体" w:hAnsi="宋体"/>
                <w:color w:val="000000"/>
                <w:sz w:val="21"/>
                <w:szCs w:val="21"/>
                <w:lang w:bidi="ar"/>
              </w:rPr>
              <w:br/>
              <w:t xml:space="preserve">灵定位系统，能与后台终端建立数据链路，</w:t>
            </w:r>
            <w:r>
              <w:rPr>
                <w:rFonts w:hint="eastAsia" w:ascii="宋体" w:hAnsi="宋体"/>
                <w:color w:val="000000"/>
                <w:sz w:val="21"/>
                <w:szCs w:val="21"/>
                <w:lang w:bidi="ar"/>
              </w:rPr>
              <w:br/>
              <w:t xml:space="preserve">实时发布信息，实现 “早预报、早提防、早</w:t>
            </w:r>
            <w:r>
              <w:rPr>
                <w:rFonts w:hint="eastAsia" w:ascii="宋体" w:hAnsi="宋体"/>
                <w:color w:val="000000"/>
                <w:sz w:val="21"/>
                <w:szCs w:val="21"/>
                <w:lang w:bidi="ar"/>
              </w:rPr>
              <w:br/>
              <w:t xml:space="preserve">准备 ” 预警</w:t>
            </w:r>
            <w:r>
              <w:rPr>
                <w:rFonts w:hint="eastAsia" w:ascii="宋体" w:hAnsi="宋体"/>
                <w:color w:val="000000"/>
                <w:sz w:val="21"/>
                <w:szCs w:val="21"/>
                <w:lang w:bidi="ar"/>
              </w:rPr>
              <w:br/>
              <w:t xml:space="preserve">4：包含电动三级升降连接柱、固定箱体及储</w:t>
            </w:r>
            <w:r>
              <w:rPr>
                <w:rFonts w:hint="eastAsia" w:ascii="宋体" w:hAnsi="宋体"/>
                <w:color w:val="000000"/>
                <w:sz w:val="21"/>
                <w:szCs w:val="21"/>
                <w:lang w:bidi="ar"/>
              </w:rPr>
              <w:br/>
              <w:t xml:space="preserve">藏部件、4 个固定支撑腿；使用状态和收纳</w:t>
            </w:r>
            <w:r>
              <w:rPr>
                <w:rFonts w:hint="eastAsia" w:ascii="宋体" w:hAnsi="宋体"/>
                <w:color w:val="000000"/>
                <w:sz w:val="21"/>
                <w:szCs w:val="21"/>
                <w:lang w:bidi="ar"/>
              </w:rPr>
              <w:br/>
              <w:t xml:space="preserve">状态有对应尺寸</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r>
            <w:r>
              <w:rPr>
                <w:rFonts w:hint="eastAsia" w:ascii="宋体" w:hAnsi="宋体"/>
                <w:color w:val="000000"/>
                <w:sz w:val="21"/>
                <w:szCs w:val="21"/>
                <w:lang w:bidi="ar"/>
              </w:rPr>
              <w:br/>
              <w:t xml:space="preserve">套</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br/>
            </w:r>
            <w:r>
              <w:rPr>
                <w:rFonts w:hint="eastAsia" w:ascii="宋体" w:hAnsi="宋体"/>
                <w:color w:val="000000"/>
                <w:sz w:val="21"/>
                <w:szCs w:val="21"/>
                <w:lang w:bidi="ar"/>
              </w:rPr>
              <w:br/>
            </w:r>
            <w:r>
              <w:rPr>
                <w:rFonts w:hint="eastAsia" w:ascii="宋体" w:hAnsi="宋体"/>
                <w:color w:val="000000"/>
                <w:sz w:val="21"/>
                <w:szCs w:val="21"/>
                <w:lang w:bidi="ar"/>
              </w:rPr>
              <w:br/>
              <w:t xml:space="preserve">1</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9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可移动发光标志</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1：可直接置于警务车，携带方便、安装快捷</w:t>
            </w:r>
            <w:r>
              <w:rPr>
                <w:rFonts w:hint="eastAsia" w:ascii="宋体" w:hAnsi="宋体"/>
                <w:color w:val="000000"/>
                <w:sz w:val="21"/>
                <w:szCs w:val="21"/>
                <w:lang w:bidi="ar"/>
              </w:rPr>
              <w:br/>
              <w:t xml:space="preserve">2：标志内容可根据场景更替，主标志可切换</w:t>
            </w:r>
            <w:r>
              <w:rPr>
                <w:rFonts w:hint="eastAsia" w:ascii="宋体" w:hAnsi="宋体"/>
                <w:color w:val="000000"/>
                <w:sz w:val="21"/>
                <w:szCs w:val="21"/>
                <w:lang w:bidi="ar"/>
              </w:rPr>
              <w:br/>
              <w:t xml:space="preserve">为警示、提示、禁令等类型；辅助标志可显</w:t>
            </w:r>
            <w:r>
              <w:rPr>
                <w:rFonts w:hint="eastAsia" w:ascii="宋体" w:hAnsi="宋体"/>
                <w:color w:val="000000"/>
                <w:sz w:val="21"/>
                <w:szCs w:val="21"/>
                <w:lang w:bidi="ar"/>
              </w:rPr>
              <w:br/>
              <w:t xml:space="preserve">示文字或方向引导</w:t>
            </w:r>
            <w:r>
              <w:rPr>
                <w:rFonts w:hint="eastAsia" w:ascii="宋体" w:hAnsi="宋体"/>
                <w:color w:val="000000"/>
                <w:sz w:val="21"/>
                <w:szCs w:val="21"/>
                <w:lang w:bidi="ar"/>
              </w:rPr>
              <w:br/>
              <w:t xml:space="preserve">3：爆闪灯为红蓝双色 LED，颜色排布可选择；</w:t>
            </w:r>
            <w:r>
              <w:rPr>
                <w:rFonts w:hint="eastAsia" w:ascii="宋体" w:hAnsi="宋体"/>
                <w:color w:val="000000"/>
                <w:sz w:val="21"/>
                <w:szCs w:val="21"/>
                <w:lang w:bidi="ar"/>
              </w:rPr>
              <w:br/>
              <w:t xml:space="preserve">含高频语音提示装置、镭射激光束装置；嵌</w:t>
            </w:r>
            <w:r>
              <w:rPr>
                <w:rFonts w:hint="eastAsia" w:ascii="宋体" w:hAnsi="宋体"/>
                <w:color w:val="000000"/>
                <w:sz w:val="21"/>
                <w:szCs w:val="21"/>
                <w:lang w:bidi="ar"/>
              </w:rPr>
              <w:br/>
              <w:t xml:space="preserve">入高德精灵前端数据采集，与后台终端联动，</w:t>
            </w:r>
            <w:r>
              <w:rPr>
                <w:rFonts w:hint="eastAsia" w:ascii="宋体" w:hAnsi="宋体"/>
                <w:color w:val="000000"/>
                <w:sz w:val="21"/>
                <w:szCs w:val="21"/>
                <w:lang w:bidi="ar"/>
              </w:rPr>
              <w:br/>
              <w:t xml:space="preserve">实时发布信息，可实现 “三早 ” 预警</w:t>
            </w:r>
            <w:r>
              <w:rPr>
                <w:rFonts w:hint="eastAsia" w:ascii="宋体" w:hAnsi="宋体"/>
                <w:color w:val="000000"/>
                <w:sz w:val="21"/>
                <w:szCs w:val="21"/>
                <w:lang w:bidi="ar"/>
              </w:rPr>
              <w:br/>
              <w:t xml:space="preserve">4：每块标志配专用控制系统，标配两块锂电</w:t>
            </w:r>
            <w:r>
              <w:rPr>
                <w:rFonts w:hint="eastAsia" w:ascii="宋体" w:hAnsi="宋体"/>
                <w:color w:val="000000"/>
                <w:sz w:val="21"/>
                <w:szCs w:val="21"/>
                <w:lang w:bidi="ar"/>
              </w:rPr>
              <w:br/>
              <w:t xml:space="preserve">池（充电 10-12 小时，续航 15-20 小时）</w:t>
            </w:r>
            <w:r>
              <w:rPr>
                <w:rFonts w:hint="eastAsia" w:ascii="宋体" w:hAnsi="宋体"/>
                <w:color w:val="000000"/>
                <w:sz w:val="21"/>
                <w:szCs w:val="21"/>
                <w:lang w:bidi="ar"/>
              </w:rPr>
              <w:br/>
              <w:t xml:space="preserve">5：包含铝合金标志框架及背板、发光标志控</w:t>
            </w:r>
            <w:r>
              <w:rPr>
                <w:rFonts w:hint="eastAsia" w:ascii="宋体" w:hAnsi="宋体"/>
                <w:color w:val="000000"/>
                <w:sz w:val="21"/>
                <w:szCs w:val="21"/>
                <w:lang w:bidi="ar"/>
              </w:rPr>
              <w:br/>
              <w:t xml:space="preserve">制盒、不锈钢锂电池盒及控制开关、折叠锁</w:t>
            </w:r>
            <w:r>
              <w:rPr>
                <w:rFonts w:hint="eastAsia" w:ascii="宋体" w:hAnsi="宋体"/>
                <w:color w:val="000000"/>
                <w:sz w:val="21"/>
                <w:szCs w:val="21"/>
                <w:lang w:bidi="ar"/>
              </w:rPr>
              <w:br/>
              <w:t xml:space="preserve">扣固定装置等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24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交通信号控制机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联网型信号机，至少支持 16 路灯组接入，单</w:t>
            </w:r>
            <w:r>
              <w:rPr>
                <w:rFonts w:hint="eastAsia" w:ascii="宋体" w:hAnsi="宋体"/>
                <w:color w:val="000000"/>
                <w:sz w:val="21"/>
                <w:szCs w:val="21"/>
                <w:lang w:bidi="ar"/>
              </w:rPr>
              <w:br/>
              <w:t xml:space="preserve">台信号机由室外机柜、控制机箱、接线底板、</w:t>
            </w:r>
            <w:r>
              <w:rPr>
                <w:rFonts w:hint="eastAsia" w:ascii="宋体" w:hAnsi="宋体"/>
                <w:color w:val="000000"/>
                <w:sz w:val="21"/>
                <w:szCs w:val="21"/>
                <w:lang w:bidi="ar"/>
              </w:rPr>
              <w:br/>
              <w:t xml:space="preserve">接线侧板、手动控制机构等部分组成</w:t>
            </w:r>
            <w:r>
              <w:rPr>
                <w:rFonts w:hint="eastAsia" w:ascii="宋体" w:hAnsi="宋体"/>
                <w:color w:val="000000"/>
                <w:sz w:val="21"/>
                <w:szCs w:val="21"/>
                <w:lang w:bidi="ar"/>
              </w:rPr>
              <w:br/>
              <w:t xml:space="preserve">机柜 1 只：室外机柜，信号机的外箱体，具</w:t>
            </w:r>
            <w:r>
              <w:rPr>
                <w:rFonts w:hint="eastAsia" w:ascii="宋体" w:hAnsi="宋体"/>
                <w:color w:val="000000"/>
                <w:sz w:val="21"/>
                <w:szCs w:val="21"/>
                <w:lang w:bidi="ar"/>
              </w:rPr>
              <w:br/>
              <w:t xml:space="preserve">有良好的防雨透气性能，采用不锈钢材质并</w:t>
            </w:r>
            <w:r>
              <w:rPr>
                <w:rFonts w:hint="eastAsia" w:ascii="宋体" w:hAnsi="宋体"/>
                <w:color w:val="000000"/>
                <w:sz w:val="21"/>
                <w:szCs w:val="21"/>
                <w:lang w:bidi="ar"/>
              </w:rPr>
              <w:br/>
              <w:t xml:space="preserve">喷塑</w:t>
            </w:r>
            <w:r>
              <w:rPr>
                <w:rFonts w:hint="eastAsia" w:ascii="宋体" w:hAnsi="宋体"/>
                <w:color w:val="000000"/>
                <w:sz w:val="21"/>
                <w:szCs w:val="21"/>
                <w:lang w:bidi="ar"/>
              </w:rPr>
              <w:br/>
              <w:t xml:space="preserve">控制机主机箱 1 只：信号机的核心体，执行</w:t>
            </w:r>
            <w:r>
              <w:rPr>
                <w:rFonts w:hint="eastAsia" w:ascii="宋体" w:hAnsi="宋体"/>
                <w:color w:val="000000"/>
                <w:sz w:val="21"/>
                <w:szCs w:val="21"/>
                <w:lang w:bidi="ar"/>
              </w:rPr>
              <w:br/>
              <w:t xml:space="preserve">信号的输入、输出和运行计算。信号机控制</w:t>
            </w:r>
            <w:r>
              <w:rPr>
                <w:rFonts w:hint="eastAsia" w:ascii="宋体" w:hAnsi="宋体"/>
                <w:color w:val="000000"/>
                <w:sz w:val="21"/>
                <w:szCs w:val="21"/>
                <w:lang w:bidi="ar"/>
              </w:rPr>
              <w:br/>
              <w:t xml:space="preserve">机主机箱主要由机箱箱体、主控板、电源板、</w:t>
            </w:r>
            <w:r>
              <w:rPr>
                <w:rFonts w:hint="eastAsia" w:ascii="宋体" w:hAnsi="宋体"/>
                <w:color w:val="000000"/>
                <w:sz w:val="21"/>
                <w:szCs w:val="21"/>
                <w:lang w:bidi="ar"/>
              </w:rPr>
              <w:br/>
            </w:r>
            <w:r>
              <w:rPr>
                <w:rFonts w:hint="eastAsia" w:ascii="宋体" w:hAnsi="宋体"/>
                <w:color w:val="000000"/>
                <w:sz w:val="21"/>
                <w:szCs w:val="21"/>
                <w:lang w:bidi="ar"/>
              </w:rPr>
              <w:t xml:space="preserve">灯控板等组成，每块板采用模块化插拔式结</w:t>
            </w:r>
            <w:r>
              <w:rPr>
                <w:rFonts w:hint="eastAsia" w:ascii="宋体" w:hAnsi="宋体"/>
                <w:color w:val="000000"/>
                <w:sz w:val="21"/>
                <w:szCs w:val="21"/>
                <w:lang w:bidi="ar"/>
              </w:rPr>
              <w:br/>
              <w:t xml:space="preserve">构。机柜的防尘防水等级不低于 IP54</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信号机基础</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1、信号机混凝土基础</w:t>
            </w:r>
            <w:r>
              <w:rPr>
                <w:rFonts w:hint="eastAsia" w:ascii="宋体" w:hAnsi="宋体"/>
                <w:color w:val="000000"/>
                <w:sz w:val="21"/>
                <w:szCs w:val="21"/>
                <w:lang w:bidi="ar"/>
              </w:rPr>
              <w:br/>
              <w:t xml:space="preserve">2、含基础浇筑、土方开挖、回填、余土外运；</w:t>
            </w:r>
            <w:r>
              <w:rPr>
                <w:rFonts w:hint="eastAsia" w:ascii="宋体" w:hAnsi="宋体"/>
                <w:color w:val="000000"/>
                <w:sz w:val="21"/>
                <w:szCs w:val="21"/>
                <w:lang w:bidi="ar"/>
              </w:rPr>
              <w:br/>
              <w:t xml:space="preserve">预埋件、槽钢、接地及其调试等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手持遥控器及接收机</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1、名称：手持遥控器及接收机</w:t>
            </w:r>
            <w:r>
              <w:rPr>
                <w:rFonts w:hint="eastAsia" w:ascii="宋体" w:hAnsi="宋体"/>
                <w:color w:val="000000"/>
                <w:sz w:val="21"/>
                <w:szCs w:val="21"/>
                <w:lang w:bidi="ar"/>
              </w:rPr>
              <w:br/>
              <w:t xml:space="preserve">2、规格：含手持遥控器及接收机，无缝兼容</w:t>
            </w:r>
            <w:r>
              <w:rPr>
                <w:rFonts w:hint="eastAsia" w:ascii="宋体" w:hAnsi="宋体"/>
                <w:color w:val="000000"/>
                <w:sz w:val="21"/>
                <w:szCs w:val="21"/>
                <w:lang w:bidi="ar"/>
              </w:rPr>
              <w:br/>
              <w:t xml:space="preserve">信号控制系统，防护级别不低于 IP65</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设备箱</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1、类型：设备箱</w:t>
            </w:r>
            <w:r>
              <w:rPr>
                <w:rFonts w:hint="eastAsia" w:ascii="宋体" w:hAnsi="宋体"/>
                <w:color w:val="000000"/>
                <w:sz w:val="21"/>
                <w:szCs w:val="21"/>
                <w:lang w:bidi="ar"/>
              </w:rPr>
              <w:br/>
              <w:t xml:space="preserve">2、材质、规格尺寸：700*1540*350mm,箱体</w:t>
            </w:r>
            <w:r>
              <w:rPr>
                <w:rFonts w:hint="eastAsia" w:ascii="宋体" w:hAnsi="宋体"/>
                <w:color w:val="000000"/>
                <w:sz w:val="21"/>
                <w:szCs w:val="21"/>
                <w:lang w:bidi="ar"/>
              </w:rPr>
              <w:br/>
              <w:t xml:space="preserve">材料为不锈钢，厚度 1.5mm，含电源、接线排</w:t>
            </w:r>
            <w:r>
              <w:rPr>
                <w:rFonts w:hint="eastAsia" w:ascii="宋体" w:hAnsi="宋体"/>
                <w:color w:val="000000"/>
                <w:sz w:val="21"/>
                <w:szCs w:val="21"/>
                <w:lang w:bidi="ar"/>
              </w:rPr>
              <w:br/>
              <w:t xml:space="preserve">及电器原件、电源避雷器等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设备箱基础</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1、设备箱混凝土基础</w:t>
            </w:r>
            <w:r>
              <w:rPr>
                <w:rFonts w:hint="eastAsia" w:ascii="宋体" w:hAnsi="宋体"/>
                <w:color w:val="000000"/>
                <w:sz w:val="21"/>
                <w:szCs w:val="21"/>
                <w:lang w:bidi="ar"/>
              </w:rPr>
              <w:br/>
              <w:t xml:space="preserve">2、含基础浇筑、土方开挖、回填、余土外运；</w:t>
            </w:r>
            <w:r>
              <w:rPr>
                <w:rFonts w:hint="eastAsia" w:ascii="宋体" w:hAnsi="宋体"/>
                <w:color w:val="000000"/>
                <w:sz w:val="21"/>
                <w:szCs w:val="21"/>
                <w:lang w:bidi="ar"/>
              </w:rPr>
              <w:br/>
              <w:t xml:space="preserve">预埋件、槽钢、接地及其调试等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配电箱</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1、名称：配电箱（对申请供电的路口配置独</w:t>
            </w:r>
            <w:r>
              <w:rPr>
                <w:rFonts w:hint="eastAsia" w:ascii="宋体" w:hAnsi="宋体"/>
                <w:color w:val="000000"/>
                <w:sz w:val="21"/>
                <w:szCs w:val="21"/>
                <w:lang w:bidi="ar"/>
              </w:rPr>
              <w:br/>
              <w:t xml:space="preserve">立的电源配电箱，对路口设备分回路控制）</w:t>
            </w:r>
            <w:r>
              <w:rPr>
                <w:rFonts w:hint="eastAsia" w:ascii="宋体" w:hAnsi="宋体"/>
                <w:color w:val="000000"/>
                <w:sz w:val="21"/>
                <w:szCs w:val="21"/>
                <w:lang w:bidi="ar"/>
              </w:rPr>
              <w:br/>
              <w:t xml:space="preserve">2、规格：700*1540*350mm,箱体材料为不锈</w:t>
            </w:r>
            <w:r>
              <w:rPr>
                <w:rFonts w:hint="eastAsia" w:ascii="宋体" w:hAnsi="宋体"/>
                <w:color w:val="000000"/>
                <w:sz w:val="21"/>
                <w:szCs w:val="21"/>
                <w:lang w:bidi="ar"/>
              </w:rPr>
              <w:br/>
              <w:t xml:space="preserve">钢，厚度 1.5mm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配电箱基础</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1、配电箱混凝土基础</w:t>
            </w:r>
            <w:r>
              <w:rPr>
                <w:rFonts w:hint="eastAsia" w:ascii="宋体" w:hAnsi="宋体"/>
                <w:color w:val="000000"/>
                <w:sz w:val="21"/>
                <w:szCs w:val="21"/>
                <w:lang w:bidi="ar"/>
              </w:rPr>
              <w:br/>
              <w:t xml:space="preserve">2、含基础浇筑、土方开挖、回填、余土外运；</w:t>
            </w:r>
            <w:r>
              <w:rPr>
                <w:rFonts w:hint="eastAsia" w:ascii="宋体" w:hAnsi="宋体"/>
                <w:color w:val="000000"/>
                <w:sz w:val="21"/>
                <w:szCs w:val="21"/>
                <w:lang w:bidi="ar"/>
              </w:rPr>
              <w:br/>
            </w:r>
            <w:r>
              <w:rPr>
                <w:rFonts w:hint="eastAsia" w:ascii="宋体" w:hAnsi="宋体"/>
                <w:color w:val="000000"/>
                <w:sz w:val="21"/>
                <w:szCs w:val="21"/>
                <w:lang w:bidi="ar"/>
              </w:rPr>
              <w:t xml:space="preserve">预埋件、槽钢、接地及其调试等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工业交换机（千兆）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工业级，网管型，至少一个千兆光口，四个</w:t>
            </w:r>
            <w:r>
              <w:rPr>
                <w:rFonts w:hint="eastAsia" w:ascii="宋体" w:hAnsi="宋体"/>
                <w:color w:val="000000"/>
                <w:sz w:val="21"/>
                <w:szCs w:val="21"/>
                <w:lang w:bidi="ar"/>
              </w:rPr>
              <w:br/>
              <w:t xml:space="preserve">百兆电口，含 2 个 1KM 单模光模块、电源等</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跳线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1、名称：网线跳线</w:t>
            </w:r>
            <w:r>
              <w:rPr>
                <w:rFonts w:hint="eastAsia" w:ascii="宋体" w:hAnsi="宋体"/>
                <w:color w:val="000000"/>
                <w:sz w:val="21"/>
                <w:szCs w:val="21"/>
                <w:lang w:bidi="ar"/>
              </w:rPr>
              <w:br/>
              <w:t xml:space="preserve">2、规格：超五类 RJ45 跳线 2m</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条</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174</w:t>
            </w:r>
            <w:r/>
          </w:p>
        </w:tc>
        <w:tc>
          <w:tcPr>
            <w:shd w:val="clear" w:color="auto" w:fill="auto"/>
            <w:tcW w:w="113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控制电缆</w:t>
            </w:r>
            <w:r/>
          </w:p>
        </w:tc>
        <w:tc>
          <w:tcPr>
            <w:shd w:val="clear" w:color="auto" w:fill="auto"/>
            <w:tcW w:w="2693"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1、型号：KVVR-450/750-20*1.0mm</w:t>
            </w:r>
            <w:r>
              <w:rPr>
                <w:rFonts w:hint="eastAsia" w:ascii="宋体" w:hAnsi="宋体"/>
                <w:color w:val="000000"/>
                <w:sz w:val="21"/>
                <w:szCs w:val="21"/>
                <w:lang w:bidi="ar"/>
              </w:rPr>
              <w:br/>
              <w:t xml:space="preserve">2、敷设方式、部位：穿管敷设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 </w:t>
            </w:r>
            <w:r/>
          </w:p>
        </w:tc>
        <w:tc>
          <w:tcPr>
            <w:shd w:val="clear" w:color="auto" w:fill="auto"/>
            <w:tcW w:w="993"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控制电缆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1、型号：KVVR-450/750-10*1.0mm</w:t>
            </w:r>
            <w:r>
              <w:rPr>
                <w:rFonts w:hint="eastAsia" w:ascii="宋体" w:hAnsi="宋体"/>
                <w:color w:val="000000"/>
                <w:sz w:val="21"/>
                <w:szCs w:val="21"/>
                <w:lang w:bidi="ar"/>
              </w:rPr>
              <w:br/>
              <w:t xml:space="preserve">2、敷设方式、部位：穿管敷设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控制电缆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1、型号：KVVR-450/750-5*1.0mm</w:t>
            </w:r>
            <w:r>
              <w:rPr>
                <w:rFonts w:hint="eastAsia" w:ascii="宋体" w:hAnsi="宋体"/>
                <w:color w:val="000000"/>
                <w:sz w:val="21"/>
                <w:szCs w:val="21"/>
                <w:lang w:bidi="ar"/>
              </w:rPr>
              <w:br/>
              <w:t xml:space="preserve">2、敷设方式、部位：穿管敷设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控制电缆</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1、型号：KVVR-450/750-4*1.0mm</w:t>
            </w:r>
            <w:r>
              <w:rPr>
                <w:rFonts w:hint="eastAsia" w:ascii="宋体" w:hAnsi="宋体"/>
                <w:color w:val="000000"/>
                <w:sz w:val="21"/>
                <w:szCs w:val="21"/>
                <w:lang w:bidi="ar"/>
              </w:rPr>
              <w:br/>
              <w:t xml:space="preserve">2、敷设方式、部位：穿管敷设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预埋钢管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1、名称：预埋钢管</w:t>
            </w:r>
            <w:r>
              <w:rPr>
                <w:rFonts w:hint="eastAsia" w:ascii="宋体" w:hAnsi="宋体"/>
                <w:color w:val="000000"/>
                <w:sz w:val="21"/>
                <w:szCs w:val="21"/>
                <w:lang w:bidi="ar"/>
              </w:rPr>
              <w:br/>
              <w:t xml:space="preserve">2、规格：DN100，壁厚 3.5mm，含内衬、管接</w:t>
            </w:r>
            <w:r>
              <w:rPr>
                <w:rFonts w:hint="eastAsia" w:ascii="宋体" w:hAnsi="宋体"/>
                <w:color w:val="000000"/>
                <w:sz w:val="21"/>
                <w:szCs w:val="21"/>
                <w:lang w:bidi="ar"/>
              </w:rPr>
              <w:br/>
              <w:t xml:space="preserve">件</w:t>
            </w:r>
            <w:r>
              <w:rPr>
                <w:rFonts w:hint="eastAsia" w:ascii="宋体" w:hAnsi="宋体"/>
                <w:color w:val="000000"/>
                <w:sz w:val="21"/>
                <w:szCs w:val="21"/>
                <w:lang w:bidi="ar"/>
              </w:rPr>
              <w:br/>
              <w:t xml:space="preserve">3、材质：无缝镀锌钢管</w:t>
            </w:r>
            <w:r>
              <w:rPr>
                <w:rFonts w:hint="eastAsia" w:ascii="宋体" w:hAnsi="宋体"/>
                <w:color w:val="000000"/>
                <w:sz w:val="21"/>
                <w:szCs w:val="21"/>
                <w:lang w:bidi="ar"/>
              </w:rPr>
              <w:br/>
              <w:t xml:space="preserve">4、敷设方式：埋地</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电缆保护管</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1、名称：电缆保护管</w:t>
            </w:r>
            <w:r>
              <w:rPr>
                <w:rFonts w:hint="eastAsia" w:ascii="宋体" w:hAnsi="宋体"/>
                <w:color w:val="000000"/>
                <w:sz w:val="21"/>
                <w:szCs w:val="21"/>
                <w:lang w:bidi="ar"/>
              </w:rPr>
              <w:br/>
              <w:t xml:space="preserve">2、规格：HDPE50</w:t>
            </w:r>
            <w:r>
              <w:rPr>
                <w:rFonts w:hint="eastAsia" w:ascii="宋体" w:hAnsi="宋体"/>
                <w:color w:val="000000"/>
                <w:sz w:val="21"/>
                <w:szCs w:val="21"/>
                <w:lang w:bidi="ar"/>
              </w:rPr>
              <w:br/>
              <w:t xml:space="preserve">3、敷设方式：埋地</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人（手）孔砌筑</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1、名称：手孔井（砖砌）</w:t>
            </w:r>
            <w:r>
              <w:rPr>
                <w:rFonts w:hint="eastAsia" w:ascii="宋体" w:hAnsi="宋体"/>
                <w:color w:val="000000"/>
                <w:sz w:val="21"/>
                <w:szCs w:val="21"/>
                <w:lang w:bidi="ar"/>
              </w:rPr>
              <w:br/>
              <w:t xml:space="preserve">2、规格：500mm*500mm*800mm（内径），含</w:t>
            </w:r>
            <w:r>
              <w:rPr>
                <w:rFonts w:hint="eastAsia" w:ascii="宋体" w:hAnsi="宋体"/>
                <w:color w:val="000000"/>
                <w:sz w:val="21"/>
                <w:szCs w:val="21"/>
                <w:lang w:bidi="ar"/>
              </w:rPr>
              <w:br/>
              <w:t xml:space="preserve">B125 级 600mm*600mm 钢纤维砼井盖</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个</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网线</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1、名称：网线</w:t>
            </w:r>
            <w:r>
              <w:rPr>
                <w:rFonts w:hint="eastAsia" w:ascii="宋体" w:hAnsi="宋体"/>
                <w:color w:val="000000"/>
                <w:sz w:val="21"/>
                <w:szCs w:val="21"/>
                <w:lang w:bidi="ar"/>
              </w:rPr>
              <w:br/>
              <w:t xml:space="preserve">2、规格：室外超五类（室外铠装网线）</w:t>
            </w:r>
            <w:r>
              <w:rPr>
                <w:rFonts w:hint="eastAsia" w:ascii="宋体" w:hAnsi="宋体"/>
                <w:color w:val="000000"/>
                <w:sz w:val="21"/>
                <w:szCs w:val="21"/>
                <w:lang w:bidi="ar"/>
              </w:rPr>
              <w:br/>
              <w:t xml:space="preserve">3、敷设方式：穿管敷设</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m</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机动车信号灯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1、名称：机动车信号灯</w:t>
            </w:r>
            <w:r>
              <w:rPr>
                <w:rFonts w:hint="eastAsia" w:ascii="宋体" w:hAnsi="宋体"/>
                <w:color w:val="000000"/>
                <w:sz w:val="21"/>
                <w:szCs w:val="21"/>
                <w:lang w:bidi="ar"/>
              </w:rPr>
              <w:br/>
              <w:t xml:space="preserve">2、型号、规格：JD400-3，直径 400mm 规格，</w:t>
            </w:r>
            <w:r>
              <w:rPr>
                <w:rFonts w:hint="eastAsia" w:ascii="宋体" w:hAnsi="宋体"/>
                <w:color w:val="000000"/>
                <w:sz w:val="21"/>
                <w:szCs w:val="21"/>
                <w:lang w:bidi="ar"/>
              </w:rPr>
              <w:br/>
              <w:t xml:space="preserve">LED 光 源 ，  无 图 案 灯 盘 ，  圆 形 ，  符 合</w:t>
            </w:r>
            <w:r>
              <w:rPr>
                <w:rFonts w:hint="eastAsia" w:ascii="宋体" w:hAnsi="宋体"/>
                <w:color w:val="000000"/>
                <w:sz w:val="21"/>
                <w:szCs w:val="21"/>
                <w:lang w:bidi="ar"/>
              </w:rPr>
              <w:br/>
              <w:t xml:space="preserve">GB14887-2023 规定 。黄灯盘内嵌红绿双色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左转方向指示信号灯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1、名称：左转方向指示信号灯</w:t>
            </w:r>
            <w:r>
              <w:rPr>
                <w:rFonts w:hint="eastAsia" w:ascii="宋体" w:hAnsi="宋体"/>
                <w:color w:val="000000"/>
                <w:sz w:val="21"/>
                <w:szCs w:val="21"/>
                <w:lang w:bidi="ar"/>
              </w:rPr>
              <w:br/>
              <w:t xml:space="preserve">2、型号、规格：FX400-3，直径 400mm 规格，</w:t>
            </w:r>
            <w:r>
              <w:rPr>
                <w:rFonts w:hint="eastAsia" w:ascii="宋体" w:hAnsi="宋体"/>
                <w:color w:val="000000"/>
                <w:sz w:val="21"/>
                <w:szCs w:val="21"/>
                <w:lang w:bidi="ar"/>
              </w:rPr>
              <w:br/>
              <w:t xml:space="preserve">LED 光源，有图案灯盘，左转箭头形图案，符</w:t>
            </w:r>
            <w:r>
              <w:rPr>
                <w:rFonts w:hint="eastAsia" w:ascii="宋体" w:hAnsi="宋体"/>
                <w:color w:val="000000"/>
                <w:sz w:val="21"/>
                <w:szCs w:val="21"/>
                <w:lang w:bidi="ar"/>
              </w:rPr>
              <w:br/>
              <w:t xml:space="preserve">合 GB14887-2023 规定。黄灯盘内嵌红绿双色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184</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右转方向指示信号灯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1、名称：右转方向指示信号灯</w:t>
            </w:r>
            <w:r>
              <w:rPr>
                <w:rFonts w:hint="eastAsia" w:ascii="宋体" w:hAnsi="宋体"/>
                <w:color w:val="000000"/>
                <w:sz w:val="21"/>
                <w:szCs w:val="21"/>
                <w:lang w:bidi="ar"/>
              </w:rPr>
              <w:br/>
              <w:t xml:space="preserve">2、型号、规格：FX400-3，直径 400mm 规格，</w:t>
            </w:r>
            <w:r>
              <w:rPr>
                <w:rFonts w:hint="eastAsia" w:ascii="宋体" w:hAnsi="宋体"/>
                <w:color w:val="000000"/>
                <w:sz w:val="21"/>
                <w:szCs w:val="21"/>
                <w:lang w:bidi="ar"/>
              </w:rPr>
              <w:br/>
              <w:t xml:space="preserve">LED 光源，有图案灯盘，右转箭头形图案，符</w:t>
            </w:r>
            <w:r>
              <w:rPr>
                <w:rFonts w:hint="eastAsia" w:ascii="宋体" w:hAnsi="宋体"/>
                <w:color w:val="000000"/>
                <w:sz w:val="21"/>
                <w:szCs w:val="21"/>
                <w:lang w:bidi="ar"/>
              </w:rPr>
              <w:br/>
              <w:t xml:space="preserve">合 GB14887-2023 规定。黄灯盘内嵌红绿双色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185</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掉头信号灯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1、名称：掉头信号灯</w:t>
            </w:r>
            <w:r>
              <w:rPr>
                <w:rFonts w:hint="eastAsia" w:ascii="宋体" w:hAnsi="宋体"/>
                <w:color w:val="000000"/>
                <w:sz w:val="21"/>
                <w:szCs w:val="21"/>
                <w:lang w:bidi="ar"/>
              </w:rPr>
              <w:br/>
              <w:t xml:space="preserve">2、型号：规格：DT400-3，直径 400mm 规格，</w:t>
            </w:r>
            <w:r>
              <w:rPr>
                <w:rFonts w:hint="eastAsia" w:ascii="宋体" w:hAnsi="宋体"/>
                <w:color w:val="000000"/>
                <w:sz w:val="21"/>
                <w:szCs w:val="21"/>
                <w:lang w:bidi="ar"/>
              </w:rPr>
              <w:br/>
              <w:t xml:space="preserve">LED 光源，有图案灯盘，掉头指示图案，符合</w:t>
            </w:r>
            <w:r>
              <w:rPr>
                <w:rFonts w:hint="eastAsia" w:ascii="宋体" w:hAnsi="宋体"/>
                <w:color w:val="000000"/>
                <w:sz w:val="21"/>
                <w:szCs w:val="21"/>
                <w:lang w:bidi="ar"/>
              </w:rPr>
              <w:br/>
              <w:t xml:space="preserve">GB14887-2023 规定 。黄灯盘内嵌红绿双色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186</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机动车信号灯（30</w:t>
            </w:r>
            <w:r>
              <w:rPr>
                <w:rFonts w:hint="eastAsia" w:ascii="宋体" w:hAnsi="宋体"/>
                <w:color w:val="000000"/>
                <w:sz w:val="21"/>
                <w:szCs w:val="21"/>
                <w:lang w:bidi="ar"/>
              </w:rPr>
              <w:br/>
              <w:t xml:space="preserve">0mm）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1、名称：机动车信号灯（300mm）</w:t>
            </w:r>
            <w:r>
              <w:rPr>
                <w:rFonts w:hint="eastAsia" w:ascii="宋体" w:hAnsi="宋体"/>
                <w:color w:val="000000"/>
                <w:sz w:val="21"/>
                <w:szCs w:val="21"/>
                <w:lang w:bidi="ar"/>
              </w:rPr>
              <w:br/>
              <w:t xml:space="preserve">2、型号、规格：JD300-3，</w:t>
            </w:r>
            <w:r>
              <w:rPr>
                <w:rFonts w:hint="eastAsia" w:ascii="宋体" w:hAnsi="宋体"/>
                <w:color w:val="000000"/>
                <w:sz w:val="21"/>
                <w:szCs w:val="21"/>
                <w:lang w:bidi="ar"/>
              </w:rPr>
              <w:t xml:space="preserve">直径 300mm 规格，</w:t>
            </w:r>
            <w:r>
              <w:rPr>
                <w:rFonts w:hint="eastAsia" w:ascii="宋体" w:hAnsi="宋体"/>
                <w:color w:val="000000"/>
                <w:sz w:val="21"/>
                <w:szCs w:val="21"/>
                <w:lang w:bidi="ar"/>
              </w:rPr>
              <w:br/>
              <w:t xml:space="preserve">LED 光源，无图案灯盘，圆形，符合 GB14887</w:t>
            </w:r>
            <w:r>
              <w:rPr>
                <w:rFonts w:hint="eastAsia" w:ascii="宋体" w:hAnsi="宋体"/>
                <w:color w:val="000000"/>
                <w:sz w:val="21"/>
                <w:szCs w:val="21"/>
                <w:lang w:bidi="ar"/>
              </w:rPr>
              <w:br/>
              <w:t xml:space="preserve">规定。黄灯盘内嵌红绿双色“ 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187</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左转方向指示信号</w:t>
            </w:r>
            <w:r>
              <w:rPr>
                <w:rFonts w:hint="eastAsia" w:ascii="宋体" w:hAnsi="宋体"/>
                <w:color w:val="000000"/>
                <w:sz w:val="21"/>
                <w:szCs w:val="21"/>
                <w:lang w:bidi="ar"/>
              </w:rPr>
              <w:br/>
              <w:t xml:space="preserve">灯（300mm)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1、名称：左转方向指示信号灯（300mm）</w:t>
            </w:r>
            <w:r>
              <w:rPr>
                <w:rFonts w:hint="eastAsia" w:ascii="宋体" w:hAnsi="宋体"/>
                <w:color w:val="000000"/>
                <w:sz w:val="21"/>
                <w:szCs w:val="21"/>
                <w:lang w:bidi="ar"/>
              </w:rPr>
              <w:br/>
              <w:t xml:space="preserve">2、型号、规格：FX300-3，直径 300mm 规格，</w:t>
            </w:r>
            <w:r>
              <w:rPr>
                <w:rFonts w:hint="eastAsia" w:ascii="宋体" w:hAnsi="宋体"/>
                <w:color w:val="000000"/>
                <w:sz w:val="21"/>
                <w:szCs w:val="21"/>
                <w:lang w:bidi="ar"/>
              </w:rPr>
              <w:br/>
              <w:t xml:space="preserve">LED 光源，有图案灯盘，左转箭头形图案，符</w:t>
            </w:r>
            <w:r>
              <w:rPr>
                <w:rFonts w:hint="eastAsia" w:ascii="宋体" w:hAnsi="宋体"/>
                <w:color w:val="000000"/>
                <w:sz w:val="21"/>
                <w:szCs w:val="21"/>
                <w:lang w:bidi="ar"/>
              </w:rPr>
              <w:br/>
              <w:t xml:space="preserve">合 GB14887-2023 规定。黄灯盘内嵌红绿双色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188</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右转方向指示信号</w:t>
            </w:r>
            <w:r>
              <w:rPr>
                <w:rFonts w:hint="eastAsia" w:ascii="宋体" w:hAnsi="宋体"/>
                <w:color w:val="000000"/>
                <w:sz w:val="21"/>
                <w:szCs w:val="21"/>
                <w:lang w:bidi="ar"/>
              </w:rPr>
              <w:br/>
              <w:t xml:space="preserve">灯 (300mm)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1、名称：右转方向指示信号灯（300mm）</w:t>
            </w:r>
            <w:r>
              <w:rPr>
                <w:rFonts w:hint="eastAsia" w:ascii="宋体" w:hAnsi="宋体"/>
                <w:color w:val="000000"/>
                <w:sz w:val="21"/>
                <w:szCs w:val="21"/>
                <w:lang w:bidi="ar"/>
              </w:rPr>
              <w:br/>
              <w:t xml:space="preserve">2、型号、规格：FX300-3，直径 300mm 规格，</w:t>
            </w:r>
            <w:r>
              <w:rPr>
                <w:rFonts w:hint="eastAsia" w:ascii="宋体" w:hAnsi="宋体"/>
                <w:color w:val="000000"/>
                <w:sz w:val="21"/>
                <w:szCs w:val="21"/>
                <w:lang w:bidi="ar"/>
              </w:rPr>
              <w:br/>
              <w:t xml:space="preserve">LED 光源，有图案灯盘，右转箭头形图案，符</w:t>
            </w:r>
            <w:r>
              <w:rPr>
                <w:rFonts w:hint="eastAsia" w:ascii="宋体" w:hAnsi="宋体"/>
                <w:color w:val="000000"/>
                <w:sz w:val="21"/>
                <w:szCs w:val="21"/>
                <w:lang w:bidi="ar"/>
              </w:rPr>
              <w:br/>
              <w:t xml:space="preserve">合 GB14887-2023 规定。黄灯盘内嵌红绿双色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125"/>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189</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掉头信号灯(300mm)</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1、名称：掉头信号灯（300mm）</w:t>
            </w:r>
            <w:r>
              <w:rPr>
                <w:rFonts w:hint="eastAsia" w:ascii="宋体" w:hAnsi="宋体"/>
                <w:color w:val="000000"/>
                <w:sz w:val="21"/>
                <w:szCs w:val="21"/>
                <w:lang w:bidi="ar"/>
              </w:rPr>
              <w:br/>
              <w:t xml:space="preserve">2、型号：规格：DT300-3，直径 300mm 规格，</w:t>
            </w:r>
            <w:r>
              <w:rPr>
                <w:rFonts w:hint="eastAsia" w:ascii="宋体" w:hAnsi="宋体"/>
                <w:color w:val="000000"/>
                <w:sz w:val="21"/>
                <w:szCs w:val="21"/>
                <w:lang w:bidi="ar"/>
              </w:rPr>
              <w:br/>
              <w:t xml:space="preserve">LED 光源，有图案灯盘，掉头指示图案，符合</w:t>
            </w:r>
            <w:r>
              <w:rPr>
                <w:rFonts w:hint="eastAsia" w:ascii="宋体" w:hAnsi="宋体"/>
                <w:color w:val="000000"/>
                <w:sz w:val="21"/>
                <w:szCs w:val="21"/>
                <w:lang w:bidi="ar"/>
              </w:rPr>
              <w:br/>
              <w:t xml:space="preserve">GB14887-2023 规定 。黄灯盘内嵌红绿双色</w:t>
            </w:r>
            <w:r>
              <w:rPr>
                <w:rFonts w:hint="eastAsia" w:ascii="宋体" w:hAnsi="宋体"/>
                <w:color w:val="000000"/>
                <w:sz w:val="21"/>
                <w:szCs w:val="21"/>
                <w:lang w:bidi="ar"/>
              </w:rPr>
              <w:br/>
              <w:t xml:space="preserve">“18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190</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非机动车信号灯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1、名称：非机动车信号灯</w:t>
            </w:r>
            <w:r>
              <w:rPr>
                <w:rFonts w:hint="eastAsia" w:ascii="宋体" w:hAnsi="宋体"/>
                <w:color w:val="000000"/>
                <w:sz w:val="21"/>
                <w:szCs w:val="21"/>
                <w:lang w:bidi="ar"/>
              </w:rPr>
              <w:br/>
              <w:t xml:space="preserve">2、型号、规格：FJ300-3，直径 300mm 规格，</w:t>
            </w:r>
            <w:r>
              <w:rPr>
                <w:rFonts w:hint="eastAsia" w:ascii="宋体" w:hAnsi="宋体"/>
                <w:color w:val="000000"/>
                <w:sz w:val="21"/>
                <w:szCs w:val="21"/>
                <w:lang w:bidi="ar"/>
              </w:rPr>
              <w:br/>
              <w:t xml:space="preserve">LED 光源，有图案灯盘，非机动车信号图案，</w:t>
            </w:r>
            <w:r>
              <w:rPr>
                <w:rFonts w:hint="eastAsia" w:ascii="宋体" w:hAnsi="宋体"/>
                <w:color w:val="000000"/>
                <w:sz w:val="21"/>
                <w:szCs w:val="21"/>
                <w:lang w:bidi="ar"/>
              </w:rPr>
              <w:br/>
              <w:t xml:space="preserve">符合 GB14887-2023 规定</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191</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左转非机动车信号灯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1、名称：左转非机动车信号灯</w:t>
            </w:r>
            <w:r>
              <w:rPr>
                <w:rFonts w:hint="eastAsia" w:ascii="宋体" w:hAnsi="宋体"/>
                <w:color w:val="000000"/>
                <w:sz w:val="21"/>
                <w:szCs w:val="21"/>
                <w:lang w:bidi="ar"/>
              </w:rPr>
              <w:br/>
              <w:t xml:space="preserve">2、型号、规格：FJ/Z300-</w:t>
            </w:r>
            <w:r>
              <w:rPr>
                <w:rFonts w:hint="eastAsia" w:ascii="宋体" w:hAnsi="宋体"/>
                <w:color w:val="000000"/>
                <w:sz w:val="21"/>
                <w:szCs w:val="21"/>
                <w:lang w:bidi="ar"/>
              </w:rPr>
              <w:t xml:space="preserve">3，直径 300mm 规</w:t>
            </w:r>
            <w:r>
              <w:rPr>
                <w:rFonts w:hint="eastAsia" w:ascii="宋体" w:hAnsi="宋体"/>
                <w:color w:val="000000"/>
                <w:sz w:val="21"/>
                <w:szCs w:val="21"/>
                <w:lang w:bidi="ar"/>
              </w:rPr>
              <w:br/>
              <w:t xml:space="preserve">格，LED 光源，有图案灯盘，左转非机动车信</w:t>
            </w:r>
            <w:r>
              <w:rPr>
                <w:rFonts w:hint="eastAsia" w:ascii="宋体" w:hAnsi="宋体"/>
                <w:color w:val="000000"/>
                <w:sz w:val="21"/>
                <w:szCs w:val="21"/>
                <w:lang w:bidi="ar"/>
              </w:rPr>
              <w:br/>
              <w:t xml:space="preserve">号图案，符合 GB14887-2023 规定</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35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192</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人行横道信号灯</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1、名称：人行横道信号灯</w:t>
            </w:r>
            <w:r>
              <w:rPr>
                <w:rFonts w:hint="eastAsia" w:ascii="宋体" w:hAnsi="宋体"/>
                <w:color w:val="000000"/>
                <w:sz w:val="21"/>
                <w:szCs w:val="21"/>
                <w:lang w:bidi="ar"/>
              </w:rPr>
              <w:br/>
              <w:t xml:space="preserve">2、型号、规格：RX300-3，直径 300mm 规格，</w:t>
            </w:r>
            <w:r>
              <w:rPr>
                <w:rFonts w:hint="eastAsia" w:ascii="宋体" w:hAnsi="宋体"/>
                <w:color w:val="000000"/>
                <w:sz w:val="21"/>
                <w:szCs w:val="21"/>
                <w:lang w:bidi="ar"/>
              </w:rPr>
              <w:br/>
              <w:t xml:space="preserve">LED 光源，有图案灯盘，红灯盘为人行横道禁</w:t>
            </w:r>
            <w:r>
              <w:rPr>
                <w:rFonts w:hint="eastAsia" w:ascii="宋体" w:hAnsi="宋体"/>
                <w:color w:val="000000"/>
                <w:sz w:val="21"/>
                <w:szCs w:val="21"/>
                <w:lang w:bidi="ar"/>
              </w:rPr>
              <w:br/>
              <w:t xml:space="preserve">行通行信号图案，绿灯盘为人行横道通行信</w:t>
            </w:r>
            <w:r>
              <w:rPr>
                <w:rFonts w:hint="eastAsia" w:ascii="宋体" w:hAnsi="宋体"/>
                <w:color w:val="000000"/>
                <w:sz w:val="21"/>
                <w:szCs w:val="21"/>
                <w:lang w:bidi="ar"/>
              </w:rPr>
              <w:br/>
              <w:t xml:space="preserve">号图案，符合 GB14887-2023 规定。红灯盘内</w:t>
            </w:r>
            <w:r>
              <w:rPr>
                <w:rFonts w:hint="eastAsia" w:ascii="宋体" w:hAnsi="宋体"/>
                <w:color w:val="000000"/>
                <w:sz w:val="21"/>
                <w:szCs w:val="21"/>
                <w:lang w:bidi="ar"/>
              </w:rPr>
              <w:br/>
              <w:t xml:space="preserve">嵌“双 8 ”倒计时</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套</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900"/>
        </w:trPr>
        <w:tc>
          <w:tcPr>
            <w:shd w:val="clear" w:color="auto" w:fill="auto"/>
            <w:tcW w:w="4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193</w:t>
            </w:r>
            <w:r/>
          </w:p>
        </w:tc>
        <w:tc>
          <w:tcPr>
            <w:shd w:val="clear" w:color="auto" w:fill="auto"/>
            <w:tcW w:w="113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道板路面开挖及恢复</w:t>
            </w:r>
            <w:r/>
          </w:p>
        </w:tc>
        <w:tc>
          <w:tcPr>
            <w:shd w:val="clear" w:color="auto" w:fill="auto"/>
            <w:tcW w:w="26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宽度 400mm，深度 600mm，土方回填，5cm 碎</w:t>
            </w:r>
            <w:r>
              <w:rPr>
                <w:rFonts w:hint="eastAsia" w:ascii="宋体" w:hAnsi="宋体"/>
                <w:color w:val="000000"/>
                <w:sz w:val="21"/>
                <w:szCs w:val="21"/>
                <w:lang w:bidi="ar"/>
              </w:rPr>
              <w:br/>
              <w:t xml:space="preserve">石层，10cm 厚混凝土层，水泥砂浆找平层及</w:t>
            </w:r>
            <w:r>
              <w:rPr>
                <w:rFonts w:hint="eastAsia" w:ascii="宋体" w:hAnsi="宋体"/>
                <w:color w:val="000000"/>
                <w:sz w:val="21"/>
                <w:szCs w:val="21"/>
                <w:lang w:bidi="ar"/>
              </w:rPr>
              <w:br/>
              <w:t xml:space="preserve">道板砖面层恢复，面层机械破除后，人工开</w:t>
            </w:r>
            <w:r>
              <w:rPr>
                <w:rFonts w:hint="eastAsia" w:ascii="宋体" w:hAnsi="宋体"/>
                <w:color w:val="000000"/>
                <w:sz w:val="21"/>
                <w:szCs w:val="21"/>
                <w:lang w:bidi="ar"/>
              </w:rPr>
              <w:br/>
              <w:t xml:space="preserve">挖，含恢复费用</w:t>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8"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lang w:bidi="ar"/>
              </w:rPr>
            </w:r>
            <w:r/>
          </w:p>
        </w:tc>
        <w:tc>
          <w:tcPr>
            <w:tcW w:w="70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w:t>
            </w:r>
            <w:r/>
          </w:p>
        </w:tc>
        <w:tc>
          <w:tcPr>
            <w:shd w:val="clear" w:color="auto" w:fill="auto"/>
            <w:tcW w:w="70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27 </w:t>
            </w:r>
            <w:r/>
          </w:p>
        </w:tc>
        <w:tc>
          <w:tcPr>
            <w:shd w:val="clear" w:color="auto" w:fill="auto"/>
            <w:tcW w:w="993"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992"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cantSplit/>
          <w:jc w:val="center"/>
          <w:trHeight w:val="102"/>
        </w:trPr>
        <w:tc>
          <w:tcPr>
            <w:gridSpan w:val="11"/>
            <w:tcBorders>
              <w:top w:val="single" w:color="auto" w:sz="4" w:space="0"/>
              <w:left w:val="single" w:color="auto" w:sz="4" w:space="0"/>
              <w:bottom w:val="single" w:color="auto" w:sz="4" w:space="0"/>
              <w:right w:val="single" w:color="auto" w:sz="4" w:space="0"/>
            </w:tcBorders>
            <w:tcW w:w="10485" w:type="dxa"/>
            <w:vAlign w:val="center"/>
            <w:textDirection w:val="lrTb"/>
            <w:noWrap w:val="false"/>
          </w:tcPr>
          <w:p>
            <w:pPr>
              <w:ind w:left="0"/>
              <w:jc w:val="left"/>
              <w:spacing w:line="360" w:lineRule="auto"/>
              <w:widowControl w:val="off"/>
              <w:rPr>
                <w:rFonts w:ascii="宋体" w:hAnsi="宋体" w:cs="Times New Roman"/>
                <w:sz w:val="21"/>
                <w:szCs w:val="21"/>
              </w:rPr>
            </w:pPr>
            <w:r>
              <w:rPr>
                <w:rFonts w:hint="eastAsia" w:ascii="宋体" w:hAnsi="宋体" w:cs="Times New Roman"/>
                <w:b/>
                <w:sz w:val="21"/>
                <w:szCs w:val="21"/>
              </w:rPr>
              <w:t xml:space="preserve">投标总报价</w:t>
            </w:r>
            <w:r>
              <w:rPr>
                <w:rFonts w:hint="eastAsia" w:ascii="宋体" w:hAnsi="宋体" w:cs="Times New Roman"/>
                <w:sz w:val="21"/>
                <w:szCs w:val="21"/>
              </w:rPr>
              <w:t xml:space="preserve">：人民币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102"/>
        </w:trPr>
        <w:tc>
          <w:tcPr>
            <w:gridSpan w:val="11"/>
            <w:tcBorders>
              <w:top w:val="single" w:color="auto" w:sz="4" w:space="0"/>
              <w:left w:val="single" w:color="auto" w:sz="4" w:space="0"/>
              <w:bottom w:val="single" w:color="auto" w:sz="4" w:space="0"/>
              <w:right w:val="single" w:color="auto" w:sz="4" w:space="0"/>
            </w:tcBorders>
            <w:tcW w:w="10485" w:type="dxa"/>
            <w:textDirection w:val="lrTb"/>
            <w:noWrap w:val="false"/>
          </w:tcPr>
          <w:p>
            <w:pPr>
              <w:ind w:left="0"/>
              <w:jc w:val="left"/>
              <w:spacing w:line="360" w:lineRule="auto"/>
              <w:widowControl w:val="off"/>
              <w:rPr>
                <w:rFonts w:ascii="宋体" w:hAnsi="宋体" w:cs="Times New Roman"/>
                <w:b/>
                <w:sz w:val="21"/>
                <w:szCs w:val="21"/>
              </w:rPr>
            </w:pPr>
            <w:r>
              <w:rPr>
                <w:rFonts w:hint="eastAsia" w:ascii="宋体" w:hAnsi="宋体" w:cs="Times New Roman"/>
                <w:b/>
                <w:sz w:val="21"/>
                <w:szCs w:val="21"/>
              </w:rPr>
              <w:t xml:space="preserve">本采购包中提供的符合本国产品标准的产品成本之和占该采购包提供的全部产品成本之和的比例为</w:t>
            </w:r>
            <w:r>
              <w:rPr>
                <w:rFonts w:ascii="宋体" w:hAnsi="宋体" w:cs="Times New Roman"/>
                <w:b/>
                <w:sz w:val="21"/>
                <w:szCs w:val="21"/>
                <w:u w:val="single"/>
              </w:rPr>
              <w:t xml:space="preserve">    </w:t>
            </w:r>
            <w:r>
              <w:rPr>
                <w:rFonts w:hint="eastAsia" w:ascii="宋体" w:hAnsi="宋体" w:cs="Times New Roman"/>
                <w:b/>
                <w:sz w:val="21"/>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21574"/>
      <w:r/>
      <w:bookmarkStart w:id="75" w:name="_Toc19621"/>
      <w:r/>
      <w:bookmarkStart w:id="76" w:name="_Toc105397783"/>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苏州市公安局交通安全设施零星建设</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6"/>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2206"/>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9"/>
        <w:ind w:left="0" w:firstLine="0"/>
        <w:rPr>
          <w:rFonts w:ascii="宋体" w:hAnsi="宋体"/>
          <w:b/>
          <w:lang w:val="zh-CN"/>
        </w:rPr>
      </w:pPr>
      <w:r>
        <w:rPr>
          <w:rFonts w:ascii="宋体" w:hAnsi="宋体"/>
          <w:b/>
          <w:lang w:val="zh-CN"/>
        </w:rPr>
      </w:r>
      <w:r/>
    </w:p>
    <w:p>
      <w:pPr>
        <w:pStyle w:val="106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105397786"/>
      <w:r/>
      <w:bookmarkStart w:id="84" w:name="_Toc27138"/>
      <w:r/>
      <w:bookmarkStart w:id="85"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4"/>
          <w:rFonts w:hint="eastAsia"/>
          <w:color w:val="333333"/>
          <w:u w:val="single"/>
        </w:rPr>
        <w:t xml:space="preserve">（产品名称</w:t>
      </w:r>
      <w:r>
        <w:rPr>
          <w:rStyle w:val="1074"/>
          <w:rFonts w:hint="eastAsia"/>
          <w:color w:val="333333"/>
          <w:u w:val="single"/>
        </w:rPr>
        <w:t xml:space="preserve">1</w:t>
      </w:r>
      <w:r>
        <w:rPr>
          <w:rStyle w:val="1074"/>
          <w:rFonts w:hint="eastAsia"/>
          <w:color w:val="333333"/>
          <w:u w:val="single"/>
        </w:rPr>
        <w:t xml:space="preserve">）</w:t>
      </w:r>
      <w:r>
        <w:rPr>
          <w:rStyle w:val="1074"/>
          <w:rFonts w:hint="eastAsia"/>
          <w:color w:val="333333"/>
          <w:vertAlign w:val="superscript"/>
        </w:rPr>
        <w:t xml:space="preserve">1</w:t>
      </w:r>
      <w:r>
        <w:rPr>
          <w:rFonts w:hint="eastAsia"/>
          <w:color w:val="333333"/>
        </w:rPr>
        <w:t xml:space="preserve">，生产厂为</w:t>
      </w:r>
      <w:r>
        <w:rPr>
          <w:rStyle w:val="1074"/>
          <w:rFonts w:hint="eastAsia"/>
          <w:color w:val="333333"/>
          <w:u w:val="single"/>
        </w:rPr>
        <w:t xml:space="preserve">（厂名）</w:t>
      </w:r>
      <w:r>
        <w:rPr>
          <w:rStyle w:val="1074"/>
          <w:rFonts w:hint="eastAsia"/>
          <w:color w:val="333333"/>
          <w:vertAlign w:val="superscript"/>
        </w:rPr>
        <w:t xml:space="preserve">2</w:t>
      </w:r>
      <w:r>
        <w:rPr>
          <w:rFonts w:hint="eastAsia"/>
          <w:color w:val="333333"/>
        </w:rPr>
        <w:t xml:space="preserve">，厂址为</w:t>
      </w:r>
      <w:r>
        <w:rPr>
          <w:rStyle w:val="1074"/>
          <w:rFonts w:hint="eastAsia"/>
          <w:color w:val="333333"/>
          <w:u w:val="single"/>
        </w:rPr>
        <w:t xml:space="preserve">（生产厂址）</w:t>
      </w:r>
      <w:r>
        <w:rPr>
          <w:rFonts w:hint="eastAsia"/>
          <w:color w:val="333333"/>
        </w:rPr>
        <w:t xml:space="preserve">。</w:t>
      </w:r>
      <w:r>
        <w:rPr>
          <w:rStyle w:val="1074"/>
          <w:rFonts w:hint="eastAsia"/>
          <w:color w:val="333333"/>
          <w:u w:val="single"/>
        </w:rPr>
        <w:t xml:space="preserve">（产品名称</w:t>
      </w:r>
      <w:r>
        <w:rPr>
          <w:rStyle w:val="1074"/>
          <w:rFonts w:hint="eastAsia"/>
          <w:color w:val="333333"/>
          <w:u w:val="single"/>
        </w:rPr>
        <w:t xml:space="preserve">1</w:t>
      </w:r>
      <w:r>
        <w:rPr>
          <w:rStyle w:val="1074"/>
          <w:rFonts w:hint="eastAsia"/>
          <w:color w:val="333333"/>
          <w:u w:val="single"/>
        </w:rPr>
        <w:t xml:space="preserve">）</w:t>
      </w:r>
      <w:r>
        <w:rPr>
          <w:rFonts w:hint="eastAsia"/>
          <w:color w:val="333333"/>
        </w:rPr>
        <w:t xml:space="preserve">的中国境内生产的组件成本占比≥</w:t>
      </w:r>
      <w:r>
        <w:rPr>
          <w:rStyle w:val="1074"/>
          <w:rFonts w:hint="eastAsia"/>
          <w:color w:val="333333"/>
          <w:u w:val="single"/>
        </w:rPr>
        <w:t xml:space="preserve">（规定比例）</w:t>
      </w:r>
      <w:r>
        <w:rPr>
          <w:rStyle w:val="1074"/>
          <w:rFonts w:hint="eastAsia"/>
          <w:color w:val="333333"/>
          <w:vertAlign w:val="superscript"/>
        </w:rPr>
        <w:t xml:space="preserve">3</w:t>
      </w:r>
      <w:r>
        <w:rPr>
          <w:rFonts w:hint="eastAsia"/>
          <w:color w:val="333333"/>
        </w:rPr>
        <w:t xml:space="preserve">。</w:t>
      </w:r>
      <w:r>
        <w:rPr>
          <w:rStyle w:val="1074"/>
          <w:rFonts w:hint="eastAsia"/>
          <w:color w:val="333333"/>
          <w:u w:val="single"/>
        </w:rPr>
        <w:t xml:space="preserve">（产品名称</w:t>
      </w:r>
      <w:r>
        <w:rPr>
          <w:rStyle w:val="1074"/>
          <w:rFonts w:hint="eastAsia"/>
          <w:color w:val="333333"/>
          <w:u w:val="single"/>
        </w:rPr>
        <w:t xml:space="preserve">1</w:t>
      </w:r>
      <w:r>
        <w:rPr>
          <w:rStyle w:val="1074"/>
          <w:rFonts w:hint="eastAsia"/>
          <w:color w:val="333333"/>
          <w:u w:val="single"/>
        </w:rPr>
        <w:t xml:space="preserve">）</w:t>
      </w:r>
      <w:r>
        <w:rPr>
          <w:rFonts w:hint="eastAsia"/>
          <w:color w:val="333333"/>
        </w:rPr>
        <w:t xml:space="preserve">的</w:t>
      </w:r>
      <w:r>
        <w:rPr>
          <w:rStyle w:val="1074"/>
          <w:rFonts w:hint="eastAsia"/>
          <w:color w:val="333333"/>
          <w:u w:val="single"/>
        </w:rPr>
        <w:t xml:space="preserve">（关键组件）</w:t>
      </w:r>
      <w:r>
        <w:rPr>
          <w:rStyle w:val="1074"/>
          <w:rFonts w:hint="eastAsia"/>
          <w:color w:val="333333"/>
          <w:vertAlign w:val="superscript"/>
        </w:rPr>
        <w:t xml:space="preserve">4</w:t>
      </w:r>
      <w:r>
        <w:rPr>
          <w:rFonts w:hint="eastAsia"/>
          <w:color w:val="333333"/>
        </w:rPr>
        <w:t xml:space="preserve">在中国境内生产。</w:t>
      </w:r>
      <w:r>
        <w:rPr>
          <w:rStyle w:val="1074"/>
          <w:rFonts w:hint="eastAsia"/>
          <w:color w:val="333333"/>
          <w:u w:val="single"/>
        </w:rPr>
        <w:t xml:space="preserve">（产品名称</w:t>
      </w:r>
      <w:r>
        <w:rPr>
          <w:rStyle w:val="1074"/>
          <w:rFonts w:hint="eastAsia"/>
          <w:color w:val="333333"/>
          <w:u w:val="single"/>
        </w:rPr>
        <w:t xml:space="preserve">1</w:t>
      </w:r>
      <w:r>
        <w:rPr>
          <w:rStyle w:val="1074"/>
          <w:rFonts w:hint="eastAsia"/>
          <w:color w:val="333333"/>
          <w:u w:val="single"/>
        </w:rPr>
        <w:t xml:space="preserve">）</w:t>
      </w:r>
      <w:r>
        <w:rPr>
          <w:rFonts w:hint="eastAsia"/>
          <w:color w:val="333333"/>
        </w:rPr>
        <w:t xml:space="preserve">的</w:t>
      </w:r>
      <w:r>
        <w:rPr>
          <w:rStyle w:val="1074"/>
          <w:rFonts w:hint="eastAsia"/>
          <w:color w:val="333333"/>
          <w:u w:val="single"/>
        </w:rPr>
        <w:t xml:space="preserve">（关键工序）</w:t>
      </w:r>
      <w:r>
        <w:rPr>
          <w:rStyle w:val="1074"/>
          <w:rFonts w:hint="eastAsia"/>
          <w:color w:val="333333"/>
          <w:vertAlign w:val="superscript"/>
        </w:rPr>
        <w:t xml:space="preserve">5</w:t>
      </w:r>
      <w:r>
        <w:rPr>
          <w:rFonts w:hint="eastAsia"/>
          <w:color w:val="333333"/>
        </w:rPr>
        <w:t xml:space="preserve">在中国境内完成。</w:t>
      </w:r>
      <w:r/>
    </w:p>
    <w:p>
      <w:pPr>
        <w:pStyle w:val="106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4"/>
          <w:rFonts w:hint="eastAsia"/>
          <w:color w:val="333333"/>
          <w:u w:val="single"/>
        </w:rPr>
        <w:t xml:space="preserve">（产品名称</w:t>
      </w:r>
      <w:r>
        <w:rPr>
          <w:rStyle w:val="1074"/>
          <w:rFonts w:hint="eastAsia"/>
          <w:color w:val="333333"/>
          <w:u w:val="single"/>
        </w:rPr>
        <w:t xml:space="preserve">2</w:t>
      </w:r>
      <w:r>
        <w:rPr>
          <w:rStyle w:val="1074"/>
          <w:rFonts w:hint="eastAsia"/>
          <w:color w:val="333333"/>
          <w:u w:val="single"/>
        </w:rPr>
        <w:t xml:space="preserve">）</w:t>
      </w:r>
      <w:r>
        <w:rPr>
          <w:rFonts w:hint="eastAsia"/>
          <w:color w:val="333333"/>
        </w:rPr>
        <w:t xml:space="preserve">，生产厂为</w:t>
      </w:r>
      <w:r>
        <w:rPr>
          <w:rStyle w:val="1074"/>
          <w:rFonts w:hint="eastAsia"/>
          <w:color w:val="333333"/>
          <w:u w:val="single"/>
        </w:rPr>
        <w:t xml:space="preserve">（厂名）</w:t>
      </w:r>
      <w:r>
        <w:rPr>
          <w:rFonts w:hint="eastAsia"/>
          <w:color w:val="333333"/>
        </w:rPr>
        <w:t xml:space="preserve">，厂址为</w:t>
      </w:r>
      <w:r>
        <w:rPr>
          <w:rStyle w:val="1074"/>
          <w:rFonts w:hint="eastAsia"/>
          <w:color w:val="333333"/>
          <w:u w:val="single"/>
        </w:rPr>
        <w:t xml:space="preserve">（生产厂址）</w:t>
      </w:r>
      <w:r>
        <w:rPr>
          <w:rFonts w:hint="eastAsia"/>
          <w:color w:val="333333"/>
        </w:rPr>
        <w:t xml:space="preserve">。</w:t>
      </w:r>
      <w:r>
        <w:rPr>
          <w:rStyle w:val="1074"/>
          <w:rFonts w:hint="eastAsia"/>
          <w:color w:val="333333"/>
          <w:u w:val="single"/>
        </w:rPr>
        <w:t xml:space="preserve">（产品名称</w:t>
      </w:r>
      <w:r>
        <w:rPr>
          <w:rStyle w:val="1074"/>
          <w:rFonts w:hint="eastAsia"/>
          <w:color w:val="333333"/>
          <w:u w:val="single"/>
        </w:rPr>
        <w:t xml:space="preserve">2</w:t>
      </w:r>
      <w:r>
        <w:rPr>
          <w:rStyle w:val="1074"/>
          <w:rFonts w:hint="eastAsia"/>
          <w:color w:val="333333"/>
          <w:u w:val="single"/>
        </w:rPr>
        <w:t xml:space="preserve">）</w:t>
      </w:r>
      <w:r>
        <w:rPr>
          <w:rFonts w:hint="eastAsia"/>
          <w:color w:val="333333"/>
        </w:rPr>
        <w:t xml:space="preserve">的中国境内生产的组件成本占比≥</w:t>
      </w:r>
      <w:r>
        <w:rPr>
          <w:rStyle w:val="1074"/>
          <w:rFonts w:hint="eastAsia"/>
          <w:color w:val="333333"/>
          <w:u w:val="single"/>
        </w:rPr>
        <w:t xml:space="preserve">（规定比例）</w:t>
      </w:r>
      <w:r>
        <w:rPr>
          <w:rFonts w:hint="eastAsia"/>
          <w:color w:val="333333"/>
        </w:rPr>
        <w:t xml:space="preserve">。</w:t>
      </w:r>
      <w:r>
        <w:rPr>
          <w:rStyle w:val="1074"/>
          <w:rFonts w:hint="eastAsia"/>
          <w:color w:val="333333"/>
          <w:u w:val="single"/>
        </w:rPr>
        <w:t xml:space="preserve">（产品名称</w:t>
      </w:r>
      <w:r>
        <w:rPr>
          <w:rStyle w:val="1074"/>
          <w:rFonts w:hint="eastAsia"/>
          <w:color w:val="333333"/>
          <w:u w:val="single"/>
        </w:rPr>
        <w:t xml:space="preserve">2</w:t>
      </w:r>
      <w:r>
        <w:rPr>
          <w:rStyle w:val="1074"/>
          <w:rFonts w:hint="eastAsia"/>
          <w:color w:val="333333"/>
          <w:u w:val="single"/>
        </w:rPr>
        <w:t xml:space="preserve">）</w:t>
      </w:r>
      <w:r>
        <w:rPr>
          <w:rFonts w:hint="eastAsia"/>
          <w:color w:val="333333"/>
        </w:rPr>
        <w:t xml:space="preserve">的</w:t>
      </w:r>
      <w:r>
        <w:rPr>
          <w:rStyle w:val="1074"/>
          <w:rFonts w:hint="eastAsia"/>
          <w:color w:val="333333"/>
          <w:u w:val="single"/>
        </w:rPr>
        <w:t xml:space="preserve">（关键组件）</w:t>
      </w:r>
      <w:r>
        <w:rPr>
          <w:rFonts w:hint="eastAsia"/>
          <w:color w:val="333333"/>
        </w:rPr>
        <w:t xml:space="preserve">在中国境内生产。</w:t>
      </w:r>
      <w:r>
        <w:rPr>
          <w:rStyle w:val="1074"/>
          <w:rFonts w:hint="eastAsia"/>
          <w:color w:val="333333"/>
          <w:u w:val="single"/>
        </w:rPr>
        <w:t xml:space="preserve">（产品名称</w:t>
      </w:r>
      <w:r>
        <w:rPr>
          <w:rStyle w:val="1074"/>
          <w:rFonts w:hint="eastAsia"/>
          <w:color w:val="333333"/>
          <w:u w:val="single"/>
        </w:rPr>
        <w:t xml:space="preserve">2</w:t>
      </w:r>
      <w:r>
        <w:rPr>
          <w:rStyle w:val="1074"/>
          <w:rFonts w:hint="eastAsia"/>
          <w:color w:val="333333"/>
          <w:u w:val="single"/>
        </w:rPr>
        <w:t xml:space="preserve">）</w:t>
      </w:r>
      <w:r>
        <w:rPr>
          <w:rFonts w:hint="eastAsia"/>
          <w:color w:val="333333"/>
        </w:rPr>
        <w:t xml:space="preserve">的</w:t>
      </w:r>
      <w:r>
        <w:rPr>
          <w:rStyle w:val="1074"/>
          <w:rFonts w:hint="eastAsia"/>
          <w:color w:val="333333"/>
          <w:u w:val="single"/>
        </w:rPr>
        <w:t xml:space="preserve">（关键工序）</w:t>
      </w:r>
      <w:r>
        <w:rPr>
          <w:rFonts w:hint="eastAsia"/>
          <w:color w:val="333333"/>
        </w:rPr>
        <w:t xml:space="preserve">在中国境内完成。</w:t>
      </w:r>
      <w:r/>
    </w:p>
    <w:p>
      <w:pPr>
        <w:pStyle w:val="1067"/>
        <w:ind w:firstLine="480"/>
        <w:spacing w:before="30" w:after="30"/>
        <w:shd w:val="clear" w:color="auto" w:fill="ffffff"/>
        <w:rPr>
          <w:color w:val="333333"/>
        </w:rPr>
      </w:pPr>
      <w:r>
        <w:rPr>
          <w:rFonts w:hint="eastAsia"/>
          <w:color w:val="333333"/>
        </w:rPr>
        <w:t xml:space="preserve">……</w:t>
      </w:r>
      <w:r/>
    </w:p>
    <w:p>
      <w:pPr>
        <w:pStyle w:val="106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7"/>
        <w:spacing w:before="30" w:after="30"/>
        <w:shd w:val="clear" w:color="auto" w:fill="ffffff"/>
        <w:rPr>
          <w:color w:val="333333"/>
        </w:rPr>
      </w:pPr>
      <w:r>
        <w:rPr>
          <w:color w:val="333333"/>
        </w:rPr>
      </w:r>
      <w:r/>
    </w:p>
    <w:p>
      <w:pPr>
        <w:pStyle w:val="1067"/>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67"/>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7"/>
        <w:jc w:val="right"/>
        <w:spacing w:before="0" w:after="0"/>
        <w:shd w:val="clear" w:color="auto" w:fill="ffffff"/>
        <w:rPr>
          <w:color w:val="333333"/>
        </w:rPr>
      </w:pPr>
      <w:r>
        <w:rPr>
          <w:color w:val="333333"/>
        </w:rPr>
      </w:r>
      <w:r/>
    </w:p>
    <w:p>
      <w:pPr>
        <w:pStyle w:val="1067"/>
        <w:jc w:val="right"/>
        <w:spacing w:before="0" w:after="0"/>
        <w:shd w:val="clear" w:color="auto" w:fill="ffffff"/>
        <w:rPr>
          <w:color w:val="333333"/>
        </w:rPr>
      </w:pPr>
      <w:r>
        <w:rPr>
          <w:color w:val="333333"/>
        </w:rPr>
      </w:r>
      <w:r/>
    </w:p>
    <w:p>
      <w:pPr>
        <w:pStyle w:val="1067"/>
        <w:jc w:val="right"/>
        <w:spacing w:before="0" w:after="0"/>
        <w:shd w:val="clear" w:color="auto" w:fill="ffffff"/>
        <w:rPr>
          <w:color w:val="333333"/>
        </w:rPr>
      </w:pPr>
      <w:r>
        <w:rPr>
          <w:color w:val="333333"/>
        </w:rPr>
      </w:r>
      <w:r/>
    </w:p>
    <w:p>
      <w:pPr>
        <w:pStyle w:val="1067"/>
        <w:jc w:val="right"/>
        <w:spacing w:before="0" w:after="0"/>
        <w:shd w:val="clear" w:color="auto" w:fill="ffffff"/>
      </w:pPr>
      <w:r/>
      <w:r/>
    </w:p>
    <w:p>
      <w:pPr>
        <w:pStyle w:val="1067"/>
        <w:ind w:left="0" w:firstLine="0"/>
        <w:spacing w:before="30" w:after="30"/>
        <w:shd w:val="clear" w:color="auto" w:fill="ffffff"/>
        <w:rPr>
          <w:color w:val="333333"/>
        </w:rPr>
      </w:pPr>
      <w:r>
        <w:rPr>
          <w:rFonts w:hint="eastAsia"/>
          <w:color w:val="333333"/>
        </w:rPr>
        <w:t xml:space="preserve">__________________</w:t>
      </w:r>
      <w:r/>
    </w:p>
    <w:p>
      <w:pPr>
        <w:pStyle w:val="106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67"/>
        <w:jc w:val="right"/>
        <w:spacing w:before="0" w:after="0"/>
        <w:shd w:val="clear" w:color="auto" w:fill="ffffff"/>
        <w:rPr>
          <w:rFonts w:ascii="宋体" w:hAnsi="宋体"/>
          <w:sz w:val="21"/>
          <w:szCs w:val="21"/>
        </w:rPr>
      </w:pPr>
      <w:r>
        <w:rPr>
          <w:rFonts w:ascii="宋体" w:hAnsi="宋体"/>
          <w:sz w:val="21"/>
          <w:szCs w:val="21"/>
        </w:rPr>
      </w:r>
      <w:r/>
    </w:p>
    <w:p>
      <w:pPr>
        <w:pStyle w:val="1022"/>
      </w:pPr>
      <w:r/>
      <w:r/>
    </w:p>
    <w:p>
      <w:r/>
      <w:r/>
    </w:p>
    <w:p>
      <w:pPr>
        <w:pStyle w:val="1067"/>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3"/>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6" w:name="_Toc71810489"/>
      <w:r/>
      <w:bookmarkStart w:id="87"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6"/>
        <w:rPr>
          <w:rFonts w:ascii="宋体" w:hAnsi="宋体"/>
        </w:rPr>
      </w:pPr>
      <w:r>
        <w:rPr>
          <w:rFonts w:ascii="宋体" w:hAnsi="宋体"/>
        </w:rPr>
      </w:r>
      <w:r/>
    </w:p>
    <w:p>
      <w:r/>
      <w:r/>
    </w:p>
    <w:p>
      <w:pPr>
        <w:pStyle w:val="1022"/>
      </w:pPr>
      <w:r/>
      <w:r/>
    </w:p>
    <w:p>
      <w:r/>
      <w:r/>
    </w:p>
    <w:p>
      <w:pPr>
        <w:pStyle w:val="1022"/>
      </w:pPr>
      <w:r/>
      <w:r/>
    </w:p>
    <w:p>
      <w:r/>
      <w:r/>
    </w:p>
    <w:p>
      <w:pPr>
        <w:pStyle w:val="1022"/>
      </w:pPr>
      <w:r/>
      <w:r/>
    </w:p>
    <w:p>
      <w:pPr>
        <w:pStyle w:val="1022"/>
      </w:pPr>
      <w:r/>
      <w:r/>
    </w:p>
    <w:p>
      <w:pPr>
        <w:pStyle w:val="1028"/>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8" w:name="_Toc71810490"/>
      <w:r/>
      <w:bookmarkEnd w:id="84"/>
      <w:r/>
      <w:bookmarkEnd w:id="85"/>
      <w:r>
        <w:rPr>
          <w:rFonts w:ascii="宋体" w:hAnsi="宋体"/>
        </w:rPr>
        <w:t xml:space="preserve"> </w:t>
      </w:r>
      <w:r/>
    </w:p>
    <w:p>
      <w:pPr>
        <w:pStyle w:val="102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8"/>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0" w:name="OLE_LINK7"/>
      <w:r/>
      <w:bookmarkStart w:id="91"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2"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3" w:name="OLE_LINK16"/>
      <w:r>
        <w:rPr>
          <w:rFonts w:hint="eastAsia" w:ascii="宋体" w:hAnsi="宋体"/>
          <w:b/>
          <w:color w:val="ff0000"/>
          <w:sz w:val="21"/>
          <w:szCs w:val="21"/>
          <w:lang w:val="zh-CN"/>
        </w:rPr>
        <w:t xml:space="preserve">的</w:t>
      </w:r>
      <w:bookmarkEnd w:id="92"/>
      <w:r/>
      <w:bookmarkEnd w:id="93"/>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0"/>
      <w:r/>
      <w:bookmarkEnd w:id="91"/>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2"/>
        <w:rPr>
          <w:lang w:val="zh-CN"/>
        </w:rPr>
      </w:pPr>
      <w:r>
        <w:rPr>
          <w:lang w:val="zh-CN"/>
        </w:rPr>
      </w:r>
      <w:r/>
    </w:p>
    <w:p>
      <w:pPr>
        <w:pStyle w:val="1022"/>
        <w:rPr>
          <w:lang w:val="zh-CN"/>
        </w:rPr>
      </w:pPr>
      <w:r>
        <w:rPr>
          <w:lang w:val="zh-CN"/>
        </w:rPr>
      </w:r>
      <w:r/>
    </w:p>
    <w:p>
      <w:pPr>
        <w:pStyle w:val="1010"/>
        <w:ind w:left="0" w:firstLine="0"/>
        <w:jc w:val="center"/>
        <w:rPr>
          <w:rFonts w:ascii="宋体" w:hAnsi="宋体"/>
          <w:b/>
          <w:sz w:val="44"/>
          <w:szCs w:val="22"/>
        </w:rPr>
      </w:pPr>
      <w:r/>
      <w:bookmarkStart w:id="94" w:name="_Toc4098"/>
      <w:r/>
      <w:bookmarkStart w:id="95" w:name="_Toc23660"/>
      <w:r/>
      <w:bookmarkStart w:id="96" w:name="_Toc105397793"/>
      <w:r>
        <w:rPr>
          <w:rFonts w:hint="eastAsia" w:ascii="宋体" w:hAnsi="宋体"/>
          <w:b/>
          <w:sz w:val="44"/>
          <w:szCs w:val="22"/>
        </w:rPr>
        <w:t xml:space="preserve">第四章  </w:t>
      </w:r>
      <w:bookmarkStart w:id="97" w:name="招标书"/>
      <w:r/>
      <w:bookmarkEnd w:id="97"/>
      <w:r>
        <w:rPr>
          <w:rFonts w:hint="eastAsia" w:ascii="宋体" w:hAnsi="宋体"/>
          <w:b/>
          <w:sz w:val="44"/>
          <w:szCs w:val="22"/>
        </w:rPr>
        <w:t xml:space="preserve">招标书</w:t>
      </w:r>
      <w:bookmarkEnd w:id="94"/>
      <w:r/>
      <w:bookmarkEnd w:id="95"/>
      <w:r/>
      <w:bookmarkEnd w:id="9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苏州市公安局交通安全设施零星建设</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JSZC-320500-JZCG-G2026-0067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二、项目名称：苏州市公安局交通安全设施零星建设</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人民币捌佰肆拾捌万零贰佰玖拾柒元贰角叁分（￥8</w:t>
      </w:r>
      <w:r>
        <w:rPr>
          <w:rFonts w:ascii="宋体" w:hAnsi="宋体"/>
          <w:sz w:val="21"/>
          <w:szCs w:val="21"/>
        </w:rPr>
        <w:t xml:space="preserve">,</w:t>
      </w:r>
      <w:r>
        <w:rPr>
          <w:rFonts w:hint="eastAsia" w:ascii="宋体" w:hAnsi="宋体"/>
          <w:sz w:val="21"/>
          <w:szCs w:val="21"/>
        </w:rPr>
        <w:t xml:space="preserve">480</w:t>
      </w:r>
      <w:r>
        <w:rPr>
          <w:rFonts w:ascii="宋体" w:hAnsi="宋体"/>
          <w:sz w:val="21"/>
          <w:szCs w:val="21"/>
        </w:rPr>
        <w:t xml:space="preserve">,</w:t>
      </w:r>
      <w:r>
        <w:rPr>
          <w:rFonts w:hint="eastAsia" w:ascii="宋体" w:hAnsi="宋体"/>
          <w:sz w:val="21"/>
          <w:szCs w:val="21"/>
        </w:rPr>
        <w:t xml:space="preserve">297</w:t>
      </w:r>
      <w:r>
        <w:rPr>
          <w:rFonts w:ascii="宋体" w:hAnsi="宋体"/>
          <w:sz w:val="21"/>
          <w:szCs w:val="21"/>
        </w:rPr>
        <w:t xml:space="preserve">.</w:t>
      </w:r>
      <w:r>
        <w:rPr>
          <w:rFonts w:hint="eastAsia" w:ascii="宋体" w:hAnsi="宋体"/>
          <w:sz w:val="21"/>
          <w:szCs w:val="21"/>
        </w:rPr>
        <w:t xml:space="preserve">23 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人民币捌佰肆拾柒万玖仟壹佰陆拾叁元贰角叁分（￥8,479,163.23 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24个月，开始时间以采购单位通知为准。本项目免费质量保证期要求不少于3年，免费质量保证期从货物供货、安装、调试正常且经采购使用部门确认最终验收通过之日起算。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（一）货物清单及参数</w:t>
      </w:r>
      <w:r>
        <w:rPr>
          <w:rFonts w:hint="eastAsia" w:ascii="宋体" w:hAnsi="宋体"/>
          <w:b/>
          <w:bCs/>
          <w:sz w:val="21"/>
        </w:rPr>
        <w:t xml:space="preserve">（本项目报价按</w:t>
      </w:r>
      <w:r>
        <w:rPr>
          <w:rFonts w:hint="eastAsia" w:ascii="宋体" w:hAnsi="宋体" w:cs="Times New Roman"/>
          <w:b/>
          <w:sz w:val="21"/>
        </w:rPr>
        <w:t xml:space="preserve">第三章附件3.公开分项报价表报价。）</w:t>
      </w:r>
      <w:r/>
    </w:p>
    <w:tbl>
      <w:tblPr>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700"/>
        <w:gridCol w:w="62"/>
        <w:gridCol w:w="3620"/>
        <w:gridCol w:w="708"/>
        <w:gridCol w:w="709"/>
        <w:gridCol w:w="1134"/>
        <w:gridCol w:w="1144"/>
      </w:tblGrid>
      <w:tr>
        <w:trPr>
          <w:jc w:val="center"/>
          <w:trHeight w:val="1292"/>
        </w:trPr>
        <w:tc>
          <w:tcPr>
            <w:shd w:val="clear" w:color="auto" w:fill="auto"/>
            <w:tcW w:w="709"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序号</w:t>
            </w:r>
            <w:r/>
          </w:p>
        </w:tc>
        <w:tc>
          <w:tcPr>
            <w:shd w:val="clear" w:color="auto" w:fill="auto"/>
            <w:tcW w:w="1700"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品目名称</w:t>
            </w:r>
            <w:r/>
          </w:p>
        </w:tc>
        <w:tc>
          <w:tcPr>
            <w:gridSpan w:val="2"/>
            <w:shd w:val="clear" w:color="auto" w:fill="auto"/>
            <w:tcW w:w="3682"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规格</w:t>
            </w:r>
            <w:r/>
          </w:p>
        </w:tc>
        <w:tc>
          <w:tcPr>
            <w:shd w:val="clear" w:color="auto" w:fill="auto"/>
            <w:tcW w:w="708"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单位</w:t>
            </w:r>
            <w:r/>
          </w:p>
        </w:tc>
        <w:tc>
          <w:tcPr>
            <w:shd w:val="clear" w:color="auto" w:fill="auto"/>
            <w:tcW w:w="709"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数量</w:t>
            </w:r>
            <w:r/>
          </w:p>
        </w:tc>
        <w:tc>
          <w:tcPr>
            <w:shd w:val="clear" w:color="auto" w:fill="auto"/>
            <w:tcW w:w="1134" w:type="dxa"/>
            <w:vAlign w:val="center"/>
            <w:textDirection w:val="lrTb"/>
            <w:noWrap w:val="false"/>
          </w:tcPr>
          <w:p>
            <w:pPr>
              <w:ind w:left="0"/>
              <w:jc w:val="center"/>
              <w:tabs>
                <w:tab w:val="left" w:pos="420" w:leader="none"/>
              </w:tabs>
              <w:rPr>
                <w:rFonts w:ascii="宋体" w:hAnsi="宋体"/>
                <w:szCs w:val="21"/>
              </w:rPr>
            </w:pPr>
            <w:r>
              <w:rPr>
                <w:rFonts w:ascii="宋体" w:hAnsi="宋体"/>
                <w:szCs w:val="21"/>
              </w:rPr>
            </w:r>
            <w:r/>
          </w:p>
          <w:p>
            <w:pPr>
              <w:ind w:left="0"/>
              <w:jc w:val="center"/>
              <w:spacing w:line="360" w:lineRule="auto"/>
              <w:tabs>
                <w:tab w:val="left" w:pos="420" w:leader="none"/>
              </w:tabs>
              <w:rPr>
                <w:rFonts w:ascii="宋体" w:hAnsi="宋体"/>
                <w:szCs w:val="21"/>
              </w:rPr>
            </w:pPr>
            <w:r>
              <w:rPr>
                <w:rFonts w:hint="eastAsia" w:ascii="宋体" w:hAnsi="宋体"/>
                <w:sz w:val="21"/>
                <w:szCs w:val="21"/>
              </w:rPr>
              <w:t xml:space="preserve">单价最高限价（元）</w:t>
            </w:r>
            <w:r/>
          </w:p>
        </w:tc>
        <w:tc>
          <w:tcPr>
            <w:shd w:val="clear" w:color="auto" w:fill="auto"/>
            <w:tcW w:w="1144" w:type="dxa"/>
            <w:vAlign w:val="center"/>
            <w:textDirection w:val="lrTb"/>
            <w:noWrap w:val="false"/>
          </w:tcPr>
          <w:p>
            <w:pPr>
              <w:ind w:left="0"/>
              <w:jc w:val="center"/>
              <w:tabs>
                <w:tab w:val="left" w:pos="420" w:leader="none"/>
              </w:tabs>
              <w:rPr>
                <w:rFonts w:ascii="宋体" w:hAnsi="宋体"/>
                <w:szCs w:val="21"/>
              </w:rPr>
            </w:pPr>
            <w:r>
              <w:rPr>
                <w:rFonts w:hint="eastAsia" w:ascii="宋体" w:hAnsi="宋体"/>
                <w:sz w:val="21"/>
                <w:szCs w:val="21"/>
              </w:rPr>
              <w:t xml:space="preserve">总价最高限价（元）</w:t>
            </w:r>
            <w:r/>
          </w:p>
        </w:tc>
      </w:tr>
      <w:tr>
        <w:trPr>
          <w:jc w:val="center"/>
          <w:trHeight w:val="352"/>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一</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b/>
                <w:bCs/>
                <w:sz w:val="18"/>
                <w:szCs w:val="18"/>
              </w:rPr>
            </w:pPr>
            <w:r>
              <w:rPr>
                <w:rFonts w:hint="eastAsia" w:ascii="宋体" w:hAnsi="宋体"/>
                <w:b/>
                <w:bCs/>
                <w:sz w:val="18"/>
                <w:szCs w:val="18"/>
              </w:rPr>
              <w:t xml:space="preserve">高架出入口、应急停车带、虚实线调整等</w:t>
            </w:r>
            <w:r/>
          </w:p>
        </w:tc>
      </w:tr>
      <w:tr>
        <w:trPr>
          <w:jc w:val="center"/>
          <w:trHeight w:val="2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★热熔型标线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1、材料品种：普通热熔标线涂料</w:t>
            </w:r>
            <w:r/>
          </w:p>
          <w:p>
            <w:pPr>
              <w:ind w:left="0"/>
              <w:jc w:val="left"/>
              <w:tabs>
                <w:tab w:val="left" w:pos="420" w:leader="none"/>
              </w:tabs>
              <w:rPr>
                <w:rFonts w:ascii="宋体" w:hAnsi="宋体"/>
                <w:sz w:val="18"/>
                <w:szCs w:val="18"/>
              </w:rPr>
            </w:pPr>
            <w:r>
              <w:rPr>
                <w:rFonts w:hint="eastAsia" w:ascii="宋体" w:hAnsi="宋体"/>
                <w:sz w:val="18"/>
                <w:szCs w:val="18"/>
              </w:rPr>
              <w:t xml:space="preserve">2、工艺：厚度应≥1.6mm，颜色为白色、黄色，应添加玻璃微珠等填充材料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124500.00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350高亮热熔型标线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1、材料品种：350型热熔反光标线涂料，逆反射系数超过350的反射亮度的标线</w:t>
            </w:r>
            <w:r/>
          </w:p>
          <w:p>
            <w:pPr>
              <w:ind w:left="0"/>
              <w:jc w:val="left"/>
              <w:tabs>
                <w:tab w:val="left" w:pos="420" w:leader="none"/>
              </w:tabs>
              <w:rPr>
                <w:rFonts w:ascii="宋体" w:hAnsi="宋体"/>
                <w:sz w:val="18"/>
                <w:szCs w:val="18"/>
              </w:rPr>
            </w:pPr>
            <w:r>
              <w:rPr>
                <w:rFonts w:hint="eastAsia" w:ascii="宋体" w:hAnsi="宋体"/>
                <w:sz w:val="18"/>
                <w:szCs w:val="18"/>
              </w:rPr>
              <w:t xml:space="preserve">2、工艺：厚度应≥1.8mm，颜色为白色，应添加玻璃微珠等填充材料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60.16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63168.00</w:t>
            </w:r>
            <w:r/>
          </w:p>
        </w:tc>
      </w:tr>
      <w:tr>
        <w:trPr>
          <w:jc w:val="center"/>
          <w:trHeight w:val="554"/>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振荡标线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1、材料品种：振荡热熔标线涂料</w:t>
            </w:r>
            <w:r/>
          </w:p>
          <w:p>
            <w:pPr>
              <w:ind w:left="0"/>
              <w:jc w:val="left"/>
              <w:tabs>
                <w:tab w:val="left" w:pos="420" w:leader="none"/>
              </w:tabs>
              <w:rPr>
                <w:rFonts w:ascii="宋体" w:hAnsi="宋体"/>
                <w:sz w:val="18"/>
                <w:szCs w:val="18"/>
              </w:rPr>
            </w:pPr>
            <w:r>
              <w:rPr>
                <w:rFonts w:hint="eastAsia" w:ascii="宋体" w:hAnsi="宋体"/>
                <w:sz w:val="18"/>
                <w:szCs w:val="18"/>
              </w:rPr>
              <w:t xml:space="preserve">2、工艺：外形呈凹凸型，基底加突起部分高度为4-6mm，颜色为白色、黄色，应添加玻璃微珠等填充材料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56100.00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地面标线除线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清除方法:原地面标线清除，机械水冲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66062.00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组合式防撞桶(3件套)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PVC工程塑料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12600.00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钢制防撞垫</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防撞等级</w:t>
            </w:r>
            <w:r>
              <w:rPr>
                <w:rFonts w:hint="eastAsia"/>
              </w:rPr>
              <w:t xml:space="preserve">≥</w:t>
            </w:r>
            <w:r>
              <w:rPr>
                <w:rFonts w:hint="eastAsia" w:ascii="宋体" w:hAnsi="宋体"/>
                <w:sz w:val="18"/>
                <w:szCs w:val="18"/>
              </w:rPr>
              <w:t xml:space="preserve">TB</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10600.00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21200.00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钢制防撞垫</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防撞等级</w:t>
            </w:r>
            <w:r>
              <w:rPr>
                <w:rFonts w:hint="eastAsia"/>
              </w:rPr>
              <w:t xml:space="preserve">≥</w:t>
            </w:r>
            <w:r>
              <w:rPr>
                <w:rFonts w:hint="eastAsia" w:ascii="宋体" w:hAnsi="宋体"/>
                <w:sz w:val="18"/>
                <w:szCs w:val="18"/>
              </w:rPr>
              <w:t xml:space="preserve">TA</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12500.00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37500.00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钢制防撞垫</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防撞等级</w:t>
            </w:r>
            <w:r>
              <w:rPr>
                <w:rFonts w:hint="eastAsia"/>
              </w:rPr>
              <w:t xml:space="preserve">≥</w:t>
            </w:r>
            <w:r>
              <w:rPr>
                <w:rFonts w:hint="eastAsia" w:ascii="宋体" w:hAnsi="宋体"/>
                <w:sz w:val="18"/>
                <w:szCs w:val="18"/>
              </w:rPr>
              <w:t xml:space="preserve">TS</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14600.00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14600.00</w:t>
            </w:r>
            <w:r/>
          </w:p>
        </w:tc>
      </w:tr>
      <w:tr>
        <w:trPr>
          <w:jc w:val="center"/>
          <w:trHeight w:val="49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黄砂桶</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PVC工程塑料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2100.00</w:t>
            </w:r>
            <w:r/>
          </w:p>
        </w:tc>
      </w:tr>
      <w:tr>
        <w:trPr>
          <w:jc w:val="center"/>
          <w:trHeight w:val="59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警示桩（PVC）带底座</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警示柱直径80mm×750mm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11400.00</w:t>
            </w:r>
            <w:r/>
          </w:p>
        </w:tc>
      </w:tr>
      <w:tr>
        <w:trPr>
          <w:jc w:val="center"/>
          <w:trHeight w:val="60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隔离栅</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规格尺寸：3000*1800mm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片</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5620.00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A级梯座护栏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高架用</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28750.00</w:t>
            </w:r>
            <w:r/>
          </w:p>
        </w:tc>
      </w:tr>
      <w:tr>
        <w:trPr>
          <w:jc w:val="center"/>
          <w:trHeight w:val="618"/>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二</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b/>
                <w:bCs/>
                <w:sz w:val="18"/>
                <w:szCs w:val="18"/>
              </w:rPr>
            </w:pPr>
            <w:r>
              <w:rPr>
                <w:rFonts w:hint="eastAsia" w:ascii="宋体" w:hAnsi="宋体"/>
                <w:b/>
                <w:bCs/>
                <w:sz w:val="18"/>
                <w:szCs w:val="18"/>
              </w:rPr>
              <w:t xml:space="preserve">公交微枢纽设施优化提升</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★热熔型标线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1、材料品种：普通热熔标线涂料</w:t>
            </w:r>
            <w:r/>
          </w:p>
          <w:p>
            <w:pPr>
              <w:ind w:left="0"/>
              <w:jc w:val="left"/>
              <w:tabs>
                <w:tab w:val="left" w:pos="420" w:leader="none"/>
              </w:tabs>
              <w:rPr>
                <w:rFonts w:ascii="宋体" w:hAnsi="宋体"/>
                <w:sz w:val="18"/>
                <w:szCs w:val="18"/>
              </w:rPr>
            </w:pPr>
            <w:r>
              <w:rPr>
                <w:rFonts w:hint="eastAsia" w:ascii="宋体" w:hAnsi="宋体"/>
                <w:sz w:val="18"/>
                <w:szCs w:val="18"/>
              </w:rPr>
              <w:t xml:space="preserve">2、工艺：厚度应≥1.6mm，颜色为白色、黄色，应添加玻璃微珠等填充材料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768</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31872.00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地面标线除线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清除方法:原地面标线清除，机械水冲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22040.00</w:t>
            </w:r>
            <w:r/>
          </w:p>
        </w:tc>
      </w:tr>
      <w:tr>
        <w:trPr>
          <w:jc w:val="center"/>
          <w:trHeight w:val="55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地面彩色标识（预成型）</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文字、图案、箭头、标志等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1740.00</w:t>
            </w:r>
            <w:r/>
          </w:p>
        </w:tc>
      </w:tr>
      <w:tr>
        <w:trPr>
          <w:jc w:val="center"/>
          <w:trHeight w:val="54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彩色立体标识（预成型）</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文字、图案、箭头、标志等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4500.00</w:t>
            </w:r>
            <w:r/>
          </w:p>
        </w:tc>
      </w:tr>
      <w:tr>
        <w:trPr>
          <w:jc w:val="center"/>
          <w:trHeight w:val="113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全透型发光标志板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1、类型：LED主动发光标志板</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2、材质、规格尺寸：三角形边长900mm，铝合金板，厚度2mm，内置LED光源板，背部定向投射光源</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1130.18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3390.54</w:t>
            </w:r>
            <w:r/>
          </w:p>
        </w:tc>
      </w:tr>
      <w:tr>
        <w:trPr>
          <w:jc w:val="center"/>
          <w:trHeight w:val="1168"/>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全透型发光标志板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1、类型：LED主动发光标志板</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2、材质、规格尺寸：圆形直径600mm，铝合金板，厚度2mm，内置LED光源板，背部定向投射光源</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910.62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1821.24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全透型发光标志板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1、类型：LED主动发光标志板</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2、材质、规格尺寸：圆形直径800mm，铝合金板，厚度2mm，内置LED光源板，背部定向投射光源</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1425.00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1425.00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全透型发光标志板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1、类型：LED主动发光标志板</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2、材质、规格尺寸：正方形800mm，铝合金板，厚度2mm，内置LED光源板，背部定向投射光源</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1855.00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9275.00</w:t>
            </w:r>
            <w:r/>
          </w:p>
        </w:tc>
      </w:tr>
      <w:tr>
        <w:trPr>
          <w:jc w:val="center"/>
          <w:trHeight w:val="64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标志牌版面(2mm铝板)、工程级反光膜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15375.00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三</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b/>
                <w:bCs/>
                <w:sz w:val="18"/>
                <w:szCs w:val="18"/>
              </w:rPr>
            </w:pPr>
            <w:r>
              <w:rPr>
                <w:rFonts w:hint="eastAsia" w:ascii="宋体" w:hAnsi="宋体"/>
                <w:b/>
                <w:bCs/>
                <w:sz w:val="18"/>
                <w:szCs w:val="18"/>
              </w:rPr>
              <w:t xml:space="preserve">交通节点优化提升</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★热熔型标线</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1、材料品种：普通热熔标线涂料</w:t>
            </w:r>
            <w:r/>
          </w:p>
          <w:p>
            <w:pPr>
              <w:ind w:left="0"/>
              <w:jc w:val="left"/>
              <w:tabs>
                <w:tab w:val="left" w:pos="420" w:leader="none"/>
              </w:tabs>
              <w:rPr>
                <w:rFonts w:ascii="宋体" w:hAnsi="宋体"/>
                <w:sz w:val="18"/>
                <w:szCs w:val="18"/>
              </w:rPr>
            </w:pPr>
            <w:r>
              <w:rPr>
                <w:rFonts w:hint="eastAsia" w:ascii="宋体" w:hAnsi="宋体"/>
                <w:sz w:val="18"/>
                <w:szCs w:val="18"/>
              </w:rPr>
              <w:t xml:space="preserve">2、工艺：厚度应≥1.6mm，颜色为白色、黄色，应添加玻璃微珠等填充材料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187995.00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地面标线除线</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清除方法:原地面标线清除，机械水冲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65540.00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2、材质、规格尺寸：圆形直径800mm，铝合金板，底板厚度1.5mm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16254.00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2、材质、规格尺寸：三角形边长1100mm，铝合金板，底板厚度1.5mm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3456.00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2、材质、规格尺寸：三角形边长900</w:t>
            </w:r>
            <w:r>
              <w:rPr>
                <w:rStyle w:val="1076"/>
                <w:rFonts w:hint="eastAsia"/>
              </w:rPr>
              <w:t xml:space="preserve">mm</w:t>
            </w:r>
            <w:r>
              <w:rPr>
                <w:rFonts w:hint="eastAsia" w:ascii="宋体" w:hAnsi="宋体"/>
                <w:sz w:val="18"/>
                <w:szCs w:val="18"/>
              </w:rPr>
              <w:t xml:space="preserve">，铝合金板，底板厚度1.5mm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4825.00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2、材质、规格尺寸：正方形800mm*800mm，铝合金板，底板厚度1.5mm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353.00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22239.00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1、类型:单悬臂标志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2、材质、规格尺寸:1.版面规格：3000mm*2000mm ；2.版面材质：2mm铝合金板，底膜不低于Ⅲ类反光膜，文字、图案不低于Ⅳ类反光膜，含相关附件；3.钢结构材料：直径299*10*7700mm*1根，直径159*6*4000mm*2根，及钢结构连接板、加强板等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20605.81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41211.62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1、类型:单悬臂标志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 ；2.版面材质：2mm铝合金板，底膜不低于Ⅲ类反光膜，文字、图案不低于Ⅳ类反光膜，含相关附件；3.钢结构材料：直径299*10*7500mm*1根，直径159*6*4000mm*2根，及钢结构连接板、加强板等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18761.88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37523.76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传统指路标志、行车道标志（悬臂式）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1、类型:单悬臂标志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2、材质、规格尺寸:1.版面规格：3000mm*1800mm*2块，2.版面材质：厚度2mm铝合金板，底膜不低于Ⅲ类反光膜，文字、图案不低于Ⅳ类反光膜，含相关附件；3.钢结构材料：</w:t>
            </w:r>
            <w:r/>
          </w:p>
          <w:p>
            <w:pPr>
              <w:ind w:left="0"/>
              <w:jc w:val="left"/>
              <w:tabs>
                <w:tab w:val="left" w:pos="420" w:leader="none"/>
              </w:tabs>
              <w:rPr>
                <w:rFonts w:ascii="宋体" w:hAnsi="宋体"/>
                <w:sz w:val="18"/>
                <w:szCs w:val="18"/>
              </w:rPr>
            </w:pPr>
            <w:r>
              <w:rPr>
                <w:rFonts w:hint="eastAsia" w:ascii="宋体" w:hAnsi="宋体"/>
                <w:sz w:val="18"/>
                <w:szCs w:val="18"/>
              </w:rPr>
              <w:t xml:space="preserve">直径325*10*7500mm*1根，直径159*6*7000mm*2根，及钢结构连接板、加强板等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22923.53</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45847.06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1、类型:单悬臂指路标志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2、材质、规格尺寸:1.版面规格：4000mm*2500mm ；2.版面材质：3mm铝合金板，底膜不低于Ⅲ类反光膜，文字、图案不低于Ⅳ类反光膜，含相关附件；3.钢结构材料：直径325*10*8200mm*1根，直径159*8*5000mm*3根，及钢结构连接板、加强板等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25752.20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51504.40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1、类型:单悬臂标志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4000mm*2500mm*2块2.版面材质：3mm铝合金板，底膜不低于Ⅲ类反光膜，文字、图案不低于Ⅳ类反光膜，含相关附件；3.钢结构材料：直径457*10*8200mm*1根，直径220*8*9000mm*3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46050.69</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92101.38</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传统指路标志、行车道标志（悬臂式）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1、类型:单悬臂标志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2、材质、规格尺寸:1.版面规格：3000mm*2000mm*2块 ；2.版面材质：2mm铝</w:t>
            </w:r>
            <w:r>
              <w:rPr>
                <w:rFonts w:hint="eastAsia" w:ascii="宋体" w:hAnsi="宋体"/>
                <w:sz w:val="18"/>
                <w:szCs w:val="18"/>
              </w:rPr>
              <w:t xml:space="preserve">合金板，底膜不低于Ⅲ类反光膜，文字、图案不低于Ⅳ类反光膜，含相关附件；3.钢结构材料：直径325*10*7700mm*1根，直径159*8*6500mm*2根，及钢结构连接板、加强板等；</w:t>
            </w:r>
            <w:r/>
          </w:p>
          <w:p>
            <w:pPr>
              <w:ind w:left="0"/>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27685.63</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55371.26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仿古式指路、车道标志牌（悬臂式）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1、类型:仿古式悬臂标志牌</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2、材质、规格尺寸:1.版面规格：3000mm*1800mm*2块 ；2.版面材质：2mm铝合金板，底膜不低于Ⅲ类反光膜，文字、图案不低于Ⅳ类反光膜，含相关附件；3.钢结构材料：300*300*8*9060mm*1根，100*150*6*7710mm*2根，及钢结构连接板、加强板等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36229.16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72458.32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仿古式指路标志牌（悬臂式）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1、类型:仿古式悬臂标志牌</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 ；2.版面材质：2mm铝合金板，底膜不低于Ⅲ类反光膜，文字、图案不低于Ⅳ类反光膜，含相关附件；3.钢结构材料：300*300*8*9060mm*1根，100*150*6*5650mm*2根，及钢结构连接板、加强板等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30714.01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61428.02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指路、车道标志牌（悬臂式）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1、类型:组合式悬臂标志牌</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2、材质、规格尺寸:1.版面规格：3000mm*1800mm*2块 ；2.版面材质：2mm铝合金板，底膜不低于Ⅲ类反光膜，文字、图案不低于Ⅳ类反光膜，含相关附件；3.钢结构材料：</w:t>
            </w:r>
            <w:r/>
          </w:p>
          <w:p>
            <w:pPr>
              <w:ind w:left="0"/>
              <w:jc w:val="left"/>
              <w:tabs>
                <w:tab w:val="left" w:pos="420" w:leader="none"/>
              </w:tabs>
              <w:rPr>
                <w:rFonts w:ascii="宋体" w:hAnsi="宋体"/>
                <w:sz w:val="18"/>
                <w:szCs w:val="18"/>
              </w:rPr>
            </w:pPr>
            <w:r>
              <w:rPr>
                <w:rFonts w:hint="eastAsia" w:ascii="宋体" w:hAnsi="宋体"/>
                <w:sz w:val="18"/>
                <w:szCs w:val="18"/>
              </w:rPr>
              <w:t xml:space="preserve">150*250*10*10500mm*2根，100*200*8*7280mm*2根，100*200*8*2100mm*2根及钢结构连接板、加强板等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47890.06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47890.06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指路标志牌（悬臂式）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1、类型:组合式悬臂标志牌</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2、材质、规格尺寸:1.版面规格：3000mm*1800mm ；2.版面材质：2mm铝合金板，底膜不低于Ⅲ类反光膜，文字、图案不低于Ⅳ类反光膜，含相关附件；3.钢结构材料：</w:t>
            </w:r>
            <w:r/>
          </w:p>
          <w:p>
            <w:pPr>
              <w:ind w:left="0"/>
              <w:jc w:val="left"/>
              <w:tabs>
                <w:tab w:val="left" w:pos="420" w:leader="none"/>
              </w:tabs>
              <w:rPr>
                <w:rFonts w:ascii="宋体" w:hAnsi="宋体"/>
                <w:sz w:val="18"/>
                <w:szCs w:val="18"/>
              </w:rPr>
            </w:pPr>
            <w:r>
              <w:rPr>
                <w:rFonts w:hint="eastAsia" w:ascii="宋体" w:hAnsi="宋体"/>
                <w:sz w:val="18"/>
                <w:szCs w:val="18"/>
              </w:rPr>
              <w:t xml:space="preserve">150*250*10*8570mm*2根，100*200*8*7280mm*2根，100*200*8*2100mm*2根及钢结构连接板、加强板等</w:t>
            </w:r>
            <w:r/>
          </w:p>
          <w:p>
            <w:pPr>
              <w:ind w:left="0"/>
              <w:jc w:val="left"/>
              <w:tabs>
                <w:tab w:val="left" w:pos="420" w:leader="none"/>
              </w:tabs>
              <w:rPr>
                <w:rFonts w:ascii="宋体" w:hAnsi="宋体"/>
                <w:sz w:val="18"/>
                <w:szCs w:val="18"/>
              </w:rPr>
            </w:pPr>
            <w:r>
              <w:rPr>
                <w:rFonts w:hint="eastAsia" w:ascii="宋体" w:hAnsi="宋体"/>
                <w:sz w:val="18"/>
                <w:szCs w:val="18"/>
              </w:rPr>
              <w:t xml:space="preserve">3、备注:基础规格：C30砼基础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42309.46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42309.46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机非分道标志（单柱式）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2、材质、规格尺寸:版面规格：圆形直径400mm*2块，含相关附件，钢结构材质：30*60*2200mm*2mm厚</w:t>
            </w:r>
            <w:r/>
          </w:p>
          <w:p>
            <w:pPr>
              <w:ind w:left="0"/>
              <w:jc w:val="left"/>
              <w:tabs>
                <w:tab w:val="left" w:pos="420" w:leader="none"/>
              </w:tabs>
              <w:rPr>
                <w:rFonts w:ascii="宋体" w:hAnsi="宋体"/>
                <w:sz w:val="18"/>
                <w:szCs w:val="18"/>
              </w:rPr>
            </w:pPr>
            <w:r>
              <w:rPr>
                <w:rFonts w:hint="eastAsia" w:ascii="宋体" w:hAnsi="宋体"/>
                <w:sz w:val="18"/>
                <w:szCs w:val="18"/>
              </w:rPr>
              <w:t xml:space="preserve">3、版面采用2mm厚铝合金板，底膜不低于Ⅲ类反光膜，文字、图案不低于Ⅳ类反光膜</w:t>
            </w:r>
            <w:r/>
          </w:p>
          <w:p>
            <w:pPr>
              <w:ind w:left="0"/>
              <w:jc w:val="left"/>
              <w:tabs>
                <w:tab w:val="left" w:pos="420" w:leader="none"/>
              </w:tabs>
              <w:rPr>
                <w:rFonts w:ascii="宋体" w:hAnsi="宋体"/>
                <w:sz w:val="18"/>
                <w:szCs w:val="18"/>
              </w:rPr>
            </w:pPr>
            <w:r>
              <w:rPr>
                <w:rFonts w:hint="eastAsia" w:ascii="宋体" w:hAnsi="宋体"/>
                <w:sz w:val="18"/>
                <w:szCs w:val="18"/>
              </w:rPr>
              <w:t xml:space="preserve">4、不含基础</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299.70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3596.40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机非分道标志（单柱式）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2、材质、规格尺寸:版面规格：圆形直径800mm*2块，含相关附件，钢结构材质：直径89mm*4mm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1444.27</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8665.62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机非分道标志（单柱式）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2、材质、规格尺寸:版面规格圆形直径600mm*2块，含相关附件，钢结构材质：直径89mm*4mm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1117</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8936.00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靠右侧行驶标志（单柱式)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2、材质、规格尺寸:版面规格：直径800mm，含相关附件，钢结构材质：直径89mm*4mm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1093.74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8749.92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注意行人、及叉路口标志(单柱式）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2、材质、规格尺寸:版面规格：三角形边长1100mm*2块，含相关附件，钢结构材质：直径89mm*4mm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1425.38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17104.56</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注意行人、及叉路口标志（单柱式）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2、材质、规格尺寸:版面规格：三角形边长900mm*2块，含相关附件，钢结构材质：直径89mm*4mm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1222.70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14672.40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注意行人标志（单柱式）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2、材质、规格尺寸:版面规格：三角形边长1100mm ，含相关附件，钢结构材质：直径89mm*4mm；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1110.86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13330.32</w:t>
            </w:r>
            <w:r/>
          </w:p>
        </w:tc>
      </w:tr>
      <w:tr>
        <w:trPr>
          <w:jc w:val="center"/>
          <w:trHeight w:val="4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注意行人标志（单柱式）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2、材质、规格尺寸:版面规格：三角形边长900mm ，含相关附件，钢结构材质：直径89mm*4mm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902.45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13536.75</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人行横道标志（单柱式）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2、材质、规格尺寸:版面规格：800*800mm ，含相关附件，钢结构材质：直径89mm*4mm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1049.44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22038.24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禁令标志+辅助牌(单柱式)</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2、材质、规格尺寸:版面规格：直径800mm+300*700mm，含相关附件，钢结构材质：直径89mm*4mm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3、版面厚度2mm，反光膜等级参照&lt;&lt;道路交通反光膜&gt;&gt;(GB/T18833)要求，基础：C30砼，规格400mm*400mm*1000mm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1141.21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15976.94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tabs>
                <w:tab w:val="left" w:pos="420" w:leader="none"/>
              </w:tabs>
            </w:pPr>
            <w:r>
              <w:rPr>
                <w:rFonts w:hint="eastAsia"/>
              </w:rPr>
              <w:t xml:space="preserve">1</w:t>
            </w:r>
            <w:r>
              <w:rPr>
                <w:rFonts w:hint="eastAsia"/>
              </w:rPr>
              <w:t xml:space="preserve">、类型</w:t>
            </w:r>
            <w:r>
              <w:rPr>
                <w:rFonts w:hint="eastAsia"/>
              </w:rPr>
              <w:t xml:space="preserve">:</w:t>
            </w:r>
            <w:r>
              <w:rPr>
                <w:rFonts w:hint="eastAsia"/>
              </w:rPr>
              <w:t xml:space="preserve">支架式指示标志</w:t>
            </w:r>
            <w:r/>
          </w:p>
          <w:p>
            <w:pPr>
              <w:ind w:left="0"/>
              <w:tabs>
                <w:tab w:val="left" w:pos="420" w:leader="none"/>
              </w:tabs>
            </w:pPr>
            <w:r>
              <w:rPr>
                <w:rFonts w:hint="eastAsia"/>
              </w:rPr>
              <w:t xml:space="preserve">2</w:t>
            </w:r>
            <w:r>
              <w:rPr>
                <w:rFonts w:hint="eastAsia"/>
              </w:rPr>
              <w:t xml:space="preserve">、材质、规格尺寸</w:t>
            </w:r>
            <w:r>
              <w:rPr>
                <w:rFonts w:hint="eastAsia"/>
              </w:rPr>
              <w:t xml:space="preserve">:</w:t>
            </w:r>
            <w:r>
              <w:rPr>
                <w:rFonts w:hint="eastAsia"/>
              </w:rPr>
              <w:t xml:space="preserve">版面规格：</w:t>
            </w:r>
            <w:r>
              <w:rPr>
                <w:rFonts w:hint="eastAsia"/>
              </w:rPr>
              <w:t xml:space="preserve">3000*1800mm</w:t>
            </w:r>
            <w:r>
              <w:rPr>
                <w:rFonts w:hint="eastAsia"/>
              </w:rPr>
              <w:t xml:space="preserve">，含相关附件，钢结构材质：</w:t>
            </w:r>
            <w:r>
              <w:rPr>
                <w:rFonts w:hint="eastAsia"/>
              </w:rPr>
              <w:t xml:space="preserve">30*30mm*2mm</w:t>
            </w:r>
            <w:r>
              <w:rPr>
                <w:rFonts w:hint="eastAsia"/>
              </w:rPr>
              <w:t xml:space="preserve">镀锌方管</w:t>
            </w:r>
            <w:r/>
          </w:p>
          <w:p>
            <w:pPr>
              <w:ind w:left="0"/>
              <w:tabs>
                <w:tab w:val="left" w:pos="420" w:leader="none"/>
              </w:tabs>
            </w:pPr>
            <w:r>
              <w:rPr>
                <w:rFonts w:hint="eastAsia"/>
              </w:rPr>
              <w:t xml:space="preserve">3</w:t>
            </w:r>
            <w:r>
              <w:rPr>
                <w:rFonts w:hint="eastAsia"/>
              </w:rPr>
              <w:t xml:space="preserve">、版面</w:t>
            </w:r>
            <w:r>
              <w:rPr>
                <w:rFonts w:hint="eastAsia"/>
              </w:rPr>
              <w:t xml:space="preserve">2mm</w:t>
            </w:r>
            <w:r>
              <w:rPr>
                <w:rFonts w:hint="eastAsia"/>
              </w:rPr>
              <w:t xml:space="preserve">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4989.60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29937.60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2、材质、规格尺寸:版面规格：2400*1400mm，含相关附件，钢结构材质：30*30mm*2mm镀锌方管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3239.10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22673.70</w:t>
            </w:r>
            <w:r/>
          </w:p>
        </w:tc>
      </w:tr>
      <w:tr>
        <w:trPr>
          <w:jc w:val="center"/>
          <w:trHeight w:val="63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2、材质、规格尺寸:版面规格：2000*1400mm，含相关附件，钢结构材质：30*30mm*2mm镀锌方管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2914.30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17485.80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2、材质、规格尺寸:版面规格：2000*800mm，含相关附件，钢结构材质：30*30mm*2mm镀锌方管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8250.00</w:t>
            </w:r>
            <w:r/>
          </w:p>
        </w:tc>
      </w:tr>
      <w:tr>
        <w:trPr>
          <w:jc w:val="center"/>
          <w:trHeight w:val="41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2、材质、规格尺寸:版面规格：1600*900mm，含相关附件，钢结构材质：30*30mm*2mm镀锌方管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1766.70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10600.20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2、材质、规格尺寸:版面规格：700*900mm，含相关附件，钢结构材质：30*30mm*2mm镀锌方管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882.90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7063.20</w:t>
            </w:r>
            <w:r/>
          </w:p>
        </w:tc>
      </w:tr>
      <w:tr>
        <w:trPr>
          <w:jc w:val="center"/>
          <w:trHeight w:val="178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支架式指示标志</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1、类型:支架式指示标志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2、材质、规格尺寸:版面规格：1500*600mm，含相关附件，钢结构材质：30*30mm*2mm镀锌方管</w:t>
            </w:r>
            <w:r/>
          </w:p>
          <w:p>
            <w:pPr>
              <w:ind w:left="0"/>
              <w:jc w:val="left"/>
              <w:tabs>
                <w:tab w:val="left" w:pos="420" w:leader="none"/>
              </w:tabs>
              <w:rPr>
                <w:rFonts w:ascii="宋体" w:hAnsi="宋体"/>
                <w:sz w:val="18"/>
                <w:szCs w:val="18"/>
              </w:rPr>
            </w:pPr>
            <w:r>
              <w:rPr>
                <w:rFonts w:hint="eastAsia" w:ascii="宋体" w:hAnsi="宋体"/>
                <w:sz w:val="18"/>
                <w:szCs w:val="18"/>
              </w:rPr>
              <w:t xml:space="preserve">3、版面2mm厚，底膜不低于Ⅲ类反光膜，文字、图案不低于Ⅳ类反光膜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1108.50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5542.50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标志牌版面(2mm铝板)、Ⅰ类反光膜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197415.00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标志牌版面(2mm铝板)、Ⅲ类反光膜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118400.00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标志牌版面(2mm铝板)、Ⅳ类反光膜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835.00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25050.00</w:t>
            </w:r>
            <w:r/>
          </w:p>
        </w:tc>
      </w:tr>
      <w:tr>
        <w:trPr>
          <w:jc w:val="center"/>
          <w:trHeight w:val="63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标志牌版面(3mm铝板)、Ⅲ类反光膜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114000.00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标志牌版面(3mm铝板)、Ⅳ类反光膜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102000.00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标志牌版面(3mm铝板)、Ⅴ类反光膜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980.00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61740.00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版面更换反光膜（Ⅰ类）</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235.00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29845.00</w:t>
            </w:r>
            <w:r/>
          </w:p>
        </w:tc>
      </w:tr>
      <w:tr>
        <w:trPr>
          <w:jc w:val="center"/>
          <w:trHeight w:val="63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版面更换反光膜（Ⅲ类）</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260.00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16380.00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版面更换反光膜（Ⅳ类）</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20300.00</w:t>
            </w:r>
            <w:r/>
          </w:p>
        </w:tc>
      </w:tr>
      <w:tr>
        <w:trPr>
          <w:jc w:val="center"/>
          <w:trHeight w:val="4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附着式标志牌紧固件</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不锈钢材质</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9525.00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钢结构</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含立杆、悬臂、加强板、紧固件、表面处理</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kg</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273000.00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钢筋混凝土基础</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C30混凝土，钢筋，含开挖等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立方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943.12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245211.20</w:t>
            </w:r>
            <w:r/>
          </w:p>
        </w:tc>
      </w:tr>
      <w:tr>
        <w:trPr>
          <w:jc w:val="center"/>
          <w:trHeight w:val="52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悬臂式标志拆除</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仿古式、传统式、多边形、组合式</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746.00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8952.00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悬臂式标志安装（不含基础）</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仿古式、传统式、多边形、组合式</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1576.60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18919.20</w:t>
            </w:r>
            <w:r/>
          </w:p>
        </w:tc>
      </w:tr>
      <w:tr>
        <w:trPr>
          <w:jc w:val="center"/>
          <w:trHeight w:val="48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新泽西护栏</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长度2000mm*高度810mm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421.20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5054.40</w:t>
            </w:r>
            <w:r/>
          </w:p>
        </w:tc>
      </w:tr>
      <w:tr>
        <w:trPr>
          <w:jc w:val="center"/>
          <w:trHeight w:val="3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油漆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1、除锈级别:标杆油漆</w:t>
            </w:r>
            <w:r/>
          </w:p>
          <w:p>
            <w:pPr>
              <w:ind w:left="0"/>
              <w:tabs>
                <w:tab w:val="left" w:pos="420" w:leader="none"/>
              </w:tabs>
              <w:rPr>
                <w:rFonts w:ascii="宋体" w:hAnsi="宋体"/>
                <w:sz w:val="18"/>
                <w:szCs w:val="18"/>
              </w:rPr>
            </w:pPr>
            <w:r>
              <w:rPr>
                <w:rFonts w:hint="eastAsia" w:ascii="宋体" w:hAnsi="宋体"/>
                <w:sz w:val="18"/>
                <w:szCs w:val="18"/>
              </w:rPr>
              <w:t xml:space="preserve">2、油漆品种:①基层处理，铲除原有掉皮脱落的油漆，除锈应不低于标准GB/T8923.1-2011的Sa2级，打磨面层、刮腻子。②喷涂环氧富锌底漆二道，要求颜色深灰色。③焊接、划伤部位局部刮补腻子（原子灰）。④喷涂丙烯酸消磁漆二道，要求颜色深灰色</w:t>
            </w:r>
            <w:r/>
          </w:p>
          <w:p>
            <w:pPr>
              <w:ind w:left="0"/>
              <w:tabs>
                <w:tab w:val="left" w:pos="420" w:leader="none"/>
              </w:tabs>
              <w:rPr>
                <w:rFonts w:ascii="宋体" w:hAnsi="宋体"/>
                <w:sz w:val="18"/>
                <w:szCs w:val="18"/>
              </w:rPr>
            </w:pPr>
            <w:r>
              <w:rPr>
                <w:rFonts w:hint="eastAsia" w:ascii="宋体" w:hAnsi="宋体"/>
                <w:sz w:val="18"/>
                <w:szCs w:val="18"/>
              </w:rPr>
              <w:t xml:space="preserve">工作内容：1、除锈2、调配、涂刷</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39.53</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25101.55</w:t>
            </w:r>
            <w:r/>
          </w:p>
        </w:tc>
      </w:tr>
      <w:tr>
        <w:trPr>
          <w:jc w:val="center"/>
          <w:trHeight w:val="183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油漆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1、材料品种:水泥饰面油漆</w:t>
            </w:r>
            <w:r/>
          </w:p>
          <w:p>
            <w:pPr>
              <w:ind w:left="0"/>
              <w:tabs>
                <w:tab w:val="left" w:pos="420" w:leader="none"/>
              </w:tabs>
              <w:rPr>
                <w:rFonts w:ascii="宋体" w:hAnsi="宋体"/>
                <w:sz w:val="18"/>
                <w:szCs w:val="18"/>
              </w:rPr>
            </w:pPr>
            <w:r>
              <w:rPr>
                <w:rFonts w:hint="eastAsia" w:ascii="宋体" w:hAnsi="宋体"/>
                <w:sz w:val="18"/>
                <w:szCs w:val="18"/>
              </w:rPr>
              <w:t xml:space="preserve">2、工艺:①打扫去毛刺，除尘去污迹，要求侧石洁净且平滑②油漆两遍，油漆涂刷时间需等上一道油漆干燥渗透后才进行下一道油漆③油漆选用黄醇酸磁漆和黑醇酸磁漆</w:t>
            </w:r>
            <w:r/>
          </w:p>
          <w:p>
            <w:pPr>
              <w:ind w:left="0"/>
              <w:tabs>
                <w:tab w:val="left" w:pos="420" w:leader="none"/>
              </w:tabs>
              <w:rPr>
                <w:rFonts w:ascii="宋体" w:hAnsi="宋体"/>
                <w:sz w:val="18"/>
                <w:szCs w:val="18"/>
              </w:rPr>
            </w:pPr>
            <w:r>
              <w:rPr>
                <w:rFonts w:hint="eastAsia" w:ascii="宋体" w:hAnsi="宋体"/>
                <w:sz w:val="18"/>
                <w:szCs w:val="18"/>
              </w:rPr>
              <w:t xml:space="preserve">工作内容：1、油漆敷设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32.75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818.75</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CB-4立杆八角型（含配件）</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八角型8500*320*230*8mm、</w:t>
            </w:r>
            <w:r/>
          </w:p>
          <w:p>
            <w:pPr>
              <w:ind w:left="0"/>
              <w:tabs>
                <w:tab w:val="left" w:pos="420" w:leader="none"/>
              </w:tabs>
              <w:rPr>
                <w:rFonts w:ascii="宋体" w:hAnsi="宋体"/>
                <w:sz w:val="18"/>
                <w:szCs w:val="18"/>
              </w:rPr>
            </w:pPr>
            <w:r>
              <w:rPr>
                <w:rFonts w:hint="eastAsia" w:ascii="宋体" w:hAnsi="宋体"/>
                <w:sz w:val="18"/>
                <w:szCs w:val="18"/>
              </w:rPr>
              <w:t xml:space="preserve">悬臂40</w:t>
            </w:r>
            <w:r>
              <w:rPr>
                <w:rFonts w:ascii="宋体" w:hAnsi="宋体"/>
                <w:sz w:val="18"/>
                <w:szCs w:val="18"/>
              </w:rPr>
              <w:t xml:space="preserve">00</w:t>
            </w:r>
            <w:r>
              <w:rPr>
                <w:rFonts w:hint="eastAsia" w:ascii="宋体" w:hAnsi="宋体"/>
                <w:sz w:val="18"/>
                <w:szCs w:val="18"/>
              </w:rPr>
              <w:t xml:space="preserve">*267*114*6mm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7049.00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14098.00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CB-6立杆八角型（含配件）</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八角型8500*320*230*8mm、</w:t>
            </w:r>
            <w:r/>
          </w:p>
          <w:p>
            <w:pPr>
              <w:ind w:left="0"/>
              <w:tabs>
                <w:tab w:val="left" w:pos="420" w:leader="none"/>
              </w:tabs>
              <w:rPr>
                <w:rFonts w:ascii="宋体" w:hAnsi="宋体"/>
                <w:sz w:val="18"/>
                <w:szCs w:val="18"/>
              </w:rPr>
            </w:pPr>
            <w:r>
              <w:rPr>
                <w:rFonts w:hint="eastAsia" w:ascii="宋体" w:hAnsi="宋体"/>
                <w:sz w:val="18"/>
                <w:szCs w:val="18"/>
              </w:rPr>
              <w:t xml:space="preserve">悬臂60</w:t>
            </w:r>
            <w:r>
              <w:rPr>
                <w:rFonts w:ascii="宋体" w:hAnsi="宋体"/>
                <w:sz w:val="18"/>
                <w:szCs w:val="18"/>
              </w:rPr>
              <w:t xml:space="preserve">00</w:t>
            </w:r>
            <w:r>
              <w:rPr>
                <w:rFonts w:hint="eastAsia" w:ascii="宋体" w:hAnsi="宋体"/>
                <w:sz w:val="18"/>
                <w:szCs w:val="18"/>
              </w:rPr>
              <w:t xml:space="preserve">*267*114*6mm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12445.00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24890.00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CB-9立杆八角型（含配件）</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八角型8500*320*230*8mm、</w:t>
            </w:r>
            <w:r/>
          </w:p>
          <w:p>
            <w:pPr>
              <w:ind w:left="0"/>
              <w:tabs>
                <w:tab w:val="left" w:pos="420" w:leader="none"/>
              </w:tabs>
              <w:rPr>
                <w:rFonts w:ascii="宋体" w:hAnsi="宋体"/>
                <w:sz w:val="18"/>
                <w:szCs w:val="18"/>
              </w:rPr>
            </w:pPr>
            <w:r>
              <w:rPr>
                <w:rFonts w:hint="eastAsia" w:ascii="宋体" w:hAnsi="宋体"/>
                <w:sz w:val="18"/>
                <w:szCs w:val="18"/>
              </w:rPr>
              <w:t xml:space="preserve">悬臂90</w:t>
            </w:r>
            <w:r>
              <w:rPr>
                <w:rFonts w:ascii="宋体" w:hAnsi="宋体"/>
                <w:sz w:val="18"/>
                <w:szCs w:val="18"/>
              </w:rPr>
              <w:t xml:space="preserve">00</w:t>
            </w:r>
            <w:r>
              <w:rPr>
                <w:rFonts w:hint="eastAsia" w:ascii="宋体" w:hAnsi="宋体"/>
                <w:sz w:val="18"/>
                <w:szCs w:val="18"/>
              </w:rPr>
              <w:t xml:space="preserve">*267*114*6mm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14297.50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28595.00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单柱式信号灯立杆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复合型材料、4.5m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3357.50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6715.00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人行灯立杆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复合型材料、3m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2252.50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22525.00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多边形悬臂式F杆信号灯立杆CB-10</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六边400*400*7100mm </w:t>
            </w:r>
            <w:r/>
          </w:p>
          <w:p>
            <w:pPr>
              <w:ind w:left="0"/>
              <w:jc w:val="left"/>
              <w:tabs>
                <w:tab w:val="left" w:pos="420" w:leader="none"/>
              </w:tabs>
              <w:rPr>
                <w:rFonts w:ascii="宋体" w:hAnsi="宋体"/>
                <w:sz w:val="18"/>
                <w:szCs w:val="18"/>
              </w:rPr>
            </w:pPr>
            <w:r>
              <w:rPr>
                <w:rFonts w:hint="eastAsia" w:ascii="宋体" w:hAnsi="宋体"/>
                <w:sz w:val="18"/>
                <w:szCs w:val="18"/>
              </w:rPr>
              <w:t xml:space="preserve">六边140*140*10000mm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32597.50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65195.00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多边形悬臂式F杆信号灯立杆CB-8</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六边400*400*7100mm </w:t>
            </w:r>
            <w:r/>
          </w:p>
          <w:p>
            <w:pPr>
              <w:ind w:left="0"/>
              <w:jc w:val="left"/>
              <w:tabs>
                <w:tab w:val="left" w:pos="420" w:leader="none"/>
              </w:tabs>
              <w:rPr>
                <w:rFonts w:ascii="宋体" w:hAnsi="宋体"/>
                <w:sz w:val="18"/>
                <w:szCs w:val="18"/>
              </w:rPr>
            </w:pPr>
            <w:r>
              <w:rPr>
                <w:rFonts w:hint="eastAsia" w:ascii="宋体" w:hAnsi="宋体"/>
                <w:sz w:val="18"/>
                <w:szCs w:val="18"/>
              </w:rPr>
              <w:t xml:space="preserve">六边140*140*8000mm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33265.60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66531.20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多边形悬臂式F杆信号灯立杆CB-6</w:t>
            </w:r>
            <w:r/>
          </w:p>
        </w:tc>
        <w:tc>
          <w:tcPr>
            <w:gridSpan w:val="2"/>
            <w:shd w:val="clear" w:color="auto" w:fill="auto"/>
            <w:tcW w:w="368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六边400*400*7100mm</w:t>
            </w:r>
            <w:r/>
          </w:p>
          <w:p>
            <w:pPr>
              <w:ind w:left="0"/>
              <w:jc w:val="left"/>
              <w:tabs>
                <w:tab w:val="left" w:pos="420" w:leader="none"/>
              </w:tabs>
              <w:rPr>
                <w:rFonts w:ascii="宋体" w:hAnsi="宋体"/>
                <w:sz w:val="18"/>
                <w:szCs w:val="18"/>
              </w:rPr>
            </w:pPr>
            <w:r>
              <w:rPr>
                <w:rFonts w:hint="eastAsia" w:ascii="宋体" w:hAnsi="宋体"/>
                <w:sz w:val="18"/>
                <w:szCs w:val="18"/>
              </w:rPr>
              <w:t xml:space="preserve">六边140*140*6000mm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32105.50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64211.00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多边形单柱式F型信号灯立杆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六边140*3950mm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1312.50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6562.50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多边形单柱式F型人行灯立杆</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六边140*3600mm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1281.00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6405.00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82</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电线管</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PVC管，Ø20mm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14.15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3679.00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83</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预埋管</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镀锌钢管、Ø76mm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81.00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5265.00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84</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预埋管</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镀锌钢管、Ø102mm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112.50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6075.00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85</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预埋管</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尼龙管、Ø40mm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33.65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4374.50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86</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预埋管</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硅芯管、Ø80mm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44.97</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5846.10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87</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管线顶管施工</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PEØ60mm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88</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绿化带或土方开挖和修复</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宽400mm×深600mm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66.89</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6689.00</w:t>
            </w:r>
            <w:r/>
          </w:p>
        </w:tc>
      </w:tr>
      <w:tr>
        <w:trPr>
          <w:jc w:val="center"/>
          <w:trHeight w:val="49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89</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手孔井及井盖</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手孔井（砖砌）</w:t>
            </w:r>
            <w:r/>
          </w:p>
          <w:p>
            <w:pPr>
              <w:ind w:left="0"/>
              <w:tabs>
                <w:tab w:val="left" w:pos="420" w:leader="none"/>
              </w:tabs>
              <w:rPr>
                <w:rFonts w:ascii="宋体" w:hAnsi="宋体"/>
                <w:sz w:val="18"/>
                <w:szCs w:val="18"/>
              </w:rPr>
            </w:pPr>
            <w:r>
              <w:rPr>
                <w:rFonts w:hint="eastAsia" w:ascii="宋体" w:hAnsi="宋体"/>
                <w:sz w:val="18"/>
                <w:szCs w:val="18"/>
              </w:rPr>
              <w:t xml:space="preserve">规格：500mm*500mm*800mm（内径），含B125级 600mm*600mm钢纤维砼井盖</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740.91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7409.10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90</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沥青路面开挖及修复</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含结构层66cm以内</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495.95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31244.85</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91</w:t>
            </w:r>
            <w:r/>
          </w:p>
        </w:tc>
        <w:tc>
          <w:tcPr>
            <w:shd w:val="clear" w:color="auto" w:fill="auto"/>
            <w:tcW w:w="170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混凝土路面开挖及修复</w:t>
            </w:r>
            <w:r/>
          </w:p>
        </w:tc>
        <w:tc>
          <w:tcPr>
            <w:gridSpan w:val="2"/>
            <w:shd w:val="clear" w:color="auto" w:fill="auto"/>
            <w:tcW w:w="3682"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含结构层66cm以内</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304.86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3658.32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四</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b/>
                <w:bCs/>
                <w:sz w:val="18"/>
                <w:szCs w:val="18"/>
              </w:rPr>
              <w:t xml:space="preserve">景区、商贸区等重点部位优化提升</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★热熔型标线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1、材料品种：普通热熔标线涂料</w:t>
            </w:r>
            <w:r/>
          </w:p>
          <w:p>
            <w:pPr>
              <w:ind w:left="0"/>
              <w:tabs>
                <w:tab w:val="left" w:pos="420" w:leader="none"/>
              </w:tabs>
              <w:rPr>
                <w:rFonts w:ascii="宋体" w:hAnsi="宋体"/>
                <w:sz w:val="18"/>
                <w:szCs w:val="18"/>
              </w:rPr>
            </w:pPr>
            <w:r>
              <w:rPr>
                <w:rFonts w:hint="eastAsia" w:ascii="宋体" w:hAnsi="宋体"/>
                <w:sz w:val="18"/>
                <w:szCs w:val="18"/>
              </w:rPr>
              <w:t xml:space="preserve">2、工艺：厚度应≥1.6mm，颜色为白色、黄色，应添加玻璃微珠等填充材料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41.50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186750.00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常温型标线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含玻璃微珠</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756.00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标线施工台班</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100㎡工作量以下</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1120.00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13440.00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地面标线除线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清除方法:原地面标线清除，机械水冲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92800.00</w:t>
            </w:r>
            <w:r/>
          </w:p>
        </w:tc>
      </w:tr>
      <w:tr>
        <w:trPr>
          <w:jc w:val="center"/>
          <w:trHeight w:val="180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shd w:val="clear" w:color="auto" w:fill="auto"/>
            <w:tcW w:w="362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2、材质、规格尺寸：直径800mm，铝合金板，底板厚度1.5mm</w:t>
            </w:r>
            <w:r/>
          </w:p>
          <w:p>
            <w:pPr>
              <w:ind w:left="0"/>
              <w:jc w:val="left"/>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p>
            <w:pPr>
              <w:ind w:left="0"/>
              <w:tabs>
                <w:tab w:val="left" w:pos="420" w:leader="none"/>
              </w:tabs>
              <w:rPr>
                <w:rFonts w:ascii="宋体" w:hAnsi="宋体"/>
                <w:sz w:val="18"/>
                <w:szCs w:val="18"/>
              </w:rPr>
            </w:pPr>
            <w:r>
              <w:rPr>
                <w:rFonts w:ascii="宋体" w:hAnsi="宋体"/>
                <w:sz w:val="18"/>
                <w:szCs w:val="18"/>
              </w:rPr>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6450.00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停车场标志(单柱式)</w:t>
            </w:r>
            <w:r/>
          </w:p>
        </w:tc>
        <w:tc>
          <w:tcPr>
            <w:shd w:val="clear" w:color="auto" w:fill="auto"/>
            <w:tcW w:w="3620"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1、类型:单柱式标志</w:t>
            </w:r>
            <w:r/>
          </w:p>
          <w:p>
            <w:pPr>
              <w:ind w:left="0"/>
              <w:jc w:val="left"/>
              <w:tabs>
                <w:tab w:val="left" w:pos="420" w:leader="none"/>
              </w:tabs>
              <w:rPr>
                <w:rFonts w:ascii="宋体" w:hAnsi="宋体"/>
                <w:sz w:val="18"/>
                <w:szCs w:val="18"/>
              </w:rPr>
            </w:pPr>
            <w:r>
              <w:rPr>
                <w:rFonts w:hint="eastAsia" w:ascii="宋体" w:hAnsi="宋体"/>
                <w:sz w:val="18"/>
                <w:szCs w:val="18"/>
              </w:rPr>
              <w:t xml:space="preserve">2、材质、规格尺寸:版面规格：600*600mm，含相关附件，钢结构材质：直径89mm*4mm</w:t>
            </w:r>
            <w:r/>
          </w:p>
          <w:p>
            <w:pPr>
              <w:ind w:left="0"/>
              <w:jc w:val="left"/>
              <w:tabs>
                <w:tab w:val="left" w:pos="420" w:leader="none"/>
              </w:tabs>
              <w:rPr>
                <w:rFonts w:ascii="宋体" w:hAnsi="宋体"/>
                <w:sz w:val="18"/>
                <w:szCs w:val="18"/>
              </w:rPr>
            </w:pPr>
            <w:r>
              <w:rPr>
                <w:rFonts w:hint="eastAsia" w:ascii="宋体" w:hAnsi="宋体"/>
                <w:sz w:val="18"/>
                <w:szCs w:val="18"/>
              </w:rPr>
              <w:t xml:space="preserve">3、版面厚度2mm，底膜不低于Ⅲ类反光膜，文字、图案不低于Ⅳ类反光膜，基础：C30砼，规格400mm*400mm*1000mm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891.12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10693.44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停车场标志(单柱式)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2、材质、规格尺寸:版面规格：600*800mm，含相关附件，钢结构材质：直径89mm*4mm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3、版面厚度2mm，底膜不低于Ⅲ类反光膜，文字、图案不低于Ⅳ类反光膜，基础：C30砼，规格400mm*400mm*1000mm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945.12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11341.44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右行标志(单柱式)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2、材质、规格尺寸:版面规格：300*800mm，含相关附件，钢结构材质：30*60*2200mm</w:t>
            </w:r>
            <w:r/>
          </w:p>
          <w:p>
            <w:pPr>
              <w:ind w:left="0"/>
              <w:tabs>
                <w:tab w:val="left" w:pos="420" w:leader="none"/>
              </w:tabs>
              <w:rPr>
                <w:rFonts w:ascii="宋体" w:hAnsi="宋体"/>
                <w:sz w:val="18"/>
                <w:szCs w:val="18"/>
              </w:rPr>
            </w:pPr>
            <w:r>
              <w:rPr>
                <w:rFonts w:hint="eastAsia" w:ascii="宋体" w:hAnsi="宋体"/>
                <w:sz w:val="18"/>
                <w:szCs w:val="18"/>
              </w:rPr>
              <w:t xml:space="preserve">3、版面采用2mm厚铝合金板，底膜不低于Ⅲ类反光膜，文字、图案不低于Ⅳ类反光膜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294.18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2941.80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全透型发光标志板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LED非定型其他标志</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3222.28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193336.80</w:t>
            </w:r>
            <w:r/>
          </w:p>
        </w:tc>
      </w:tr>
      <w:tr>
        <w:trPr>
          <w:jc w:val="center"/>
          <w:trHeight w:val="64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半透型发光标志板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LED非定型其他标志</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132000.00</w:t>
            </w:r>
            <w:r/>
          </w:p>
        </w:tc>
      </w:tr>
      <w:tr>
        <w:trPr>
          <w:jc w:val="center"/>
          <w:trHeight w:val="97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可变车道显示屏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P6全彩可变车道显示屏，具体尺寸根据现场标志大小定制，面积在1.5㎡以内</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24000.00</w:t>
            </w:r>
            <w:r/>
          </w:p>
        </w:tc>
      </w:tr>
      <w:tr>
        <w:trPr>
          <w:jc w:val="center"/>
          <w:trHeight w:val="836"/>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交通微诱导屏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P10全彩微诱导显示屏，含主机、控制、接收发送模块等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9000.00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225000.00</w:t>
            </w:r>
            <w:r/>
          </w:p>
        </w:tc>
      </w:tr>
      <w:tr>
        <w:trPr>
          <w:jc w:val="center"/>
          <w:trHeight w:val="416"/>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交通诱导屏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P8全彩交通信息标志屏,全彩，含主机、控制、接收发送模块等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11611.00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139332.00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电源线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电源线YJV5*16</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91.25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2281.25</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电源线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电源线YJV3*2.5</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12.36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1569.72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电源线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电源线RVV3*1.0</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6.16</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782.32</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网络线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室外屏蔽超五类</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840.74</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馈线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馈线RVSP2*1</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1450.00</w:t>
            </w:r>
            <w:r/>
          </w:p>
        </w:tc>
      </w:tr>
      <w:tr>
        <w:trPr>
          <w:jc w:val="center"/>
          <w:trHeight w:val="60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发光地砖</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300*300红绿黄色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35150.00</w:t>
            </w:r>
            <w:r/>
          </w:p>
        </w:tc>
      </w:tr>
      <w:tr>
        <w:trPr>
          <w:jc w:val="center"/>
          <w:trHeight w:val="60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发光地砖底座</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发光地砖底座</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13300.00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发光地砖专用防水线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专用防水线</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9525.00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发光地砖控制器</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控制器</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警示桩（钢质）</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直径89mm×高1300mm×壁厚3.5mm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100.80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6350.40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警示桩（钢质）</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直径114mm×高1400mm×壁厚4.5mm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126.00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警示桩（PVC）</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直径80mm×750mm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53.55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4069.80</w:t>
            </w:r>
            <w:r/>
          </w:p>
        </w:tc>
      </w:tr>
      <w:tr>
        <w:trPr>
          <w:jc w:val="center"/>
          <w:trHeight w:val="70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警示桩（钢质）、机械钻孔</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直径140mm×700mm×壁厚4.5mm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138.60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3465.00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水马</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PVC工程塑料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8360.00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反光道钉(3M)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塑料单面</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2413.00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反光道钉(3M)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塑料双面</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2794.00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橡胶减速丘</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橡胶型</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7220.00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锥型标</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橡胶型70cm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4242.00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锥型标</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橡胶型40cm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护角</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橡胶型</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阻车器</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橡胶型</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对</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凸面反光镜</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直径600mm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640.00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凸面反光镜</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直径800mm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6992.00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凸面反光镜</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直径1000mm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504.00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1008.00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太阳能双面爆闪灯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L500×W220mm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7230.00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太阳能双面爆闪灯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L780×W180mm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9250.00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五</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b/>
                <w:bCs/>
                <w:sz w:val="18"/>
                <w:szCs w:val="18"/>
              </w:rPr>
              <w:t xml:space="preserve">路口路段护栏通视降坡处理优化提升</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交通隔离护栏（含贴膜）</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护栏片长2500mm*高800mm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595.00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357000.00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交通隔离护栏渐变段（含贴膜）</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立柱含底座高度从1050mm，渐变为700mm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525.00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971250.00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绿色 机非隔离护栏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护栏片长2500mm*高530mm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29500.00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绿色中央隔离护栏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护栏片长2500mm*高830mm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387.00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38700.00</w:t>
            </w:r>
            <w:r/>
          </w:p>
        </w:tc>
      </w:tr>
      <w:tr>
        <w:trPr>
          <w:jc w:val="center"/>
          <w:trHeight w:val="127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穿管护栏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立柱220*180*3.0mm，不锈钢上横杆76*2*3000mm，下横杆50*2*3000mm，水泥底座400*400*20mm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235.00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587500.00</w:t>
            </w:r>
            <w:r/>
          </w:p>
        </w:tc>
      </w:tr>
      <w:tr>
        <w:trPr>
          <w:jc w:val="center"/>
          <w:trHeight w:val="45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隔离护栏端头</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定制（大号）</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6000.00</w:t>
            </w:r>
            <w:r/>
          </w:p>
        </w:tc>
      </w:tr>
      <w:tr>
        <w:trPr>
          <w:jc w:val="center"/>
          <w:trHeight w:val="48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隔离护栏端头</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定制（小号）</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4500.00</w:t>
            </w:r>
            <w:r/>
          </w:p>
        </w:tc>
      </w:tr>
      <w:tr>
        <w:trPr>
          <w:jc w:val="center"/>
          <w:trHeight w:val="4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隔离护栏安装</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隔离护栏安装</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16000.00</w:t>
            </w:r>
            <w:r/>
          </w:p>
        </w:tc>
      </w:tr>
      <w:tr>
        <w:trPr>
          <w:jc w:val="center"/>
          <w:trHeight w:val="43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隔离护栏拆除</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隔离护栏拆除</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13.31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6655.00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隔离护栏移位安装</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隔离护栏移位安装</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38.97</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19485.00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六</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b/>
                <w:bCs/>
                <w:sz w:val="18"/>
                <w:szCs w:val="18"/>
              </w:rPr>
              <w:t xml:space="preserve">主次干路与背街小巷交叉路口安全提升改造</w:t>
            </w:r>
            <w:r/>
          </w:p>
        </w:tc>
      </w:tr>
      <w:tr>
        <w:trPr>
          <w:jc w:val="center"/>
          <w:trHeight w:val="1546"/>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★热熔型标线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1、材料品种：普通热熔标线涂料</w:t>
            </w:r>
            <w:r/>
          </w:p>
          <w:p>
            <w:pPr>
              <w:ind w:left="0"/>
              <w:tabs>
                <w:tab w:val="left" w:pos="420" w:leader="none"/>
              </w:tabs>
              <w:rPr>
                <w:rFonts w:ascii="宋体" w:hAnsi="宋体"/>
                <w:sz w:val="18"/>
                <w:szCs w:val="18"/>
              </w:rPr>
            </w:pPr>
            <w:r>
              <w:rPr>
                <w:rFonts w:hint="eastAsia" w:ascii="宋体" w:hAnsi="宋体"/>
                <w:sz w:val="18"/>
                <w:szCs w:val="18"/>
              </w:rPr>
              <w:t xml:space="preserve">2、工艺：厚度应≥1.6mm，颜色为白色、黄色，应添加玻璃微珠等填充材料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3300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136950.00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地面标线除线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清除方法:原地面标线清除，机械水冲</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8700.00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彩色立体斑马线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1、材料品种：热熔彩色立体斑马线</w:t>
            </w:r>
            <w:r/>
          </w:p>
          <w:p>
            <w:pPr>
              <w:ind w:left="0"/>
              <w:tabs>
                <w:tab w:val="left" w:pos="420" w:leader="none"/>
              </w:tabs>
              <w:rPr>
                <w:rFonts w:ascii="宋体" w:hAnsi="宋体"/>
                <w:sz w:val="18"/>
                <w:szCs w:val="18"/>
              </w:rPr>
            </w:pPr>
            <w:r>
              <w:rPr>
                <w:rFonts w:hint="eastAsia" w:ascii="宋体" w:hAnsi="宋体"/>
                <w:sz w:val="18"/>
                <w:szCs w:val="18"/>
              </w:rPr>
              <w:t xml:space="preserve">2、工艺：厚度应≥1.6mm，黄、蓝、白三色组成，宽度60cm，应添加玻璃微珠等填充材料</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41.84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133888.00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冷涂型防滑型标线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专用的双组分树脂胶粘剂，含专用的高温烧结彩色陶瓷颗粒</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24000.00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2、材质、规格尺寸：圆形直径800mm，铝合金板，底板厚度1.5mm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63</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258.00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16254.00</w:t>
            </w:r>
            <w:r/>
          </w:p>
        </w:tc>
      </w:tr>
      <w:tr>
        <w:trPr>
          <w:jc w:val="center"/>
          <w:trHeight w:val="33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2、材质、规格尺寸：300*800mm，铝合金板，底板厚度1.5mm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127.00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3175.00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附着式标志牌</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1、类型：附着式标志牌</w:t>
            </w:r>
            <w:r/>
          </w:p>
          <w:p>
            <w:pPr>
              <w:ind w:left="0"/>
              <w:tabs>
                <w:tab w:val="left" w:pos="420" w:leader="none"/>
              </w:tabs>
              <w:rPr>
                <w:rFonts w:ascii="宋体" w:hAnsi="宋体"/>
                <w:sz w:val="18"/>
                <w:szCs w:val="18"/>
              </w:rPr>
            </w:pPr>
            <w:r>
              <w:rPr>
                <w:rFonts w:hint="eastAsia" w:ascii="宋体" w:hAnsi="宋体"/>
                <w:sz w:val="18"/>
                <w:szCs w:val="18"/>
              </w:rPr>
              <w:t xml:space="preserve">2、材质、规格尺寸：800*1000mm，铝合金板，底板厚度1.5mm</w:t>
            </w:r>
            <w:r/>
          </w:p>
          <w:p>
            <w:pPr>
              <w:ind w:left="0"/>
              <w:tabs>
                <w:tab w:val="left" w:pos="420" w:leader="none"/>
              </w:tabs>
              <w:rPr>
                <w:rFonts w:ascii="宋体" w:hAnsi="宋体"/>
                <w:sz w:val="18"/>
                <w:szCs w:val="18"/>
              </w:rPr>
            </w:pPr>
            <w:r>
              <w:rPr>
                <w:rFonts w:hint="eastAsia" w:ascii="宋体" w:hAnsi="宋体"/>
                <w:sz w:val="18"/>
                <w:szCs w:val="18"/>
              </w:rPr>
              <w:t xml:space="preserve">3、板面反光膜等级：底膜不低于Ⅲ类反光膜，文字、图案不低于Ⅳ类反光膜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287.00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21812.00</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148</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注意行人标志（单柱式）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2、材质、规格尺寸:版面规格：三角形边长900mm ，含相关附件，钢结构材质：直径89mm*4mm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3、版面厚度及反光膜按国标，基础：C30砼，规格400mm*400mm*1000mm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902.45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13536.75</w:t>
            </w:r>
            <w:r/>
          </w:p>
        </w:tc>
      </w:tr>
      <w:tr>
        <w:trPr>
          <w:jc w:val="center"/>
          <w:trHeight w:val="58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149</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人行横道标志（单柱式）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1、类型:单柱式标志</w:t>
            </w:r>
            <w:r/>
          </w:p>
          <w:p>
            <w:pPr>
              <w:ind w:left="0"/>
              <w:tabs>
                <w:tab w:val="left" w:pos="420" w:leader="none"/>
              </w:tabs>
              <w:rPr>
                <w:rFonts w:ascii="宋体" w:hAnsi="宋体"/>
                <w:sz w:val="18"/>
                <w:szCs w:val="18"/>
              </w:rPr>
            </w:pPr>
            <w:r>
              <w:rPr>
                <w:rFonts w:hint="eastAsia" w:ascii="宋体" w:hAnsi="宋体"/>
                <w:sz w:val="18"/>
                <w:szCs w:val="18"/>
              </w:rPr>
              <w:t xml:space="preserve">2、材质、规格尺寸:版面规格：800*800mm ，含相关附件，钢结构材质：直径89mm*4mm</w:t>
            </w:r>
            <w:r/>
          </w:p>
          <w:p>
            <w:pPr>
              <w:ind w:left="0"/>
              <w:tabs>
                <w:tab w:val="left" w:pos="420" w:leader="none"/>
              </w:tabs>
              <w:rPr>
                <w:rFonts w:ascii="宋体" w:hAnsi="宋体"/>
                <w:sz w:val="18"/>
                <w:szCs w:val="18"/>
              </w:rPr>
            </w:pPr>
            <w:r>
              <w:rPr>
                <w:rFonts w:hint="eastAsia" w:ascii="宋体" w:hAnsi="宋体"/>
                <w:sz w:val="18"/>
                <w:szCs w:val="18"/>
              </w:rPr>
              <w:t xml:space="preserve">3、版面厚度及反光膜按国标，基础：C30砼，规格400mm*400mm*1000mm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1049.44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15741.60</w:t>
            </w:r>
            <w:r/>
          </w:p>
        </w:tc>
      </w:tr>
      <w:tr>
        <w:trPr>
          <w:jc w:val="center"/>
          <w:trHeight w:val="76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150</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标志牌版面(2mm铝板)、工程级反光膜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615.00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61500.00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151</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双柱式标志拆除</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仿古式、传统式、多边形、组合式</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147.74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2216.10</w:t>
            </w:r>
            <w:r/>
          </w:p>
        </w:tc>
      </w:tr>
      <w:tr>
        <w:trPr>
          <w:jc w:val="center"/>
          <w:trHeight w:val="4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152</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单柱式标志拆除</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仿古式、传统式、多边形</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89.04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1780.80</w:t>
            </w:r>
            <w:r/>
          </w:p>
        </w:tc>
      </w:tr>
      <w:tr>
        <w:trPr>
          <w:jc w:val="center"/>
          <w:trHeight w:val="47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153</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标志牌拆除</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标志牌拆除</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13000.00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154</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哨兵系统一体式主路事故预防主机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钣金外壳一体成型，表面喷塑，3400*380*160mm，包括视频检测器、发光面板等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13613.00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54452.00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155</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哨兵系统一体式支路事故预防主机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钣金外壳一体成型，表面喷塑，3400*380*160mm，包括视频检测器、发光面板等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13613.00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54452.00</w:t>
            </w:r>
            <w:r/>
          </w:p>
        </w:tc>
      </w:tr>
      <w:tr>
        <w:trPr>
          <w:jc w:val="center"/>
          <w:trHeight w:val="106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156</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哨兵系统斑马线事故预警主机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钣金外壳一体成型，表面喷塑，3400*380*160mm，包括视频检测器、发光面板等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13613.00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54452.00</w:t>
            </w:r>
            <w:r/>
          </w:p>
        </w:tc>
      </w:tr>
      <w:tr>
        <w:trPr>
          <w:jc w:val="center"/>
          <w:trHeight w:val="92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157</w:t>
            </w:r>
            <w:r/>
          </w:p>
        </w:tc>
        <w:tc>
          <w:tcPr>
            <w:gridSpan w:val="2"/>
            <w:shd w:val="clear" w:color="auto" w:fill="auto"/>
            <w:tcW w:w="1762"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sz w:val="18"/>
                <w:szCs w:val="18"/>
              </w:rPr>
              <w:t xml:space="preserve">哨兵系统主路事故预警系统（F杆）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包括全透面光源发光标志三角形边长1100mm警告标志、雷达预警LED屏2000*1000*45mm、控制箱等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21373.00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85492.00</w:t>
            </w:r>
            <w:r/>
          </w:p>
        </w:tc>
      </w:tr>
      <w:tr>
        <w:trPr>
          <w:jc w:val="center"/>
          <w:trHeight w:val="53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b/>
                <w:bCs/>
                <w:sz w:val="18"/>
                <w:szCs w:val="18"/>
              </w:rPr>
              <w:t xml:space="preserve">七</w:t>
            </w:r>
            <w:r/>
          </w:p>
        </w:tc>
        <w:tc>
          <w:tcPr>
            <w:gridSpan w:val="7"/>
            <w:shd w:val="clear" w:color="auto" w:fill="auto"/>
            <w:tcW w:w="9077" w:type="dxa"/>
            <w:vAlign w:val="center"/>
            <w:textDirection w:val="lrTb"/>
            <w:noWrap w:val="false"/>
          </w:tcPr>
          <w:p>
            <w:pPr>
              <w:ind w:left="0"/>
              <w:jc w:val="left"/>
              <w:tabs>
                <w:tab w:val="left" w:pos="420" w:leader="none"/>
              </w:tabs>
              <w:rPr>
                <w:rFonts w:ascii="宋体" w:hAnsi="宋体"/>
                <w:sz w:val="18"/>
                <w:szCs w:val="18"/>
              </w:rPr>
            </w:pPr>
            <w:r>
              <w:rPr>
                <w:rFonts w:hint="eastAsia" w:ascii="宋体" w:hAnsi="宋体"/>
                <w:b/>
                <w:bCs/>
                <w:sz w:val="18"/>
                <w:szCs w:val="18"/>
              </w:rPr>
              <w:t xml:space="preserve">其他新增</w:t>
            </w:r>
            <w:r/>
          </w:p>
        </w:tc>
      </w:tr>
      <w:tr>
        <w:trPr>
          <w:jc w:val="center"/>
          <w:trHeight w:val="463"/>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158</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防撞车</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防撞作业车</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台班</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10000.00</w:t>
            </w:r>
            <w:r/>
          </w:p>
        </w:tc>
      </w:tr>
      <w:tr>
        <w:trPr>
          <w:jc w:val="center"/>
          <w:trHeight w:val="36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159</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登高车</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登高车防撞作业车</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台班</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6000.00</w:t>
            </w:r>
            <w:r/>
          </w:p>
        </w:tc>
      </w:tr>
      <w:tr>
        <w:trPr>
          <w:jc w:val="center"/>
          <w:trHeight w:val="1838"/>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160</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sz w:val="18"/>
                <w:szCs w:val="18"/>
              </w:rPr>
              <w:t xml:space="preserve">★</w:t>
            </w:r>
            <w:r>
              <w:rPr>
                <w:rFonts w:hint="eastAsia" w:ascii="宋体" w:hAnsi="宋体"/>
                <w:color w:val="000000"/>
                <w:sz w:val="18"/>
                <w:szCs w:val="18"/>
                <w:lang w:bidi="ar"/>
              </w:rPr>
              <w:t xml:space="preserve">热熔型标线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1、材料品种：普通热熔标线涂料（红、橙、黑）</w:t>
            </w:r>
            <w:r>
              <w:rPr>
                <w:rFonts w:hint="eastAsia" w:ascii="宋体" w:hAnsi="宋体"/>
                <w:sz w:val="18"/>
                <w:szCs w:val="18"/>
              </w:rPr>
              <w:br/>
              <w:t xml:space="preserve">2、工艺：厚度应≥1.6mm，颜色为红色，橙色、黑色等除白黄常规色之外的颜色，应添加玻璃微珠等填充材料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860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43000.00</w:t>
            </w:r>
            <w:r/>
          </w:p>
        </w:tc>
      </w:tr>
      <w:tr>
        <w:trPr>
          <w:jc w:val="center"/>
          <w:trHeight w:val="162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太阳能充电警示灯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太阳能锥桶式爆闪警示灯,规格：138*85*125mm，采用高转换率单晶硅太阳能板，实现无源供电，无需外接线缆 配备高亮度 LED 爆闪光源 + 黄底反光外壳</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2400.00</w:t>
            </w:r>
            <w:r/>
          </w:p>
        </w:tc>
      </w:tr>
      <w:tr>
        <w:trPr>
          <w:jc w:val="center"/>
          <w:trHeight w:val="62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162</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不锈钢伸缩护栏</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1、无轨式高度800mm，长度按需定制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510.00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8160.00</w:t>
            </w:r>
            <w:r/>
          </w:p>
        </w:tc>
      </w:tr>
      <w:tr>
        <w:trPr>
          <w:jc w:val="center"/>
          <w:trHeight w:val="55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163</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单悬臂立杆加固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1、达到使用年限后无法更新，利旧加固</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7304.10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36520.50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164</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土方开挖检测</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土方开挖检测费用</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次</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9500.00</w:t>
            </w:r>
            <w:r/>
          </w:p>
        </w:tc>
      </w:tr>
      <w:tr>
        <w:trPr>
          <w:jc w:val="center"/>
          <w:trHeight w:val="591"/>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165</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建筑垃圾处置费</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渣土消纳处置费</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34.20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342.00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166</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路口智能红外语音警示柱</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不锈钢外壳，两端半圆警示柱；尺1280mm*240mm*120mm，抗腐蚀防锈。顶端两侧带面发光灯带，色同行人信号灯，夜间视距≥150 米；分 AB 两款（一组），头部分别装红外发射/接收装置，检测距≥15 米，采用红外对焦技术，功能稳定；红外部件下部设发声模块，能发警示语音，防尘防水等级不低于 IP65</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6233.10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124662.00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167</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道钉</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太阳能同步道钉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113.00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2260.00</w:t>
            </w:r>
            <w:r/>
          </w:p>
        </w:tc>
      </w:tr>
      <w:tr>
        <w:trPr>
          <w:jc w:val="center"/>
          <w:trHeight w:val="516"/>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168</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自发光锥桶</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700mm高、led灯带，反光壳体</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312.00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6240.00</w:t>
            </w:r>
            <w:r/>
          </w:p>
        </w:tc>
      </w:tr>
      <w:tr>
        <w:trPr>
          <w:jc w:val="center"/>
          <w:trHeight w:val="788"/>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169</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诱导标（轮廓标）</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抽拉式轮廓标，突出53mm，采用V类白/荧光黄反光膜</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49.00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490.00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170</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基础矮护栏（屋檐图案）</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1、立柱80*100*2*720mm，镀锌钢材；</w:t>
            </w:r>
            <w:r>
              <w:rPr>
                <w:rFonts w:hint="eastAsia" w:ascii="宋体" w:hAnsi="宋体"/>
                <w:sz w:val="18"/>
                <w:szCs w:val="18"/>
              </w:rPr>
              <w:br/>
              <w:t xml:space="preserve">2、上下横杆30*60*2*2520mm，镀锌钢材；</w:t>
            </w:r>
            <w:r>
              <w:rPr>
                <w:rFonts w:hint="eastAsia" w:ascii="宋体" w:hAnsi="宋体"/>
                <w:sz w:val="18"/>
                <w:szCs w:val="18"/>
              </w:rPr>
              <w:br/>
              <w:t xml:space="preserve">3、立挡26根20*40*1.5*530mm，镀锌钢材；                             </w:t>
            </w:r>
            <w:r>
              <w:rPr>
                <w:rFonts w:hint="eastAsia" w:ascii="宋体" w:hAnsi="宋体"/>
                <w:sz w:val="18"/>
                <w:szCs w:val="18"/>
              </w:rPr>
              <w:br/>
              <w:t xml:space="preserve">4、立柱与护栏片满焊后，对焊缝进行打磨除锈防腐处理，再喷塑粉，最后喷涂交通灰色氟碳漆；</w:t>
            </w:r>
            <w:r>
              <w:rPr>
                <w:rFonts w:hint="eastAsia" w:ascii="宋体" w:hAnsi="宋体"/>
                <w:sz w:val="18"/>
                <w:szCs w:val="18"/>
              </w:rPr>
              <w:br/>
              <w:t xml:space="preserve">5、底座材质：实心高分子材质底座，重量24±1kg</w:t>
            </w:r>
            <w:r>
              <w:rPr>
                <w:rFonts w:hint="eastAsia" w:ascii="宋体" w:hAnsi="宋体"/>
                <w:sz w:val="18"/>
                <w:szCs w:val="18"/>
              </w:rPr>
              <w:br/>
              <w:t xml:space="preserve">6、含反光贴纸、M10不锈钢连接螺栓等安装配件辅材           </w:t>
            </w:r>
            <w:r>
              <w:rPr>
                <w:rFonts w:hint="eastAsia" w:ascii="宋体" w:hAnsi="宋体"/>
                <w:sz w:val="18"/>
                <w:szCs w:val="18"/>
              </w:rPr>
              <w:br/>
              <w:t xml:space="preserve">7、3厚半透明亚克力20mm×20mm信息二维码，由交警等主管单位确认后人工粘贴、扫码、录入信息，粘贴位置                      </w:t>
            </w:r>
            <w:r/>
          </w:p>
        </w:tc>
        <w:tc>
          <w:tcPr>
            <w:shd w:val="clear" w:color="auto" w:fill="auto"/>
            <w:tcW w:w="708" w:type="dxa"/>
            <w:vAlign w:val="center"/>
            <w:textDirection w:val="lrTb"/>
            <w:noWrap w:val="false"/>
          </w:tcPr>
          <w:p>
            <w:pPr>
              <w:ind w:left="0"/>
              <w:jc w:val="center"/>
              <w:rPr>
                <w:rFonts w:ascii="宋体" w:hAnsi="宋体"/>
                <w:sz w:val="18"/>
                <w:szCs w:val="18"/>
              </w:rPr>
            </w:pPr>
            <w:r>
              <w:rPr>
                <w:rFonts w:hint="eastAsia" w:ascii="宋体" w:hAnsi="宋体"/>
                <w:color w:val="000000"/>
                <w:sz w:val="18"/>
                <w:szCs w:val="18"/>
                <w:lang w:bidi="ar"/>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22500.00</w:t>
            </w:r>
            <w:r/>
          </w:p>
        </w:tc>
      </w:tr>
      <w:tr>
        <w:trPr>
          <w:jc w:val="center"/>
          <w:trHeight w:val="57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171</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特色矮护栏（屋檐图案）</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1、立柱80*100*2*720mm，镀锌钢材</w:t>
            </w:r>
            <w:r>
              <w:rPr>
                <w:rFonts w:hint="eastAsia" w:ascii="宋体" w:hAnsi="宋体"/>
                <w:sz w:val="18"/>
                <w:szCs w:val="18"/>
              </w:rPr>
              <w:br/>
              <w:t xml:space="preserve">2、上下横杆30*60*2*2520mm，镀锌钢材</w:t>
            </w:r>
            <w:r>
              <w:rPr>
                <w:rFonts w:hint="eastAsia" w:ascii="宋体" w:hAnsi="宋体"/>
                <w:sz w:val="18"/>
                <w:szCs w:val="18"/>
              </w:rPr>
              <w:br/>
              <w:t xml:space="preserve">3、立挡26根20*40*1.5*530mm，镀锌钢材                              </w:t>
            </w:r>
            <w:r>
              <w:rPr>
                <w:rFonts w:hint="eastAsia" w:ascii="宋体" w:hAnsi="宋体"/>
                <w:sz w:val="18"/>
                <w:szCs w:val="18"/>
              </w:rPr>
              <w:br/>
              <w:t xml:space="preserve">4、立柱与护栏片满焊后，对焊缝进行打磨除锈防腐处理，再喷塑粉，最后喷涂交通灰色氟碳漆；                                             </w:t>
            </w:r>
            <w:r>
              <w:rPr>
                <w:rFonts w:hint="eastAsia" w:ascii="宋体" w:hAnsi="宋体"/>
                <w:sz w:val="18"/>
                <w:szCs w:val="18"/>
              </w:rPr>
              <w:br/>
              <w:t xml:space="preserve"> 5、造型材质为镀锌钢材，外喷塑粉，再喷交通灰色氟碳漆，做法为激光件折弯成矩形管，中间镂空与竖杆穿插焊接</w:t>
            </w:r>
            <w:r>
              <w:rPr>
                <w:rFonts w:hint="eastAsia" w:ascii="宋体" w:hAnsi="宋体"/>
                <w:sz w:val="18"/>
                <w:szCs w:val="18"/>
              </w:rPr>
              <w:br/>
              <w:t xml:space="preserve">6、底座材质：实心高分子材质底座，重量24±1kg</w:t>
            </w:r>
            <w:r>
              <w:rPr>
                <w:rFonts w:hint="eastAsia" w:ascii="宋体" w:hAnsi="宋体"/>
                <w:sz w:val="18"/>
                <w:szCs w:val="18"/>
              </w:rPr>
              <w:br/>
              <w:t xml:space="preserve">7、含反光贴纸、M10不锈钢连接螺栓等安装配件辅材         </w:t>
            </w:r>
            <w:r>
              <w:rPr>
                <w:rFonts w:hint="eastAsia" w:ascii="宋体" w:hAnsi="宋体"/>
                <w:sz w:val="18"/>
                <w:szCs w:val="18"/>
              </w:rPr>
              <w:br/>
              <w:t xml:space="preserve">8、3厚半透明亚克力20mm×20mm信息二维码，由交警等主管单位确认后人工粘贴、扫码、录入信息，粘贴位置 </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米</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30250.00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172</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可移动发光标志</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1：可直接置于警务车，携带方便、安装快捷</w:t>
            </w:r>
            <w:r>
              <w:rPr>
                <w:rFonts w:hint="eastAsia" w:ascii="宋体" w:hAnsi="宋体"/>
                <w:sz w:val="18"/>
                <w:szCs w:val="18"/>
              </w:rPr>
              <w:br/>
              <w:t xml:space="preserve">2：标志内容可根据场景更替，实现一物多用，主动发光标志可切换为警示、提示、禁令等类型；配备可折叠式字发光标志（两侧可折叠）</w:t>
            </w:r>
            <w:r>
              <w:rPr>
                <w:rFonts w:hint="eastAsia" w:ascii="宋体" w:hAnsi="宋体"/>
                <w:sz w:val="18"/>
                <w:szCs w:val="18"/>
              </w:rPr>
              <w:br/>
              <w:t xml:space="preserve">3：爆闪灯颜色排布可选择；高频语音提示喇叭及激光镭射灯可选择性安装；嵌入高德精灵定位系统，能与后台终端建立数据链路，实时发布信息，实现 “早预报、早提防、早准备” 预警</w:t>
            </w:r>
            <w:r>
              <w:rPr>
                <w:rFonts w:hint="eastAsia" w:ascii="宋体" w:hAnsi="宋体"/>
                <w:sz w:val="18"/>
                <w:szCs w:val="18"/>
              </w:rPr>
              <w:br/>
              <w:t xml:space="preserve">4：包含电动三级升降连接柱、固定箱体及储藏部件、4 个固定支撑腿；使用状态和收纳状态有对应尺寸</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30800.00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30800.00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173</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可移动发光标志</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1：可直接置于警务车，携带方便、安装快捷</w:t>
            </w:r>
            <w:r>
              <w:rPr>
                <w:rFonts w:hint="eastAsia" w:ascii="宋体" w:hAnsi="宋体"/>
                <w:sz w:val="18"/>
                <w:szCs w:val="18"/>
              </w:rPr>
              <w:br/>
              <w:t xml:space="preserve">2：标志内容可根据场景更替，主标志可切换为警示、提示、禁令等类型；辅助标志可显示文字或方向引导</w:t>
            </w:r>
            <w:r>
              <w:rPr>
                <w:rFonts w:hint="eastAsia" w:ascii="宋体" w:hAnsi="宋体"/>
                <w:sz w:val="18"/>
                <w:szCs w:val="18"/>
              </w:rPr>
              <w:br/>
              <w:t xml:space="preserve">3：爆闪灯为红蓝双色 LED，颜色排布可选择；含高频语音提示装置、镭射激光束装置；嵌入高德精灵前端数据采集，与后台终端联动，实时发布信息，可实现 “三早” 预警</w:t>
            </w:r>
            <w:r>
              <w:rPr>
                <w:rFonts w:hint="eastAsia" w:ascii="宋体" w:hAnsi="宋体"/>
                <w:sz w:val="18"/>
                <w:szCs w:val="18"/>
              </w:rPr>
              <w:br/>
              <w:t xml:space="preserve">4：每块标志配专用控制系统，标配两块锂电池（充电 10-12 小时，续航 15-20 小时）</w:t>
            </w:r>
            <w:r>
              <w:rPr>
                <w:rFonts w:hint="eastAsia" w:ascii="宋体" w:hAnsi="宋体"/>
                <w:sz w:val="18"/>
                <w:szCs w:val="18"/>
              </w:rPr>
              <w:br/>
              <w:t xml:space="preserve">5：包含铝合金标志框架及背板、发光标志控</w:t>
            </w:r>
            <w:r>
              <w:rPr>
                <w:rFonts w:hint="eastAsia" w:ascii="宋体" w:hAnsi="宋体"/>
                <w:sz w:val="18"/>
                <w:szCs w:val="18"/>
              </w:rPr>
              <w:t xml:space="preserve">制盒、不锈钢锂电池盒及控制开关、折叠锁扣固定装置等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5640.00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22560.00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174</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交通信号控制机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联网型信号机，至少支持16路灯组接入，单台信号机由室外机柜、控制机箱、接线底板、接线侧板、手动控制机构等部分组成</w:t>
            </w:r>
            <w:r>
              <w:rPr>
                <w:rFonts w:hint="eastAsia" w:ascii="宋体" w:hAnsi="宋体"/>
                <w:sz w:val="18"/>
                <w:szCs w:val="18"/>
              </w:rPr>
              <w:br/>
              <w:t xml:space="preserve">机柜1只：室外机柜，信号机的外箱体，具有良好的防雨透气性能，采用不锈钢材质并喷塑</w:t>
            </w:r>
            <w:r>
              <w:rPr>
                <w:rFonts w:hint="eastAsia" w:ascii="宋体" w:hAnsi="宋体"/>
                <w:sz w:val="18"/>
                <w:szCs w:val="18"/>
              </w:rPr>
              <w:br/>
              <w:t xml:space="preserve">控制机主机箱1只：信号机的核心体，执行信号的输入、输出和运行计算。信号机控制机主机箱主要由机箱箱体、主控板、电源板、灯控板等组成，每块板采用模块化插拔式结构。机柜的防尘防水等级不低于IP54</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36000.00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324000.00</w:t>
            </w:r>
            <w:r/>
          </w:p>
        </w:tc>
      </w:tr>
      <w:tr>
        <w:trPr>
          <w:jc w:val="center"/>
          <w:trHeight w:val="425"/>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175</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信号机基础</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1、信号机混凝土基础</w:t>
            </w:r>
            <w:r>
              <w:rPr>
                <w:rFonts w:hint="eastAsia" w:ascii="宋体" w:hAnsi="宋体"/>
                <w:sz w:val="18"/>
                <w:szCs w:val="18"/>
              </w:rPr>
              <w:br/>
              <w:t xml:space="preserve">2、含基础浇筑、土方开挖、回填、余土外运；预埋件、槽钢、接地及其调试等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5400.00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176</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手持遥控器及接收机</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1、名称：手持遥控器及接收机</w:t>
            </w:r>
            <w:r>
              <w:rPr>
                <w:rFonts w:hint="eastAsia" w:ascii="宋体" w:hAnsi="宋体"/>
                <w:sz w:val="18"/>
                <w:szCs w:val="18"/>
              </w:rPr>
              <w:br/>
              <w:t xml:space="preserve">2、规格：含手持遥控器及接收机，无缝兼容信号控制系统，防护级别不低于IP65</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28800.00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177</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设备箱</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1、类型：设备箱</w:t>
            </w:r>
            <w:r>
              <w:rPr>
                <w:rFonts w:hint="eastAsia" w:ascii="宋体" w:hAnsi="宋体"/>
                <w:sz w:val="18"/>
                <w:szCs w:val="18"/>
              </w:rPr>
              <w:br/>
              <w:t xml:space="preserve">2、材质、规格尺寸：700*1540*350mm,箱体材料为不锈钢，厚度1.5mm，含电源、接线排及电器原件、电源避雷器等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4350.00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39150.00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178</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设备箱基础</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1、设备箱混凝土基础</w:t>
            </w:r>
            <w:r>
              <w:rPr>
                <w:rFonts w:hint="eastAsia" w:ascii="宋体" w:hAnsi="宋体"/>
                <w:sz w:val="18"/>
                <w:szCs w:val="18"/>
              </w:rPr>
              <w:br/>
              <w:t xml:space="preserve">2、含基础浇筑、土方开挖、回填、余土外运；预埋件、槽钢、接地及其调试等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680.00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6120.00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179</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配电箱</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1、名称：配电箱（对申请供电的路口配置独立的电源配电箱，对路口设备分回路控制）</w:t>
            </w:r>
            <w:r>
              <w:rPr>
                <w:rFonts w:hint="eastAsia" w:ascii="宋体" w:hAnsi="宋体"/>
                <w:sz w:val="18"/>
                <w:szCs w:val="18"/>
              </w:rPr>
              <w:br/>
              <w:t xml:space="preserve">2、规格：700*1540*350mm,箱体材料为不锈钢，厚度1.5mm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台</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4350.00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39150.00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180</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配电箱基础</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1、配电箱混凝土基础</w:t>
            </w:r>
            <w:r>
              <w:rPr>
                <w:rFonts w:hint="eastAsia" w:ascii="宋体" w:hAnsi="宋体"/>
                <w:sz w:val="18"/>
                <w:szCs w:val="18"/>
              </w:rPr>
              <w:br/>
              <w:t xml:space="preserve">2、含基础浇筑、土方开挖、回填、余土外运；预埋件、槽钢、接地及其调试等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680.00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6120.00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181</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工业交换机（千兆）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工业级，网管型，至少一个千兆光口，四个百兆电口，含2个1KM单模光模块、电源等</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9</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1818.80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16369.20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182</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跳线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1、名称：网线跳线</w:t>
            </w:r>
            <w:r>
              <w:rPr>
                <w:rFonts w:hint="eastAsia" w:ascii="宋体" w:hAnsi="宋体"/>
                <w:sz w:val="18"/>
                <w:szCs w:val="18"/>
              </w:rPr>
              <w:br/>
              <w:t xml:space="preserve">2、规格：超五类RJ45跳线2m</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条</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19.29</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192.90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183</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控制电缆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1、型号：KVVR-450/750-20*1.0mm</w:t>
            </w:r>
            <w:r>
              <w:rPr>
                <w:rFonts w:hint="eastAsia" w:ascii="宋体" w:hAnsi="宋体"/>
                <w:sz w:val="18"/>
                <w:szCs w:val="18"/>
              </w:rPr>
              <w:br/>
              <w:t xml:space="preserve">2、敷设方式、部位：穿管敷设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31.23</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12492.00</w:t>
            </w:r>
            <w:r/>
          </w:p>
        </w:tc>
      </w:tr>
      <w:tr>
        <w:trPr>
          <w:jc w:val="center"/>
          <w:trHeight w:val="817"/>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184</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控制电缆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1、型号：KVVR-450/750-10*1.0mm</w:t>
            </w:r>
            <w:r>
              <w:rPr>
                <w:rFonts w:hint="eastAsia" w:ascii="宋体" w:hAnsi="宋体"/>
                <w:sz w:val="18"/>
                <w:szCs w:val="18"/>
              </w:rPr>
              <w:br/>
              <w:t xml:space="preserve">2、敷设方式、部位：穿管敷设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20.25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8100.00</w:t>
            </w:r>
            <w:r/>
          </w:p>
        </w:tc>
      </w:tr>
      <w:tr>
        <w:trPr>
          <w:jc w:val="center"/>
          <w:trHeight w:val="804"/>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185</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控制电缆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1、型号：KVVR-450/750-5*1.0mm</w:t>
            </w:r>
            <w:r>
              <w:rPr>
                <w:rFonts w:hint="eastAsia" w:ascii="宋体" w:hAnsi="宋体"/>
                <w:sz w:val="18"/>
                <w:szCs w:val="18"/>
              </w:rPr>
              <w:br/>
              <w:t xml:space="preserve">2、敷设方式、部位：穿管敷设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13.20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5280.00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186</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控制电缆</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1、型号：KVVR-450/750-4*1.0mm</w:t>
            </w:r>
            <w:r>
              <w:rPr>
                <w:rFonts w:hint="eastAsia" w:ascii="宋体" w:hAnsi="宋体"/>
                <w:sz w:val="18"/>
                <w:szCs w:val="18"/>
              </w:rPr>
              <w:br/>
              <w:t xml:space="preserve">2、敷设方式、部位：穿管敷设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11.79</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4716.00</w:t>
            </w:r>
            <w:r/>
          </w:p>
        </w:tc>
      </w:tr>
      <w:tr>
        <w:trPr>
          <w:jc w:val="center"/>
          <w:trHeight w:val="1386"/>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187</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预埋钢管</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1、名称：预埋钢管</w:t>
            </w:r>
            <w:r>
              <w:rPr>
                <w:rFonts w:hint="eastAsia" w:ascii="宋体" w:hAnsi="宋体"/>
                <w:sz w:val="18"/>
                <w:szCs w:val="18"/>
              </w:rPr>
              <w:br/>
              <w:t xml:space="preserve">2、规格：DN100，壁厚3.5mm，含内衬、管接件</w:t>
            </w:r>
            <w:r>
              <w:rPr>
                <w:rFonts w:hint="eastAsia" w:ascii="宋体" w:hAnsi="宋体"/>
                <w:sz w:val="18"/>
                <w:szCs w:val="18"/>
              </w:rPr>
              <w:br/>
              <w:t xml:space="preserve">3、材质：无缝镀锌钢管</w:t>
            </w:r>
            <w:r>
              <w:rPr>
                <w:rFonts w:hint="eastAsia" w:ascii="宋体" w:hAnsi="宋体"/>
                <w:sz w:val="18"/>
                <w:szCs w:val="18"/>
              </w:rPr>
              <w:br/>
              <w:t xml:space="preserve">4、敷设方式：埋地</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100.00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40000.00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188</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电缆保护管</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1、名称：电缆保护管</w:t>
            </w:r>
            <w:r>
              <w:rPr>
                <w:rFonts w:hint="eastAsia" w:ascii="宋体" w:hAnsi="宋体"/>
                <w:sz w:val="18"/>
                <w:szCs w:val="18"/>
              </w:rPr>
              <w:br/>
              <w:t xml:space="preserve">2、规格：HDPE50</w:t>
            </w:r>
            <w:r>
              <w:rPr>
                <w:rFonts w:hint="eastAsia" w:ascii="宋体" w:hAnsi="宋体"/>
                <w:sz w:val="18"/>
                <w:szCs w:val="18"/>
              </w:rPr>
              <w:br/>
              <w:t xml:space="preserve">3、敷设方式：埋地</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500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17.00</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8500.00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189</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人（手）孔砌筑</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1、名称：手孔井（砖砌）</w:t>
            </w:r>
            <w:r>
              <w:rPr>
                <w:rFonts w:hint="eastAsia" w:ascii="宋体" w:hAnsi="宋体"/>
                <w:sz w:val="18"/>
                <w:szCs w:val="18"/>
              </w:rPr>
              <w:br/>
              <w:t xml:space="preserve">2、规格：500mm*500mm*800mm（内径），含B125级 600mm*600mm钢纤维砼井盖</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个</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740.91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14818.20</w:t>
            </w:r>
            <w:r/>
          </w:p>
        </w:tc>
      </w:tr>
      <w:tr>
        <w:trPr>
          <w:jc w:val="center"/>
          <w:trHeight w:val="9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190</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网线</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1、名称：网线</w:t>
            </w:r>
            <w:r>
              <w:rPr>
                <w:rFonts w:hint="eastAsia" w:ascii="宋体" w:hAnsi="宋体"/>
                <w:sz w:val="18"/>
                <w:szCs w:val="18"/>
              </w:rPr>
              <w:br/>
              <w:t xml:space="preserve">2、规格：室外超五类（室外铠装网线）</w:t>
            </w:r>
            <w:r>
              <w:rPr>
                <w:rFonts w:hint="eastAsia" w:ascii="宋体" w:hAnsi="宋体"/>
                <w:sz w:val="18"/>
                <w:szCs w:val="18"/>
              </w:rPr>
              <w:br/>
              <w:t xml:space="preserve">3、敷设方式：穿管敷设</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m</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6.62</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794.40</w:t>
            </w:r>
            <w:r/>
          </w:p>
        </w:tc>
      </w:tr>
      <w:tr>
        <w:trPr>
          <w:jc w:val="center"/>
          <w:trHeight w:val="162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191</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机动车信号灯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1、名称：机动车信号灯</w:t>
            </w:r>
            <w:r>
              <w:rPr>
                <w:rFonts w:hint="eastAsia" w:ascii="宋体" w:hAnsi="宋体"/>
                <w:sz w:val="18"/>
                <w:szCs w:val="18"/>
              </w:rPr>
              <w:br/>
              <w:t xml:space="preserve">2、型号、规格：JD400-3，直径400mm规格，LED光源，无图案灯盘，圆形，符合GB14887-2023规定。黄灯盘内嵌红绿双色“18”倒计时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2267.23</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45344.60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192</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左转方向指示信号灯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1、名称：左转方向指示信号灯</w:t>
            </w:r>
            <w:r>
              <w:rPr>
                <w:rFonts w:hint="eastAsia" w:ascii="宋体" w:hAnsi="宋体"/>
                <w:sz w:val="18"/>
                <w:szCs w:val="18"/>
              </w:rPr>
              <w:br/>
              <w:t xml:space="preserve">2、型号、规格：FX400-3，直径400mm规格，LED光源，有图案灯盘，左转箭头形图案，符合GB14887-2023规定。黄灯盘内嵌红绿双色“18”倒计时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2216.65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44333.00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193</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右转方向指示信号灯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1、名称：右转方向指示信号灯</w:t>
            </w:r>
            <w:r>
              <w:rPr>
                <w:rFonts w:hint="eastAsia" w:ascii="宋体" w:hAnsi="宋体"/>
                <w:sz w:val="18"/>
                <w:szCs w:val="18"/>
              </w:rPr>
              <w:br/>
              <w:t xml:space="preserve">2、型号、规格：FX400-3，直径400mm规格，LED光源，有图案灯盘，右转箭头形图案，符合GB14887-2023规定。黄灯盘内嵌红绿双色“18”倒计时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2216.65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44333.00</w:t>
            </w:r>
            <w:r/>
          </w:p>
        </w:tc>
      </w:tr>
      <w:tr>
        <w:trPr>
          <w:jc w:val="center"/>
          <w:trHeight w:val="352"/>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194</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掉头信号灯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1、名称：掉头信号灯</w:t>
            </w:r>
            <w:r>
              <w:rPr>
                <w:rFonts w:hint="eastAsia" w:ascii="宋体" w:hAnsi="宋体"/>
                <w:sz w:val="18"/>
                <w:szCs w:val="18"/>
              </w:rPr>
              <w:br/>
              <w:t xml:space="preserve">2、型号：规格：DT400-3，直径400mm规格，LED光源，有图案灯盘，掉头指示图案，符合</w:t>
            </w:r>
            <w:bookmarkStart w:id="98" w:name="OLE_LINK15"/>
            <w:r>
              <w:rPr>
                <w:rFonts w:hint="eastAsia" w:ascii="宋体" w:hAnsi="宋体"/>
                <w:sz w:val="18"/>
                <w:szCs w:val="18"/>
              </w:rPr>
              <w:t xml:space="preserve">GB14887</w:t>
            </w:r>
            <w:bookmarkEnd w:id="98"/>
            <w:r>
              <w:rPr>
                <w:rFonts w:hint="eastAsia" w:ascii="宋体" w:hAnsi="宋体"/>
                <w:sz w:val="18"/>
                <w:szCs w:val="18"/>
              </w:rPr>
              <w:t xml:space="preserve">-2023规定。黄灯盘内嵌红绿双色“18”倒计时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2216.65</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11083.25</w:t>
            </w:r>
            <w:r/>
          </w:p>
        </w:tc>
      </w:tr>
      <w:tr>
        <w:trPr>
          <w:jc w:val="center"/>
          <w:trHeight w:val="40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195</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机动车信号灯（300mm）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1、名称：机动车信号灯（300mm）</w:t>
            </w:r>
            <w:r>
              <w:rPr>
                <w:rFonts w:hint="eastAsia" w:ascii="宋体" w:hAnsi="宋体"/>
                <w:sz w:val="18"/>
                <w:szCs w:val="18"/>
              </w:rPr>
              <w:br/>
              <w:t xml:space="preserve">2、型号、规格：JD300-3，直径300mm规格，LED光源，无图案灯盘，圆形，符合GB14887规定。黄灯盘内嵌红绿双色“18”倒计时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32275.60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196</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左转方向指示信号灯（300mm)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1、名称：左转方向指示信号灯（300mm）</w:t>
            </w:r>
            <w:r>
              <w:rPr>
                <w:rFonts w:hint="eastAsia" w:ascii="宋体" w:hAnsi="宋体"/>
                <w:sz w:val="18"/>
                <w:szCs w:val="18"/>
              </w:rPr>
              <w:br/>
              <w:t xml:space="preserve">2、型号、规格：FX300-3，直径300mm规格，LED光源，有图案灯盘，左转箭头形图案，符合</w:t>
            </w:r>
            <w:bookmarkStart w:id="99" w:name="OLE_LINK18"/>
            <w:r>
              <w:rPr>
                <w:rFonts w:hint="eastAsia" w:ascii="宋体" w:hAnsi="宋体"/>
                <w:sz w:val="18"/>
                <w:szCs w:val="18"/>
              </w:rPr>
              <w:t xml:space="preserve">GB14887</w:t>
            </w:r>
            <w:bookmarkEnd w:id="99"/>
            <w:r>
              <w:rPr>
                <w:rFonts w:hint="eastAsia" w:ascii="宋体" w:hAnsi="宋体"/>
                <w:sz w:val="18"/>
                <w:szCs w:val="18"/>
              </w:rPr>
              <w:t xml:space="preserve">-2023规定。黄灯盘内嵌红绿双色“18”倒计时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32275.60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197</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右转方向指示信号灯(300mm)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1、名称：右转方向指示信号灯（300mm）</w:t>
            </w:r>
            <w:r>
              <w:rPr>
                <w:rFonts w:hint="eastAsia" w:ascii="宋体" w:hAnsi="宋体"/>
                <w:sz w:val="18"/>
                <w:szCs w:val="18"/>
              </w:rPr>
              <w:br/>
              <w:t xml:space="preserve">2、型号、规格：FX300-3，直径300mm规格，LED光源，有图案灯盘，右转箭头形图案，符合GB14887-2023规定。黄灯盘内嵌红绿双色“18”倒计时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32275.60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198</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掉头信号灯(300mm)</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1、名称：掉头信号灯（300mm）</w:t>
            </w:r>
            <w:r>
              <w:rPr>
                <w:rFonts w:hint="eastAsia" w:ascii="宋体" w:hAnsi="宋体"/>
                <w:sz w:val="18"/>
                <w:szCs w:val="18"/>
              </w:rPr>
              <w:br/>
              <w:t xml:space="preserve">2、型号：规格：DT300-3，直径300mm规格，LED光源，有图案灯盘，掉头指示图案，符合GB14887-2023规定。黄灯盘内嵌红绿双色“18”倒计时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8068.90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199</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非机动车信号灯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1、名称：非机动车信号灯</w:t>
            </w:r>
            <w:r>
              <w:rPr>
                <w:rFonts w:hint="eastAsia" w:ascii="宋体" w:hAnsi="宋体"/>
                <w:sz w:val="18"/>
                <w:szCs w:val="18"/>
              </w:rPr>
              <w:br/>
              <w:t xml:space="preserve">2、型号、规格：FJ300-3，直径300mm规格，LED光源，有图案灯盘，非机动车信号图案，符合GB14887-2023规定</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32275.60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200</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左转非机动车信号灯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1、名称：左转非机动车信号灯</w:t>
            </w:r>
            <w:r>
              <w:rPr>
                <w:rFonts w:hint="eastAsia" w:ascii="宋体" w:hAnsi="宋体"/>
                <w:sz w:val="18"/>
                <w:szCs w:val="18"/>
              </w:rPr>
              <w:br/>
              <w:t xml:space="preserve">2、型号、规格：FJ/Z300-3，直径300mm规格，LED光源，有图案灯盘，左转非机动车信号图案，符合GB14887-2023规定</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1613.78</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32275.60</w:t>
            </w:r>
            <w:r/>
          </w:p>
        </w:tc>
      </w:tr>
      <w:tr>
        <w:trPr>
          <w:jc w:val="center"/>
          <w:trHeight w:val="960"/>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201</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人行横道信号灯</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1、名称：人行横道信号灯</w:t>
            </w:r>
            <w:r>
              <w:rPr>
                <w:rFonts w:hint="eastAsia" w:ascii="宋体" w:hAnsi="宋体"/>
                <w:sz w:val="18"/>
                <w:szCs w:val="18"/>
              </w:rPr>
              <w:br/>
              <w:t xml:space="preserve">2、型号、规格：RX300-3，直径300mm规格，LED光源，有图案灯盘，红灯盘为人行横道禁行通行信号图案，绿灯盘为人行横道通行信号图案，符合GB14887-2023规定。红灯盘内嵌“双8”倒计时</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套</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40</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1441.81</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57672.40</w:t>
            </w:r>
            <w:r/>
          </w:p>
        </w:tc>
      </w:tr>
      <w:tr>
        <w:trPr>
          <w:jc w:val="center"/>
          <w:trHeight w:val="1239"/>
        </w:trPr>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202</w:t>
            </w:r>
            <w:r/>
          </w:p>
        </w:tc>
        <w:tc>
          <w:tcPr>
            <w:gridSpan w:val="2"/>
            <w:shd w:val="clear" w:color="auto" w:fill="auto"/>
            <w:tcW w:w="1762" w:type="dxa"/>
            <w:vAlign w:val="center"/>
            <w:textDirection w:val="lrTb"/>
            <w:noWrap w:val="false"/>
          </w:tcPr>
          <w:p>
            <w:pPr>
              <w:ind w:left="0"/>
              <w:jc w:val="left"/>
              <w:rPr>
                <w:rFonts w:ascii="宋体" w:hAnsi="宋体"/>
                <w:sz w:val="18"/>
                <w:szCs w:val="18"/>
              </w:rPr>
            </w:pPr>
            <w:r>
              <w:rPr>
                <w:rFonts w:hint="eastAsia" w:ascii="宋体" w:hAnsi="宋体"/>
                <w:color w:val="000000"/>
                <w:sz w:val="18"/>
                <w:szCs w:val="18"/>
                <w:lang w:bidi="ar"/>
              </w:rPr>
              <w:t xml:space="preserve">道板路面开挖及恢复</w:t>
            </w:r>
            <w:r/>
          </w:p>
        </w:tc>
        <w:tc>
          <w:tcPr>
            <w:shd w:val="clear" w:color="auto" w:fill="auto"/>
            <w:tcW w:w="3620" w:type="dxa"/>
            <w:vAlign w:val="center"/>
            <w:textDirection w:val="lrTb"/>
            <w:noWrap w:val="false"/>
          </w:tcPr>
          <w:p>
            <w:pPr>
              <w:ind w:left="0"/>
              <w:tabs>
                <w:tab w:val="left" w:pos="420" w:leader="none"/>
              </w:tabs>
              <w:rPr>
                <w:rFonts w:ascii="宋体" w:hAnsi="宋体"/>
                <w:sz w:val="18"/>
                <w:szCs w:val="18"/>
              </w:rPr>
            </w:pPr>
            <w:r>
              <w:rPr>
                <w:rFonts w:hint="eastAsia" w:ascii="宋体" w:hAnsi="宋体"/>
                <w:sz w:val="18"/>
                <w:szCs w:val="18"/>
              </w:rPr>
              <w:t xml:space="preserve">宽度400mm，深度600mm，土方回填，5cm碎石层，10cm厚混凝土层，水泥砂浆找平层及道板砖面层恢复，面层机械破除后，人工开挖，含恢复费用</w:t>
            </w:r>
            <w:r/>
          </w:p>
        </w:tc>
        <w:tc>
          <w:tcPr>
            <w:shd w:val="clear" w:color="auto" w:fill="auto"/>
            <w:tcW w:w="708"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w:t>
            </w:r>
            <w:r/>
          </w:p>
        </w:tc>
        <w:tc>
          <w:tcPr>
            <w:shd w:val="clear" w:color="auto" w:fill="auto"/>
            <w:tcW w:w="709"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27</w:t>
            </w:r>
            <w:r/>
          </w:p>
        </w:tc>
        <w:tc>
          <w:tcPr>
            <w:shd w:val="clear" w:color="auto" w:fill="auto"/>
            <w:tcW w:w="113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246.74</w:t>
            </w:r>
            <w:r/>
          </w:p>
        </w:tc>
        <w:tc>
          <w:tcPr>
            <w:shd w:val="clear" w:color="auto" w:fill="auto"/>
            <w:tcW w:w="1144"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sz w:val="18"/>
                <w:szCs w:val="18"/>
              </w:rPr>
              <w:t xml:space="preserve">6661.98</w:t>
            </w:r>
            <w:r/>
          </w:p>
        </w:tc>
      </w:tr>
      <w:tr>
        <w:trPr>
          <w:jc w:val="center"/>
          <w:trHeight w:val="585"/>
        </w:trPr>
        <w:tc>
          <w:tcPr>
            <w:shd w:val="clear" w:color="auto" w:fill="auto"/>
            <w:tcW w:w="709" w:type="dxa"/>
            <w:vAlign w:val="center"/>
            <w:textDirection w:val="lrTb"/>
            <w:noWrap w:val="false"/>
          </w:tcPr>
          <w:p>
            <w:pPr>
              <w:ind w:left="0"/>
              <w:tabs>
                <w:tab w:val="left" w:pos="420" w:leader="none"/>
              </w:tabs>
              <w:rPr>
                <w:rFonts w:ascii="宋体" w:hAnsi="宋体"/>
                <w:b/>
                <w:bCs/>
                <w:sz w:val="18"/>
                <w:szCs w:val="18"/>
              </w:rPr>
            </w:pPr>
            <w:r>
              <w:rPr>
                <w:rFonts w:ascii="宋体" w:hAnsi="宋体"/>
                <w:b/>
                <w:bCs/>
                <w:sz w:val="18"/>
                <w:szCs w:val="18"/>
              </w:rPr>
            </w:r>
            <w:r/>
          </w:p>
        </w:tc>
        <w:tc>
          <w:tcPr>
            <w:gridSpan w:val="3"/>
            <w:shd w:val="clear" w:color="auto" w:fill="auto"/>
            <w:tcW w:w="5382" w:type="dxa"/>
            <w:vAlign w:val="center"/>
            <w:textDirection w:val="lrTb"/>
            <w:noWrap w:val="false"/>
          </w:tcPr>
          <w:p>
            <w:pPr>
              <w:ind w:left="0"/>
              <w:jc w:val="center"/>
              <w:tabs>
                <w:tab w:val="left" w:pos="420" w:leader="none"/>
              </w:tabs>
              <w:rPr>
                <w:rFonts w:ascii="宋体" w:hAnsi="宋体"/>
                <w:b/>
                <w:bCs/>
                <w:sz w:val="18"/>
                <w:szCs w:val="18"/>
              </w:rPr>
            </w:pPr>
            <w:r>
              <w:rPr>
                <w:rFonts w:hint="eastAsia" w:ascii="宋体" w:hAnsi="宋体"/>
                <w:b/>
                <w:bCs/>
                <w:sz w:val="18"/>
                <w:szCs w:val="18"/>
              </w:rPr>
              <w:t xml:space="preserve">合计</w:t>
            </w:r>
            <w:r/>
          </w:p>
        </w:tc>
        <w:tc>
          <w:tcPr>
            <w:gridSpan w:val="4"/>
            <w:shd w:val="clear" w:color="auto" w:fill="auto"/>
            <w:tcW w:w="3695" w:type="dxa"/>
            <w:vAlign w:val="center"/>
            <w:textDirection w:val="lrTb"/>
            <w:noWrap w:val="false"/>
          </w:tcPr>
          <w:p>
            <w:pPr>
              <w:ind w:left="0"/>
              <w:jc w:val="center"/>
              <w:tabs>
                <w:tab w:val="left" w:pos="420" w:leader="none"/>
              </w:tabs>
              <w:rPr>
                <w:rFonts w:ascii="宋体" w:hAnsi="宋体"/>
                <w:sz w:val="18"/>
                <w:szCs w:val="18"/>
              </w:rPr>
            </w:pPr>
            <w:r>
              <w:rPr>
                <w:rFonts w:hint="eastAsia" w:ascii="宋体" w:hAnsi="宋体"/>
                <w:b/>
                <w:bCs/>
                <w:sz w:val="18"/>
                <w:szCs w:val="18"/>
              </w:rPr>
              <w:t xml:space="preserve">8,479,163.23</w:t>
            </w:r>
            <w:r/>
          </w:p>
        </w:tc>
      </w:tr>
    </w:tbl>
    <w:p>
      <w:pPr>
        <w:pStyle w:val="1459"/>
        <w:rPr>
          <w:rFonts w:hint="default" w:ascii="宋体" w:hAnsi="宋体" w:eastAsia="宋体"/>
          <w:b/>
          <w:color w:val="auto"/>
          <w:sz w:val="21"/>
          <w:szCs w:val="21"/>
        </w:rPr>
      </w:pPr>
      <w:r>
        <w:rPr>
          <w:rFonts w:ascii="宋体" w:hAnsi="宋体" w:eastAsia="宋体"/>
          <w:b/>
          <w:color w:val="auto"/>
          <w:sz w:val="21"/>
          <w:szCs w:val="21"/>
        </w:rPr>
        <w:t xml:space="preserve">注：1</w:t>
      </w:r>
      <w:r>
        <w:rPr>
          <w:rFonts w:hint="default" w:ascii="宋体" w:hAnsi="宋体" w:eastAsia="宋体"/>
          <w:b/>
          <w:color w:val="auto"/>
          <w:sz w:val="21"/>
          <w:szCs w:val="21"/>
        </w:rPr>
        <w:t xml:space="preserve">.</w:t>
      </w:r>
      <w:r>
        <w:rPr>
          <w:rFonts w:ascii="宋体" w:hAnsi="宋体" w:eastAsia="宋体"/>
          <w:b/>
          <w:color w:val="auto"/>
          <w:sz w:val="21"/>
          <w:szCs w:val="21"/>
        </w:rPr>
        <w:t xml:space="preserve">本项目要求</w:t>
      </w:r>
      <w:r>
        <w:rPr>
          <w:rFonts w:ascii="宋体" w:hAnsi="宋体" w:eastAsia="宋体"/>
          <w:b/>
          <w:sz w:val="21"/>
          <w:szCs w:val="21"/>
        </w:rPr>
        <w:t xml:space="preserve">投标人对分项进行报价，分项报价不得高于</w:t>
      </w:r>
      <w:r>
        <w:rPr>
          <w:rFonts w:ascii="宋体" w:hAnsi="宋体" w:eastAsia="宋体"/>
          <w:b/>
          <w:sz w:val="21"/>
          <w:szCs w:val="21"/>
        </w:rPr>
        <w:t xml:space="preserve">单价最高限价</w:t>
      </w:r>
      <w:r>
        <w:rPr>
          <w:rFonts w:ascii="宋体" w:hAnsi="宋体" w:eastAsia="宋体"/>
          <w:b/>
          <w:sz w:val="21"/>
          <w:szCs w:val="21"/>
        </w:rPr>
        <w:t xml:space="preserve">，且报价总价不得高于</w:t>
      </w:r>
      <w:r>
        <w:rPr>
          <w:rFonts w:ascii="宋体" w:hAnsi="宋体" w:eastAsia="宋体"/>
          <w:b/>
          <w:sz w:val="21"/>
          <w:szCs w:val="21"/>
        </w:rPr>
        <w:t xml:space="preserve">最高限价</w:t>
      </w:r>
      <w:r>
        <w:rPr>
          <w:rFonts w:ascii="宋体" w:hAnsi="宋体" w:eastAsia="宋体"/>
          <w:b/>
          <w:sz w:val="21"/>
          <w:szCs w:val="21"/>
        </w:rPr>
        <w:t xml:space="preserve">，否则视为</w:t>
      </w:r>
      <w:r>
        <w:rPr>
          <w:rFonts w:ascii="宋体" w:hAnsi="宋体" w:eastAsia="宋体"/>
          <w:b/>
          <w:sz w:val="21"/>
          <w:szCs w:val="21"/>
        </w:rPr>
        <w:t xml:space="preserve">非实质性响应</w:t>
      </w:r>
      <w:r>
        <w:rPr>
          <w:rFonts w:ascii="宋体" w:hAnsi="宋体" w:eastAsia="宋体"/>
          <w:b/>
          <w:sz w:val="21"/>
          <w:szCs w:val="21"/>
        </w:rPr>
        <w:t xml:space="preserve">。</w:t>
      </w:r>
      <w:r/>
    </w:p>
    <w:p>
      <w:pPr>
        <w:ind w:left="0" w:firstLine="422"/>
        <w:spacing w:line="360" w:lineRule="auto"/>
        <w:rPr>
          <w:rFonts w:ascii="宋体" w:hAnsi="宋体"/>
          <w:b/>
          <w:sz w:val="21"/>
        </w:rPr>
      </w:pPr>
      <w:r>
        <w:rPr>
          <w:rFonts w:ascii="宋体" w:hAnsi="宋体"/>
          <w:b/>
          <w:sz w:val="21"/>
        </w:rPr>
        <w:t xml:space="preserve">2</w:t>
      </w:r>
      <w:r>
        <w:rPr>
          <w:rFonts w:ascii="宋体" w:hAnsi="宋体"/>
          <w:b/>
          <w:sz w:val="21"/>
        </w:rPr>
        <w:t xml:space="preserve">.本项目核心产品</w:t>
      </w:r>
      <w:r>
        <w:rPr>
          <w:rFonts w:hint="eastAsia" w:ascii="宋体" w:hAnsi="宋体"/>
          <w:b/>
          <w:sz w:val="21"/>
        </w:rPr>
        <w:t xml:space="preserve">序号</w:t>
      </w:r>
      <w:r>
        <w:rPr>
          <w:rFonts w:ascii="宋体" w:hAnsi="宋体"/>
          <w:b/>
          <w:sz w:val="21"/>
        </w:rPr>
        <w:t xml:space="preserve">：</w:t>
      </w:r>
      <w:r>
        <w:rPr>
          <w:rFonts w:hint="eastAsia" w:ascii="宋体" w:hAnsi="宋体"/>
          <w:b/>
          <w:sz w:val="21"/>
        </w:rPr>
        <w:t xml:space="preserve">1、13、22、92、141、160热熔型标线。</w:t>
      </w:r>
      <w:r/>
    </w:p>
    <w:p>
      <w:pPr>
        <w:ind w:left="0" w:firstLine="422"/>
        <w:spacing w:line="360" w:lineRule="auto"/>
        <w:rPr>
          <w:rFonts w:ascii="宋体" w:hAnsi="宋体"/>
          <w:b/>
          <w:sz w:val="21"/>
        </w:rPr>
      </w:pPr>
      <w:r>
        <w:rPr>
          <w:rFonts w:ascii="宋体" w:hAnsi="宋体"/>
          <w:b/>
          <w:sz w:val="21"/>
        </w:rPr>
        <w:t xml:space="preserve">3</w:t>
      </w:r>
      <w:r>
        <w:rPr>
          <w:rFonts w:ascii="宋体" w:hAnsi="宋体"/>
          <w:b/>
          <w:sz w:val="21"/>
        </w:rPr>
        <w:t xml:space="preserve">.</w:t>
      </w:r>
      <w:r>
        <w:rPr>
          <w:rFonts w:hint="eastAsia" w:ascii="宋体" w:hAnsi="宋体"/>
          <w:b/>
          <w:sz w:val="21"/>
        </w:rPr>
        <w:t xml:space="preserve">表格中打“★”的产品，投标单位需提供以下任意一种证明材料并加盖投标单位公章：（1）官网截图证明（2）技术说明书（3）技术参数彩页（4）其他证明材料（不含承诺函），未提供、未按要求提供视为未实质性响应招标文件要求。</w:t>
      </w:r>
      <w:r/>
    </w:p>
    <w:p>
      <w:pPr>
        <w:ind w:left="0" w:firstLine="422"/>
        <w:spacing w:line="360" w:lineRule="auto"/>
        <w:rPr>
          <w:rFonts w:ascii="宋体" w:hAnsi="宋体"/>
          <w:b/>
          <w:sz w:val="21"/>
        </w:rPr>
      </w:pPr>
      <w:r>
        <w:rPr>
          <w:rFonts w:ascii="宋体" w:hAnsi="宋体"/>
          <w:b/>
          <w:sz w:val="21"/>
        </w:rPr>
        <w:t xml:space="preserve">4</w:t>
      </w:r>
      <w:r>
        <w:rPr>
          <w:rFonts w:ascii="宋体" w:hAnsi="宋体"/>
          <w:b/>
          <w:sz w:val="21"/>
        </w:rPr>
        <w:t xml:space="preserve">.</w:t>
      </w:r>
      <w:r>
        <w:rPr>
          <w:rFonts w:hint="eastAsia" w:ascii="宋体" w:hAnsi="宋体"/>
          <w:b/>
          <w:sz w:val="21"/>
        </w:rPr>
        <w:t xml:space="preserve">本采购项目所涉及的所有内容，均须符合中华人民共和国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ind w:left="0" w:firstLine="422"/>
        <w:spacing w:line="360" w:lineRule="auto"/>
        <w:rPr>
          <w:rFonts w:ascii="宋体" w:hAnsi="宋体"/>
          <w:b/>
          <w:bCs/>
        </w:rPr>
      </w:pPr>
      <w:r>
        <w:rPr>
          <w:rFonts w:hint="eastAsia" w:ascii="宋体" w:hAnsi="宋体"/>
          <w:b/>
          <w:bCs/>
          <w:sz w:val="21"/>
        </w:rPr>
        <w:t xml:space="preserve">（二）施工及安装要求</w:t>
      </w:r>
      <w:r/>
    </w:p>
    <w:p>
      <w:pPr>
        <w:ind w:left="0" w:firstLine="422"/>
        <w:spacing w:line="360" w:lineRule="auto"/>
        <w:rPr>
          <w:rFonts w:ascii="宋体" w:hAnsi="宋体"/>
          <w:b/>
          <w:bCs/>
        </w:rPr>
      </w:pPr>
      <w:r>
        <w:rPr>
          <w:rFonts w:hint="eastAsia" w:ascii="宋体" w:hAnsi="宋体"/>
          <w:b/>
          <w:bCs/>
          <w:sz w:val="21"/>
        </w:rPr>
        <w:t xml:space="preserve">标志施工要求：</w:t>
      </w:r>
      <w:r/>
    </w:p>
    <w:p>
      <w:pPr>
        <w:ind w:left="0" w:firstLine="420"/>
        <w:spacing w:line="360" w:lineRule="auto"/>
        <w:rPr>
          <w:rFonts w:ascii="宋体" w:hAnsi="宋体"/>
        </w:rPr>
      </w:pPr>
      <w:r>
        <w:rPr>
          <w:rFonts w:hint="eastAsia" w:ascii="宋体" w:hAnsi="宋体"/>
          <w:sz w:val="21"/>
        </w:rPr>
        <w:t xml:space="preserve">1.标志定位与位置</w:t>
      </w:r>
      <w:r/>
    </w:p>
    <w:p>
      <w:pPr>
        <w:ind w:left="0" w:firstLine="420"/>
        <w:spacing w:line="360" w:lineRule="auto"/>
        <w:rPr>
          <w:rFonts w:asciiTheme="minorEastAsia" w:hAnsiTheme="minorEastAsia" w:cstheme="minorEastAsia"/>
        </w:rPr>
      </w:pPr>
      <w:r>
        <w:rPr>
          <w:rFonts w:hint="eastAsia" w:asciiTheme="minorEastAsia" w:hAnsiTheme="minorEastAsia" w:eastAsiaTheme="minorEastAsia" w:cstheme="minorEastAsia"/>
          <w:sz w:val="21"/>
        </w:rPr>
        <w:t xml:space="preserve">所有交通标志都应按采购单位的要求定位和设置。安装的标志应与交通流方向几乎成直角，在曲线路段，标志的设置角度应由交通流的行进方向来确定。为了消除路侧标志表面产生的眩光，标志应向后旋转约5°，以避开车前灯光束的直射；门架标志的垂直轴应向后倾成一角度；对于路侧标志，标志板内缘距土路肩边缘不得小于250mm。</w:t>
      </w:r>
      <w:r/>
    </w:p>
    <w:p>
      <w:pPr>
        <w:ind w:left="0" w:firstLine="420"/>
        <w:spacing w:line="360" w:lineRule="auto"/>
        <w:rPr>
          <w:rFonts w:ascii="宋体" w:hAnsi="宋体"/>
        </w:rPr>
      </w:pPr>
      <w:r>
        <w:rPr>
          <w:rFonts w:hint="eastAsia" w:ascii="宋体" w:hAnsi="宋体"/>
          <w:sz w:val="21"/>
        </w:rPr>
        <w:t xml:space="preserve">2.基础</w:t>
      </w:r>
      <w:r/>
    </w:p>
    <w:p>
      <w:pPr>
        <w:ind w:left="0" w:firstLine="420"/>
        <w:spacing w:line="360" w:lineRule="auto"/>
        <w:rPr>
          <w:rFonts w:ascii="宋体" w:hAnsi="宋体"/>
        </w:rPr>
      </w:pPr>
      <w:r>
        <w:rPr>
          <w:rFonts w:hint="eastAsia" w:ascii="宋体" w:hAnsi="宋体"/>
          <w:sz w:val="21"/>
        </w:rPr>
        <w:t xml:space="preserve">标志基础可按规定就地浇筑或预制后再埋置。基础位置的确定、开挖都应经采购方批准后方可施工。</w:t>
      </w:r>
      <w:r/>
    </w:p>
    <w:p>
      <w:pPr>
        <w:ind w:left="0" w:firstLine="420"/>
        <w:spacing w:line="360" w:lineRule="auto"/>
        <w:rPr>
          <w:rFonts w:ascii="宋体" w:hAnsi="宋体"/>
        </w:rPr>
      </w:pPr>
      <w:r>
        <w:rPr>
          <w:rFonts w:hint="eastAsia" w:ascii="宋体" w:hAnsi="宋体"/>
          <w:sz w:val="21"/>
        </w:rPr>
        <w:t xml:space="preserve">3.标志支承结构</w:t>
      </w:r>
      <w:r/>
    </w:p>
    <w:p>
      <w:pPr>
        <w:ind w:left="0" w:firstLine="420"/>
        <w:spacing w:line="360" w:lineRule="auto"/>
        <w:rPr>
          <w:rFonts w:ascii="宋体" w:hAnsi="宋体"/>
        </w:rPr>
      </w:pPr>
      <w:r>
        <w:rPr>
          <w:rFonts w:hint="eastAsia" w:ascii="宋体" w:hAnsi="宋体"/>
          <w:sz w:val="21"/>
        </w:rPr>
        <w:t xml:space="preserve">（1）路侧式标志的装设，应按《道路交通标志和标线第2部分：道路交通标志》（GB5768.2-2022）的规定进行。</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2</w:t>
      </w:r>
      <w:r>
        <w:rPr>
          <w:rFonts w:hint="eastAsia" w:ascii="Times New Roman" w:hAnsi="Times New Roman" w:eastAsia="仿宋_GB2312" w:cs="Times New Roman"/>
          <w:sz w:val="21"/>
          <w:szCs w:val="21"/>
        </w:rPr>
        <w:t xml:space="preserve">）</w:t>
      </w:r>
      <w:r>
        <w:rPr>
          <w:rFonts w:hint="eastAsia" w:ascii="宋体" w:hAnsi="宋体"/>
          <w:sz w:val="21"/>
        </w:rPr>
        <w:t xml:space="preserve">钢支承结构应符合《道路交通标志和标线第2部分：道路交通标志》（GB5768.2-2022）的规定制作和安装。</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3</w:t>
      </w:r>
      <w:r>
        <w:rPr>
          <w:rFonts w:hint="eastAsia" w:ascii="Times New Roman" w:hAnsi="Times New Roman" w:eastAsia="仿宋_GB2312" w:cs="Times New Roman"/>
          <w:sz w:val="21"/>
          <w:szCs w:val="21"/>
        </w:rPr>
        <w:t xml:space="preserve">）</w:t>
      </w:r>
      <w:r>
        <w:rPr>
          <w:rFonts w:hint="eastAsia" w:ascii="宋体" w:hAnsi="宋体"/>
          <w:sz w:val="21"/>
        </w:rPr>
        <w:t xml:space="preserve">管状或空心截面的支承结构，应设有防雨帽。</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4</w:t>
      </w:r>
      <w:r>
        <w:rPr>
          <w:rFonts w:hint="eastAsia" w:ascii="Times New Roman" w:hAnsi="Times New Roman" w:eastAsia="仿宋_GB2312" w:cs="Times New Roman"/>
          <w:sz w:val="21"/>
          <w:szCs w:val="21"/>
        </w:rPr>
        <w:t xml:space="preserve">）</w:t>
      </w:r>
      <w:r>
        <w:rPr>
          <w:rFonts w:hint="eastAsia" w:ascii="宋体" w:hAnsi="宋体"/>
          <w:sz w:val="21"/>
        </w:rPr>
        <w:t xml:space="preserve">钻孔、冲孔和车间焊接，应在钢材电镀之前完成。提供的连接件和附件应适合标志安装系统并符合《道路交通标志和标线第2部分：道路交通标志》（GB5768.2-2022 ）附录E的要求。</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5</w:t>
      </w:r>
      <w:r>
        <w:rPr>
          <w:rFonts w:hint="eastAsia" w:ascii="Times New Roman" w:hAnsi="Times New Roman" w:eastAsia="仿宋_GB2312" w:cs="Times New Roman"/>
          <w:sz w:val="21"/>
          <w:szCs w:val="21"/>
        </w:rPr>
        <w:t xml:space="preserve">）</w:t>
      </w:r>
      <w:r>
        <w:rPr>
          <w:rFonts w:hint="eastAsia" w:ascii="宋体" w:hAnsi="宋体"/>
          <w:sz w:val="21"/>
        </w:rPr>
        <w:t xml:space="preserve">推荐的安装系统（包括多标志组合装置）的详情报送采购方。安装期间，标志板应适当支撑和加固，其表面应采取防止损坏的保护措施。</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6</w:t>
      </w:r>
      <w:r>
        <w:rPr>
          <w:rFonts w:hint="eastAsia" w:ascii="Times New Roman" w:hAnsi="Times New Roman" w:eastAsia="仿宋_GB2312" w:cs="Times New Roman"/>
          <w:sz w:val="21"/>
          <w:szCs w:val="21"/>
        </w:rPr>
        <w:t xml:space="preserve">）</w:t>
      </w:r>
      <w:r>
        <w:rPr>
          <w:rFonts w:hint="eastAsia" w:ascii="宋体" w:hAnsi="宋体"/>
          <w:sz w:val="21"/>
        </w:rPr>
        <w:t xml:space="preserve">标志支撑结构的架设应在基础混凝土强度达到要求。门架标志结构整个安装过程应以高空吊车为工具，不允许施工人员在门架的横梁上作业。在横梁安装之前，应先预拱，横梁中间处的预拱度一般为50mm。悬臂标志的预拱度为40mm。门架和悬臂式标志支撑结构安装完毕后，应按采购单位要求，用Ⅳ类反光膜贴在立柱的迎交通流面，作为立面标记（立面标记颜色为黄黑）。</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7</w:t>
      </w:r>
      <w:r>
        <w:rPr>
          <w:rFonts w:hint="eastAsia" w:ascii="Times New Roman" w:hAnsi="Times New Roman" w:eastAsia="仿宋_GB2312" w:cs="Times New Roman"/>
          <w:sz w:val="21"/>
          <w:szCs w:val="21"/>
        </w:rPr>
        <w:t xml:space="preserve">）</w:t>
      </w:r>
      <w:r>
        <w:rPr>
          <w:rFonts w:hint="eastAsia" w:ascii="宋体" w:hAnsi="宋体"/>
          <w:sz w:val="21"/>
        </w:rPr>
        <w:t xml:space="preserve">标志中与铝合金或其他金属接触的所有钢材都应加以保护，以避免钢材或铝合金的锈蚀。</w:t>
      </w:r>
      <w:r/>
    </w:p>
    <w:p>
      <w:pPr>
        <w:ind w:left="0" w:firstLine="420"/>
        <w:spacing w:line="360" w:lineRule="auto"/>
        <w:rPr>
          <w:rFonts w:ascii="宋体" w:hAnsi="宋体"/>
        </w:rPr>
      </w:pPr>
      <w:r>
        <w:rPr>
          <w:rFonts w:hint="eastAsia" w:ascii="宋体" w:hAnsi="宋体"/>
          <w:sz w:val="21"/>
        </w:rPr>
        <w:t xml:space="preserve">4.标志板制作安装</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1</w:t>
      </w:r>
      <w:r>
        <w:rPr>
          <w:rFonts w:hint="eastAsia" w:ascii="Times New Roman" w:hAnsi="Times New Roman" w:eastAsia="仿宋_GB2312" w:cs="Times New Roman"/>
          <w:sz w:val="21"/>
          <w:szCs w:val="21"/>
        </w:rPr>
        <w:t xml:space="preserve">）</w:t>
      </w:r>
      <w:r>
        <w:rPr>
          <w:rFonts w:hint="eastAsia" w:ascii="宋体" w:hAnsi="宋体"/>
          <w:sz w:val="21"/>
        </w:rPr>
        <w:t xml:space="preserve">标志面的制作</w:t>
      </w:r>
      <w:r/>
    </w:p>
    <w:p>
      <w:pPr>
        <w:ind w:left="0" w:firstLine="420"/>
        <w:spacing w:line="360" w:lineRule="auto"/>
        <w:rPr>
          <w:rFonts w:ascii="宋体" w:hAnsi="宋体"/>
        </w:rPr>
      </w:pPr>
      <w:r>
        <w:rPr>
          <w:rFonts w:ascii="Times New Roman" w:hAnsi="Times New Roman" w:eastAsia="仿宋_GB2312" w:cs="Times New Roman"/>
          <w:sz w:val="21"/>
          <w:szCs w:val="21"/>
        </w:rPr>
        <w:t xml:space="preserve">①</w:t>
      </w:r>
      <w:r>
        <w:rPr>
          <w:rFonts w:hint="eastAsia" w:ascii="宋体" w:hAnsi="宋体"/>
          <w:sz w:val="21"/>
        </w:rPr>
        <w:t xml:space="preserve">交通标志的形状、图案和颜色应严格按照《道路交通标志和标线第2部分：道路交通标志》（GB5768.2-2022）及图纸的规定执行。所有标志上的汉字、汉语拼音字母、英文字、阿拉伯数字应符合《道路交通标志和标线第2部分：道路交通标志》（GB5768.2-2022）的规定，不得采用其它字体。</w:t>
      </w:r>
      <w:r/>
    </w:p>
    <w:p>
      <w:pPr>
        <w:ind w:left="0" w:firstLine="420"/>
        <w:spacing w:line="360" w:lineRule="auto"/>
        <w:rPr>
          <w:rFonts w:ascii="宋体" w:hAnsi="宋体"/>
        </w:rPr>
      </w:pPr>
      <w:r>
        <w:rPr>
          <w:rFonts w:ascii="Times New Roman" w:hAnsi="Times New Roman" w:eastAsia="仿宋_GB2312" w:cs="Times New Roman"/>
          <w:sz w:val="21"/>
          <w:szCs w:val="21"/>
        </w:rPr>
        <w:t xml:space="preserve">②</w:t>
      </w:r>
      <w:r>
        <w:rPr>
          <w:rFonts w:hint="eastAsia" w:ascii="宋体" w:hAnsi="宋体"/>
          <w:sz w:val="21"/>
        </w:rPr>
        <w:t xml:space="preserve">交通标志板面上图案、字符的平面布设，应在施工前一周内做出样品，提交给采购单位。标志采用全反光、部分反光及反光膜的级别，应符合图纸要求。</w:t>
      </w:r>
      <w:r/>
    </w:p>
    <w:p>
      <w:pPr>
        <w:ind w:left="0" w:firstLine="420"/>
        <w:spacing w:line="360" w:lineRule="auto"/>
        <w:rPr>
          <w:rFonts w:ascii="宋体" w:hAnsi="宋体"/>
        </w:rPr>
      </w:pPr>
      <w:r>
        <w:rPr>
          <w:rFonts w:ascii="Times New Roman" w:hAnsi="Times New Roman" w:eastAsia="仿宋_GB2312" w:cs="Times New Roman"/>
          <w:sz w:val="21"/>
          <w:szCs w:val="21"/>
        </w:rPr>
        <w:t xml:space="preserve">③</w:t>
      </w:r>
      <w:r>
        <w:rPr>
          <w:rFonts w:hint="eastAsia" w:ascii="宋体" w:hAnsi="宋体"/>
          <w:sz w:val="21"/>
        </w:rPr>
        <w:t xml:space="preserve">粘贴反光膜时，不允许采用手工操作或用溶剂激活粘结剂。在标志面的最外层可涂保护层，如透明涂料等。</w:t>
      </w:r>
      <w:r/>
    </w:p>
    <w:p>
      <w:pPr>
        <w:ind w:left="0" w:firstLine="420"/>
        <w:spacing w:line="360" w:lineRule="auto"/>
        <w:rPr>
          <w:rFonts w:ascii="宋体" w:hAnsi="宋体"/>
        </w:rPr>
      </w:pPr>
      <w:r>
        <w:rPr>
          <w:rFonts w:ascii="Times New Roman" w:hAnsi="Times New Roman" w:eastAsia="仿宋_GB2312" w:cs="Times New Roman"/>
          <w:sz w:val="21"/>
          <w:szCs w:val="21"/>
        </w:rPr>
        <w:t xml:space="preserve">④</w:t>
      </w:r>
      <w:r>
        <w:rPr>
          <w:rFonts w:hint="eastAsia" w:ascii="宋体" w:hAnsi="宋体"/>
          <w:sz w:val="21"/>
        </w:rPr>
        <w:t xml:space="preserve">反光膜应尽可能减少拼接，当粘贴反光膜不可避免出现接缝时，应使用反光膜产品的最大宽度进行拼接，接缝以搭接为主。当需要滚筒粘贴或丝网印刷时，可以平接，其间隙不应超过1mm，距标志板边缘50mm之内，不得有拼接。</w:t>
      </w:r>
      <w:r/>
    </w:p>
    <w:p>
      <w:pPr>
        <w:ind w:left="0" w:firstLine="420"/>
        <w:spacing w:line="360" w:lineRule="auto"/>
        <w:rPr>
          <w:rFonts w:ascii="宋体" w:hAnsi="宋体"/>
        </w:rPr>
      </w:pPr>
      <w:r>
        <w:rPr>
          <w:rFonts w:ascii="Times New Roman" w:hAnsi="Times New Roman" w:eastAsia="仿宋_GB2312" w:cs="Times New Roman"/>
          <w:sz w:val="21"/>
          <w:szCs w:val="21"/>
        </w:rPr>
        <w:t xml:space="preserve">⑤</w:t>
      </w:r>
      <w:r>
        <w:rPr>
          <w:rFonts w:hint="eastAsia" w:ascii="宋体" w:hAnsi="宋体"/>
          <w:sz w:val="21"/>
        </w:rPr>
        <w:t xml:space="preserve">当用反光膜拼接标志图案时，拼接处应有36mm的重叠部分；接缝间隙不得大于0.8mm。反光膜粘贴在挤压型材板面上，伸出上、下边缘的最小长度为8mm，且应紧密地粘贴在上、下边缘上。</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2</w:t>
      </w:r>
      <w:r>
        <w:rPr>
          <w:rFonts w:hint="eastAsia" w:ascii="Times New Roman" w:hAnsi="Times New Roman" w:eastAsia="仿宋_GB2312" w:cs="Times New Roman"/>
          <w:sz w:val="21"/>
          <w:szCs w:val="21"/>
        </w:rPr>
        <w:t xml:space="preserve">）</w:t>
      </w:r>
      <w:r>
        <w:rPr>
          <w:rFonts w:hint="eastAsia" w:ascii="宋体" w:hAnsi="宋体"/>
          <w:sz w:val="21"/>
        </w:rPr>
        <w:t xml:space="preserve">标志板应在车间剪裁或切割，以产生整齐、方正的边缘，不应有毛刺，并按《道路交通标志和标线第2部分：道路交通标志》（GB5768.2-2022）附录E的规定进行加固。所有标志板的槽钢应在粘贴定向反光膜之前焊接好。</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3</w:t>
      </w:r>
      <w:r>
        <w:rPr>
          <w:rFonts w:hint="eastAsia" w:ascii="Times New Roman" w:hAnsi="Times New Roman" w:eastAsia="仿宋_GB2312" w:cs="Times New Roman"/>
          <w:sz w:val="21"/>
          <w:szCs w:val="21"/>
        </w:rPr>
        <w:t xml:space="preserve">）</w:t>
      </w:r>
      <w:r>
        <w:rPr>
          <w:rFonts w:hint="eastAsia" w:ascii="宋体" w:hAnsi="宋体"/>
          <w:sz w:val="21"/>
        </w:rPr>
        <w:t xml:space="preserve">提供一种所有各类标志板面各种图案的配置图，再进行图案制作。</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4</w:t>
      </w:r>
      <w:r>
        <w:rPr>
          <w:rFonts w:hint="eastAsia" w:ascii="Times New Roman" w:hAnsi="Times New Roman" w:eastAsia="仿宋_GB2312" w:cs="Times New Roman"/>
          <w:sz w:val="21"/>
          <w:szCs w:val="21"/>
        </w:rPr>
        <w:t xml:space="preserve">）</w:t>
      </w:r>
      <w:r>
        <w:rPr>
          <w:rFonts w:hint="eastAsia" w:ascii="宋体" w:hAnsi="宋体"/>
          <w:sz w:val="21"/>
        </w:rPr>
        <w:t xml:space="preserve">定向反光膜应用不剥落的热活性胶粘剂粘贴，将反光膜牢固粘贴到标志板上，其表面不得产生任何气泡和污损等缺陷。</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5</w:t>
      </w:r>
      <w:r>
        <w:rPr>
          <w:rFonts w:hint="eastAsia" w:ascii="Times New Roman" w:hAnsi="Times New Roman" w:eastAsia="仿宋_GB2312" w:cs="Times New Roman"/>
          <w:sz w:val="21"/>
          <w:szCs w:val="21"/>
        </w:rPr>
        <w:t xml:space="preserve">）</w:t>
      </w:r>
      <w:r>
        <w:rPr>
          <w:rFonts w:hint="eastAsia" w:ascii="宋体" w:hAnsi="宋体"/>
          <w:sz w:val="21"/>
        </w:rPr>
        <w:t xml:space="preserve">标志板的运输、贮存和搬运方式应按制造厂商的要求进行，两块标志邻接面之间应用适合的衬垫材料分隔，以免在运输、搬运过程中磨损标志板面。标志板应贮存在干净、干燥的室内。</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6</w:t>
      </w:r>
      <w:r>
        <w:rPr>
          <w:rFonts w:hint="eastAsia" w:ascii="Times New Roman" w:hAnsi="Times New Roman" w:eastAsia="仿宋_GB2312" w:cs="Times New Roman"/>
          <w:sz w:val="21"/>
          <w:szCs w:val="21"/>
        </w:rPr>
        <w:t xml:space="preserve">）</w:t>
      </w:r>
      <w:r>
        <w:rPr>
          <w:rFonts w:hint="eastAsia" w:ascii="宋体" w:hAnsi="宋体"/>
          <w:sz w:val="21"/>
        </w:rPr>
        <w:t xml:space="preserve">安装标志板时，标志的紧固方法应符合图纸的要求。</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7</w:t>
      </w:r>
      <w:r>
        <w:rPr>
          <w:rFonts w:hint="eastAsia" w:ascii="Times New Roman" w:hAnsi="Times New Roman" w:eastAsia="仿宋_GB2312" w:cs="Times New Roman"/>
          <w:sz w:val="21"/>
          <w:szCs w:val="21"/>
        </w:rPr>
        <w:t xml:space="preserve">）</w:t>
      </w:r>
      <w:r>
        <w:rPr>
          <w:rFonts w:hint="eastAsia" w:ascii="宋体" w:hAnsi="宋体"/>
          <w:sz w:val="21"/>
        </w:rPr>
        <w:t xml:space="preserve">标志安装完毕后，投标单位应根据标志制造厂商建议的方法，清扫所有标志板。在清扫过程中，不应损坏标志面或产生其它缺陷。</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8</w:t>
      </w:r>
      <w:r>
        <w:rPr>
          <w:rFonts w:hint="eastAsia" w:ascii="Times New Roman" w:hAnsi="Times New Roman" w:eastAsia="仿宋_GB2312" w:cs="Times New Roman"/>
          <w:sz w:val="21"/>
          <w:szCs w:val="21"/>
        </w:rPr>
        <w:t xml:space="preserve">）</w:t>
      </w:r>
      <w:r>
        <w:rPr>
          <w:rFonts w:hint="eastAsia" w:ascii="宋体" w:hAnsi="宋体"/>
          <w:sz w:val="21"/>
        </w:rPr>
        <w:t xml:space="preserve">标志安装完毕后，必须确认在白天和夜间条件下标志的外观、视认性、颜色、镜面眩光等是否符合图纸要求。在标志检查中发现的任何缺陷，中标单位应予以修正或更换。</w:t>
      </w:r>
      <w:r/>
    </w:p>
    <w:p>
      <w:pPr>
        <w:ind w:left="0" w:firstLine="422"/>
        <w:spacing w:line="360" w:lineRule="auto"/>
        <w:rPr>
          <w:rFonts w:ascii="宋体" w:hAnsi="宋体"/>
          <w:b/>
          <w:bCs/>
        </w:rPr>
      </w:pPr>
      <w:r>
        <w:rPr>
          <w:rFonts w:hint="eastAsia" w:ascii="宋体" w:hAnsi="宋体"/>
          <w:b/>
          <w:bCs/>
          <w:sz w:val="21"/>
        </w:rPr>
        <w:t xml:space="preserve">标志质量检验：</w:t>
      </w:r>
      <w:r/>
    </w:p>
    <w:p>
      <w:pPr>
        <w:ind w:left="0" w:firstLine="420"/>
        <w:spacing w:line="360" w:lineRule="auto"/>
        <w:rPr>
          <w:rFonts w:ascii="宋体" w:hAnsi="宋体"/>
        </w:rPr>
      </w:pPr>
      <w:r>
        <w:rPr>
          <w:rFonts w:hint="eastAsia" w:ascii="宋体" w:hAnsi="宋体"/>
          <w:sz w:val="21"/>
        </w:rPr>
        <w:t xml:space="preserve">1.基本要求</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1</w:t>
      </w:r>
      <w:r>
        <w:rPr>
          <w:rFonts w:hint="eastAsia" w:ascii="Times New Roman" w:hAnsi="Times New Roman" w:eastAsia="仿宋_GB2312" w:cs="Times New Roman"/>
          <w:sz w:val="21"/>
          <w:szCs w:val="21"/>
        </w:rPr>
        <w:t xml:space="preserve">）</w:t>
      </w:r>
      <w:r>
        <w:rPr>
          <w:rFonts w:hint="eastAsia" w:ascii="宋体" w:hAnsi="宋体"/>
          <w:sz w:val="21"/>
        </w:rPr>
        <w:t xml:space="preserve">安装完成后标志板面应无任何裂纹和划痕以及明显的颜色不均匀，在任何一处面积为0.25平方米表面上不得有一个或一个以上总面积大于10平方毫米的气泡。</w:t>
      </w:r>
      <w:r/>
    </w:p>
    <w:p>
      <w:pPr>
        <w:ind w:left="0" w:firstLine="420"/>
        <w:spacing w:line="360" w:lineRule="auto"/>
        <w:rPr>
          <w:rFonts w:ascii="宋体" w:hAnsi="宋体"/>
        </w:rPr>
      </w:pPr>
      <w:r>
        <w:rPr>
          <w:rFonts w:hint="eastAsia" w:ascii="Times New Roman" w:hAnsi="Times New Roman" w:eastAsia="仿宋_GB2312" w:cs="Times New Roman"/>
          <w:sz w:val="21"/>
          <w:szCs w:val="21"/>
        </w:rPr>
        <w:t xml:space="preserve">（</w:t>
      </w:r>
      <w:r>
        <w:rPr>
          <w:rFonts w:hint="eastAsia" w:ascii="Times New Roman" w:hAnsi="Times New Roman" w:eastAsia="仿宋_GB2312" w:cs="Times New Roman"/>
          <w:sz w:val="21"/>
          <w:szCs w:val="21"/>
        </w:rPr>
        <w:t xml:space="preserve">2</w:t>
      </w:r>
      <w:r>
        <w:rPr>
          <w:rFonts w:hint="eastAsia" w:ascii="Times New Roman" w:hAnsi="Times New Roman" w:eastAsia="仿宋_GB2312" w:cs="Times New Roman"/>
          <w:sz w:val="21"/>
          <w:szCs w:val="21"/>
        </w:rPr>
        <w:t xml:space="preserve">）</w:t>
      </w:r>
      <w:r>
        <w:rPr>
          <w:rFonts w:hint="eastAsia" w:ascii="宋体" w:hAnsi="宋体"/>
          <w:sz w:val="21"/>
        </w:rPr>
        <w:t xml:space="preserve">标志制作应符合《道路交通标志和标线第2部分：道路交通标志》（GB5768.2-2022）和《道路交通标志板及支撑件》（GB/T23827）的规定。标志板的外形尺寸偏差不大于±5mm；四边互相垂直，垂直度偏差不大于±1°；平面翘曲偏差不大于±3mm/m。</w:t>
      </w:r>
      <w:r/>
    </w:p>
    <w:p>
      <w:pPr>
        <w:ind w:left="0" w:firstLine="422"/>
        <w:spacing w:line="360" w:lineRule="auto"/>
        <w:rPr>
          <w:rFonts w:ascii="宋体" w:hAnsi="宋体"/>
          <w:b/>
          <w:bCs/>
        </w:rPr>
      </w:pPr>
      <w:r>
        <w:rPr>
          <w:rFonts w:hint="eastAsia" w:ascii="宋体" w:hAnsi="宋体"/>
          <w:b/>
          <w:bCs/>
          <w:sz w:val="21"/>
        </w:rPr>
        <w:t xml:space="preserve">标线施工要求：</w:t>
      </w:r>
      <w:r/>
    </w:p>
    <w:p>
      <w:pPr>
        <w:ind w:left="0" w:firstLine="420"/>
        <w:spacing w:line="360" w:lineRule="auto"/>
        <w:rPr>
          <w:rFonts w:ascii="宋体" w:hAnsi="宋体"/>
        </w:rPr>
      </w:pPr>
      <w:r>
        <w:rPr>
          <w:rFonts w:hint="eastAsia" w:ascii="宋体" w:hAnsi="宋体"/>
          <w:sz w:val="21"/>
        </w:rPr>
        <w:t xml:space="preserve">1.路面标线</w:t>
      </w:r>
      <w:r/>
    </w:p>
    <w:p>
      <w:pPr>
        <w:ind w:left="0" w:firstLine="420"/>
        <w:spacing w:line="360" w:lineRule="auto"/>
        <w:rPr>
          <w:rFonts w:ascii="宋体" w:hAnsi="宋体"/>
        </w:rPr>
      </w:pPr>
      <w:r>
        <w:rPr>
          <w:rFonts w:hint="eastAsia" w:ascii="宋体" w:hAnsi="宋体"/>
          <w:sz w:val="21"/>
        </w:rPr>
        <w:t xml:space="preserve">（1）设置标线的路面表面应清洁干燥，无松散颗粒、灰尘、沥青、油污或其他有害物质。</w:t>
      </w:r>
      <w:r/>
    </w:p>
    <w:p>
      <w:pPr>
        <w:ind w:left="0" w:firstLine="420"/>
        <w:spacing w:line="360" w:lineRule="auto"/>
        <w:rPr>
          <w:rFonts w:ascii="宋体" w:hAnsi="宋体"/>
        </w:rPr>
      </w:pPr>
      <w:r>
        <w:rPr>
          <w:rFonts w:hint="eastAsia" w:ascii="宋体" w:hAnsi="宋体"/>
          <w:sz w:val="21"/>
        </w:rPr>
        <w:t xml:space="preserve">（2）在水泥路面或旧的沥青路面施加标线需要预涂底油时，应先喷涂热熔底油下涂剂，按试验决定的间隔时间喷涂热熔涂料，以提高其粘结力。</w:t>
      </w:r>
      <w:r/>
    </w:p>
    <w:p>
      <w:pPr>
        <w:ind w:left="0" w:firstLine="420"/>
        <w:spacing w:line="360" w:lineRule="auto"/>
        <w:rPr>
          <w:rFonts w:ascii="宋体" w:hAnsi="宋体"/>
        </w:rPr>
      </w:pPr>
      <w:r>
        <w:rPr>
          <w:rFonts w:hint="eastAsia" w:ascii="宋体" w:hAnsi="宋体"/>
          <w:sz w:val="21"/>
        </w:rPr>
        <w:t xml:space="preserve">（3）为了确保标线涂料和路面材料完全相适应，底油的类型和用量应符合国家标准。</w:t>
      </w:r>
      <w:r/>
    </w:p>
    <w:p>
      <w:pPr>
        <w:ind w:left="0" w:firstLine="420"/>
        <w:spacing w:line="360" w:lineRule="auto"/>
        <w:rPr>
          <w:rFonts w:ascii="宋体" w:hAnsi="宋体"/>
        </w:rPr>
      </w:pPr>
      <w:r>
        <w:rPr>
          <w:rFonts w:hint="eastAsia" w:ascii="宋体" w:hAnsi="宋体"/>
          <w:sz w:val="21"/>
        </w:rPr>
        <w:t xml:space="preserve">（4）标线的颜色为白色和黄色，应符合《路面标线涂料》（JT/T280—2022）的要求。喷涂机具应使用自行式机械。</w:t>
      </w:r>
      <w:r/>
    </w:p>
    <w:p>
      <w:pPr>
        <w:ind w:left="0" w:firstLine="420"/>
        <w:spacing w:line="360" w:lineRule="auto"/>
        <w:rPr>
          <w:rFonts w:ascii="宋体" w:hAnsi="宋体"/>
        </w:rPr>
      </w:pPr>
      <w:r>
        <w:rPr>
          <w:rFonts w:hint="eastAsia" w:ascii="宋体" w:hAnsi="宋体"/>
          <w:sz w:val="21"/>
        </w:rPr>
        <w:t xml:space="preserve">（5）标线宽度、虚线长及间隔、点线长及间隔、双标线的间隔，应按《道路交通标志和标线第2部分：道路交通标志》（GB5768.2-2022 ）规定办理。</w:t>
      </w:r>
      <w:r/>
    </w:p>
    <w:p>
      <w:pPr>
        <w:ind w:left="0" w:firstLine="420"/>
        <w:spacing w:line="360" w:lineRule="auto"/>
        <w:rPr>
          <w:rFonts w:ascii="宋体" w:hAnsi="宋体"/>
        </w:rPr>
      </w:pPr>
      <w:r>
        <w:rPr>
          <w:rFonts w:hint="eastAsia" w:ascii="宋体" w:hAnsi="宋体"/>
          <w:sz w:val="21"/>
        </w:rPr>
        <w:t xml:space="preserve">（6）特殊标线的图案、标记，如箭头及字母等的尺寸应按图纸要求和《道路交通标志和标线第2部分：道路交通标志》（GB5768.2-2022 ）规定办理。</w:t>
      </w:r>
      <w:r/>
    </w:p>
    <w:p>
      <w:pPr>
        <w:ind w:left="0" w:firstLine="420"/>
        <w:spacing w:line="360" w:lineRule="auto"/>
        <w:rPr>
          <w:rFonts w:ascii="宋体" w:hAnsi="宋体"/>
        </w:rPr>
      </w:pPr>
      <w:r>
        <w:rPr>
          <w:rFonts w:hint="eastAsia" w:ascii="宋体" w:hAnsi="宋体"/>
          <w:sz w:val="21"/>
        </w:rPr>
        <w:t xml:space="preserve">（7）所有标线应具有顺直、平顺、光洁、均匀及精美外观；湿膜厚度符合图纸要求。</w:t>
      </w:r>
      <w:r/>
    </w:p>
    <w:p>
      <w:pPr>
        <w:ind w:left="0" w:firstLine="420"/>
        <w:spacing w:line="360" w:lineRule="auto"/>
        <w:rPr>
          <w:rFonts w:ascii="宋体" w:hAnsi="宋体"/>
        </w:rPr>
      </w:pPr>
      <w:r>
        <w:rPr>
          <w:rFonts w:hint="eastAsia" w:ascii="宋体" w:hAnsi="宋体"/>
          <w:sz w:val="21"/>
        </w:rPr>
        <w:t xml:space="preserve">（8）有缺陷的、施工不当、尺寸不正确或位置错误的标线均应清除，路面应修补，材料应更换。</w:t>
      </w:r>
      <w:r/>
    </w:p>
    <w:p>
      <w:pPr>
        <w:ind w:left="0" w:firstLine="420"/>
        <w:spacing w:line="360" w:lineRule="auto"/>
        <w:rPr>
          <w:rFonts w:ascii="宋体" w:hAnsi="宋体"/>
        </w:rPr>
      </w:pPr>
      <w:r>
        <w:rPr>
          <w:rFonts w:hint="eastAsia" w:ascii="宋体" w:hAnsi="宋体"/>
          <w:sz w:val="21"/>
        </w:rPr>
        <w:t xml:space="preserve">（9）涂料在容器内加热时，温度应控制在涂料生产商的使用说明规定值内，不得超过最高限制温度。烃树脂类材料，保持在熔融状态的时间不大于6h；树胶树脂类材料，保持在熔融状态的时间不大于4h。</w:t>
      </w:r>
      <w:r/>
    </w:p>
    <w:p>
      <w:pPr>
        <w:ind w:left="0" w:firstLine="420"/>
        <w:spacing w:line="360" w:lineRule="auto"/>
        <w:rPr>
          <w:rFonts w:ascii="宋体" w:hAnsi="宋体"/>
        </w:rPr>
      </w:pPr>
      <w:r>
        <w:rPr>
          <w:rFonts w:hint="eastAsia" w:ascii="宋体" w:hAnsi="宋体"/>
          <w:sz w:val="21"/>
        </w:rPr>
        <w:t xml:space="preserve">（10）涂料喷涂于路面时的温度，应符合涂料生产商提供的使用说明的要求，否则会影响喷涂使用寿命。</w:t>
      </w:r>
      <w:r/>
    </w:p>
    <w:p>
      <w:pPr>
        <w:ind w:left="0" w:firstLine="420"/>
        <w:spacing w:line="360" w:lineRule="auto"/>
        <w:rPr>
          <w:rFonts w:ascii="宋体" w:hAnsi="宋体"/>
        </w:rPr>
      </w:pPr>
      <w:r>
        <w:rPr>
          <w:rFonts w:hint="eastAsia" w:ascii="宋体" w:hAnsi="宋体"/>
          <w:sz w:val="21"/>
        </w:rPr>
        <w:t xml:space="preserve">（11）雨天、尘埃大、风大、温度低于10℃时应暂时停止施工。</w:t>
      </w:r>
      <w:r/>
    </w:p>
    <w:p>
      <w:pPr>
        <w:ind w:left="0" w:firstLine="420"/>
        <w:spacing w:line="360" w:lineRule="auto"/>
        <w:rPr>
          <w:rFonts w:ascii="宋体" w:hAnsi="宋体"/>
        </w:rPr>
      </w:pPr>
      <w:r>
        <w:rPr>
          <w:rFonts w:hint="eastAsia" w:ascii="宋体" w:hAnsi="宋体"/>
          <w:sz w:val="21"/>
        </w:rPr>
        <w:t xml:space="preserve">（12）玻璃珠的撒布应经试验后方可实施。撒布玻璃珠应在涂料喷涂后立即进行，以不低于0.3kg/㎡的用量加压撒布在所有标线上。</w:t>
      </w:r>
      <w:r/>
    </w:p>
    <w:p>
      <w:pPr>
        <w:ind w:left="0" w:firstLine="420"/>
        <w:spacing w:line="360" w:lineRule="auto"/>
        <w:rPr>
          <w:rFonts w:ascii="宋体" w:hAnsi="宋体"/>
        </w:rPr>
      </w:pPr>
      <w:r>
        <w:rPr>
          <w:rFonts w:hint="eastAsia" w:ascii="宋体" w:hAnsi="宋体"/>
          <w:sz w:val="21"/>
        </w:rPr>
        <w:t xml:space="preserve">（13）喷涂标线时，应有交通安全措施，设置适当警告标志，阻止车辆及行人在作业区内通行，防止将涂料带出或形成车辙，直至标线充分干燥。</w:t>
      </w:r>
      <w:r/>
    </w:p>
    <w:p>
      <w:pPr>
        <w:ind w:left="0" w:firstLine="422"/>
        <w:spacing w:line="360" w:lineRule="auto"/>
        <w:rPr>
          <w:rFonts w:ascii="宋体" w:hAnsi="宋体"/>
          <w:b/>
          <w:bCs/>
        </w:rPr>
      </w:pPr>
      <w:r>
        <w:rPr>
          <w:rFonts w:hint="eastAsia" w:ascii="宋体" w:hAnsi="宋体"/>
          <w:b/>
          <w:bCs/>
          <w:sz w:val="21"/>
        </w:rPr>
        <w:t xml:space="preserve">标线材料质量检验：</w:t>
      </w:r>
      <w:r/>
    </w:p>
    <w:p>
      <w:pPr>
        <w:ind w:left="0" w:firstLine="420"/>
        <w:spacing w:line="360" w:lineRule="auto"/>
        <w:tabs>
          <w:tab w:val="left" w:pos="420" w:leader="none"/>
        </w:tabs>
        <w:rPr>
          <w:rFonts w:ascii="宋体" w:hAnsi="宋体"/>
        </w:rPr>
      </w:pPr>
      <w:r>
        <w:rPr>
          <w:rFonts w:hint="eastAsia" w:ascii="宋体" w:hAnsi="宋体"/>
          <w:sz w:val="21"/>
        </w:rPr>
        <w:t xml:space="preserve">1.材料由生产厂的检验部门按</w:t>
      </w:r>
      <w:r>
        <w:rPr>
          <w:rFonts w:ascii="宋体" w:hAnsi="宋体"/>
          <w:sz w:val="21"/>
        </w:rPr>
        <w:t xml:space="preserve">《路面标线涂料》</w:t>
      </w:r>
      <w:r>
        <w:rPr>
          <w:rFonts w:hint="eastAsia" w:ascii="宋体" w:hAnsi="宋体"/>
          <w:sz w:val="21"/>
        </w:rPr>
        <w:t xml:space="preserve">（JT/T280-2022）的规定，玻璃珠应按</w:t>
      </w:r>
      <w:r>
        <w:rPr>
          <w:rFonts w:ascii="宋体" w:hAnsi="宋体"/>
          <w:sz w:val="21"/>
        </w:rPr>
        <w:t xml:space="preserve">《</w:t>
      </w:r>
      <w:r>
        <w:rPr>
          <w:rFonts w:hint="eastAsia" w:ascii="宋体" w:hAnsi="宋体"/>
          <w:sz w:val="21"/>
        </w:rPr>
        <w:t xml:space="preserve"> </w:t>
      </w:r>
      <w:r>
        <w:rPr>
          <w:rFonts w:ascii="宋体" w:hAnsi="宋体"/>
          <w:sz w:val="21"/>
        </w:rPr>
        <w:t xml:space="preserve">路面标线用玻璃珠》</w:t>
      </w:r>
      <w:r>
        <w:rPr>
          <w:rFonts w:hint="eastAsia" w:ascii="宋体" w:hAnsi="宋体"/>
          <w:sz w:val="21"/>
        </w:rPr>
        <w:t xml:space="preserve">（GB/T 24722-2020）进行检验，并保证所有出厂产品都应符合规定的技术指标。产品应有合格证，另附有使用说明及注意事项。</w:t>
      </w:r>
      <w:r/>
    </w:p>
    <w:p>
      <w:pPr>
        <w:ind w:left="0" w:firstLine="420"/>
        <w:spacing w:line="360" w:lineRule="auto"/>
        <w:tabs>
          <w:tab w:val="left" w:pos="420" w:leader="none"/>
        </w:tabs>
        <w:rPr>
          <w:rFonts w:ascii="宋体" w:hAnsi="宋体"/>
        </w:rPr>
      </w:pPr>
      <w:r>
        <w:rPr>
          <w:rFonts w:hint="eastAsia" w:ascii="宋体" w:hAnsi="宋体"/>
          <w:sz w:val="21"/>
        </w:rPr>
        <w:t xml:space="preserve">2.材料同意使用后，在交货前应对每批预订材料取样，并进行试验。所有试样应明确标出生产厂商的批量编号和生产日期。每次产品装运时应附上与最初提供的样品一致的证明书。</w:t>
      </w:r>
      <w:r/>
    </w:p>
    <w:p>
      <w:pPr>
        <w:ind w:left="0" w:firstLine="420"/>
        <w:spacing w:line="360" w:lineRule="auto"/>
        <w:tabs>
          <w:tab w:val="left" w:pos="420" w:leader="none"/>
        </w:tabs>
        <w:rPr>
          <w:rFonts w:ascii="宋体" w:hAnsi="宋体"/>
        </w:rPr>
      </w:pPr>
      <w:r>
        <w:rPr>
          <w:rFonts w:hint="eastAsia" w:ascii="宋体" w:hAnsi="宋体"/>
          <w:sz w:val="21"/>
        </w:rPr>
        <w:t xml:space="preserve">（三）</w:t>
      </w:r>
      <w:r>
        <w:rPr>
          <w:rFonts w:ascii="宋体" w:hAnsi="宋体"/>
          <w:sz w:val="21"/>
        </w:rPr>
        <w:t xml:space="preserve">包装</w:t>
      </w:r>
      <w:r>
        <w:rPr>
          <w:rFonts w:hint="eastAsia" w:ascii="宋体" w:hAnsi="宋体"/>
          <w:sz w:val="21"/>
        </w:rPr>
        <w:t xml:space="preserve">、</w:t>
      </w:r>
      <w:r>
        <w:rPr>
          <w:rFonts w:ascii="宋体" w:hAnsi="宋体"/>
          <w:sz w:val="21"/>
        </w:rPr>
        <w:t xml:space="preserve">运输</w:t>
      </w:r>
      <w:r>
        <w:rPr>
          <w:rFonts w:hint="eastAsia" w:ascii="宋体" w:hAnsi="宋体"/>
          <w:sz w:val="21"/>
        </w:rPr>
        <w:t xml:space="preserve">和存储</w:t>
      </w:r>
      <w:r>
        <w:rPr>
          <w:rFonts w:ascii="宋体" w:hAnsi="宋体"/>
          <w:sz w:val="21"/>
        </w:rPr>
        <w:t xml:space="preserve">要求</w:t>
      </w:r>
      <w:r/>
    </w:p>
    <w:p>
      <w:pPr>
        <w:ind w:left="0" w:firstLine="420"/>
        <w:spacing w:line="360" w:lineRule="auto"/>
        <w:tabs>
          <w:tab w:val="left" w:pos="420" w:leader="none"/>
        </w:tabs>
        <w:rPr>
          <w:rFonts w:ascii="宋体" w:hAnsi="宋体"/>
        </w:rPr>
      </w:pPr>
      <w:r>
        <w:rPr>
          <w:rFonts w:hint="eastAsia" w:ascii="宋体" w:hAnsi="宋体"/>
          <w:sz w:val="21"/>
        </w:rPr>
        <w:t xml:space="preserve">1.</w:t>
      </w:r>
      <w:r>
        <w:rPr>
          <w:rFonts w:ascii="宋体" w:hAnsi="宋体"/>
          <w:sz w:val="21"/>
        </w:rPr>
        <w:t xml:space="preserve">道路交通标线</w:t>
      </w:r>
      <w:r/>
    </w:p>
    <w:p>
      <w:pPr>
        <w:ind w:left="0" w:firstLine="420"/>
        <w:spacing w:line="360" w:lineRule="auto"/>
        <w:tabs>
          <w:tab w:val="left" w:pos="420" w:leader="none"/>
        </w:tabs>
        <w:rPr>
          <w:rFonts w:ascii="宋体" w:hAnsi="宋体"/>
        </w:rPr>
      </w:pPr>
      <w:r>
        <w:rPr>
          <w:rFonts w:hint="eastAsia" w:ascii="宋体" w:hAnsi="宋体"/>
          <w:sz w:val="21"/>
        </w:rPr>
        <w:t xml:space="preserve">（1）</w:t>
      </w:r>
      <w:r>
        <w:rPr>
          <w:rFonts w:ascii="宋体" w:hAnsi="宋体"/>
          <w:sz w:val="21"/>
        </w:rPr>
        <w:t xml:space="preserve">产品的包装除玻璃珠应符合规定外，涂料可用内衬密封塑料袋外加编织袋的双层包装袋包装，袋口应严密封闭</w:t>
      </w:r>
      <w:r>
        <w:rPr>
          <w:rFonts w:hint="eastAsia" w:ascii="宋体" w:hAnsi="宋体"/>
          <w:sz w:val="21"/>
        </w:rPr>
        <w:t xml:space="preserve">。</w:t>
      </w:r>
      <w:r/>
    </w:p>
    <w:p>
      <w:pPr>
        <w:ind w:left="0" w:firstLine="420"/>
        <w:spacing w:line="360" w:lineRule="auto"/>
        <w:tabs>
          <w:tab w:val="left" w:pos="420" w:leader="none"/>
        </w:tabs>
        <w:rPr>
          <w:rFonts w:ascii="宋体" w:hAnsi="宋体"/>
        </w:rPr>
      </w:pPr>
      <w:r>
        <w:rPr>
          <w:rFonts w:hint="eastAsia" w:ascii="宋体" w:hAnsi="宋体"/>
          <w:sz w:val="21"/>
        </w:rPr>
        <w:t xml:space="preserve">（2）</w:t>
      </w:r>
      <w:r>
        <w:rPr>
          <w:rFonts w:ascii="宋体" w:hAnsi="宋体"/>
          <w:sz w:val="21"/>
        </w:rPr>
        <w:t xml:space="preserve">玻璃珠的包装、标志、运输及贮存应符合《路面标线用玻璃珠》（GB/T 24722—2020）的规定</w:t>
      </w:r>
      <w:r>
        <w:rPr>
          <w:rFonts w:hint="eastAsia" w:ascii="宋体" w:hAnsi="宋体"/>
          <w:sz w:val="21"/>
        </w:rPr>
        <w:t xml:space="preserve">。</w:t>
      </w:r>
      <w:r/>
    </w:p>
    <w:p>
      <w:pPr>
        <w:ind w:left="0" w:firstLine="420"/>
        <w:spacing w:line="360" w:lineRule="auto"/>
        <w:tabs>
          <w:tab w:val="left" w:pos="420" w:leader="none"/>
        </w:tabs>
        <w:rPr>
          <w:rFonts w:ascii="宋体" w:hAnsi="宋体"/>
        </w:rPr>
      </w:pPr>
      <w:r>
        <w:rPr>
          <w:rFonts w:hint="eastAsia" w:ascii="宋体" w:hAnsi="宋体"/>
          <w:sz w:val="21"/>
        </w:rPr>
        <w:t xml:space="preserve">（3）产品在运输时应防止雨淋、日晒，采用集装箱运输，并符合运输部门的有关规定。</w:t>
      </w:r>
      <w:r/>
    </w:p>
    <w:p>
      <w:pPr>
        <w:ind w:left="0" w:firstLine="420"/>
        <w:spacing w:line="360" w:lineRule="auto"/>
        <w:tabs>
          <w:tab w:val="left" w:pos="420" w:leader="none"/>
        </w:tabs>
        <w:rPr>
          <w:rFonts w:ascii="宋体" w:hAnsi="宋体"/>
        </w:rPr>
      </w:pPr>
      <w:r>
        <w:rPr>
          <w:rFonts w:hint="eastAsia" w:ascii="宋体" w:hAnsi="宋体"/>
          <w:sz w:val="21"/>
        </w:rPr>
        <w:t xml:space="preserve">（4）产品在存放时应保持通风、干燥，防止日光直接照射，并应隔绝火源，夏季温度过高时应设法降温。</w:t>
      </w:r>
      <w:r/>
    </w:p>
    <w:p>
      <w:pPr>
        <w:ind w:left="0" w:firstLine="420"/>
        <w:spacing w:line="360" w:lineRule="auto"/>
        <w:tabs>
          <w:tab w:val="left" w:pos="420" w:leader="none"/>
        </w:tabs>
        <w:rPr>
          <w:rFonts w:ascii="宋体" w:hAnsi="宋体"/>
        </w:rPr>
      </w:pPr>
      <w:r>
        <w:rPr>
          <w:rFonts w:hint="eastAsia" w:ascii="宋体" w:hAnsi="宋体"/>
          <w:sz w:val="21"/>
        </w:rPr>
        <w:t xml:space="preserve">（5）</w:t>
      </w:r>
      <w:r>
        <w:rPr>
          <w:rFonts w:ascii="宋体" w:hAnsi="宋体"/>
          <w:sz w:val="21"/>
        </w:rPr>
        <w:t xml:space="preserve">产品应标明贮存期，超过贮存期应</w:t>
      </w:r>
      <w:r>
        <w:rPr>
          <w:rFonts w:hint="eastAsia" w:ascii="宋体" w:hAnsi="宋体"/>
          <w:sz w:val="21"/>
        </w:rPr>
        <w:t xml:space="preserve">按</w:t>
      </w:r>
      <w:r>
        <w:rPr>
          <w:rFonts w:ascii="宋体" w:hAnsi="宋体"/>
          <w:sz w:val="21"/>
        </w:rPr>
        <w:t xml:space="preserve">《路面标线涂料》（JT/T</w:t>
      </w:r>
      <w:r>
        <w:rPr>
          <w:rFonts w:hint="eastAsia" w:ascii="宋体" w:hAnsi="宋体"/>
          <w:sz w:val="21"/>
        </w:rPr>
        <w:t xml:space="preserve"> </w:t>
      </w:r>
      <w:r>
        <w:rPr>
          <w:rFonts w:ascii="宋体" w:hAnsi="宋体"/>
          <w:sz w:val="21"/>
        </w:rPr>
        <w:t xml:space="preserve">280-20</w:t>
      </w:r>
      <w:r>
        <w:rPr>
          <w:rFonts w:hint="eastAsia" w:ascii="宋体" w:hAnsi="宋体"/>
          <w:sz w:val="21"/>
        </w:rPr>
        <w:t xml:space="preserve">22</w:t>
      </w:r>
      <w:r>
        <w:rPr>
          <w:rFonts w:ascii="宋体" w:hAnsi="宋体"/>
          <w:sz w:val="21"/>
        </w:rPr>
        <w:t xml:space="preserve">）规定的项目进行检验，不合格者，不得使用。</w:t>
      </w:r>
      <w:r/>
    </w:p>
    <w:p>
      <w:pPr>
        <w:ind w:left="0" w:firstLine="420"/>
        <w:spacing w:line="360" w:lineRule="auto"/>
        <w:tabs>
          <w:tab w:val="left" w:pos="420" w:leader="none"/>
        </w:tabs>
        <w:rPr>
          <w:rFonts w:ascii="宋体" w:hAnsi="宋体"/>
        </w:rPr>
      </w:pPr>
      <w:r>
        <w:rPr>
          <w:rFonts w:hint="eastAsia" w:ascii="宋体" w:hAnsi="宋体"/>
          <w:sz w:val="21"/>
        </w:rPr>
        <w:t xml:space="preserve">2</w:t>
      </w:r>
      <w:r>
        <w:rPr>
          <w:rFonts w:ascii="宋体" w:hAnsi="宋体"/>
          <w:sz w:val="21"/>
        </w:rPr>
        <w:t xml:space="preserve">.道路交通标志板</w:t>
      </w:r>
      <w:r/>
    </w:p>
    <w:p>
      <w:pPr>
        <w:ind w:left="0" w:firstLine="420"/>
        <w:spacing w:line="360" w:lineRule="auto"/>
        <w:tabs>
          <w:tab w:val="left" w:pos="420" w:leader="none"/>
        </w:tabs>
        <w:rPr>
          <w:rFonts w:ascii="宋体" w:hAnsi="宋体"/>
        </w:rPr>
      </w:pPr>
      <w:r>
        <w:rPr>
          <w:rFonts w:hint="eastAsia" w:ascii="宋体" w:hAnsi="宋体"/>
          <w:sz w:val="21"/>
        </w:rPr>
        <w:t xml:space="preserve">（1）包装、</w:t>
      </w:r>
      <w:r>
        <w:rPr>
          <w:rFonts w:ascii="宋体" w:hAnsi="宋体"/>
          <w:sz w:val="21"/>
        </w:rPr>
        <w:t xml:space="preserve">运输、贮存和搬运方式应按制造厂商的要求进行，两块标志邻接面之间应用适合的衬垫材料分隔，以免在运输、搬运过程中磨损标志板面。</w:t>
      </w:r>
      <w:r/>
    </w:p>
    <w:p>
      <w:pPr>
        <w:ind w:left="0" w:firstLine="420"/>
        <w:spacing w:line="360" w:lineRule="auto"/>
        <w:tabs>
          <w:tab w:val="left" w:pos="420" w:leader="none"/>
        </w:tabs>
        <w:rPr>
          <w:rFonts w:ascii="宋体" w:hAnsi="宋体"/>
        </w:rPr>
      </w:pPr>
      <w:r>
        <w:rPr>
          <w:rFonts w:hint="eastAsia" w:ascii="宋体" w:hAnsi="宋体"/>
          <w:sz w:val="21"/>
        </w:rPr>
        <w:t xml:space="preserve">（2）</w:t>
      </w:r>
      <w:r>
        <w:rPr>
          <w:rFonts w:ascii="宋体" w:hAnsi="宋体"/>
          <w:sz w:val="21"/>
        </w:rPr>
        <w:t xml:space="preserve">标志板应贮存在干净、干燥的室内。</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（三）服务</w:t>
      </w:r>
      <w:r>
        <w:rPr>
          <w:rFonts w:ascii="宋体" w:hAnsi="宋体"/>
          <w:b/>
          <w:bCs/>
          <w:sz w:val="21"/>
        </w:rPr>
        <w:t xml:space="preserve">要求</w:t>
      </w:r>
      <w:r/>
    </w:p>
    <w:p>
      <w:pPr>
        <w:ind w:left="0" w:firstLine="420"/>
        <w:spacing w:line="360" w:lineRule="auto"/>
        <w:tabs>
          <w:tab w:val="left" w:pos="420" w:leader="none"/>
        </w:tabs>
        <w:rPr>
          <w:rFonts w:ascii="宋体" w:hAnsi="宋体"/>
        </w:rPr>
      </w:pPr>
      <w:r>
        <w:rPr>
          <w:rFonts w:hint="eastAsia" w:ascii="宋体" w:hAnsi="宋体"/>
          <w:sz w:val="21"/>
        </w:rPr>
        <w:t xml:space="preserve">1.本项目免费质量保证期要求不少于3年，免费质量保证期从货物供货、安装、调试正常且经采购使用部门确认最终验收通过之日起算。</w:t>
      </w:r>
      <w:r/>
    </w:p>
    <w:p>
      <w:pPr>
        <w:ind w:left="0" w:firstLine="420"/>
        <w:spacing w:line="360" w:lineRule="auto"/>
        <w:tabs>
          <w:tab w:val="left" w:pos="420" w:leader="none"/>
        </w:tabs>
        <w:rPr>
          <w:rFonts w:ascii="宋体" w:hAnsi="宋体"/>
        </w:rPr>
      </w:pPr>
      <w:r>
        <w:rPr>
          <w:rFonts w:hint="eastAsia" w:ascii="宋体" w:hAnsi="宋体"/>
          <w:sz w:val="21"/>
        </w:rPr>
        <w:t xml:space="preserve">2.</w:t>
      </w:r>
      <w:r>
        <w:rPr>
          <w:rFonts w:ascii="宋体" w:hAnsi="宋体"/>
          <w:sz w:val="21"/>
        </w:rPr>
        <w:t xml:space="preserve">在质保期内项目所有产品及其形成的系统性能如出现质量问题（人为除外），</w:t>
      </w:r>
      <w:r>
        <w:rPr>
          <w:rFonts w:hint="eastAsia" w:ascii="宋体" w:hAnsi="宋体"/>
          <w:sz w:val="21"/>
        </w:rPr>
        <w:t xml:space="preserve">中标单位</w:t>
      </w:r>
      <w:r>
        <w:rPr>
          <w:rFonts w:ascii="宋体" w:hAnsi="宋体"/>
          <w:sz w:val="21"/>
        </w:rPr>
        <w:t xml:space="preserve">负责无条件免费更换或修复。如因人为因素或免费质量保证期满后</w:t>
      </w:r>
      <w:r>
        <w:rPr>
          <w:rFonts w:hint="eastAsia" w:ascii="宋体" w:hAnsi="宋体"/>
          <w:sz w:val="21"/>
        </w:rPr>
        <w:t xml:space="preserve">中标单位</w:t>
      </w:r>
      <w:r>
        <w:rPr>
          <w:rFonts w:ascii="宋体" w:hAnsi="宋体"/>
          <w:sz w:val="21"/>
        </w:rPr>
        <w:t xml:space="preserve">进行修理所产生的费用由双方另行协商确定。</w:t>
      </w:r>
      <w:r/>
    </w:p>
    <w:p>
      <w:pPr>
        <w:ind w:left="0" w:firstLine="420"/>
        <w:spacing w:line="360" w:lineRule="auto"/>
        <w:tabs>
          <w:tab w:val="left" w:pos="420" w:leader="none"/>
        </w:tabs>
        <w:rPr>
          <w:rFonts w:ascii="宋体" w:hAnsi="宋体"/>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项目主要为应对时效性高的项目，对响应能力要求较高，中标单位承诺向采购单位提供7*24小时服务，并保证在采购单位提出服务需求后，1小时内响应，2小时内到达现场解决问题，如现场解决不了的重大故障，应提供同等或不低于原货物质量、规格的备品供采购单位使用。特殊情况经采购单位书面同意后可延长故障修复时间1-3日。</w:t>
      </w:r>
      <w:r/>
    </w:p>
    <w:p>
      <w:pPr>
        <w:ind w:left="0" w:firstLine="420"/>
        <w:spacing w:line="360" w:lineRule="auto"/>
        <w:tabs>
          <w:tab w:val="left" w:pos="420" w:leader="none"/>
        </w:tabs>
        <w:rPr>
          <w:rFonts w:ascii="宋体" w:hAnsi="宋体"/>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中标单位在免费质保期内应准备备品备件，用于设备的更换或修复。若需要使用备品备件，中标单位应自响应时间起12小时内完成相应的备品备件更换服务。</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（四）</w:t>
      </w:r>
      <w:r>
        <w:rPr>
          <w:rFonts w:ascii="宋体" w:hAnsi="宋体"/>
          <w:b/>
          <w:bCs/>
          <w:sz w:val="21"/>
        </w:rPr>
        <w:t xml:space="preserve">验收</w:t>
      </w:r>
      <w:r/>
    </w:p>
    <w:p>
      <w:pPr>
        <w:ind w:left="0" w:firstLine="420"/>
        <w:spacing w:line="360" w:lineRule="auto"/>
        <w:tabs>
          <w:tab w:val="left" w:pos="420" w:leader="none"/>
        </w:tabs>
        <w:rPr>
          <w:rFonts w:ascii="宋体" w:hAnsi="宋体"/>
        </w:rPr>
      </w:pPr>
      <w:r>
        <w:rPr>
          <w:rFonts w:hint="eastAsia" w:ascii="宋体" w:hAnsi="宋体"/>
          <w:sz w:val="21"/>
        </w:rPr>
        <w:t xml:space="preserve">1.履约验收基本要求：</w:t>
      </w:r>
      <w:r/>
    </w:p>
    <w:p>
      <w:pPr>
        <w:ind w:left="0" w:firstLine="420"/>
        <w:spacing w:line="360" w:lineRule="auto"/>
        <w:tabs>
          <w:tab w:val="left" w:pos="420" w:leader="none"/>
        </w:tabs>
        <w:rPr>
          <w:rFonts w:ascii="宋体" w:hAnsi="宋体"/>
        </w:rPr>
      </w:pPr>
      <w:r>
        <w:rPr>
          <w:rFonts w:hint="eastAsia" w:ascii="宋体" w:hAnsi="宋体"/>
          <w:sz w:val="21"/>
        </w:rPr>
        <w:t xml:space="preserve">（1）采购单位将根据《江苏省财政厅关于印发&lt;江苏省政府采购履约验收管理办法&gt;的通知》（苏财规〔2024〕7号）相关要求，组织项目履约验收基本工作。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cs="Times New Roman"/>
          <w:szCs w:val="21"/>
          <w:lang w:val="zh-CN"/>
        </w:rPr>
      </w:pPr>
      <w:r>
        <w:rPr>
          <w:rFonts w:hint="eastAsia" w:ascii="宋体" w:hAnsi="宋体" w:cs="Times New Roman"/>
          <w:sz w:val="21"/>
          <w:szCs w:val="21"/>
          <w:lang w:val="zh-CN"/>
        </w:rPr>
        <w:t xml:space="preserve">（2）招标文件、投标文件、政府采购合同等是履约验收工作的重要依据。在政府采购合同约定的履行验收条件达到时，中标单位可以主动联系采购使用单位启动履约验收工作。</w:t>
      </w:r>
      <w:r/>
    </w:p>
    <w:p>
      <w:pPr>
        <w:ind w:left="0" w:firstLine="420"/>
        <w:spacing w:line="360" w:lineRule="auto"/>
        <w:tabs>
          <w:tab w:val="left" w:pos="420" w:leader="none"/>
        </w:tabs>
        <w:rPr>
          <w:rFonts w:ascii="宋体" w:hAnsi="宋体"/>
        </w:rPr>
      </w:pPr>
      <w:r>
        <w:rPr>
          <w:rFonts w:hint="eastAsia" w:ascii="宋体" w:hAnsi="宋体"/>
          <w:sz w:val="21"/>
        </w:rPr>
        <w:t xml:space="preserve">（3）采购使用单位在组织履约验收前，将根据项目特点制定验收方案，明确履约验收的时间、方式、程序等内容。中标单位应根据验收方案内容做好相应配合工作。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rPr>
      </w:pPr>
      <w:r>
        <w:rPr>
          <w:rFonts w:hint="eastAsia" w:ascii="宋体" w:hAnsi="宋体"/>
          <w:sz w:val="21"/>
        </w:rPr>
        <w:t xml:space="preserve">（4）采购单位将按照验收标准要求组织验收，中标单位所提供的产品的规格、数量及所有服务符合招标文件、投标文件、承诺及采购合同约定的要求。</w:t>
      </w:r>
      <w:r/>
    </w:p>
    <w:p>
      <w:pPr>
        <w:ind w:left="0" w:firstLine="420"/>
        <w:spacing w:line="360" w:lineRule="auto"/>
        <w:tabs>
          <w:tab w:val="left" w:pos="420" w:leader="none"/>
        </w:tabs>
        <w:rPr>
          <w:rFonts w:ascii="宋体" w:hAnsi="宋体"/>
        </w:rPr>
      </w:pPr>
      <w:r>
        <w:rPr>
          <w:rFonts w:hint="eastAsia" w:ascii="宋体" w:hAnsi="宋体"/>
          <w:sz w:val="21"/>
        </w:rPr>
        <w:t xml:space="preserve">2.验收标准：</w:t>
      </w:r>
      <w:r/>
    </w:p>
    <w:p>
      <w:pPr>
        <w:ind w:left="0" w:firstLine="420"/>
        <w:spacing w:line="360" w:lineRule="auto"/>
        <w:tabs>
          <w:tab w:val="left" w:pos="420" w:leader="none"/>
        </w:tabs>
        <w:rPr>
          <w:rFonts w:ascii="宋体" w:hAnsi="宋体"/>
        </w:rPr>
      </w:pPr>
      <w:r>
        <w:rPr>
          <w:rFonts w:hint="eastAsia" w:ascii="宋体" w:hAnsi="宋体"/>
          <w:sz w:val="21"/>
        </w:rPr>
        <w:t xml:space="preserve">（1）货物交付并完成安装、调试之日起15日内，由采购使用部门按照货物验收相关规定，结合招标文件、投标文件、采购合同等项目文件约定内容对项目进行验收。</w:t>
      </w:r>
      <w:r/>
    </w:p>
    <w:p>
      <w:pPr>
        <w:ind w:left="0" w:firstLine="420"/>
        <w:spacing w:line="360" w:lineRule="auto"/>
        <w:tabs>
          <w:tab w:val="left" w:pos="420" w:leader="none"/>
        </w:tabs>
        <w:rPr>
          <w:rFonts w:ascii="宋体" w:hAnsi="宋体"/>
        </w:rPr>
      </w:pPr>
      <w:r>
        <w:rPr>
          <w:rFonts w:hint="eastAsia" w:ascii="宋体" w:hAnsi="宋体"/>
          <w:sz w:val="21"/>
        </w:rPr>
        <w:t xml:space="preserve">（2）如采购单位在过程中发现中标单位提供的服务成果不符合约定要求的，中标单位应进行返工直至合格并承担因返工引起的一切费用及经济损失，包括但不限于额外费用、经济损失、逾期违约金等。若中标单位违约，采购单位有权要求更换货物或拒绝付款，并将依法追究相应法律责任。</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（五）</w:t>
      </w:r>
      <w:r>
        <w:rPr>
          <w:rFonts w:ascii="宋体" w:hAnsi="宋体"/>
          <w:b/>
          <w:bCs/>
          <w:sz w:val="21"/>
        </w:rPr>
        <w:t xml:space="preserve">其他技术、服务等要求</w:t>
      </w:r>
      <w:r/>
    </w:p>
    <w:p>
      <w:pPr>
        <w:ind w:left="0" w:firstLine="420"/>
        <w:spacing w:line="360" w:lineRule="auto"/>
        <w:tabs>
          <w:tab w:val="left" w:pos="420" w:leader="none"/>
        </w:tabs>
        <w:rPr>
          <w:rFonts w:ascii="宋体" w:hAnsi="宋体"/>
        </w:rPr>
      </w:pPr>
      <w:r/>
      <w:bookmarkStart w:id="100" w:name="_Hlk155257574"/>
      <w:r>
        <w:rPr>
          <w:rFonts w:hint="eastAsia" w:ascii="宋体" w:hAnsi="宋体"/>
          <w:sz w:val="21"/>
        </w:rPr>
        <w:t xml:space="preserve">1</w:t>
      </w:r>
      <w:r>
        <w:rPr>
          <w:rFonts w:ascii="宋体" w:hAnsi="宋体"/>
          <w:sz w:val="21"/>
        </w:rPr>
        <w:t xml:space="preserve">.</w:t>
      </w:r>
      <w:r>
        <w:rPr>
          <w:rFonts w:hint="eastAsia" w:ascii="宋体" w:hAnsi="宋体"/>
          <w:sz w:val="21"/>
        </w:rPr>
        <w:t xml:space="preserve">本项目建设范围涉及高处作业、带电设施及快速路施工，需配备专业登高车辆、安全防撞作业车，具有高处作业人员、电工、安全员、信息安全保障人员等相关人员。</w:t>
      </w:r>
      <w:bookmarkEnd w:id="100"/>
      <w:r/>
      <w:r/>
    </w:p>
    <w:p>
      <w:pPr>
        <w:ind w:left="0" w:firstLine="422"/>
        <w:spacing w:line="360" w:lineRule="auto"/>
        <w:tabs>
          <w:tab w:val="left" w:pos="420" w:leader="none"/>
        </w:tabs>
        <w:rPr>
          <w:rFonts w:ascii="宋体" w:hAnsi="宋体"/>
          <w:b/>
          <w:bCs/>
        </w:rPr>
      </w:pPr>
      <w:r>
        <w:rPr>
          <w:rFonts w:hint="eastAsia" w:ascii="宋体" w:hAnsi="宋体"/>
          <w:b/>
          <w:bCs/>
          <w:sz w:val="21"/>
        </w:rPr>
        <w:t xml:space="preserve">（1）专用车辆：需配备至少2辆高空作业车、2辆防撞车。</w:t>
      </w:r>
      <w:r/>
    </w:p>
    <w:p>
      <w:pPr>
        <w:ind w:left="0" w:firstLine="422"/>
        <w:spacing w:line="360" w:lineRule="auto"/>
        <w:tabs>
          <w:tab w:val="left" w:pos="420" w:leader="none"/>
        </w:tabs>
        <w:rPr>
          <w:rFonts w:ascii="宋体" w:hAnsi="宋体"/>
        </w:rPr>
      </w:pPr>
      <w:r>
        <w:rPr>
          <w:rFonts w:hint="eastAsia" w:ascii="宋体" w:hAnsi="宋体"/>
          <w:b/>
          <w:bCs/>
          <w:sz w:val="21"/>
        </w:rPr>
        <w:t xml:space="preserve">注：若为</w:t>
      </w:r>
      <w:r>
        <w:rPr>
          <w:rFonts w:ascii="宋体" w:hAnsi="宋体"/>
          <w:b/>
          <w:bCs/>
          <w:sz w:val="21"/>
        </w:rPr>
        <w:t xml:space="preserve">自有</w:t>
      </w:r>
      <w:r>
        <w:rPr>
          <w:rFonts w:hint="eastAsia" w:ascii="宋体" w:hAnsi="宋体"/>
          <w:b/>
          <w:bCs/>
          <w:sz w:val="21"/>
        </w:rPr>
        <w:t xml:space="preserve">的，提供车辆正面照片、</w:t>
      </w:r>
      <w:r>
        <w:rPr>
          <w:rFonts w:ascii="宋体" w:hAnsi="宋体"/>
          <w:b/>
          <w:bCs/>
          <w:sz w:val="21"/>
        </w:rPr>
        <w:t xml:space="preserve">行驶证</w:t>
      </w:r>
      <w:r>
        <w:rPr>
          <w:rFonts w:hint="eastAsia" w:ascii="宋体" w:hAnsi="宋体"/>
          <w:b/>
          <w:bCs/>
          <w:sz w:val="21"/>
        </w:rPr>
        <w:t xml:space="preserve">、产权登记证、</w:t>
      </w:r>
      <w:r>
        <w:rPr>
          <w:rFonts w:ascii="宋体" w:hAnsi="宋体"/>
          <w:b/>
          <w:bCs/>
          <w:sz w:val="21"/>
        </w:rPr>
        <w:t xml:space="preserve">购</w:t>
      </w:r>
      <w:r>
        <w:rPr>
          <w:rFonts w:hint="eastAsia" w:ascii="宋体" w:hAnsi="宋体"/>
          <w:b/>
          <w:bCs/>
          <w:sz w:val="21"/>
        </w:rPr>
        <w:t xml:space="preserve">置</w:t>
      </w:r>
      <w:r>
        <w:rPr>
          <w:rFonts w:ascii="宋体" w:hAnsi="宋体"/>
          <w:b/>
          <w:bCs/>
          <w:sz w:val="21"/>
        </w:rPr>
        <w:t xml:space="preserve">发票</w:t>
      </w:r>
      <w:r>
        <w:rPr>
          <w:rFonts w:hint="eastAsia" w:ascii="宋体" w:hAnsi="宋体"/>
          <w:b/>
          <w:bCs/>
          <w:sz w:val="21"/>
        </w:rPr>
        <w:t xml:space="preserve">及交强险扫描件；若为</w:t>
      </w:r>
      <w:r>
        <w:rPr>
          <w:rFonts w:ascii="宋体" w:hAnsi="宋体"/>
          <w:b/>
          <w:bCs/>
          <w:sz w:val="21"/>
        </w:rPr>
        <w:t xml:space="preserve">租赁</w:t>
      </w:r>
      <w:r>
        <w:rPr>
          <w:rFonts w:hint="eastAsia" w:ascii="宋体" w:hAnsi="宋体"/>
          <w:b/>
          <w:bCs/>
          <w:sz w:val="21"/>
        </w:rPr>
        <w:t xml:space="preserve">的，提供车辆正面照片、租赁合同证明、租赁发票、行驶证及交强险扫描件。投标文件中需提供车辆相关证明材料并加盖公章，未提供视为非实质性响应，做无效标处理。</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2）项目团队不少于9人：至少配备项目负责人1名，负责项目管理、布置分发施工内容，接收采购单位的工作指导，负责与采购单位及其他单位、部门之间的协调，需具有大专及以上学历；高空作业人员2名，需具备特种作业操作证（操作项目：高处作业）；电工1名，需具备电工作业特种作业操作证（操作项目：低压电工作业）；信息安全保障人员1名；安全员至少2名：占道施工时指挥交通，确保交通安全；辅助工至少2名。 </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注：①项目负责人1名：投标文件中需提供人员学历证书以及投标单位为其缴纳的最新一期社保证明（有社保部门盖章）材料扫描件并加盖公章，未提供视为非实质性响应，做无效标处理。</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②高空作业人员2名：投标文件中需提供特种作业操作证（操作项目：高处作业）证书以及投标单位为其缴纳的最新一期社保证明（有社保部门盖章）材料扫描件并加盖公章，未提供视为非实质性响应，做无效标处理。</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③除项目负责人、高空作业人员外，其他人员配备投标文件中需提供承诺函（格式自拟）并加盖公章，承诺满足项目团队人员各项要求，未提供承诺函的视为非实质性响应，做无效标处理。</w:t>
      </w:r>
      <w:r/>
    </w:p>
    <w:p>
      <w:pPr>
        <w:ind w:left="0" w:firstLine="420"/>
        <w:spacing w:line="360" w:lineRule="auto"/>
        <w:tabs>
          <w:tab w:val="left" w:pos="420" w:leader="none"/>
        </w:tabs>
        <w:rPr>
          <w:rFonts w:ascii="宋体" w:hAnsi="宋体"/>
        </w:rPr>
      </w:pPr>
      <w:r>
        <w:rPr>
          <w:rFonts w:hint="eastAsia" w:ascii="宋体" w:hAnsi="宋体"/>
          <w:sz w:val="21"/>
        </w:rPr>
        <w:t xml:space="preserve">2.货物清单中诱导屏幕需公布文字信息，为了保障信息安全，需要具有相关从业人员。</w:t>
      </w:r>
      <w:r/>
    </w:p>
    <w:p>
      <w:pPr>
        <w:ind w:left="0" w:firstLine="420"/>
        <w:spacing w:line="360" w:lineRule="auto"/>
        <w:tabs>
          <w:tab w:val="left" w:pos="420" w:leader="none"/>
        </w:tabs>
        <w:rPr>
          <w:rFonts w:ascii="宋体" w:hAnsi="宋体"/>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中标单位应本着认真负责的态度组织项目团队，投标文件中的项目实施团队主要成员名单，在中标后不经采购单位允许不得随意更换，否则，采购单位有权作为违约处理直至终止合同。</w:t>
      </w:r>
      <w:r/>
    </w:p>
    <w:p>
      <w:pPr>
        <w:ind w:left="0" w:firstLine="420"/>
        <w:spacing w:line="360" w:lineRule="auto"/>
        <w:tabs>
          <w:tab w:val="left" w:pos="420" w:leader="none"/>
        </w:tabs>
        <w:rPr>
          <w:rFonts w:ascii="宋体" w:hAnsi="宋体"/>
        </w:rPr>
      </w:pPr>
      <w:r>
        <w:rPr>
          <w:rFonts w:hint="eastAsia" w:ascii="宋体" w:hAnsi="宋体"/>
          <w:sz w:val="21"/>
        </w:rPr>
        <w:t xml:space="preserve">4.车辆使用过程中发生交通事故或其他意外事件，由中标单位全权承担责任。</w:t>
      </w:r>
      <w:r/>
    </w:p>
    <w:p>
      <w:pPr>
        <w:ind w:left="0" w:firstLine="420"/>
        <w:spacing w:line="360" w:lineRule="auto"/>
        <w:tabs>
          <w:tab w:val="left" w:pos="420" w:leader="none"/>
        </w:tabs>
        <w:rPr>
          <w:rFonts w:ascii="宋体" w:hAnsi="宋体"/>
        </w:rPr>
      </w:pPr>
      <w:r>
        <w:rPr>
          <w:rFonts w:hint="eastAsia" w:ascii="宋体" w:hAnsi="宋体"/>
          <w:sz w:val="21"/>
        </w:rPr>
        <w:t xml:space="preserve">5.中标单位需制定相关的安全措施，确保项目人员安全，在项目作业期间发生的由中标单位造成的事故，导致的人员（包含项目施工人员及事故相关人员）及财产损失，均由中标单位承担。</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（六）安全生产</w:t>
      </w:r>
      <w:r/>
    </w:p>
    <w:p>
      <w:pPr>
        <w:ind w:left="0" w:firstLine="420"/>
        <w:spacing w:line="360" w:lineRule="auto"/>
        <w:tabs>
          <w:tab w:val="left" w:pos="420" w:leader="none"/>
        </w:tabs>
        <w:rPr>
          <w:rFonts w:ascii="宋体" w:hAnsi="宋体"/>
        </w:rPr>
      </w:pPr>
      <w:r>
        <w:rPr>
          <w:rFonts w:hint="eastAsia" w:ascii="宋体" w:hAnsi="宋体"/>
          <w:sz w:val="21"/>
        </w:rPr>
        <w:t xml:space="preserve">1.在项目实施及质保期间，中标单位应当配备必要的安全生产管理人员，负责强化项目实施人员安全教育和安全管理，如实施过程中存在人身安全风险的，中标单位应当为实施人员购买必要的人身安全保险。</w:t>
      </w:r>
      <w:r/>
    </w:p>
    <w:p>
      <w:pPr>
        <w:ind w:left="0" w:firstLine="420"/>
        <w:spacing w:line="360" w:lineRule="auto"/>
        <w:tabs>
          <w:tab w:val="left" w:pos="420" w:leader="none"/>
        </w:tabs>
        <w:rPr>
          <w:rFonts w:ascii="宋体" w:hAnsi="宋体"/>
        </w:rPr>
      </w:pPr>
      <w:r>
        <w:rPr>
          <w:rFonts w:hint="eastAsia" w:ascii="宋体" w:hAnsi="宋体"/>
          <w:sz w:val="21"/>
        </w:rPr>
        <w:t xml:space="preserve">2.所有作业人员均需按照国家法律法规之规定，取得对应上岗资格证书、作业许可证书、特种作业证书等相关资格证书，方可上岗作业。</w:t>
      </w:r>
      <w:r/>
    </w:p>
    <w:p>
      <w:pPr>
        <w:ind w:left="0" w:firstLine="420"/>
        <w:spacing w:line="360" w:lineRule="auto"/>
        <w:tabs>
          <w:tab w:val="left" w:pos="420" w:leader="none"/>
        </w:tabs>
        <w:rPr>
          <w:rFonts w:ascii="宋体" w:hAnsi="宋体"/>
        </w:rPr>
      </w:pPr>
      <w:r>
        <w:rPr>
          <w:rFonts w:hint="eastAsia" w:ascii="宋体" w:hAnsi="宋体"/>
          <w:sz w:val="21"/>
        </w:rPr>
        <w:t xml:space="preserve">3.中标单位应按照法律法规制定安全作业规范，在项目实施过程中，中标单位一方发生的一切安全事故或给第三方造成的损害，由中标单位自行承担责任，采购单位不对中标单位项目实施人员负任何安全责任；若给采购单位造成损失和伤害的，中标单位应承担相应责任，赔偿一切直接、间接损失。</w:t>
      </w:r>
      <w:r/>
    </w:p>
    <w:p>
      <w:pPr>
        <w:ind w:left="0" w:firstLine="422"/>
        <w:spacing w:line="360" w:lineRule="auto"/>
        <w:tabs>
          <w:tab w:val="left" w:pos="420" w:leader="none"/>
        </w:tabs>
        <w:rPr>
          <w:rFonts w:ascii="宋体" w:hAnsi="宋体"/>
          <w:b/>
          <w:bCs/>
        </w:rPr>
      </w:pPr>
      <w:r>
        <w:rPr>
          <w:rFonts w:hint="eastAsia" w:ascii="宋体" w:hAnsi="宋体"/>
          <w:b/>
          <w:bCs/>
          <w:sz w:val="21"/>
        </w:rPr>
        <w:t xml:space="preserve">（七）采购标的需执行的国家相关标准、行业标准、地方标准或者其他标准、规范，包括但不限于</w:t>
      </w:r>
      <w:r>
        <w:rPr>
          <w:rFonts w:hint="eastAsia" w:ascii="宋体" w:hAnsi="宋体"/>
          <w:b/>
          <w:bCs/>
        </w:rPr>
        <w:t xml:space="preserve">：</w:t>
      </w:r>
      <w:r/>
    </w:p>
    <w:p>
      <w:pPr>
        <w:ind w:left="0" w:firstLine="420"/>
        <w:spacing w:line="360" w:lineRule="auto"/>
        <w:tabs>
          <w:tab w:val="left" w:pos="420" w:leader="none"/>
        </w:tabs>
        <w:rPr>
          <w:rFonts w:ascii="宋体" w:hAnsi="宋体"/>
        </w:rPr>
      </w:pPr>
      <w:r>
        <w:rPr>
          <w:rFonts w:hint="eastAsia" w:ascii="宋体" w:hAnsi="宋体"/>
          <w:sz w:val="21"/>
        </w:rPr>
        <w:t xml:space="preserve">1.《城市道路交通工程项目规范》（GB 55011-2021）</w:t>
      </w:r>
      <w:r/>
    </w:p>
    <w:p>
      <w:pPr>
        <w:ind w:left="0" w:firstLine="420"/>
        <w:spacing w:line="360" w:lineRule="auto"/>
        <w:tabs>
          <w:tab w:val="left" w:pos="420" w:leader="none"/>
        </w:tabs>
        <w:rPr>
          <w:rFonts w:ascii="宋体" w:hAnsi="宋体"/>
        </w:rPr>
      </w:pPr>
      <w:r>
        <w:rPr>
          <w:rFonts w:hint="eastAsia" w:ascii="宋体" w:hAnsi="宋体"/>
          <w:sz w:val="21"/>
        </w:rPr>
        <w:t xml:space="preserve">2.《城市道路工程设计规范》（CJJ37-2012）（2016版）</w:t>
      </w:r>
      <w:r/>
    </w:p>
    <w:p>
      <w:pPr>
        <w:ind w:left="0" w:firstLine="420"/>
        <w:spacing w:line="360" w:lineRule="auto"/>
        <w:tabs>
          <w:tab w:val="left" w:pos="420" w:leader="none"/>
        </w:tabs>
        <w:rPr>
          <w:rFonts w:ascii="宋体" w:hAnsi="宋体"/>
        </w:rPr>
      </w:pPr>
      <w:r>
        <w:rPr>
          <w:rFonts w:hint="eastAsia" w:ascii="宋体" w:hAnsi="宋体"/>
          <w:sz w:val="21"/>
        </w:rPr>
        <w:t xml:space="preserve">3.《城市道路路线设计规范》（CJJ193-2012）</w:t>
      </w:r>
      <w:r/>
    </w:p>
    <w:p>
      <w:pPr>
        <w:ind w:left="0" w:firstLine="420"/>
        <w:spacing w:line="360" w:lineRule="auto"/>
        <w:tabs>
          <w:tab w:val="left" w:pos="420" w:leader="none"/>
        </w:tabs>
        <w:rPr>
          <w:rFonts w:ascii="宋体" w:hAnsi="宋体"/>
        </w:rPr>
      </w:pPr>
      <w:r>
        <w:rPr>
          <w:rFonts w:hint="eastAsia" w:ascii="宋体" w:hAnsi="宋体"/>
          <w:sz w:val="21"/>
        </w:rPr>
        <w:t xml:space="preserve">4.《城市道路交通标志和标线设置规范》（GB51038-2015）</w:t>
      </w:r>
      <w:r/>
    </w:p>
    <w:p>
      <w:pPr>
        <w:ind w:left="0" w:firstLine="420"/>
        <w:spacing w:line="360" w:lineRule="auto"/>
        <w:tabs>
          <w:tab w:val="left" w:pos="420" w:leader="none"/>
        </w:tabs>
        <w:rPr>
          <w:rFonts w:ascii="宋体" w:hAnsi="宋体"/>
        </w:rPr>
      </w:pPr>
      <w:r>
        <w:rPr>
          <w:rFonts w:hint="eastAsia" w:ascii="宋体" w:hAnsi="宋体"/>
          <w:sz w:val="21"/>
        </w:rPr>
        <w:t xml:space="preserve">5.《城市道路交通组织设计规范》（GBT36670-2018）</w:t>
      </w:r>
      <w:r/>
    </w:p>
    <w:p>
      <w:pPr>
        <w:ind w:left="0" w:firstLine="420"/>
        <w:spacing w:line="360" w:lineRule="auto"/>
        <w:tabs>
          <w:tab w:val="left" w:pos="420" w:leader="none"/>
        </w:tabs>
        <w:rPr>
          <w:rFonts w:ascii="宋体" w:hAnsi="宋体"/>
        </w:rPr>
      </w:pPr>
      <w:r>
        <w:rPr>
          <w:rFonts w:hint="eastAsia" w:ascii="宋体" w:hAnsi="宋体"/>
          <w:sz w:val="21"/>
        </w:rPr>
        <w:t xml:space="preserve">6.《城市道路交通设施设计规范》（GB50688-2011）</w:t>
      </w:r>
      <w:r/>
    </w:p>
    <w:p>
      <w:pPr>
        <w:ind w:left="0" w:firstLine="420"/>
        <w:spacing w:line="360" w:lineRule="auto"/>
        <w:tabs>
          <w:tab w:val="left" w:pos="420" w:leader="none"/>
        </w:tabs>
        <w:rPr>
          <w:rFonts w:ascii="宋体" w:hAnsi="宋体"/>
        </w:rPr>
      </w:pPr>
      <w:r>
        <w:rPr>
          <w:rFonts w:hint="eastAsia" w:ascii="宋体" w:hAnsi="宋体"/>
          <w:sz w:val="21"/>
        </w:rPr>
        <w:t xml:space="preserve">7.《道路交通标志和标线第1部分:总则》（GB 5768.1-2025）</w:t>
      </w:r>
      <w:r/>
    </w:p>
    <w:p>
      <w:pPr>
        <w:ind w:left="0" w:firstLine="420"/>
        <w:spacing w:line="360" w:lineRule="auto"/>
        <w:tabs>
          <w:tab w:val="left" w:pos="420" w:leader="none"/>
        </w:tabs>
        <w:rPr>
          <w:rFonts w:ascii="宋体" w:hAnsi="宋体"/>
        </w:rPr>
      </w:pPr>
      <w:r>
        <w:rPr>
          <w:rFonts w:hint="eastAsia" w:ascii="宋体" w:hAnsi="宋体"/>
          <w:sz w:val="21"/>
        </w:rPr>
        <w:t xml:space="preserve">8.《道路交通标志和标线第2部分：道路交通标志》（GB 5768.2-2022）</w:t>
      </w:r>
      <w:r/>
    </w:p>
    <w:p>
      <w:pPr>
        <w:ind w:left="0" w:firstLine="420"/>
        <w:spacing w:line="360" w:lineRule="auto"/>
        <w:tabs>
          <w:tab w:val="left" w:pos="420" w:leader="none"/>
        </w:tabs>
        <w:rPr>
          <w:rFonts w:ascii="宋体" w:hAnsi="宋体"/>
        </w:rPr>
      </w:pPr>
      <w:r>
        <w:rPr>
          <w:rFonts w:hint="eastAsia" w:ascii="宋体" w:hAnsi="宋体"/>
          <w:sz w:val="21"/>
        </w:rPr>
        <w:t xml:space="preserve">9.《道路交通标志和标线第3部分：道路交通标线》（GB 5768.3-2009）（GB 5768.3-2025，2026.05.01实施）</w:t>
      </w:r>
      <w:r/>
    </w:p>
    <w:p>
      <w:pPr>
        <w:ind w:left="0" w:firstLine="420"/>
        <w:spacing w:line="360" w:lineRule="auto"/>
        <w:tabs>
          <w:tab w:val="left" w:pos="420" w:leader="none"/>
        </w:tabs>
        <w:rPr>
          <w:rFonts w:ascii="宋体" w:hAnsi="宋体"/>
        </w:rPr>
      </w:pPr>
      <w:r>
        <w:rPr>
          <w:rFonts w:hint="eastAsia" w:ascii="宋体" w:hAnsi="宋体"/>
          <w:sz w:val="21"/>
        </w:rPr>
        <w:t xml:space="preserve">10.《道路交通标志和标线第4部分：作业区》（GB 5768.4-2017）</w:t>
      </w:r>
      <w:r/>
    </w:p>
    <w:p>
      <w:pPr>
        <w:ind w:left="0" w:firstLine="420"/>
        <w:spacing w:line="360" w:lineRule="auto"/>
        <w:tabs>
          <w:tab w:val="left" w:pos="420" w:leader="none"/>
        </w:tabs>
        <w:rPr>
          <w:rFonts w:ascii="宋体" w:hAnsi="宋体"/>
        </w:rPr>
      </w:pPr>
      <w:r>
        <w:rPr>
          <w:rFonts w:hint="eastAsia" w:ascii="宋体" w:hAnsi="宋体"/>
          <w:sz w:val="21"/>
        </w:rPr>
        <w:t xml:space="preserve">11.《道路交通标志和标线第5部分:限制速度》（GB 5768.5-2017）</w:t>
      </w:r>
      <w:r/>
    </w:p>
    <w:p>
      <w:pPr>
        <w:ind w:left="0" w:firstLine="420"/>
        <w:spacing w:line="360" w:lineRule="auto"/>
        <w:tabs>
          <w:tab w:val="left" w:pos="420" w:leader="none"/>
        </w:tabs>
        <w:rPr>
          <w:rFonts w:ascii="宋体" w:hAnsi="宋体"/>
        </w:rPr>
      </w:pPr>
      <w:r>
        <w:rPr>
          <w:rFonts w:hint="eastAsia" w:ascii="宋体" w:hAnsi="宋体"/>
          <w:sz w:val="21"/>
        </w:rPr>
        <w:t xml:space="preserve">12.《道路交通标志板及支撑件》（GB/T23827-2021）</w:t>
      </w:r>
      <w:r/>
    </w:p>
    <w:p>
      <w:pPr>
        <w:ind w:left="0" w:firstLine="420"/>
        <w:spacing w:line="360" w:lineRule="auto"/>
        <w:tabs>
          <w:tab w:val="left" w:pos="420" w:leader="none"/>
        </w:tabs>
        <w:rPr>
          <w:rFonts w:ascii="宋体" w:hAnsi="宋体"/>
        </w:rPr>
      </w:pPr>
      <w:r>
        <w:rPr>
          <w:rFonts w:hint="eastAsia" w:ascii="宋体" w:hAnsi="宋体"/>
          <w:sz w:val="21"/>
        </w:rPr>
        <w:t xml:space="preserve">13.《太阳能突起路标》（GB/T19813-2005）</w:t>
      </w:r>
      <w:r/>
    </w:p>
    <w:p>
      <w:pPr>
        <w:ind w:left="0" w:firstLine="420"/>
        <w:spacing w:line="360" w:lineRule="auto"/>
        <w:tabs>
          <w:tab w:val="left" w:pos="420" w:leader="none"/>
        </w:tabs>
        <w:rPr>
          <w:rFonts w:ascii="宋体" w:hAnsi="宋体"/>
        </w:rPr>
      </w:pPr>
      <w:r>
        <w:rPr>
          <w:rFonts w:hint="eastAsia" w:ascii="宋体" w:hAnsi="宋体"/>
          <w:sz w:val="21"/>
        </w:rPr>
        <w:t xml:space="preserve">14.《隔离栅》（GB/T26941-2011）（GB/T 26941-2025，2026.03.01实施）</w:t>
      </w:r>
      <w:r/>
    </w:p>
    <w:p>
      <w:pPr>
        <w:ind w:left="0" w:firstLine="420"/>
        <w:spacing w:line="360" w:lineRule="auto"/>
        <w:tabs>
          <w:tab w:val="left" w:pos="420" w:leader="none"/>
        </w:tabs>
        <w:rPr>
          <w:rFonts w:ascii="宋体" w:hAnsi="宋体"/>
        </w:rPr>
      </w:pPr>
      <w:r>
        <w:rPr>
          <w:rFonts w:hint="eastAsia" w:ascii="宋体" w:hAnsi="宋体"/>
          <w:sz w:val="21"/>
        </w:rPr>
        <w:t xml:space="preserve">15.《道路交通反光膜》（GB/T18833-2012）</w:t>
      </w:r>
      <w:r/>
    </w:p>
    <w:p>
      <w:pPr>
        <w:ind w:left="0" w:firstLine="420"/>
        <w:spacing w:line="360" w:lineRule="auto"/>
        <w:tabs>
          <w:tab w:val="left" w:pos="420" w:leader="none"/>
        </w:tabs>
        <w:rPr>
          <w:rFonts w:ascii="宋体" w:hAnsi="宋体"/>
        </w:rPr>
      </w:pPr>
      <w:r>
        <w:rPr>
          <w:rFonts w:hint="eastAsia" w:ascii="宋体" w:hAnsi="宋体"/>
          <w:sz w:val="21"/>
        </w:rPr>
        <w:t xml:space="preserve">16.《路面标线涂料》（JT/T280-2022）</w:t>
      </w:r>
      <w:r/>
    </w:p>
    <w:p>
      <w:pPr>
        <w:ind w:left="0" w:firstLine="420"/>
        <w:spacing w:line="360" w:lineRule="auto"/>
        <w:tabs>
          <w:tab w:val="left" w:pos="420" w:leader="none"/>
        </w:tabs>
        <w:rPr>
          <w:rFonts w:ascii="宋体" w:hAnsi="宋体"/>
        </w:rPr>
      </w:pPr>
      <w:r>
        <w:rPr>
          <w:rFonts w:hint="eastAsia" w:ascii="宋体" w:hAnsi="宋体"/>
          <w:sz w:val="21"/>
        </w:rPr>
        <w:t xml:space="preserve">17.《路面标线用玻璃珠》（GB/T 24722-2020）</w:t>
      </w:r>
      <w:r/>
    </w:p>
    <w:p>
      <w:pPr>
        <w:ind w:left="0" w:firstLine="420"/>
        <w:spacing w:line="360" w:lineRule="auto"/>
        <w:tabs>
          <w:tab w:val="left" w:pos="420" w:leader="none"/>
        </w:tabs>
        <w:rPr>
          <w:rFonts w:ascii="宋体" w:hAnsi="宋体"/>
        </w:rPr>
      </w:pPr>
      <w:r>
        <w:rPr>
          <w:rFonts w:hint="eastAsia" w:ascii="宋体" w:hAnsi="宋体"/>
          <w:sz w:val="21"/>
        </w:rPr>
        <w:t xml:space="preserve">18.《LED主动发光道路交通标志》（GB/T 31446-2015）</w:t>
      </w:r>
      <w:r/>
    </w:p>
    <w:p>
      <w:pPr>
        <w:ind w:left="0" w:firstLine="420"/>
        <w:spacing w:line="360" w:lineRule="auto"/>
        <w:tabs>
          <w:tab w:val="left" w:pos="420" w:leader="none"/>
        </w:tabs>
        <w:rPr>
          <w:rFonts w:ascii="宋体" w:hAnsi="宋体"/>
        </w:rPr>
      </w:pPr>
      <w:r>
        <w:rPr>
          <w:rFonts w:hint="eastAsia" w:ascii="宋体" w:hAnsi="宋体"/>
          <w:sz w:val="21"/>
        </w:rPr>
        <w:t xml:space="preserve">19.《公路防撞桶》（GB/T28650-2012）</w:t>
      </w:r>
      <w:r/>
    </w:p>
    <w:p>
      <w:pPr>
        <w:ind w:left="0" w:firstLine="420"/>
        <w:spacing w:line="360" w:lineRule="auto"/>
        <w:tabs>
          <w:tab w:val="left" w:pos="420" w:leader="none"/>
        </w:tabs>
        <w:rPr>
          <w:rFonts w:ascii="宋体" w:hAnsi="宋体"/>
        </w:rPr>
      </w:pPr>
      <w:r>
        <w:rPr>
          <w:rFonts w:hint="eastAsia" w:ascii="宋体" w:hAnsi="宋体"/>
          <w:sz w:val="21"/>
        </w:rPr>
        <w:t xml:space="preserve">20.《锥形交通路标》（GA/T415-2003）</w:t>
      </w:r>
      <w:r/>
    </w:p>
    <w:p>
      <w:pPr>
        <w:ind w:left="0" w:firstLine="420"/>
        <w:spacing w:line="360" w:lineRule="auto"/>
        <w:tabs>
          <w:tab w:val="left" w:pos="420" w:leader="none"/>
        </w:tabs>
        <w:rPr>
          <w:rFonts w:ascii="宋体" w:hAnsi="宋体"/>
        </w:rPr>
      </w:pPr>
      <w:r>
        <w:rPr>
          <w:rFonts w:hint="eastAsia" w:ascii="宋体" w:hAnsi="宋体"/>
          <w:sz w:val="21"/>
        </w:rPr>
        <w:t xml:space="preserve">21.《道路交通诱导可变信息标志》（GA/T484-2010 LED）</w:t>
      </w:r>
      <w:r/>
    </w:p>
    <w:p>
      <w:pPr>
        <w:ind w:left="0" w:firstLine="420"/>
        <w:spacing w:line="360" w:lineRule="auto"/>
        <w:tabs>
          <w:tab w:val="left" w:pos="420" w:leader="none"/>
        </w:tabs>
        <w:rPr>
          <w:rFonts w:ascii="宋体" w:hAnsi="宋体"/>
        </w:rPr>
      </w:pPr>
      <w:r>
        <w:rPr>
          <w:rFonts w:hint="eastAsia" w:ascii="宋体" w:hAnsi="宋体"/>
          <w:sz w:val="21"/>
        </w:rPr>
        <w:t xml:space="preserve">22.《橡胶减速丘》（GA/T487-2020）</w:t>
      </w:r>
      <w:r/>
    </w:p>
    <w:p>
      <w:pPr>
        <w:ind w:left="0" w:firstLine="420"/>
        <w:spacing w:line="360" w:lineRule="auto"/>
        <w:tabs>
          <w:tab w:val="left" w:pos="420" w:leader="none"/>
        </w:tabs>
        <w:rPr>
          <w:rFonts w:ascii="宋体" w:hAnsi="宋体"/>
        </w:rPr>
      </w:pPr>
      <w:r>
        <w:rPr>
          <w:rFonts w:hint="eastAsia" w:ascii="宋体" w:hAnsi="宋体"/>
          <w:sz w:val="21"/>
        </w:rPr>
        <w:t xml:space="preserve">23.《太阳能道路交通标志》（GA/T580-2005）</w:t>
      </w:r>
      <w:r/>
    </w:p>
    <w:p>
      <w:pPr>
        <w:ind w:left="0" w:firstLine="420"/>
        <w:spacing w:line="360" w:lineRule="auto"/>
        <w:tabs>
          <w:tab w:val="left" w:pos="420" w:leader="none"/>
        </w:tabs>
        <w:rPr>
          <w:rFonts w:ascii="宋体" w:hAnsi="宋体"/>
        </w:rPr>
      </w:pPr>
      <w:r>
        <w:rPr>
          <w:rFonts w:hint="eastAsia" w:ascii="宋体" w:hAnsi="宋体"/>
          <w:sz w:val="21"/>
        </w:rPr>
        <w:t xml:space="preserve">24.《太阳能黄闪信号灯》（GA/T743-2007）（GA/T 743‑2016《闪光警告信号灯》）</w:t>
      </w:r>
      <w:r/>
    </w:p>
    <w:p>
      <w:pPr>
        <w:ind w:left="0" w:firstLine="420"/>
        <w:spacing w:line="360" w:lineRule="auto"/>
        <w:tabs>
          <w:tab w:val="left" w:pos="420" w:leader="none"/>
        </w:tabs>
        <w:rPr>
          <w:rFonts w:ascii="宋体" w:hAnsi="宋体"/>
        </w:rPr>
      </w:pPr>
      <w:r>
        <w:rPr>
          <w:rFonts w:hint="eastAsia" w:ascii="宋体" w:hAnsi="宋体"/>
          <w:sz w:val="21"/>
        </w:rPr>
        <w:t xml:space="preserve">25.《城市道路交通隔离栏设置指南》（GA/T1567-2019）</w:t>
      </w:r>
      <w:r/>
    </w:p>
    <w:p>
      <w:pPr>
        <w:ind w:left="0" w:firstLine="420"/>
        <w:spacing w:line="360" w:lineRule="auto"/>
        <w:tabs>
          <w:tab w:val="left" w:pos="420" w:leader="none"/>
        </w:tabs>
        <w:rPr>
          <w:rFonts w:ascii="宋体" w:hAnsi="宋体"/>
        </w:rPr>
      </w:pPr>
      <w:r>
        <w:rPr>
          <w:rFonts w:hint="eastAsia" w:ascii="宋体" w:hAnsi="宋体"/>
          <w:sz w:val="21"/>
        </w:rPr>
        <w:t xml:space="preserve">26.《公路护栏安全性能评价标准》（JTG/T 3671-2013）</w:t>
      </w:r>
      <w:r/>
    </w:p>
    <w:p>
      <w:pPr>
        <w:ind w:left="0" w:firstLine="420"/>
        <w:spacing w:line="360" w:lineRule="auto"/>
        <w:tabs>
          <w:tab w:val="left" w:pos="420" w:leader="none"/>
        </w:tabs>
        <w:rPr>
          <w:rFonts w:ascii="宋体" w:hAnsi="宋体"/>
        </w:rPr>
      </w:pPr>
      <w:r>
        <w:rPr>
          <w:rFonts w:hint="eastAsia" w:ascii="宋体" w:hAnsi="宋体"/>
          <w:sz w:val="21"/>
        </w:rPr>
        <w:t xml:space="preserve">27.《内部照明标志》（JT/T750-2009）</w:t>
      </w:r>
      <w:r/>
    </w:p>
    <w:p>
      <w:pPr>
        <w:ind w:left="0" w:firstLine="420"/>
        <w:spacing w:line="360" w:lineRule="auto"/>
        <w:tabs>
          <w:tab w:val="left" w:pos="420" w:leader="none"/>
        </w:tabs>
        <w:rPr>
          <w:rFonts w:ascii="宋体" w:hAnsi="宋体"/>
        </w:rPr>
      </w:pPr>
      <w:r>
        <w:rPr>
          <w:rFonts w:hint="eastAsia" w:ascii="宋体" w:hAnsi="宋体"/>
          <w:sz w:val="21"/>
        </w:rPr>
        <w:t xml:space="preserve">28.《公路用凸面反光镜》（JT/T801-2011）</w:t>
      </w:r>
      <w:r/>
    </w:p>
    <w:p>
      <w:pPr>
        <w:ind w:left="0" w:firstLine="420"/>
        <w:spacing w:line="360" w:lineRule="auto"/>
        <w:tabs>
          <w:tab w:val="left" w:pos="420" w:leader="none"/>
        </w:tabs>
        <w:rPr>
          <w:rFonts w:ascii="宋体" w:hAnsi="宋体"/>
        </w:rPr>
      </w:pPr>
      <w:r>
        <w:rPr>
          <w:rFonts w:hint="eastAsia" w:ascii="宋体" w:hAnsi="宋体"/>
          <w:sz w:val="21"/>
        </w:rPr>
        <w:t xml:space="preserve">29.《城市综合交通体系规划标准》（GBT51328-2018）</w:t>
      </w:r>
      <w:r/>
    </w:p>
    <w:p>
      <w:pPr>
        <w:ind w:left="0" w:firstLine="420"/>
        <w:spacing w:line="360" w:lineRule="auto"/>
        <w:tabs>
          <w:tab w:val="left" w:pos="420" w:leader="none"/>
        </w:tabs>
        <w:rPr>
          <w:rFonts w:ascii="宋体" w:hAnsi="宋体"/>
        </w:rPr>
      </w:pPr>
      <w:r>
        <w:rPr>
          <w:rFonts w:hint="eastAsia" w:ascii="宋体" w:hAnsi="宋体"/>
          <w:sz w:val="21"/>
        </w:rPr>
        <w:t xml:space="preserve">30.《道路交通信号灯设置与安装规范》（GB14886-2016）</w:t>
      </w:r>
      <w:r/>
    </w:p>
    <w:p>
      <w:pPr>
        <w:ind w:left="0" w:firstLine="420"/>
        <w:spacing w:line="360" w:lineRule="auto"/>
        <w:tabs>
          <w:tab w:val="left" w:pos="420" w:leader="none"/>
        </w:tabs>
        <w:rPr>
          <w:rFonts w:ascii="宋体" w:hAnsi="宋体"/>
        </w:rPr>
      </w:pPr>
      <w:r>
        <w:rPr>
          <w:rFonts w:hint="eastAsia" w:ascii="宋体" w:hAnsi="宋体"/>
          <w:sz w:val="21"/>
        </w:rPr>
        <w:t xml:space="preserve">31.《城市停车规划规范》（GBT51149-2016）</w:t>
      </w:r>
      <w:r/>
    </w:p>
    <w:p>
      <w:pPr>
        <w:ind w:left="0" w:firstLine="420"/>
        <w:spacing w:line="360" w:lineRule="auto"/>
        <w:tabs>
          <w:tab w:val="left" w:pos="420" w:leader="none"/>
        </w:tabs>
        <w:rPr>
          <w:rFonts w:ascii="宋体" w:hAnsi="宋体"/>
        </w:rPr>
      </w:pPr>
      <w:r>
        <w:rPr>
          <w:rFonts w:hint="eastAsia" w:ascii="宋体" w:hAnsi="宋体"/>
          <w:sz w:val="21"/>
        </w:rPr>
        <w:t xml:space="preserve">32.《城市道路交叉口规划规范》（GB50647-2011）</w:t>
      </w:r>
      <w:r/>
    </w:p>
    <w:p>
      <w:pPr>
        <w:ind w:left="0" w:firstLine="420"/>
        <w:spacing w:line="360" w:lineRule="auto"/>
        <w:tabs>
          <w:tab w:val="left" w:pos="420" w:leader="none"/>
        </w:tabs>
        <w:rPr>
          <w:rFonts w:ascii="宋体" w:hAnsi="宋体"/>
        </w:rPr>
      </w:pPr>
      <w:r>
        <w:rPr>
          <w:rFonts w:hint="eastAsia" w:ascii="宋体" w:hAnsi="宋体"/>
          <w:sz w:val="21"/>
        </w:rPr>
        <w:t xml:space="preserve">33.《公交专用车道设置》（GAT507-2004）</w:t>
      </w:r>
      <w:r/>
    </w:p>
    <w:p>
      <w:pPr>
        <w:ind w:left="0" w:firstLine="420"/>
        <w:spacing w:line="360" w:lineRule="auto"/>
        <w:tabs>
          <w:tab w:val="left" w:pos="420" w:leader="none"/>
        </w:tabs>
        <w:rPr>
          <w:rFonts w:ascii="宋体" w:hAnsi="宋体"/>
        </w:rPr>
      </w:pPr>
      <w:r>
        <w:rPr>
          <w:rFonts w:hint="eastAsia" w:ascii="宋体" w:hAnsi="宋体"/>
          <w:sz w:val="21"/>
        </w:rPr>
        <w:t xml:space="preserve">34.《城市道路单向交通组织原则》（GAT486-2015）</w:t>
      </w:r>
      <w:r/>
    </w:p>
    <w:p>
      <w:pPr>
        <w:ind w:left="0" w:firstLine="420"/>
        <w:spacing w:line="360" w:lineRule="auto"/>
        <w:tabs>
          <w:tab w:val="left" w:pos="420" w:leader="none"/>
        </w:tabs>
        <w:rPr>
          <w:rFonts w:ascii="宋体" w:hAnsi="宋体"/>
        </w:rPr>
      </w:pPr>
      <w:r>
        <w:rPr>
          <w:rFonts w:hint="eastAsia" w:ascii="宋体" w:hAnsi="宋体"/>
          <w:sz w:val="21"/>
        </w:rPr>
        <w:t xml:space="preserve">35.《闯红灯自动记录系统通用技术条件》（GAT496-2014）</w:t>
      </w:r>
      <w:r/>
    </w:p>
    <w:p>
      <w:pPr>
        <w:ind w:left="0" w:firstLine="420"/>
        <w:spacing w:line="360" w:lineRule="auto"/>
        <w:tabs>
          <w:tab w:val="left" w:pos="420" w:leader="none"/>
        </w:tabs>
        <w:rPr>
          <w:rFonts w:ascii="宋体" w:hAnsi="宋体"/>
        </w:rPr>
      </w:pPr>
      <w:r>
        <w:rPr>
          <w:rFonts w:hint="eastAsia" w:ascii="宋体" w:hAnsi="宋体"/>
          <w:sz w:val="21"/>
        </w:rPr>
        <w:t xml:space="preserve">36.《城市道路路内停车泊位设置规范》（GAT850-2021）</w:t>
      </w:r>
      <w:r/>
    </w:p>
    <w:p>
      <w:pPr>
        <w:ind w:left="0" w:firstLine="420"/>
        <w:spacing w:line="360" w:lineRule="auto"/>
        <w:tabs>
          <w:tab w:val="left" w:pos="420" w:leader="none"/>
        </w:tabs>
        <w:rPr>
          <w:rFonts w:ascii="宋体" w:hAnsi="宋体"/>
        </w:rPr>
      </w:pPr>
      <w:r>
        <w:rPr>
          <w:rFonts w:hint="eastAsia" w:ascii="宋体" w:hAnsi="宋体"/>
          <w:sz w:val="21"/>
        </w:rPr>
        <w:t xml:space="preserve">37.《城市道路施工作业交通组织规范》（GAT900-2010）</w:t>
      </w:r>
      <w:r/>
    </w:p>
    <w:p>
      <w:pPr>
        <w:ind w:left="0" w:firstLine="420"/>
        <w:spacing w:line="360" w:lineRule="auto"/>
        <w:tabs>
          <w:tab w:val="left" w:pos="420" w:leader="none"/>
        </w:tabs>
        <w:rPr>
          <w:rFonts w:ascii="宋体" w:hAnsi="宋体"/>
        </w:rPr>
      </w:pPr>
      <w:r>
        <w:rPr>
          <w:rFonts w:hint="eastAsia" w:ascii="宋体" w:hAnsi="宋体"/>
          <w:sz w:val="21"/>
        </w:rPr>
        <w:t xml:space="preserve">38.《中小学与幼儿园校园周边道路交通设施设置规范》（GAT1215-2014）</w:t>
      </w:r>
      <w:r/>
    </w:p>
    <w:p>
      <w:pPr>
        <w:ind w:left="0" w:firstLine="420"/>
        <w:spacing w:line="360" w:lineRule="auto"/>
        <w:tabs>
          <w:tab w:val="left" w:pos="420" w:leader="none"/>
        </w:tabs>
        <w:rPr>
          <w:rFonts w:ascii="宋体" w:hAnsi="宋体"/>
        </w:rPr>
      </w:pPr>
      <w:r>
        <w:rPr>
          <w:rFonts w:hint="eastAsia" w:ascii="宋体" w:hAnsi="宋体"/>
          <w:sz w:val="21"/>
        </w:rPr>
        <w:t xml:space="preserve">39.《建设项目交通影响评价技术标准》（CJJT141-2010）</w:t>
      </w:r>
      <w:r/>
    </w:p>
    <w:p>
      <w:pPr>
        <w:ind w:left="0" w:firstLine="420"/>
        <w:spacing w:line="360" w:lineRule="auto"/>
        <w:tabs>
          <w:tab w:val="left" w:pos="420" w:leader="none"/>
        </w:tabs>
        <w:rPr>
          <w:rFonts w:ascii="宋体" w:hAnsi="宋体"/>
        </w:rPr>
      </w:pPr>
      <w:r>
        <w:rPr>
          <w:rFonts w:hint="eastAsia" w:ascii="宋体" w:hAnsi="宋体"/>
          <w:sz w:val="21"/>
        </w:rPr>
        <w:t xml:space="preserve">40.《城市快速路设计规程》（CJJ129-2009）</w:t>
      </w:r>
      <w:r/>
    </w:p>
    <w:p>
      <w:pPr>
        <w:ind w:left="0" w:firstLine="420"/>
        <w:spacing w:line="360" w:lineRule="auto"/>
        <w:tabs>
          <w:tab w:val="left" w:pos="420" w:leader="none"/>
        </w:tabs>
        <w:rPr>
          <w:rFonts w:ascii="宋体" w:hAnsi="宋体"/>
        </w:rPr>
      </w:pPr>
      <w:r>
        <w:rPr>
          <w:rFonts w:hint="eastAsia" w:ascii="宋体" w:hAnsi="宋体"/>
          <w:sz w:val="21"/>
        </w:rPr>
        <w:t xml:space="preserve">41.《城市道路交叉口设计规程》（CJJ152-2010）</w:t>
      </w:r>
      <w:r/>
    </w:p>
    <w:p>
      <w:pPr>
        <w:ind w:left="0" w:firstLine="420"/>
        <w:spacing w:line="360" w:lineRule="auto"/>
        <w:tabs>
          <w:tab w:val="left" w:pos="420" w:leader="none"/>
        </w:tabs>
        <w:rPr>
          <w:rFonts w:ascii="宋体" w:hAnsi="宋体"/>
        </w:rPr>
      </w:pPr>
      <w:r>
        <w:rPr>
          <w:rFonts w:hint="eastAsia" w:ascii="宋体" w:hAnsi="宋体"/>
          <w:sz w:val="21"/>
        </w:rPr>
        <w:t xml:space="preserve">42.《城镇道路路面设计规范》（CJJ169-2012）</w:t>
      </w:r>
      <w:r/>
    </w:p>
    <w:p>
      <w:pPr>
        <w:ind w:left="0" w:firstLine="420"/>
        <w:spacing w:line="360" w:lineRule="auto"/>
        <w:tabs>
          <w:tab w:val="left" w:pos="420" w:leader="none"/>
        </w:tabs>
        <w:rPr>
          <w:rFonts w:ascii="宋体" w:hAnsi="宋体"/>
        </w:rPr>
      </w:pPr>
      <w:r>
        <w:rPr>
          <w:rFonts w:hint="eastAsia" w:ascii="宋体" w:hAnsi="宋体"/>
          <w:sz w:val="21"/>
        </w:rPr>
        <w:t xml:space="preserve">43.《城市道路路基设计规范》（CJJ194-2013）</w:t>
      </w:r>
      <w:r/>
    </w:p>
    <w:p>
      <w:pPr>
        <w:ind w:left="0" w:firstLine="420"/>
        <w:spacing w:line="360" w:lineRule="auto"/>
        <w:tabs>
          <w:tab w:val="left" w:pos="420" w:leader="none"/>
        </w:tabs>
        <w:rPr>
          <w:rFonts w:ascii="宋体" w:hAnsi="宋体"/>
        </w:rPr>
      </w:pPr>
      <w:r>
        <w:rPr>
          <w:rFonts w:hint="eastAsia" w:ascii="宋体" w:hAnsi="宋体"/>
          <w:sz w:val="21"/>
        </w:rPr>
        <w:t xml:space="preserve">44.《城市桥梁抗震设计规范》（CJJ 166-2011）</w:t>
      </w:r>
      <w:r/>
    </w:p>
    <w:p>
      <w:pPr>
        <w:ind w:left="0" w:firstLine="420"/>
        <w:spacing w:line="360" w:lineRule="auto"/>
        <w:tabs>
          <w:tab w:val="left" w:pos="420" w:leader="none"/>
        </w:tabs>
        <w:rPr>
          <w:rFonts w:ascii="宋体" w:hAnsi="宋体"/>
        </w:rPr>
      </w:pPr>
      <w:r>
        <w:rPr>
          <w:rFonts w:hint="eastAsia" w:ascii="宋体" w:hAnsi="宋体"/>
          <w:sz w:val="21"/>
        </w:rPr>
        <w:t xml:space="preserve">45.《公路桥梁抗震设计规范》（JTG/T 2231-01-2020）</w:t>
      </w:r>
      <w:r/>
    </w:p>
    <w:p>
      <w:pPr>
        <w:ind w:left="0" w:firstLine="420"/>
        <w:spacing w:line="360" w:lineRule="auto"/>
        <w:tabs>
          <w:tab w:val="left" w:pos="420" w:leader="none"/>
        </w:tabs>
        <w:rPr>
          <w:rFonts w:ascii="宋体" w:hAnsi="宋体"/>
        </w:rPr>
      </w:pPr>
      <w:r>
        <w:rPr>
          <w:rFonts w:hint="eastAsia" w:ascii="宋体" w:hAnsi="宋体"/>
          <w:sz w:val="21"/>
        </w:rPr>
        <w:t xml:space="preserve">46.《城市桥梁设计规范》（CJJ11-2011）（2019 版）</w:t>
      </w:r>
      <w:r/>
    </w:p>
    <w:p>
      <w:pPr>
        <w:ind w:left="0" w:firstLine="420"/>
        <w:spacing w:line="360" w:lineRule="auto"/>
        <w:tabs>
          <w:tab w:val="left" w:pos="420" w:leader="none"/>
        </w:tabs>
        <w:rPr>
          <w:rFonts w:ascii="宋体" w:hAnsi="宋体"/>
        </w:rPr>
      </w:pPr>
      <w:r>
        <w:rPr>
          <w:rFonts w:hint="eastAsia" w:ascii="宋体" w:hAnsi="宋体"/>
          <w:sz w:val="21"/>
        </w:rPr>
        <w:t xml:space="preserve">47.《公路工程技术标准》（JTGB01-2014）</w:t>
      </w:r>
      <w:r/>
    </w:p>
    <w:p>
      <w:pPr>
        <w:ind w:left="0" w:firstLine="420"/>
        <w:spacing w:line="360" w:lineRule="auto"/>
        <w:tabs>
          <w:tab w:val="left" w:pos="420" w:leader="none"/>
        </w:tabs>
        <w:rPr>
          <w:rFonts w:ascii="宋体" w:hAnsi="宋体"/>
        </w:rPr>
      </w:pPr>
      <w:r>
        <w:rPr>
          <w:rFonts w:hint="eastAsia" w:ascii="宋体" w:hAnsi="宋体"/>
          <w:sz w:val="21"/>
        </w:rPr>
        <w:t xml:space="preserve">48.《公路交通标志和标线设置规范》（JTGD82-2009）</w:t>
      </w:r>
      <w:r/>
    </w:p>
    <w:p>
      <w:pPr>
        <w:ind w:left="0" w:firstLine="420"/>
        <w:spacing w:line="360" w:lineRule="auto"/>
        <w:tabs>
          <w:tab w:val="left" w:pos="420" w:leader="none"/>
        </w:tabs>
        <w:rPr>
          <w:rFonts w:ascii="宋体" w:hAnsi="宋体"/>
        </w:rPr>
      </w:pPr>
      <w:r>
        <w:rPr>
          <w:rFonts w:hint="eastAsia" w:ascii="宋体" w:hAnsi="宋体"/>
          <w:sz w:val="21"/>
        </w:rPr>
        <w:t xml:space="preserve">49.《公路交通安全设施设计规范》（JTGD81-2017）</w:t>
      </w:r>
      <w:r/>
    </w:p>
    <w:p>
      <w:pPr>
        <w:ind w:left="0" w:firstLine="420"/>
        <w:spacing w:line="360" w:lineRule="auto"/>
        <w:tabs>
          <w:tab w:val="left" w:pos="420" w:leader="none"/>
        </w:tabs>
        <w:rPr>
          <w:rFonts w:ascii="宋体" w:hAnsi="宋体"/>
        </w:rPr>
      </w:pPr>
      <w:r>
        <w:rPr>
          <w:rFonts w:hint="eastAsia" w:ascii="宋体" w:hAnsi="宋体"/>
          <w:sz w:val="21"/>
        </w:rPr>
        <w:t xml:space="preserve">50.《公路交通安全设施设计细则》（JTG/T D81—2017）</w:t>
      </w:r>
      <w:r/>
    </w:p>
    <w:p>
      <w:pPr>
        <w:ind w:left="0" w:firstLine="420"/>
        <w:spacing w:line="360" w:lineRule="auto"/>
        <w:tabs>
          <w:tab w:val="left" w:pos="420" w:leader="none"/>
        </w:tabs>
        <w:rPr>
          <w:rFonts w:ascii="宋体" w:hAnsi="宋体"/>
        </w:rPr>
      </w:pPr>
      <w:r>
        <w:rPr>
          <w:rFonts w:hint="eastAsia" w:ascii="宋体" w:hAnsi="宋体"/>
          <w:sz w:val="21"/>
        </w:rPr>
        <w:t xml:space="preserve">51.《公路项目安全性评价规范》（JTGB05-2015）</w:t>
      </w:r>
      <w:r/>
    </w:p>
    <w:p>
      <w:pPr>
        <w:ind w:left="0" w:firstLine="420"/>
        <w:spacing w:line="360" w:lineRule="auto"/>
        <w:tabs>
          <w:tab w:val="left" w:pos="420" w:leader="none"/>
        </w:tabs>
        <w:rPr>
          <w:rFonts w:ascii="宋体" w:hAnsi="宋体"/>
        </w:rPr>
      </w:pPr>
      <w:r>
        <w:rPr>
          <w:rFonts w:hint="eastAsia" w:ascii="宋体" w:hAnsi="宋体"/>
          <w:sz w:val="21"/>
        </w:rPr>
        <w:t xml:space="preserve">52.《无障碍设计规范》（GB 50763-2012）（部分条款废止）</w:t>
      </w:r>
      <w:r/>
    </w:p>
    <w:p>
      <w:pPr>
        <w:ind w:left="0" w:firstLine="420"/>
        <w:spacing w:line="360" w:lineRule="auto"/>
        <w:tabs>
          <w:tab w:val="left" w:pos="420" w:leader="none"/>
        </w:tabs>
        <w:rPr>
          <w:rFonts w:ascii="宋体" w:hAnsi="宋体"/>
        </w:rPr>
      </w:pPr>
      <w:r>
        <w:rPr>
          <w:rFonts w:hint="eastAsia" w:ascii="宋体" w:hAnsi="宋体"/>
          <w:sz w:val="21"/>
        </w:rPr>
        <w:t xml:space="preserve">53.《建筑与市政工程无障碍通用规范》（GB 55019-2021）</w:t>
      </w:r>
      <w:r/>
    </w:p>
    <w:p>
      <w:pPr>
        <w:ind w:left="0" w:firstLine="420"/>
        <w:spacing w:line="360" w:lineRule="auto"/>
        <w:tabs>
          <w:tab w:val="left" w:pos="420" w:leader="none"/>
        </w:tabs>
        <w:rPr>
          <w:rFonts w:ascii="宋体" w:hAnsi="宋体"/>
        </w:rPr>
      </w:pPr>
      <w:r>
        <w:rPr>
          <w:rFonts w:hint="eastAsia" w:ascii="宋体" w:hAnsi="宋体"/>
          <w:sz w:val="21"/>
        </w:rPr>
        <w:t xml:space="preserve">54.《苏州市城市道路交通管理设施设置标准》（2017版）</w:t>
      </w:r>
      <w:r/>
    </w:p>
    <w:p>
      <w:pPr>
        <w:ind w:left="0" w:firstLine="420"/>
        <w:spacing w:line="360" w:lineRule="auto"/>
        <w:tabs>
          <w:tab w:val="left" w:pos="420" w:leader="none"/>
        </w:tabs>
        <w:rPr>
          <w:rFonts w:ascii="宋体" w:hAnsi="宋体"/>
        </w:rPr>
      </w:pPr>
      <w:r>
        <w:rPr>
          <w:rFonts w:hint="eastAsia" w:ascii="宋体" w:hAnsi="宋体"/>
          <w:sz w:val="21"/>
        </w:rPr>
        <w:t xml:space="preserve">55.《苏州市公交线网优化技术导则》（2015版）</w:t>
      </w:r>
      <w:r/>
    </w:p>
    <w:p>
      <w:pPr>
        <w:ind w:left="0" w:firstLine="420"/>
        <w:spacing w:line="360" w:lineRule="auto"/>
        <w:tabs>
          <w:tab w:val="left" w:pos="420" w:leader="none"/>
        </w:tabs>
        <w:rPr>
          <w:rFonts w:ascii="宋体" w:hAnsi="宋体"/>
        </w:rPr>
      </w:pPr>
      <w:r>
        <w:rPr>
          <w:rFonts w:hint="eastAsia" w:ascii="宋体" w:hAnsi="宋体"/>
          <w:sz w:val="21"/>
        </w:rPr>
        <w:t xml:space="preserve">56.《苏州市交通影响评价管理办法》（2018版）</w:t>
      </w:r>
      <w:r/>
    </w:p>
    <w:p>
      <w:pPr>
        <w:ind w:left="0" w:firstLine="420"/>
        <w:spacing w:line="360" w:lineRule="auto"/>
        <w:tabs>
          <w:tab w:val="left" w:pos="420" w:leader="none"/>
        </w:tabs>
        <w:rPr>
          <w:rFonts w:ascii="宋体" w:hAnsi="宋体"/>
        </w:rPr>
      </w:pPr>
      <w:r>
        <w:rPr>
          <w:rFonts w:hint="eastAsia" w:ascii="宋体" w:hAnsi="宋体"/>
          <w:sz w:val="21"/>
        </w:rPr>
        <w:t xml:space="preserve">57.《苏州市建筑物配建停车位指标》（2020版）</w:t>
      </w:r>
      <w:r/>
    </w:p>
    <w:p>
      <w:pPr>
        <w:ind w:left="0" w:firstLine="420"/>
        <w:spacing w:line="360" w:lineRule="auto"/>
        <w:tabs>
          <w:tab w:val="left" w:pos="420" w:leader="none"/>
        </w:tabs>
        <w:rPr>
          <w:rFonts w:ascii="宋体" w:hAnsi="宋体"/>
        </w:rPr>
      </w:pPr>
      <w:r>
        <w:rPr>
          <w:rFonts w:hint="eastAsia" w:ascii="宋体" w:hAnsi="宋体"/>
          <w:sz w:val="21"/>
        </w:rPr>
        <w:t xml:space="preserve">58.《苏州市占道项目施工期交通影响评价技术导则》（2017实施）</w:t>
      </w:r>
      <w:r/>
    </w:p>
    <w:p>
      <w:pPr>
        <w:ind w:left="0" w:firstLine="420"/>
        <w:spacing w:line="360" w:lineRule="auto"/>
        <w:tabs>
          <w:tab w:val="left" w:pos="420" w:leader="none"/>
        </w:tabs>
        <w:rPr>
          <w:rFonts w:ascii="宋体" w:hAnsi="宋体"/>
        </w:rPr>
      </w:pPr>
      <w:r>
        <w:rPr>
          <w:rFonts w:hint="eastAsia" w:ascii="宋体" w:hAnsi="宋体"/>
          <w:sz w:val="21"/>
        </w:rPr>
        <w:t xml:space="preserve">59.《苏州市汽车库交通评价技术导则》（2018版）</w:t>
      </w:r>
      <w:r/>
    </w:p>
    <w:p>
      <w:pPr>
        <w:ind w:left="0" w:firstLine="420"/>
        <w:spacing w:line="360" w:lineRule="auto"/>
        <w:tabs>
          <w:tab w:val="left" w:pos="420" w:leader="none"/>
        </w:tabs>
        <w:rPr>
          <w:rFonts w:ascii="宋体" w:hAnsi="宋体"/>
        </w:rPr>
      </w:pPr>
      <w:r>
        <w:rPr>
          <w:rFonts w:hint="eastAsia" w:ascii="宋体" w:hAnsi="宋体"/>
          <w:sz w:val="21"/>
        </w:rPr>
        <w:t xml:space="preserve">60.《苏州市建筑项目交通设计及停车场(库)设置标准》（2018版）</w:t>
      </w:r>
      <w:r/>
    </w:p>
    <w:p>
      <w:pPr>
        <w:ind w:left="0" w:firstLine="420"/>
        <w:spacing w:line="360" w:lineRule="auto"/>
        <w:tabs>
          <w:tab w:val="left" w:pos="420" w:leader="none"/>
        </w:tabs>
        <w:rPr>
          <w:rFonts w:ascii="宋体" w:hAnsi="宋体"/>
        </w:rPr>
      </w:pPr>
      <w:r>
        <w:rPr>
          <w:rFonts w:hint="eastAsia" w:ascii="宋体" w:hAnsi="宋体"/>
          <w:sz w:val="21"/>
        </w:rPr>
        <w:t xml:space="preserve">61.《交通分隔栏》（JT/T 1033-2025，2026.01.01实施）</w:t>
      </w:r>
      <w:r/>
    </w:p>
    <w:p>
      <w:pPr>
        <w:ind w:left="0" w:firstLine="420"/>
        <w:spacing w:line="360" w:lineRule="auto"/>
        <w:tabs>
          <w:tab w:val="left" w:pos="420" w:leader="none"/>
        </w:tabs>
        <w:rPr>
          <w:rFonts w:ascii="宋体" w:hAnsi="宋体"/>
        </w:rPr>
      </w:pPr>
      <w:r>
        <w:rPr>
          <w:rFonts w:hint="eastAsia" w:ascii="宋体" w:hAnsi="宋体"/>
          <w:sz w:val="21"/>
        </w:rPr>
        <w:t xml:space="preserve">62.《公路交通工程钢构件防腐技术条件》（GB/T18226-2015）（GB/T 18226-2025，2026.03.01实施）</w:t>
      </w:r>
      <w:r/>
    </w:p>
    <w:p>
      <w:pPr>
        <w:ind w:left="0" w:firstLine="420"/>
        <w:spacing w:line="360" w:lineRule="auto"/>
        <w:tabs>
          <w:tab w:val="left" w:pos="420" w:leader="none"/>
        </w:tabs>
        <w:rPr>
          <w:rFonts w:ascii="宋体" w:hAnsi="宋体"/>
        </w:rPr>
      </w:pPr>
      <w:r>
        <w:rPr>
          <w:rFonts w:hint="eastAsia" w:ascii="宋体" w:hAnsi="宋体"/>
          <w:sz w:val="21"/>
        </w:rPr>
        <w:t xml:space="preserve">63.《道路交通信号灯》（GB 14887-2011）</w:t>
      </w:r>
      <w:r/>
    </w:p>
    <w:p>
      <w:pPr>
        <w:ind w:left="0" w:firstLine="420"/>
        <w:spacing w:line="360" w:lineRule="auto"/>
        <w:tabs>
          <w:tab w:val="left" w:pos="420" w:leader="none"/>
        </w:tabs>
        <w:rPr>
          <w:rFonts w:ascii="宋体" w:hAnsi="宋体"/>
        </w:rPr>
      </w:pPr>
      <w:r>
        <w:rPr>
          <w:rFonts w:hint="eastAsia" w:ascii="宋体" w:hAnsi="宋体"/>
          <w:sz w:val="21"/>
        </w:rPr>
        <w:t xml:space="preserve">64.《道路交通信号灯设置与安装规范》（GB 14886-2016）</w:t>
      </w:r>
      <w:r/>
    </w:p>
    <w:p>
      <w:pPr>
        <w:ind w:left="0" w:firstLine="420"/>
        <w:spacing w:line="360" w:lineRule="auto"/>
        <w:tabs>
          <w:tab w:val="left" w:pos="420" w:leader="none"/>
        </w:tabs>
        <w:rPr>
          <w:rFonts w:ascii="宋体" w:hAnsi="宋体"/>
        </w:rPr>
      </w:pPr>
      <w:r>
        <w:rPr>
          <w:rFonts w:hint="eastAsia" w:ascii="宋体" w:hAnsi="宋体"/>
          <w:sz w:val="21"/>
        </w:rPr>
        <w:t xml:space="preserve">65.《道路交通信号控制机》（GB 25280-2016）</w:t>
      </w:r>
      <w:r/>
    </w:p>
    <w:p>
      <w:pPr>
        <w:ind w:left="0" w:firstLine="420"/>
        <w:spacing w:line="360" w:lineRule="auto"/>
        <w:tabs>
          <w:tab w:val="left" w:pos="420" w:leader="none"/>
        </w:tabs>
        <w:rPr>
          <w:rFonts w:ascii="宋体" w:hAnsi="宋体"/>
        </w:rPr>
      </w:pPr>
      <w:r>
        <w:rPr>
          <w:rFonts w:hint="eastAsia" w:ascii="宋体" w:hAnsi="宋体"/>
          <w:sz w:val="21"/>
        </w:rPr>
        <w:t xml:space="preserve">66.《视觉信号表面色》(GB/T8416-2003）</w:t>
      </w:r>
      <w:r/>
    </w:p>
    <w:p>
      <w:pPr>
        <w:ind w:left="0" w:firstLine="422"/>
        <w:spacing w:line="360" w:lineRule="auto"/>
        <w:tabs>
          <w:tab w:val="left" w:pos="420" w:leader="none"/>
        </w:tabs>
        <w:rPr>
          <w:rFonts w:ascii="宋体" w:hAnsi="宋体"/>
        </w:rPr>
      </w:pPr>
      <w:r>
        <w:rPr>
          <w:rFonts w:hint="eastAsia" w:ascii="宋体" w:hAnsi="宋体"/>
          <w:b/>
          <w:bCs/>
          <w:sz w:val="21"/>
        </w:rPr>
        <w:t xml:space="preserve"> 注：中标单位在服务过程中，应遵循其他相关法律法规要求，如相关法律法规有最新变更，则按最新一版标准执行。</w:t>
      </w:r>
      <w:r/>
    </w:p>
    <w:p>
      <w:pPr>
        <w:pStyle w:val="1022"/>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w:t>
      </w:r>
      <w:r>
        <w:rPr>
          <w:rFonts w:hint="eastAsia" w:ascii="宋体" w:hAnsi="宋体"/>
          <w:sz w:val="21"/>
        </w:rPr>
        <w:t xml:space="preserve">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22"/>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0"/>
        <w:ind w:left="0" w:firstLine="0"/>
        <w:jc w:val="center"/>
        <w:rPr>
          <w:rFonts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r/>
    </w:p>
    <w:p>
      <w:pPr>
        <w:ind w:left="0"/>
        <w:jc w:val="center"/>
        <w:rPr>
          <w:rFonts w:ascii="宋体" w:hAnsi="宋体"/>
          <w:b/>
          <w:sz w:val="32"/>
          <w:szCs w:val="32"/>
        </w:rPr>
      </w:pPr>
      <w:r/>
      <w:bookmarkStart w:id="106" w:name="_Toc57376410"/>
      <w:r/>
      <w:bookmarkStart w:id="107" w:name="_Toc8564"/>
      <w:r/>
      <w:bookmarkStart w:id="108" w:name="_Toc27667"/>
      <w:r/>
      <w:bookmarkEnd w:id="103"/>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苏州市公安局交通安全设施零星建设</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JSZC-320500-JZCG-G2026-0067</w:t>
      </w:r>
      <w:r/>
    </w:p>
    <w:p>
      <w:pPr>
        <w:rPr>
          <w:rFonts w:ascii="宋体" w:hAnsi="宋体" w:cs="Times New Roman"/>
        </w:rPr>
      </w:pPr>
      <w:r>
        <w:rPr>
          <w:rFonts w:ascii="宋体" w:hAnsi="宋体" w:cs="Times New Roman"/>
        </w:rPr>
      </w:r>
      <w:r/>
    </w:p>
    <w:p>
      <w:pPr>
        <w:ind w:left="0"/>
        <w:jc w:val="left"/>
        <w:spacing w:line="360" w:lineRule="auto"/>
        <w:rPr>
          <w:rFonts w:ascii="宋体" w:hAnsi="宋体"/>
        </w:rPr>
      </w:pPr>
      <w:r>
        <w:rPr>
          <w:rFonts w:hint="eastAsia" w:ascii="宋体" w:hAnsi="宋体"/>
          <w:sz w:val="21"/>
        </w:rPr>
        <w:t xml:space="preserve">甲方：苏州市公安局</w:t>
      </w:r>
      <w:r/>
    </w:p>
    <w:p>
      <w:pPr>
        <w:ind w:left="0"/>
        <w:jc w:val="left"/>
        <w:spacing w:line="360" w:lineRule="auto"/>
        <w:rPr>
          <w:rFonts w:ascii="宋体" w:hAnsi="宋体"/>
        </w:rPr>
      </w:pPr>
      <w:r>
        <w:rPr>
          <w:rFonts w:hint="eastAsia" w:ascii="宋体" w:hAnsi="宋体"/>
          <w:sz w:val="21"/>
        </w:rPr>
        <w:t xml:space="preserve">地址：苏州市相城区人民路3998号</w:t>
      </w:r>
      <w:r/>
    </w:p>
    <w:p>
      <w:pPr>
        <w:ind w:left="0"/>
        <w:jc w:val="left"/>
        <w:spacing w:line="360" w:lineRule="auto"/>
        <w:rPr>
          <w:rFonts w:ascii="宋体" w:hAnsi="宋体"/>
        </w:rPr>
      </w:pPr>
      <w:r>
        <w:rPr>
          <w:rFonts w:hint="eastAsia" w:ascii="宋体" w:hAnsi="宋体"/>
          <w:sz w:val="21"/>
        </w:rPr>
        <w:t xml:space="preserve">联系人：</w:t>
      </w:r>
      <w:r/>
    </w:p>
    <w:p>
      <w:pPr>
        <w:ind w:left="0"/>
        <w:jc w:val="left"/>
        <w:spacing w:line="360" w:lineRule="auto"/>
        <w:rPr>
          <w:rFonts w:ascii="宋体" w:hAnsi="宋体"/>
        </w:rPr>
      </w:pPr>
      <w:r>
        <w:rPr>
          <w:rFonts w:hint="eastAsia" w:ascii="宋体" w:hAnsi="宋体"/>
          <w:sz w:val="21"/>
        </w:rPr>
        <w:t xml:space="preserve">联系电话：</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hint="eastAsia" w:ascii="宋体" w:hAnsi="宋体"/>
          <w:sz w:val="21"/>
        </w:rPr>
        <w:t xml:space="preserve">乙方：</w:t>
      </w:r>
      <w:r/>
    </w:p>
    <w:p>
      <w:pPr>
        <w:ind w:left="0"/>
        <w:jc w:val="left"/>
        <w:spacing w:line="360" w:lineRule="auto"/>
        <w:rPr>
          <w:rFonts w:ascii="宋体" w:hAnsi="宋体"/>
        </w:rPr>
      </w:pPr>
      <w:r>
        <w:rPr>
          <w:rFonts w:hint="eastAsia" w:ascii="宋体" w:hAnsi="宋体"/>
          <w:sz w:val="21"/>
        </w:rPr>
        <w:t xml:space="preserve">地址：</w:t>
      </w:r>
      <w:r/>
    </w:p>
    <w:p>
      <w:pPr>
        <w:ind w:left="0"/>
        <w:jc w:val="left"/>
        <w:spacing w:line="360" w:lineRule="auto"/>
        <w:rPr>
          <w:rFonts w:ascii="宋体" w:hAnsi="宋体"/>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pStyle w:val="1022"/>
        <w:ind w:left="400"/>
      </w:pPr>
      <w:r/>
      <w:r/>
    </w:p>
    <w:p>
      <w:pPr>
        <w:ind w:left="0" w:firstLine="420"/>
        <w:spacing w:line="360" w:lineRule="auto"/>
        <w:rPr>
          <w:rFonts w:ascii="宋体" w:hAnsi="宋体"/>
          <w:szCs w:val="21"/>
        </w:rPr>
      </w:pPr>
      <w:r>
        <w:rPr>
          <w:rFonts w:hint="eastAsia" w:ascii="宋体" w:hAnsi="宋体"/>
          <w:sz w:val="21"/>
          <w:szCs w:val="21"/>
        </w:rPr>
        <w:t xml:space="preserve">根据《中华人民共和国民法典》等相关法律法规的规定，甲乙双方就此次成交的【苏州市公安局交通安全设施零星建设】项目（以下简称“本项目”）采购事宜，签订本合同书，以兹共同遵守。</w:t>
      </w:r>
      <w:r/>
    </w:p>
    <w:p>
      <w:pPr>
        <w:ind w:left="0" w:firstLine="420"/>
        <w:spacing w:line="360" w:lineRule="auto"/>
        <w:rPr>
          <w:rFonts w:ascii="宋体" w:hAnsi="宋体"/>
          <w:szCs w:val="21"/>
        </w:rPr>
      </w:pPr>
      <w:r>
        <w:rPr>
          <w:rFonts w:hint="eastAsia" w:ascii="宋体" w:hAnsi="宋体"/>
          <w:sz w:val="21"/>
          <w:szCs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rPr>
          <w:rFonts w:ascii="宋体" w:hAnsi="宋体"/>
          <w:szCs w:val="21"/>
        </w:rPr>
      </w:pPr>
      <w:r>
        <w:rPr>
          <w:rFonts w:hint="eastAsia" w:ascii="宋体" w:hAnsi="宋体"/>
          <w:sz w:val="21"/>
          <w:szCs w:val="21"/>
        </w:rPr>
        <w:t xml:space="preserve">（1）本合同书及本合同书签署后双方以书面形式确认的补充协议等；</w:t>
      </w:r>
      <w:r/>
    </w:p>
    <w:p>
      <w:pPr>
        <w:ind w:left="0" w:firstLine="420"/>
        <w:spacing w:line="360" w:lineRule="auto"/>
        <w:rPr>
          <w:rFonts w:ascii="宋体" w:hAnsi="宋体"/>
          <w:szCs w:val="21"/>
        </w:rPr>
      </w:pPr>
      <w:r>
        <w:rPr>
          <w:rFonts w:hint="eastAsia" w:ascii="宋体" w:hAnsi="宋体"/>
          <w:sz w:val="21"/>
          <w:szCs w:val="21"/>
        </w:rPr>
        <w:t xml:space="preserve">（2）中标通知书；</w:t>
      </w:r>
      <w:r>
        <w:rPr>
          <w:rFonts w:hint="eastAsia" w:ascii="宋体" w:hAnsi="宋体"/>
          <w:sz w:val="21"/>
          <w:szCs w:val="21"/>
        </w:rPr>
        <w:tab/>
      </w:r>
      <w:r/>
    </w:p>
    <w:p>
      <w:pPr>
        <w:ind w:left="0" w:firstLine="420"/>
        <w:spacing w:line="360" w:lineRule="auto"/>
        <w:rPr>
          <w:rFonts w:ascii="宋体" w:hAnsi="宋体"/>
          <w:szCs w:val="21"/>
        </w:rPr>
      </w:pPr>
      <w:r>
        <w:rPr>
          <w:rFonts w:hint="eastAsia" w:ascii="宋体" w:hAnsi="宋体"/>
          <w:sz w:val="21"/>
          <w:szCs w:val="21"/>
        </w:rPr>
        <w:t xml:space="preserve">（3）采购文件；</w:t>
      </w:r>
      <w:r/>
    </w:p>
    <w:p>
      <w:pPr>
        <w:ind w:left="0" w:firstLine="420"/>
        <w:spacing w:line="360" w:lineRule="auto"/>
        <w:rPr>
          <w:rFonts w:ascii="宋体" w:hAnsi="宋体"/>
          <w:szCs w:val="21"/>
        </w:rPr>
      </w:pPr>
      <w:r>
        <w:rPr>
          <w:rFonts w:hint="eastAsia" w:ascii="宋体" w:hAnsi="宋体"/>
          <w:sz w:val="21"/>
          <w:szCs w:val="21"/>
        </w:rPr>
        <w:t xml:space="preserve">（4）投标（响应）文件；</w:t>
      </w:r>
      <w:r/>
    </w:p>
    <w:p>
      <w:pPr>
        <w:ind w:left="0" w:firstLine="420"/>
        <w:spacing w:line="360" w:lineRule="auto"/>
        <w:rPr>
          <w:rFonts w:ascii="宋体" w:hAnsi="宋体"/>
          <w:szCs w:val="21"/>
        </w:rPr>
      </w:pPr>
      <w:r>
        <w:rPr>
          <w:rFonts w:hint="eastAsia" w:ascii="宋体" w:hAnsi="宋体"/>
          <w:sz w:val="21"/>
          <w:szCs w:val="21"/>
        </w:rPr>
        <w:t xml:space="preserve">（5）乙方在开评标过程中所作的其它承诺、声明、书面澄清等。</w:t>
      </w:r>
      <w:r/>
    </w:p>
    <w:p>
      <w:pPr>
        <w:ind w:left="0" w:firstLine="420"/>
        <w:spacing w:line="360" w:lineRule="auto"/>
        <w:rPr>
          <w:rFonts w:ascii="宋体" w:hAnsi="宋体"/>
          <w:b/>
        </w:rPr>
      </w:pPr>
      <w:r>
        <w:rPr>
          <w:rFonts w:hint="eastAsia" w:ascii="宋体" w:hAnsi="宋体"/>
          <w:sz w:val="21"/>
          <w:szCs w:val="21"/>
        </w:rPr>
        <w:t xml:space="preserve">以上文件视为是能互相说明的，如上述文件之间存在冲突或不一致的，以排列序位在前的文件为准，同一序位的文件以形成时间在后的为准。</w:t>
      </w:r>
      <w:r/>
    </w:p>
    <w:p>
      <w:pPr>
        <w:ind w:left="0" w:firstLine="422"/>
        <w:spacing w:line="360" w:lineRule="auto"/>
        <w:rPr>
          <w:rFonts w:ascii="宋体" w:hAnsi="宋体"/>
          <w:b/>
        </w:rPr>
      </w:pPr>
      <w:r>
        <w:rPr>
          <w:rFonts w:hint="eastAsia" w:ascii="宋体" w:hAnsi="宋体"/>
          <w:b/>
          <w:sz w:val="21"/>
        </w:rPr>
        <w:t xml:space="preserve">二、合同标的：</w:t>
      </w:r>
      <w:r/>
    </w:p>
    <w:p>
      <w:pPr>
        <w:ind w:left="0" w:firstLine="420"/>
        <w:spacing w:line="360" w:lineRule="auto"/>
        <w:rPr>
          <w:rFonts w:ascii="宋体" w:hAnsi="宋体"/>
        </w:rPr>
      </w:pPr>
      <w:r>
        <w:rPr>
          <w:rFonts w:hint="eastAsia" w:ascii="宋体" w:hAnsi="宋体"/>
          <w:sz w:val="21"/>
        </w:rPr>
        <w:t xml:space="preserve">（一）项目内容：乙方负责完成甲方的“苏州市公安局交通安全设施零星建设”，具体内容见下表（按照下表单价执行，数量以实际为准）：</w:t>
      </w:r>
      <w:r/>
    </w:p>
    <w:tbl>
      <w:tblPr>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9"/>
        <w:gridCol w:w="1843"/>
        <w:gridCol w:w="1134"/>
        <w:gridCol w:w="709"/>
        <w:gridCol w:w="708"/>
        <w:gridCol w:w="1276"/>
        <w:gridCol w:w="1276"/>
        <w:gridCol w:w="1276"/>
        <w:gridCol w:w="992"/>
      </w:tblGrid>
      <w:tr>
        <w:trPr>
          <w:trHeight w:val="861"/>
        </w:trPr>
        <w:tc>
          <w:tcPr>
            <w:tcW w:w="709"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序号</w:t>
            </w:r>
            <w:r/>
          </w:p>
        </w:tc>
        <w:tc>
          <w:tcPr>
            <w:tcW w:w="1843"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货物（服务）名称</w:t>
            </w:r>
            <w:r/>
          </w:p>
        </w:tc>
        <w:tc>
          <w:tcPr>
            <w:tcW w:w="1134"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品牌规格</w:t>
            </w:r>
            <w:r/>
          </w:p>
        </w:tc>
        <w:tc>
          <w:tcPr>
            <w:tcW w:w="709"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数量</w:t>
            </w:r>
            <w:r/>
          </w:p>
        </w:tc>
        <w:tc>
          <w:tcPr>
            <w:tcW w:w="708"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单位</w:t>
            </w:r>
            <w:r/>
          </w:p>
        </w:tc>
        <w:tc>
          <w:tcPr>
            <w:tcW w:w="1276"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预算单价（元）</w:t>
            </w:r>
            <w:r/>
          </w:p>
        </w:tc>
        <w:tc>
          <w:tcPr>
            <w:tcW w:w="1276"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中标单价（元）</w:t>
            </w:r>
            <w:r/>
          </w:p>
        </w:tc>
        <w:tc>
          <w:tcPr>
            <w:tcW w:w="1276"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交货期限</w:t>
            </w:r>
            <w:r/>
          </w:p>
        </w:tc>
        <w:tc>
          <w:tcPr>
            <w:tcW w:w="992" w:type="dxa"/>
            <w:vAlign w:val="center"/>
            <w:textDirection w:val="lrTb"/>
            <w:noWrap w:val="false"/>
          </w:tcPr>
          <w:p>
            <w:pPr>
              <w:ind w:left="0"/>
              <w:jc w:val="center"/>
              <w:spacing w:line="360" w:lineRule="auto"/>
              <w:widowControl w:val="off"/>
              <w:rPr>
                <w:rFonts w:ascii="宋体" w:hAnsi="宋体"/>
              </w:rPr>
            </w:pPr>
            <w:r>
              <w:rPr>
                <w:rFonts w:hint="eastAsia" w:ascii="宋体" w:hAnsi="宋体"/>
                <w:sz w:val="21"/>
              </w:rPr>
              <w:t xml:space="preserve">备注</w:t>
            </w:r>
            <w:r/>
          </w:p>
        </w:tc>
      </w:tr>
      <w:tr>
        <w:trPr/>
        <w:tc>
          <w:tcPr>
            <w:tcW w:w="709" w:type="dxa"/>
            <w:textDirection w:val="lrTb"/>
            <w:noWrap w:val="false"/>
          </w:tcPr>
          <w:p>
            <w:pPr>
              <w:ind w:left="0"/>
              <w:jc w:val="center"/>
              <w:spacing w:line="360" w:lineRule="auto"/>
              <w:widowControl w:val="off"/>
              <w:rPr>
                <w:rFonts w:ascii="宋体" w:hAnsi="宋体"/>
              </w:rPr>
            </w:pPr>
            <w:r>
              <w:rPr>
                <w:rFonts w:hint="eastAsia" w:ascii="宋体" w:hAnsi="宋体"/>
                <w:sz w:val="21"/>
              </w:rPr>
              <w:t xml:space="preserve">1</w:t>
            </w:r>
            <w:r/>
          </w:p>
        </w:tc>
        <w:tc>
          <w:tcPr>
            <w:tcW w:w="1843" w:type="dxa"/>
            <w:textDirection w:val="lrTb"/>
            <w:noWrap w:val="false"/>
          </w:tcPr>
          <w:p>
            <w:pPr>
              <w:ind w:left="0"/>
              <w:jc w:val="left"/>
              <w:spacing w:line="360" w:lineRule="auto"/>
              <w:widowControl w:val="off"/>
              <w:rPr>
                <w:rFonts w:ascii="宋体" w:hAnsi="宋体"/>
              </w:rPr>
            </w:pPr>
            <w:r>
              <w:rPr>
                <w:rFonts w:ascii="宋体" w:hAnsi="宋体"/>
              </w:rPr>
            </w:r>
            <w:r/>
          </w:p>
        </w:tc>
        <w:tc>
          <w:tcPr>
            <w:tcW w:w="1134" w:type="dxa"/>
            <w:textDirection w:val="lrTb"/>
            <w:noWrap w:val="false"/>
          </w:tcPr>
          <w:p>
            <w:pPr>
              <w:ind w:left="0"/>
              <w:jc w:val="left"/>
              <w:spacing w:line="360" w:lineRule="auto"/>
              <w:widowControl w:val="off"/>
              <w:rPr>
                <w:rFonts w:ascii="宋体" w:hAnsi="宋体"/>
              </w:rPr>
            </w:pPr>
            <w:r>
              <w:rPr>
                <w:rFonts w:ascii="宋体" w:hAnsi="宋体"/>
              </w:rPr>
            </w:r>
            <w:r/>
          </w:p>
        </w:tc>
        <w:tc>
          <w:tcPr>
            <w:tcW w:w="709" w:type="dxa"/>
            <w:textDirection w:val="lrTb"/>
            <w:noWrap w:val="false"/>
          </w:tcPr>
          <w:p>
            <w:pPr>
              <w:ind w:left="0"/>
              <w:jc w:val="left"/>
              <w:spacing w:line="360" w:lineRule="auto"/>
              <w:widowControl w:val="off"/>
              <w:rPr>
                <w:rFonts w:ascii="宋体" w:hAnsi="宋体"/>
              </w:rPr>
            </w:pPr>
            <w:r>
              <w:rPr>
                <w:rFonts w:ascii="宋体" w:hAnsi="宋体"/>
              </w:rPr>
            </w:r>
            <w:r/>
          </w:p>
        </w:tc>
        <w:tc>
          <w:tcPr>
            <w:tcW w:w="708"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992" w:type="dxa"/>
            <w:textDirection w:val="lrTb"/>
            <w:noWrap w:val="false"/>
          </w:tcPr>
          <w:p>
            <w:pPr>
              <w:ind w:left="0"/>
              <w:jc w:val="left"/>
              <w:spacing w:line="360" w:lineRule="auto"/>
              <w:widowControl w:val="off"/>
              <w:rPr>
                <w:rFonts w:ascii="宋体" w:hAnsi="宋体"/>
              </w:rPr>
            </w:pPr>
            <w:r>
              <w:rPr>
                <w:rFonts w:ascii="宋体" w:hAnsi="宋体"/>
              </w:rPr>
            </w:r>
            <w:r/>
          </w:p>
        </w:tc>
      </w:tr>
      <w:tr>
        <w:trPr/>
        <w:tc>
          <w:tcPr>
            <w:tcW w:w="709" w:type="dxa"/>
            <w:textDirection w:val="lrTb"/>
            <w:noWrap w:val="false"/>
          </w:tcPr>
          <w:p>
            <w:pPr>
              <w:ind w:left="0"/>
              <w:jc w:val="center"/>
              <w:spacing w:line="360" w:lineRule="auto"/>
              <w:widowControl w:val="off"/>
              <w:rPr>
                <w:rFonts w:ascii="宋体" w:hAnsi="宋体"/>
              </w:rPr>
            </w:pPr>
            <w:r>
              <w:rPr>
                <w:rFonts w:hint="eastAsia" w:ascii="宋体" w:hAnsi="宋体"/>
                <w:sz w:val="21"/>
              </w:rPr>
              <w:t xml:space="preserve">2</w:t>
            </w:r>
            <w:r/>
          </w:p>
        </w:tc>
        <w:tc>
          <w:tcPr>
            <w:tcW w:w="1843" w:type="dxa"/>
            <w:textDirection w:val="lrTb"/>
            <w:noWrap w:val="false"/>
          </w:tcPr>
          <w:p>
            <w:pPr>
              <w:ind w:left="0"/>
              <w:jc w:val="left"/>
              <w:spacing w:line="360" w:lineRule="auto"/>
              <w:widowControl w:val="off"/>
              <w:rPr>
                <w:rFonts w:ascii="宋体" w:hAnsi="宋体"/>
              </w:rPr>
            </w:pPr>
            <w:r>
              <w:rPr>
                <w:rFonts w:ascii="宋体" w:hAnsi="宋体"/>
              </w:rPr>
            </w:r>
            <w:r/>
          </w:p>
        </w:tc>
        <w:tc>
          <w:tcPr>
            <w:tcW w:w="1134" w:type="dxa"/>
            <w:textDirection w:val="lrTb"/>
            <w:noWrap w:val="false"/>
          </w:tcPr>
          <w:p>
            <w:pPr>
              <w:ind w:left="0"/>
              <w:jc w:val="left"/>
              <w:spacing w:line="360" w:lineRule="auto"/>
              <w:widowControl w:val="off"/>
              <w:rPr>
                <w:rFonts w:ascii="宋体" w:hAnsi="宋体"/>
              </w:rPr>
            </w:pPr>
            <w:r>
              <w:rPr>
                <w:rFonts w:ascii="宋体" w:hAnsi="宋体"/>
              </w:rPr>
            </w:r>
            <w:r/>
          </w:p>
        </w:tc>
        <w:tc>
          <w:tcPr>
            <w:tcW w:w="709" w:type="dxa"/>
            <w:textDirection w:val="lrTb"/>
            <w:noWrap w:val="false"/>
          </w:tcPr>
          <w:p>
            <w:pPr>
              <w:ind w:left="0"/>
              <w:jc w:val="left"/>
              <w:spacing w:line="360" w:lineRule="auto"/>
              <w:widowControl w:val="off"/>
              <w:rPr>
                <w:rFonts w:ascii="宋体" w:hAnsi="宋体"/>
              </w:rPr>
            </w:pPr>
            <w:r>
              <w:rPr>
                <w:rFonts w:ascii="宋体" w:hAnsi="宋体"/>
              </w:rPr>
            </w:r>
            <w:r/>
          </w:p>
        </w:tc>
        <w:tc>
          <w:tcPr>
            <w:tcW w:w="708"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992" w:type="dxa"/>
            <w:textDirection w:val="lrTb"/>
            <w:noWrap w:val="false"/>
          </w:tcPr>
          <w:p>
            <w:pPr>
              <w:ind w:left="0"/>
              <w:jc w:val="left"/>
              <w:spacing w:line="360" w:lineRule="auto"/>
              <w:widowControl w:val="off"/>
              <w:rPr>
                <w:rFonts w:ascii="宋体" w:hAnsi="宋体"/>
              </w:rPr>
            </w:pPr>
            <w:r>
              <w:rPr>
                <w:rFonts w:ascii="宋体" w:hAnsi="宋体"/>
              </w:rPr>
            </w:r>
            <w:r/>
          </w:p>
        </w:tc>
      </w:tr>
      <w:tr>
        <w:trPr/>
        <w:tc>
          <w:tcPr>
            <w:tcW w:w="709" w:type="dxa"/>
            <w:textDirection w:val="lrTb"/>
            <w:noWrap w:val="false"/>
          </w:tcPr>
          <w:p>
            <w:pPr>
              <w:ind w:left="0"/>
              <w:jc w:val="center"/>
              <w:spacing w:line="360" w:lineRule="auto"/>
              <w:widowControl w:val="off"/>
              <w:rPr>
                <w:rFonts w:ascii="宋体" w:hAnsi="宋体"/>
              </w:rPr>
            </w:pPr>
            <w:r>
              <w:rPr>
                <w:rFonts w:hint="eastAsia" w:ascii="宋体" w:hAnsi="宋体"/>
                <w:sz w:val="21"/>
              </w:rPr>
              <w:t xml:space="preserve">3</w:t>
            </w:r>
            <w:r/>
          </w:p>
        </w:tc>
        <w:tc>
          <w:tcPr>
            <w:tcW w:w="1843" w:type="dxa"/>
            <w:textDirection w:val="lrTb"/>
            <w:noWrap w:val="false"/>
          </w:tcPr>
          <w:p>
            <w:pPr>
              <w:ind w:left="0"/>
              <w:jc w:val="left"/>
              <w:spacing w:line="360" w:lineRule="auto"/>
              <w:widowControl w:val="off"/>
              <w:rPr>
                <w:rFonts w:ascii="宋体" w:hAnsi="宋体"/>
              </w:rPr>
            </w:pPr>
            <w:r>
              <w:rPr>
                <w:rFonts w:ascii="宋体" w:hAnsi="宋体"/>
              </w:rPr>
            </w:r>
            <w:r/>
          </w:p>
        </w:tc>
        <w:tc>
          <w:tcPr>
            <w:tcW w:w="1134" w:type="dxa"/>
            <w:textDirection w:val="lrTb"/>
            <w:noWrap w:val="false"/>
          </w:tcPr>
          <w:p>
            <w:pPr>
              <w:ind w:left="0"/>
              <w:jc w:val="left"/>
              <w:spacing w:line="360" w:lineRule="auto"/>
              <w:widowControl w:val="off"/>
              <w:rPr>
                <w:rFonts w:ascii="宋体" w:hAnsi="宋体"/>
              </w:rPr>
            </w:pPr>
            <w:r>
              <w:rPr>
                <w:rFonts w:ascii="宋体" w:hAnsi="宋体"/>
              </w:rPr>
            </w:r>
            <w:r/>
          </w:p>
        </w:tc>
        <w:tc>
          <w:tcPr>
            <w:tcW w:w="709" w:type="dxa"/>
            <w:textDirection w:val="lrTb"/>
            <w:noWrap w:val="false"/>
          </w:tcPr>
          <w:p>
            <w:pPr>
              <w:ind w:left="0"/>
              <w:jc w:val="left"/>
              <w:spacing w:line="360" w:lineRule="auto"/>
              <w:widowControl w:val="off"/>
              <w:rPr>
                <w:rFonts w:ascii="宋体" w:hAnsi="宋体"/>
              </w:rPr>
            </w:pPr>
            <w:r>
              <w:rPr>
                <w:rFonts w:ascii="宋体" w:hAnsi="宋体"/>
              </w:rPr>
            </w:r>
            <w:r/>
          </w:p>
        </w:tc>
        <w:tc>
          <w:tcPr>
            <w:tcW w:w="708"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992" w:type="dxa"/>
            <w:textDirection w:val="lrTb"/>
            <w:noWrap w:val="false"/>
          </w:tcPr>
          <w:p>
            <w:pPr>
              <w:ind w:left="0"/>
              <w:jc w:val="left"/>
              <w:spacing w:line="360" w:lineRule="auto"/>
              <w:widowControl w:val="off"/>
              <w:rPr>
                <w:rFonts w:ascii="宋体" w:hAnsi="宋体"/>
              </w:rPr>
            </w:pPr>
            <w:r>
              <w:rPr>
                <w:rFonts w:ascii="宋体" w:hAnsi="宋体"/>
              </w:rPr>
            </w:r>
            <w:r/>
          </w:p>
        </w:tc>
      </w:tr>
      <w:tr>
        <w:trPr/>
        <w:tc>
          <w:tcPr>
            <w:tcW w:w="709" w:type="dxa"/>
            <w:textDirection w:val="lrTb"/>
            <w:noWrap w:val="false"/>
          </w:tcPr>
          <w:p>
            <w:pPr>
              <w:ind w:left="0"/>
              <w:jc w:val="center"/>
              <w:spacing w:line="360" w:lineRule="auto"/>
              <w:widowControl w:val="off"/>
              <w:rPr>
                <w:rFonts w:ascii="宋体" w:hAnsi="宋体"/>
              </w:rPr>
            </w:pPr>
            <w:r>
              <w:rPr>
                <w:rFonts w:ascii="宋体" w:hAnsi="宋体"/>
                <w:sz w:val="21"/>
              </w:rPr>
              <w:t xml:space="preserve">…</w:t>
            </w:r>
            <w:r/>
          </w:p>
        </w:tc>
        <w:tc>
          <w:tcPr>
            <w:tcW w:w="1843" w:type="dxa"/>
            <w:textDirection w:val="lrTb"/>
            <w:noWrap w:val="false"/>
          </w:tcPr>
          <w:p>
            <w:pPr>
              <w:ind w:left="0"/>
              <w:jc w:val="left"/>
              <w:spacing w:line="360" w:lineRule="auto"/>
              <w:widowControl w:val="off"/>
              <w:rPr>
                <w:rFonts w:ascii="宋体" w:hAnsi="宋体"/>
              </w:rPr>
            </w:pPr>
            <w:r>
              <w:rPr>
                <w:rFonts w:ascii="宋体" w:hAnsi="宋体"/>
              </w:rPr>
            </w:r>
            <w:r/>
          </w:p>
        </w:tc>
        <w:tc>
          <w:tcPr>
            <w:tcW w:w="1134" w:type="dxa"/>
            <w:textDirection w:val="lrTb"/>
            <w:noWrap w:val="false"/>
          </w:tcPr>
          <w:p>
            <w:pPr>
              <w:ind w:left="0"/>
              <w:jc w:val="left"/>
              <w:spacing w:line="360" w:lineRule="auto"/>
              <w:widowControl w:val="off"/>
              <w:rPr>
                <w:rFonts w:ascii="宋体" w:hAnsi="宋体"/>
              </w:rPr>
            </w:pPr>
            <w:r>
              <w:rPr>
                <w:rFonts w:ascii="宋体" w:hAnsi="宋体"/>
              </w:rPr>
            </w:r>
            <w:r/>
          </w:p>
        </w:tc>
        <w:tc>
          <w:tcPr>
            <w:tcW w:w="709" w:type="dxa"/>
            <w:textDirection w:val="lrTb"/>
            <w:noWrap w:val="false"/>
          </w:tcPr>
          <w:p>
            <w:pPr>
              <w:ind w:left="0"/>
              <w:jc w:val="left"/>
              <w:spacing w:line="360" w:lineRule="auto"/>
              <w:widowControl w:val="off"/>
              <w:rPr>
                <w:rFonts w:ascii="宋体" w:hAnsi="宋体"/>
              </w:rPr>
            </w:pPr>
            <w:r>
              <w:rPr>
                <w:rFonts w:ascii="宋体" w:hAnsi="宋体"/>
              </w:rPr>
            </w:r>
            <w:r/>
          </w:p>
        </w:tc>
        <w:tc>
          <w:tcPr>
            <w:tcW w:w="708"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1276" w:type="dxa"/>
            <w:textDirection w:val="lrTb"/>
            <w:noWrap w:val="false"/>
          </w:tcPr>
          <w:p>
            <w:pPr>
              <w:ind w:left="0"/>
              <w:jc w:val="left"/>
              <w:spacing w:line="360" w:lineRule="auto"/>
              <w:widowControl w:val="off"/>
              <w:rPr>
                <w:rFonts w:ascii="宋体" w:hAnsi="宋体"/>
              </w:rPr>
            </w:pPr>
            <w:r>
              <w:rPr>
                <w:rFonts w:ascii="宋体" w:hAnsi="宋体"/>
              </w:rPr>
            </w:r>
            <w:r/>
          </w:p>
        </w:tc>
        <w:tc>
          <w:tcPr>
            <w:tcW w:w="992" w:type="dxa"/>
            <w:textDirection w:val="lrTb"/>
            <w:noWrap w:val="false"/>
          </w:tcPr>
          <w:p>
            <w:pPr>
              <w:ind w:left="0"/>
              <w:jc w:val="left"/>
              <w:spacing w:line="360" w:lineRule="auto"/>
              <w:widowControl w:val="off"/>
              <w:rPr>
                <w:rFonts w:ascii="宋体" w:hAnsi="宋体"/>
              </w:rPr>
            </w:pPr>
            <w:r>
              <w:rPr>
                <w:rFonts w:ascii="宋体" w:hAnsi="宋体"/>
              </w:rPr>
            </w:r>
            <w:r/>
          </w:p>
        </w:tc>
      </w:tr>
    </w:tbl>
    <w:p>
      <w:pPr>
        <w:ind w:left="0" w:firstLine="420"/>
        <w:spacing w:line="360" w:lineRule="auto"/>
        <w:rPr>
          <w:rFonts w:ascii="宋体" w:hAnsi="宋体"/>
          <w:sz w:val="21"/>
        </w:rPr>
      </w:pPr>
      <w:r>
        <w:rPr>
          <w:rFonts w:hint="eastAsia" w:ascii="宋体" w:hAnsi="宋体"/>
          <w:sz w:val="21"/>
        </w:rPr>
        <w:t xml:space="preserve">（二）交付期限：24个月，开始时间以采购单位通知为准。</w:t>
      </w:r>
      <w:r/>
    </w:p>
    <w:p>
      <w:pPr>
        <w:ind w:left="0" w:firstLine="420"/>
        <w:spacing w:line="360" w:lineRule="auto"/>
        <w:rPr>
          <w:rFonts w:ascii="宋体" w:hAnsi="宋体"/>
          <w:sz w:val="21"/>
        </w:rPr>
      </w:pPr>
      <w:r>
        <w:rPr>
          <w:rFonts w:hint="eastAsia" w:ascii="宋体" w:hAnsi="宋体"/>
          <w:sz w:val="21"/>
        </w:rPr>
        <w:t xml:space="preserve">（三）交付地点：甲方指定地点。</w:t>
      </w:r>
      <w:r/>
    </w:p>
    <w:p>
      <w:pPr>
        <w:ind w:left="0" w:firstLine="420"/>
        <w:spacing w:line="360" w:lineRule="auto"/>
        <w:rPr>
          <w:rFonts w:ascii="宋体" w:hAnsi="宋体"/>
        </w:rPr>
      </w:pPr>
      <w:r>
        <w:rPr>
          <w:rFonts w:hint="eastAsia" w:ascii="宋体" w:hAnsi="宋体"/>
          <w:sz w:val="21"/>
        </w:rPr>
        <w:t xml:space="preserve">（四）质保期：</w:t>
      </w:r>
      <w:r>
        <w:rPr>
          <w:rFonts w:hint="eastAsia" w:ascii="宋体" w:hAnsi="宋体"/>
          <w:sz w:val="21"/>
          <w:u w:val="single"/>
        </w:rPr>
        <w:t xml:space="preserve">  </w:t>
      </w:r>
      <w:r>
        <w:rPr>
          <w:rFonts w:hint="eastAsia" w:ascii="宋体" w:hAnsi="宋体"/>
          <w:sz w:val="21"/>
        </w:rPr>
        <w:t xml:space="preserve">年，免费质量保证期从货物供货、安装、调试正常且经甲方最终验收通过之日起算。</w:t>
      </w:r>
      <w:r/>
    </w:p>
    <w:p>
      <w:pPr>
        <w:ind w:left="0" w:firstLine="420"/>
        <w:spacing w:line="360" w:lineRule="auto"/>
        <w:rPr>
          <w:rFonts w:ascii="宋体" w:hAnsi="宋体"/>
          <w:sz w:val="21"/>
        </w:rPr>
      </w:pPr>
      <w:r>
        <w:rPr>
          <w:rFonts w:hint="eastAsia" w:ascii="宋体" w:hAnsi="宋体"/>
          <w:sz w:val="21"/>
        </w:rPr>
        <w:t xml:space="preserve">三、价格与支付</w:t>
      </w:r>
      <w:r/>
    </w:p>
    <w:p>
      <w:pPr>
        <w:ind w:left="0" w:firstLine="420"/>
        <w:spacing w:line="360" w:lineRule="auto"/>
        <w:rPr>
          <w:rFonts w:ascii="宋体" w:hAnsi="宋体"/>
        </w:rPr>
      </w:pPr>
      <w:r>
        <w:rPr>
          <w:rFonts w:hint="eastAsia" w:ascii="宋体" w:hAnsi="宋体"/>
          <w:sz w:val="21"/>
        </w:rPr>
        <w:t xml:space="preserve">（一）本合同金额按此次中标（成交）价格执行，本合同总金</w:t>
      </w:r>
      <w:r>
        <w:rPr>
          <w:rFonts w:hint="eastAsia" w:ascii="宋体" w:hAnsi="宋体"/>
          <w:sz w:val="21"/>
        </w:rPr>
        <w:t xml:space="preserve">额（含税）为人民币（大写       ）（¥：   ）。上述合同总金额已包括响应产品、安装辅材及其备品备件和专用工具费用、税费、包装、运至最终目的地的运输、保险、现场安装调试、检测验收、检测费、技术支持与培训、质保和售后服务及相关劳务支出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乙方所报价格在本合同实施期间不因市场变化因素而变动。</w:t>
      </w:r>
      <w:r/>
    </w:p>
    <w:p>
      <w:pPr>
        <w:ind w:left="0" w:firstLine="420"/>
        <w:spacing w:line="360" w:lineRule="auto"/>
        <w:rPr>
          <w:rFonts w:ascii="宋体" w:hAnsi="宋体"/>
        </w:rPr>
      </w:pPr>
      <w:r>
        <w:rPr>
          <w:rFonts w:hint="eastAsia" w:ascii="宋体" w:hAnsi="宋体"/>
          <w:sz w:val="21"/>
        </w:rPr>
        <w:t xml:space="preserve">（二）合同价款的支付及付款方式：</w:t>
      </w:r>
      <w:r/>
    </w:p>
    <w:p>
      <w:pPr>
        <w:ind w:left="0" w:firstLine="420"/>
        <w:spacing w:line="360" w:lineRule="auto"/>
        <w:rPr>
          <w:rFonts w:ascii="宋体" w:hAnsi="宋体"/>
        </w:rPr>
      </w:pPr>
      <w:r>
        <w:rPr>
          <w:rFonts w:hint="eastAsia" w:ascii="宋体" w:hAnsi="宋体"/>
          <w:sz w:val="21"/>
        </w:rPr>
        <w:t xml:space="preserve">1、付款步骤：</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）本合同服务期为二年；</w:t>
      </w:r>
      <w:r/>
    </w:p>
    <w:p>
      <w:pPr>
        <w:ind w:left="0" w:firstLine="420"/>
        <w:spacing w:line="360" w:lineRule="auto"/>
        <w:rPr>
          <w:rFonts w:ascii="宋体" w:hAnsi="宋体"/>
          <w:sz w:val="21"/>
        </w:rPr>
      </w:pPr>
      <w:r>
        <w:rPr>
          <w:rFonts w:hint="eastAsia" w:ascii="宋体" w:hAnsi="宋体"/>
          <w:sz w:val="21"/>
        </w:rPr>
        <w:t xml:space="preserve">（2）第一年：合同签订后的30日内，甲方向乙方支付第一年应付上限金额的30%作为预付款,服务半年度、第三季度、第四季度结束后，甲方应根据乙方实际交付内容进行验收，验收通过后按实际完成结算金额支付进度款</w:t>
      </w:r>
      <w:r>
        <w:rPr>
          <w:rFonts w:hint="eastAsia" w:ascii="宋体" w:hAnsi="宋体"/>
          <w:sz w:val="21"/>
        </w:rPr>
        <w:t xml:space="preserve">（结算时从预付款中抵扣应付费用，多退少补）</w:t>
      </w:r>
      <w:r>
        <w:rPr>
          <w:rFonts w:hint="eastAsia" w:ascii="宋体" w:hAnsi="宋体"/>
          <w:sz w:val="21"/>
        </w:rPr>
        <w:t xml:space="preserve">，</w:t>
      </w:r>
      <w:r>
        <w:rPr>
          <w:rFonts w:hint="eastAsia" w:ascii="宋体" w:hAnsi="宋体"/>
          <w:sz w:val="21"/>
        </w:rPr>
        <w:t xml:space="preserve">第</w:t>
      </w:r>
      <w:bookmarkStart w:id="109" w:name="_GoBack"/>
      <w:r/>
      <w:bookmarkEnd w:id="109"/>
      <w:r>
        <w:rPr>
          <w:rFonts w:hint="eastAsia" w:ascii="宋体" w:hAnsi="宋体"/>
          <w:sz w:val="21"/>
        </w:rPr>
        <w:t xml:space="preserve">一自然年服务结束后开展年度验收</w:t>
      </w:r>
      <w:r>
        <w:rPr>
          <w:rFonts w:hint="eastAsia" w:ascii="宋体" w:hAnsi="宋体"/>
          <w:sz w:val="21"/>
        </w:rPr>
        <w:t xml:space="preserve">，验收通过后方可继续开展第二自然年合同。</w:t>
      </w:r>
      <w:r/>
    </w:p>
    <w:p>
      <w:pPr>
        <w:ind w:left="0" w:firstLine="420"/>
        <w:spacing w:line="360" w:lineRule="auto"/>
        <w:rPr>
          <w:rFonts w:ascii="宋体" w:hAnsi="宋体"/>
          <w:sz w:val="21"/>
        </w:rPr>
      </w:pPr>
      <w:r>
        <w:rPr>
          <w:rFonts w:hint="eastAsia" w:ascii="宋体" w:hAnsi="宋体"/>
          <w:sz w:val="21"/>
        </w:rPr>
        <w:t xml:space="preserve">（3）第二年：参照第一年执行，支付相应预付款及进度款，其中最后一期支付款项需在完成最终验收通过后支付。</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本合同实际支付金额以实际结算为准，但不得超过本项目中标金额。</w:t>
      </w:r>
      <w:r/>
    </w:p>
    <w:p>
      <w:pPr>
        <w:ind w:left="0" w:firstLine="422"/>
        <w:spacing w:line="360" w:lineRule="auto"/>
        <w:rPr>
          <w:rFonts w:ascii="宋体" w:hAnsi="宋体"/>
          <w:highlight w:val="yellow"/>
        </w:rPr>
      </w:pPr>
      <w:r>
        <w:rPr>
          <w:rFonts w:hint="eastAsia" w:ascii="宋体" w:hAnsi="宋体"/>
          <w:b/>
          <w:bCs/>
          <w:sz w:val="21"/>
        </w:rPr>
        <w:t xml:space="preserve">（注：上文中上限金额为合同总金额的50%）</w:t>
      </w:r>
      <w:r/>
    </w:p>
    <w:p>
      <w:pPr>
        <w:ind w:left="0" w:firstLine="420"/>
        <w:spacing w:line="360" w:lineRule="auto"/>
        <w:rPr>
          <w:rFonts w:ascii="宋体" w:hAnsi="宋体"/>
        </w:rPr>
      </w:pPr>
      <w:r>
        <w:rPr>
          <w:rFonts w:hint="eastAsia" w:ascii="宋体" w:hAnsi="宋体"/>
          <w:sz w:val="21"/>
        </w:rPr>
        <w:t xml:space="preserve">2、乙方提请甲方付款前，应提供以下资料：</w:t>
      </w:r>
      <w:r/>
    </w:p>
    <w:p>
      <w:pPr>
        <w:ind w:left="0" w:firstLine="420"/>
        <w:spacing w:line="360" w:lineRule="auto"/>
        <w:rPr>
          <w:rFonts w:ascii="宋体" w:hAnsi="宋体"/>
        </w:rPr>
      </w:pPr>
      <w:r>
        <w:rPr>
          <w:rFonts w:hint="eastAsia" w:ascii="宋体" w:hAnsi="宋体"/>
          <w:sz w:val="21"/>
        </w:rPr>
        <w:t xml:space="preserve">（1）合法有效且符合甲方要求的发票；</w:t>
      </w:r>
      <w:r/>
    </w:p>
    <w:p>
      <w:pPr>
        <w:ind w:left="0" w:firstLine="420"/>
        <w:spacing w:line="360" w:lineRule="auto"/>
        <w:rPr>
          <w:rFonts w:ascii="宋体" w:hAnsi="宋体"/>
        </w:rPr>
      </w:pPr>
      <w:r>
        <w:rPr>
          <w:rFonts w:hint="eastAsia" w:ascii="宋体" w:hAnsi="宋体"/>
          <w:sz w:val="21"/>
        </w:rPr>
        <w:t xml:space="preserve">（2）随标的物附带的所有有关资料（如质量保证书等）；</w:t>
      </w:r>
      <w:r/>
    </w:p>
    <w:p>
      <w:pPr>
        <w:ind w:left="0" w:firstLine="420"/>
        <w:spacing w:line="360" w:lineRule="auto"/>
        <w:rPr>
          <w:rFonts w:ascii="宋体" w:hAnsi="宋体"/>
        </w:rPr>
      </w:pPr>
      <w:r>
        <w:rPr>
          <w:rFonts w:hint="eastAsia" w:ascii="宋体" w:hAnsi="宋体"/>
          <w:sz w:val="21"/>
        </w:rPr>
        <w:t xml:space="preserve">（3）由甲乙双方的《政府采购合同履行验收报告》</w:t>
      </w:r>
      <w:bookmarkStart w:id="110" w:name="_Hlk55398906"/>
      <w:r>
        <w:rPr>
          <w:rFonts w:hint="eastAsia" w:ascii="宋体" w:hAnsi="宋体"/>
          <w:sz w:val="21"/>
        </w:rPr>
        <w:t xml:space="preserve">（《政府采购合同履行验收报告》于本项目经甲方验收后提供）</w:t>
      </w:r>
      <w:bookmarkEnd w:id="110"/>
      <w:r>
        <w:rPr>
          <w:rFonts w:hint="eastAsia" w:ascii="宋体" w:hAnsi="宋体"/>
          <w:sz w:val="21"/>
        </w:rPr>
        <w:t xml:space="preserve">。</w:t>
      </w:r>
      <w:r/>
    </w:p>
    <w:p>
      <w:pPr>
        <w:ind w:left="0" w:firstLine="420"/>
        <w:spacing w:line="360" w:lineRule="auto"/>
        <w:rPr>
          <w:rFonts w:ascii="宋体" w:hAnsi="宋体"/>
        </w:rPr>
      </w:pPr>
      <w:r>
        <w:rPr>
          <w:rFonts w:hint="eastAsia" w:ascii="宋体" w:hAnsi="宋体"/>
          <w:sz w:val="21"/>
        </w:rPr>
        <w:t xml:space="preserve">若乙方未按要求提供上述资料导致甲方迟延付款的，甲方不承担逾期付款的违约责任。</w:t>
      </w:r>
      <w:r/>
    </w:p>
    <w:p>
      <w:pPr>
        <w:pStyle w:val="1378"/>
        <w:numPr>
          <w:ilvl w:val="0"/>
          <w:numId w:val="1"/>
        </w:numPr>
        <w:spacing w:after="160" w:line="360" w:lineRule="auto"/>
        <w:rPr>
          <w:rFonts w:ascii="宋体" w:hAnsi="宋体"/>
          <w:sz w:val="21"/>
          <w:szCs w:val="21"/>
        </w:rPr>
      </w:pPr>
      <w:r>
        <w:rPr>
          <w:rFonts w:hint="eastAsia" w:ascii="宋体" w:hAnsi="宋体"/>
          <w:sz w:val="21"/>
          <w:szCs w:val="21"/>
        </w:rPr>
        <w:t xml:space="preserve">付款方式：</w:t>
      </w:r>
      <w:r>
        <w:rPr>
          <w:rFonts w:hint="eastAsia"/>
          <w:sz w:val="21"/>
          <w:szCs w:val="21"/>
        </w:rPr>
        <w:t xml:space="preserve">数字人民币或银行转账</w:t>
      </w:r>
      <w:r>
        <w:rPr>
          <w:rFonts w:hint="eastAsia" w:ascii="宋体" w:hAnsi="宋体"/>
          <w:sz w:val="21"/>
          <w:szCs w:val="21"/>
        </w:rPr>
        <w:t xml:space="preserve">。</w:t>
      </w:r>
      <w:r/>
    </w:p>
    <w:p>
      <w:pPr>
        <w:ind w:left="400"/>
        <w:spacing w:line="360" w:lineRule="auto"/>
        <w:rPr>
          <w:rFonts w:ascii="宋体" w:hAnsi="宋体"/>
        </w:rPr>
      </w:pPr>
      <w:r>
        <w:rPr>
          <w:rFonts w:hint="eastAsia" w:ascii="宋体" w:hAnsi="宋体"/>
          <w:sz w:val="21"/>
        </w:rPr>
        <w:t xml:space="preserve">（1）乙方数字人民币账户信息如下：</w:t>
      </w:r>
      <w:r/>
    </w:p>
    <w:p>
      <w:pPr>
        <w:ind w:left="0" w:firstLine="420"/>
        <w:spacing w:line="360" w:lineRule="auto"/>
        <w:rPr>
          <w:rFonts w:ascii="宋体" w:hAnsi="宋体"/>
        </w:rPr>
      </w:pPr>
      <w:r>
        <w:rPr>
          <w:rFonts w:hint="eastAsia" w:ascii="宋体" w:hAnsi="宋体"/>
          <w:sz w:val="21"/>
        </w:rPr>
        <w:t xml:space="preserve">开户名称：</w:t>
      </w:r>
      <w:r/>
    </w:p>
    <w:p>
      <w:pPr>
        <w:ind w:left="0" w:firstLine="420"/>
        <w:spacing w:line="360" w:lineRule="auto"/>
        <w:rPr>
          <w:rFonts w:ascii="宋体" w:hAnsi="宋体"/>
        </w:rPr>
      </w:pPr>
      <w:r>
        <w:rPr>
          <w:rFonts w:hint="eastAsia" w:ascii="宋体" w:hAnsi="宋体"/>
          <w:sz w:val="21"/>
        </w:rPr>
        <w:t xml:space="preserve">开户银行：</w:t>
      </w:r>
      <w:r/>
    </w:p>
    <w:p>
      <w:pPr>
        <w:ind w:left="0" w:firstLine="420"/>
        <w:spacing w:line="360" w:lineRule="auto"/>
        <w:rPr>
          <w:rFonts w:ascii="宋体" w:hAnsi="宋体"/>
        </w:rPr>
      </w:pPr>
      <w:r>
        <w:rPr>
          <w:rFonts w:hint="eastAsia" w:ascii="宋体" w:hAnsi="宋体"/>
          <w:sz w:val="21"/>
        </w:rPr>
        <w:t xml:space="preserve">数字人民币账号（数币钱包ID）：</w:t>
      </w:r>
      <w:r/>
    </w:p>
    <w:p>
      <w:pPr>
        <w:ind w:left="0" w:firstLine="420"/>
        <w:spacing w:line="360" w:lineRule="auto"/>
        <w:rPr>
          <w:rFonts w:ascii="宋体" w:hAnsi="宋体"/>
        </w:rPr>
      </w:pPr>
      <w:r>
        <w:rPr>
          <w:rFonts w:hint="eastAsia" w:ascii="宋体" w:hAnsi="宋体"/>
          <w:sz w:val="21"/>
        </w:rPr>
        <w:t xml:space="preserve">（2）乙方银行转账账户信息如下：</w:t>
      </w:r>
      <w:r/>
    </w:p>
    <w:p>
      <w:pPr>
        <w:ind w:left="0" w:firstLine="420"/>
        <w:spacing w:line="360" w:lineRule="auto"/>
        <w:rPr>
          <w:rFonts w:ascii="宋体" w:hAnsi="宋体"/>
        </w:rPr>
      </w:pPr>
      <w:r>
        <w:rPr>
          <w:rFonts w:hint="eastAsia" w:ascii="宋体" w:hAnsi="宋体"/>
          <w:sz w:val="21"/>
        </w:rPr>
        <w:t xml:space="preserve">开户名称： </w:t>
      </w:r>
      <w:r/>
    </w:p>
    <w:p>
      <w:pPr>
        <w:ind w:left="0" w:firstLine="420"/>
        <w:spacing w:line="360" w:lineRule="auto"/>
        <w:rPr>
          <w:rFonts w:ascii="宋体" w:hAnsi="宋体"/>
        </w:rPr>
      </w:pPr>
      <w:r>
        <w:rPr>
          <w:rFonts w:hint="eastAsia" w:ascii="宋体" w:hAnsi="宋体"/>
          <w:sz w:val="21"/>
        </w:rPr>
        <w:t xml:space="preserve">开户银行：  </w:t>
      </w:r>
      <w:r/>
    </w:p>
    <w:p>
      <w:pPr>
        <w:ind w:left="0" w:firstLine="420"/>
        <w:spacing w:line="360" w:lineRule="auto"/>
        <w:rPr>
          <w:rFonts w:ascii="宋体" w:hAnsi="宋体"/>
        </w:rPr>
      </w:pPr>
      <w:r>
        <w:rPr>
          <w:rFonts w:hint="eastAsia" w:ascii="宋体" w:hAnsi="宋体"/>
          <w:sz w:val="21"/>
        </w:rPr>
        <w:t xml:space="preserve">银行账号：</w:t>
      </w:r>
      <w:r/>
    </w:p>
    <w:p>
      <w:pPr>
        <w:ind w:left="0" w:firstLine="420"/>
        <w:spacing w:line="360" w:lineRule="auto"/>
        <w:rPr>
          <w:rFonts w:ascii="宋体" w:hAnsi="宋体"/>
        </w:rPr>
      </w:pPr>
      <w:r>
        <w:rPr>
          <w:rFonts w:hint="eastAsia" w:ascii="宋体" w:hAnsi="宋体"/>
          <w:sz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向甲方主张权利的，甲方因处理此次纠纷而产生的案件诉讼费、第三人主张的违约金、利息损失、律师费、保全费、保函费、鉴定费等均由乙方承担。</w:t>
      </w:r>
      <w:r/>
    </w:p>
    <w:p>
      <w:pPr>
        <w:ind w:left="0" w:firstLine="420"/>
        <w:spacing w:line="360" w:lineRule="auto"/>
        <w:rPr>
          <w:rFonts w:ascii="宋体" w:hAnsi="宋体"/>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根据现行税法对甲方征收的与本合同有关的一切税费均由甲方承担；根据现行税法对乙方征收的与本合同有关的一切税费均由乙方承担。</w:t>
      </w:r>
      <w:r/>
    </w:p>
    <w:p>
      <w:pPr>
        <w:ind w:left="0" w:firstLine="420"/>
        <w:spacing w:line="360" w:lineRule="auto"/>
        <w:rPr>
          <w:rFonts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本合同最终金额以结算金额为准。</w:t>
      </w:r>
      <w:r>
        <w:rPr>
          <w:rFonts w:hint="eastAsia" w:ascii="宋体" w:hAnsi="宋体"/>
          <w:sz w:val="21"/>
        </w:rPr>
        <w:t xml:space="preserve">评审过程中，乙方应按甲方要求提供相应材料，甲方认为乙方提交的材料缺失、不合理或有误的，乙方应限期补正，且乙方补正并符合甲方要求前，甲方有权迟延付款，并不承担逾期付款的违约责任。如双方对评审标准、程序有争议的，则优先适用甲方所在地的地方标准（包括甲方主管机关、财政部门、审计部门等通行的标准、程序），如无地方标准的，适用行业标准，没有行业标准的，按照通常标准或者符合合同目的的特定标准履行。</w:t>
      </w:r>
      <w:r/>
    </w:p>
    <w:p>
      <w:pPr>
        <w:ind w:left="0" w:firstLine="420"/>
        <w:spacing w:line="360" w:lineRule="auto"/>
        <w:rPr>
          <w:rFonts w:ascii="宋体" w:hAnsi="宋体"/>
        </w:rPr>
      </w:pPr>
      <w:r>
        <w:rPr>
          <w:rFonts w:hint="eastAsia" w:ascii="宋体" w:hAnsi="宋体"/>
          <w:sz w:val="21"/>
        </w:rPr>
        <w:t xml:space="preserve">（三）履约保证金</w:t>
      </w:r>
      <w:r/>
    </w:p>
    <w:p>
      <w:pPr>
        <w:ind w:left="0" w:firstLine="420"/>
        <w:spacing w:line="360" w:lineRule="auto"/>
        <w:rPr>
          <w:rFonts w:ascii="宋体" w:hAnsi="宋体"/>
        </w:rPr>
      </w:pPr>
      <w:r>
        <w:rPr>
          <w:rFonts w:hint="eastAsia" w:ascii="宋体" w:hAnsi="宋体"/>
          <w:sz w:val="21"/>
        </w:rPr>
        <w:t xml:space="preserve">履约保证金金额为：合同总金额的【10】%；即人民币大写圆整（小写￥        ）。</w:t>
      </w:r>
      <w:r/>
    </w:p>
    <w:p>
      <w:pPr>
        <w:ind w:left="0" w:firstLine="420"/>
        <w:spacing w:line="360" w:lineRule="auto"/>
        <w:rPr>
          <w:rFonts w:ascii="宋体" w:hAnsi="宋体"/>
        </w:rPr>
      </w:pPr>
      <w:r>
        <w:rPr>
          <w:rFonts w:hint="eastAsia" w:ascii="宋体" w:hAnsi="宋体"/>
          <w:sz w:val="21"/>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w:t>
      </w:r>
      <w:r>
        <w:rPr>
          <w:rFonts w:hint="eastAsia" w:ascii="宋体" w:hAnsi="宋体"/>
          <w:sz w:val="21"/>
        </w:rPr>
        <w:t xml:space="preserve">】的违约金，给甲方造成损失的，乙方应赔偿甲方一切直接、间接损失。（履约保证金的有效期限应不早于项目服务期限结束之前，请乙方合理选择履约保证金形式。）在服务期满、服务缺陷全部更正完毕，且甲方收到乙方提供的经双方签章的《政府采购合同履行验收书》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rPr>
          <w:rFonts w:ascii="宋体" w:hAnsi="宋体"/>
        </w:rPr>
      </w:pPr>
      <w:r>
        <w:rPr>
          <w:rFonts w:hint="eastAsia" w:ascii="宋体" w:hAnsi="宋体"/>
          <w:sz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firstLine="420"/>
        <w:spacing w:line="360" w:lineRule="auto"/>
        <w:rPr>
          <w:rFonts w:ascii="宋体" w:hAnsi="宋体"/>
        </w:rPr>
      </w:pPr>
      <w:r>
        <w:rPr>
          <w:rFonts w:hint="eastAsia" w:ascii="宋体" w:hAnsi="宋体"/>
          <w:sz w:val="21"/>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rPr>
          <w:rFonts w:ascii="宋体" w:hAnsi="宋体"/>
          <w:b/>
          <w:bCs/>
        </w:rPr>
      </w:pPr>
      <w:r>
        <w:rPr>
          <w:rFonts w:hint="eastAsia" w:ascii="宋体" w:hAnsi="宋体"/>
          <w:b/>
          <w:bCs/>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rPr>
          <w:rFonts w:ascii="宋体" w:hAnsi="宋体"/>
          <w:b/>
          <w:bCs/>
        </w:rPr>
      </w:pPr>
      <w:r>
        <w:rPr>
          <w:rFonts w:hint="eastAsia" w:ascii="宋体" w:hAnsi="宋体"/>
          <w:b/>
          <w:bCs/>
          <w:sz w:val="21"/>
        </w:rPr>
        <w:t xml:space="preserve">四、质量保证</w:t>
      </w:r>
      <w:r/>
    </w:p>
    <w:p>
      <w:pPr>
        <w:ind w:left="0" w:firstLine="420"/>
        <w:spacing w:line="360" w:lineRule="auto"/>
        <w:rPr>
          <w:rFonts w:ascii="宋体" w:hAnsi="宋体"/>
        </w:rPr>
      </w:pPr>
      <w:r>
        <w:rPr>
          <w:rFonts w:hint="eastAsia" w:ascii="宋体" w:hAnsi="宋体"/>
          <w:sz w:val="21"/>
        </w:rPr>
        <w:t xml:space="preserve">（一）乙方应保证其向甲方提供的标的物是全新的、未使用过的，并且是非长期积压的库存商品，完全符合合同规定的质量、规格和性能的要求。乙方应保证其提供的标的物在正确安装、正常使用和保养条件下，在其标称的使用寿命期内应具有良好的性能。在乙方承诺的质量保证期限内，乙方应对由于设计、工艺或材料的缺陷及伴随服务而造成的任何不足或故障负责。质保期内标的物出现质量问题的，乙方应负责包修、包退、包换，由此产生的一切费用均由乙方承担。</w:t>
      </w:r>
      <w:r/>
    </w:p>
    <w:p>
      <w:pPr>
        <w:ind w:left="0" w:firstLine="420"/>
        <w:spacing w:line="360" w:lineRule="auto"/>
        <w:rPr>
          <w:rFonts w:ascii="宋体" w:hAnsi="宋体"/>
        </w:rPr>
      </w:pPr>
      <w:r>
        <w:rPr>
          <w:rFonts w:hint="eastAsia" w:ascii="宋体" w:hAnsi="宋体"/>
          <w:sz w:val="21"/>
        </w:rPr>
        <w:t xml:space="preserve">（二）乙方应按照本合同约定的质量标准提供合格的产品，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rPr>
          <w:rFonts w:ascii="宋体" w:hAnsi="宋体"/>
        </w:rPr>
      </w:pPr>
      <w:r>
        <w:rPr>
          <w:rFonts w:hint="eastAsia" w:ascii="宋体" w:hAnsi="宋体"/>
          <w:sz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rPr>
          <w:rFonts w:ascii="宋体" w:hAnsi="宋体"/>
        </w:rPr>
      </w:pPr>
      <w:r>
        <w:rPr>
          <w:rFonts w:hint="eastAsia" w:ascii="宋体" w:hAnsi="宋体"/>
          <w:sz w:val="21"/>
        </w:rPr>
        <w:t xml:space="preserve">（四）</w:t>
      </w:r>
      <w:bookmarkStart w:id="111" w:name="_Hlk32483710"/>
      <w:r>
        <w:rPr>
          <w:rFonts w:hint="eastAsia" w:ascii="宋体" w:hAnsi="宋体"/>
          <w:sz w:val="21"/>
        </w:rPr>
        <w:t xml:space="preserve">乙方应保证对其提供的标的物享有合法的权利，在其提供的标的物上不存在任何未曾向甲方披露的担保物权，如抵押权、质押权、留置权等。乙方应保证甲方在使用该标的物或其任何一部分时不受第三方提出侵犯其专利权、版权、商标权或其他权利的诉讼。如甲方在使用乙方提供的标的物构成上述侵权的，乙方应承担全部责任，并赔偿由此给甲方造成的一切直接、间接损失。</w:t>
      </w:r>
      <w:bookmarkEnd w:id="111"/>
      <w:r/>
      <w:r/>
    </w:p>
    <w:p>
      <w:pPr>
        <w:ind w:left="0" w:firstLine="422"/>
        <w:spacing w:line="360" w:lineRule="auto"/>
        <w:rPr>
          <w:rFonts w:ascii="宋体" w:hAnsi="宋体"/>
          <w:b/>
          <w:bCs/>
        </w:rPr>
      </w:pPr>
      <w:r>
        <w:rPr>
          <w:rFonts w:hint="eastAsia" w:ascii="宋体" w:hAnsi="宋体"/>
          <w:b/>
          <w:bCs/>
          <w:sz w:val="21"/>
        </w:rPr>
        <w:t xml:space="preserve">五、包装</w:t>
      </w:r>
      <w:r/>
    </w:p>
    <w:p>
      <w:pPr>
        <w:ind w:left="0" w:firstLine="420"/>
        <w:spacing w:line="360" w:lineRule="auto"/>
        <w:rPr>
          <w:rFonts w:ascii="宋体" w:hAnsi="宋体"/>
        </w:rPr>
      </w:pPr>
      <w:r>
        <w:rPr>
          <w:rFonts w:hint="eastAsia" w:ascii="宋体" w:hAnsi="宋体"/>
          <w:sz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rPr>
          <w:rFonts w:ascii="宋体" w:hAnsi="宋体"/>
        </w:rPr>
      </w:pPr>
      <w:r>
        <w:rPr>
          <w:rFonts w:hint="eastAsia" w:ascii="宋体" w:hAnsi="宋体"/>
          <w:sz w:val="21"/>
        </w:rPr>
        <w:t xml:space="preserve">（二）乙方应保证其提供的标的物是原包装未拆封的商品，在交付甲方验收前不得拆箱。</w:t>
      </w:r>
      <w:r/>
    </w:p>
    <w:p>
      <w:pPr>
        <w:ind w:left="0" w:firstLine="422"/>
        <w:spacing w:line="360" w:lineRule="auto"/>
        <w:rPr>
          <w:rFonts w:ascii="宋体" w:hAnsi="宋体"/>
          <w:b/>
          <w:bCs/>
        </w:rPr>
      </w:pPr>
      <w:r>
        <w:rPr>
          <w:rFonts w:ascii="宋体" w:hAnsi="宋体"/>
          <w:b/>
          <w:bCs/>
          <w:sz w:val="21"/>
        </w:rPr>
        <w:t xml:space="preserve">六、标的物的交付</w:t>
      </w:r>
      <w:r/>
    </w:p>
    <w:p>
      <w:pPr>
        <w:ind w:left="0" w:firstLine="420"/>
        <w:spacing w:line="360" w:lineRule="auto"/>
        <w:rPr>
          <w:rFonts w:ascii="宋体" w:hAnsi="宋体"/>
        </w:rPr>
      </w:pPr>
      <w:r>
        <w:rPr>
          <w:rFonts w:hint="eastAsia" w:ascii="宋体" w:hAnsi="宋体"/>
          <w:sz w:val="21"/>
        </w:rPr>
        <w:t xml:space="preserve">（一）本项目标的物的所有权自标的物由乙方交付甲方时转移。</w:t>
      </w:r>
      <w:r/>
    </w:p>
    <w:p>
      <w:pPr>
        <w:ind w:left="0" w:firstLine="420"/>
        <w:spacing w:line="360" w:lineRule="auto"/>
        <w:rPr>
          <w:rFonts w:ascii="宋体" w:hAnsi="宋体"/>
        </w:rPr>
      </w:pPr>
      <w:r>
        <w:rPr>
          <w:rFonts w:hint="eastAsia" w:ascii="宋体" w:hAnsi="宋体"/>
          <w:sz w:val="21"/>
        </w:rPr>
        <w:t xml:space="preserve">（二）乙方应当按照本合同约定的期限和约定的地点交付标的物。</w:t>
      </w:r>
      <w:r/>
    </w:p>
    <w:p>
      <w:pPr>
        <w:ind w:left="0" w:firstLine="420"/>
        <w:spacing w:line="360" w:lineRule="auto"/>
        <w:rPr>
          <w:rFonts w:ascii="宋体" w:hAnsi="宋体"/>
        </w:rPr>
      </w:pPr>
      <w:r>
        <w:rPr>
          <w:rFonts w:hint="eastAsia" w:ascii="宋体" w:hAnsi="宋体"/>
          <w:sz w:val="21"/>
        </w:rPr>
        <w:t xml:space="preserve">（三）乙方应当按照本合同约定或者交易习惯向甲方交付提取标的物单证以外的有关单证和资料。</w:t>
      </w:r>
      <w:r/>
    </w:p>
    <w:p>
      <w:pPr>
        <w:ind w:left="0" w:firstLine="420"/>
        <w:spacing w:line="360" w:lineRule="auto"/>
        <w:rPr>
          <w:rFonts w:ascii="宋体" w:hAnsi="宋体"/>
        </w:rPr>
      </w:pPr>
      <w:r>
        <w:rPr>
          <w:rFonts w:hint="eastAsia" w:ascii="宋体" w:hAnsi="宋体"/>
          <w:sz w:val="21"/>
        </w:rPr>
        <w:t xml:space="preserve">（四）本合同中所称“交付”，除根据上下文明显指标的物到货时的交货外，均指完成安装调试后的交付。</w:t>
      </w:r>
      <w:r/>
    </w:p>
    <w:p>
      <w:pPr>
        <w:ind w:left="0" w:firstLine="420"/>
        <w:spacing w:line="360" w:lineRule="auto"/>
        <w:rPr>
          <w:rFonts w:ascii="宋体" w:hAnsi="宋体"/>
        </w:rPr>
      </w:pPr>
      <w:r>
        <w:rPr>
          <w:rFonts w:hint="eastAsia" w:ascii="宋体" w:hAnsi="宋体"/>
          <w:sz w:val="21"/>
        </w:rPr>
        <w:t xml:space="preserve">（五）乙方负责安排标的物运输，因交货产生的运输、装卸、安装、保险等相关费用全部由乙方承担。标的物在交付甲方并通过验收合格前，其灭失、损毁的风险由乙方承担。</w:t>
      </w:r>
      <w:r/>
    </w:p>
    <w:p>
      <w:pPr>
        <w:ind w:left="0" w:firstLine="422"/>
        <w:spacing w:line="360" w:lineRule="auto"/>
        <w:rPr>
          <w:rFonts w:ascii="宋体" w:hAnsi="宋体"/>
          <w:b/>
          <w:bCs/>
        </w:rPr>
      </w:pPr>
      <w:r>
        <w:rPr>
          <w:rFonts w:hint="eastAsia" w:ascii="宋体" w:hAnsi="宋体"/>
          <w:b/>
          <w:bCs/>
          <w:sz w:val="21"/>
        </w:rPr>
        <w:t xml:space="preserve">七、伴随服务</w:t>
      </w:r>
      <w:r/>
    </w:p>
    <w:p>
      <w:pPr>
        <w:ind w:left="0" w:firstLine="420"/>
        <w:spacing w:line="360" w:lineRule="auto"/>
        <w:rPr>
          <w:rFonts w:ascii="宋体" w:hAnsi="宋体"/>
        </w:rPr>
      </w:pPr>
      <w:r>
        <w:rPr>
          <w:rFonts w:hint="eastAsia" w:ascii="宋体" w:hAnsi="宋体"/>
          <w:sz w:val="21"/>
        </w:rPr>
        <w:t xml:space="preserve">（一）乙方除应按照本合同约定及甲方的要求履行按期按量交付合格标的物的义务外，还应当提供下列服务：</w:t>
      </w:r>
      <w:r/>
    </w:p>
    <w:p>
      <w:pPr>
        <w:ind w:left="0" w:firstLine="420"/>
        <w:spacing w:line="360" w:lineRule="auto"/>
        <w:rPr>
          <w:rFonts w:ascii="宋体" w:hAnsi="宋体"/>
        </w:rPr>
      </w:pPr>
      <w:r>
        <w:rPr>
          <w:rFonts w:hint="eastAsia" w:ascii="宋体" w:hAnsi="宋体"/>
          <w:sz w:val="21"/>
        </w:rPr>
        <w:t xml:space="preserve">1、标的物的现场安装、启动、调试、监督（如果必须安装、调试的话）；</w:t>
      </w:r>
      <w:r/>
    </w:p>
    <w:p>
      <w:pPr>
        <w:ind w:left="0" w:firstLine="420"/>
        <w:spacing w:line="360" w:lineRule="auto"/>
        <w:rPr>
          <w:rFonts w:ascii="宋体" w:hAnsi="宋体"/>
        </w:rPr>
      </w:pPr>
      <w:r>
        <w:rPr>
          <w:rFonts w:hint="eastAsia" w:ascii="宋体" w:hAnsi="宋体"/>
          <w:sz w:val="21"/>
        </w:rPr>
        <w:t xml:space="preserve">2、提供标的物组装和一般维修所必需的工具；</w:t>
      </w:r>
      <w:r/>
    </w:p>
    <w:p>
      <w:pPr>
        <w:ind w:left="0" w:firstLine="420"/>
        <w:spacing w:line="360" w:lineRule="auto"/>
        <w:rPr>
          <w:rFonts w:ascii="宋体" w:hAnsi="宋体"/>
        </w:rPr>
      </w:pPr>
      <w:r>
        <w:rPr>
          <w:rFonts w:hint="eastAsia" w:ascii="宋体" w:hAnsi="宋体"/>
          <w:sz w:val="21"/>
        </w:rPr>
        <w:t xml:space="preserve">3、在本合同规定的期限内对所提供的标的物实行运行监督、维修服务的前提条件是该服务并不能免除乙方在质量保证期内应承担的义务；</w:t>
      </w:r>
      <w:r/>
    </w:p>
    <w:p>
      <w:pPr>
        <w:ind w:left="0" w:firstLine="420"/>
        <w:spacing w:line="360" w:lineRule="auto"/>
        <w:rPr>
          <w:rFonts w:ascii="宋体" w:hAnsi="宋体"/>
        </w:rPr>
      </w:pPr>
      <w:r>
        <w:rPr>
          <w:rFonts w:hint="eastAsia" w:ascii="宋体" w:hAnsi="宋体"/>
          <w:sz w:val="21"/>
        </w:rPr>
        <w:t xml:space="preserve">4、对甲方技术人员进行技术指导或培训服务。</w:t>
      </w:r>
      <w:r/>
    </w:p>
    <w:p>
      <w:pPr>
        <w:ind w:left="0" w:firstLine="420"/>
        <w:spacing w:line="360" w:lineRule="auto"/>
        <w:rPr>
          <w:rFonts w:ascii="宋体" w:hAnsi="宋体"/>
        </w:rPr>
      </w:pPr>
      <w:r>
        <w:rPr>
          <w:rFonts w:hint="eastAsia" w:ascii="宋体" w:hAnsi="宋体"/>
          <w:sz w:val="21"/>
        </w:rPr>
        <w:t xml:space="preserve">（二）除本合同另有规定外，伴随服务的费用均已包含在本合同总价款中，甲方不再另行向乙方支付任何其他费用。</w:t>
      </w:r>
      <w:r/>
    </w:p>
    <w:p>
      <w:pPr>
        <w:ind w:left="0" w:firstLine="422"/>
        <w:spacing w:line="360" w:lineRule="auto"/>
        <w:rPr>
          <w:rFonts w:ascii="宋体" w:hAnsi="宋体"/>
          <w:b/>
          <w:bCs/>
        </w:rPr>
      </w:pPr>
      <w:r>
        <w:rPr>
          <w:rFonts w:hint="eastAsia" w:ascii="宋体" w:hAnsi="宋体"/>
          <w:b/>
          <w:bCs/>
          <w:sz w:val="21"/>
        </w:rPr>
        <w:t xml:space="preserve">八、分包与转包</w:t>
      </w:r>
      <w:r/>
    </w:p>
    <w:p>
      <w:pPr>
        <w:ind w:left="0" w:firstLine="420"/>
        <w:spacing w:line="360" w:lineRule="auto"/>
        <w:rPr>
          <w:rFonts w:ascii="宋体" w:hAnsi="宋体"/>
        </w:rPr>
      </w:pPr>
      <w:r>
        <w:rPr>
          <w:rFonts w:hint="eastAsia" w:ascii="宋体" w:hAnsi="宋体"/>
          <w:sz w:val="21"/>
        </w:rPr>
        <w:t xml:space="preserve">（一）本合同项目不得转包与分包。</w:t>
      </w:r>
      <w:r/>
    </w:p>
    <w:p>
      <w:pPr>
        <w:ind w:left="0" w:firstLine="420"/>
        <w:spacing w:line="360" w:lineRule="auto"/>
        <w:rPr>
          <w:rFonts w:ascii="宋体" w:hAnsi="宋体"/>
        </w:rPr>
      </w:pPr>
      <w:r>
        <w:rPr>
          <w:rFonts w:hint="eastAsia" w:ascii="宋体" w:hAnsi="宋体"/>
          <w:sz w:val="21"/>
        </w:rPr>
        <w:t xml:space="preserve">（二）如乙方存在分包或转包行为，甲方有权解除合同，乙方须返还全部已支付价款，并向甲方支付合同总金额【20】%的违约金。</w:t>
      </w:r>
      <w:r/>
    </w:p>
    <w:p>
      <w:pPr>
        <w:ind w:left="0" w:firstLine="420"/>
        <w:spacing w:line="360" w:lineRule="auto"/>
        <w:rPr>
          <w:rFonts w:ascii="宋体" w:hAnsi="宋体"/>
        </w:rPr>
      </w:pPr>
      <w:r>
        <w:rPr>
          <w:rFonts w:hint="eastAsia" w:ascii="宋体" w:hAnsi="宋体"/>
          <w:sz w:val="21"/>
        </w:rPr>
        <w:t xml:space="preserve">（三）因分包或转包导致甲方遭受损失的，乙方应赔偿甲方一切直接和间接损失。</w:t>
      </w:r>
      <w:r/>
    </w:p>
    <w:p>
      <w:pPr>
        <w:ind w:left="0" w:firstLine="422"/>
        <w:spacing w:line="360" w:lineRule="auto"/>
        <w:rPr>
          <w:rFonts w:ascii="宋体" w:hAnsi="宋体"/>
          <w:b/>
          <w:bCs/>
        </w:rPr>
      </w:pPr>
      <w:r>
        <w:rPr>
          <w:rFonts w:hint="eastAsia" w:ascii="宋体" w:hAnsi="宋体"/>
          <w:b/>
          <w:bCs/>
          <w:sz w:val="21"/>
        </w:rPr>
        <w:t xml:space="preserve">九、标的物的检验和验收</w:t>
      </w:r>
      <w:r/>
    </w:p>
    <w:p>
      <w:pPr>
        <w:ind w:left="0" w:firstLine="420"/>
        <w:spacing w:line="360" w:lineRule="auto"/>
        <w:rPr>
          <w:rFonts w:ascii="宋体" w:hAnsi="宋体"/>
        </w:rPr>
      </w:pPr>
      <w:r>
        <w:rPr>
          <w:rFonts w:hint="eastAsia" w:ascii="宋体" w:hAnsi="宋体"/>
          <w:sz w:val="21"/>
        </w:rPr>
        <w:t xml:space="preserve">（一）交付本合同标的物前，乙方应对标的物的质量、规格、性能、数量、外观、随机备件备品、装箱单、随机资料、包装等进行详细而全面的检验，并出具一份检验合格证明，检验合格证明仅作为甲方验收的依据，但不能作为本合同项下标的物质量、规格、数量或性能的最终检验结果。</w:t>
      </w:r>
      <w:r/>
    </w:p>
    <w:p>
      <w:pPr>
        <w:ind w:left="0" w:firstLine="420"/>
        <w:spacing w:line="360" w:lineRule="auto"/>
        <w:rPr>
          <w:rFonts w:ascii="宋体" w:hAnsi="宋体"/>
        </w:rPr>
      </w:pPr>
      <w:r>
        <w:rPr>
          <w:rFonts w:hint="eastAsia" w:ascii="宋体" w:hAnsi="宋体"/>
          <w:sz w:val="21"/>
        </w:rPr>
        <w:t xml:space="preserve">（二）甲方根据本合同规定的内容和验收标准进行验收，同时比较乙方出具的检验证明，经检验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firstLine="420"/>
        <w:spacing w:line="360" w:lineRule="auto"/>
        <w:rPr>
          <w:rFonts w:ascii="宋体" w:hAnsi="宋体"/>
        </w:rPr>
      </w:pPr>
      <w:r>
        <w:rPr>
          <w:rFonts w:hint="eastAsia" w:ascii="宋体" w:hAnsi="宋体"/>
          <w:sz w:val="21"/>
        </w:rPr>
        <w:t xml:space="preserve">（三）甲方应自本项目所有标的物交付甲方，并完成安装、调试之日起15日内进行验收。特殊情况需延长的，</w:t>
      </w:r>
      <w:bookmarkStart w:id="112" w:name="_Hlk32482846"/>
      <w:r>
        <w:rPr>
          <w:rFonts w:hint="eastAsia" w:ascii="宋体" w:hAnsi="宋体"/>
          <w:sz w:val="21"/>
        </w:rPr>
        <w:t xml:space="preserve">由甲乙双方另行协商确定</w:t>
      </w:r>
      <w:bookmarkEnd w:id="112"/>
      <w:r>
        <w:rPr>
          <w:rFonts w:hint="eastAsia" w:ascii="宋体" w:hAnsi="宋体"/>
          <w:sz w:val="21"/>
        </w:rPr>
        <w:t xml:space="preserve">。</w:t>
      </w:r>
      <w:r/>
    </w:p>
    <w:p>
      <w:pPr>
        <w:ind w:left="0" w:firstLine="420"/>
        <w:spacing w:line="360" w:lineRule="auto"/>
        <w:rPr>
          <w:rFonts w:ascii="宋体" w:hAnsi="宋体"/>
        </w:rPr>
      </w:pPr>
      <w:r>
        <w:rPr>
          <w:rFonts w:hint="eastAsia" w:ascii="宋体" w:hAnsi="宋体"/>
          <w:sz w:val="21"/>
        </w:rPr>
        <w:t xml:space="preserve">（四）如双方对验收结果有分歧，则以苏州市市场监督管理局或其他具有法定资质检验机构的检验结果为准，检验费由乙方承担。</w:t>
      </w:r>
      <w:r/>
    </w:p>
    <w:p>
      <w:pPr>
        <w:ind w:left="0" w:firstLine="420"/>
        <w:spacing w:line="360" w:lineRule="auto"/>
        <w:rPr>
          <w:rFonts w:ascii="宋体" w:hAnsi="宋体"/>
        </w:rPr>
      </w:pPr>
      <w:r>
        <w:rPr>
          <w:rFonts w:hint="eastAsia" w:ascii="宋体" w:hAnsi="宋体"/>
          <w:sz w:val="21"/>
        </w:rPr>
        <w:t xml:space="preserve">（五）甲方验收通过，并不免除乙方对货物的质量问题承担责任的义务。如验收通过后，产品出现质量问题影响甲方使用的，甲方仍有权要求乙方采取维修、退货换货、支付违约金、赔偿损失等方式处理。</w:t>
      </w:r>
      <w:r/>
    </w:p>
    <w:p>
      <w:pPr>
        <w:ind w:left="0" w:firstLine="422"/>
        <w:spacing w:line="360" w:lineRule="auto"/>
        <w:rPr>
          <w:rFonts w:ascii="宋体" w:hAnsi="宋体"/>
          <w:b/>
          <w:bCs/>
        </w:rPr>
      </w:pPr>
      <w:r>
        <w:rPr>
          <w:rFonts w:hint="eastAsia" w:ascii="宋体" w:hAnsi="宋体"/>
          <w:b/>
          <w:bCs/>
          <w:sz w:val="21"/>
        </w:rPr>
        <w:t xml:space="preserve">十</w:t>
      </w:r>
      <w:r>
        <w:rPr>
          <w:rFonts w:ascii="宋体" w:hAnsi="宋体"/>
          <w:b/>
          <w:bCs/>
          <w:sz w:val="21"/>
        </w:rPr>
        <w:t xml:space="preserve">、标的物提出异议的时间和办法</w:t>
      </w:r>
      <w:r/>
    </w:p>
    <w:p>
      <w:pPr>
        <w:ind w:left="0" w:firstLine="420"/>
        <w:spacing w:line="360" w:lineRule="auto"/>
        <w:rPr>
          <w:rFonts w:ascii="宋体" w:hAnsi="宋体"/>
        </w:rPr>
      </w:pPr>
      <w:r>
        <w:rPr>
          <w:rFonts w:hint="eastAsia" w:ascii="宋体" w:hAnsi="宋体"/>
          <w:sz w:val="21"/>
        </w:rPr>
        <w:t xml:space="preserve">（一）甲方在验收过程中，应当于双方约定的验收期间内将标的物的数量或质量不符合约定的情况及处理方式以书面形式通知乙方。若标的物存在甲方无法检验的质量问题，则对该标的物的检验不受验收期间的限制，但甲方应在发现质量问题后及时提出。</w:t>
      </w:r>
      <w:r/>
    </w:p>
    <w:p>
      <w:pPr>
        <w:ind w:left="0" w:firstLine="420"/>
        <w:spacing w:line="360" w:lineRule="auto"/>
        <w:rPr>
          <w:rFonts w:ascii="宋体" w:hAnsi="宋体"/>
        </w:rPr>
      </w:pPr>
      <w:r>
        <w:rPr>
          <w:rFonts w:hint="eastAsia" w:ascii="宋体" w:hAnsi="宋体"/>
          <w:sz w:val="21"/>
        </w:rPr>
        <w:t xml:space="preserve">（二）如果甲方在验收期满后15日内既不出具验收合格证明又未提出书面异议的，乙方应当自验收期满后30日内对甲方进行催告，经乙方催告后甲方在15日内仍未出具验收合格证明或提出书面异议的，视为乙方所交付的标的物符合本合同的规定。</w:t>
      </w:r>
      <w:r/>
    </w:p>
    <w:p>
      <w:pPr>
        <w:ind w:left="0" w:firstLine="420"/>
        <w:spacing w:line="360" w:lineRule="auto"/>
        <w:rPr>
          <w:rFonts w:ascii="宋体" w:hAnsi="宋体"/>
        </w:rPr>
      </w:pPr>
      <w:r>
        <w:rPr>
          <w:rFonts w:hint="eastAsia" w:ascii="宋体" w:hAnsi="宋体"/>
          <w:sz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rPr>
          <w:rFonts w:ascii="宋体" w:hAnsi="宋体"/>
          <w:b/>
          <w:bCs/>
        </w:rPr>
      </w:pPr>
      <w:r>
        <w:rPr>
          <w:rFonts w:hint="eastAsia" w:ascii="宋体" w:hAnsi="宋体"/>
          <w:b/>
          <w:bCs/>
          <w:sz w:val="21"/>
        </w:rPr>
        <w:t xml:space="preserve">十一、保密条款</w:t>
      </w:r>
      <w:r/>
    </w:p>
    <w:p>
      <w:pPr>
        <w:ind w:left="0" w:firstLine="420"/>
        <w:spacing w:line="360" w:lineRule="auto"/>
        <w:rPr>
          <w:rFonts w:ascii="宋体" w:hAnsi="宋体"/>
        </w:rPr>
      </w:pPr>
      <w:r>
        <w:rPr>
          <w:rFonts w:hint="eastAsia" w:ascii="宋体" w:hAnsi="宋体"/>
          <w:sz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rPr>
          <w:rFonts w:ascii="宋体" w:hAnsi="宋体"/>
        </w:rPr>
      </w:pPr>
      <w:r>
        <w:rPr>
          <w:rFonts w:hint="eastAsia" w:ascii="宋体" w:hAnsi="宋体"/>
          <w:sz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rPr>
          <w:rFonts w:ascii="宋体" w:hAnsi="宋体"/>
        </w:rPr>
      </w:pPr>
      <w:r>
        <w:rPr>
          <w:rFonts w:hint="eastAsia" w:ascii="宋体" w:hAnsi="宋体"/>
          <w:sz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rPr>
          <w:rFonts w:ascii="宋体" w:hAnsi="宋体"/>
        </w:rPr>
      </w:pPr>
      <w:r>
        <w:rPr>
          <w:rFonts w:hint="eastAsia" w:ascii="宋体" w:hAnsi="宋体"/>
          <w:sz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rPr>
          <w:rFonts w:ascii="宋体" w:hAnsi="宋体"/>
        </w:rPr>
      </w:pPr>
      <w:r>
        <w:rPr>
          <w:rFonts w:hint="eastAsia" w:ascii="宋体" w:hAnsi="宋体"/>
          <w:sz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rPr>
          <w:rFonts w:ascii="宋体" w:hAnsi="宋体"/>
        </w:rPr>
      </w:pPr>
      <w:r>
        <w:rPr>
          <w:rFonts w:hint="eastAsia" w:ascii="宋体" w:hAnsi="宋体"/>
          <w:sz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rPr>
          <w:rFonts w:ascii="宋体" w:hAnsi="宋体"/>
          <w:b/>
          <w:bCs/>
        </w:rPr>
      </w:pPr>
      <w:r>
        <w:rPr>
          <w:rFonts w:hint="eastAsia" w:ascii="宋体" w:hAnsi="宋体"/>
          <w:b/>
          <w:bCs/>
          <w:sz w:val="21"/>
        </w:rPr>
        <w:t xml:space="preserve">十二、售后服务</w:t>
      </w:r>
      <w:r/>
    </w:p>
    <w:p>
      <w:pPr>
        <w:ind w:left="0" w:firstLine="420"/>
        <w:spacing w:line="360" w:lineRule="auto"/>
        <w:rPr>
          <w:rFonts w:ascii="宋体" w:hAnsi="宋体"/>
        </w:rPr>
      </w:pPr>
      <w:r>
        <w:rPr>
          <w:rFonts w:hint="eastAsia" w:ascii="宋体" w:hAnsi="宋体"/>
          <w:sz w:val="21"/>
        </w:rPr>
        <w:t xml:space="preserve">（一）免费质保期内，乙方对于甲方提出的服务需求后，应在【  】小时内响应，【  】小时内到达现场解决问题，如现场解决不了的重大故障，应提供同等或不低于原货物质量、规格的备品供甲方使用。特殊情况经甲方书面同意后可延长故障修复时间1-3日。</w:t>
      </w:r>
      <w:r/>
    </w:p>
    <w:p>
      <w:pPr>
        <w:ind w:left="0" w:firstLine="420"/>
        <w:spacing w:line="360" w:lineRule="auto"/>
        <w:rPr>
          <w:rFonts w:ascii="宋体" w:hAnsi="宋体"/>
        </w:rPr>
      </w:pPr>
      <w:r>
        <w:rPr>
          <w:rFonts w:hint="eastAsia" w:ascii="宋体" w:hAnsi="宋体"/>
          <w:sz w:val="21"/>
        </w:rPr>
        <w:t xml:space="preserve">（二）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rPr>
          <w:rFonts w:ascii="宋体" w:hAnsi="宋体"/>
          <w:b/>
          <w:bCs/>
        </w:rPr>
      </w:pPr>
      <w:r>
        <w:rPr>
          <w:rFonts w:hint="eastAsia" w:ascii="宋体" w:hAnsi="宋体"/>
          <w:b/>
          <w:bCs/>
          <w:sz w:val="21"/>
        </w:rPr>
        <w:t xml:space="preserve">十三、安全生产</w:t>
      </w:r>
      <w:r/>
    </w:p>
    <w:p>
      <w:pPr>
        <w:ind w:left="0" w:firstLine="420"/>
        <w:spacing w:line="360" w:lineRule="auto"/>
        <w:rPr>
          <w:rFonts w:ascii="宋体" w:hAnsi="宋体"/>
        </w:rPr>
      </w:pPr>
      <w:r>
        <w:rPr>
          <w:rFonts w:hint="eastAsia" w:ascii="宋体" w:hAnsi="宋体"/>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rPr>
          <w:rFonts w:ascii="宋体" w:hAnsi="宋体"/>
        </w:rPr>
      </w:pPr>
      <w:r>
        <w:rPr>
          <w:rFonts w:hint="eastAsia" w:ascii="宋体" w:hAnsi="宋体"/>
          <w:sz w:val="21"/>
        </w:rPr>
        <w:t xml:space="preserve">（二）所有作业人员均需按照国家法律法规之规定，取得对应上岗资格证书、作业许可证书、特种作业证书等相关资格证书，方可上岗作业。</w:t>
      </w:r>
      <w:r/>
    </w:p>
    <w:p>
      <w:pPr>
        <w:ind w:left="0" w:firstLine="420"/>
        <w:spacing w:line="360" w:lineRule="auto"/>
        <w:rPr>
          <w:rFonts w:ascii="宋体" w:hAnsi="宋体"/>
        </w:rPr>
      </w:pPr>
      <w:r>
        <w:rPr>
          <w:rFonts w:hint="eastAsia" w:ascii="宋体" w:hAnsi="宋体"/>
          <w:sz w:val="21"/>
        </w:rPr>
        <w:t xml:space="preserve">（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left="0" w:firstLine="422"/>
        <w:spacing w:line="360" w:lineRule="auto"/>
        <w:rPr>
          <w:rFonts w:ascii="宋体" w:hAnsi="宋体"/>
          <w:b/>
          <w:bCs/>
        </w:rPr>
      </w:pPr>
      <w:r>
        <w:rPr>
          <w:rFonts w:hint="eastAsia" w:ascii="宋体" w:hAnsi="宋体"/>
          <w:b/>
          <w:bCs/>
          <w:sz w:val="21"/>
        </w:rPr>
        <w:t xml:space="preserve">十四、违约责任</w:t>
      </w:r>
      <w:r/>
    </w:p>
    <w:p>
      <w:pPr>
        <w:ind w:left="0" w:firstLine="420"/>
        <w:spacing w:line="360" w:lineRule="auto"/>
        <w:rPr>
          <w:rFonts w:ascii="宋体" w:hAnsi="宋体"/>
        </w:rPr>
      </w:pPr>
      <w:r>
        <w:rPr>
          <w:rFonts w:hint="eastAsia" w:ascii="宋体" w:hAnsi="宋体"/>
          <w:sz w:val="21"/>
        </w:rPr>
        <w:t xml:space="preserve">合同一方不履行合同义务或者履行合同义务不符合约定的，应当承担继续履行、采取补救措施或赔偿损失等违约责任。</w:t>
      </w:r>
      <w:r/>
    </w:p>
    <w:p>
      <w:pPr>
        <w:ind w:left="0" w:firstLine="420"/>
        <w:spacing w:line="360" w:lineRule="auto"/>
        <w:rPr>
          <w:rFonts w:ascii="宋体" w:hAnsi="宋体"/>
        </w:rPr>
      </w:pPr>
      <w:r>
        <w:rPr>
          <w:rFonts w:hint="eastAsia" w:ascii="宋体" w:hAnsi="宋体"/>
          <w:sz w:val="21"/>
        </w:rPr>
        <w:t xml:space="preserve">（一）甲方违约责任</w:t>
      </w:r>
      <w:r/>
    </w:p>
    <w:p>
      <w:pPr>
        <w:ind w:left="0" w:firstLine="420"/>
        <w:spacing w:line="360" w:lineRule="auto"/>
        <w:rPr>
          <w:rFonts w:ascii="宋体" w:hAnsi="宋体"/>
        </w:rPr>
      </w:pPr>
      <w:r>
        <w:rPr>
          <w:rFonts w:hint="eastAsia" w:ascii="宋体" w:hAnsi="宋体"/>
          <w:sz w:val="21"/>
        </w:rPr>
        <w:t xml:space="preserve">1、本合同生效后，甲方无正当理由要求退货的，应向乙方支付本合同总金额【20】%的违约金。</w:t>
      </w:r>
      <w:r/>
    </w:p>
    <w:p>
      <w:pPr>
        <w:ind w:left="0" w:firstLine="420"/>
        <w:spacing w:line="360" w:lineRule="auto"/>
        <w:rPr>
          <w:rFonts w:ascii="宋体" w:hAnsi="宋体"/>
        </w:rPr>
      </w:pPr>
      <w:r>
        <w:rPr>
          <w:rFonts w:hint="eastAsia" w:ascii="宋体" w:hAnsi="宋体"/>
          <w:sz w:val="21"/>
        </w:rPr>
        <w:t xml:space="preserve">2、甲方逾期支付合同价款的，每逾期1日，应向乙方支付逾期付款金额万分之四的违约金，</w:t>
      </w:r>
      <w:bookmarkStart w:id="113" w:name="_Hlk27642747"/>
      <w:r>
        <w:rPr>
          <w:rFonts w:hint="eastAsia" w:ascii="宋体" w:hAnsi="宋体"/>
          <w:sz w:val="21"/>
        </w:rPr>
        <w:t xml:space="preserve">但甲方支付的该项违约金总额以逾期付款金额的【10】%为限</w:t>
      </w:r>
      <w:bookmarkEnd w:id="113"/>
      <w:r>
        <w:rPr>
          <w:rFonts w:hint="eastAsia" w:ascii="宋体" w:hAnsi="宋体"/>
          <w:sz w:val="21"/>
        </w:rPr>
        <w:t xml:space="preserve">。</w:t>
      </w:r>
      <w:r/>
    </w:p>
    <w:p>
      <w:pPr>
        <w:ind w:left="0" w:firstLine="420"/>
        <w:spacing w:line="360" w:lineRule="auto"/>
        <w:rPr>
          <w:rFonts w:ascii="宋体" w:hAnsi="宋体"/>
        </w:rPr>
      </w:pPr>
      <w:r>
        <w:rPr>
          <w:rFonts w:hint="eastAsia" w:ascii="宋体" w:hAnsi="宋体"/>
          <w:sz w:val="21"/>
        </w:rPr>
        <w:t xml:space="preserve">3、甲方违反本合同规定，无正当理由拒绝接收乙方交付的合格标的物的，应当承担因此给乙方造成的损失。</w:t>
      </w:r>
      <w:r/>
    </w:p>
    <w:p>
      <w:pPr>
        <w:ind w:left="0" w:firstLine="420"/>
        <w:spacing w:line="360" w:lineRule="auto"/>
        <w:rPr>
          <w:rFonts w:ascii="宋体" w:hAnsi="宋体"/>
        </w:rPr>
      </w:pPr>
      <w:r>
        <w:rPr>
          <w:rFonts w:hint="eastAsia" w:ascii="宋体" w:hAnsi="宋体"/>
          <w:sz w:val="21"/>
        </w:rPr>
        <w:t xml:space="preserve">（二）乙方违约责任</w:t>
      </w:r>
      <w:r/>
    </w:p>
    <w:p>
      <w:pPr>
        <w:ind w:left="0" w:firstLine="420"/>
        <w:spacing w:line="360" w:lineRule="auto"/>
        <w:rPr>
          <w:rFonts w:ascii="宋体" w:hAnsi="宋体"/>
        </w:rPr>
      </w:pPr>
      <w:r>
        <w:rPr>
          <w:rFonts w:hint="eastAsia" w:ascii="宋体" w:hAnsi="宋体"/>
          <w:sz w:val="21"/>
        </w:rPr>
        <w:t xml:space="preserve">1、乙方未能按本合同约定的期限交付质量符合本合同约定货物的，甲方有权按顺序采取以下措施：</w:t>
      </w:r>
      <w:r/>
    </w:p>
    <w:p>
      <w:pPr>
        <w:ind w:left="0" w:firstLine="420"/>
        <w:spacing w:line="360" w:lineRule="auto"/>
        <w:rPr>
          <w:rFonts w:ascii="宋体" w:hAnsi="宋体"/>
        </w:rPr>
      </w:pPr>
      <w:r>
        <w:rPr>
          <w:rFonts w:hint="eastAsia" w:ascii="宋体" w:hAnsi="宋体"/>
          <w:sz w:val="21"/>
        </w:rPr>
        <w:t xml:space="preserve">（1）每逾期一日，要求乙方按照本合同总金额的万分之四向甲方支付违约金，并在甲方指定期限内交付符合本合同约定的货物。</w:t>
      </w:r>
      <w:r/>
    </w:p>
    <w:p>
      <w:pPr>
        <w:ind w:left="0" w:firstLine="420"/>
        <w:spacing w:line="360" w:lineRule="auto"/>
        <w:rPr>
          <w:rFonts w:ascii="宋体" w:hAnsi="宋体"/>
        </w:rPr>
      </w:pPr>
      <w:r>
        <w:rPr>
          <w:rFonts w:hint="eastAsia" w:ascii="宋体" w:hAnsi="宋体"/>
          <w:sz w:val="21"/>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rPr>
          <w:rFonts w:ascii="宋体" w:hAnsi="宋体"/>
        </w:rPr>
      </w:pPr>
      <w:r>
        <w:rPr>
          <w:rFonts w:hint="eastAsia" w:ascii="宋体" w:hAnsi="宋体"/>
          <w:sz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rPr>
          <w:rFonts w:ascii="宋体" w:hAnsi="宋体"/>
        </w:rPr>
      </w:pPr>
      <w:r>
        <w:rPr>
          <w:rFonts w:hint="eastAsia" w:ascii="宋体" w:hAnsi="宋体"/>
          <w:sz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rPr>
          <w:rFonts w:ascii="宋体" w:hAnsi="宋体"/>
        </w:rPr>
      </w:pPr>
      <w:r>
        <w:rPr>
          <w:rFonts w:hint="eastAsia" w:ascii="宋体" w:hAnsi="宋体"/>
          <w:sz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rPr>
          <w:rFonts w:ascii="宋体" w:hAnsi="宋体"/>
        </w:rPr>
      </w:pPr>
      <w:r>
        <w:rPr>
          <w:rFonts w:hint="eastAsia" w:ascii="宋体" w:hAnsi="宋体"/>
          <w:sz w:val="21"/>
        </w:rPr>
        <w:t xml:space="preserve">5、乙方逾期支付本合同约定的任何款项（包括但不限于违约赔偿、退款等）的，每逾期一日，乙方应当甲方支付逾期金额万分之四的违约金。</w:t>
      </w:r>
      <w:r/>
    </w:p>
    <w:p>
      <w:pPr>
        <w:ind w:left="0" w:firstLine="420"/>
        <w:spacing w:line="360" w:lineRule="auto"/>
        <w:rPr>
          <w:rFonts w:ascii="宋体" w:hAnsi="宋体"/>
        </w:rPr>
      </w:pPr>
      <w:r>
        <w:rPr>
          <w:rFonts w:hint="eastAsia" w:ascii="宋体" w:hAnsi="宋体"/>
          <w:sz w:val="21"/>
        </w:rPr>
        <w:t xml:space="preserve">6、本合同约定的乙方应付违约金不足以弥补甲方一切直接或间接损失的，乙方应当足额赔偿。</w:t>
      </w:r>
      <w:r/>
    </w:p>
    <w:p>
      <w:pPr>
        <w:ind w:left="0" w:firstLine="420"/>
        <w:spacing w:line="360" w:lineRule="auto"/>
        <w:rPr>
          <w:rFonts w:ascii="宋体" w:hAnsi="宋体"/>
        </w:rPr>
      </w:pPr>
      <w:r>
        <w:rPr>
          <w:rFonts w:hint="eastAsia" w:ascii="宋体" w:hAnsi="宋体"/>
          <w:sz w:val="21"/>
        </w:rPr>
        <w:t xml:space="preserve">7、乙方对招投标文件中以加盖公章形式作出的书面承诺函所承诺的内容未按约定提供，甲方有权终止合同，且乙方需向甲方支付本合同总金额【20】%的违约金。</w:t>
      </w:r>
      <w:r/>
    </w:p>
    <w:p>
      <w:pPr>
        <w:ind w:left="0" w:firstLine="420"/>
        <w:spacing w:line="360" w:lineRule="auto"/>
        <w:rPr>
          <w:rFonts w:ascii="宋体" w:hAnsi="宋体"/>
        </w:rPr>
      </w:pPr>
      <w:r>
        <w:rPr>
          <w:rFonts w:hint="eastAsia" w:ascii="宋体" w:hAnsi="宋体"/>
          <w:sz w:val="21"/>
        </w:rPr>
        <w:t xml:space="preserve">8、乙方违反本合同第八条约定之情形的，除按相应条款承担违约责任外，甲方还有权依据本合同第十四条追究其违约责任。</w:t>
      </w:r>
      <w:r/>
    </w:p>
    <w:p>
      <w:pPr>
        <w:ind w:left="0" w:firstLine="422"/>
        <w:spacing w:line="360" w:lineRule="auto"/>
        <w:rPr>
          <w:rFonts w:ascii="宋体" w:hAnsi="宋体"/>
          <w:b/>
          <w:bCs/>
        </w:rPr>
      </w:pPr>
      <w:r>
        <w:rPr>
          <w:rFonts w:hint="eastAsia" w:ascii="宋体" w:hAnsi="宋体"/>
          <w:b/>
          <w:bCs/>
          <w:sz w:val="21"/>
        </w:rPr>
        <w:t xml:space="preserve">十五、不可抗力</w:t>
      </w:r>
      <w:r/>
    </w:p>
    <w:p>
      <w:pPr>
        <w:ind w:left="0" w:firstLine="420"/>
        <w:spacing w:line="360" w:lineRule="auto"/>
        <w:rPr>
          <w:rFonts w:ascii="宋体" w:hAnsi="宋体"/>
        </w:rPr>
      </w:pPr>
      <w:r>
        <w:rPr>
          <w:rFonts w:hint="eastAsia" w:ascii="宋体" w:hAnsi="宋体"/>
          <w:sz w:val="21"/>
        </w:rPr>
        <w:t xml:space="preserve">（一）合同一方因不可抗力不能履行合同的，根据不可抗力的影响，部分或者全部免除责任。但合同一方迟延履行后发生不可抗力的，不能免除责任。</w:t>
      </w:r>
      <w:r/>
    </w:p>
    <w:p>
      <w:pPr>
        <w:ind w:left="0" w:firstLine="420"/>
        <w:spacing w:line="360" w:lineRule="auto"/>
        <w:rPr>
          <w:rFonts w:ascii="宋体" w:hAnsi="宋体"/>
        </w:rPr>
      </w:pPr>
      <w:r>
        <w:rPr>
          <w:rFonts w:hint="eastAsia" w:ascii="宋体" w:hAnsi="宋体"/>
          <w:sz w:val="21"/>
        </w:rPr>
        <w:t xml:space="preserve">（二）合同一方因不可抗力不能履行合同的，应当在不可抗力发生后3日内通知对方，以减轻可能给对方造成的损失，并应当在不可抗力通知发出后的7日内提供书面证明文件。</w:t>
      </w:r>
      <w:r/>
    </w:p>
    <w:p>
      <w:pPr>
        <w:ind w:left="0" w:firstLine="420"/>
        <w:spacing w:line="360" w:lineRule="auto"/>
        <w:rPr>
          <w:rFonts w:ascii="宋体" w:hAnsi="宋体"/>
        </w:rPr>
      </w:pPr>
      <w:r>
        <w:rPr>
          <w:rFonts w:hint="eastAsia" w:ascii="宋体" w:hAnsi="宋体"/>
          <w:sz w:val="21"/>
        </w:rPr>
        <w:t xml:space="preserve">（三）</w:t>
      </w:r>
      <w:bookmarkStart w:id="114" w:name="_Hlk62832818"/>
      <w:r>
        <w:rPr>
          <w:rFonts w:hint="eastAsia" w:ascii="宋体" w:hAnsi="宋体"/>
          <w:sz w:val="21"/>
        </w:rPr>
        <w:t xml:space="preserve">不可抗力事由消除后，合同继续履行等相关事宜，由合同双方协商解决。</w:t>
      </w:r>
      <w:bookmarkEnd w:id="114"/>
      <w:r/>
      <w:r/>
    </w:p>
    <w:p>
      <w:pPr>
        <w:ind w:left="0" w:firstLine="422"/>
        <w:spacing w:line="360" w:lineRule="auto"/>
        <w:rPr>
          <w:rFonts w:ascii="宋体" w:hAnsi="宋体"/>
          <w:b/>
          <w:bCs/>
        </w:rPr>
      </w:pPr>
      <w:r>
        <w:rPr>
          <w:rFonts w:hint="eastAsia" w:ascii="宋体" w:hAnsi="宋体"/>
          <w:b/>
          <w:bCs/>
          <w:sz w:val="21"/>
        </w:rPr>
        <w:t xml:space="preserve">十六、索赔</w:t>
      </w:r>
      <w:r/>
    </w:p>
    <w:p>
      <w:pPr>
        <w:ind w:left="0" w:firstLine="420"/>
        <w:spacing w:line="360" w:lineRule="auto"/>
        <w:rPr>
          <w:rFonts w:ascii="宋体" w:hAnsi="宋体"/>
        </w:rPr>
      </w:pPr>
      <w:r>
        <w:rPr>
          <w:rFonts w:hint="eastAsia" w:ascii="宋体" w:hAnsi="宋体"/>
          <w:sz w:val="21"/>
        </w:rPr>
        <w:t xml:space="preserve">（一）</w:t>
      </w:r>
      <w:bookmarkStart w:id="115" w:name="_Hlk62832834"/>
      <w:r>
        <w:rPr>
          <w:rFonts w:hint="eastAsia" w:ascii="宋体" w:hAnsi="宋体"/>
          <w:sz w:val="21"/>
        </w:rPr>
        <w:t xml:space="preserve">乙方交付的本项目标的物的质量、数量、规格、性能等经检验、验收不合格的，</w:t>
      </w:r>
      <w:bookmarkEnd w:id="115"/>
      <w:r>
        <w:rPr>
          <w:rFonts w:hint="eastAsia" w:ascii="宋体" w:hAnsi="宋体"/>
          <w:sz w:val="21"/>
        </w:rPr>
        <w:t xml:space="preserve">甲方有权根据当地产品质量检验机构或其他有关部门出具的检验、验收证书向乙方提出索赔。</w:t>
      </w:r>
      <w:r/>
    </w:p>
    <w:p>
      <w:pPr>
        <w:ind w:left="0" w:firstLine="420"/>
        <w:spacing w:line="360" w:lineRule="auto"/>
        <w:rPr>
          <w:rFonts w:ascii="宋体" w:hAnsi="宋体"/>
        </w:rPr>
      </w:pPr>
      <w:r>
        <w:rPr>
          <w:rFonts w:hint="eastAsia" w:ascii="宋体" w:hAnsi="宋体"/>
          <w:sz w:val="21"/>
        </w:rPr>
        <w:t xml:space="preserve">（二）在本合同规定的检验期限和质量保证期内，如果乙方对甲方提出的索赔或异议有责任，则乙方应按甲方同意的下列一种或多种方式解决索赔事宜：</w:t>
      </w:r>
      <w:r/>
    </w:p>
    <w:p>
      <w:pPr>
        <w:ind w:left="0" w:firstLine="420"/>
        <w:spacing w:line="360" w:lineRule="auto"/>
        <w:rPr>
          <w:rFonts w:ascii="宋体" w:hAnsi="宋体"/>
        </w:rPr>
      </w:pPr>
      <w:r>
        <w:rPr>
          <w:rFonts w:hint="eastAsia" w:ascii="宋体" w:hAnsi="宋体"/>
          <w:sz w:val="21"/>
        </w:rPr>
        <w:t xml:space="preserve">1、乙方同意退货，并按本合同规定的货币形式将货款退还给甲方，并且承担由此发生的一切直接、间接损失和费用，包括利息、银行手续费、运费、总包配合费、保险费、检验费、仓储费、装卸费以及为保护退回标的物所需的其他必要费用。</w:t>
      </w:r>
      <w:r/>
    </w:p>
    <w:p>
      <w:pPr>
        <w:ind w:left="0" w:firstLine="420"/>
        <w:spacing w:line="360" w:lineRule="auto"/>
        <w:rPr>
          <w:rFonts w:ascii="宋体" w:hAnsi="宋体"/>
        </w:rPr>
      </w:pPr>
      <w:r>
        <w:rPr>
          <w:rFonts w:hint="eastAsia" w:ascii="宋体" w:hAnsi="宋体"/>
          <w:sz w:val="21"/>
        </w:rPr>
        <w:t xml:space="preserve">2、根据标的物的低劣程度、损坏程度以及甲方遭受损失的数额，经甲乙双方协商确定降低标的物的价格。</w:t>
      </w:r>
      <w:r/>
    </w:p>
    <w:p>
      <w:pPr>
        <w:ind w:left="0" w:firstLine="420"/>
        <w:spacing w:line="360" w:lineRule="auto"/>
        <w:rPr>
          <w:rFonts w:ascii="宋体" w:hAnsi="宋体"/>
        </w:rPr>
      </w:pPr>
      <w:r>
        <w:rPr>
          <w:rFonts w:hint="eastAsia" w:ascii="宋体" w:hAnsi="宋体"/>
          <w:sz w:val="21"/>
        </w:rPr>
        <w:t xml:space="preserve">3、</w:t>
      </w:r>
      <w:bookmarkStart w:id="116" w:name="_Hlk62832935"/>
      <w:r>
        <w:rPr>
          <w:rFonts w:hint="eastAsia" w:ascii="宋体" w:hAnsi="宋体"/>
          <w:sz w:val="21"/>
        </w:rPr>
        <w:t xml:space="preserve">乙方应在收到甲方书面索赔通知后7日内，</w:t>
      </w:r>
      <w:bookmarkEnd w:id="116"/>
      <w:r>
        <w:rPr>
          <w:rFonts w:hint="eastAsia" w:ascii="宋体" w:hAnsi="宋体"/>
          <w:sz w:val="21"/>
        </w:rPr>
        <w:t xml:space="preserve">负责采用符合规格、质量和性能要求的新零件、部件或标的物来更换有缺陷的部分或修补缺陷部分，乙方应承担由此产生的一切费用和风险，给甲方造成损失的，应赔偿甲方一切直接、间接损失。同时，乙方应按本合同规定，相应延长修补或被更换部件或标的物的质量保证期。</w:t>
      </w:r>
      <w:r/>
    </w:p>
    <w:p>
      <w:pPr>
        <w:ind w:left="0" w:firstLine="420"/>
        <w:spacing w:line="360" w:lineRule="auto"/>
        <w:rPr>
          <w:rFonts w:ascii="宋体" w:hAnsi="宋体"/>
        </w:rPr>
      </w:pPr>
      <w:r>
        <w:rPr>
          <w:rFonts w:hint="eastAsia" w:ascii="宋体" w:hAnsi="宋体"/>
          <w:sz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中扣除索赔金额，如果</w:t>
      </w:r>
      <w:r>
        <w:rPr>
          <w:rFonts w:ascii="宋体" w:hAnsi="宋体"/>
          <w:sz w:val="21"/>
        </w:rPr>
        <w:t xml:space="preserve">此金额不足以弥补甲方损失的，甲方有权要求乙方</w:t>
      </w:r>
      <w:r>
        <w:rPr>
          <w:rFonts w:hint="eastAsia" w:ascii="宋体" w:hAnsi="宋体"/>
          <w:sz w:val="21"/>
        </w:rPr>
        <w:t xml:space="preserve">补足。 </w:t>
      </w:r>
      <w:r/>
    </w:p>
    <w:p>
      <w:pPr>
        <w:ind w:left="0" w:firstLine="422"/>
        <w:spacing w:line="360" w:lineRule="auto"/>
        <w:rPr>
          <w:rFonts w:ascii="宋体" w:hAnsi="宋体"/>
          <w:b/>
          <w:bCs/>
        </w:rPr>
      </w:pPr>
      <w:r>
        <w:rPr>
          <w:rFonts w:hint="eastAsia" w:ascii="宋体" w:hAnsi="宋体"/>
          <w:b/>
          <w:bCs/>
          <w:sz w:val="21"/>
        </w:rPr>
        <w:t xml:space="preserve">十七、合同的解除和转让</w:t>
      </w:r>
      <w:r/>
    </w:p>
    <w:p>
      <w:pPr>
        <w:ind w:left="0" w:firstLine="420"/>
        <w:spacing w:line="360" w:lineRule="auto"/>
        <w:rPr>
          <w:rFonts w:ascii="宋体" w:hAnsi="宋体"/>
        </w:rPr>
      </w:pPr>
      <w:r/>
      <w:bookmarkStart w:id="117" w:name="_Toc13543222"/>
      <w:r>
        <w:rPr>
          <w:rFonts w:hint="eastAsia" w:ascii="宋体" w:hAnsi="宋体"/>
          <w:sz w:val="21"/>
        </w:rPr>
        <w:t xml:space="preserve">（一）解除合同：除《政府采购法》第49条、第50条第二款规定的情形及本合同约定的情形外，本合同签订后，甲乙双方不得擅自变更、解除或终止本合同。</w:t>
      </w:r>
      <w:r/>
    </w:p>
    <w:p>
      <w:pPr>
        <w:ind w:left="0" w:firstLine="420"/>
        <w:spacing w:line="360" w:lineRule="auto"/>
        <w:rPr>
          <w:rFonts w:ascii="宋体" w:hAnsi="宋体"/>
        </w:rPr>
      </w:pPr>
      <w:r>
        <w:rPr>
          <w:rFonts w:hint="eastAsia" w:ascii="宋体" w:hAnsi="宋体"/>
          <w:sz w:val="21"/>
        </w:rPr>
        <w:t xml:space="preserve">（二）有下列情形之一，合同一方可以解除合同：</w:t>
      </w:r>
      <w:r/>
    </w:p>
    <w:p>
      <w:pPr>
        <w:ind w:left="0" w:firstLine="420"/>
        <w:spacing w:line="360" w:lineRule="auto"/>
        <w:rPr>
          <w:rFonts w:ascii="宋体" w:hAnsi="宋体"/>
        </w:rPr>
      </w:pPr>
      <w:r>
        <w:rPr>
          <w:rFonts w:hint="eastAsia" w:ascii="宋体" w:hAnsi="宋体"/>
          <w:sz w:val="21"/>
        </w:rPr>
        <w:t xml:space="preserve">1、因不可抗力致使不能实现合同目的，未受不可抗力影响的一方有权解除合同；</w:t>
      </w:r>
      <w:r/>
    </w:p>
    <w:p>
      <w:pPr>
        <w:ind w:left="0" w:firstLine="420"/>
        <w:spacing w:line="360" w:lineRule="auto"/>
        <w:rPr>
          <w:rFonts w:ascii="宋体" w:hAnsi="宋体"/>
        </w:rPr>
      </w:pPr>
      <w:r>
        <w:rPr>
          <w:rFonts w:hint="eastAsia" w:ascii="宋体" w:hAnsi="宋体"/>
          <w:sz w:val="21"/>
        </w:rPr>
        <w:t xml:space="preserve">2、因合同一方违约导致合同不能履行，另一方有权解除合同。</w:t>
      </w:r>
      <w:r/>
    </w:p>
    <w:p>
      <w:pPr>
        <w:ind w:left="0" w:firstLine="420"/>
        <w:spacing w:line="360" w:lineRule="auto"/>
        <w:rPr>
          <w:rFonts w:ascii="宋体" w:hAnsi="宋体"/>
        </w:rPr>
      </w:pPr>
      <w:r>
        <w:rPr>
          <w:rFonts w:hint="eastAsia" w:ascii="宋体" w:hAnsi="宋体"/>
          <w:sz w:val="21"/>
        </w:rPr>
        <w:t xml:space="preserve">3.乙方存在违反本合同第八条之情形的，甲方有权解除合同。</w:t>
      </w:r>
      <w:r/>
    </w:p>
    <w:p>
      <w:pPr>
        <w:ind w:left="0" w:firstLine="420"/>
        <w:spacing w:line="360" w:lineRule="auto"/>
        <w:rPr>
          <w:rFonts w:ascii="宋体" w:hAnsi="宋体"/>
        </w:rPr>
      </w:pPr>
      <w:r>
        <w:rPr>
          <w:rFonts w:hint="eastAsia" w:ascii="宋体" w:hAnsi="宋体"/>
          <w:sz w:val="21"/>
        </w:rPr>
        <w:t xml:space="preserve">4.有权解除合同的一方，应当在违约事实或不可抗力发生后30日内书面通知对方解除本合同，本合同在书面通知到达对方时解除。</w:t>
      </w:r>
      <w:r/>
    </w:p>
    <w:p>
      <w:pPr>
        <w:ind w:left="0" w:firstLine="420"/>
        <w:spacing w:line="360" w:lineRule="auto"/>
        <w:rPr>
          <w:rFonts w:ascii="宋体" w:hAnsi="宋体"/>
        </w:rPr>
      </w:pPr>
      <w:r>
        <w:rPr>
          <w:rFonts w:hint="eastAsia" w:ascii="宋体" w:hAnsi="宋体"/>
          <w:sz w:val="21"/>
        </w:rPr>
        <w:t xml:space="preserve">（三）未经甲方书面同意，乙方不得将本合同的部分或全部义务转让给任何第三方。</w:t>
      </w:r>
      <w:r/>
    </w:p>
    <w:p>
      <w:pPr>
        <w:ind w:left="0" w:firstLine="422"/>
        <w:spacing w:line="360" w:lineRule="auto"/>
        <w:rPr>
          <w:rFonts w:ascii="宋体" w:hAnsi="宋体"/>
          <w:b/>
          <w:bCs/>
        </w:rPr>
      </w:pPr>
      <w:r>
        <w:rPr>
          <w:rFonts w:hint="eastAsia" w:ascii="宋体" w:hAnsi="宋体"/>
          <w:b/>
          <w:bCs/>
          <w:sz w:val="21"/>
        </w:rPr>
        <w:t xml:space="preserve">十八、合同的生效</w:t>
      </w:r>
      <w:bookmarkEnd w:id="117"/>
      <w:r/>
      <w:r/>
    </w:p>
    <w:p>
      <w:pPr>
        <w:ind w:left="0" w:firstLine="420"/>
        <w:spacing w:line="360" w:lineRule="auto"/>
        <w:rPr>
          <w:rFonts w:ascii="宋体" w:hAnsi="宋体"/>
        </w:rPr>
      </w:pPr>
      <w:r/>
      <w:bookmarkStart w:id="118" w:name="_Toc13543223"/>
      <w:r>
        <w:rPr>
          <w:rFonts w:hint="eastAsia" w:ascii="宋体" w:hAnsi="宋体"/>
          <w:sz w:val="21"/>
        </w:rPr>
        <w:t xml:space="preserve">本合同经甲乙双方法定代表人或授权代表人签字并加盖公章后即生效，生效后须进行网上备案。</w:t>
      </w:r>
      <w:r/>
    </w:p>
    <w:p>
      <w:pPr>
        <w:ind w:left="0" w:firstLine="422"/>
        <w:spacing w:line="360" w:lineRule="auto"/>
        <w:rPr>
          <w:rFonts w:ascii="宋体" w:hAnsi="宋体"/>
          <w:b/>
          <w:bCs/>
        </w:rPr>
      </w:pPr>
      <w:r>
        <w:rPr>
          <w:rFonts w:hint="eastAsia" w:ascii="宋体" w:hAnsi="宋体"/>
          <w:b/>
          <w:bCs/>
          <w:sz w:val="21"/>
        </w:rPr>
        <w:t xml:space="preserve">十九、争议解决</w:t>
      </w:r>
      <w:bookmarkEnd w:id="118"/>
      <w:r/>
      <w:r/>
    </w:p>
    <w:p>
      <w:pPr>
        <w:ind w:left="0" w:firstLine="420"/>
        <w:spacing w:line="360" w:lineRule="auto"/>
        <w:rPr>
          <w:rFonts w:ascii="宋体" w:hAnsi="宋体"/>
        </w:rPr>
      </w:pPr>
      <w:r>
        <w:rPr>
          <w:rFonts w:hint="eastAsia" w:ascii="宋体" w:hAnsi="宋体"/>
          <w:sz w:val="21"/>
        </w:rPr>
        <w:t xml:space="preserve">甲乙双方因履行本合同或与本合同有关的一切事项发生争议的，应友好协商解决；协商不成的，任何一方均有权向甲方所在地人民法院起诉。</w:t>
      </w:r>
      <w:bookmarkStart w:id="119" w:name="_Hlk62833016"/>
      <w:r>
        <w:rPr>
          <w:rFonts w:hint="eastAsia" w:ascii="宋体" w:hAnsi="宋体"/>
          <w:sz w:val="21"/>
        </w:rPr>
        <w:t xml:space="preserve">因乙方违约或乙方追究甲方违约但不成立，导致甲方为处理此纠纷产生的费用由乙方承担，该费用包括但不限于公证费、诉讼费、保全费、鉴定费、执行费、律师费、差旅费等。</w:t>
      </w:r>
      <w:bookmarkStart w:id="120" w:name="_Toc13543224"/>
      <w:r/>
      <w:bookmarkEnd w:id="119"/>
      <w:r/>
      <w:r/>
    </w:p>
    <w:p>
      <w:pPr>
        <w:ind w:left="0" w:firstLine="422"/>
        <w:spacing w:line="360" w:lineRule="auto"/>
        <w:rPr>
          <w:rFonts w:ascii="宋体" w:hAnsi="宋体"/>
          <w:b/>
          <w:bCs/>
        </w:rPr>
      </w:pPr>
      <w:r>
        <w:rPr>
          <w:rFonts w:hint="eastAsia" w:ascii="宋体" w:hAnsi="宋体"/>
          <w:b/>
          <w:bCs/>
          <w:sz w:val="21"/>
        </w:rPr>
        <w:t xml:space="preserve">二十、</w:t>
      </w:r>
      <w:bookmarkEnd w:id="120"/>
      <w:r>
        <w:rPr>
          <w:rFonts w:hint="eastAsia" w:ascii="宋体" w:hAnsi="宋体"/>
          <w:b/>
          <w:bCs/>
          <w:sz w:val="21"/>
        </w:rPr>
        <w:t xml:space="preserve">其他附则</w:t>
      </w:r>
      <w:r/>
    </w:p>
    <w:p>
      <w:pPr>
        <w:ind w:left="0" w:firstLine="420"/>
        <w:spacing w:line="360" w:lineRule="auto"/>
        <w:rPr>
          <w:rFonts w:ascii="宋体" w:hAnsi="宋体"/>
        </w:rPr>
      </w:pPr>
      <w:r>
        <w:rPr>
          <w:rFonts w:hint="eastAsia" w:ascii="宋体" w:hAnsi="宋体"/>
          <w:sz w:val="21"/>
        </w:rPr>
        <w:t xml:space="preserve">（一）合同份数：本合同一式</w:t>
      </w:r>
      <w:r>
        <w:rPr>
          <w:rFonts w:hint="eastAsia" w:ascii="宋体" w:hAnsi="宋体"/>
          <w:color w:val="000000"/>
          <w:sz w:val="24"/>
          <w:szCs w:val="24"/>
        </w:rPr>
        <w:t xml:space="preserve">【</w:t>
      </w:r>
      <w:r>
        <w:rPr>
          <w:rFonts w:hint="eastAsia" w:ascii="宋体" w:hAnsi="宋体"/>
          <w:sz w:val="21"/>
        </w:rPr>
        <w:t xml:space="preserve">伍</w:t>
      </w:r>
      <w:r>
        <w:rPr>
          <w:rFonts w:hint="eastAsia" w:ascii="宋体" w:hAnsi="宋体"/>
          <w:color w:val="000000"/>
          <w:sz w:val="24"/>
          <w:szCs w:val="24"/>
        </w:rPr>
        <w:t xml:space="preserve">】</w:t>
      </w:r>
      <w:r>
        <w:rPr>
          <w:rFonts w:hint="eastAsia" w:ascii="宋体" w:hAnsi="宋体"/>
          <w:sz w:val="21"/>
        </w:rPr>
        <w:t xml:space="preserve">份，甲方</w:t>
      </w:r>
      <w:r>
        <w:rPr>
          <w:rFonts w:hint="eastAsia" w:ascii="宋体" w:hAnsi="宋体"/>
          <w:color w:val="000000"/>
          <w:sz w:val="24"/>
          <w:szCs w:val="24"/>
        </w:rPr>
        <w:t xml:space="preserve">【</w:t>
      </w:r>
      <w:r>
        <w:rPr>
          <w:rFonts w:hint="eastAsia" w:ascii="宋体" w:hAnsi="宋体"/>
          <w:sz w:val="21"/>
        </w:rPr>
        <w:t xml:space="preserve">叁</w:t>
      </w:r>
      <w:r>
        <w:rPr>
          <w:rFonts w:hint="eastAsia" w:ascii="宋体" w:hAnsi="宋体"/>
          <w:color w:val="000000"/>
          <w:sz w:val="24"/>
          <w:szCs w:val="24"/>
        </w:rPr>
        <w:t xml:space="preserve">】</w:t>
      </w:r>
      <w:r>
        <w:rPr>
          <w:rFonts w:hint="eastAsia" w:ascii="宋体" w:hAnsi="宋体"/>
          <w:sz w:val="21"/>
        </w:rPr>
        <w:t xml:space="preserve">份，乙方</w:t>
      </w:r>
      <w:r>
        <w:rPr>
          <w:rFonts w:hint="eastAsia" w:ascii="宋体" w:hAnsi="宋体"/>
          <w:color w:val="000000"/>
          <w:sz w:val="24"/>
          <w:szCs w:val="24"/>
        </w:rPr>
        <w:t xml:space="preserve">【</w:t>
      </w:r>
      <w:r>
        <w:rPr>
          <w:rFonts w:hint="eastAsia" w:ascii="宋体" w:hAnsi="宋体"/>
          <w:sz w:val="21"/>
        </w:rPr>
        <w:t xml:space="preserve">贰</w:t>
      </w:r>
      <w:r>
        <w:rPr>
          <w:rFonts w:hint="eastAsia" w:ascii="宋体" w:hAnsi="宋体"/>
          <w:color w:val="000000"/>
          <w:sz w:val="24"/>
          <w:szCs w:val="24"/>
        </w:rPr>
        <w:t xml:space="preserve">】</w:t>
      </w:r>
      <w:r>
        <w:rPr>
          <w:rFonts w:hint="eastAsia" w:ascii="宋体" w:hAnsi="宋体"/>
          <w:sz w:val="21"/>
        </w:rPr>
        <w:t xml:space="preserve">份，各份合同具有同等法律效力。</w:t>
      </w:r>
      <w:r/>
    </w:p>
    <w:p>
      <w:pPr>
        <w:ind w:left="0" w:firstLine="420"/>
        <w:spacing w:line="360" w:lineRule="auto"/>
        <w:rPr>
          <w:rFonts w:ascii="宋体" w:hAnsi="宋体"/>
        </w:rPr>
      </w:pPr>
      <w:r>
        <w:rPr>
          <w:rFonts w:hint="eastAsia" w:ascii="宋体" w:hAnsi="宋体"/>
          <w:sz w:val="21"/>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w:t>
      </w:r>
      <w:r/>
    </w:p>
    <w:p>
      <w:pPr>
        <w:ind w:left="0" w:firstLine="420"/>
        <w:spacing w:line="360" w:lineRule="auto"/>
        <w:rPr>
          <w:rFonts w:ascii="宋体" w:hAnsi="宋体"/>
        </w:rPr>
      </w:pPr>
      <w:r>
        <w:rPr>
          <w:rFonts w:hint="eastAsia" w:ascii="宋体" w:hAnsi="宋体"/>
          <w:sz w:val="21"/>
        </w:rPr>
        <w:t xml:space="preserve">（三）</w:t>
      </w:r>
      <w:bookmarkStart w:id="121" w:name="_Hlk62833081"/>
      <w:r>
        <w:rPr>
          <w:rFonts w:hint="eastAsia" w:ascii="宋体" w:hAnsi="宋体"/>
          <w:sz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20"/>
        <w:spacing w:line="360" w:lineRule="auto"/>
        <w:rPr>
          <w:rFonts w:ascii="宋体" w:hAnsi="宋体"/>
        </w:rPr>
      </w:pPr>
      <w:r>
        <w:rPr>
          <w:rFonts w:hint="eastAsia" w:ascii="宋体" w:hAnsi="宋体"/>
          <w:sz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360" w:lineRule="auto"/>
        <w:rPr>
          <w:rFonts w:ascii="宋体" w:hAnsi="宋体"/>
        </w:rPr>
      </w:pPr>
      <w:r>
        <w:rPr>
          <w:rFonts w:hint="eastAsia" w:ascii="宋体" w:hAnsi="宋体"/>
          <w:sz w:val="21"/>
        </w:rPr>
        <w:t xml:space="preserve">（五）本合同所称的“标的物”“货物”等包括乙方履行本合同向甲方交付的工程、设备、服务等一切成果。</w:t>
      </w:r>
      <w:r/>
    </w:p>
    <w:p>
      <w:pPr>
        <w:ind w:left="0" w:firstLine="420"/>
        <w:spacing w:line="360" w:lineRule="auto"/>
        <w:rPr>
          <w:rFonts w:ascii="宋体" w:hAnsi="宋体"/>
        </w:rPr>
      </w:pPr>
      <w:r>
        <w:rPr>
          <w:rFonts w:hint="eastAsia" w:ascii="宋体" w:hAnsi="宋体"/>
          <w:sz w:val="21"/>
        </w:rPr>
        <w:t xml:space="preserve">（以下无正文）</w:t>
      </w:r>
      <w:bookmarkEnd w:id="121"/>
      <w:r/>
      <w:r/>
    </w:p>
    <w:p>
      <w:pPr>
        <w:ind w:left="0" w:firstLine="400"/>
        <w:spacing w:line="360" w:lineRule="auto"/>
        <w:rPr>
          <w:rFonts w:ascii="宋体" w:hAnsi="宋体"/>
        </w:rPr>
      </w:pPr>
      <w:r>
        <w:rPr>
          <w:rFonts w:ascii="宋体" w:hAnsi="宋体"/>
        </w:rPr>
      </w:r>
      <w:r/>
    </w:p>
    <w:p>
      <w:pPr>
        <w:ind w:left="0" w:firstLine="400"/>
        <w:spacing w:line="360" w:lineRule="auto"/>
        <w:rPr>
          <w:rFonts w:ascii="宋体" w:hAnsi="宋体"/>
        </w:rPr>
      </w:pPr>
      <w:r>
        <w:rPr>
          <w:rFonts w:ascii="宋体" w:hAnsi="宋体"/>
        </w:rPr>
      </w:r>
      <w:r/>
    </w:p>
    <w:p>
      <w:pPr>
        <w:ind w:left="0"/>
        <w:jc w:val="left"/>
        <w:spacing w:line="360" w:lineRule="auto"/>
        <w:rPr>
          <w:rFonts w:ascii="宋体" w:hAnsi="宋体"/>
        </w:rPr>
      </w:pPr>
      <w:r>
        <w:rPr>
          <w:rFonts w:hint="eastAsia" w:ascii="宋体" w:hAnsi="宋体"/>
          <w:sz w:val="21"/>
        </w:rPr>
        <w:t xml:space="preserve">甲方（公章）： 苏州市公安局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rPr>
      </w:pPr>
      <w:r>
        <w:rPr>
          <w:rFonts w:hint="eastAsia" w:ascii="宋体" w:hAnsi="宋体"/>
          <w:sz w:val="21"/>
        </w:rPr>
        <w:t xml:space="preserve">日期：                  </w:t>
      </w:r>
      <w:r>
        <w:rPr>
          <w:rFonts w:ascii="宋体" w:hAnsi="宋体"/>
          <w:sz w:val="21"/>
        </w:rPr>
        <w:t xml:space="preserve">  </w:t>
      </w:r>
      <w:r>
        <w:rPr>
          <w:rFonts w:hint="eastAsia" w:ascii="宋体" w:hAnsi="宋体"/>
          <w:sz w:val="21"/>
        </w:rPr>
        <w:t xml:space="preserve">                              日期： </w:t>
      </w:r>
      <w:r/>
    </w:p>
    <w:p>
      <w:pPr>
        <w:pStyle w:val="1069"/>
        <w:ind w:left="400" w:firstLine="883"/>
        <w:rPr>
          <w:rFonts w:ascii="宋体" w:hAnsi="宋体"/>
          <w:b/>
          <w:sz w:val="44"/>
          <w:szCs w:val="22"/>
        </w:rPr>
      </w:pPr>
      <w:r>
        <w:rPr>
          <w:rFonts w:hint="eastAsia" w:ascii="宋体" w:hAnsi="宋体"/>
          <w:b/>
          <w:sz w:val="44"/>
          <w:szCs w:val="22"/>
        </w:rPr>
        <w:t xml:space="preserve"> </w:t>
      </w:r>
      <w:r/>
    </w:p>
    <w:p>
      <w:pPr>
        <w:pStyle w:val="1069"/>
        <w:ind w:left="400" w:firstLine="883"/>
        <w:rPr>
          <w:rFonts w:ascii="宋体" w:hAnsi="宋体"/>
          <w:b/>
          <w:sz w:val="44"/>
          <w:szCs w:val="22"/>
        </w:rPr>
      </w:pPr>
      <w:r>
        <w:rPr>
          <w:rFonts w:hint="eastAsia" w:ascii="宋体" w:hAnsi="宋体"/>
          <w:b/>
          <w:sz w:val="44"/>
          <w:szCs w:val="22"/>
        </w:rPr>
        <w:br w:type="page" w:clear="all"/>
      </w:r>
      <w:r/>
    </w:p>
    <w:p>
      <w:pPr>
        <w:pStyle w:val="1010"/>
        <w:ind w:left="0" w:firstLine="0"/>
        <w:jc w:val="center"/>
        <w:rPr>
          <w:rFonts w:ascii="宋体" w:hAnsi="宋体"/>
          <w:b/>
          <w:sz w:val="44"/>
          <w:szCs w:val="22"/>
        </w:rPr>
      </w:pPr>
      <w:r/>
      <w:bookmarkStart w:id="122" w:name="_Toc105397795"/>
      <w:r>
        <w:rPr>
          <w:rFonts w:hint="eastAsia" w:ascii="宋体" w:hAnsi="宋体"/>
          <w:b/>
          <w:sz w:val="44"/>
          <w:szCs w:val="22"/>
        </w:rPr>
        <w:t xml:space="preserve">第六章 </w:t>
      </w:r>
      <w:bookmarkStart w:id="123" w:name="评分要点"/>
      <w:r/>
      <w:bookmarkEnd w:id="123"/>
      <w:r>
        <w:rPr>
          <w:rFonts w:hint="eastAsia" w:ascii="宋体" w:hAnsi="宋体"/>
          <w:b/>
          <w:sz w:val="44"/>
          <w:szCs w:val="22"/>
        </w:rPr>
        <w:t xml:space="preserve"> 评标办法和评分标准</w:t>
      </w:r>
      <w:bookmarkEnd w:id="106"/>
      <w:r/>
      <w:bookmarkEnd w:id="107"/>
      <w:r/>
      <w:bookmarkEnd w:id="108"/>
      <w:r/>
      <w:bookmarkEnd w:id="122"/>
      <w:r/>
      <w:r/>
    </w:p>
    <w:p>
      <w:pPr>
        <w:ind w:left="0" w:firstLine="422"/>
        <w:spacing w:line="360" w:lineRule="auto"/>
        <w:rPr>
          <w:rFonts w:ascii="宋体" w:hAnsi="宋体"/>
          <w:b/>
          <w:sz w:val="21"/>
          <w:szCs w:val="21"/>
        </w:rPr>
      </w:pPr>
      <w:r/>
      <w:bookmarkStart w:id="124" w:name="_Toc16264"/>
      <w:r/>
      <w:bookmarkStart w:id="125" w:name="_Toc698"/>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7" w:name="OLE_LINK17"/>
      <w:r/>
      <w:bookmarkStart w:id="12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7"/>
      <w:r/>
      <w:bookmarkEnd w:id="128"/>
      <w:r/>
      <w:bookmarkEnd w:id="12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2"/>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2"/>
      </w:pPr>
      <w:r/>
      <w:r/>
    </w:p>
    <w:p>
      <w:pPr>
        <w:pStyle w:val="1028"/>
        <w:rPr>
          <w:rFonts w:ascii="宋体" w:hAnsi="宋体" w:cs="Times New Roman"/>
        </w:rPr>
      </w:pPr>
      <w:r>
        <w:rPr>
          <w:rFonts w:ascii="宋体" w:hAnsi="宋体" w:cs="Times New Roman"/>
        </w:rPr>
      </w:r>
      <w:r/>
    </w:p>
    <w:p>
      <w:r/>
      <w:r/>
    </w:p>
    <w:p>
      <w:pPr>
        <w:pStyle w:val="1022"/>
      </w:pPr>
      <w:r/>
      <w:r/>
    </w:p>
    <w:p>
      <w:r/>
      <w:r/>
    </w:p>
    <w:p>
      <w:pPr>
        <w:pStyle w:val="1022"/>
      </w:pPr>
      <w:r/>
      <w:r/>
    </w:p>
    <w:p>
      <w:r/>
      <w:r/>
    </w:p>
    <w:p>
      <w:pPr>
        <w:pStyle w:val="1022"/>
      </w:pPr>
      <w:r/>
      <w:r/>
    </w:p>
    <w:p>
      <w:r/>
      <w:r/>
    </w:p>
    <w:p>
      <w:pPr>
        <w:pStyle w:val="1022"/>
      </w:pPr>
      <w:r/>
      <w:r/>
    </w:p>
    <w:p>
      <w:r/>
      <w:r/>
    </w:p>
    <w:p>
      <w:pPr>
        <w:pStyle w:val="1022"/>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5</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hint="eastAsia" w:ascii="宋体" w:hAnsi="宋体"/>
          <w:sz w:val="21"/>
        </w:rPr>
        <w:t xml:space="preserve">5</w:t>
      </w:r>
      <w:r>
        <w:rPr>
          <w:rFonts w:ascii="宋体" w:hAnsi="宋体"/>
          <w:sz w:val="21"/>
        </w:rPr>
        <w:t xml:space="preserve">0</w:t>
      </w:r>
      <w:r>
        <w:rPr>
          <w:rFonts w:hint="eastAsia" w:ascii="宋体" w:hAnsi="宋体"/>
          <w:sz w:val="21"/>
        </w:rPr>
        <w:t xml:space="preserve">％×100</w:t>
      </w:r>
      <w:r/>
    </w:p>
    <w:p>
      <w:pPr>
        <w:ind w:left="0" w:firstLine="422"/>
        <w:spacing w:line="360" w:lineRule="auto"/>
        <w:widowControl w:val="off"/>
        <w:rPr>
          <w:rFonts w:ascii="宋体" w:hAnsi="宋体"/>
        </w:rPr>
      </w:pPr>
      <w:r>
        <w:rPr>
          <w:rFonts w:hint="eastAsia" w:ascii="宋体" w:hAnsi="宋体"/>
          <w:b/>
          <w:sz w:val="21"/>
          <w:szCs w:val="21"/>
        </w:rPr>
        <w:t xml:space="preserve">（二）项目实施方案（30分）</w:t>
      </w:r>
      <w:r/>
    </w:p>
    <w:p>
      <w:pPr>
        <w:ind w:left="0" w:firstLine="420"/>
        <w:spacing w:line="360" w:lineRule="auto"/>
        <w:rPr>
          <w:rFonts w:ascii="宋体" w:hAnsi="宋体"/>
          <w:sz w:val="21"/>
          <w:szCs w:val="21"/>
        </w:rPr>
      </w:pPr>
      <w:r>
        <w:rPr>
          <w:rFonts w:hint="eastAsia" w:ascii="宋体" w:hAnsi="宋体"/>
          <w:sz w:val="21"/>
          <w:szCs w:val="21"/>
        </w:rPr>
        <w:t xml:space="preserve">1、根据项目情况投标单位提供项目实施计划方案，包括但不限于：</w:t>
      </w:r>
      <w:r/>
    </w:p>
    <w:p>
      <w:pPr>
        <w:ind w:left="0" w:firstLine="420"/>
        <w:spacing w:line="360" w:lineRule="auto"/>
        <w:rPr>
          <w:rFonts w:ascii="宋体" w:hAnsi="宋体"/>
          <w:sz w:val="21"/>
          <w:szCs w:val="21"/>
        </w:rPr>
      </w:pPr>
      <w:r>
        <w:rPr>
          <w:rFonts w:hint="eastAsia" w:ascii="宋体" w:hAnsi="宋体"/>
          <w:sz w:val="21"/>
          <w:szCs w:val="21"/>
        </w:rPr>
        <w:t xml:space="preserve">（1）按时交货保障措施；</w:t>
      </w:r>
      <w:r/>
    </w:p>
    <w:p>
      <w:pPr>
        <w:ind w:left="0" w:firstLine="420"/>
        <w:spacing w:line="360" w:lineRule="auto"/>
        <w:rPr>
          <w:rFonts w:ascii="宋体" w:hAnsi="宋体"/>
          <w:sz w:val="21"/>
          <w:szCs w:val="21"/>
        </w:rPr>
      </w:pPr>
      <w:r>
        <w:rPr>
          <w:rFonts w:hint="eastAsia" w:ascii="宋体" w:hAnsi="宋体"/>
          <w:sz w:val="21"/>
          <w:szCs w:val="21"/>
        </w:rPr>
        <w:t xml:space="preserve">（2）安全实施计划；</w:t>
      </w:r>
      <w:r/>
    </w:p>
    <w:p>
      <w:pPr>
        <w:pStyle w:val="1022"/>
        <w:ind w:left="0" w:firstLine="420"/>
        <w:rPr>
          <w:rFonts w:ascii="宋体" w:hAnsi="宋体"/>
          <w:sz w:val="21"/>
          <w:szCs w:val="21"/>
        </w:rPr>
      </w:pPr>
      <w:r>
        <w:rPr>
          <w:rFonts w:hint="eastAsia" w:ascii="宋体" w:hAnsi="宋体"/>
          <w:sz w:val="21"/>
          <w:szCs w:val="21"/>
        </w:rPr>
        <w:t xml:space="preserve">（3）质量管理计划；</w:t>
      </w:r>
      <w:r/>
    </w:p>
    <w:p>
      <w:pPr>
        <w:ind w:left="0" w:firstLine="420"/>
        <w:spacing w:line="360" w:lineRule="auto"/>
        <w:rPr>
          <w:rFonts w:ascii="宋体" w:hAnsi="宋体"/>
          <w:sz w:val="21"/>
          <w:szCs w:val="21"/>
        </w:rPr>
      </w:pPr>
      <w:r>
        <w:rPr>
          <w:rFonts w:hint="eastAsia" w:ascii="宋体" w:hAnsi="宋体"/>
          <w:sz w:val="21"/>
          <w:szCs w:val="21"/>
        </w:rPr>
        <w:t xml:space="preserve">（4）工作实施计划；</w:t>
      </w:r>
      <w:r/>
    </w:p>
    <w:p>
      <w:pPr>
        <w:ind w:left="0" w:firstLine="420"/>
        <w:spacing w:line="360" w:lineRule="auto"/>
        <w:rPr>
          <w:rFonts w:ascii="宋体" w:hAnsi="宋体"/>
          <w:sz w:val="21"/>
          <w:szCs w:val="21"/>
        </w:rPr>
      </w:pPr>
      <w:r>
        <w:rPr>
          <w:rFonts w:hint="eastAsia" w:ascii="宋体" w:hAnsi="宋体"/>
          <w:sz w:val="21"/>
          <w:szCs w:val="21"/>
        </w:rPr>
        <w:t xml:space="preserve">（5）人员配置及岗位职责计划；</w:t>
      </w:r>
      <w:r/>
    </w:p>
    <w:p>
      <w:pPr>
        <w:ind w:left="0" w:firstLine="420"/>
        <w:spacing w:line="360" w:lineRule="auto"/>
        <w:rPr>
          <w:rFonts w:ascii="宋体" w:hAnsi="宋体"/>
          <w:sz w:val="21"/>
          <w:szCs w:val="21"/>
        </w:rPr>
      </w:pPr>
      <w:r>
        <w:rPr>
          <w:rFonts w:hint="eastAsia" w:ascii="宋体" w:hAnsi="宋体"/>
          <w:sz w:val="21"/>
          <w:szCs w:val="21"/>
        </w:rPr>
        <w:t xml:space="preserve">（6）货物的包装、运输装卸和存储；</w:t>
      </w:r>
      <w:r/>
    </w:p>
    <w:p>
      <w:pPr>
        <w:ind w:left="0" w:firstLine="420"/>
        <w:spacing w:line="360" w:lineRule="auto"/>
        <w:rPr>
          <w:rFonts w:ascii="宋体" w:hAnsi="宋体"/>
          <w:sz w:val="21"/>
          <w:szCs w:val="21"/>
        </w:rPr>
      </w:pPr>
      <w:r>
        <w:rPr>
          <w:rFonts w:hint="eastAsia" w:ascii="宋体" w:hAnsi="宋体"/>
          <w:sz w:val="21"/>
          <w:szCs w:val="21"/>
        </w:rPr>
        <w:t xml:space="preserve">上述每项应逐条叙述，内容完整，条理清晰的得1分；内容基本完整，条理较为清晰的得0.5分；每项叙述内容完全脱离采购需求或未作完整叙述的不得分。本项最高得6分。</w:t>
      </w:r>
      <w:r/>
    </w:p>
    <w:p>
      <w:pPr>
        <w:numPr>
          <w:ilvl w:val="0"/>
          <w:numId w:val="2"/>
        </w:numPr>
        <w:ind w:left="0" w:firstLine="420"/>
        <w:jc w:val="left"/>
        <w:spacing w:line="360" w:lineRule="auto"/>
        <w:rPr>
          <w:rFonts w:ascii="宋体" w:hAnsi="宋体"/>
          <w:sz w:val="21"/>
          <w:szCs w:val="21"/>
        </w:rPr>
      </w:pPr>
      <w:r>
        <w:rPr>
          <w:rFonts w:hint="eastAsia" w:ascii="宋体" w:hAnsi="宋体"/>
          <w:sz w:val="21"/>
          <w:szCs w:val="21"/>
        </w:rPr>
        <w:t xml:space="preserve">根据项目情况投标单位提供项目进度方案，包括但不限于：</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进度保障措施；</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沟通协调保障；</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问题的及时处理反馈措施；</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进度监控、变差、调整；</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变更管理流程；</w:t>
      </w:r>
      <w:r/>
    </w:p>
    <w:p>
      <w:pPr>
        <w:numPr>
          <w:ilvl w:val="0"/>
          <w:numId w:val="3"/>
        </w:numPr>
        <w:ind w:left="400"/>
        <w:jc w:val="left"/>
        <w:spacing w:line="360" w:lineRule="auto"/>
        <w:rPr>
          <w:rFonts w:ascii="宋体" w:hAnsi="宋体"/>
          <w:sz w:val="21"/>
          <w:szCs w:val="21"/>
        </w:rPr>
      </w:pPr>
      <w:r>
        <w:rPr>
          <w:rFonts w:hint="eastAsia" w:ascii="宋体" w:hAnsi="宋体"/>
          <w:sz w:val="21"/>
          <w:szCs w:val="21"/>
        </w:rPr>
        <w:t xml:space="preserve">进度报告制度。</w:t>
      </w:r>
      <w:r/>
    </w:p>
    <w:p>
      <w:pPr>
        <w:numPr>
          <w:ilvl w:val="255"/>
          <w:numId w:val="0"/>
        </w:numPr>
        <w:ind w:firstLine="420"/>
        <w:jc w:val="left"/>
        <w:spacing w:line="360" w:lineRule="auto"/>
        <w:rPr>
          <w:rFonts w:ascii="宋体" w:hAnsi="宋体"/>
          <w:sz w:val="21"/>
          <w:szCs w:val="21"/>
        </w:rPr>
      </w:pPr>
      <w:r>
        <w:rPr>
          <w:rFonts w:hint="eastAsia" w:ascii="宋体" w:hAnsi="宋体"/>
          <w:sz w:val="21"/>
          <w:szCs w:val="21"/>
        </w:rPr>
        <w:t xml:space="preserve">上述每项应逐条叙述，内容完整，条理清晰的得1分；内容基本完整，条理较为清晰的得0.5分；每项叙述内容完全脱离采购需求或未作完整叙述的不得分。本项最高得6分。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                                                                                                                                                                                                                                                                </w:t>
      </w:r>
      <w:r/>
    </w:p>
    <w:p>
      <w:pPr>
        <w:numPr>
          <w:ilvl w:val="0"/>
          <w:numId w:val="4"/>
        </w:numPr>
        <w:ind w:left="0" w:firstLine="420"/>
        <w:spacing w:line="360" w:lineRule="auto"/>
        <w:widowControl w:val="off"/>
        <w:rPr>
          <w:rFonts w:ascii="宋体" w:hAnsi="宋体"/>
          <w:sz w:val="21"/>
          <w:szCs w:val="21"/>
        </w:rPr>
      </w:pPr>
      <w:r>
        <w:rPr>
          <w:rFonts w:hint="eastAsia" w:ascii="宋体" w:hAnsi="宋体"/>
          <w:sz w:val="21"/>
          <w:szCs w:val="21"/>
        </w:rPr>
        <w:t xml:space="preserve">根据项目情况投标单位提供项目安全管理方案，包括但不限于：</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正常作业时安全防护措施；</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发生事故时的交通组织和安全防护措施；</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消防安全措施；</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质量安全事故的预防措施；</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突发事件应急保障措施；</w:t>
      </w:r>
      <w:r/>
    </w:p>
    <w:p>
      <w:pPr>
        <w:numPr>
          <w:ilvl w:val="0"/>
          <w:numId w:val="5"/>
        </w:numPr>
        <w:ind w:left="400"/>
        <w:spacing w:line="360" w:lineRule="auto"/>
        <w:widowControl w:val="off"/>
        <w:rPr>
          <w:rFonts w:ascii="宋体" w:hAnsi="宋体"/>
          <w:sz w:val="21"/>
          <w:szCs w:val="21"/>
        </w:rPr>
      </w:pPr>
      <w:r>
        <w:rPr>
          <w:rFonts w:hint="eastAsia" w:ascii="宋体" w:hAnsi="宋体"/>
          <w:sz w:val="21"/>
          <w:szCs w:val="21"/>
        </w:rPr>
        <w:t xml:space="preserve">恶劣天气等应急预案。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上述每项应逐条叙述，内容完整，条理清晰的得1分；内容基本完整，条理较为清晰的得0.5分；每项叙述内容完全脱离采购需求或未作完整叙述的不得分。本项最高得6分。</w:t>
      </w:r>
      <w:r/>
    </w:p>
    <w:p>
      <w:pPr>
        <w:numPr>
          <w:ilvl w:val="0"/>
          <w:numId w:val="6"/>
        </w:numPr>
        <w:ind w:left="0" w:firstLine="420"/>
        <w:spacing w:line="360" w:lineRule="auto"/>
        <w:widowControl w:val="off"/>
        <w:rPr>
          <w:rFonts w:ascii="宋体" w:hAnsi="宋体"/>
          <w:sz w:val="21"/>
          <w:szCs w:val="21"/>
        </w:rPr>
      </w:pPr>
      <w:r>
        <w:rPr>
          <w:rFonts w:hint="eastAsia" w:ascii="宋体" w:hAnsi="宋体"/>
          <w:sz w:val="21"/>
          <w:szCs w:val="21"/>
        </w:rPr>
        <w:t xml:space="preserve">根据项目情况投标单位提供企业内部管理各项制度，包括但不限于：</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接管移交管理；</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安全生产管理；</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员工管理、车辆管理；</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档案管理、财务管理；</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工具管理、备件管理；</w:t>
      </w:r>
      <w:r/>
    </w:p>
    <w:p>
      <w:pPr>
        <w:numPr>
          <w:ilvl w:val="0"/>
          <w:numId w:val="7"/>
        </w:numPr>
        <w:ind w:left="400"/>
        <w:spacing w:line="360" w:lineRule="auto"/>
        <w:widowControl w:val="off"/>
        <w:rPr>
          <w:rFonts w:ascii="宋体" w:hAnsi="宋体"/>
          <w:sz w:val="21"/>
          <w:szCs w:val="21"/>
        </w:rPr>
      </w:pPr>
      <w:r>
        <w:rPr>
          <w:rFonts w:hint="eastAsia" w:ascii="宋体" w:hAnsi="宋体"/>
          <w:sz w:val="21"/>
          <w:szCs w:val="21"/>
        </w:rPr>
        <w:t xml:space="preserve">考核奖惩管理等制度、信息反馈及处理机制。</w:t>
      </w:r>
      <w:r/>
    </w:p>
    <w:p>
      <w:pPr>
        <w:numPr>
          <w:ilvl w:val="255"/>
          <w:numId w:val="0"/>
        </w:numPr>
        <w:ind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上述每项应逐条叙述，内容完整，条理清晰的得1分；内容基本完整，条理较为清晰的得0.5分；每项叙述内容完全脱离采购需求或未作完整叙述的不得分。本项最高得6分。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5、根据本项目情况投标单位提供项目售后服务方案，包括但不限于：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（1）售后处理流程；</w:t>
      </w:r>
      <w:r/>
    </w:p>
    <w:p>
      <w:pPr>
        <w:ind w:left="0" w:firstLine="420"/>
        <w:spacing w:line="360" w:lineRule="auto"/>
        <w:widowControl w:val="off"/>
        <w:rPr>
          <w:rFonts w:ascii="宋体" w:hAnsi="宋体"/>
          <w:sz w:val="21"/>
          <w:szCs w:val="21"/>
        </w:rPr>
      </w:pPr>
      <w:r>
        <w:rPr>
          <w:rFonts w:hint="eastAsia" w:ascii="宋体" w:hAnsi="宋体"/>
          <w:sz w:val="21"/>
          <w:szCs w:val="21"/>
        </w:rPr>
        <w:t xml:space="preserve">（2）产品使用说明、保修细则；</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（3）技术服务承诺、质量保证承诺、售后服务承诺；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（4）服务质量保证标准；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（5）售后服务响应时间；</w:t>
      </w:r>
      <w:r/>
    </w:p>
    <w:p>
      <w:pPr>
        <w:ind w:left="0" w:firstLine="420"/>
        <w:spacing w:line="360" w:lineRule="auto"/>
        <w:widowControl w:val="off"/>
        <w:rPr>
          <w:rFonts w:ascii="宋体" w:hAnsi="宋体"/>
          <w:sz w:val="21"/>
          <w:szCs w:val="21"/>
        </w:rPr>
      </w:pPr>
      <w:r>
        <w:rPr>
          <w:rFonts w:hint="eastAsia" w:ascii="宋体" w:hAnsi="宋体"/>
          <w:sz w:val="21"/>
          <w:szCs w:val="21"/>
        </w:rPr>
        <w:t xml:space="preserve">（6）培训计划、售后服务人员、工具配置。</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上述每项应逐条叙述，内容完整，条理清晰的得1分；内容基本完整，条理较为清晰的得0.5分；每项叙述内容完全脱离采购需求或未作完整叙述的不得分。本项最高得6分。</w:t>
      </w:r>
      <w:r/>
    </w:p>
    <w:p>
      <w:pPr>
        <w:ind w:left="0" w:firstLine="422"/>
        <w:spacing w:line="360" w:lineRule="auto"/>
        <w:widowControl w:val="off"/>
        <w:rPr>
          <w:rFonts w:ascii="宋体" w:hAnsi="宋体"/>
          <w:b/>
          <w:szCs w:val="21"/>
        </w:rPr>
      </w:pPr>
      <w:r>
        <w:rPr>
          <w:rFonts w:hint="eastAsia" w:ascii="宋体" w:hAnsi="宋体"/>
          <w:b/>
          <w:sz w:val="21"/>
          <w:szCs w:val="21"/>
        </w:rPr>
        <w:t xml:space="preserve">（三）项目人员服务能力(</w:t>
      </w:r>
      <w:r>
        <w:rPr>
          <w:rFonts w:ascii="宋体" w:hAnsi="宋体"/>
          <w:b/>
          <w:sz w:val="21"/>
          <w:szCs w:val="21"/>
        </w:rPr>
        <w:t xml:space="preserve">8</w:t>
      </w:r>
      <w:r>
        <w:rPr>
          <w:rFonts w:hint="eastAsia" w:ascii="宋体" w:hAnsi="宋体"/>
          <w:b/>
          <w:sz w:val="21"/>
          <w:szCs w:val="21"/>
        </w:rPr>
        <w:t xml:space="preserve">分)</w:t>
      </w:r>
      <w:r/>
    </w:p>
    <w:p>
      <w:pPr>
        <w:ind w:left="0" w:firstLine="420"/>
        <w:spacing w:line="360" w:lineRule="auto"/>
        <w:rPr>
          <w:rFonts w:ascii="宋体" w:hAnsi="宋体"/>
        </w:rPr>
      </w:pPr>
      <w:r>
        <w:rPr>
          <w:rFonts w:hint="eastAsia" w:ascii="宋体" w:hAnsi="宋体"/>
          <w:sz w:val="21"/>
        </w:rPr>
        <w:t xml:space="preserve">1、项目负责人具有本科及以上学历证书得</w:t>
      </w:r>
      <w:r>
        <w:rPr>
          <w:rFonts w:ascii="宋体" w:hAnsi="宋体"/>
          <w:sz w:val="21"/>
        </w:rPr>
        <w:t xml:space="preserve">2</w:t>
      </w:r>
      <w:r>
        <w:rPr>
          <w:rFonts w:hint="eastAsia" w:ascii="宋体" w:hAnsi="宋体"/>
          <w:sz w:val="21"/>
        </w:rPr>
        <w:t xml:space="preserve">分；具有3年及以上相关工作岗位经验的得</w:t>
      </w:r>
      <w:r>
        <w:rPr>
          <w:rFonts w:ascii="宋体" w:hAnsi="宋体"/>
          <w:sz w:val="21"/>
        </w:rPr>
        <w:t xml:space="preserve">2</w:t>
      </w:r>
      <w:r>
        <w:rPr>
          <w:rFonts w:hint="eastAsia" w:ascii="宋体" w:hAnsi="宋体"/>
          <w:sz w:val="21"/>
        </w:rPr>
        <w:t xml:space="preserve">分；本项最高得</w:t>
      </w:r>
      <w:r>
        <w:rPr>
          <w:rFonts w:ascii="宋体" w:hAnsi="宋体"/>
          <w:sz w:val="21"/>
        </w:rPr>
        <w:t xml:space="preserve">4</w:t>
      </w:r>
      <w:r>
        <w:rPr>
          <w:rFonts w:hint="eastAsia" w:ascii="宋体" w:hAnsi="宋体"/>
          <w:sz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2、项目组其他成员具有相关工作岗位经验1年的得1分，2年及以上得2分，本项最高得</w:t>
      </w:r>
      <w:r>
        <w:rPr>
          <w:rFonts w:ascii="宋体" w:hAnsi="宋体"/>
          <w:sz w:val="21"/>
          <w:szCs w:val="21"/>
        </w:rPr>
        <w:t xml:space="preserve">4</w:t>
      </w:r>
      <w:r>
        <w:rPr>
          <w:rFonts w:hint="eastAsia" w:ascii="宋体" w:hAnsi="宋体"/>
          <w:sz w:val="21"/>
          <w:szCs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bookmarkStart w:id="130" w:name="_Hlk155257511"/>
      <w:r>
        <w:rPr>
          <w:rFonts w:hint="eastAsia" w:ascii="宋体" w:hAnsi="宋体"/>
          <w:b/>
          <w:sz w:val="21"/>
          <w:szCs w:val="21"/>
        </w:rPr>
        <w:t xml:space="preserve">注：投标文件中提供</w:t>
      </w:r>
      <w:bookmarkEnd w:id="130"/>
      <w:r>
        <w:rPr>
          <w:rFonts w:hint="eastAsia" w:ascii="宋体" w:hAnsi="宋体"/>
          <w:b/>
          <w:sz w:val="21"/>
          <w:szCs w:val="21"/>
        </w:rPr>
        <w:t xml:space="preserve">以上人员学历证书、工作经验证明材料扫描件并加盖投标单位公章；提供投标单位为该员工缴纳至少最近一期的社保证明扫描件并加盖投标单位公章，未提供相关证明不得分。）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w:t>
      </w:r>
      <w:r>
        <w:rPr>
          <w:rFonts w:hint="eastAsia" w:ascii="宋体" w:hAnsi="宋体"/>
          <w:b/>
          <w:sz w:val="21"/>
          <w:szCs w:val="21"/>
        </w:rPr>
        <w:t xml:space="preserve">服务能力承诺：（3分）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投标单位承诺免费质量保证期在三年的基础上，延长</w:t>
      </w:r>
      <w:r>
        <w:rPr>
          <w:rFonts w:ascii="宋体" w:hAnsi="宋体"/>
          <w:sz w:val="21"/>
          <w:szCs w:val="21"/>
        </w:rPr>
        <w:t xml:space="preserve">6</w:t>
      </w:r>
      <w:r>
        <w:rPr>
          <w:rFonts w:hint="eastAsia" w:ascii="宋体" w:hAnsi="宋体"/>
          <w:sz w:val="21"/>
          <w:szCs w:val="21"/>
        </w:rPr>
        <w:t xml:space="preserve">个月的得1分；延长1</w:t>
      </w:r>
      <w:r>
        <w:rPr>
          <w:rFonts w:ascii="宋体" w:hAnsi="宋体"/>
          <w:sz w:val="21"/>
          <w:szCs w:val="21"/>
        </w:rPr>
        <w:t xml:space="preserve">2</w:t>
      </w:r>
      <w:r>
        <w:rPr>
          <w:rFonts w:hint="eastAsia" w:ascii="宋体" w:hAnsi="宋体"/>
          <w:sz w:val="21"/>
          <w:szCs w:val="21"/>
        </w:rPr>
        <w:t xml:space="preserve">个月的得</w:t>
      </w:r>
      <w:r>
        <w:rPr>
          <w:rFonts w:ascii="宋体" w:hAnsi="宋体"/>
          <w:sz w:val="21"/>
          <w:szCs w:val="21"/>
        </w:rPr>
        <w:t xml:space="preserve">2</w:t>
      </w:r>
      <w:r>
        <w:rPr>
          <w:rFonts w:hint="eastAsia" w:ascii="宋体" w:hAnsi="宋体"/>
          <w:sz w:val="21"/>
          <w:szCs w:val="21"/>
        </w:rPr>
        <w:t xml:space="preserve">分；延长1</w:t>
      </w:r>
      <w:r>
        <w:rPr>
          <w:rFonts w:ascii="宋体" w:hAnsi="宋体"/>
          <w:sz w:val="21"/>
          <w:szCs w:val="21"/>
        </w:rPr>
        <w:t xml:space="preserve">8</w:t>
      </w:r>
      <w:r>
        <w:rPr>
          <w:rFonts w:hint="eastAsia" w:ascii="宋体" w:hAnsi="宋体"/>
          <w:sz w:val="21"/>
          <w:szCs w:val="21"/>
        </w:rPr>
        <w:t xml:space="preserve">个月的得</w:t>
      </w:r>
      <w:r>
        <w:rPr>
          <w:rFonts w:ascii="宋体" w:hAnsi="宋体"/>
          <w:sz w:val="21"/>
          <w:szCs w:val="21"/>
        </w:rPr>
        <w:t xml:space="preserve">3</w:t>
      </w:r>
      <w:r>
        <w:rPr>
          <w:rFonts w:hint="eastAsia" w:ascii="宋体" w:hAnsi="宋体"/>
          <w:sz w:val="21"/>
          <w:szCs w:val="21"/>
        </w:rPr>
        <w:t xml:space="preserve">分；本项最高得3分。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 </w:t>
      </w:r>
      <w:r>
        <w:rPr>
          <w:rFonts w:hint="eastAsia" w:ascii="宋体" w:hAnsi="宋体"/>
          <w:b/>
          <w:sz w:val="21"/>
          <w:szCs w:val="21"/>
        </w:rPr>
        <w:t xml:space="preserve">（</w:t>
      </w:r>
      <w:r>
        <w:rPr>
          <w:rFonts w:hint="eastAsia" w:ascii="宋体" w:hAnsi="宋体"/>
          <w:b/>
          <w:sz w:val="21"/>
          <w:szCs w:val="21"/>
        </w:rPr>
        <w:t xml:space="preserve">注：投标文件中需提供加盖投标单位公章的承诺函扫描件，未提供不得分。</w:t>
      </w:r>
      <w:r>
        <w:rPr>
          <w:rFonts w:hint="eastAsia" w:ascii="宋体" w:hAnsi="宋体"/>
          <w:b/>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（五）企业综合实力（</w:t>
      </w:r>
      <w:r>
        <w:rPr>
          <w:rFonts w:ascii="宋体" w:hAnsi="宋体"/>
          <w:b/>
          <w:sz w:val="21"/>
          <w:szCs w:val="21"/>
        </w:rPr>
        <w:t xml:space="preserve">3</w:t>
      </w:r>
      <w:r>
        <w:rPr>
          <w:rFonts w:hint="eastAsia" w:ascii="宋体" w:hAnsi="宋体"/>
          <w:b/>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投标单位具有有效的质量管理体系认证证书、环境管理体系认证证书、职业健康管理体系认证证书的，每提供一项得1分，最高得3分。</w:t>
      </w:r>
      <w:r/>
    </w:p>
    <w:p>
      <w:pPr>
        <w:ind w:left="0" w:firstLine="422"/>
        <w:spacing w:line="360" w:lineRule="auto"/>
        <w:rPr>
          <w:rFonts w:ascii="宋体" w:hAnsi="宋体"/>
          <w:sz w:val="21"/>
          <w:szCs w:val="21"/>
        </w:rPr>
      </w:pPr>
      <w:r>
        <w:rPr>
          <w:rFonts w:hint="eastAsia" w:ascii="宋体" w:hAnsi="宋体"/>
          <w:b/>
          <w:bCs/>
          <w:sz w:val="21"/>
          <w:szCs w:val="21"/>
        </w:rPr>
        <w:t xml:space="preserve">（注：投标文件中提供以上证书扫描件并加盖投标单位公章或在网站查询记录的网页截图并加盖投标单位公章，未提供不得分。）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（六）类似业绩（6分）</w:t>
      </w:r>
      <w:r/>
    </w:p>
    <w:p>
      <w:pPr>
        <w:ind w:left="0" w:firstLine="420"/>
        <w:spacing w:line="360" w:lineRule="auto"/>
        <w:rPr>
          <w:rFonts w:ascii="宋体" w:hAnsi="宋体"/>
          <w:sz w:val="21"/>
          <w:szCs w:val="21"/>
        </w:rPr>
      </w:pPr>
      <w:r>
        <w:rPr>
          <w:rFonts w:hint="eastAsia" w:ascii="宋体" w:hAnsi="宋体"/>
          <w:sz w:val="21"/>
          <w:szCs w:val="21"/>
        </w:rPr>
        <w:t xml:space="preserve">投标单位2023年1月1日至今</w:t>
      </w:r>
      <w:r>
        <w:rPr>
          <w:rFonts w:hint="eastAsia" w:ascii="宋体" w:hAnsi="宋体"/>
          <w:color w:val="000000"/>
          <w:sz w:val="21"/>
          <w:szCs w:val="21"/>
        </w:rPr>
        <w:t xml:space="preserve">（以合同签订日期为准）</w:t>
      </w:r>
      <w:r>
        <w:rPr>
          <w:rFonts w:hint="eastAsia" w:ascii="宋体" w:hAnsi="宋体"/>
          <w:sz w:val="21"/>
          <w:szCs w:val="21"/>
        </w:rPr>
        <w:t xml:space="preserve">独立承担过类似项目，每提供一项得2分，最高得6分。</w:t>
      </w:r>
      <w:r/>
    </w:p>
    <w:p>
      <w:pPr>
        <w:ind w:left="0" w:firstLine="422"/>
        <w:spacing w:line="360" w:lineRule="auto"/>
        <w:rPr>
          <w:rFonts w:ascii="宋体" w:hAnsi="宋体"/>
          <w:b/>
          <w:bCs/>
          <w:sz w:val="21"/>
          <w:szCs w:val="21"/>
        </w:rPr>
      </w:pPr>
      <w:r>
        <w:rPr>
          <w:rFonts w:hint="eastAsia" w:ascii="宋体" w:hAnsi="宋体"/>
          <w:b/>
          <w:bCs/>
          <w:sz w:val="21"/>
          <w:szCs w:val="21"/>
        </w:rPr>
        <w:t xml:space="preserve">（注：投标文件中提供</w:t>
      </w:r>
      <w:r>
        <w:rPr>
          <w:rFonts w:ascii="宋体" w:hAnsi="宋体"/>
          <w:b/>
          <w:bCs/>
          <w:sz w:val="21"/>
          <w:szCs w:val="21"/>
        </w:rPr>
        <w:t xml:space="preserve">合同</w:t>
      </w:r>
      <w:r>
        <w:rPr>
          <w:rFonts w:hint="eastAsia" w:ascii="宋体" w:hAnsi="宋体"/>
          <w:b/>
          <w:bCs/>
          <w:sz w:val="21"/>
          <w:szCs w:val="21"/>
        </w:rPr>
        <w:t xml:space="preserve">扫描件（合同内容应能体现与本项目类似的工作内容）</w:t>
      </w:r>
      <w:r>
        <w:rPr>
          <w:rFonts w:ascii="宋体" w:hAnsi="宋体"/>
          <w:b/>
          <w:bCs/>
          <w:sz w:val="21"/>
          <w:szCs w:val="21"/>
        </w:rPr>
        <w:t xml:space="preserve">及任意一期的发票</w:t>
      </w:r>
      <w:r>
        <w:rPr>
          <w:rFonts w:hint="eastAsia" w:ascii="宋体" w:hAnsi="宋体"/>
          <w:b/>
          <w:bCs/>
          <w:sz w:val="21"/>
          <w:szCs w:val="21"/>
        </w:rPr>
        <w:t xml:space="preserve">扫描件并加盖投标单位公章</w:t>
      </w:r>
      <w:r>
        <w:rPr>
          <w:rFonts w:ascii="宋体" w:hAnsi="宋体"/>
          <w:b/>
          <w:bCs/>
          <w:sz w:val="21"/>
          <w:szCs w:val="21"/>
        </w:rPr>
        <w:t xml:space="preserve">，</w:t>
      </w:r>
      <w:r>
        <w:rPr>
          <w:rFonts w:hint="eastAsia" w:ascii="宋体" w:hAnsi="宋体"/>
          <w:b/>
          <w:bCs/>
          <w:sz w:val="21"/>
          <w:szCs w:val="21"/>
        </w:rPr>
        <w:t xml:space="preserve">未提供或提供不全的项目不得分。）</w:t>
      </w:r>
      <w:r/>
    </w:p>
    <w:p>
      <w:pPr>
        <w:pStyle w:val="1022"/>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98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5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9"/>
    <w:link w:val="1010"/>
    <w:uiPriority w:val="9"/>
    <w:rPr>
      <w:rFonts w:ascii="Arial" w:hAnsi="Arial" w:eastAsia="Arial" w:cs="Arial"/>
      <w:sz w:val="40"/>
      <w:szCs w:val="40"/>
    </w:rPr>
  </w:style>
  <w:style w:type="character" w:styleId="862">
    <w:name w:val="Heading 2 Char"/>
    <w:basedOn w:val="1019"/>
    <w:link w:val="1011"/>
    <w:uiPriority w:val="9"/>
    <w:rPr>
      <w:rFonts w:ascii="Arial" w:hAnsi="Arial" w:eastAsia="Arial" w:cs="Arial"/>
      <w:sz w:val="34"/>
    </w:rPr>
  </w:style>
  <w:style w:type="character" w:styleId="863">
    <w:name w:val="Heading 3 Char"/>
    <w:basedOn w:val="1019"/>
    <w:link w:val="1012"/>
    <w:uiPriority w:val="9"/>
    <w:rPr>
      <w:rFonts w:ascii="Arial" w:hAnsi="Arial" w:eastAsia="Arial" w:cs="Arial"/>
      <w:sz w:val="30"/>
      <w:szCs w:val="30"/>
    </w:rPr>
  </w:style>
  <w:style w:type="character" w:styleId="864">
    <w:name w:val="Heading 4 Char"/>
    <w:basedOn w:val="1019"/>
    <w:link w:val="1013"/>
    <w:uiPriority w:val="9"/>
    <w:rPr>
      <w:rFonts w:ascii="Arial" w:hAnsi="Arial" w:eastAsia="Arial" w:cs="Arial"/>
      <w:b/>
      <w:bCs/>
      <w:sz w:val="26"/>
      <w:szCs w:val="26"/>
    </w:rPr>
  </w:style>
  <w:style w:type="character" w:styleId="865">
    <w:name w:val="Heading 5 Char"/>
    <w:basedOn w:val="1019"/>
    <w:link w:val="1014"/>
    <w:uiPriority w:val="9"/>
    <w:rPr>
      <w:rFonts w:ascii="Arial" w:hAnsi="Arial" w:eastAsia="Arial" w:cs="Arial"/>
      <w:b/>
      <w:bCs/>
      <w:sz w:val="24"/>
      <w:szCs w:val="24"/>
    </w:rPr>
  </w:style>
  <w:style w:type="character" w:styleId="866">
    <w:name w:val="Heading 6 Char"/>
    <w:basedOn w:val="1019"/>
    <w:link w:val="1015"/>
    <w:uiPriority w:val="9"/>
    <w:rPr>
      <w:rFonts w:ascii="Arial" w:hAnsi="Arial" w:eastAsia="Arial" w:cs="Arial"/>
      <w:b/>
      <w:bCs/>
      <w:sz w:val="22"/>
      <w:szCs w:val="22"/>
    </w:rPr>
  </w:style>
  <w:style w:type="character" w:styleId="867">
    <w:name w:val="Heading 7 Char"/>
    <w:basedOn w:val="1019"/>
    <w:link w:val="1016"/>
    <w:uiPriority w:val="9"/>
    <w:rPr>
      <w:rFonts w:ascii="Arial" w:hAnsi="Arial" w:eastAsia="Arial" w:cs="Arial"/>
      <w:b/>
      <w:bCs/>
      <w:i/>
      <w:iCs/>
      <w:sz w:val="22"/>
      <w:szCs w:val="22"/>
    </w:rPr>
  </w:style>
  <w:style w:type="character" w:styleId="868">
    <w:name w:val="Heading 8 Char"/>
    <w:basedOn w:val="1019"/>
    <w:link w:val="1017"/>
    <w:uiPriority w:val="9"/>
    <w:rPr>
      <w:rFonts w:ascii="Arial" w:hAnsi="Arial" w:eastAsia="Arial" w:cs="Arial"/>
      <w:i/>
      <w:iCs/>
      <w:sz w:val="22"/>
      <w:szCs w:val="22"/>
    </w:rPr>
  </w:style>
  <w:style w:type="character" w:styleId="869">
    <w:name w:val="Heading 9 Char"/>
    <w:basedOn w:val="1019"/>
    <w:link w:val="1018"/>
    <w:uiPriority w:val="9"/>
    <w:rPr>
      <w:rFonts w:ascii="Arial" w:hAnsi="Arial" w:eastAsia="Arial" w:cs="Arial"/>
      <w:i/>
      <w:iCs/>
      <w:sz w:val="21"/>
      <w:szCs w:val="21"/>
    </w:rPr>
  </w:style>
  <w:style w:type="paragraph" w:styleId="870">
    <w:name w:val="No Spacing"/>
    <w:uiPriority w:val="1"/>
    <w:qFormat/>
    <w:pPr>
      <w:spacing w:before="0" w:after="0" w:line="240" w:lineRule="auto"/>
    </w:pPr>
  </w:style>
  <w:style w:type="paragraph" w:styleId="871">
    <w:name w:val="Title"/>
    <w:basedOn w:val="1009"/>
    <w:next w:val="1009"/>
    <w:link w:val="872"/>
    <w:uiPriority w:val="10"/>
    <w:qFormat/>
    <w:pPr>
      <w:contextualSpacing/>
      <w:spacing w:before="300" w:after="200"/>
    </w:pPr>
    <w:rPr>
      <w:sz w:val="48"/>
      <w:szCs w:val="48"/>
    </w:rPr>
  </w:style>
  <w:style w:type="character" w:styleId="872">
    <w:name w:val="Title Char"/>
    <w:basedOn w:val="1019"/>
    <w:link w:val="871"/>
    <w:uiPriority w:val="10"/>
    <w:rPr>
      <w:sz w:val="48"/>
      <w:szCs w:val="48"/>
    </w:rPr>
  </w:style>
  <w:style w:type="character" w:styleId="873">
    <w:name w:val="Subtitle Char"/>
    <w:basedOn w:val="1019"/>
    <w:link w:val="1056"/>
    <w:uiPriority w:val="11"/>
    <w:rPr>
      <w:sz w:val="24"/>
      <w:szCs w:val="24"/>
    </w:rPr>
  </w:style>
  <w:style w:type="character" w:styleId="874">
    <w:name w:val="Quote Char"/>
    <w:link w:val="1261"/>
    <w:uiPriority w:val="29"/>
    <w:rPr>
      <w:i/>
    </w:rPr>
  </w:style>
  <w:style w:type="character" w:styleId="875">
    <w:name w:val="Intense Quote Char"/>
    <w:link w:val="1387"/>
    <w:uiPriority w:val="30"/>
    <w:rPr>
      <w:i/>
    </w:rPr>
  </w:style>
  <w:style w:type="character" w:styleId="876">
    <w:name w:val="Header Char"/>
    <w:basedOn w:val="1019"/>
    <w:link w:val="1054"/>
    <w:uiPriority w:val="99"/>
  </w:style>
  <w:style w:type="character" w:styleId="877">
    <w:name w:val="Footer Char"/>
    <w:basedOn w:val="1019"/>
    <w:link w:val="1052"/>
    <w:uiPriority w:val="99"/>
  </w:style>
  <w:style w:type="character" w:styleId="878">
    <w:name w:val="Caption Char"/>
    <w:basedOn w:val="1029"/>
    <w:link w:val="1052"/>
    <w:uiPriority w:val="99"/>
  </w:style>
  <w:style w:type="table" w:styleId="879">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Footnote Text Char"/>
    <w:link w:val="1059"/>
    <w:uiPriority w:val="99"/>
    <w:rPr>
      <w:sz w:val="18"/>
    </w:rPr>
  </w:style>
  <w:style w:type="character" w:styleId="1005">
    <w:name w:val="Endnote Text Char"/>
    <w:link w:val="1049"/>
    <w:uiPriority w:val="99"/>
    <w:rPr>
      <w:sz w:val="20"/>
    </w:rPr>
  </w:style>
  <w:style w:type="character" w:styleId="1006">
    <w:name w:val="endnote reference"/>
    <w:basedOn w:val="1019"/>
    <w:uiPriority w:val="99"/>
    <w:semiHidden/>
    <w:unhideWhenUsed/>
    <w:rPr>
      <w:vertAlign w:val="superscript"/>
    </w:r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22"/>
    <w:qFormat/>
    <w:pPr>
      <w:ind w:left="1024"/>
      <w:jc w:val="both"/>
    </w:pPr>
    <w:rPr>
      <w:rFonts w:ascii="Calibri" w:hAnsi="Calibri"/>
    </w:rPr>
  </w:style>
  <w:style w:type="paragraph" w:styleId="1010">
    <w:name w:val="Heading 1"/>
    <w:basedOn w:val="1009"/>
    <w:next w:val="1009"/>
    <w:link w:val="1438"/>
    <w:qFormat/>
    <w:pPr>
      <w:ind w:left="432" w:firstLine="18"/>
      <w:spacing w:before="340" w:after="330" w:line="578" w:lineRule="auto"/>
      <w:outlineLvl w:val="0"/>
    </w:pPr>
  </w:style>
  <w:style w:type="paragraph" w:styleId="1011">
    <w:name w:val="Heading 2"/>
    <w:basedOn w:val="1009"/>
    <w:next w:val="1009"/>
    <w:link w:val="1439"/>
    <w:qFormat/>
    <w:pPr>
      <w:ind w:left="576" w:firstLine="24"/>
      <w:spacing w:before="260" w:after="260" w:line="416" w:lineRule="auto"/>
      <w:outlineLvl w:val="1"/>
    </w:pPr>
    <w:rPr>
      <w:rFonts w:ascii="Times New Roman" w:hAnsi="Times New Roman" w:cs="Times New Roman"/>
    </w:rPr>
  </w:style>
  <w:style w:type="paragraph" w:styleId="1012">
    <w:name w:val="Heading 3"/>
    <w:basedOn w:val="1009"/>
    <w:next w:val="1023"/>
    <w:link w:val="1440"/>
    <w:qFormat/>
    <w:pPr>
      <w:ind w:left="720"/>
      <w:spacing w:before="260" w:after="260" w:line="416" w:lineRule="auto"/>
      <w:outlineLvl w:val="2"/>
    </w:pPr>
    <w:rPr>
      <w:rFonts w:ascii="Times New Roman" w:hAnsi="Times New Roman" w:cs="Times New Roman"/>
    </w:rPr>
  </w:style>
  <w:style w:type="paragraph" w:styleId="1013">
    <w:name w:val="Heading 4"/>
    <w:basedOn w:val="1010"/>
    <w:next w:val="1009"/>
    <w:link w:val="1441"/>
    <w:qFormat/>
    <w:pPr>
      <w:ind w:left="864" w:firstLine="24"/>
      <w:spacing w:before="280" w:after="290" w:line="376" w:lineRule="auto"/>
      <w:outlineLvl w:val="3"/>
    </w:pPr>
    <w:rPr>
      <w:rFonts w:ascii="Times New Roman" w:hAnsi="Times New Roman" w:cs="Times New Roman"/>
    </w:rPr>
  </w:style>
  <w:style w:type="paragraph" w:styleId="1014">
    <w:name w:val="Heading 5"/>
    <w:basedOn w:val="1010"/>
    <w:next w:val="1009"/>
    <w:link w:val="1442"/>
    <w:qFormat/>
    <w:pPr>
      <w:ind w:left="1008"/>
      <w:spacing w:before="280" w:after="290" w:line="376" w:lineRule="auto"/>
      <w:outlineLvl w:val="4"/>
    </w:pPr>
    <w:rPr>
      <w:rFonts w:ascii="Times New Roman" w:hAnsi="Times New Roman" w:cs="Times New Roman"/>
    </w:rPr>
  </w:style>
  <w:style w:type="paragraph" w:styleId="1015">
    <w:name w:val="Heading 6"/>
    <w:basedOn w:val="1010"/>
    <w:next w:val="1009"/>
    <w:link w:val="1443"/>
    <w:qFormat/>
    <w:pPr>
      <w:ind w:left="1152" w:firstLine="20"/>
      <w:spacing w:before="240" w:after="64" w:line="320" w:lineRule="auto"/>
      <w:outlineLvl w:val="5"/>
    </w:pPr>
    <w:rPr>
      <w:rFonts w:ascii="Times New Roman" w:hAnsi="Times New Roman" w:cs="Times New Roman"/>
    </w:rPr>
  </w:style>
  <w:style w:type="paragraph" w:styleId="1016">
    <w:name w:val="Heading 7"/>
    <w:basedOn w:val="1010"/>
    <w:next w:val="1009"/>
    <w:link w:val="1444"/>
    <w:qFormat/>
    <w:pPr>
      <w:ind w:left="1296" w:firstLine="14"/>
      <w:spacing w:before="240" w:after="64" w:line="320" w:lineRule="auto"/>
      <w:outlineLvl w:val="6"/>
    </w:pPr>
    <w:rPr>
      <w:rFonts w:ascii="Times New Roman" w:hAnsi="Times New Roman" w:cs="Times New Roman"/>
    </w:rPr>
  </w:style>
  <w:style w:type="paragraph" w:styleId="1017">
    <w:name w:val="Heading 8"/>
    <w:basedOn w:val="1010"/>
    <w:next w:val="1009"/>
    <w:link w:val="1445"/>
    <w:qFormat/>
    <w:pPr>
      <w:ind w:left="1440"/>
      <w:spacing w:before="240" w:after="64" w:line="320" w:lineRule="auto"/>
      <w:outlineLvl w:val="7"/>
    </w:pPr>
    <w:rPr>
      <w:rFonts w:ascii="Times New Roman" w:hAnsi="Times New Roman" w:cs="Times New Roman"/>
    </w:rPr>
  </w:style>
  <w:style w:type="paragraph" w:styleId="1018">
    <w:name w:val="Heading 9"/>
    <w:basedOn w:val="1010"/>
    <w:next w:val="1009"/>
    <w:link w:val="1446"/>
    <w:qFormat/>
    <w:pPr>
      <w:ind w:left="1584" w:firstLine="22"/>
      <w:spacing w:before="240" w:after="64" w:line="320" w:lineRule="auto"/>
      <w:outlineLvl w:val="8"/>
    </w:pPr>
    <w:rPr>
      <w:rFonts w:ascii="Times New Roman" w:hAnsi="Times New Roman" w:cs="Times New Roman"/>
    </w:rPr>
  </w:style>
  <w:style w:type="character" w:styleId="1019" w:default="1">
    <w:name w:val="Default Paragraph Font"/>
    <w:uiPriority w:val="1"/>
    <w:semiHidden/>
    <w:unhideWhenUsed/>
  </w:style>
  <w:style w:type="table" w:styleId="1020" w:default="1">
    <w:name w:val="Normal Table"/>
    <w:uiPriority w:val="99"/>
    <w:semiHidden/>
    <w:unhideWhenUsed/>
    <w:tblPr>
      <w:tblInd w:w="0" w:type="dxa"/>
      <w:tblCellMar>
        <w:left w:w="108" w:type="dxa"/>
        <w:top w:w="0" w:type="dxa"/>
        <w:right w:w="108" w:type="dxa"/>
        <w:bottom w:w="0" w:type="dxa"/>
      </w:tblCellMar>
    </w:tblPr>
  </w:style>
  <w:style w:type="numbering" w:styleId="1021" w:default="1">
    <w:name w:val="No List"/>
    <w:uiPriority w:val="99"/>
    <w:semiHidden/>
    <w:unhideWhenUsed/>
  </w:style>
  <w:style w:type="paragraph" w:styleId="1022">
    <w:name w:val="Body Text Indent"/>
    <w:basedOn w:val="1009"/>
    <w:next w:val="1009"/>
    <w:link w:val="1430"/>
    <w:qFormat/>
    <w:pPr>
      <w:ind w:left="420" w:firstLine="1188"/>
      <w:spacing w:line="360" w:lineRule="exact"/>
    </w:pPr>
    <w:rPr>
      <w:rFonts w:ascii="Times New Roman" w:hAnsi="Times New Roman" w:cs="Times New Roman"/>
    </w:rPr>
  </w:style>
  <w:style w:type="paragraph" w:styleId="1023" w:customStyle="1">
    <w:name w:val="正文2"/>
    <w:basedOn w:val="1009"/>
    <w:next w:val="1009"/>
    <w:qFormat/>
    <w:pPr>
      <w:ind w:left="0" w:hanging="2155"/>
      <w:spacing w:line="360" w:lineRule="auto"/>
      <w:shd w:val="clear" w:color="auto" w:fill="ffffff"/>
    </w:pPr>
    <w:rPr>
      <w:rFonts w:ascii="宋体" w:hAnsi="宋体"/>
    </w:rPr>
  </w:style>
  <w:style w:type="paragraph" w:styleId="1024">
    <w:name w:val="toc 7"/>
    <w:basedOn w:val="1010"/>
    <w:next w:val="1009"/>
    <w:qFormat/>
    <w:pPr>
      <w:ind w:left="1640" w:firstLine="3784"/>
      <w:spacing w:before="0" w:after="0" w:line="360" w:lineRule="auto"/>
    </w:pPr>
    <w:rPr>
      <w:rFonts w:ascii="Times New Roman" w:hAnsi="Times New Roman" w:cs="Times New Roman"/>
    </w:rPr>
  </w:style>
  <w:style w:type="paragraph" w:styleId="1025">
    <w:name w:val="List Bullet 4"/>
    <w:basedOn w:val="1010"/>
    <w:next w:val="1026"/>
    <w:qFormat/>
    <w:pPr>
      <w:ind w:left="1620" w:firstLine="2652"/>
      <w:spacing w:before="0" w:after="0" w:line="360" w:lineRule="auto"/>
    </w:pPr>
    <w:rPr>
      <w:rFonts w:ascii="Times New Roman" w:hAnsi="Times New Roman" w:cs="Times New Roman"/>
    </w:rPr>
  </w:style>
  <w:style w:type="paragraph" w:styleId="1026">
    <w:name w:val="List Bullet 2"/>
    <w:basedOn w:val="1010"/>
    <w:next w:val="1009"/>
    <w:qFormat/>
    <w:pPr>
      <w:ind w:left="900" w:firstLine="2652"/>
      <w:spacing w:before="0" w:after="0" w:line="360" w:lineRule="auto"/>
    </w:pPr>
    <w:rPr>
      <w:rFonts w:ascii="Times New Roman" w:hAnsi="Times New Roman" w:cs="Times New Roman"/>
    </w:rPr>
  </w:style>
  <w:style w:type="paragraph" w:styleId="1027">
    <w:name w:val="List Number"/>
    <w:basedOn w:val="1010"/>
    <w:next w:val="1009"/>
    <w:qFormat/>
    <w:pPr>
      <w:ind w:left="454" w:firstLine="2788"/>
      <w:spacing w:before="0" w:after="0" w:line="240" w:lineRule="auto"/>
    </w:pPr>
    <w:rPr>
      <w:rFonts w:ascii="Times New Roman" w:hAnsi="Times New Roman" w:cs="Times New Roman"/>
    </w:rPr>
  </w:style>
  <w:style w:type="paragraph" w:styleId="1028">
    <w:name w:val="Normal Indent"/>
    <w:basedOn w:val="1009"/>
    <w:next w:val="1009"/>
    <w:link w:val="1078"/>
    <w:qFormat/>
    <w:pPr>
      <w:ind w:left="420" w:firstLine="4772"/>
    </w:pPr>
  </w:style>
  <w:style w:type="paragraph" w:styleId="1029">
    <w:name w:val="Caption"/>
    <w:basedOn w:val="1010"/>
    <w:next w:val="1009"/>
    <w:qFormat/>
    <w:pPr>
      <w:ind w:left="200" w:firstLine="2248"/>
      <w:jc w:val="center"/>
      <w:spacing w:before="0" w:after="0" w:line="240" w:lineRule="auto"/>
    </w:pPr>
    <w:rPr>
      <w:rFonts w:ascii="Times New Roman" w:hAnsi="Times New Roman" w:cs="Times New Roman"/>
    </w:rPr>
  </w:style>
  <w:style w:type="paragraph" w:styleId="1030">
    <w:name w:val="List Bullet"/>
    <w:basedOn w:val="1010"/>
    <w:next w:val="1009"/>
    <w:qFormat/>
    <w:pPr>
      <w:ind w:left="900" w:firstLine="2652"/>
      <w:spacing w:before="0" w:after="0" w:line="360" w:lineRule="auto"/>
    </w:pPr>
    <w:rPr>
      <w:rFonts w:ascii="Times New Roman" w:hAnsi="Times New Roman" w:cs="Times New Roman"/>
    </w:rPr>
  </w:style>
  <w:style w:type="paragraph" w:styleId="1031">
    <w:name w:val="Document Map"/>
    <w:basedOn w:val="1010"/>
    <w:next w:val="1032"/>
    <w:qFormat/>
    <w:pPr>
      <w:ind w:left="0" w:firstLine="4"/>
      <w:spacing w:before="0" w:after="0" w:line="240" w:lineRule="auto"/>
      <w:shd w:val="clear" w:color="000000" w:fill="000080"/>
    </w:pPr>
    <w:rPr>
      <w:rFonts w:ascii="Times New Roman" w:hAnsi="Times New Roman" w:cs="Times New Roman"/>
    </w:rPr>
  </w:style>
  <w:style w:type="paragraph" w:styleId="1032">
    <w:name w:val="annotation subject"/>
    <w:next w:val="1009"/>
    <w:qFormat/>
    <w:pPr>
      <w:ind w:firstLine="4608"/>
      <w:spacing w:line="360" w:lineRule="auto"/>
    </w:pPr>
    <w:rPr>
      <w:rFonts w:ascii="Calibri" w:hAnsi="Calibri"/>
    </w:rPr>
  </w:style>
  <w:style w:type="paragraph" w:styleId="1033">
    <w:name w:val="annotation text"/>
    <w:basedOn w:val="1010"/>
    <w:next w:val="1009"/>
    <w:qFormat/>
    <w:pPr>
      <w:ind w:left="0" w:firstLine="3584"/>
      <w:spacing w:before="0" w:after="0" w:line="360" w:lineRule="auto"/>
    </w:pPr>
    <w:rPr>
      <w:rFonts w:ascii="Times New Roman" w:hAnsi="Times New Roman" w:cs="Times New Roman"/>
    </w:rPr>
  </w:style>
  <w:style w:type="paragraph" w:styleId="1034">
    <w:name w:val="Body Text 3"/>
    <w:basedOn w:val="1010"/>
    <w:next w:val="1009"/>
    <w:link w:val="1448"/>
    <w:qFormat/>
    <w:pPr>
      <w:ind w:left="0" w:firstLine="2048"/>
      <w:spacing w:before="0" w:after="0" w:line="500" w:lineRule="exact"/>
    </w:pPr>
    <w:rPr>
      <w:rFonts w:ascii="Times New Roman" w:hAnsi="Times New Roman" w:cs="Times New Roman"/>
    </w:rPr>
  </w:style>
  <w:style w:type="paragraph" w:styleId="1035">
    <w:name w:val="List Bullet 3"/>
    <w:basedOn w:val="1010"/>
    <w:next w:val="1009"/>
    <w:qFormat/>
    <w:pPr>
      <w:ind w:left="900" w:firstLine="2652"/>
      <w:spacing w:before="0" w:after="0" w:line="360" w:lineRule="auto"/>
    </w:pPr>
    <w:rPr>
      <w:rFonts w:ascii="Times New Roman" w:hAnsi="Times New Roman" w:cs="Times New Roman"/>
    </w:rPr>
  </w:style>
  <w:style w:type="paragraph" w:styleId="1036">
    <w:name w:val="Body Text"/>
    <w:basedOn w:val="1009"/>
    <w:next w:val="1009"/>
    <w:qFormat/>
    <w:pPr>
      <w:ind w:left="0" w:firstLine="2560"/>
    </w:pPr>
    <w:rPr>
      <w:rFonts w:ascii="Times New Roman" w:hAnsi="Times New Roman" w:cs="Times New Roman"/>
    </w:rPr>
  </w:style>
  <w:style w:type="paragraph" w:styleId="1037">
    <w:name w:val="List Number 3"/>
    <w:basedOn w:val="1010"/>
    <w:next w:val="1009"/>
    <w:qFormat/>
    <w:pPr>
      <w:ind w:left="420" w:firstLine="3584"/>
      <w:spacing w:before="0" w:after="0" w:line="240" w:lineRule="auto"/>
    </w:pPr>
    <w:rPr>
      <w:rFonts w:ascii="Times New Roman" w:hAnsi="Times New Roman" w:cs="Times New Roman"/>
    </w:rPr>
  </w:style>
  <w:style w:type="paragraph" w:styleId="1038">
    <w:name w:val="List 2"/>
    <w:basedOn w:val="1010"/>
    <w:next w:val="1024"/>
    <w:qFormat/>
    <w:pPr>
      <w:ind w:left="100" w:firstLine="3640"/>
      <w:spacing w:before="0" w:after="0" w:line="240" w:lineRule="auto"/>
    </w:pPr>
    <w:rPr>
      <w:rFonts w:ascii="Times New Roman" w:hAnsi="Times New Roman" w:cs="Times New Roman"/>
    </w:rPr>
  </w:style>
  <w:style w:type="paragraph" w:styleId="1039">
    <w:name w:val="Block Text"/>
    <w:basedOn w:val="1010"/>
    <w:next w:val="1009"/>
    <w:qFormat/>
    <w:pPr>
      <w:ind w:left="420" w:right="33" w:firstLine="2560"/>
      <w:spacing w:before="0" w:after="0" w:line="240" w:lineRule="auto"/>
    </w:pPr>
    <w:rPr>
      <w:rFonts w:ascii="Times New Roman" w:hAnsi="Times New Roman" w:cs="Times New Roman"/>
    </w:rPr>
  </w:style>
  <w:style w:type="paragraph" w:styleId="1040">
    <w:name w:val="toc 5"/>
    <w:basedOn w:val="1010"/>
    <w:next w:val="1009"/>
    <w:qFormat/>
    <w:pPr>
      <w:ind w:left="1160" w:firstLine="3784"/>
      <w:spacing w:before="0" w:after="0" w:line="360" w:lineRule="auto"/>
    </w:pPr>
    <w:rPr>
      <w:rFonts w:ascii="Times New Roman" w:hAnsi="Times New Roman" w:cs="Times New Roman"/>
    </w:rPr>
  </w:style>
  <w:style w:type="paragraph" w:styleId="1041">
    <w:name w:val="toc 3"/>
    <w:basedOn w:val="1010"/>
    <w:next w:val="1009"/>
    <w:qFormat/>
    <w:pPr>
      <w:ind w:left="0" w:firstLine="1024"/>
      <w:spacing w:before="0" w:after="0" w:line="360" w:lineRule="auto"/>
    </w:pPr>
    <w:rPr>
      <w:rFonts w:ascii="Times New Roman" w:hAnsi="Times New Roman" w:cs="Times New Roman"/>
    </w:rPr>
  </w:style>
  <w:style w:type="paragraph" w:styleId="1042">
    <w:name w:val="Plain Text"/>
    <w:basedOn w:val="1010"/>
    <w:next w:val="1043"/>
    <w:link w:val="1449"/>
    <w:qFormat/>
    <w:pPr>
      <w:ind w:left="0" w:firstLine="2048"/>
      <w:spacing w:before="0" w:after="0" w:line="240" w:lineRule="auto"/>
    </w:pPr>
    <w:rPr>
      <w:rFonts w:ascii="Times New Roman" w:hAnsi="Times New Roman" w:cs="Times New Roman"/>
    </w:rPr>
  </w:style>
  <w:style w:type="paragraph" w:styleId="1043">
    <w:name w:val="toc 1"/>
    <w:basedOn w:val="1010"/>
    <w:next w:val="1009"/>
    <w:uiPriority w:val="39"/>
    <w:qFormat/>
    <w:pPr>
      <w:ind w:left="0" w:firstLine="4608"/>
      <w:spacing w:before="0" w:after="0" w:line="240" w:lineRule="auto"/>
    </w:pPr>
    <w:rPr>
      <w:rFonts w:ascii="Times New Roman" w:hAnsi="Times New Roman" w:cs="Times New Roman"/>
    </w:rPr>
  </w:style>
  <w:style w:type="paragraph" w:styleId="1044">
    <w:name w:val="List Bullet 5"/>
    <w:basedOn w:val="1010"/>
    <w:next w:val="1045"/>
    <w:qFormat/>
    <w:pPr>
      <w:ind w:left="2040" w:firstLine="2560"/>
      <w:spacing w:before="0" w:after="0" w:line="360" w:lineRule="auto"/>
    </w:pPr>
    <w:rPr>
      <w:rFonts w:ascii="Times New Roman" w:hAnsi="Times New Roman" w:cs="Times New Roman"/>
    </w:rPr>
  </w:style>
  <w:style w:type="paragraph" w:styleId="1045" w:customStyle="1">
    <w:name w:val="正文首行缩进1"/>
    <w:next w:val="1037"/>
    <w:qFormat/>
    <w:pPr>
      <w:ind w:left="420" w:firstLine="2724"/>
      <w:spacing w:after="120" w:line="360" w:lineRule="auto"/>
    </w:pPr>
    <w:rPr>
      <w:rFonts w:ascii="Calibri" w:hAnsi="Calibri"/>
    </w:rPr>
  </w:style>
  <w:style w:type="paragraph" w:styleId="1046">
    <w:name w:val="toc 8"/>
    <w:basedOn w:val="1010"/>
    <w:next w:val="1009"/>
    <w:qFormat/>
    <w:pPr>
      <w:ind w:left="1880" w:firstLine="3784"/>
      <w:spacing w:before="0" w:after="0" w:line="360" w:lineRule="auto"/>
    </w:pPr>
    <w:rPr>
      <w:rFonts w:ascii="Times New Roman" w:hAnsi="Times New Roman" w:cs="Times New Roman"/>
    </w:rPr>
  </w:style>
  <w:style w:type="paragraph" w:styleId="1047">
    <w:name w:val="Date"/>
    <w:basedOn w:val="1010"/>
    <w:next w:val="1009"/>
    <w:link w:val="1450"/>
    <w:qFormat/>
    <w:pPr>
      <w:ind w:left="0" w:firstLine="2560"/>
      <w:spacing w:before="0" w:after="0" w:line="240" w:lineRule="auto"/>
    </w:pPr>
    <w:rPr>
      <w:rFonts w:ascii="Times New Roman" w:hAnsi="Times New Roman" w:cs="Times New Roman"/>
    </w:rPr>
  </w:style>
  <w:style w:type="paragraph" w:styleId="1048">
    <w:name w:val="Body Text Indent 2"/>
    <w:basedOn w:val="1010"/>
    <w:next w:val="1022"/>
    <w:link w:val="1451"/>
    <w:qFormat/>
    <w:pPr>
      <w:ind w:left="481" w:firstLine="2784"/>
      <w:spacing w:before="0" w:after="0" w:line="400" w:lineRule="exact"/>
    </w:pPr>
    <w:rPr>
      <w:rFonts w:ascii="Times New Roman" w:hAnsi="Times New Roman" w:cs="Times New Roman"/>
    </w:rPr>
  </w:style>
  <w:style w:type="paragraph" w:styleId="1049">
    <w:name w:val="endnote text"/>
    <w:basedOn w:val="1010"/>
    <w:next w:val="1050"/>
    <w:link w:val="1452"/>
    <w:qFormat/>
    <w:pPr>
      <w:ind w:left="0" w:firstLine="2560"/>
      <w:spacing w:before="0" w:after="0" w:line="360" w:lineRule="auto"/>
    </w:pPr>
    <w:rPr>
      <w:rFonts w:ascii="Times New Roman" w:hAnsi="Times New Roman" w:cs="Times New Roman"/>
    </w:rPr>
  </w:style>
  <w:style w:type="paragraph" w:styleId="1050" w:customStyle="1">
    <w:name w:val="Char11"/>
    <w:basedOn w:val="1010"/>
    <w:next w:val="1009"/>
    <w:qFormat/>
    <w:pPr>
      <w:ind w:left="0" w:firstLine="3584"/>
      <w:spacing w:before="0" w:after="0" w:line="240" w:lineRule="auto"/>
    </w:pPr>
    <w:rPr>
      <w:rFonts w:ascii="Times New Roman" w:hAnsi="Times New Roman" w:cs="Times New Roman"/>
    </w:rPr>
  </w:style>
  <w:style w:type="paragraph" w:styleId="1051">
    <w:name w:val="Balloon Text"/>
    <w:basedOn w:val="1010"/>
    <w:next w:val="1027"/>
    <w:qFormat/>
    <w:pPr>
      <w:ind w:left="0" w:firstLine="2048"/>
      <w:spacing w:before="0" w:after="0" w:line="240" w:lineRule="auto"/>
    </w:pPr>
    <w:rPr>
      <w:rFonts w:ascii="Times New Roman" w:hAnsi="Times New Roman" w:cs="Times New Roman"/>
    </w:rPr>
  </w:style>
  <w:style w:type="paragraph" w:styleId="1052">
    <w:name w:val="Footer"/>
    <w:basedOn w:val="1009"/>
    <w:next w:val="1053"/>
    <w:link w:val="1079"/>
    <w:qFormat/>
    <w:pPr>
      <w:ind w:left="0" w:firstLine="3584"/>
    </w:pPr>
  </w:style>
  <w:style w:type="paragraph" w:styleId="1053" w:customStyle="1">
    <w:name w:val="Char Char Char Char Char Char Char Char Char Char Char Char Char"/>
    <w:basedOn w:val="1010"/>
    <w:next w:val="1009"/>
    <w:qFormat/>
    <w:pPr>
      <w:ind w:left="0" w:firstLine="3584"/>
      <w:spacing w:before="0" w:after="160" w:line="240" w:lineRule="exact"/>
    </w:pPr>
    <w:rPr>
      <w:rFonts w:ascii="Times New Roman" w:hAnsi="Times New Roman" w:cs="Times New Roman"/>
    </w:rPr>
  </w:style>
  <w:style w:type="paragraph" w:styleId="1054">
    <w:name w:val="Header"/>
    <w:basedOn w:val="1010"/>
    <w:next w:val="1047"/>
    <w:link w:val="1080"/>
    <w:qFormat/>
    <w:pPr>
      <w:ind w:left="0" w:firstLine="3584"/>
      <w:jc w:val="center"/>
      <w:spacing w:before="0" w:after="0" w:line="240" w:lineRule="auto"/>
    </w:pPr>
  </w:style>
  <w:style w:type="paragraph" w:styleId="1055">
    <w:name w:val="toc 4"/>
    <w:basedOn w:val="1010"/>
    <w:next w:val="1009"/>
    <w:qFormat/>
    <w:pPr>
      <w:ind w:left="1260" w:firstLine="1024"/>
      <w:spacing w:before="0" w:after="0" w:line="240" w:lineRule="auto"/>
    </w:pPr>
    <w:rPr>
      <w:rFonts w:ascii="Times New Roman" w:hAnsi="Times New Roman" w:cs="Times New Roman"/>
    </w:rPr>
  </w:style>
  <w:style w:type="paragraph" w:styleId="1056">
    <w:name w:val="Subtitle"/>
    <w:next w:val="1009"/>
    <w:link w:val="1453"/>
    <w:qFormat/>
    <w:pPr>
      <w:ind w:left="1024"/>
      <w:jc w:val="center"/>
      <w:spacing w:after="60"/>
    </w:pPr>
    <w:rPr>
      <w:rFonts w:ascii="Calibri" w:hAnsi="Calibri"/>
    </w:rPr>
  </w:style>
  <w:style w:type="paragraph" w:styleId="1057">
    <w:name w:val="List"/>
    <w:basedOn w:val="1010"/>
    <w:next w:val="1058"/>
    <w:qFormat/>
    <w:pPr>
      <w:ind w:left="200" w:firstLine="3640"/>
      <w:spacing w:before="0" w:after="0" w:line="240" w:lineRule="auto"/>
    </w:pPr>
    <w:rPr>
      <w:rFonts w:ascii="Times New Roman" w:hAnsi="Times New Roman" w:cs="Times New Roman"/>
    </w:rPr>
  </w:style>
  <w:style w:type="paragraph" w:styleId="1058">
    <w:name w:val="Body Text First Indent"/>
    <w:next w:val="1009"/>
    <w:link w:val="1447"/>
    <w:qFormat/>
    <w:pPr>
      <w:ind w:left="420" w:firstLine="3748"/>
      <w:spacing w:after="120"/>
    </w:pPr>
    <w:rPr>
      <w:rFonts w:ascii="Calibri" w:hAnsi="Calibri"/>
    </w:rPr>
  </w:style>
  <w:style w:type="paragraph" w:styleId="1059">
    <w:name w:val="footnote text"/>
    <w:basedOn w:val="1010"/>
    <w:next w:val="1039"/>
    <w:link w:val="1454"/>
    <w:qFormat/>
    <w:pPr>
      <w:ind w:left="0" w:firstLine="3584"/>
      <w:spacing w:before="0" w:after="0" w:line="360" w:lineRule="auto"/>
    </w:pPr>
    <w:rPr>
      <w:rFonts w:ascii="Times New Roman" w:hAnsi="Times New Roman" w:cs="Times New Roman"/>
    </w:rPr>
  </w:style>
  <w:style w:type="paragraph" w:styleId="1060">
    <w:name w:val="toc 6"/>
    <w:basedOn w:val="1010"/>
    <w:next w:val="1009"/>
    <w:qFormat/>
    <w:pPr>
      <w:ind w:left="1400" w:firstLine="3784"/>
      <w:spacing w:before="0" w:after="0" w:line="360" w:lineRule="auto"/>
    </w:pPr>
    <w:rPr>
      <w:rFonts w:ascii="Times New Roman" w:hAnsi="Times New Roman" w:cs="Times New Roman"/>
    </w:rPr>
  </w:style>
  <w:style w:type="paragraph" w:styleId="1061">
    <w:name w:val="List 5"/>
    <w:basedOn w:val="1010"/>
    <w:next w:val="1036"/>
    <w:qFormat/>
    <w:pPr>
      <w:ind w:left="2100" w:firstLine="3676"/>
      <w:spacing w:before="0" w:after="0" w:line="240" w:lineRule="auto"/>
    </w:pPr>
    <w:rPr>
      <w:rFonts w:ascii="Times New Roman" w:hAnsi="Times New Roman" w:cs="Times New Roman"/>
    </w:rPr>
  </w:style>
  <w:style w:type="paragraph" w:styleId="1062">
    <w:name w:val="Body Text Indent 3"/>
    <w:basedOn w:val="1010"/>
    <w:next w:val="1060"/>
    <w:qFormat/>
    <w:pPr>
      <w:ind w:left="480" w:firstLine="2784"/>
      <w:spacing w:before="0" w:after="0" w:line="400" w:lineRule="exact"/>
    </w:pPr>
    <w:rPr>
      <w:rFonts w:ascii="Times New Roman" w:hAnsi="Times New Roman" w:cs="Times New Roman"/>
    </w:rPr>
  </w:style>
  <w:style w:type="paragraph" w:styleId="1063">
    <w:name w:val="toc 2"/>
    <w:basedOn w:val="1010"/>
    <w:next w:val="1009"/>
    <w:qFormat/>
    <w:pPr>
      <w:ind w:left="0" w:firstLine="1024"/>
      <w:spacing w:before="0" w:after="0" w:line="360" w:lineRule="auto"/>
    </w:pPr>
    <w:rPr>
      <w:rFonts w:ascii="Times New Roman" w:hAnsi="Times New Roman" w:cs="Times New Roman"/>
    </w:rPr>
  </w:style>
  <w:style w:type="paragraph" w:styleId="1064">
    <w:name w:val="toc 9"/>
    <w:basedOn w:val="1010"/>
    <w:next w:val="1009"/>
    <w:qFormat/>
    <w:pPr>
      <w:ind w:left="2120" w:firstLine="3784"/>
      <w:spacing w:before="0" w:after="0" w:line="360" w:lineRule="auto"/>
    </w:pPr>
    <w:rPr>
      <w:rFonts w:ascii="Times New Roman" w:hAnsi="Times New Roman" w:cs="Times New Roman"/>
    </w:rPr>
  </w:style>
  <w:style w:type="paragraph" w:styleId="1065">
    <w:name w:val="Body Text 2"/>
    <w:basedOn w:val="1010"/>
    <w:next w:val="1030"/>
    <w:link w:val="1455"/>
    <w:qFormat/>
    <w:pPr>
      <w:ind w:left="0" w:firstLine="1024"/>
      <w:spacing w:before="0" w:after="120" w:line="480" w:lineRule="auto"/>
    </w:pPr>
    <w:rPr>
      <w:rFonts w:ascii="Times New Roman" w:hAnsi="Times New Roman" w:cs="Times New Roman"/>
    </w:rPr>
  </w:style>
  <w:style w:type="paragraph" w:styleId="1066">
    <w:name w:val="HTML Preformatted"/>
    <w:basedOn w:val="1010"/>
    <w:next w:val="1029"/>
    <w:link w:val="1456"/>
    <w:qFormat/>
    <w:pPr>
      <w:ind w:left="0" w:firstLine="2048"/>
      <w:spacing w:before="0" w:after="0" w:line="253" w:lineRule="atLeast"/>
    </w:pPr>
    <w:rPr>
      <w:rFonts w:ascii="Times New Roman" w:hAnsi="Times New Roman" w:cs="Times New Roman"/>
    </w:rPr>
  </w:style>
  <w:style w:type="paragraph" w:styleId="1067">
    <w:name w:val="Normal (Web)"/>
    <w:basedOn w:val="1009"/>
    <w:next w:val="1038"/>
    <w:qFormat/>
    <w:pPr>
      <w:ind w:left="15" w:right="15" w:firstLine="4608"/>
      <w:spacing w:before="60" w:after="60" w:line="312" w:lineRule="auto"/>
    </w:pPr>
    <w:rPr>
      <w:rFonts w:ascii="Times New Roman" w:hAnsi="Times New Roman" w:cs="Times New Roman"/>
    </w:rPr>
  </w:style>
  <w:style w:type="paragraph" w:styleId="1068">
    <w:name w:val="index 1"/>
    <w:basedOn w:val="1010"/>
    <w:next w:val="1009"/>
    <w:qFormat/>
    <w:pPr>
      <w:ind w:left="0" w:firstLine="3584"/>
      <w:spacing w:before="0" w:after="0" w:line="240" w:lineRule="auto"/>
    </w:pPr>
    <w:rPr>
      <w:rFonts w:ascii="Times New Roman" w:hAnsi="Times New Roman" w:cs="Times New Roman"/>
    </w:rPr>
  </w:style>
  <w:style w:type="paragraph" w:styleId="1069">
    <w:name w:val="Body Text First Indent 2"/>
    <w:basedOn w:val="1022"/>
    <w:link w:val="1428"/>
    <w:unhideWhenUsed/>
    <w:qFormat/>
    <w:pPr>
      <w:ind w:firstLine="420"/>
    </w:pPr>
  </w:style>
  <w:style w:type="table" w:styleId="107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1">
    <w:name w:val="Strong"/>
    <w:qFormat/>
    <w:rPr>
      <w:rFonts w:ascii="Times New Roman" w:hAnsi="Times New Roman" w:eastAsia="宋体" w:cs="Times New Roman"/>
      <w:b/>
      <w:sz w:val="20"/>
    </w:rPr>
  </w:style>
  <w:style w:type="character" w:styleId="1072">
    <w:name w:val="page number"/>
    <w:qFormat/>
    <w:rPr>
      <w:rFonts w:ascii="Times New Roman" w:hAnsi="Times New Roman" w:eastAsia="宋体" w:cs="Times New Roman"/>
      <w:sz w:val="20"/>
    </w:rPr>
  </w:style>
  <w:style w:type="character" w:styleId="1073">
    <w:name w:val="FollowedHyperlink"/>
    <w:qFormat/>
    <w:rPr>
      <w:rFonts w:ascii="Times New Roman" w:hAnsi="Times New Roman" w:eastAsia="宋体" w:cs="Times New Roman"/>
      <w:color w:val="800080"/>
      <w:sz w:val="20"/>
      <w:u w:val="single"/>
    </w:rPr>
  </w:style>
  <w:style w:type="character" w:styleId="1074">
    <w:name w:val="Emphasis"/>
    <w:qFormat/>
    <w:rPr>
      <w:rFonts w:ascii="Times New Roman" w:hAnsi="Times New Roman" w:eastAsia="宋体" w:cs="Times New Roman"/>
      <w:i/>
      <w:sz w:val="21"/>
    </w:rPr>
  </w:style>
  <w:style w:type="character" w:styleId="1075">
    <w:name w:val="Hyperlink"/>
    <w:uiPriority w:val="99"/>
    <w:qFormat/>
    <w:rPr>
      <w:rFonts w:ascii="Times New Roman" w:hAnsi="Times New Roman" w:eastAsia="宋体" w:cs="Times New Roman"/>
      <w:color w:val="0000ff"/>
      <w:sz w:val="20"/>
      <w:u w:val="single"/>
    </w:rPr>
  </w:style>
  <w:style w:type="character" w:styleId="1076">
    <w:name w:val="annotation reference"/>
    <w:qFormat/>
    <w:rPr>
      <w:rFonts w:ascii="Times New Roman" w:hAnsi="Times New Roman" w:eastAsia="宋体" w:cs="Times New Roman"/>
      <w:sz w:val="20"/>
    </w:rPr>
  </w:style>
  <w:style w:type="character" w:styleId="1077">
    <w:name w:val="footnote reference"/>
    <w:qFormat/>
    <w:rPr>
      <w:rFonts w:ascii="Times New Roman" w:hAnsi="Times New Roman" w:eastAsia="宋体" w:cs="Times New Roman"/>
      <w:vertAlign w:val="superscript"/>
    </w:rPr>
  </w:style>
  <w:style w:type="character" w:styleId="1078" w:customStyle="1">
    <w:name w:val="正文缩进 字符"/>
    <w:link w:val="1028"/>
    <w:qFormat/>
    <w:rPr>
      <w:rFonts w:ascii="Calibri" w:hAnsi="Calibri" w:eastAsia="宋体" w:cs="Times New Roman"/>
    </w:rPr>
  </w:style>
  <w:style w:type="character" w:styleId="1079" w:customStyle="1">
    <w:name w:val="页脚 字符"/>
    <w:link w:val="1052"/>
    <w:qFormat/>
    <w:rPr>
      <w:rFonts w:ascii="Calibri" w:hAnsi="Calibri" w:eastAsia="宋体" w:cs="Times New Roman"/>
    </w:rPr>
  </w:style>
  <w:style w:type="character" w:styleId="1080" w:customStyle="1">
    <w:name w:val="页眉 字符"/>
    <w:link w:val="1054"/>
    <w:qFormat/>
    <w:rPr>
      <w:rFonts w:ascii="Calibri" w:hAnsi="Calibri" w:eastAsia="宋体" w:cs="Times New Roman"/>
    </w:rPr>
  </w:style>
  <w:style w:type="character" w:styleId="1081" w:customStyle="1">
    <w:name w:val="日期 Char"/>
    <w:qFormat/>
    <w:rPr>
      <w:rFonts w:ascii="Times New Roman" w:hAnsi="Times New Roman" w:eastAsia="宋体" w:cs="Times New Roman"/>
      <w:sz w:val="20"/>
    </w:rPr>
  </w:style>
  <w:style w:type="character" w:styleId="1082" w:customStyle="1">
    <w:name w:val="批注引用1"/>
    <w:qFormat/>
    <w:rPr>
      <w:rFonts w:ascii="Times New Roman" w:hAnsi="Times New Roman" w:eastAsia="宋体" w:cs="Times New Roman"/>
      <w:sz w:val="20"/>
    </w:rPr>
  </w:style>
  <w:style w:type="character" w:styleId="1083" w:customStyle="1">
    <w:name w:val="应答文本 Char Char"/>
    <w:qFormat/>
    <w:rPr>
      <w:rFonts w:ascii="Times New Roman" w:hAnsi="Times New Roman" w:eastAsia="宋体" w:cs="Times New Roman"/>
      <w:sz w:val="20"/>
    </w:rPr>
  </w:style>
  <w:style w:type="character" w:styleId="1084" w:customStyle="1">
    <w:name w:val="图片0 Char Char"/>
    <w:qFormat/>
    <w:rPr>
      <w:rFonts w:ascii="Times New Roman" w:hAnsi="Times New Roman" w:eastAsia="宋体" w:cs="Times New Roman"/>
      <w:sz w:val="20"/>
    </w:rPr>
  </w:style>
  <w:style w:type="character" w:styleId="1085" w:customStyle="1">
    <w:name w:val="尾注文本 Char"/>
    <w:qFormat/>
    <w:rPr>
      <w:rFonts w:ascii="Times New Roman" w:hAnsi="Times New Roman" w:eastAsia="宋体" w:cs="Times New Roman"/>
      <w:sz w:val="20"/>
    </w:rPr>
  </w:style>
  <w:style w:type="character" w:styleId="1086" w:customStyle="1">
    <w:name w:val="文档结构图 字符"/>
    <w:qFormat/>
    <w:rPr>
      <w:rFonts w:ascii="Microsoft YaHei UI" w:hAnsi="Times New Roman" w:eastAsia="Microsoft YaHei UI" w:cs="Times New Roman"/>
      <w:sz w:val="18"/>
      <w:szCs w:val="18"/>
    </w:rPr>
  </w:style>
  <w:style w:type="character" w:styleId="1087" w:customStyle="1">
    <w:name w:val="_Style 337"/>
    <w:qFormat/>
    <w:rPr>
      <w:rFonts w:ascii="Times New Roman" w:hAnsi="Times New Roman" w:eastAsia="宋体" w:cs="Times New Roman"/>
      <w:color w:val="auto"/>
      <w:sz w:val="21"/>
    </w:rPr>
  </w:style>
  <w:style w:type="character" w:styleId="1088" w:customStyle="1">
    <w:name w:val="正文文本 字符"/>
    <w:qFormat/>
    <w:rPr>
      <w:rFonts w:ascii="Times New Roman" w:hAnsi="Times New Roman" w:eastAsia="宋体" w:cs="Times New Roman"/>
      <w:sz w:val="21"/>
    </w:rPr>
  </w:style>
  <w:style w:type="character" w:styleId="1089" w:customStyle="1">
    <w:name w:val="批注文字 字符"/>
    <w:qFormat/>
    <w:rPr>
      <w:rFonts w:ascii="Times New Roman" w:hAnsi="Times New Roman" w:eastAsia="宋体" w:cs="Times New Roman"/>
      <w:sz w:val="20"/>
    </w:rPr>
  </w:style>
  <w:style w:type="character" w:styleId="1090" w:customStyle="1">
    <w:name w:val="批注文字 Char1"/>
    <w:qFormat/>
    <w:rPr>
      <w:rFonts w:ascii="Times New Roman" w:hAnsi="Times New Roman" w:eastAsia="宋体" w:cs="Times New Roman"/>
      <w:sz w:val="20"/>
    </w:rPr>
  </w:style>
  <w:style w:type="character" w:styleId="1091" w:customStyle="1">
    <w:name w:val="txt"/>
    <w:qFormat/>
    <w:rPr>
      <w:rFonts w:ascii="Times New Roman" w:hAnsi="Times New Roman" w:eastAsia="宋体" w:cs="Times New Roman"/>
      <w:sz w:val="20"/>
    </w:rPr>
  </w:style>
  <w:style w:type="character" w:styleId="1092" w:customStyle="1">
    <w:name w:val="标书正文 Char"/>
    <w:qFormat/>
    <w:rPr>
      <w:rFonts w:ascii="Times New Roman" w:hAnsi="Times New Roman" w:eastAsia="宋体" w:cs="Times New Roman"/>
      <w:sz w:val="20"/>
    </w:rPr>
  </w:style>
  <w:style w:type="character" w:styleId="1093" w:customStyle="1">
    <w:name w:val="font21"/>
    <w:qFormat/>
    <w:rPr>
      <w:rFonts w:hint="eastAsia" w:ascii="宋体" w:hAnsi="宋体" w:eastAsia="宋体" w:cs="宋体"/>
      <w:color w:val="ff0000"/>
      <w:sz w:val="24"/>
      <w:szCs w:val="24"/>
      <w:u w:val="none"/>
    </w:rPr>
  </w:style>
  <w:style w:type="character" w:styleId="1094" w:customStyle="1">
    <w:name w:val="apple-converted-space"/>
    <w:qFormat/>
    <w:rPr>
      <w:rFonts w:ascii="Times New Roman" w:hAnsi="Times New Roman" w:eastAsia="宋体" w:cs="Times New Roman"/>
      <w:sz w:val="20"/>
    </w:rPr>
  </w:style>
  <w:style w:type="character" w:styleId="1095" w:customStyle="1">
    <w:name w:val="纯文本 Char1"/>
    <w:qFormat/>
    <w:rPr>
      <w:rFonts w:ascii="Times New Roman" w:hAnsi="Times New Roman" w:eastAsia="宋体" w:cs="Times New Roman"/>
      <w:sz w:val="20"/>
    </w:rPr>
  </w:style>
  <w:style w:type="character" w:styleId="1096" w:customStyle="1">
    <w:name w:val="para1"/>
    <w:qFormat/>
    <w:rPr>
      <w:rFonts w:ascii="Times New Roman" w:hAnsi="Times New Roman" w:eastAsia="宋体" w:cs="Times New Roman"/>
      <w:sz w:val="20"/>
    </w:rPr>
  </w:style>
  <w:style w:type="character" w:styleId="1097" w:customStyle="1">
    <w:name w:val="HTML 预设格式 Char1"/>
    <w:qFormat/>
    <w:rPr>
      <w:rFonts w:ascii="Times New Roman" w:hAnsi="Times New Roman" w:eastAsia="宋体" w:cs="Times New Roman"/>
      <w:sz w:val="20"/>
    </w:rPr>
  </w:style>
  <w:style w:type="character" w:styleId="1098" w:customStyle="1">
    <w:name w:val="批注文字 Char"/>
    <w:qFormat/>
    <w:rPr>
      <w:rFonts w:ascii="Times New Roman" w:hAnsi="Times New Roman" w:eastAsia="宋体" w:cs="Times New Roman"/>
      <w:sz w:val="20"/>
    </w:rPr>
  </w:style>
  <w:style w:type="character" w:styleId="1099" w:customStyle="1">
    <w:name w:val="文档结构图 Char"/>
    <w:qFormat/>
    <w:rPr>
      <w:rFonts w:ascii="Times New Roman" w:hAnsi="Times New Roman" w:eastAsia="宋体" w:cs="Times New Roman"/>
      <w:sz w:val="20"/>
    </w:rPr>
  </w:style>
  <w:style w:type="character" w:styleId="1100" w:customStyle="1">
    <w:name w:val="超级链接"/>
    <w:qFormat/>
    <w:rPr>
      <w:rFonts w:ascii="Times New Roman" w:hAnsi="Times New Roman" w:eastAsia="宋体" w:cs="Times New Roman"/>
      <w:color w:val="0000ff"/>
      <w:sz w:val="20"/>
      <w:u w:val="single"/>
    </w:rPr>
  </w:style>
  <w:style w:type="character" w:styleId="1101" w:customStyle="1">
    <w:name w:val="p141"/>
    <w:qFormat/>
    <w:rPr>
      <w:rFonts w:ascii="Times New Roman" w:hAnsi="Times New Roman" w:eastAsia="宋体" w:cs="Times New Roman"/>
      <w:color w:val="000000"/>
      <w:sz w:val="20"/>
      <w:u w:val="none"/>
    </w:rPr>
  </w:style>
  <w:style w:type="character" w:styleId="1102" w:customStyle="1">
    <w:name w:val="宏文本 Char"/>
    <w:qFormat/>
    <w:rPr>
      <w:rFonts w:ascii="Times New Roman" w:hAnsi="Times New Roman" w:eastAsia="宋体" w:cs="Times New Roman"/>
      <w:sz w:val="20"/>
    </w:rPr>
  </w:style>
  <w:style w:type="character" w:styleId="1103" w:customStyle="1">
    <w:name w:val="_Style 313"/>
    <w:qFormat/>
    <w:rPr>
      <w:rFonts w:ascii="Times New Roman" w:hAnsi="Times New Roman" w:eastAsia="宋体" w:cs="Times New Roman"/>
      <w:b/>
      <w:i/>
      <w:sz w:val="21"/>
    </w:rPr>
  </w:style>
  <w:style w:type="character" w:styleId="1104" w:customStyle="1">
    <w:name w:val="页脚 Char1"/>
    <w:qFormat/>
    <w:rPr>
      <w:rFonts w:ascii="Times New Roman" w:hAnsi="Times New Roman" w:eastAsia="宋体" w:cs="Times New Roman"/>
      <w:sz w:val="20"/>
    </w:rPr>
  </w:style>
  <w:style w:type="character" w:styleId="1105" w:customStyle="1">
    <w:name w:val="页眉 Char"/>
    <w:qFormat/>
    <w:rPr>
      <w:rFonts w:ascii="Times New Roman" w:hAnsi="Times New Roman" w:eastAsia="宋体" w:cs="Times New Roman"/>
      <w:sz w:val="20"/>
    </w:rPr>
  </w:style>
  <w:style w:type="character" w:styleId="1106" w:customStyle="1">
    <w:name w:val="标题 7 Char"/>
    <w:qFormat/>
    <w:rPr>
      <w:rFonts w:ascii="Times New Roman" w:hAnsi="Times New Roman" w:eastAsia="宋体" w:cs="Times New Roman"/>
      <w:b/>
      <w:sz w:val="20"/>
    </w:rPr>
  </w:style>
  <w:style w:type="character" w:styleId="1107" w:customStyle="1">
    <w:name w:val="Char Char12"/>
    <w:qFormat/>
    <w:rPr>
      <w:rFonts w:ascii="Times New Roman" w:hAnsi="Times New Roman" w:eastAsia="宋体" w:cs="Times New Roman"/>
      <w:sz w:val="20"/>
    </w:rPr>
  </w:style>
  <w:style w:type="character" w:styleId="1108" w:customStyle="1">
    <w:name w:val="标题 3 Char"/>
    <w:qFormat/>
    <w:rPr>
      <w:rFonts w:ascii="Times New Roman" w:hAnsi="Times New Roman" w:eastAsia="宋体" w:cs="Times New Roman"/>
      <w:b/>
      <w:sz w:val="20"/>
    </w:rPr>
  </w:style>
  <w:style w:type="character" w:styleId="1109" w:customStyle="1">
    <w:name w:val="正文（首行缩进 2 字符） Char Char"/>
    <w:qFormat/>
    <w:rPr>
      <w:rFonts w:ascii="Times New Roman" w:hAnsi="Times New Roman" w:eastAsia="宋体" w:cs="Times New Roman"/>
      <w:sz w:val="20"/>
    </w:rPr>
  </w:style>
  <w:style w:type="character" w:styleId="1110" w:customStyle="1">
    <w:name w:val="表格用 Char Char"/>
    <w:qFormat/>
    <w:rPr>
      <w:rFonts w:ascii="Times New Roman" w:hAnsi="Times New Roman" w:eastAsia="宋体" w:cs="Times New Roman"/>
      <w:sz w:val="20"/>
    </w:rPr>
  </w:style>
  <w:style w:type="character" w:styleId="1111" w:customStyle="1">
    <w:name w:val="正文文本缩进 3 Char1"/>
    <w:qFormat/>
    <w:rPr>
      <w:rFonts w:ascii="Times New Roman" w:hAnsi="Times New Roman" w:eastAsia="宋体" w:cs="Times New Roman"/>
      <w:sz w:val="20"/>
    </w:rPr>
  </w:style>
  <w:style w:type="character" w:styleId="1112" w:customStyle="1">
    <w:name w:val="正文缩进 Char"/>
    <w:qFormat/>
    <w:rPr>
      <w:rFonts w:ascii="Times New Roman" w:hAnsi="Times New Roman" w:eastAsia="宋体" w:cs="Times New Roman"/>
      <w:sz w:val="20"/>
    </w:rPr>
  </w:style>
  <w:style w:type="character" w:styleId="1113" w:customStyle="1">
    <w:name w:val="批注框文本 Char1"/>
    <w:qFormat/>
    <w:rPr>
      <w:rFonts w:ascii="Times New Roman" w:hAnsi="Times New Roman" w:eastAsia="宋体" w:cs="Times New Roman"/>
      <w:sz w:val="20"/>
    </w:rPr>
  </w:style>
  <w:style w:type="character" w:styleId="1114" w:customStyle="1">
    <w:name w:val="Char Char13"/>
    <w:qFormat/>
    <w:rPr>
      <w:rFonts w:ascii="Times New Roman" w:hAnsi="Times New Roman" w:eastAsia="宋体" w:cs="Times New Roman"/>
      <w:sz w:val="20"/>
    </w:rPr>
  </w:style>
  <w:style w:type="character" w:styleId="1115" w:customStyle="1">
    <w:name w:val="样式2 Char"/>
    <w:qFormat/>
    <w:rPr>
      <w:rFonts w:ascii="Times New Roman" w:hAnsi="Times New Roman" w:eastAsia="宋体" w:cs="Times New Roman"/>
      <w:b/>
      <w:sz w:val="20"/>
    </w:rPr>
  </w:style>
  <w:style w:type="character" w:styleId="1116" w:customStyle="1">
    <w:name w:val="页脚 Char"/>
    <w:qFormat/>
    <w:rPr>
      <w:rFonts w:ascii="Times New Roman" w:hAnsi="Times New Roman" w:eastAsia="宋体" w:cs="Times New Roman"/>
      <w:sz w:val="20"/>
    </w:rPr>
  </w:style>
  <w:style w:type="character" w:styleId="1117" w:customStyle="1">
    <w:name w:val="标准文本 Char"/>
    <w:qFormat/>
    <w:rPr>
      <w:rFonts w:ascii="Times New Roman" w:hAnsi="Times New Roman" w:eastAsia="宋体" w:cs="Times New Roman"/>
      <w:sz w:val="20"/>
    </w:rPr>
  </w:style>
  <w:style w:type="character" w:styleId="1118" w:customStyle="1">
    <w:name w:val="font01"/>
    <w:qFormat/>
    <w:rPr>
      <w:rFonts w:hint="eastAsia" w:ascii="宋体" w:hAnsi="宋体" w:eastAsia="宋体" w:cs="宋体"/>
      <w:color w:val="000000"/>
      <w:sz w:val="24"/>
      <w:szCs w:val="24"/>
      <w:u w:val="none"/>
    </w:rPr>
  </w:style>
  <w:style w:type="character" w:styleId="1119" w:customStyle="1">
    <w:name w:val="标题 3 Char1"/>
    <w:qFormat/>
    <w:rPr>
      <w:rFonts w:ascii="Times New Roman" w:hAnsi="Times New Roman" w:eastAsia="宋体" w:cs="Times New Roman"/>
      <w:b/>
      <w:sz w:val="20"/>
      <w:u w:val="single"/>
    </w:rPr>
  </w:style>
  <w:style w:type="character" w:styleId="1120" w:customStyle="1">
    <w:name w:val="表格 Char Char"/>
    <w:qFormat/>
    <w:rPr>
      <w:rFonts w:ascii="Times New Roman" w:hAnsi="Times New Roman" w:eastAsia="宋体" w:cs="Times New Roman"/>
      <w:sz w:val="20"/>
    </w:rPr>
  </w:style>
  <w:style w:type="character" w:styleId="1121" w:customStyle="1">
    <w:name w:val="正文首行缩进 Char"/>
    <w:qFormat/>
    <w:rPr>
      <w:rFonts w:ascii="Times New Roman" w:hAnsi="Times New Roman" w:eastAsia="宋体" w:cs="Times New Roman"/>
      <w:sz w:val="20"/>
    </w:rPr>
  </w:style>
  <w:style w:type="character" w:styleId="1122" w:customStyle="1">
    <w:name w:val="标题 9 Char"/>
    <w:qFormat/>
    <w:rPr>
      <w:rFonts w:ascii="Times New Roman" w:hAnsi="Times New Roman" w:eastAsia="宋体" w:cs="Times New Roman"/>
      <w:sz w:val="20"/>
    </w:rPr>
  </w:style>
  <w:style w:type="character" w:styleId="1123" w:customStyle="1">
    <w:name w:val="lh151"/>
    <w:qFormat/>
    <w:rPr>
      <w:rFonts w:ascii="Times New Roman" w:hAnsi="Times New Roman" w:eastAsia="宋体" w:cs="Times New Roman"/>
      <w:color w:val="666666"/>
      <w:sz w:val="20"/>
    </w:rPr>
  </w:style>
  <w:style w:type="character" w:styleId="1124" w:customStyle="1">
    <w:name w:val="日期 Char1"/>
    <w:qFormat/>
    <w:rPr>
      <w:rFonts w:ascii="Times New Roman" w:hAnsi="Times New Roman" w:eastAsia="宋体" w:cs="Times New Roman"/>
      <w:sz w:val="20"/>
    </w:rPr>
  </w:style>
  <w:style w:type="character" w:styleId="1125" w:customStyle="1">
    <w:name w:val="图片 Char Char"/>
    <w:qFormat/>
    <w:rPr>
      <w:rFonts w:ascii="Times New Roman" w:hAnsi="Times New Roman" w:eastAsia="宋体" w:cs="Times New Roman"/>
      <w:sz w:val="20"/>
    </w:rPr>
  </w:style>
  <w:style w:type="character" w:styleId="1126" w:customStyle="1">
    <w:name w:val="批注框文本 字符"/>
    <w:qFormat/>
    <w:rPr>
      <w:rFonts w:ascii="Times New Roman" w:hAnsi="Times New Roman" w:eastAsia="宋体" w:cs="Times New Roman"/>
      <w:sz w:val="20"/>
    </w:rPr>
  </w:style>
  <w:style w:type="character" w:styleId="1127" w:customStyle="1">
    <w:name w:val="HTML 预设格式 Char"/>
    <w:qFormat/>
    <w:rPr>
      <w:rFonts w:ascii="Times New Roman" w:hAnsi="Times New Roman" w:eastAsia="宋体" w:cs="Times New Roman"/>
      <w:sz w:val="20"/>
    </w:rPr>
  </w:style>
  <w:style w:type="character" w:styleId="1128" w:customStyle="1">
    <w:name w:val="列出段落 Char"/>
    <w:qFormat/>
    <w:rPr>
      <w:rFonts w:ascii="Times New Roman" w:hAnsi="Times New Roman" w:eastAsia="宋体" w:cs="Times New Roman"/>
      <w:sz w:val="20"/>
    </w:rPr>
  </w:style>
  <w:style w:type="character" w:styleId="1129" w:customStyle="1">
    <w:name w:val="标题 5 Char"/>
    <w:qFormat/>
    <w:rPr>
      <w:rFonts w:ascii="Times New Roman" w:hAnsi="Times New Roman" w:eastAsia="宋体" w:cs="Times New Roman"/>
      <w:b/>
      <w:sz w:val="20"/>
    </w:rPr>
  </w:style>
  <w:style w:type="character" w:styleId="1130" w:customStyle="1">
    <w:name w:val="链接"/>
    <w:qFormat/>
    <w:rPr>
      <w:rFonts w:ascii="Times New Roman" w:hAnsi="Times New Roman" w:eastAsia="宋体" w:cs="Times New Roman"/>
      <w:color w:val="0000ff"/>
      <w:sz w:val="20"/>
      <w:u w:val="single"/>
    </w:rPr>
  </w:style>
  <w:style w:type="character" w:styleId="1131" w:customStyle="1">
    <w:name w:val="18h1"/>
    <w:qFormat/>
    <w:rPr>
      <w:rFonts w:ascii="Times New Roman" w:hAnsi="Times New Roman" w:eastAsia="宋体" w:cs="Times New Roman"/>
      <w:color w:val="3b3b3b"/>
      <w:sz w:val="20"/>
    </w:rPr>
  </w:style>
  <w:style w:type="character" w:styleId="1132" w:customStyle="1">
    <w:name w:val="表格文字（两侧对齐） Char Char"/>
    <w:qFormat/>
    <w:rPr>
      <w:rFonts w:ascii="Times New Roman" w:hAnsi="Times New Roman" w:eastAsia="宋体" w:cs="Times New Roman"/>
      <w:sz w:val="20"/>
    </w:rPr>
  </w:style>
  <w:style w:type="character" w:styleId="1133" w:customStyle="1">
    <w:name w:val="正文文本缩进 2 Char"/>
    <w:qFormat/>
    <w:rPr>
      <w:rFonts w:ascii="Times New Roman" w:hAnsi="Times New Roman" w:eastAsia="宋体" w:cs="Times New Roman"/>
      <w:sz w:val="20"/>
    </w:rPr>
  </w:style>
  <w:style w:type="character" w:styleId="1134" w:customStyle="1">
    <w:name w:val="Char Char14"/>
    <w:qFormat/>
    <w:rPr>
      <w:rFonts w:ascii="Times New Roman" w:hAnsi="Times New Roman" w:eastAsia="宋体" w:cs="Times New Roman"/>
      <w:sz w:val="20"/>
    </w:rPr>
  </w:style>
  <w:style w:type="character" w:styleId="1135" w:customStyle="1">
    <w:name w:val="标题 1 Char1"/>
    <w:qFormat/>
    <w:rPr>
      <w:rFonts w:ascii="Times New Roman" w:hAnsi="Times New Roman" w:eastAsia="宋体" w:cs="Times New Roman"/>
      <w:b/>
      <w:sz w:val="20"/>
    </w:rPr>
  </w:style>
  <w:style w:type="character" w:styleId="1136" w:customStyle="1">
    <w:name w:val="批注框文本 Char"/>
    <w:qFormat/>
    <w:rPr>
      <w:rFonts w:ascii="Times New Roman" w:hAnsi="Times New Roman" w:eastAsia="宋体" w:cs="Times New Roman"/>
      <w:sz w:val="20"/>
    </w:rPr>
  </w:style>
  <w:style w:type="character" w:styleId="1137" w:customStyle="1">
    <w:name w:val="apple-style-span"/>
    <w:qFormat/>
    <w:rPr>
      <w:rFonts w:ascii="Times New Roman" w:hAnsi="Times New Roman" w:eastAsia="宋体" w:cs="Times New Roman"/>
      <w:sz w:val="20"/>
    </w:rPr>
  </w:style>
  <w:style w:type="character" w:styleId="1138" w:customStyle="1">
    <w:name w:val="插图 Char Char"/>
    <w:qFormat/>
    <w:rPr>
      <w:rFonts w:ascii="Times New Roman" w:hAnsi="Times New Roman" w:eastAsia="宋体" w:cs="Times New Roman"/>
      <w:sz w:val="20"/>
    </w:rPr>
  </w:style>
  <w:style w:type="character" w:styleId="1139" w:customStyle="1">
    <w:name w:val="标题 2 Char1"/>
    <w:qFormat/>
    <w:rPr>
      <w:rFonts w:ascii="Times New Roman" w:hAnsi="Times New Roman" w:eastAsia="宋体" w:cs="Times New Roman"/>
      <w:b/>
      <w:sz w:val="20"/>
    </w:rPr>
  </w:style>
  <w:style w:type="character" w:styleId="1140" w:customStyle="1">
    <w:name w:val="_Style 332"/>
    <w:qFormat/>
    <w:rPr>
      <w:rFonts w:ascii="Times New Roman" w:hAnsi="Times New Roman" w:eastAsia="宋体" w:cs="Times New Roman"/>
      <w:i/>
      <w:color w:val="auto"/>
      <w:sz w:val="21"/>
    </w:rPr>
  </w:style>
  <w:style w:type="character" w:styleId="1141" w:customStyle="1">
    <w:name w:val="正文文本 3 Char1"/>
    <w:qFormat/>
    <w:rPr>
      <w:rFonts w:ascii="Times New Roman" w:hAnsi="Times New Roman" w:eastAsia="宋体" w:cs="Times New Roman"/>
      <w:sz w:val="20"/>
    </w:rPr>
  </w:style>
  <w:style w:type="character" w:styleId="1142" w:customStyle="1">
    <w:name w:val="标题 5 Char1"/>
    <w:qFormat/>
    <w:rPr>
      <w:rFonts w:ascii="Times New Roman" w:hAnsi="Times New Roman" w:eastAsia="宋体" w:cs="Times New Roman"/>
      <w:b/>
      <w:sz w:val="20"/>
    </w:rPr>
  </w:style>
  <w:style w:type="character" w:styleId="1143" w:customStyle="1">
    <w:name w:val="批注主题 Char"/>
    <w:qFormat/>
    <w:rPr>
      <w:rFonts w:ascii="Times New Roman" w:hAnsi="Times New Roman" w:eastAsia="宋体" w:cs="Times New Roman"/>
      <w:b/>
      <w:sz w:val="20"/>
    </w:rPr>
  </w:style>
  <w:style w:type="character" w:styleId="1144" w:customStyle="1">
    <w:name w:val="标题 1 Char"/>
    <w:qFormat/>
    <w:rPr>
      <w:rFonts w:ascii="Times New Roman" w:hAnsi="Times New Roman" w:eastAsia="宋体" w:cs="Times New Roman"/>
      <w:b/>
      <w:sz w:val="20"/>
    </w:rPr>
  </w:style>
  <w:style w:type="character" w:styleId="1145" w:customStyle="1">
    <w:name w:val="正文文本 2 Char1"/>
    <w:qFormat/>
    <w:rPr>
      <w:rFonts w:ascii="Times New Roman" w:hAnsi="Times New Roman" w:eastAsia="宋体" w:cs="Times New Roman"/>
      <w:sz w:val="20"/>
    </w:rPr>
  </w:style>
  <w:style w:type="character" w:styleId="1146" w:customStyle="1">
    <w:name w:val="标题 4 Char1"/>
    <w:qFormat/>
    <w:rPr>
      <w:rFonts w:ascii="Times New Roman" w:hAnsi="Times New Roman" w:eastAsia="宋体" w:cs="Times New Roman"/>
      <w:b/>
      <w:sz w:val="20"/>
    </w:rPr>
  </w:style>
  <w:style w:type="character" w:styleId="1147" w:customStyle="1">
    <w:name w:val="正文文本 2 Char"/>
    <w:qFormat/>
    <w:rPr>
      <w:rFonts w:ascii="Times New Roman" w:hAnsi="Times New Roman" w:eastAsia="宋体" w:cs="Times New Roman"/>
      <w:sz w:val="20"/>
    </w:rPr>
  </w:style>
  <w:style w:type="character" w:styleId="1148" w:customStyle="1">
    <w:name w:val="_Style 376"/>
    <w:qFormat/>
    <w:rPr>
      <w:rFonts w:ascii="Times New Roman" w:hAnsi="Times New Roman" w:eastAsia="宋体" w:cs="Times New Roman"/>
      <w:b/>
      <w:color w:val="auto"/>
      <w:sz w:val="21"/>
    </w:rPr>
  </w:style>
  <w:style w:type="character" w:styleId="1149" w:customStyle="1">
    <w:name w:val="062"/>
    <w:qFormat/>
    <w:rPr>
      <w:rFonts w:ascii="Times New Roman" w:hAnsi="Times New Roman" w:eastAsia="宋体" w:cs="Times New Roman"/>
      <w:b/>
      <w:sz w:val="20"/>
    </w:rPr>
  </w:style>
  <w:style w:type="character" w:styleId="1150" w:customStyle="1">
    <w:name w:val="正文文本 Char1"/>
    <w:qFormat/>
    <w:rPr>
      <w:rFonts w:ascii="Times New Roman" w:hAnsi="Times New Roman" w:eastAsia="宋体" w:cs="Times New Roman"/>
      <w:sz w:val="20"/>
    </w:rPr>
  </w:style>
  <w:style w:type="character" w:styleId="1151" w:customStyle="1">
    <w:name w:val="题注 Char"/>
    <w:qFormat/>
    <w:rPr>
      <w:rFonts w:ascii="Times New Roman" w:hAnsi="Times New Roman" w:eastAsia="宋体" w:cs="Times New Roman"/>
      <w:sz w:val="20"/>
    </w:rPr>
  </w:style>
  <w:style w:type="character" w:styleId="1152" w:customStyle="1">
    <w:name w:val="脚注文本 Char"/>
    <w:qFormat/>
    <w:rPr>
      <w:rFonts w:ascii="Times New Roman" w:hAnsi="Times New Roman" w:eastAsia="宋体" w:cs="Times New Roman"/>
      <w:sz w:val="20"/>
    </w:rPr>
  </w:style>
  <w:style w:type="character" w:styleId="1153" w:customStyle="1">
    <w:name w:val="_Style 336"/>
    <w:qFormat/>
    <w:rPr>
      <w:rFonts w:ascii="Times New Roman" w:hAnsi="Times New Roman" w:eastAsia="宋体" w:cs="Times New Roman"/>
      <w:i/>
      <w:color w:val="auto"/>
      <w:sz w:val="21"/>
    </w:rPr>
  </w:style>
  <w:style w:type="character" w:styleId="1154" w:customStyle="1">
    <w:name w:val="表格 Char"/>
    <w:qFormat/>
    <w:rPr>
      <w:rFonts w:ascii="Times New Roman" w:hAnsi="Times New Roman" w:eastAsia="宋体" w:cs="Times New Roman"/>
      <w:color w:val="000000"/>
      <w:sz w:val="20"/>
    </w:rPr>
  </w:style>
  <w:style w:type="character" w:styleId="1155" w:customStyle="1">
    <w:name w:val="批注主题 字符"/>
    <w:qFormat/>
    <w:rPr>
      <w:rFonts w:ascii="Times New Roman" w:hAnsi="Times New Roman" w:eastAsia="宋体" w:cs="Times New Roman"/>
      <w:b/>
      <w:sz w:val="20"/>
    </w:rPr>
  </w:style>
  <w:style w:type="character" w:styleId="1156" w:customStyle="1">
    <w:name w:val="图注 Char Char"/>
    <w:qFormat/>
    <w:rPr>
      <w:rFonts w:ascii="Times New Roman" w:hAnsi="Times New Roman" w:eastAsia="宋体" w:cs="Times New Roman"/>
      <w:sz w:val="20"/>
    </w:rPr>
  </w:style>
  <w:style w:type="character" w:styleId="1157" w:customStyle="1">
    <w:name w:val="页码1"/>
    <w:qFormat/>
    <w:rPr>
      <w:rFonts w:ascii="Times New Roman" w:hAnsi="Times New Roman" w:eastAsia="宋体" w:cs="Times New Roman"/>
      <w:sz w:val="20"/>
    </w:rPr>
  </w:style>
  <w:style w:type="character" w:styleId="1158" w:customStyle="1">
    <w:name w:val="列表框1 Char Char"/>
    <w:qFormat/>
    <w:rPr>
      <w:rFonts w:ascii="Times New Roman" w:hAnsi="Times New Roman" w:eastAsia="宋体" w:cs="Times New Roman"/>
      <w:sz w:val="20"/>
    </w:rPr>
  </w:style>
  <w:style w:type="character" w:styleId="1159" w:customStyle="1">
    <w:name w:val="1ji Char"/>
    <w:qFormat/>
    <w:rPr>
      <w:rFonts w:ascii="Times New Roman" w:hAnsi="Times New Roman" w:eastAsia="宋体" w:cs="Times New Roman"/>
      <w:b/>
      <w:sz w:val="20"/>
    </w:rPr>
  </w:style>
  <w:style w:type="character" w:styleId="1160" w:customStyle="1">
    <w:name w:val="正文文本缩进 Char"/>
    <w:qFormat/>
    <w:rPr>
      <w:rFonts w:ascii="Times New Roman" w:hAnsi="Times New Roman" w:eastAsia="宋体" w:cs="Times New Roman"/>
      <w:sz w:val="20"/>
    </w:rPr>
  </w:style>
  <w:style w:type="character" w:styleId="1161" w:customStyle="1">
    <w:name w:val="标准文本 Char Char"/>
    <w:qFormat/>
    <w:rPr>
      <w:rFonts w:ascii="Times New Roman" w:hAnsi="Times New Roman" w:eastAsia="宋体" w:cs="Times New Roman"/>
      <w:sz w:val="20"/>
    </w:rPr>
  </w:style>
  <w:style w:type="character" w:styleId="1162" w:customStyle="1">
    <w:name w:val="表格用 Char"/>
    <w:qFormat/>
    <w:rPr>
      <w:rFonts w:ascii="Times New Roman" w:hAnsi="Times New Roman" w:eastAsia="宋体" w:cs="Times New Roman"/>
      <w:color w:val="000000"/>
      <w:sz w:val="20"/>
    </w:rPr>
  </w:style>
  <w:style w:type="character" w:styleId="1163" w:customStyle="1">
    <w:name w:val="标题 7 Char1"/>
    <w:qFormat/>
    <w:rPr>
      <w:rFonts w:ascii="Times New Roman" w:hAnsi="Times New Roman" w:eastAsia="宋体" w:cs="Times New Roman"/>
      <w:b/>
      <w:sz w:val="20"/>
    </w:rPr>
  </w:style>
  <w:style w:type="character" w:styleId="1164" w:customStyle="1">
    <w:name w:val="H 3 Char"/>
    <w:qFormat/>
    <w:rPr>
      <w:rFonts w:ascii="Times New Roman" w:hAnsi="Times New Roman" w:eastAsia="宋体" w:cs="Times New Roman"/>
      <w:b/>
      <w:sz w:val="20"/>
    </w:rPr>
  </w:style>
  <w:style w:type="character" w:styleId="1165" w:customStyle="1">
    <w:name w:val="正文文本缩进 3 字符"/>
    <w:qFormat/>
    <w:rPr>
      <w:rFonts w:ascii="Times New Roman" w:hAnsi="Times New Roman" w:eastAsia="宋体" w:cs="Times New Roman"/>
      <w:sz w:val="16"/>
      <w:szCs w:val="16"/>
    </w:rPr>
  </w:style>
  <w:style w:type="character" w:styleId="1166" w:customStyle="1">
    <w:name w:val="标题 Char"/>
    <w:qFormat/>
    <w:rPr>
      <w:rFonts w:ascii="Times New Roman" w:hAnsi="Times New Roman" w:eastAsia="宋体" w:cs="Times New Roman"/>
      <w:b/>
      <w:sz w:val="20"/>
    </w:rPr>
  </w:style>
  <w:style w:type="character" w:styleId="1167" w:customStyle="1">
    <w:name w:val="H 4 Char"/>
    <w:qFormat/>
    <w:rPr>
      <w:rFonts w:ascii="Times New Roman" w:hAnsi="Times New Roman" w:eastAsia="宋体" w:cs="Times New Roman"/>
      <w:b/>
      <w:sz w:val="20"/>
    </w:rPr>
  </w:style>
  <w:style w:type="character" w:styleId="1168" w:customStyle="1">
    <w:name w:val="批注主题 Char1"/>
    <w:qFormat/>
    <w:rPr>
      <w:rFonts w:ascii="Times New Roman" w:hAnsi="Times New Roman" w:eastAsia="宋体" w:cs="Times New Roman"/>
      <w:b/>
      <w:sz w:val="20"/>
    </w:rPr>
  </w:style>
  <w:style w:type="character" w:styleId="1169" w:customStyle="1">
    <w:name w:val="正文文本缩进 Char1"/>
    <w:qFormat/>
    <w:rPr>
      <w:rFonts w:ascii="Times New Roman" w:hAnsi="Times New Roman" w:eastAsia="宋体" w:cs="Times New Roman"/>
      <w:sz w:val="20"/>
    </w:rPr>
  </w:style>
  <w:style w:type="character" w:styleId="1170" w:customStyle="1">
    <w:name w:val="正文文本 3 Char"/>
    <w:qFormat/>
    <w:rPr>
      <w:rFonts w:ascii="Times New Roman" w:hAnsi="Times New Roman" w:eastAsia="宋体" w:cs="Times New Roman"/>
      <w:sz w:val="20"/>
    </w:rPr>
  </w:style>
  <w:style w:type="character" w:styleId="1171" w:customStyle="1">
    <w:name w:val="正文首行缩进 2 Char"/>
    <w:qFormat/>
    <w:rPr>
      <w:rFonts w:ascii="Times New Roman" w:hAnsi="Times New Roman" w:eastAsia="宋体" w:cs="Times New Roman"/>
      <w:sz w:val="20"/>
    </w:rPr>
  </w:style>
  <w:style w:type="character" w:styleId="1172" w:customStyle="1">
    <w:name w:val="页眉 Char1"/>
    <w:qFormat/>
    <w:rPr>
      <w:rFonts w:ascii="Times New Roman" w:hAnsi="Times New Roman" w:eastAsia="宋体" w:cs="Times New Roman"/>
      <w:sz w:val="20"/>
    </w:rPr>
  </w:style>
  <w:style w:type="character" w:styleId="1173" w:customStyle="1">
    <w:name w:val="Char Char2"/>
    <w:qFormat/>
    <w:rPr>
      <w:rFonts w:ascii="Times New Roman" w:hAnsi="Times New Roman" w:eastAsia="宋体" w:cs="Times New Roman"/>
      <w:sz w:val="20"/>
    </w:rPr>
  </w:style>
  <w:style w:type="character" w:styleId="1174" w:customStyle="1">
    <w:name w:val="样式 首行缩进:  2 字符 Char1"/>
    <w:qFormat/>
    <w:rPr>
      <w:rFonts w:ascii="Times New Roman" w:hAnsi="Times New Roman" w:eastAsia="宋体" w:cs="Times New Roman"/>
      <w:sz w:val="20"/>
    </w:rPr>
  </w:style>
  <w:style w:type="character" w:styleId="1175" w:customStyle="1">
    <w:name w:val="标题 2 Char"/>
    <w:qFormat/>
    <w:rPr>
      <w:rFonts w:ascii="Times New Roman" w:hAnsi="Times New Roman" w:eastAsia="宋体" w:cs="Times New Roman"/>
      <w:b/>
      <w:sz w:val="20"/>
    </w:rPr>
  </w:style>
  <w:style w:type="character" w:styleId="1176" w:customStyle="1">
    <w:name w:val="表格文字图表文字 Char Char"/>
    <w:qFormat/>
    <w:rPr>
      <w:rFonts w:ascii="Times New Roman" w:hAnsi="Times New Roman" w:eastAsia="宋体" w:cs="Times New Roman"/>
      <w:sz w:val="20"/>
    </w:rPr>
  </w:style>
  <w:style w:type="character" w:styleId="1177" w:customStyle="1">
    <w:name w:val="图片 Char"/>
    <w:qFormat/>
    <w:rPr>
      <w:rFonts w:ascii="Times New Roman" w:hAnsi="Times New Roman" w:eastAsia="宋体" w:cs="Times New Roman"/>
      <w:sz w:val="20"/>
    </w:rPr>
  </w:style>
  <w:style w:type="character" w:styleId="1178" w:customStyle="1">
    <w:name w:val="标题 6 Char"/>
    <w:qFormat/>
    <w:rPr>
      <w:rFonts w:ascii="Times New Roman" w:hAnsi="Times New Roman" w:eastAsia="宋体" w:cs="Times New Roman"/>
      <w:b/>
      <w:sz w:val="20"/>
    </w:rPr>
  </w:style>
  <w:style w:type="character" w:styleId="1179" w:customStyle="1">
    <w:name w:val="标题 4 Char"/>
    <w:qFormat/>
    <w:rPr>
      <w:rFonts w:ascii="Times New Roman" w:hAnsi="Times New Roman" w:eastAsia="宋体" w:cs="Times New Roman"/>
      <w:b/>
      <w:sz w:val="20"/>
    </w:rPr>
  </w:style>
  <w:style w:type="character" w:styleId="1180" w:customStyle="1">
    <w:name w:val="文档结构图 Char1"/>
    <w:qFormat/>
    <w:rPr>
      <w:rFonts w:ascii="Times New Roman" w:hAnsi="Times New Roman" w:eastAsia="宋体" w:cs="Times New Roman"/>
      <w:sz w:val="20"/>
    </w:rPr>
  </w:style>
  <w:style w:type="character" w:styleId="1181" w:customStyle="1">
    <w:name w:val="项目符0 Char"/>
    <w:qFormat/>
    <w:rPr>
      <w:rFonts w:ascii="Times New Roman" w:hAnsi="Times New Roman" w:eastAsia="宋体" w:cs="Times New Roman"/>
      <w:sz w:val="20"/>
    </w:rPr>
  </w:style>
  <w:style w:type="character" w:styleId="1182" w:customStyle="1">
    <w:name w:val="正文文本缩进 3 Char"/>
    <w:qFormat/>
    <w:rPr>
      <w:rFonts w:ascii="Times New Roman" w:hAnsi="Times New Roman" w:eastAsia="宋体" w:cs="Times New Roman"/>
      <w:sz w:val="20"/>
    </w:rPr>
  </w:style>
  <w:style w:type="character" w:styleId="1183" w:customStyle="1">
    <w:name w:val="Char Char3"/>
    <w:qFormat/>
    <w:rPr>
      <w:rFonts w:ascii="Times New Roman" w:hAnsi="Times New Roman" w:eastAsia="宋体" w:cs="Times New Roman"/>
      <w:sz w:val="20"/>
    </w:rPr>
  </w:style>
  <w:style w:type="character" w:styleId="1184" w:customStyle="1">
    <w:name w:val="纯文本 Char"/>
    <w:qFormat/>
    <w:rPr>
      <w:rFonts w:ascii="Times New Roman" w:hAnsi="Times New Roman" w:eastAsia="宋体" w:cs="Times New Roman"/>
      <w:sz w:val="20"/>
    </w:rPr>
  </w:style>
  <w:style w:type="character" w:styleId="1185" w:customStyle="1">
    <w:name w:val="正文文本缩进 2 Char1"/>
    <w:qFormat/>
    <w:rPr>
      <w:rFonts w:ascii="Times New Roman" w:hAnsi="Times New Roman" w:eastAsia="宋体" w:cs="Times New Roman"/>
      <w:sz w:val="20"/>
    </w:rPr>
  </w:style>
  <w:style w:type="character" w:styleId="1186" w:customStyle="1">
    <w:name w:val="标题 8 Char"/>
    <w:qFormat/>
    <w:rPr>
      <w:rFonts w:ascii="Times New Roman" w:hAnsi="Times New Roman" w:eastAsia="宋体" w:cs="Times New Roman"/>
      <w:sz w:val="20"/>
    </w:rPr>
  </w:style>
  <w:style w:type="character" w:styleId="1187" w:customStyle="1">
    <w:name w:val="标题 6 Char1"/>
    <w:qFormat/>
    <w:rPr>
      <w:rFonts w:ascii="Times New Roman" w:hAnsi="Times New Roman" w:eastAsia="宋体" w:cs="Times New Roman"/>
      <w:b/>
      <w:sz w:val="20"/>
    </w:rPr>
  </w:style>
  <w:style w:type="character" w:styleId="1188" w:customStyle="1">
    <w:name w:val="case31"/>
    <w:qFormat/>
    <w:rPr>
      <w:rFonts w:ascii="Times New Roman" w:hAnsi="Times New Roman" w:eastAsia="宋体" w:cs="Times New Roman"/>
      <w:sz w:val="20"/>
    </w:rPr>
  </w:style>
  <w:style w:type="character" w:styleId="1189" w:customStyle="1">
    <w:name w:val="正文文本 Char"/>
    <w:qFormat/>
    <w:rPr>
      <w:rFonts w:ascii="Times New Roman" w:hAnsi="Times New Roman" w:eastAsia="宋体" w:cs="Times New Roman"/>
      <w:sz w:val="20"/>
    </w:rPr>
  </w:style>
  <w:style w:type="paragraph" w:styleId="1190" w:customStyle="1">
    <w:name w:val="节标题"/>
    <w:basedOn w:val="1010"/>
    <w:next w:val="1191"/>
    <w:qFormat/>
    <w:pPr>
      <w:ind w:left="0" w:firstLine="5120"/>
      <w:jc w:val="center"/>
      <w:spacing w:before="0" w:after="0" w:line="289" w:lineRule="atLeast"/>
    </w:pPr>
    <w:rPr>
      <w:rFonts w:ascii="Times New Roman" w:hAnsi="Times New Roman" w:cs="Times New Roman"/>
    </w:rPr>
  </w:style>
  <w:style w:type="paragraph" w:styleId="1191" w:customStyle="1">
    <w:name w:val="文档标题6"/>
    <w:basedOn w:val="1016"/>
    <w:next w:val="1009"/>
    <w:qFormat/>
    <w:pPr>
      <w:ind w:left="1134" w:firstLine="20"/>
      <w:spacing w:before="280" w:after="280" w:line="360" w:lineRule="auto"/>
      <w:outlineLvl w:val="5"/>
    </w:pPr>
  </w:style>
  <w:style w:type="paragraph" w:styleId="1192" w:customStyle="1">
    <w:name w:val="正文段"/>
    <w:basedOn w:val="1010"/>
    <w:next w:val="1193"/>
    <w:qFormat/>
    <w:pPr>
      <w:ind w:left="454" w:firstLine="1222"/>
      <w:spacing w:before="0" w:after="240" w:line="240" w:lineRule="atLeast"/>
    </w:pPr>
    <w:rPr>
      <w:rFonts w:ascii="Times New Roman" w:hAnsi="Times New Roman" w:cs="Times New Roman"/>
    </w:rPr>
  </w:style>
  <w:style w:type="paragraph" w:styleId="1193" w:customStyle="1">
    <w:name w:val="批注主题1"/>
    <w:next w:val="1009"/>
    <w:qFormat/>
    <w:pPr>
      <w:ind w:left="200" w:firstLine="4808"/>
      <w:spacing w:line="360" w:lineRule="auto"/>
    </w:pPr>
    <w:rPr>
      <w:rFonts w:ascii="Calibri" w:hAnsi="Calibri"/>
    </w:rPr>
  </w:style>
  <w:style w:type="paragraph" w:styleId="1194" w:customStyle="1">
    <w:name w:val="_Style 224"/>
    <w:next w:val="1195"/>
    <w:qFormat/>
    <w:pPr>
      <w:ind w:firstLine="3584"/>
    </w:pPr>
    <w:rPr>
      <w:rFonts w:ascii="Calibri" w:hAnsi="Calibri"/>
    </w:rPr>
  </w:style>
  <w:style w:type="paragraph" w:styleId="1195" w:customStyle="1">
    <w:name w:val="编号1"/>
    <w:basedOn w:val="1010"/>
    <w:next w:val="1196"/>
    <w:qFormat/>
    <w:pPr>
      <w:ind w:left="360" w:right="210" w:firstLine="2200"/>
      <w:spacing w:before="0" w:after="0" w:line="240" w:lineRule="auto"/>
    </w:pPr>
    <w:rPr>
      <w:rFonts w:ascii="Times New Roman" w:hAnsi="Times New Roman" w:cs="Times New Roman"/>
    </w:rPr>
  </w:style>
  <w:style w:type="paragraph" w:styleId="1196" w:customStyle="1">
    <w:name w:val="图片"/>
    <w:basedOn w:val="1010"/>
    <w:next w:val="1197"/>
    <w:qFormat/>
    <w:pPr>
      <w:ind w:left="-283" w:firstLine="2674"/>
      <w:jc w:val="center"/>
      <w:spacing w:before="0" w:after="0" w:line="360" w:lineRule="auto"/>
    </w:pPr>
    <w:rPr>
      <w:rFonts w:ascii="Times New Roman" w:hAnsi="Times New Roman" w:cs="Times New Roman"/>
    </w:rPr>
  </w:style>
  <w:style w:type="paragraph" w:styleId="1197" w:customStyle="1">
    <w:name w:val="样式 目录 3 + 左侧:  2 字符"/>
    <w:next w:val="1062"/>
    <w:qFormat/>
    <w:pPr>
      <w:ind w:left="400" w:firstLine="5120"/>
      <w:spacing w:line="360" w:lineRule="auto"/>
      <w:widowControl w:val="off"/>
    </w:pPr>
    <w:rPr>
      <w:rFonts w:ascii="Calibri" w:hAnsi="Calibri"/>
    </w:rPr>
  </w:style>
  <w:style w:type="paragraph" w:styleId="1198" w:customStyle="1">
    <w:name w:val="图注"/>
    <w:next w:val="1199"/>
    <w:qFormat/>
    <w:pPr>
      <w:ind w:left="360" w:firstLine="2152"/>
      <w:jc w:val="center"/>
    </w:pPr>
    <w:rPr>
      <w:rFonts w:ascii="Calibri" w:hAnsi="Calibri"/>
    </w:rPr>
  </w:style>
  <w:style w:type="paragraph" w:styleId="1199" w:customStyle="1">
    <w:name w:val="列表编号 41"/>
    <w:basedOn w:val="1010"/>
    <w:next w:val="1200"/>
    <w:qFormat/>
    <w:pPr>
      <w:ind w:left="1620" w:firstLine="2712"/>
      <w:spacing w:before="0" w:after="0" w:line="360" w:lineRule="auto"/>
    </w:pPr>
    <w:rPr>
      <w:rFonts w:ascii="Times New Roman" w:hAnsi="Times New Roman" w:cs="Times New Roman"/>
    </w:rPr>
  </w:style>
  <w:style w:type="paragraph" w:styleId="1200" w:customStyle="1">
    <w:name w:val="项目符0"/>
    <w:basedOn w:val="1010"/>
    <w:next w:val="1201"/>
    <w:qFormat/>
    <w:pPr>
      <w:ind w:left="300" w:right="57" w:firstLine="2760"/>
      <w:spacing w:before="0" w:after="0" w:line="300" w:lineRule="auto"/>
    </w:pPr>
    <w:rPr>
      <w:rFonts w:ascii="Times New Roman" w:hAnsi="Times New Roman" w:cs="Times New Roman"/>
    </w:rPr>
  </w:style>
  <w:style w:type="paragraph" w:styleId="1201" w:customStyle="1">
    <w:name w:val="宏文本1"/>
    <w:next w:val="1202"/>
    <w:qFormat/>
    <w:pPr>
      <w:ind w:firstLine="5632"/>
      <w:widowControl w:val="off"/>
    </w:pPr>
    <w:rPr>
      <w:rFonts w:ascii="Calibri" w:hAnsi="Calibri"/>
    </w:rPr>
  </w:style>
  <w:style w:type="paragraph" w:styleId="1202" w:customStyle="1">
    <w:name w:val="Item Step in Table"/>
    <w:next w:val="1203"/>
    <w:qFormat/>
    <w:pPr>
      <w:ind w:left="397" w:firstLine="3699"/>
      <w:jc w:val="both"/>
      <w:spacing w:before="40" w:after="40"/>
    </w:pPr>
    <w:rPr>
      <w:rFonts w:ascii="Calibri" w:hAnsi="Calibri"/>
    </w:rPr>
  </w:style>
  <w:style w:type="paragraph" w:styleId="1203" w:customStyle="1">
    <w:name w:val="Char Char Char Char Char Char1 Char Char Char Char Char Char"/>
    <w:basedOn w:val="1010"/>
    <w:next w:val="1204"/>
    <w:qFormat/>
    <w:pPr>
      <w:ind w:left="0" w:firstLine="2560"/>
      <w:spacing w:before="0" w:after="0" w:line="240" w:lineRule="auto"/>
    </w:pPr>
    <w:rPr>
      <w:rFonts w:ascii="Times New Roman" w:hAnsi="Times New Roman" w:cs="Times New Roman"/>
    </w:rPr>
  </w:style>
  <w:style w:type="paragraph" w:styleId="1204" w:customStyle="1">
    <w:name w:val="Char Char1"/>
    <w:basedOn w:val="1010"/>
    <w:next w:val="1205"/>
    <w:qFormat/>
    <w:pPr>
      <w:ind w:left="0" w:firstLine="3584"/>
      <w:spacing w:before="0" w:after="160" w:line="240" w:lineRule="exact"/>
    </w:pPr>
    <w:rPr>
      <w:rFonts w:ascii="Times New Roman" w:hAnsi="Times New Roman" w:cs="Times New Roman"/>
    </w:rPr>
  </w:style>
  <w:style w:type="paragraph" w:styleId="1205" w:customStyle="1">
    <w:name w:val="样式 标题 3 + 行距: 1.5 倍行距"/>
    <w:basedOn w:val="1013"/>
    <w:next w:val="1068"/>
    <w:qFormat/>
    <w:pPr>
      <w:ind w:left="200" w:firstLine="18"/>
      <w:spacing w:before="0" w:after="0" w:line="360" w:lineRule="auto"/>
      <w:outlineLvl w:val="2"/>
    </w:pPr>
  </w:style>
  <w:style w:type="paragraph" w:styleId="1206" w:customStyle="1">
    <w:name w:val="xl76"/>
    <w:basedOn w:val="1010"/>
    <w:next w:val="1065"/>
    <w:qFormat/>
    <w:pPr>
      <w:ind w:left="0" w:firstLine="3584"/>
      <w:jc w:val="center"/>
      <w:spacing w:before="280" w:after="280" w:line="240" w:lineRule="auto"/>
    </w:pPr>
    <w:rPr>
      <w:rFonts w:ascii="Times New Roman" w:hAnsi="Times New Roman" w:cs="Times New Roman"/>
    </w:rPr>
  </w:style>
  <w:style w:type="paragraph" w:styleId="1207" w:customStyle="1">
    <w:name w:val="xl26"/>
    <w:basedOn w:val="1010"/>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08" w:customStyle="1">
    <w:name w:val="Char1 Char Char"/>
    <w:basedOn w:val="1010"/>
    <w:next w:val="1048"/>
    <w:qFormat/>
    <w:pPr>
      <w:ind w:left="0" w:firstLine="2560"/>
      <w:spacing w:before="0" w:after="0" w:line="240" w:lineRule="auto"/>
    </w:pPr>
    <w:rPr>
      <w:rFonts w:ascii="Times New Roman" w:hAnsi="Times New Roman" w:cs="Times New Roman"/>
    </w:rPr>
  </w:style>
  <w:style w:type="paragraph" w:styleId="1209" w:customStyle="1">
    <w:name w:val="纯文本2"/>
    <w:basedOn w:val="1010"/>
    <w:next w:val="1210"/>
    <w:qFormat/>
    <w:pPr>
      <w:ind w:left="0" w:firstLine="3584"/>
      <w:spacing w:before="0" w:after="0" w:line="240" w:lineRule="auto"/>
    </w:pPr>
    <w:rPr>
      <w:rFonts w:ascii="Times New Roman" w:hAnsi="Times New Roman" w:cs="Times New Roman"/>
    </w:rPr>
  </w:style>
  <w:style w:type="paragraph" w:styleId="1210" w:customStyle="1">
    <w:name w:val="xl69"/>
    <w:basedOn w:val="1010"/>
    <w:next w:val="1211"/>
    <w:qFormat/>
    <w:pPr>
      <w:ind w:left="0" w:firstLine="3584"/>
      <w:spacing w:before="280" w:after="280" w:line="240" w:lineRule="auto"/>
    </w:pPr>
    <w:rPr>
      <w:rFonts w:ascii="Times New Roman" w:hAnsi="Times New Roman" w:cs="Times New Roman"/>
    </w:rPr>
  </w:style>
  <w:style w:type="paragraph" w:styleId="1211" w:customStyle="1">
    <w:name w:val="Char Char Char"/>
    <w:basedOn w:val="1010"/>
    <w:next w:val="1212"/>
    <w:qFormat/>
    <w:pPr>
      <w:ind w:left="0" w:firstLine="2560"/>
      <w:spacing w:before="0" w:after="0" w:line="240" w:lineRule="auto"/>
    </w:pPr>
    <w:rPr>
      <w:rFonts w:ascii="Times New Roman" w:hAnsi="Times New Roman" w:cs="Times New Roman"/>
    </w:rPr>
  </w:style>
  <w:style w:type="paragraph" w:styleId="1212" w:customStyle="1">
    <w:name w:val="表格"/>
    <w:basedOn w:val="1010"/>
    <w:next w:val="1207"/>
    <w:qFormat/>
    <w:pPr>
      <w:ind w:left="0" w:firstLine="2560"/>
      <w:spacing w:before="0" w:after="0" w:line="360" w:lineRule="auto"/>
    </w:pPr>
    <w:rPr>
      <w:rFonts w:ascii="Times New Roman" w:hAnsi="Times New Roman" w:cs="Times New Roman"/>
    </w:rPr>
  </w:style>
  <w:style w:type="paragraph" w:styleId="1213" w:customStyle="1">
    <w:name w:val="xl68"/>
    <w:basedOn w:val="1010"/>
    <w:next w:val="1214"/>
    <w:qFormat/>
    <w:pPr>
      <w:ind w:left="100" w:firstLine="5220"/>
      <w:spacing w:before="280" w:after="280" w:line="240" w:lineRule="auto"/>
    </w:pPr>
    <w:rPr>
      <w:rFonts w:ascii="Times New Roman" w:hAnsi="Times New Roman" w:cs="Times New Roman"/>
    </w:rPr>
  </w:style>
  <w:style w:type="paragraph" w:styleId="1214" w:customStyle="1">
    <w:name w:val="Char1"/>
    <w:basedOn w:val="1010"/>
    <w:next w:val="1215"/>
    <w:qFormat/>
    <w:pPr>
      <w:ind w:left="0" w:firstLine="2560"/>
      <w:spacing w:before="0" w:after="0" w:line="240" w:lineRule="auto"/>
    </w:pPr>
    <w:rPr>
      <w:rFonts w:ascii="Times New Roman" w:hAnsi="Times New Roman" w:cs="Times New Roman"/>
    </w:rPr>
  </w:style>
  <w:style w:type="paragraph" w:styleId="1215" w:customStyle="1">
    <w:name w:val="需求文档正文样式"/>
    <w:basedOn w:val="1010"/>
    <w:next w:val="1216"/>
    <w:qFormat/>
    <w:pPr>
      <w:ind w:left="437" w:firstLine="2741"/>
      <w:spacing w:before="0" w:after="0" w:line="360" w:lineRule="auto"/>
    </w:pPr>
    <w:rPr>
      <w:rFonts w:ascii="Times New Roman" w:hAnsi="Times New Roman" w:cs="Times New Roman"/>
    </w:rPr>
  </w:style>
  <w:style w:type="paragraph" w:styleId="1216" w:customStyle="1">
    <w:name w:val="xl74"/>
    <w:basedOn w:val="1010"/>
    <w:next w:val="1217"/>
    <w:qFormat/>
    <w:pPr>
      <w:ind w:left="0" w:firstLine="16"/>
      <w:jc w:val="center"/>
      <w:spacing w:before="280" w:after="280" w:line="240" w:lineRule="auto"/>
      <w:shd w:val="clear" w:color="000000" w:fill="538dd5"/>
    </w:pPr>
    <w:rPr>
      <w:rFonts w:ascii="Times New Roman" w:hAnsi="Times New Roman" w:cs="Times New Roman"/>
    </w:rPr>
  </w:style>
  <w:style w:type="paragraph" w:styleId="1217" w:customStyle="1">
    <w:name w:val="xl88"/>
    <w:basedOn w:val="1010"/>
    <w:next w:val="1218"/>
    <w:qFormat/>
    <w:pPr>
      <w:ind w:left="0" w:firstLine="5120"/>
      <w:spacing w:before="280" w:after="280" w:line="240" w:lineRule="auto"/>
    </w:pPr>
    <w:rPr>
      <w:rFonts w:ascii="Times New Roman" w:hAnsi="Times New Roman" w:cs="Times New Roman"/>
    </w:rPr>
  </w:style>
  <w:style w:type="paragraph" w:styleId="1218" w:customStyle="1">
    <w:name w:val="xl70"/>
    <w:basedOn w:val="1010"/>
    <w:next w:val="1064"/>
    <w:qFormat/>
    <w:pPr>
      <w:ind w:left="0" w:firstLine="1024"/>
      <w:spacing w:before="280" w:after="280" w:line="240" w:lineRule="auto"/>
    </w:pPr>
    <w:rPr>
      <w:rFonts w:ascii="Times New Roman" w:hAnsi="Times New Roman" w:cs="Times New Roman"/>
    </w:rPr>
  </w:style>
  <w:style w:type="paragraph" w:styleId="1219" w:customStyle="1">
    <w:name w:val="文档标题5"/>
    <w:basedOn w:val="1015"/>
    <w:next w:val="1009"/>
    <w:qFormat/>
    <w:pPr>
      <w:ind w:left="992" w:firstLine="18"/>
      <w:spacing w:before="280" w:after="280" w:line="360" w:lineRule="auto"/>
      <w:outlineLvl w:val="4"/>
    </w:pPr>
  </w:style>
  <w:style w:type="paragraph" w:styleId="1220" w:customStyle="1">
    <w:name w:val="样式 加粗 居中"/>
    <w:basedOn w:val="1010"/>
    <w:next w:val="1221"/>
    <w:qFormat/>
    <w:pPr>
      <w:ind w:left="0" w:firstLine="2560"/>
      <w:jc w:val="center"/>
      <w:spacing w:before="0" w:after="0" w:line="360" w:lineRule="auto"/>
    </w:pPr>
    <w:rPr>
      <w:rFonts w:ascii="Times New Roman" w:hAnsi="Times New Roman" w:cs="Times New Roman"/>
    </w:rPr>
  </w:style>
  <w:style w:type="paragraph" w:styleId="1221" w:customStyle="1">
    <w:name w:val="_Style 12"/>
    <w:next w:val="1222"/>
    <w:qFormat/>
    <w:pPr>
      <w:ind w:firstLine="14"/>
      <w:spacing w:line="360" w:lineRule="auto"/>
      <w:shd w:val="clear" w:color="000000" w:fill="000080"/>
    </w:pPr>
    <w:rPr>
      <w:rFonts w:ascii="Calibri" w:hAnsi="Calibri"/>
    </w:rPr>
  </w:style>
  <w:style w:type="paragraph" w:styleId="1222" w:customStyle="1">
    <w:name w:val="正文文本缩进1"/>
    <w:basedOn w:val="1010"/>
    <w:next w:val="1223"/>
    <w:qFormat/>
    <w:pPr>
      <w:ind w:left="420" w:firstLine="3584"/>
      <w:spacing w:before="0" w:after="120" w:line="240" w:lineRule="auto"/>
    </w:pPr>
    <w:rPr>
      <w:rFonts w:ascii="Times New Roman" w:hAnsi="Times New Roman" w:cs="Times New Roman"/>
    </w:rPr>
  </w:style>
  <w:style w:type="paragraph" w:styleId="1223" w:customStyle="1">
    <w:name w:val="列表编号 31"/>
    <w:basedOn w:val="1010"/>
    <w:next w:val="1066"/>
    <w:qFormat/>
    <w:pPr>
      <w:ind w:left="1200" w:firstLine="2712"/>
      <w:spacing w:before="0" w:after="0" w:line="360" w:lineRule="auto"/>
    </w:pPr>
    <w:rPr>
      <w:rFonts w:ascii="Times New Roman" w:hAnsi="Times New Roman" w:cs="Times New Roman"/>
    </w:rPr>
  </w:style>
  <w:style w:type="paragraph" w:styleId="1224" w:customStyle="1">
    <w:name w:val="三号 居中"/>
    <w:basedOn w:val="1010"/>
    <w:next w:val="1225"/>
    <w:qFormat/>
    <w:pPr>
      <w:ind w:left="0" w:firstLine="6144"/>
      <w:jc w:val="center"/>
      <w:spacing w:before="0" w:after="0" w:line="360" w:lineRule="auto"/>
    </w:pPr>
    <w:rPr>
      <w:rFonts w:ascii="Times New Roman" w:hAnsi="Times New Roman" w:cs="Times New Roman"/>
    </w:rPr>
  </w:style>
  <w:style w:type="paragraph" w:styleId="1225" w:customStyle="1">
    <w:name w:val="列出段落1"/>
    <w:basedOn w:val="1010"/>
    <w:next w:val="1226"/>
    <w:qFormat/>
    <w:pPr>
      <w:ind w:left="420" w:firstLine="3748"/>
      <w:spacing w:before="0" w:after="0" w:line="240" w:lineRule="auto"/>
    </w:pPr>
    <w:rPr>
      <w:rFonts w:ascii="Times New Roman" w:hAnsi="Times New Roman" w:cs="Times New Roman"/>
    </w:rPr>
  </w:style>
  <w:style w:type="paragraph" w:styleId="1226" w:customStyle="1">
    <w:name w:val="Char Char Char Char Char Char1 Char Char Char1 Char Char Char"/>
    <w:basedOn w:val="1010"/>
    <w:next w:val="1227"/>
    <w:qFormat/>
    <w:pPr>
      <w:ind w:left="0" w:firstLine="2560"/>
      <w:spacing w:before="0" w:after="0" w:line="240" w:lineRule="auto"/>
    </w:pPr>
    <w:rPr>
      <w:rFonts w:ascii="Times New Roman" w:hAnsi="Times New Roman" w:cs="Times New Roman"/>
    </w:rPr>
  </w:style>
  <w:style w:type="paragraph" w:styleId="1227" w:customStyle="1">
    <w:name w:val="Char Char Char Char Char Char1 Char Char Char1 Char"/>
    <w:basedOn w:val="1010"/>
    <w:next w:val="1228"/>
    <w:qFormat/>
    <w:pPr>
      <w:ind w:left="0" w:firstLine="2560"/>
      <w:spacing w:before="0" w:after="0" w:line="240" w:lineRule="auto"/>
    </w:pPr>
    <w:rPr>
      <w:rFonts w:ascii="Times New Roman" w:hAnsi="Times New Roman" w:cs="Times New Roman"/>
    </w:rPr>
  </w:style>
  <w:style w:type="paragraph" w:styleId="1228" w:customStyle="1">
    <w:name w:val="正文符号4"/>
    <w:basedOn w:val="1010"/>
    <w:next w:val="1220"/>
    <w:qFormat/>
    <w:pPr>
      <w:ind w:left="0" w:firstLine="5632"/>
      <w:spacing w:before="0" w:after="0" w:line="240" w:lineRule="auto"/>
    </w:pPr>
    <w:rPr>
      <w:rFonts w:ascii="Times New Roman" w:hAnsi="Times New Roman" w:cs="Times New Roman"/>
    </w:rPr>
  </w:style>
  <w:style w:type="paragraph" w:styleId="1229" w:customStyle="1">
    <w:name w:val="加粗（居中）"/>
    <w:next w:val="1230"/>
    <w:qFormat/>
    <w:pPr>
      <w:ind w:firstLine="2560"/>
    </w:pPr>
    <w:rPr>
      <w:rFonts w:ascii="Calibri" w:hAnsi="Calibri"/>
    </w:rPr>
  </w:style>
  <w:style w:type="paragraph" w:styleId="1230" w:customStyle="1">
    <w:name w:val="xl65"/>
    <w:basedOn w:val="1010"/>
    <w:next w:val="1190"/>
    <w:qFormat/>
    <w:pPr>
      <w:ind w:left="0" w:firstLine="5120"/>
      <w:spacing w:before="280" w:after="280" w:line="240" w:lineRule="auto"/>
    </w:pPr>
    <w:rPr>
      <w:rFonts w:ascii="Times New Roman" w:hAnsi="Times New Roman" w:cs="Times New Roman"/>
    </w:rPr>
  </w:style>
  <w:style w:type="paragraph" w:styleId="1231" w:customStyle="1">
    <w:name w:val="WPSOffice手动目录 3"/>
    <w:qFormat/>
    <w:pPr>
      <w:ind w:left="400"/>
    </w:pPr>
  </w:style>
  <w:style w:type="paragraph" w:styleId="1232" w:customStyle="1">
    <w:name w:val="xl77"/>
    <w:basedOn w:val="1010"/>
    <w:next w:val="1233"/>
    <w:qFormat/>
    <w:pPr>
      <w:ind w:left="0" w:firstLine="3584"/>
      <w:spacing w:before="280" w:after="280" w:line="240" w:lineRule="auto"/>
    </w:pPr>
    <w:rPr>
      <w:rFonts w:ascii="Times New Roman" w:hAnsi="Times New Roman" w:cs="Times New Roman"/>
    </w:rPr>
  </w:style>
  <w:style w:type="paragraph" w:styleId="1233" w:customStyle="1">
    <w:name w:val="Char Char Char1"/>
    <w:basedOn w:val="1010"/>
    <w:next w:val="1234"/>
    <w:qFormat/>
    <w:pPr>
      <w:ind w:left="900" w:firstLine="2096"/>
      <w:spacing w:before="0" w:after="0" w:line="240" w:lineRule="auto"/>
    </w:pPr>
    <w:rPr>
      <w:rFonts w:ascii="Times New Roman" w:hAnsi="Times New Roman" w:cs="Times New Roman"/>
    </w:rPr>
  </w:style>
  <w:style w:type="paragraph" w:styleId="1234" w:customStyle="1">
    <w:name w:val="索引 21"/>
    <w:basedOn w:val="1010"/>
    <w:next w:val="1009"/>
    <w:qFormat/>
    <w:pPr>
      <w:ind w:left="200" w:firstLine="2560"/>
      <w:jc w:val="center"/>
      <w:spacing w:before="0" w:after="0" w:line="360" w:lineRule="auto"/>
    </w:pPr>
    <w:rPr>
      <w:rFonts w:ascii="Times New Roman" w:hAnsi="Times New Roman" w:cs="Times New Roman"/>
    </w:rPr>
  </w:style>
  <w:style w:type="paragraph" w:styleId="1235" w:customStyle="1">
    <w:name w:val="正文（首行缩进 2 字符）"/>
    <w:next w:val="1236"/>
    <w:qFormat/>
    <w:pPr>
      <w:ind w:left="480" w:firstLine="2784"/>
      <w:jc w:val="center"/>
      <w:spacing w:line="300" w:lineRule="auto"/>
    </w:pPr>
    <w:rPr>
      <w:rFonts w:ascii="Calibri" w:hAnsi="Calibri"/>
    </w:rPr>
  </w:style>
  <w:style w:type="paragraph" w:styleId="1236" w:customStyle="1">
    <w:name w:val="xl28"/>
    <w:basedOn w:val="1010"/>
    <w:next w:val="1237"/>
    <w:qFormat/>
    <w:pPr>
      <w:ind w:left="0" w:firstLine="20"/>
      <w:spacing w:before="280" w:after="280" w:line="240" w:lineRule="auto"/>
      <w:shd w:val="clear" w:color="000000" w:fill="ffffff"/>
    </w:pPr>
    <w:rPr>
      <w:rFonts w:ascii="Times New Roman" w:hAnsi="Times New Roman" w:cs="Times New Roman"/>
    </w:rPr>
  </w:style>
  <w:style w:type="paragraph" w:styleId="1237" w:customStyle="1">
    <w:name w:val="HTML 预设格式1"/>
    <w:basedOn w:val="1010"/>
    <w:next w:val="1238"/>
    <w:qFormat/>
    <w:pPr>
      <w:ind w:left="0" w:firstLine="3584"/>
      <w:spacing w:before="0" w:after="0" w:line="253" w:lineRule="atLeast"/>
    </w:pPr>
    <w:rPr>
      <w:rFonts w:ascii="Times New Roman" w:hAnsi="Times New Roman" w:cs="Times New Roman"/>
    </w:rPr>
  </w:style>
  <w:style w:type="paragraph" w:styleId="1238" w:customStyle="1">
    <w:name w:val="项目符号：一级"/>
    <w:basedOn w:val="1010"/>
    <w:next w:val="1009"/>
    <w:qFormat/>
    <w:pPr>
      <w:ind w:left="425" w:firstLine="1111"/>
      <w:spacing w:before="0" w:after="0" w:line="360" w:lineRule="auto"/>
    </w:pPr>
    <w:rPr>
      <w:rFonts w:ascii="Times New Roman" w:hAnsi="Times New Roman" w:cs="Times New Roman"/>
    </w:rPr>
  </w:style>
  <w:style w:type="paragraph" w:styleId="1239" w:customStyle="1">
    <w:name w:val="Default"/>
    <w:next w:val="1044"/>
    <w:qFormat/>
    <w:pPr>
      <w:ind w:firstLine="5120"/>
      <w:widowControl w:val="off"/>
    </w:pPr>
    <w:rPr>
      <w:rFonts w:ascii="Calibri" w:hAnsi="Calibri"/>
    </w:rPr>
  </w:style>
  <w:style w:type="paragraph" w:styleId="1240" w:customStyle="1">
    <w:name w:val="xl84"/>
    <w:basedOn w:val="1010"/>
    <w:next w:val="1241"/>
    <w:qFormat/>
    <w:pPr>
      <w:ind w:left="0" w:firstLine="2048"/>
      <w:jc w:val="center"/>
      <w:spacing w:before="280" w:after="280" w:line="240" w:lineRule="auto"/>
    </w:pPr>
    <w:rPr>
      <w:rFonts w:ascii="Times New Roman" w:hAnsi="Times New Roman" w:cs="Times New Roman"/>
    </w:rPr>
  </w:style>
  <w:style w:type="paragraph" w:styleId="1241" w:customStyle="1">
    <w:name w:val="2-2ji"/>
    <w:basedOn w:val="1012"/>
    <w:next w:val="1242"/>
    <w:qFormat/>
    <w:pPr>
      <w:ind w:left="0" w:firstLine="24"/>
      <w:jc w:val="center"/>
      <w:spacing w:before="0" w:after="0" w:line="360" w:lineRule="auto"/>
      <w:outlineLvl w:val="1"/>
    </w:pPr>
  </w:style>
  <w:style w:type="paragraph" w:styleId="1242" w:customStyle="1">
    <w:name w:val="应答文本"/>
    <w:basedOn w:val="1010"/>
    <w:next w:val="1243"/>
    <w:qFormat/>
    <w:pPr>
      <w:ind w:left="1296" w:firstLine="2112"/>
      <w:spacing w:before="0" w:after="0" w:line="460" w:lineRule="exact"/>
    </w:pPr>
    <w:rPr>
      <w:rFonts w:ascii="Times New Roman" w:hAnsi="Times New Roman" w:cs="Times New Roman"/>
    </w:rPr>
  </w:style>
  <w:style w:type="paragraph" w:styleId="1243" w:customStyle="1">
    <w:name w:val="引文目录1"/>
    <w:basedOn w:val="1010"/>
    <w:next w:val="1009"/>
    <w:qFormat/>
    <w:pPr>
      <w:ind w:left="420" w:firstLine="2560"/>
      <w:jc w:val="center"/>
      <w:spacing w:before="0" w:after="0" w:line="360" w:lineRule="auto"/>
    </w:pPr>
    <w:rPr>
      <w:rFonts w:ascii="Times New Roman" w:hAnsi="Times New Roman" w:cs="Times New Roman"/>
    </w:rPr>
  </w:style>
  <w:style w:type="paragraph" w:styleId="1244" w:customStyle="1">
    <w:name w:val="首行缩进"/>
    <w:basedOn w:val="1009"/>
    <w:qFormat/>
    <w:pPr>
      <w:ind w:firstLine="480"/>
    </w:pPr>
    <w:rPr>
      <w:rFonts w:ascii="Times New Roman" w:hAnsi="Times New Roman" w:cs="Times New Roman"/>
      <w:lang w:val="zh-CN"/>
    </w:rPr>
  </w:style>
  <w:style w:type="paragraph" w:styleId="1245" w:customStyle="1">
    <w:name w:val="font9"/>
    <w:basedOn w:val="1010"/>
    <w:next w:val="1246"/>
    <w:qFormat/>
    <w:pPr>
      <w:ind w:left="0" w:firstLine="7168"/>
      <w:spacing w:before="280" w:after="280" w:line="240" w:lineRule="auto"/>
    </w:pPr>
    <w:rPr>
      <w:rFonts w:ascii="Times New Roman" w:hAnsi="Times New Roman" w:cs="Times New Roman"/>
    </w:rPr>
  </w:style>
  <w:style w:type="paragraph" w:styleId="1246" w:customStyle="1">
    <w:name w:val="样式 标题 3 + (中文) 黑体 小四 非加粗 段前: 7.8 磅 段后: 0 磅 行距: 固定值 20 磅"/>
    <w:basedOn w:val="1013"/>
    <w:next w:val="1247"/>
    <w:qFormat/>
    <w:pPr>
      <w:ind w:left="0"/>
      <w:spacing w:before="0" w:after="0" w:line="400" w:lineRule="exact"/>
      <w:outlineLvl w:val="2"/>
    </w:pPr>
  </w:style>
  <w:style w:type="paragraph" w:styleId="1247" w:customStyle="1">
    <w:name w:val="标书正文"/>
    <w:basedOn w:val="1010"/>
    <w:next w:val="1248"/>
    <w:qFormat/>
    <w:pPr>
      <w:ind w:left="440" w:right="100" w:firstLine="2760"/>
      <w:spacing w:before="0" w:after="0" w:line="360" w:lineRule="auto"/>
    </w:pPr>
    <w:rPr>
      <w:rFonts w:ascii="Times New Roman" w:hAnsi="Times New Roman" w:cs="Times New Roman"/>
    </w:rPr>
  </w:style>
  <w:style w:type="paragraph" w:styleId="1248" w:customStyle="1">
    <w:name w:val="xl67"/>
    <w:basedOn w:val="1010"/>
    <w:next w:val="1249"/>
    <w:qFormat/>
    <w:pPr>
      <w:ind w:left="0" w:firstLine="5120"/>
      <w:spacing w:before="280" w:after="280" w:line="240" w:lineRule="auto"/>
    </w:pPr>
    <w:rPr>
      <w:rFonts w:ascii="Times New Roman" w:hAnsi="Times New Roman" w:cs="Times New Roman"/>
    </w:rPr>
  </w:style>
  <w:style w:type="paragraph" w:styleId="1249" w:customStyle="1">
    <w:name w:val="索引 61"/>
    <w:basedOn w:val="1010"/>
    <w:next w:val="1009"/>
    <w:qFormat/>
    <w:pPr>
      <w:ind w:left="1000" w:firstLine="2560"/>
      <w:jc w:val="center"/>
      <w:spacing w:before="0" w:after="0" w:line="360" w:lineRule="auto"/>
    </w:pPr>
    <w:rPr>
      <w:rFonts w:ascii="Times New Roman" w:hAnsi="Times New Roman" w:cs="Times New Roman"/>
    </w:rPr>
  </w:style>
  <w:style w:type="paragraph" w:styleId="1250" w:customStyle="1">
    <w:name w:val="目录3"/>
    <w:basedOn w:val="1010"/>
    <w:next w:val="1009"/>
    <w:qFormat/>
    <w:pPr>
      <w:ind w:left="419" w:firstLine="5283"/>
      <w:spacing w:before="0" w:after="0" w:line="317" w:lineRule="atLeast"/>
    </w:pPr>
    <w:rPr>
      <w:rFonts w:ascii="Times New Roman" w:hAnsi="Times New Roman" w:cs="Times New Roman"/>
    </w:rPr>
  </w:style>
  <w:style w:type="paragraph" w:styleId="1251" w:customStyle="1">
    <w:name w:val="xl90"/>
    <w:basedOn w:val="1010"/>
    <w:next w:val="1252"/>
    <w:qFormat/>
    <w:pPr>
      <w:ind w:left="0" w:firstLine="3584"/>
      <w:spacing w:before="280" w:after="280" w:line="240" w:lineRule="auto"/>
    </w:pPr>
    <w:rPr>
      <w:rFonts w:ascii="Times New Roman" w:hAnsi="Times New Roman" w:cs="Times New Roman"/>
    </w:rPr>
  </w:style>
  <w:style w:type="paragraph" w:styleId="1252" w:customStyle="1">
    <w:name w:val="列表框1"/>
    <w:next w:val="1243"/>
    <w:qFormat/>
    <w:pPr>
      <w:ind w:firstLine="2048"/>
      <w:spacing w:line="460" w:lineRule="exact"/>
    </w:pPr>
    <w:rPr>
      <w:rFonts w:ascii="Calibri" w:hAnsi="Calibri"/>
    </w:rPr>
  </w:style>
  <w:style w:type="paragraph" w:styleId="1253" w:customStyle="1">
    <w:name w:val="1ji"/>
    <w:basedOn w:val="1011"/>
    <w:next w:val="1232"/>
    <w:qFormat/>
    <w:pPr>
      <w:ind w:left="0" w:firstLine="18"/>
      <w:jc w:val="center"/>
      <w:spacing w:before="0" w:after="0" w:line="240" w:lineRule="auto"/>
      <w:outlineLvl w:val="0"/>
    </w:pPr>
  </w:style>
  <w:style w:type="paragraph" w:styleId="1254" w:customStyle="1">
    <w:name w:val="索引 81"/>
    <w:basedOn w:val="1010"/>
    <w:next w:val="1009"/>
    <w:qFormat/>
    <w:pPr>
      <w:ind w:left="1400" w:firstLine="2560"/>
      <w:jc w:val="center"/>
      <w:spacing w:before="0" w:after="0" w:line="360" w:lineRule="auto"/>
    </w:pPr>
    <w:rPr>
      <w:rFonts w:ascii="Times New Roman" w:hAnsi="Times New Roman" w:cs="Times New Roman"/>
    </w:rPr>
  </w:style>
  <w:style w:type="paragraph" w:styleId="1255" w:customStyle="1">
    <w:name w:val="正文1"/>
    <w:basedOn w:val="1009"/>
    <w:next w:val="1009"/>
    <w:qFormat/>
    <w:pPr>
      <w:spacing w:line="312" w:lineRule="atLeast"/>
    </w:pPr>
    <w:rPr>
      <w:rFonts w:ascii="楷体_GB2312" w:hAnsi="Times New Roman" w:eastAsia="楷体_GB2312" w:cs="Times New Roman"/>
      <w:sz w:val="24"/>
    </w:rPr>
  </w:style>
  <w:style w:type="paragraph" w:styleId="1256" w:customStyle="1">
    <w:name w:val="Char Char Char Char Char Char1 Char Char Char1 Char Char Char Char Char Char Char Char Char Char Char Char Char Char Char Char Char Char"/>
    <w:basedOn w:val="1010"/>
    <w:next w:val="1257"/>
    <w:qFormat/>
    <w:pPr>
      <w:ind w:left="0" w:firstLine="2560"/>
      <w:spacing w:before="0" w:after="0" w:line="240" w:lineRule="auto"/>
    </w:pPr>
    <w:rPr>
      <w:rFonts w:ascii="Times New Roman" w:hAnsi="Times New Roman" w:cs="Times New Roman"/>
    </w:rPr>
  </w:style>
  <w:style w:type="paragraph" w:styleId="1257" w:customStyle="1">
    <w:name w:val="样式 加粗 居中11"/>
    <w:basedOn w:val="1010"/>
    <w:next w:val="1258"/>
    <w:qFormat/>
    <w:pPr>
      <w:ind w:left="0" w:firstLine="2560"/>
      <w:jc w:val="center"/>
      <w:spacing w:before="0" w:after="0" w:line="360" w:lineRule="auto"/>
    </w:pPr>
    <w:rPr>
      <w:rFonts w:ascii="Times New Roman" w:hAnsi="Times New Roman" w:cs="Times New Roman"/>
    </w:rPr>
  </w:style>
  <w:style w:type="paragraph" w:styleId="1258" w:customStyle="1">
    <w:name w:val="xl89"/>
    <w:basedOn w:val="1010"/>
    <w:next w:val="1259"/>
    <w:qFormat/>
    <w:pPr>
      <w:ind w:left="0" w:firstLine="3584"/>
      <w:spacing w:before="280" w:after="280" w:line="240" w:lineRule="auto"/>
    </w:pPr>
    <w:rPr>
      <w:rFonts w:ascii="Times New Roman" w:hAnsi="Times New Roman" w:cs="Times New Roman"/>
    </w:rPr>
  </w:style>
  <w:style w:type="paragraph" w:styleId="1259" w:customStyle="1">
    <w:name w:val="Char Char Char Char Char Char1 Char Char Char Char Char Char1 Char Char Char Char Char Char Char Char Char"/>
    <w:basedOn w:val="1010"/>
    <w:next w:val="1260"/>
    <w:qFormat/>
    <w:pPr>
      <w:ind w:left="0" w:firstLine="2560"/>
      <w:spacing w:before="0" w:after="0" w:line="240" w:lineRule="auto"/>
    </w:pPr>
    <w:rPr>
      <w:rFonts w:ascii="Times New Roman" w:hAnsi="Times New Roman" w:cs="Times New Roman"/>
    </w:rPr>
  </w:style>
  <w:style w:type="paragraph" w:styleId="1260" w:customStyle="1">
    <w:name w:val="文章附标题"/>
    <w:basedOn w:val="1010"/>
    <w:next w:val="1010"/>
    <w:qFormat/>
    <w:pPr>
      <w:ind w:left="0" w:firstLine="5120"/>
      <w:jc w:val="center"/>
      <w:spacing w:before="187" w:after="175" w:line="374" w:lineRule="atLeast"/>
    </w:pPr>
    <w:rPr>
      <w:rFonts w:ascii="Times New Roman" w:hAnsi="Times New Roman" w:cs="Times New Roman"/>
    </w:rPr>
  </w:style>
  <w:style w:type="paragraph" w:styleId="1261">
    <w:name w:val="Quote"/>
    <w:next w:val="1009"/>
    <w:qFormat/>
    <w:pPr>
      <w:ind w:left="3680" w:right="864"/>
      <w:jc w:val="center"/>
      <w:spacing w:before="200" w:after="160"/>
    </w:pPr>
    <w:rPr>
      <w:rFonts w:ascii="Calibri" w:hAnsi="Calibri"/>
      <w:i/>
    </w:rPr>
  </w:style>
  <w:style w:type="paragraph" w:styleId="1262" w:customStyle="1">
    <w:name w:val="Default Paragraph Font Para Char Char Char Char Char Char"/>
    <w:basedOn w:val="1010"/>
    <w:next w:val="1263"/>
    <w:qFormat/>
    <w:pPr>
      <w:ind w:left="0" w:firstLine="3584"/>
      <w:spacing w:before="0" w:after="160" w:line="240" w:lineRule="exact"/>
    </w:pPr>
    <w:rPr>
      <w:rFonts w:ascii="Times New Roman" w:hAnsi="Times New Roman" w:cs="Times New Roman"/>
    </w:rPr>
  </w:style>
  <w:style w:type="paragraph" w:styleId="1263" w:customStyle="1">
    <w:name w:val="xl23"/>
    <w:basedOn w:val="1010"/>
    <w:next w:val="1046"/>
    <w:qFormat/>
    <w:pPr>
      <w:ind w:left="0" w:firstLine="20"/>
      <w:spacing w:before="280" w:after="280" w:line="240" w:lineRule="auto"/>
      <w:shd w:val="clear" w:color="000000" w:fill="ffffff"/>
    </w:pPr>
    <w:rPr>
      <w:rFonts w:ascii="Times New Roman" w:hAnsi="Times New Roman" w:cs="Times New Roman"/>
    </w:rPr>
  </w:style>
  <w:style w:type="paragraph" w:styleId="1264" w:customStyle="1">
    <w:name w:val="列出段落11"/>
    <w:basedOn w:val="1010"/>
    <w:next w:val="1265"/>
    <w:qFormat/>
    <w:pPr>
      <w:ind w:left="420" w:firstLine="3748"/>
      <w:spacing w:before="0" w:after="0" w:line="240" w:lineRule="auto"/>
    </w:pPr>
    <w:rPr>
      <w:rFonts w:ascii="Times New Roman" w:hAnsi="Times New Roman" w:cs="Times New Roman"/>
    </w:rPr>
  </w:style>
  <w:style w:type="paragraph" w:styleId="1265" w:customStyle="1">
    <w:name w:val="样式 标题 2 + (西文) 宋体 非加粗 居中"/>
    <w:basedOn w:val="1012"/>
    <w:next w:val="1266"/>
    <w:qFormat/>
    <w:pPr>
      <w:ind w:left="0" w:firstLine="24"/>
      <w:jc w:val="center"/>
      <w:spacing w:line="412" w:lineRule="auto"/>
      <w:outlineLvl w:val="1"/>
    </w:pPr>
  </w:style>
  <w:style w:type="paragraph" w:styleId="1266" w:customStyle="1">
    <w:name w:val="页脚 Char Char"/>
    <w:basedOn w:val="1010"/>
    <w:next w:val="1267"/>
    <w:qFormat/>
    <w:pPr>
      <w:ind w:left="0" w:firstLine="5120"/>
      <w:spacing w:before="0" w:after="0" w:line="240" w:lineRule="auto"/>
    </w:pPr>
    <w:rPr>
      <w:rFonts w:ascii="Times New Roman" w:hAnsi="Times New Roman" w:cs="Times New Roman"/>
    </w:rPr>
  </w:style>
  <w:style w:type="paragraph" w:styleId="1267" w:customStyle="1">
    <w:name w:val="样式 标题 1 + 段前: 16 磅 段后: 16 磅"/>
    <w:basedOn w:val="1011"/>
    <w:next w:val="1268"/>
    <w:qFormat/>
    <w:pPr>
      <w:ind w:left="0" w:firstLine="18"/>
      <w:jc w:val="center"/>
      <w:spacing w:before="120" w:after="0" w:line="360" w:lineRule="auto"/>
      <w:outlineLvl w:val="0"/>
    </w:pPr>
  </w:style>
  <w:style w:type="paragraph" w:styleId="1268" w:customStyle="1">
    <w:name w:val="Char1 Char Char Char Char Char Char"/>
    <w:basedOn w:val="1010"/>
    <w:next w:val="1269"/>
    <w:qFormat/>
    <w:pPr>
      <w:ind w:left="0" w:firstLine="2560"/>
      <w:spacing w:before="0" w:after="0" w:line="240" w:lineRule="auto"/>
    </w:pPr>
    <w:rPr>
      <w:rFonts w:ascii="Times New Roman" w:hAnsi="Times New Roman" w:cs="Times New Roman"/>
    </w:rPr>
  </w:style>
  <w:style w:type="paragraph" w:styleId="1269" w:customStyle="1">
    <w:name w:val="文档标题4"/>
    <w:basedOn w:val="1014"/>
    <w:next w:val="1009"/>
    <w:qFormat/>
    <w:pPr>
      <w:ind w:left="851" w:firstLine="30"/>
      <w:spacing w:after="280" w:line="360" w:lineRule="auto"/>
      <w:outlineLvl w:val="3"/>
    </w:pPr>
  </w:style>
  <w:style w:type="paragraph" w:styleId="1270" w:customStyle="1">
    <w:name w:val="font0"/>
    <w:basedOn w:val="1010"/>
    <w:next w:val="1245"/>
    <w:qFormat/>
    <w:pPr>
      <w:ind w:left="0" w:firstLine="1024"/>
      <w:spacing w:before="280" w:after="280" w:line="240" w:lineRule="auto"/>
    </w:pPr>
    <w:rPr>
      <w:rFonts w:ascii="Times New Roman" w:hAnsi="Times New Roman" w:cs="Times New Roman"/>
    </w:rPr>
  </w:style>
  <w:style w:type="paragraph" w:styleId="1271" w:customStyle="1">
    <w:name w:val="CM5"/>
    <w:basedOn w:val="1010"/>
    <w:next w:val="1009"/>
    <w:qFormat/>
    <w:pPr>
      <w:ind w:left="200" w:firstLine="2760"/>
      <w:spacing w:before="0" w:after="0" w:line="400" w:lineRule="atLeast"/>
    </w:pPr>
    <w:rPr>
      <w:rFonts w:ascii="Times New Roman" w:hAnsi="Times New Roman" w:cs="Times New Roman"/>
    </w:rPr>
  </w:style>
  <w:style w:type="paragraph" w:styleId="1272" w:customStyle="1">
    <w:name w:val="Pa0"/>
    <w:basedOn w:val="1010"/>
    <w:next w:val="1009"/>
    <w:qFormat/>
    <w:pPr>
      <w:ind w:left="0" w:firstLine="4608"/>
      <w:spacing w:before="0" w:after="0" w:line="241" w:lineRule="atLeast"/>
    </w:pPr>
    <w:rPr>
      <w:rFonts w:ascii="Times New Roman" w:hAnsi="Times New Roman" w:cs="Times New Roman"/>
    </w:rPr>
  </w:style>
  <w:style w:type="paragraph" w:styleId="1273" w:customStyle="1">
    <w:name w:val="招标文件》"/>
    <w:basedOn w:val="1010"/>
    <w:next w:val="1209"/>
    <w:qFormat/>
    <w:pPr>
      <w:ind w:left="420" w:firstLine="2140"/>
      <w:spacing w:before="120" w:after="120" w:line="300" w:lineRule="auto"/>
    </w:pPr>
    <w:rPr>
      <w:rFonts w:ascii="Times New Roman" w:hAnsi="Times New Roman" w:cs="Times New Roman"/>
    </w:rPr>
  </w:style>
  <w:style w:type="paragraph" w:styleId="1274" w:customStyle="1">
    <w:name w:val="段"/>
    <w:next w:val="1009"/>
    <w:qFormat/>
    <w:pPr>
      <w:ind w:firstLine="200"/>
      <w:jc w:val="both"/>
      <w:spacing w:line="360" w:lineRule="auto"/>
    </w:pPr>
    <w:rPr>
      <w:sz w:val="24"/>
      <w:szCs w:val="22"/>
    </w:rPr>
  </w:style>
  <w:style w:type="paragraph" w:styleId="1275" w:customStyle="1">
    <w:name w:val="标书_正文"/>
    <w:basedOn w:val="1010"/>
    <w:next w:val="1276"/>
    <w:qFormat/>
    <w:pPr>
      <w:ind w:left="420" w:firstLine="1188"/>
      <w:spacing w:before="0" w:after="0" w:line="360" w:lineRule="auto"/>
    </w:pPr>
    <w:rPr>
      <w:rFonts w:ascii="Times New Roman" w:hAnsi="Times New Roman" w:cs="Times New Roman"/>
    </w:rPr>
  </w:style>
  <w:style w:type="paragraph" w:styleId="1276" w:customStyle="1">
    <w:name w:val="样式 标题 2 + Times New Roman 四号 非加粗 段前: 5 磅 段后: 0 磅 行距: 固定值 20..."/>
    <w:basedOn w:val="1012"/>
    <w:next w:val="1224"/>
    <w:qFormat/>
    <w:pPr>
      <w:ind w:left="0" w:firstLine="24"/>
      <w:spacing w:before="100" w:after="0" w:line="400" w:lineRule="exact"/>
      <w:outlineLvl w:val="1"/>
    </w:pPr>
  </w:style>
  <w:style w:type="paragraph" w:styleId="1277" w:customStyle="1">
    <w:name w:val="图片0"/>
    <w:basedOn w:val="1010"/>
    <w:next w:val="1057"/>
    <w:qFormat/>
    <w:pPr>
      <w:ind w:left="-161" w:firstLine="1187"/>
      <w:spacing w:before="0" w:after="0" w:line="276" w:lineRule="auto"/>
    </w:pPr>
    <w:rPr>
      <w:rFonts w:ascii="Times New Roman" w:hAnsi="Times New Roman" w:cs="Times New Roman"/>
    </w:rPr>
  </w:style>
  <w:style w:type="paragraph" w:styleId="1278" w:customStyle="1">
    <w:name w:val="Char Char Char2 Char Char Char2 Char"/>
    <w:basedOn w:val="1010"/>
    <w:next w:val="1250"/>
    <w:qFormat/>
    <w:pPr>
      <w:ind w:left="560" w:firstLine="3632"/>
      <w:spacing w:before="0" w:after="160" w:line="240" w:lineRule="exact"/>
    </w:pPr>
    <w:rPr>
      <w:rFonts w:ascii="Times New Roman" w:hAnsi="Times New Roman" w:cs="Times New Roman"/>
    </w:rPr>
  </w:style>
  <w:style w:type="paragraph" w:styleId="1279" w:customStyle="1">
    <w:name w:val="Char Char Char Char"/>
    <w:next w:val="1280"/>
    <w:qFormat/>
    <w:pPr>
      <w:ind w:firstLine="10"/>
      <w:spacing w:line="360" w:lineRule="auto"/>
      <w:shd w:val="clear" w:color="000000" w:fill="000080"/>
    </w:pPr>
    <w:rPr>
      <w:rFonts w:ascii="Calibri" w:hAnsi="Calibri"/>
    </w:rPr>
  </w:style>
  <w:style w:type="paragraph" w:styleId="1280" w:customStyle="1">
    <w:name w:val="杨昂超式样黑体主"/>
    <w:basedOn w:val="1010"/>
    <w:next w:val="1281"/>
    <w:qFormat/>
    <w:pPr>
      <w:ind w:left="0" w:firstLine="4608"/>
      <w:spacing w:before="0" w:after="0" w:line="240" w:lineRule="auto"/>
    </w:pPr>
    <w:rPr>
      <w:rFonts w:ascii="Times New Roman" w:hAnsi="Times New Roman" w:cs="Times New Roman"/>
    </w:rPr>
  </w:style>
  <w:style w:type="paragraph" w:styleId="1281" w:customStyle="1">
    <w:name w:val="Char Char Char Char Char Char1 Char Char Char Char Char Char Char Char Char Char"/>
    <w:basedOn w:val="1010"/>
    <w:next w:val="1282"/>
    <w:qFormat/>
    <w:pPr>
      <w:ind w:left="0" w:firstLine="2560"/>
      <w:spacing w:before="0" w:after="0" w:line="240" w:lineRule="auto"/>
    </w:pPr>
    <w:rPr>
      <w:rFonts w:ascii="Times New Roman" w:hAnsi="Times New Roman" w:cs="Times New Roman"/>
    </w:rPr>
  </w:style>
  <w:style w:type="paragraph" w:styleId="1282" w:customStyle="1">
    <w:name w:val="目录1"/>
    <w:basedOn w:val="1010"/>
    <w:next w:val="1009"/>
    <w:qFormat/>
    <w:pPr>
      <w:ind w:left="0" w:firstLine="7168"/>
      <w:spacing w:before="0" w:after="136" w:line="289" w:lineRule="atLeast"/>
    </w:pPr>
    <w:rPr>
      <w:rFonts w:ascii="Times New Roman" w:hAnsi="Times New Roman" w:cs="Times New Roman"/>
    </w:rPr>
  </w:style>
  <w:style w:type="paragraph" w:styleId="1283" w:customStyle="1">
    <w:name w:val="文档结构图1"/>
    <w:basedOn w:val="1010"/>
    <w:next w:val="1284"/>
    <w:qFormat/>
    <w:pPr>
      <w:ind w:left="200" w:firstLine="2248"/>
      <w:spacing w:before="0" w:after="0" w:line="360" w:lineRule="auto"/>
    </w:pPr>
    <w:rPr>
      <w:rFonts w:ascii="Times New Roman" w:hAnsi="Times New Roman" w:cs="Times New Roman"/>
    </w:rPr>
  </w:style>
  <w:style w:type="paragraph" w:styleId="1284" w:customStyle="1">
    <w:name w:val="2ji"/>
    <w:basedOn w:val="1012"/>
    <w:next w:val="1052"/>
    <w:qFormat/>
    <w:pPr>
      <w:ind w:left="0" w:firstLine="24"/>
      <w:spacing w:before="0" w:after="0" w:line="360" w:lineRule="auto"/>
      <w:outlineLvl w:val="1"/>
    </w:pPr>
  </w:style>
  <w:style w:type="paragraph" w:styleId="1285" w:customStyle="1">
    <w:name w:val="xl91"/>
    <w:basedOn w:val="1010"/>
    <w:next w:val="1206"/>
    <w:qFormat/>
    <w:pPr>
      <w:ind w:left="0" w:firstLine="3584"/>
      <w:spacing w:before="280" w:after="280" w:line="240" w:lineRule="auto"/>
    </w:pPr>
    <w:rPr>
      <w:rFonts w:ascii="Times New Roman" w:hAnsi="Times New Roman" w:cs="Times New Roman"/>
    </w:rPr>
  </w:style>
  <w:style w:type="paragraph" w:styleId="1286" w:customStyle="1">
    <w:name w:val="Text Body"/>
    <w:basedOn w:val="1010"/>
    <w:next w:val="1287"/>
    <w:qFormat/>
    <w:pPr>
      <w:ind w:left="0" w:firstLine="4096"/>
      <w:spacing w:before="0" w:after="120" w:line="240" w:lineRule="auto"/>
    </w:pPr>
    <w:rPr>
      <w:rFonts w:ascii="Times New Roman" w:hAnsi="Times New Roman" w:cs="Times New Roman"/>
    </w:rPr>
  </w:style>
  <w:style w:type="paragraph" w:styleId="1287" w:customStyle="1">
    <w:name w:val="项目符1"/>
    <w:basedOn w:val="1010"/>
    <w:next w:val="1288"/>
    <w:qFormat/>
    <w:pPr>
      <w:ind w:left="1365" w:right="100" w:firstLine="2728"/>
      <w:spacing w:before="78" w:after="78" w:line="300" w:lineRule="auto"/>
    </w:pPr>
    <w:rPr>
      <w:rFonts w:ascii="Times New Roman" w:hAnsi="Times New Roman" w:cs="Times New Roman"/>
    </w:rPr>
  </w:style>
  <w:style w:type="paragraph" w:styleId="1288" w:customStyle="1">
    <w:name w:val="引文目录标题1"/>
    <w:basedOn w:val="1010"/>
    <w:next w:val="1009"/>
    <w:qFormat/>
    <w:pPr>
      <w:ind w:left="0" w:firstLine="4608"/>
      <w:jc w:val="center"/>
      <w:spacing w:before="120" w:after="0" w:line="360" w:lineRule="auto"/>
    </w:pPr>
    <w:rPr>
      <w:rFonts w:ascii="Times New Roman" w:hAnsi="Times New Roman" w:cs="Times New Roman"/>
    </w:rPr>
  </w:style>
  <w:style w:type="paragraph" w:styleId="1289" w:customStyle="1">
    <w:name w:val="样式 标题 3 + (西文) 黑体 (中文) 黑体 (符号) 宋体 小四 段前: 5 磅 段后: 5 磅 行距: 1..."/>
    <w:basedOn w:val="1013"/>
    <w:next w:val="1290"/>
    <w:qFormat/>
    <w:pPr>
      <w:ind w:left="1429" w:firstLine="18"/>
      <w:spacing w:before="100" w:after="100" w:line="360" w:lineRule="auto"/>
      <w:outlineLvl w:val="2"/>
    </w:pPr>
  </w:style>
  <w:style w:type="paragraph" w:styleId="1290" w:customStyle="1">
    <w:name w:val="xl22"/>
    <w:basedOn w:val="1010"/>
    <w:next w:val="1291"/>
    <w:qFormat/>
    <w:pPr>
      <w:ind w:left="0" w:firstLine="20"/>
      <w:jc w:val="right"/>
      <w:spacing w:before="280" w:after="280" w:line="240" w:lineRule="auto"/>
      <w:shd w:val="clear" w:color="000000" w:fill="ffffff"/>
    </w:pPr>
    <w:rPr>
      <w:rFonts w:ascii="Times New Roman" w:hAnsi="Times New Roman" w:cs="Times New Roman"/>
    </w:rPr>
  </w:style>
  <w:style w:type="paragraph" w:styleId="1291" w:customStyle="1">
    <w:name w:val="自定义一"/>
    <w:basedOn w:val="1010"/>
    <w:next w:val="1009"/>
    <w:qFormat/>
    <w:pPr>
      <w:ind w:left="0"/>
      <w:spacing w:before="0" w:after="0" w:line="360" w:lineRule="auto"/>
    </w:pPr>
    <w:rPr>
      <w:rFonts w:ascii="Times New Roman" w:hAnsi="Times New Roman" w:cs="Times New Roman"/>
    </w:rPr>
  </w:style>
  <w:style w:type="paragraph" w:styleId="1292" w:customStyle="1">
    <w:name w:val="xl78"/>
    <w:basedOn w:val="1010"/>
    <w:next w:val="1293"/>
    <w:qFormat/>
    <w:pPr>
      <w:ind w:left="0" w:firstLine="3584"/>
      <w:jc w:val="center"/>
      <w:spacing w:before="280" w:after="280" w:line="240" w:lineRule="auto"/>
    </w:pPr>
    <w:rPr>
      <w:rFonts w:ascii="Times New Roman" w:hAnsi="Times New Roman" w:cs="Times New Roman"/>
    </w:rPr>
  </w:style>
  <w:style w:type="paragraph" w:styleId="1293" w:customStyle="1">
    <w:name w:val="段落正文"/>
    <w:next w:val="1235"/>
    <w:qFormat/>
    <w:pPr>
      <w:ind w:firstLine="4608"/>
      <w:jc w:val="center"/>
      <w:spacing w:line="360" w:lineRule="auto"/>
    </w:pPr>
    <w:rPr>
      <w:rFonts w:ascii="Calibri" w:hAnsi="Calibri"/>
    </w:rPr>
  </w:style>
  <w:style w:type="paragraph" w:styleId="1294" w:customStyle="1">
    <w:name w:val="_Style 169"/>
    <w:next w:val="1009"/>
    <w:qFormat/>
    <w:pPr>
      <w:ind w:left="2560"/>
    </w:pPr>
    <w:rPr>
      <w:rFonts w:ascii="Calibri" w:hAnsi="Calibri"/>
    </w:rPr>
  </w:style>
  <w:style w:type="paragraph" w:styleId="1295" w:customStyle="1">
    <w:name w:val="样式 小四 行距: 1.5 倍行距 首行缩进:  2 字符"/>
    <w:basedOn w:val="1010"/>
    <w:next w:val="1240"/>
    <w:qFormat/>
    <w:pPr>
      <w:ind w:left="480" w:firstLine="2784"/>
      <w:spacing w:before="0" w:after="0" w:line="360" w:lineRule="auto"/>
    </w:pPr>
    <w:rPr>
      <w:rFonts w:ascii="Times New Roman" w:hAnsi="Times New Roman" w:cs="Times New Roman"/>
    </w:rPr>
  </w:style>
  <w:style w:type="paragraph" w:styleId="1296" w:customStyle="1">
    <w:name w:val="小节标题"/>
    <w:basedOn w:val="1010"/>
    <w:next w:val="1009"/>
    <w:qFormat/>
    <w:pPr>
      <w:ind w:left="0" w:firstLine="7168"/>
      <w:spacing w:before="175" w:after="102" w:line="351" w:lineRule="atLeast"/>
    </w:pPr>
    <w:rPr>
      <w:rFonts w:ascii="Times New Roman" w:hAnsi="Times New Roman" w:cs="Times New Roman"/>
    </w:rPr>
  </w:style>
  <w:style w:type="paragraph" w:styleId="1297" w:customStyle="1">
    <w:name w:val="TOC 标题2"/>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8" w:customStyle="1">
    <w:name w:val="表格文字（两侧对齐）"/>
    <w:basedOn w:val="1010"/>
    <w:next w:val="1299"/>
    <w:qFormat/>
    <w:pPr>
      <w:ind w:left="0" w:firstLine="3584"/>
      <w:spacing w:before="0" w:after="0" w:line="240" w:lineRule="auto"/>
    </w:pPr>
    <w:rPr>
      <w:rFonts w:ascii="Times New Roman" w:hAnsi="Times New Roman" w:cs="Times New Roman"/>
    </w:rPr>
  </w:style>
  <w:style w:type="paragraph" w:styleId="1299" w:customStyle="1">
    <w:name w:val="Char"/>
    <w:basedOn w:val="1010"/>
    <w:next w:val="1278"/>
    <w:qFormat/>
    <w:pPr>
      <w:ind w:left="900" w:firstLine="2608"/>
      <w:spacing w:before="0" w:after="0" w:line="240" w:lineRule="auto"/>
    </w:pPr>
    <w:rPr>
      <w:rFonts w:ascii="Times New Roman" w:hAnsi="Times New Roman" w:cs="Times New Roman"/>
    </w:rPr>
  </w:style>
  <w:style w:type="paragraph" w:styleId="1300" w:customStyle="1">
    <w:name w:val="xl86"/>
    <w:basedOn w:val="1010"/>
    <w:next w:val="1301"/>
    <w:qFormat/>
    <w:pPr>
      <w:ind w:left="0" w:firstLine="5120"/>
      <w:spacing w:before="280" w:after="280" w:line="240" w:lineRule="auto"/>
    </w:pPr>
    <w:rPr>
      <w:rFonts w:ascii="Times New Roman" w:hAnsi="Times New Roman" w:cs="Times New Roman"/>
    </w:rPr>
  </w:style>
  <w:style w:type="paragraph" w:styleId="1301" w:customStyle="1">
    <w:name w:val="索引 71"/>
    <w:basedOn w:val="1010"/>
    <w:next w:val="1009"/>
    <w:qFormat/>
    <w:pPr>
      <w:ind w:left="1200" w:firstLine="2560"/>
      <w:jc w:val="center"/>
      <w:spacing w:before="0" w:after="0" w:line="360" w:lineRule="auto"/>
    </w:pPr>
    <w:rPr>
      <w:rFonts w:ascii="Times New Roman" w:hAnsi="Times New Roman" w:cs="Times New Roman"/>
    </w:rPr>
  </w:style>
  <w:style w:type="paragraph" w:styleId="1302" w:customStyle="1">
    <w:name w:val="111"/>
    <w:next w:val="1303"/>
    <w:qFormat/>
    <w:pPr>
      <w:ind w:left="480" w:firstLine="4320"/>
      <w:spacing w:line="440" w:lineRule="exact"/>
    </w:pPr>
    <w:rPr>
      <w:rFonts w:ascii="Calibri" w:hAnsi="Calibri"/>
    </w:rPr>
  </w:style>
  <w:style w:type="paragraph" w:styleId="1303" w:customStyle="1">
    <w:name w:val="4"/>
    <w:basedOn w:val="1010"/>
    <w:next w:val="1022"/>
    <w:qFormat/>
    <w:pPr>
      <w:ind w:left="409" w:firstLine="3737"/>
      <w:spacing w:before="0" w:after="0" w:line="420" w:lineRule="exact"/>
    </w:pPr>
    <w:rPr>
      <w:rFonts w:ascii="Times New Roman" w:hAnsi="Times New Roman" w:cs="Times New Roman"/>
    </w:rPr>
  </w:style>
  <w:style w:type="paragraph" w:styleId="1304" w:customStyle="1">
    <w:name w:val="Char Char Char Char Char Char1 Char Char Char1 Char Char Char Char Char Char"/>
    <w:basedOn w:val="1010"/>
    <w:next w:val="1289"/>
    <w:qFormat/>
    <w:pPr>
      <w:ind w:left="0" w:firstLine="2560"/>
      <w:spacing w:before="0" w:after="0" w:line="240" w:lineRule="auto"/>
    </w:pPr>
    <w:rPr>
      <w:rFonts w:ascii="Times New Roman" w:hAnsi="Times New Roman" w:cs="Times New Roman"/>
    </w:rPr>
  </w:style>
  <w:style w:type="paragraph" w:styleId="1305" w:customStyle="1">
    <w:name w:val="Char Char Char Char Char Char1 Char Char Char Char Char Char1 Char Char Char"/>
    <w:basedOn w:val="1010"/>
    <w:next w:val="1306"/>
    <w:qFormat/>
    <w:pPr>
      <w:ind w:left="0" w:firstLine="2560"/>
      <w:spacing w:before="0" w:after="0" w:line="240" w:lineRule="auto"/>
    </w:pPr>
    <w:rPr>
      <w:rFonts w:ascii="Times New Roman" w:hAnsi="Times New Roman" w:cs="Times New Roman"/>
    </w:rPr>
  </w:style>
  <w:style w:type="paragraph" w:styleId="1306" w:customStyle="1">
    <w:name w:val="正文符号1"/>
    <w:basedOn w:val="1010"/>
    <w:next w:val="1307"/>
    <w:qFormat/>
    <w:pPr>
      <w:ind w:left="987" w:firstLine="5724"/>
      <w:spacing w:before="0" w:after="0" w:line="240" w:lineRule="auto"/>
    </w:pPr>
    <w:rPr>
      <w:rFonts w:ascii="Times New Roman" w:hAnsi="Times New Roman" w:cs="Times New Roman"/>
    </w:rPr>
  </w:style>
  <w:style w:type="paragraph" w:styleId="1307" w:customStyle="1">
    <w:name w:val="索引 31"/>
    <w:basedOn w:val="1010"/>
    <w:next w:val="1009"/>
    <w:qFormat/>
    <w:pPr>
      <w:ind w:left="400" w:firstLine="2560"/>
      <w:jc w:val="center"/>
      <w:spacing w:before="0" w:after="0" w:line="360" w:lineRule="auto"/>
    </w:pPr>
    <w:rPr>
      <w:rFonts w:ascii="Times New Roman" w:hAnsi="Times New Roman" w:cs="Times New Roman"/>
    </w:rPr>
  </w:style>
  <w:style w:type="paragraph" w:styleId="1308" w:customStyle="1">
    <w:name w:val="目录4"/>
    <w:basedOn w:val="1010"/>
    <w:next w:val="1009"/>
    <w:qFormat/>
    <w:pPr>
      <w:ind w:left="629" w:firstLine="5237"/>
      <w:spacing w:before="0" w:after="0" w:line="317" w:lineRule="atLeast"/>
    </w:pPr>
    <w:rPr>
      <w:rFonts w:ascii="Times New Roman" w:hAnsi="Times New Roman" w:cs="Times New Roman"/>
    </w:rPr>
  </w:style>
  <w:style w:type="paragraph" w:styleId="1309" w:customStyle="1">
    <w:name w:val="p15"/>
    <w:basedOn w:val="1009"/>
    <w:qFormat/>
    <w:pPr>
      <w:ind w:left="0"/>
    </w:pPr>
    <w:rPr>
      <w:rFonts w:ascii="宋体" w:hAnsi="宋体"/>
      <w:sz w:val="28"/>
      <w:szCs w:val="28"/>
    </w:rPr>
  </w:style>
  <w:style w:type="paragraph" w:styleId="1310" w:customStyle="1">
    <w:name w:val="四号 居中"/>
    <w:basedOn w:val="1010"/>
    <w:next w:val="1304"/>
    <w:qFormat/>
    <w:pPr>
      <w:ind w:left="0" w:firstLine="6144"/>
      <w:jc w:val="center"/>
      <w:spacing w:before="0" w:after="0" w:line="360" w:lineRule="auto"/>
    </w:pPr>
    <w:rPr>
      <w:rFonts w:ascii="Times New Roman" w:hAnsi="Times New Roman" w:cs="Times New Roman"/>
    </w:rPr>
  </w:style>
  <w:style w:type="paragraph" w:styleId="1311" w:customStyle="1">
    <w:name w:val="p0"/>
    <w:next w:val="1009"/>
    <w:qFormat/>
    <w:pPr>
      <w:ind w:firstLine="2048"/>
      <w:spacing w:line="360" w:lineRule="auto"/>
    </w:pPr>
    <w:rPr>
      <w:rFonts w:ascii="Calibri" w:hAnsi="Calibri"/>
    </w:rPr>
  </w:style>
  <w:style w:type="paragraph" w:styleId="1312" w:customStyle="1">
    <w:name w:val="列表编号 21"/>
    <w:basedOn w:val="1010"/>
    <w:next w:val="1313"/>
    <w:qFormat/>
    <w:pPr>
      <w:ind w:left="0" w:firstLine="2560"/>
      <w:spacing w:before="0" w:after="0" w:line="360" w:lineRule="auto"/>
    </w:pPr>
    <w:rPr>
      <w:rFonts w:ascii="Times New Roman" w:hAnsi="Times New Roman" w:cs="Times New Roman"/>
    </w:rPr>
  </w:style>
  <w:style w:type="paragraph" w:styleId="1313" w:customStyle="1">
    <w:name w:val="正文文本 21"/>
    <w:basedOn w:val="1010"/>
    <w:next w:val="1194"/>
    <w:qFormat/>
    <w:pPr>
      <w:ind w:left="0" w:firstLine="2560"/>
      <w:jc w:val="center"/>
      <w:spacing w:before="0" w:after="120" w:line="480" w:lineRule="auto"/>
    </w:pPr>
    <w:rPr>
      <w:rFonts w:ascii="Times New Roman" w:hAnsi="Times New Roman" w:cs="Times New Roman"/>
    </w:rPr>
  </w:style>
  <w:style w:type="paragraph" w:styleId="1314" w:customStyle="1">
    <w:name w:val="a2"/>
    <w:basedOn w:val="1010"/>
    <w:next w:val="1049"/>
    <w:qFormat/>
    <w:pPr>
      <w:ind w:left="0" w:firstLine="1024"/>
      <w:spacing w:before="280" w:after="280" w:line="240" w:lineRule="auto"/>
    </w:pPr>
    <w:rPr>
      <w:rFonts w:ascii="Times New Roman" w:hAnsi="Times New Roman" w:cs="Times New Roman"/>
    </w:rPr>
  </w:style>
  <w:style w:type="paragraph" w:styleId="1315" w:customStyle="1">
    <w:name w:val="font8"/>
    <w:basedOn w:val="1010"/>
    <w:next w:val="1239"/>
    <w:qFormat/>
    <w:pPr>
      <w:ind w:left="0" w:firstLine="2048"/>
      <w:spacing w:before="280" w:after="280" w:line="240" w:lineRule="auto"/>
    </w:pPr>
    <w:rPr>
      <w:rFonts w:ascii="Times New Roman" w:hAnsi="Times New Roman" w:cs="Times New Roman"/>
    </w:rPr>
  </w:style>
  <w:style w:type="paragraph" w:styleId="1316" w:customStyle="1">
    <w:name w:val="Char Char Char Char Char Char1 Char Char Char Char Char Char1 Char Char Char Char Char Char Char"/>
    <w:basedOn w:val="1010"/>
    <w:next w:val="1317"/>
    <w:qFormat/>
    <w:pPr>
      <w:ind w:left="0" w:firstLine="2560"/>
      <w:spacing w:before="0" w:after="0" w:line="240" w:lineRule="auto"/>
    </w:pPr>
    <w:rPr>
      <w:rFonts w:ascii="Times New Roman" w:hAnsi="Times New Roman" w:cs="Times New Roman"/>
    </w:rPr>
  </w:style>
  <w:style w:type="paragraph" w:styleId="1317" w:customStyle="1">
    <w:name w:val="xl87"/>
    <w:basedOn w:val="1010"/>
    <w:next w:val="1273"/>
    <w:qFormat/>
    <w:pPr>
      <w:ind w:left="0" w:firstLine="5120"/>
      <w:spacing w:before="280" w:after="280" w:line="240" w:lineRule="auto"/>
    </w:pPr>
    <w:rPr>
      <w:rFonts w:ascii="Times New Roman" w:hAnsi="Times New Roman" w:cs="Times New Roman"/>
    </w:rPr>
  </w:style>
  <w:style w:type="paragraph" w:styleId="1318" w:customStyle="1">
    <w:name w:val="444"/>
    <w:basedOn w:val="1010"/>
    <w:next w:val="1031"/>
    <w:qFormat/>
    <w:pPr>
      <w:ind w:left="0" w:firstLine="4608"/>
      <w:jc w:val="center"/>
      <w:spacing w:before="0" w:after="0" w:line="312" w:lineRule="atLeast"/>
    </w:pPr>
    <w:rPr>
      <w:rFonts w:ascii="Times New Roman" w:hAnsi="Times New Roman" w:cs="Times New Roman"/>
    </w:rPr>
  </w:style>
  <w:style w:type="paragraph" w:styleId="1319" w:customStyle="1">
    <w:name w:val="表格文字图表文字"/>
    <w:basedOn w:val="1010"/>
    <w:next w:val="1320"/>
    <w:qFormat/>
    <w:pPr>
      <w:ind w:left="0" w:firstLine="3584"/>
      <w:jc w:val="center"/>
      <w:spacing w:before="0" w:after="0" w:line="240" w:lineRule="auto"/>
    </w:pPr>
    <w:rPr>
      <w:rFonts w:ascii="Times New Roman" w:hAnsi="Times New Roman" w:cs="Times New Roman"/>
    </w:rPr>
  </w:style>
  <w:style w:type="paragraph" w:styleId="1320" w:customStyle="1">
    <w:name w:val="样式 目录 3 + 左侧:  2 字符1"/>
    <w:next w:val="1321"/>
    <w:qFormat/>
    <w:pPr>
      <w:ind w:left="960" w:firstLine="5120"/>
      <w:spacing w:line="360" w:lineRule="auto"/>
      <w:widowControl w:val="off"/>
    </w:pPr>
    <w:rPr>
      <w:rFonts w:ascii="Calibri" w:hAnsi="Calibri"/>
    </w:rPr>
  </w:style>
  <w:style w:type="paragraph" w:styleId="1321" w:customStyle="1">
    <w:name w:val="文档正文"/>
    <w:basedOn w:val="1010"/>
    <w:next w:val="1322"/>
    <w:qFormat/>
    <w:pPr>
      <w:ind w:left="567" w:firstLine="3639"/>
      <w:spacing w:before="0" w:after="0" w:line="480" w:lineRule="atLeast"/>
    </w:pPr>
    <w:rPr>
      <w:rFonts w:ascii="Times New Roman" w:hAnsi="Times New Roman" w:cs="Times New Roman"/>
    </w:rPr>
  </w:style>
  <w:style w:type="paragraph" w:styleId="1322" w:customStyle="1">
    <w:name w:val="列表框2"/>
    <w:next w:val="1323"/>
    <w:qFormat/>
    <w:pPr>
      <w:ind w:firstLine="2048"/>
      <w:spacing w:line="460" w:lineRule="exact"/>
    </w:pPr>
    <w:rPr>
      <w:rFonts w:ascii="Calibri" w:hAnsi="Calibri"/>
    </w:rPr>
  </w:style>
  <w:style w:type="paragraph" w:styleId="1323" w:customStyle="1">
    <w:name w:val="font10"/>
    <w:basedOn w:val="1010"/>
    <w:next w:val="1042"/>
    <w:qFormat/>
    <w:pPr>
      <w:ind w:left="0" w:firstLine="3584"/>
      <w:spacing w:before="280" w:after="280" w:line="240" w:lineRule="auto"/>
    </w:pPr>
    <w:rPr>
      <w:rFonts w:ascii="Times New Roman" w:hAnsi="Times New Roman" w:cs="Times New Roman"/>
    </w:rPr>
  </w:style>
  <w:style w:type="paragraph" w:styleId="1324" w:customStyle="1">
    <w:name w:val="纯文本1"/>
    <w:basedOn w:val="1010"/>
    <w:next w:val="1054"/>
    <w:qFormat/>
    <w:pPr>
      <w:ind w:left="0" w:firstLine="3584"/>
      <w:spacing w:before="0" w:after="0" w:line="240" w:lineRule="auto"/>
    </w:pPr>
    <w:rPr>
      <w:rFonts w:ascii="Times New Roman" w:hAnsi="Times New Roman" w:cs="Times New Roman"/>
    </w:rPr>
  </w:style>
  <w:style w:type="paragraph" w:styleId="1325" w:customStyle="1">
    <w:name w:val="索引 91"/>
    <w:basedOn w:val="1010"/>
    <w:next w:val="1009"/>
    <w:qFormat/>
    <w:pPr>
      <w:ind w:left="1600" w:firstLine="2560"/>
      <w:jc w:val="center"/>
      <w:spacing w:before="0" w:after="0" w:line="360" w:lineRule="auto"/>
    </w:pPr>
    <w:rPr>
      <w:rFonts w:ascii="Times New Roman" w:hAnsi="Times New Roman" w:cs="Times New Roman"/>
    </w:rPr>
  </w:style>
  <w:style w:type="paragraph" w:styleId="1326" w:customStyle="1">
    <w:name w:val="xl79"/>
    <w:basedOn w:val="1010"/>
    <w:next w:val="1302"/>
    <w:qFormat/>
    <w:pPr>
      <w:ind w:left="0" w:firstLine="3584"/>
      <w:jc w:val="center"/>
      <w:spacing w:before="280" w:after="280" w:line="240" w:lineRule="auto"/>
    </w:pPr>
    <w:rPr>
      <w:rFonts w:ascii="Times New Roman" w:hAnsi="Times New Roman" w:cs="Times New Roman"/>
    </w:rPr>
  </w:style>
  <w:style w:type="paragraph" w:styleId="1327" w:customStyle="1">
    <w:name w:val="表格文字（4号居中）"/>
    <w:next w:val="1328"/>
    <w:qFormat/>
    <w:pPr>
      <w:ind w:firstLine="2560"/>
      <w:jc w:val="center"/>
    </w:pPr>
    <w:rPr>
      <w:rFonts w:ascii="Calibri" w:hAnsi="Calibri"/>
    </w:rPr>
  </w:style>
  <w:style w:type="paragraph" w:styleId="1328" w:customStyle="1">
    <w:name w:val="!方块加粗"/>
    <w:basedOn w:val="1010"/>
    <w:next w:val="1295"/>
    <w:qFormat/>
    <w:pPr>
      <w:ind w:left="600" w:firstLine="5212"/>
      <w:spacing w:before="0" w:after="0" w:line="360" w:lineRule="auto"/>
    </w:pPr>
    <w:rPr>
      <w:rFonts w:ascii="Times New Roman" w:hAnsi="Times New Roman" w:cs="Times New Roman"/>
    </w:rPr>
  </w:style>
  <w:style w:type="paragraph" w:styleId="1329" w:customStyle="1">
    <w:name w:val="xl75"/>
    <w:basedOn w:val="1010"/>
    <w:next w:val="1055"/>
    <w:qFormat/>
    <w:pPr>
      <w:ind w:left="0" w:firstLine="3584"/>
      <w:jc w:val="center"/>
      <w:spacing w:before="280" w:after="280" w:line="240" w:lineRule="auto"/>
    </w:pPr>
    <w:rPr>
      <w:rFonts w:ascii="Times New Roman" w:hAnsi="Times New Roman" w:cs="Times New Roman"/>
    </w:rPr>
  </w:style>
  <w:style w:type="paragraph" w:styleId="1330" w:customStyle="1">
    <w:name w:val="xl81"/>
    <w:basedOn w:val="1010"/>
    <w:next w:val="1331"/>
    <w:qFormat/>
    <w:pPr>
      <w:ind w:left="0" w:firstLine="5120"/>
      <w:spacing w:before="280" w:after="280" w:line="240" w:lineRule="auto"/>
    </w:pPr>
    <w:rPr>
      <w:rFonts w:ascii="Times New Roman" w:hAnsi="Times New Roman" w:cs="Times New Roman"/>
    </w:rPr>
  </w:style>
  <w:style w:type="paragraph" w:styleId="1331" w:customStyle="1">
    <w:name w:val="xl25"/>
    <w:basedOn w:val="1010"/>
    <w:next w:val="1332"/>
    <w:qFormat/>
    <w:pPr>
      <w:ind w:left="0" w:firstLine="14"/>
      <w:spacing w:before="280" w:after="280" w:line="240" w:lineRule="auto"/>
      <w:shd w:val="clear" w:color="000000" w:fill="ffffff"/>
    </w:pPr>
    <w:rPr>
      <w:rFonts w:ascii="Times New Roman" w:hAnsi="Times New Roman" w:cs="Times New Roman"/>
    </w:rPr>
  </w:style>
  <w:style w:type="paragraph" w:styleId="1332" w:customStyle="1">
    <w:name w:val="普通(网站)1"/>
    <w:basedOn w:val="1010"/>
    <w:next w:val="1333"/>
    <w:qFormat/>
    <w:pPr>
      <w:ind w:left="200" w:firstLine="1224"/>
      <w:spacing w:before="280" w:after="280" w:line="240" w:lineRule="auto"/>
    </w:pPr>
    <w:rPr>
      <w:rFonts w:ascii="Times New Roman" w:hAnsi="Times New Roman" w:cs="Times New Roman"/>
    </w:rPr>
  </w:style>
  <w:style w:type="paragraph" w:styleId="1333" w:customStyle="1">
    <w:name w:val="xl27"/>
    <w:basedOn w:val="1010"/>
    <w:next w:val="1319"/>
    <w:qFormat/>
    <w:pPr>
      <w:ind w:left="0" w:firstLine="20"/>
      <w:spacing w:before="280" w:after="280" w:line="240" w:lineRule="auto"/>
      <w:shd w:val="clear" w:color="000000" w:fill="ffffff"/>
    </w:pPr>
    <w:rPr>
      <w:rFonts w:ascii="Times New Roman" w:hAnsi="Times New Roman" w:cs="Times New Roman"/>
    </w:rPr>
  </w:style>
  <w:style w:type="paragraph" w:styleId="1334" w:customStyle="1">
    <w:name w:val="H 4"/>
    <w:basedOn w:val="1014"/>
    <w:next w:val="1335"/>
    <w:qFormat/>
    <w:pPr>
      <w:ind w:left="426" w:firstLine="24"/>
      <w:spacing w:before="0" w:after="0" w:line="360" w:lineRule="auto"/>
      <w:outlineLvl w:val="3"/>
    </w:pPr>
  </w:style>
  <w:style w:type="paragraph" w:styleId="1335" w:customStyle="1">
    <w:name w:val="xl82"/>
    <w:basedOn w:val="1010"/>
    <w:next w:val="1330"/>
    <w:qFormat/>
    <w:pPr>
      <w:ind w:left="0" w:firstLine="5120"/>
      <w:spacing w:before="280" w:after="280" w:line="240" w:lineRule="auto"/>
    </w:pPr>
    <w:rPr>
      <w:rFonts w:ascii="Times New Roman" w:hAnsi="Times New Roman" w:cs="Times New Roman"/>
    </w:rPr>
  </w:style>
  <w:style w:type="paragraph" w:styleId="1336" w:customStyle="1">
    <w:name w:val="Char Char Char Char Char Char Char Char"/>
    <w:next w:val="1337"/>
    <w:qFormat/>
    <w:pPr>
      <w:ind w:firstLine="14"/>
      <w:jc w:val="both"/>
      <w:shd w:val="clear" w:color="000000" w:fill="000080"/>
      <w:widowControl w:val="off"/>
    </w:pPr>
    <w:rPr>
      <w:rFonts w:ascii="Calibri" w:hAnsi="Calibri"/>
    </w:rPr>
  </w:style>
  <w:style w:type="paragraph" w:styleId="1337" w:customStyle="1">
    <w:name w:val="Char Char Char Char Char Char1 Char Char Char1 Char Char Char Char Char Char Char Char Char Char Char Char Char Char Char"/>
    <w:basedOn w:val="1010"/>
    <w:next w:val="1338"/>
    <w:qFormat/>
    <w:pPr>
      <w:ind w:left="0" w:firstLine="2560"/>
      <w:spacing w:before="0" w:after="0" w:line="240" w:lineRule="auto"/>
    </w:pPr>
    <w:rPr>
      <w:rFonts w:ascii="Times New Roman" w:hAnsi="Times New Roman" w:cs="Times New Roman"/>
    </w:rPr>
  </w:style>
  <w:style w:type="paragraph" w:styleId="1338" w:customStyle="1">
    <w:name w:val="样式1"/>
    <w:basedOn w:val="1010"/>
    <w:next w:val="1339"/>
    <w:qFormat/>
    <w:pPr>
      <w:ind w:left="0" w:firstLine="1536"/>
      <w:spacing w:before="120" w:after="120" w:line="300" w:lineRule="auto"/>
    </w:pPr>
    <w:rPr>
      <w:rFonts w:ascii="Times New Roman" w:hAnsi="Times New Roman" w:cs="Times New Roman"/>
    </w:rPr>
  </w:style>
  <w:style w:type="paragraph" w:styleId="1339" w:customStyle="1">
    <w:name w:val="索引 41"/>
    <w:basedOn w:val="1010"/>
    <w:next w:val="1009"/>
    <w:qFormat/>
    <w:pPr>
      <w:ind w:left="600" w:firstLine="2560"/>
      <w:jc w:val="center"/>
      <w:spacing w:before="0" w:after="0" w:line="360" w:lineRule="auto"/>
    </w:pPr>
    <w:rPr>
      <w:rFonts w:ascii="Times New Roman" w:hAnsi="Times New Roman" w:cs="Times New Roman"/>
    </w:rPr>
  </w:style>
  <w:style w:type="paragraph" w:styleId="1340" w:customStyle="1">
    <w:name w:val="自定义二"/>
    <w:basedOn w:val="1010"/>
    <w:next w:val="1009"/>
    <w:qFormat/>
    <w:pPr>
      <w:ind w:left="0" w:firstLine="14"/>
      <w:spacing w:before="0" w:after="0" w:line="360" w:lineRule="auto"/>
      <w:outlineLvl w:val="1"/>
    </w:pPr>
    <w:rPr>
      <w:rFonts w:ascii="Times New Roman" w:hAnsi="Times New Roman" w:cs="Times New Roman"/>
    </w:rPr>
  </w:style>
  <w:style w:type="paragraph" w:styleId="1341" w:customStyle="1">
    <w:name w:val="Bullet"/>
    <w:next w:val="1279"/>
    <w:qFormat/>
    <w:pPr>
      <w:ind w:left="567" w:right="2835" w:firstLine="3584"/>
      <w:spacing w:after="60"/>
    </w:pPr>
    <w:rPr>
      <w:rFonts w:ascii="Calibri" w:hAnsi="Calibri"/>
    </w:rPr>
  </w:style>
  <w:style w:type="paragraph" w:styleId="1342" w:customStyle="1">
    <w:name w:val="Char Char Char Char Char Char1"/>
    <w:basedOn w:val="1010"/>
    <w:next w:val="1343"/>
    <w:qFormat/>
    <w:pPr>
      <w:ind w:left="0" w:firstLine="2560"/>
      <w:spacing w:before="0" w:after="0" w:line="240" w:lineRule="auto"/>
    </w:pPr>
    <w:rPr>
      <w:rFonts w:ascii="Times New Roman" w:hAnsi="Times New Roman" w:cs="Times New Roman"/>
    </w:rPr>
  </w:style>
  <w:style w:type="paragraph" w:styleId="1343" w:customStyle="1">
    <w:name w:val="正文缩进2"/>
    <w:basedOn w:val="1010"/>
    <w:next w:val="1344"/>
    <w:qFormat/>
    <w:pPr>
      <w:ind w:left="420" w:firstLine="1188"/>
      <w:spacing w:before="0" w:after="0" w:line="240" w:lineRule="auto"/>
    </w:pPr>
    <w:rPr>
      <w:rFonts w:ascii="Times New Roman" w:hAnsi="Times New Roman" w:cs="Times New Roman"/>
    </w:rPr>
  </w:style>
  <w:style w:type="paragraph" w:styleId="1344" w:customStyle="1">
    <w:name w:val="列出段落2"/>
    <w:basedOn w:val="1010"/>
    <w:next w:val="1345"/>
    <w:qFormat/>
    <w:pPr>
      <w:ind w:left="420" w:firstLine="3748"/>
      <w:spacing w:before="0" w:after="0" w:line="240" w:lineRule="auto"/>
    </w:pPr>
    <w:rPr>
      <w:rFonts w:ascii="Times New Roman" w:hAnsi="Times New Roman" w:cs="Times New Roman"/>
    </w:rPr>
  </w:style>
  <w:style w:type="paragraph" w:styleId="1345" w:customStyle="1">
    <w:name w:val="正文文本缩进 31"/>
    <w:basedOn w:val="1010"/>
    <w:next w:val="1346"/>
    <w:qFormat/>
    <w:pPr>
      <w:ind w:left="1200" w:firstLine="1248"/>
      <w:spacing w:before="120" w:after="0" w:line="22" w:lineRule="atLeast"/>
    </w:pPr>
    <w:rPr>
      <w:rFonts w:ascii="Times New Roman" w:hAnsi="Times New Roman" w:cs="Times New Roman"/>
    </w:rPr>
  </w:style>
  <w:style w:type="paragraph" w:styleId="1346" w:customStyle="1">
    <w:name w:val="样式 正文首行缩进 + 首行缩进:  2 字符5"/>
    <w:next w:val="1347"/>
    <w:qFormat/>
    <w:pPr>
      <w:ind w:left="200" w:firstLine="3784"/>
      <w:spacing w:line="300" w:lineRule="auto"/>
    </w:pPr>
    <w:rPr>
      <w:rFonts w:ascii="Calibri" w:hAnsi="Calibri"/>
    </w:rPr>
  </w:style>
  <w:style w:type="paragraph" w:styleId="1347" w:customStyle="1">
    <w:name w:val="Char2"/>
    <w:basedOn w:val="1010"/>
    <w:next w:val="1341"/>
    <w:qFormat/>
    <w:pPr>
      <w:ind w:left="0" w:firstLine="3584"/>
      <w:spacing w:before="0" w:after="160" w:line="240" w:lineRule="exact"/>
    </w:pPr>
    <w:rPr>
      <w:rFonts w:ascii="Times New Roman" w:hAnsi="Times New Roman" w:cs="Times New Roman"/>
    </w:rPr>
  </w:style>
  <w:style w:type="paragraph" w:styleId="1348" w:customStyle="1">
    <w:name w:val="WPSOffice手动目录 1"/>
    <w:qFormat/>
  </w:style>
  <w:style w:type="paragraph" w:styleId="1349" w:customStyle="1">
    <w:name w:val="纯文本4"/>
    <w:basedOn w:val="1009"/>
    <w:qFormat/>
    <w:pPr>
      <w:ind w:left="0"/>
      <w:widowControl w:val="off"/>
    </w:pPr>
    <w:rPr>
      <w:rFonts w:ascii="宋体" w:hAnsi="Courier New" w:eastAsia="楷体_GB2312" w:cs="Times New Roman"/>
      <w:sz w:val="26"/>
    </w:rPr>
  </w:style>
  <w:style w:type="paragraph" w:styleId="1350" w:customStyle="1">
    <w:name w:val="Char Char Char Char Char Char Char Char Char Char Char Char Char Char Char Char"/>
    <w:basedOn w:val="1010"/>
    <w:next w:val="1351"/>
    <w:qFormat/>
    <w:pPr>
      <w:ind w:left="682" w:firstLine="1224"/>
      <w:spacing w:before="0" w:after="0" w:line="360" w:lineRule="auto"/>
    </w:pPr>
    <w:rPr>
      <w:rFonts w:ascii="Times New Roman" w:hAnsi="Times New Roman" w:cs="Times New Roman"/>
    </w:rPr>
  </w:style>
  <w:style w:type="paragraph" w:styleId="1351" w:customStyle="1">
    <w:name w:val="列表编号 51"/>
    <w:basedOn w:val="1010"/>
    <w:next w:val="1352"/>
    <w:qFormat/>
    <w:pPr>
      <w:ind w:left="900" w:firstLine="2652"/>
      <w:spacing w:before="0" w:after="0" w:line="360" w:lineRule="auto"/>
    </w:pPr>
    <w:rPr>
      <w:rFonts w:ascii="Times New Roman" w:hAnsi="Times New Roman" w:cs="Times New Roman"/>
    </w:rPr>
  </w:style>
  <w:style w:type="paragraph" w:styleId="1352" w:customStyle="1">
    <w:name w:val="样式 标题 1 + 黑体 (符号) 宋体 三号 段前: 7.8 磅 段后: 7.8 磅 行距: 1.5 倍行距"/>
    <w:basedOn w:val="1011"/>
    <w:next w:val="1353"/>
    <w:qFormat/>
    <w:pPr>
      <w:ind w:left="432" w:firstLine="18"/>
      <w:spacing w:before="40" w:after="40" w:line="360" w:lineRule="auto"/>
      <w:outlineLvl w:val="0"/>
    </w:pPr>
  </w:style>
  <w:style w:type="paragraph" w:styleId="1353" w:customStyle="1">
    <w:name w:val="表格用"/>
    <w:basedOn w:val="1010"/>
    <w:next w:val="1310"/>
    <w:qFormat/>
    <w:pPr>
      <w:ind w:left="0" w:firstLine="1024"/>
      <w:spacing w:before="0" w:after="0" w:line="360" w:lineRule="auto"/>
    </w:pPr>
    <w:rPr>
      <w:rFonts w:ascii="Times New Roman" w:hAnsi="Times New Roman" w:cs="Times New Roman"/>
    </w:rPr>
  </w:style>
  <w:style w:type="paragraph" w:styleId="1354" w:customStyle="1">
    <w:name w:val="xl71"/>
    <w:basedOn w:val="1010"/>
    <w:next w:val="1355"/>
    <w:qFormat/>
    <w:pPr>
      <w:ind w:left="0" w:firstLine="1536"/>
      <w:spacing w:before="280" w:after="280" w:line="240" w:lineRule="auto"/>
    </w:pPr>
    <w:rPr>
      <w:rFonts w:ascii="Times New Roman" w:hAnsi="Times New Roman" w:cs="Times New Roman"/>
    </w:rPr>
  </w:style>
  <w:style w:type="paragraph" w:styleId="1355" w:customStyle="1">
    <w:name w:val="正文文本 31"/>
    <w:basedOn w:val="1010"/>
    <w:next w:val="1356"/>
    <w:qFormat/>
    <w:pPr>
      <w:ind w:left="0" w:firstLine="3584"/>
      <w:jc w:val="center"/>
      <w:spacing w:before="0" w:after="120" w:line="360" w:lineRule="auto"/>
    </w:pPr>
    <w:rPr>
      <w:rFonts w:ascii="Times New Roman" w:hAnsi="Times New Roman" w:cs="Times New Roman"/>
    </w:rPr>
  </w:style>
  <w:style w:type="paragraph" w:styleId="1356" w:customStyle="1">
    <w:name w:val="列出段落111"/>
    <w:basedOn w:val="1010"/>
    <w:next w:val="1292"/>
    <w:qFormat/>
    <w:pPr>
      <w:ind w:left="420" w:firstLine="3748"/>
      <w:spacing w:before="0" w:after="0" w:line="240" w:lineRule="auto"/>
    </w:pPr>
    <w:rPr>
      <w:rFonts w:ascii="Times New Roman" w:hAnsi="Times New Roman" w:cs="Times New Roman"/>
    </w:rPr>
  </w:style>
  <w:style w:type="paragraph" w:styleId="1357" w:customStyle="1">
    <w:name w:val="修订1"/>
    <w:qFormat/>
    <w:rPr>
      <w:rFonts w:ascii="Calibri" w:hAnsi="Calibri"/>
    </w:rPr>
  </w:style>
  <w:style w:type="paragraph" w:styleId="1358" w:customStyle="1">
    <w:name w:val="正文文本缩进 21"/>
    <w:basedOn w:val="1010"/>
    <w:next w:val="1298"/>
    <w:qFormat/>
    <w:pPr>
      <w:ind w:left="480" w:firstLine="4832"/>
      <w:spacing w:before="0" w:after="0" w:line="240" w:lineRule="auto"/>
    </w:pPr>
    <w:rPr>
      <w:rFonts w:ascii="Times New Roman" w:hAnsi="Times New Roman" w:cs="Times New Roman"/>
    </w:rPr>
  </w:style>
  <w:style w:type="paragraph" w:styleId="1359" w:customStyle="1">
    <w:name w:val="Char Char4 Char Char"/>
    <w:basedOn w:val="1010"/>
    <w:next w:val="1308"/>
    <w:qFormat/>
    <w:pPr>
      <w:ind w:left="0" w:firstLine="2560"/>
      <w:spacing w:before="0" w:after="0" w:line="240" w:lineRule="auto"/>
    </w:pPr>
    <w:rPr>
      <w:rFonts w:ascii="Times New Roman" w:hAnsi="Times New Roman" w:cs="Times New Roman"/>
    </w:rPr>
  </w:style>
  <w:style w:type="paragraph" w:styleId="1360" w:customStyle="1">
    <w:name w:val="样式"/>
    <w:next w:val="1009"/>
    <w:qFormat/>
    <w:pPr>
      <w:ind w:firstLine="3584"/>
      <w:widowControl w:val="off"/>
    </w:pPr>
    <w:rPr>
      <w:rFonts w:ascii="Calibri" w:hAnsi="Calibri"/>
    </w:rPr>
  </w:style>
  <w:style w:type="paragraph" w:styleId="1361" w:customStyle="1">
    <w:name w:val="TOC 标题1"/>
    <w:basedOn w:val="1011"/>
    <w:next w:val="1009"/>
    <w:qFormat/>
    <w:pPr>
      <w:ind w:left="0" w:firstLine="6144"/>
      <w:spacing w:before="480" w:after="0" w:line="276" w:lineRule="auto"/>
    </w:pPr>
    <w:rPr>
      <w:b/>
      <w:sz w:val="30"/>
    </w:rPr>
  </w:style>
  <w:style w:type="paragraph" w:styleId="1362" w:customStyle="1">
    <w:name w:val="纯文本3"/>
    <w:basedOn w:val="1009"/>
    <w:qFormat/>
    <w:rPr>
      <w:rFonts w:ascii="宋体" w:hAnsi="Courier New" w:cs="Times New Roman"/>
    </w:rPr>
  </w:style>
  <w:style w:type="paragraph" w:styleId="1363" w:customStyle="1">
    <w:name w:val="afont"/>
    <w:basedOn w:val="1010"/>
    <w:next w:val="1035"/>
    <w:qFormat/>
    <w:pPr>
      <w:ind w:left="0" w:firstLine="2048"/>
      <w:spacing w:before="100" w:after="100" w:line="285" w:lineRule="atLeast"/>
    </w:pPr>
    <w:rPr>
      <w:rFonts w:ascii="Times New Roman" w:hAnsi="Times New Roman" w:cs="Times New Roman"/>
    </w:rPr>
  </w:style>
  <w:style w:type="paragraph" w:styleId="1364" w:customStyle="1">
    <w:name w:val="xl85"/>
    <w:basedOn w:val="1010"/>
    <w:next w:val="1365"/>
    <w:qFormat/>
    <w:pPr>
      <w:ind w:left="0" w:firstLine="2048"/>
      <w:jc w:val="center"/>
      <w:spacing w:before="280" w:after="280" w:line="240" w:lineRule="auto"/>
    </w:pPr>
    <w:rPr>
      <w:rFonts w:ascii="Times New Roman" w:hAnsi="Times New Roman" w:cs="Times New Roman"/>
    </w:rPr>
  </w:style>
  <w:style w:type="paragraph" w:styleId="1365" w:customStyle="1">
    <w:name w:val="文章总标题"/>
    <w:basedOn w:val="1010"/>
    <w:next w:val="1366"/>
    <w:qFormat/>
    <w:pPr>
      <w:ind w:left="0" w:firstLine="7168"/>
      <w:jc w:val="center"/>
      <w:spacing w:before="566" w:after="544" w:line="566" w:lineRule="atLeast"/>
    </w:pPr>
    <w:rPr>
      <w:rFonts w:ascii="Times New Roman" w:hAnsi="Times New Roman" w:cs="Times New Roman"/>
    </w:rPr>
  </w:style>
  <w:style w:type="paragraph" w:styleId="1366" w:customStyle="1">
    <w:name w:val="样式 首行缩进:  2 字符"/>
    <w:basedOn w:val="1010"/>
    <w:next w:val="1329"/>
    <w:qFormat/>
    <w:pPr>
      <w:ind w:left="200" w:firstLine="1224"/>
      <w:spacing w:before="0" w:after="0" w:line="400" w:lineRule="exact"/>
    </w:pPr>
    <w:rPr>
      <w:rFonts w:ascii="Times New Roman" w:hAnsi="Times New Roman" w:cs="Times New Roman"/>
    </w:rPr>
  </w:style>
  <w:style w:type="paragraph" w:styleId="1367" w:customStyle="1">
    <w:name w:val="二级条标题"/>
    <w:basedOn w:val="1010"/>
    <w:next w:val="1009"/>
    <w:qFormat/>
    <w:pPr>
      <w:ind w:left="0" w:firstLine="8"/>
      <w:spacing w:before="0" w:after="0" w:line="240" w:lineRule="auto"/>
      <w:outlineLvl w:val="3"/>
    </w:pPr>
    <w:rPr>
      <w:rFonts w:ascii="Times New Roman" w:hAnsi="Times New Roman" w:cs="Times New Roman"/>
    </w:rPr>
  </w:style>
  <w:style w:type="paragraph" w:styleId="1368" w:customStyle="1">
    <w:name w:val="Plain Text*"/>
    <w:basedOn w:val="1009"/>
    <w:qFormat/>
    <w:pPr>
      <w:ind w:left="0"/>
      <w:jc w:val="left"/>
    </w:pPr>
    <w:rPr>
      <w:rFonts w:ascii="宋体" w:hAnsi="宋体" w:eastAsia="楷体_GB2312" w:cs="Courier New"/>
      <w:sz w:val="26"/>
      <w:lang w:val="zh-CN"/>
    </w:rPr>
  </w:style>
  <w:style w:type="paragraph" w:styleId="1369" w:customStyle="1">
    <w:name w:val="样式 加粗 居中2"/>
    <w:basedOn w:val="1010"/>
    <w:next w:val="1221"/>
    <w:qFormat/>
    <w:pPr>
      <w:ind w:left="0" w:firstLine="2560"/>
      <w:jc w:val="center"/>
      <w:spacing w:before="0" w:after="0" w:line="360" w:lineRule="auto"/>
    </w:pPr>
    <w:rPr>
      <w:rFonts w:ascii="Times New Roman" w:hAnsi="Times New Roman" w:cs="Times New Roman"/>
    </w:rPr>
  </w:style>
  <w:style w:type="paragraph" w:styleId="1370" w:customStyle="1">
    <w:name w:val="标准文本"/>
    <w:basedOn w:val="1010"/>
    <w:next w:val="1324"/>
    <w:qFormat/>
    <w:pPr>
      <w:ind w:left="480" w:firstLine="2784"/>
      <w:spacing w:before="0" w:after="0" w:line="360" w:lineRule="auto"/>
    </w:pPr>
    <w:rPr>
      <w:rFonts w:ascii="Times New Roman" w:hAnsi="Times New Roman" w:cs="Times New Roman"/>
    </w:rPr>
  </w:style>
  <w:style w:type="paragraph" w:styleId="1371" w:customStyle="1">
    <w:name w:val="font5"/>
    <w:basedOn w:val="1010"/>
    <w:next w:val="1372"/>
    <w:qFormat/>
    <w:pPr>
      <w:ind w:left="0" w:firstLine="5120"/>
      <w:spacing w:before="280" w:after="280" w:line="240" w:lineRule="auto"/>
    </w:pPr>
    <w:rPr>
      <w:rFonts w:ascii="Times New Roman" w:hAnsi="Times New Roman" w:cs="Times New Roman"/>
    </w:rPr>
  </w:style>
  <w:style w:type="paragraph" w:styleId="1372" w:customStyle="1">
    <w:name w:val="索引标题1"/>
    <w:basedOn w:val="1010"/>
    <w:next w:val="1251"/>
    <w:qFormat/>
    <w:pPr>
      <w:ind w:left="0" w:firstLine="4608"/>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Char Char Char Char"/>
    <w:basedOn w:val="1010"/>
    <w:next w:val="1374"/>
    <w:qFormat/>
    <w:pPr>
      <w:ind w:left="0" w:firstLine="2560"/>
      <w:spacing w:before="0" w:after="0" w:line="240" w:lineRule="auto"/>
    </w:pPr>
    <w:rPr>
      <w:rFonts w:ascii="Times New Roman" w:hAnsi="Times New Roman" w:cs="Times New Roman"/>
    </w:rPr>
  </w:style>
  <w:style w:type="paragraph" w:styleId="1374" w:customStyle="1">
    <w:name w:val="1正文"/>
    <w:basedOn w:val="1010"/>
    <w:next w:val="1375"/>
    <w:qFormat/>
    <w:pPr>
      <w:ind w:left="480" w:firstLine="2784"/>
      <w:spacing w:before="0" w:after="0" w:line="300" w:lineRule="auto"/>
    </w:pPr>
    <w:rPr>
      <w:rFonts w:ascii="Times New Roman" w:hAnsi="Times New Roman" w:cs="Times New Roman"/>
    </w:rPr>
  </w:style>
  <w:style w:type="paragraph" w:styleId="1375" w:customStyle="1">
    <w:name w:val="目录2"/>
    <w:basedOn w:val="1010"/>
    <w:next w:val="1009"/>
    <w:qFormat/>
    <w:pPr>
      <w:ind w:left="209" w:firstLine="5329"/>
      <w:spacing w:before="0" w:after="0" w:line="317" w:lineRule="atLeast"/>
    </w:pPr>
    <w:rPr>
      <w:rFonts w:ascii="Times New Roman" w:hAnsi="Times New Roman" w:cs="Times New Roman"/>
    </w:rPr>
  </w:style>
  <w:style w:type="paragraph" w:styleId="1376" w:customStyle="1">
    <w:name w:val="图表目录1"/>
    <w:basedOn w:val="1010"/>
    <w:next w:val="1009"/>
    <w:qFormat/>
    <w:pPr>
      <w:ind w:left="200" w:firstLine="2616"/>
      <w:jc w:val="center"/>
      <w:spacing w:before="0" w:after="0" w:line="360" w:lineRule="auto"/>
    </w:pPr>
    <w:rPr>
      <w:rFonts w:ascii="Times New Roman" w:hAnsi="Times New Roman" w:cs="Times New Roman"/>
    </w:rPr>
  </w:style>
  <w:style w:type="paragraph" w:styleId="1377" w:customStyle="1">
    <w:name w:val="xl63"/>
    <w:basedOn w:val="1010"/>
    <w:next w:val="1327"/>
    <w:qFormat/>
    <w:pPr>
      <w:ind w:left="0" w:firstLine="5120"/>
      <w:spacing w:before="280" w:after="280" w:line="240" w:lineRule="auto"/>
    </w:pPr>
    <w:rPr>
      <w:rFonts w:ascii="Times New Roman" w:hAnsi="Times New Roman" w:cs="Times New Roman"/>
    </w:rPr>
  </w:style>
  <w:style w:type="paragraph" w:styleId="1378">
    <w:name w:val="List Paragraph"/>
    <w:basedOn w:val="1009"/>
    <w:next w:val="1285"/>
    <w:qFormat/>
    <w:pPr>
      <w:ind w:left="420" w:firstLine="3748"/>
    </w:pPr>
    <w:rPr>
      <w:rFonts w:ascii="Times New Roman" w:hAnsi="Times New Roman" w:cs="Times New Roman"/>
    </w:rPr>
  </w:style>
  <w:style w:type="paragraph" w:styleId="1379" w:customStyle="1">
    <w:name w:val="xl73"/>
    <w:basedOn w:val="1010"/>
    <w:next w:val="1380"/>
    <w:qFormat/>
    <w:pPr>
      <w:ind w:left="0" w:firstLine="3584"/>
      <w:spacing w:before="280" w:after="280" w:line="240" w:lineRule="auto"/>
    </w:pPr>
    <w:rPr>
      <w:rFonts w:ascii="Times New Roman" w:hAnsi="Times New Roman" w:cs="Times New Roman"/>
    </w:rPr>
  </w:style>
  <w:style w:type="paragraph" w:styleId="1380" w:customStyle="1">
    <w:name w:val="xl80"/>
    <w:basedOn w:val="1010"/>
    <w:next w:val="1381"/>
    <w:qFormat/>
    <w:pPr>
      <w:ind w:left="0" w:firstLine="3584"/>
      <w:jc w:val="center"/>
      <w:spacing w:before="280" w:after="280" w:line="240" w:lineRule="auto"/>
    </w:pPr>
    <w:rPr>
      <w:rFonts w:ascii="Times New Roman" w:hAnsi="Times New Roman" w:cs="Times New Roman"/>
    </w:rPr>
  </w:style>
  <w:style w:type="paragraph" w:styleId="1381" w:customStyle="1">
    <w:name w:val="样式2"/>
    <w:basedOn w:val="1015"/>
    <w:next w:val="1382"/>
    <w:qFormat/>
    <w:pPr>
      <w:ind w:left="1134" w:firstLine="18"/>
      <w:spacing w:before="0" w:after="0" w:line="360" w:lineRule="auto"/>
      <w:outlineLvl w:val="4"/>
    </w:pPr>
  </w:style>
  <w:style w:type="paragraph" w:styleId="1382" w:customStyle="1">
    <w:name w:val="日期1"/>
    <w:basedOn w:val="1010"/>
    <w:next w:val="1009"/>
    <w:qFormat/>
    <w:pPr>
      <w:ind w:left="100" w:firstLine="6144"/>
      <w:spacing w:before="0" w:after="0" w:line="240" w:lineRule="auto"/>
    </w:pPr>
    <w:rPr>
      <w:rFonts w:ascii="Times New Roman" w:hAnsi="Times New Roman" w:cs="Times New Roman"/>
    </w:rPr>
  </w:style>
  <w:style w:type="paragraph" w:styleId="1383" w:customStyle="1">
    <w:name w:val="图1"/>
    <w:basedOn w:val="1010"/>
    <w:next w:val="1009"/>
    <w:qFormat/>
    <w:pPr>
      <w:ind w:left="1105" w:firstLine="2580"/>
      <w:jc w:val="center"/>
      <w:spacing w:before="0" w:after="0" w:line="360" w:lineRule="auto"/>
    </w:pPr>
    <w:rPr>
      <w:rFonts w:ascii="Times New Roman" w:hAnsi="Times New Roman" w:cs="Times New Roman"/>
    </w:rPr>
  </w:style>
  <w:style w:type="paragraph" w:styleId="1384" w:customStyle="1">
    <w:name w:val="Char Char Char Char Char Char1 Char Char Char1 Char Char Char Char Char Char Char Char Char Char Char Char"/>
    <w:basedOn w:val="1010"/>
    <w:next w:val="1364"/>
    <w:qFormat/>
    <w:pPr>
      <w:ind w:left="0" w:firstLine="2560"/>
      <w:spacing w:before="0" w:after="0" w:line="240" w:lineRule="auto"/>
    </w:pPr>
    <w:rPr>
      <w:rFonts w:ascii="Times New Roman" w:hAnsi="Times New Roman" w:cs="Times New Roman"/>
    </w:rPr>
  </w:style>
  <w:style w:type="paragraph" w:styleId="1385" w:customStyle="1">
    <w:name w:val="Char Char Char Char Char Char Char"/>
    <w:basedOn w:val="1010"/>
    <w:next w:val="1270"/>
    <w:qFormat/>
    <w:pPr>
      <w:ind w:left="200" w:firstLine="4808"/>
      <w:spacing w:before="0" w:after="0" w:line="360" w:lineRule="auto"/>
    </w:pPr>
    <w:rPr>
      <w:rFonts w:ascii="Times New Roman" w:hAnsi="Times New Roman" w:cs="Times New Roman"/>
    </w:rPr>
  </w:style>
  <w:style w:type="paragraph" w:styleId="1386" w:customStyle="1">
    <w:name w:val="Char Char Char Char Char Char Char Char Char Char Char Char Char Char Char"/>
    <w:basedOn w:val="1010"/>
    <w:next w:val="1361"/>
    <w:qFormat/>
    <w:pPr>
      <w:ind w:left="0" w:firstLine="3584"/>
      <w:jc w:val="center"/>
      <w:spacing w:before="0" w:after="0" w:line="400" w:lineRule="exact"/>
    </w:pPr>
    <w:rPr>
      <w:rFonts w:ascii="Times New Roman" w:hAnsi="Times New Roman" w:cs="Times New Roman"/>
    </w:rPr>
  </w:style>
  <w:style w:type="paragraph" w:styleId="1387">
    <w:name w:val="Intense Quote"/>
    <w:next w:val="1009"/>
    <w:qFormat/>
    <w:pPr>
      <w:ind w:left="3766" w:right="950"/>
      <w:jc w:val="center"/>
      <w:spacing w:before="360" w:after="360"/>
    </w:pPr>
    <w:rPr>
      <w:rFonts w:ascii="Calibri" w:hAnsi="Calibri"/>
      <w:i/>
    </w:rPr>
  </w:style>
  <w:style w:type="paragraph" w:styleId="1388" w:customStyle="1">
    <w:name w:val="索引 51"/>
    <w:basedOn w:val="1010"/>
    <w:next w:val="1009"/>
    <w:qFormat/>
    <w:pPr>
      <w:ind w:left="800" w:firstLine="2560"/>
      <w:jc w:val="center"/>
      <w:spacing w:before="0" w:after="0" w:line="360" w:lineRule="auto"/>
    </w:pPr>
    <w:rPr>
      <w:rFonts w:ascii="Times New Roman" w:hAnsi="Times New Roman" w:cs="Times New Roman"/>
    </w:rPr>
  </w:style>
  <w:style w:type="paragraph" w:styleId="1389" w:customStyle="1">
    <w:name w:val="图表"/>
    <w:basedOn w:val="1010"/>
    <w:next w:val="1390"/>
    <w:qFormat/>
    <w:pPr>
      <w:ind w:left="0" w:firstLine="2048"/>
      <w:jc w:val="center"/>
      <w:spacing w:before="0" w:after="0" w:line="240" w:lineRule="auto"/>
    </w:pPr>
    <w:rPr>
      <w:rFonts w:ascii="Times New Roman" w:hAnsi="Times New Roman" w:cs="Times New Roman"/>
    </w:rPr>
  </w:style>
  <w:style w:type="paragraph" w:styleId="1390" w:customStyle="1">
    <w:name w:val="reader-word-layer"/>
    <w:basedOn w:val="1010"/>
    <w:next w:val="1391"/>
    <w:qFormat/>
    <w:pPr>
      <w:ind w:left="0" w:firstLine="1024"/>
      <w:spacing w:before="280" w:after="280" w:line="240" w:lineRule="auto"/>
    </w:pPr>
    <w:rPr>
      <w:rFonts w:ascii="Times New Roman" w:hAnsi="Times New Roman" w:cs="Times New Roman"/>
    </w:rPr>
  </w:style>
  <w:style w:type="paragraph" w:styleId="1391" w:customStyle="1">
    <w:name w:val="样式 加粗 居中1"/>
    <w:next w:val="1230"/>
    <w:qFormat/>
    <w:pPr>
      <w:ind w:firstLine="2560"/>
      <w:jc w:val="center"/>
    </w:pPr>
    <w:rPr>
      <w:rFonts w:ascii="Calibri" w:hAnsi="Calibri"/>
    </w:rPr>
  </w:style>
  <w:style w:type="paragraph" w:styleId="1392" w:customStyle="1">
    <w:name w:val="修订2"/>
    <w:qFormat/>
    <w:rPr>
      <w:rFonts w:ascii="Calibri" w:hAnsi="Calibri"/>
    </w:rPr>
  </w:style>
  <w:style w:type="paragraph" w:styleId="1393" w:customStyle="1">
    <w:name w:val="Body"/>
    <w:next w:val="1325"/>
    <w:qFormat/>
    <w:pPr>
      <w:ind w:left="567" w:right="2835" w:firstLine="3584"/>
      <w:spacing w:after="60"/>
    </w:pPr>
    <w:rPr>
      <w:rFonts w:ascii="Calibri" w:hAnsi="Calibri"/>
    </w:rPr>
  </w:style>
  <w:style w:type="paragraph" w:styleId="1394" w:customStyle="1">
    <w:name w:val="font6"/>
    <w:basedOn w:val="1010"/>
    <w:next w:val="1395"/>
    <w:qFormat/>
    <w:pPr>
      <w:ind w:left="0" w:firstLine="5120"/>
      <w:spacing w:before="280" w:after="280" w:line="240" w:lineRule="auto"/>
    </w:pPr>
    <w:rPr>
      <w:rFonts w:ascii="Times New Roman" w:hAnsi="Times New Roman" w:cs="Times New Roman"/>
    </w:rPr>
  </w:style>
  <w:style w:type="paragraph" w:styleId="1395" w:customStyle="1">
    <w:name w:val="正文首行缩进 21"/>
    <w:basedOn w:val="1022"/>
    <w:next w:val="1393"/>
    <w:qFormat/>
    <w:pPr>
      <w:ind w:left="200" w:firstLine="3784"/>
      <w:jc w:val="center"/>
      <w:spacing w:after="120" w:line="360" w:lineRule="auto"/>
    </w:pPr>
    <w:rPr>
      <w:rFonts w:ascii="Calibri" w:hAnsi="Calibri"/>
    </w:rPr>
  </w:style>
  <w:style w:type="paragraph" w:styleId="1396" w:customStyle="1">
    <w:name w:val="Char Char"/>
    <w:next w:val="1389"/>
    <w:qFormat/>
    <w:pPr>
      <w:ind w:firstLine="14"/>
      <w:spacing w:line="360" w:lineRule="auto"/>
      <w:shd w:val="clear" w:color="000000" w:fill="000080"/>
    </w:pPr>
    <w:rPr>
      <w:rFonts w:ascii="Calibri" w:hAnsi="Calibri"/>
    </w:rPr>
  </w:style>
  <w:style w:type="paragraph" w:styleId="1397" w:customStyle="1">
    <w:name w:val="正文_0_0"/>
    <w:next w:val="1229"/>
    <w:qFormat/>
    <w:pPr>
      <w:ind w:firstLine="3584"/>
      <w:jc w:val="both"/>
      <w:widowControl w:val="off"/>
    </w:pPr>
    <w:rPr>
      <w:rFonts w:ascii="Calibri" w:hAnsi="Calibri"/>
    </w:rPr>
  </w:style>
  <w:style w:type="paragraph" w:styleId="1398" w:customStyle="1">
    <w:name w:val="font7"/>
    <w:basedOn w:val="1010"/>
    <w:next w:val="1399"/>
    <w:qFormat/>
    <w:pPr>
      <w:ind w:left="0" w:firstLine="3584"/>
      <w:spacing w:before="280" w:after="280" w:line="240" w:lineRule="auto"/>
    </w:pPr>
    <w:rPr>
      <w:rFonts w:ascii="Times New Roman" w:hAnsi="Times New Roman" w:cs="Times New Roman"/>
    </w:rPr>
  </w:style>
  <w:style w:type="paragraph" w:styleId="1399" w:customStyle="1">
    <w:name w:val="Char Char Char Char Char Char1 Char Char Char Char Char Char1 Char Char Char1"/>
    <w:basedOn w:val="1010"/>
    <w:next w:val="1400"/>
    <w:qFormat/>
    <w:pPr>
      <w:ind w:left="0" w:firstLine="2560"/>
      <w:spacing w:before="0" w:after="0" w:line="240" w:lineRule="auto"/>
    </w:pPr>
    <w:rPr>
      <w:rFonts w:ascii="Times New Roman" w:hAnsi="Times New Roman" w:cs="Times New Roman"/>
    </w:rPr>
  </w:style>
  <w:style w:type="paragraph" w:styleId="1400" w:customStyle="1">
    <w:name w:val="xl64"/>
    <w:basedOn w:val="1010"/>
    <w:next w:val="1367"/>
    <w:qFormat/>
    <w:pPr>
      <w:ind w:left="0" w:firstLine="3584"/>
      <w:spacing w:before="280" w:after="280" w:line="240" w:lineRule="auto"/>
    </w:pPr>
    <w:rPr>
      <w:rFonts w:ascii="Times New Roman" w:hAnsi="Times New Roman" w:cs="Times New Roman"/>
    </w:rPr>
  </w:style>
  <w:style w:type="paragraph" w:styleId="1401" w:customStyle="1">
    <w:name w:val="style16"/>
    <w:basedOn w:val="1010"/>
    <w:next w:val="1394"/>
    <w:qFormat/>
    <w:pPr>
      <w:ind w:left="0" w:firstLine="2048"/>
      <w:spacing w:before="280" w:after="280" w:line="240" w:lineRule="auto"/>
    </w:pPr>
    <w:rPr>
      <w:rFonts w:ascii="Times New Roman" w:hAnsi="Times New Roman" w:cs="Times New Roman"/>
    </w:rPr>
  </w:style>
  <w:style w:type="paragraph" w:styleId="1402" w:customStyle="1">
    <w:name w:val="索引 11"/>
    <w:basedOn w:val="1010"/>
    <w:next w:val="1009"/>
    <w:qFormat/>
    <w:pPr>
      <w:ind w:left="0" w:firstLine="3584"/>
      <w:spacing w:before="0" w:after="0" w:line="240" w:lineRule="auto"/>
    </w:pPr>
    <w:rPr>
      <w:rFonts w:ascii="Times New Roman" w:hAnsi="Times New Roman" w:cs="Times New Roman"/>
    </w:rPr>
  </w:style>
  <w:style w:type="paragraph" w:styleId="1403" w:customStyle="1">
    <w:name w:val="H 3"/>
    <w:basedOn w:val="1013"/>
    <w:next w:val="1404"/>
    <w:qFormat/>
    <w:pPr>
      <w:ind w:left="1429" w:firstLine="18"/>
      <w:spacing w:before="0" w:after="0" w:line="360" w:lineRule="auto"/>
      <w:outlineLvl w:val="2"/>
    </w:pPr>
  </w:style>
  <w:style w:type="paragraph" w:styleId="1404" w:customStyle="1">
    <w:name w:val="xl83"/>
    <w:basedOn w:val="1010"/>
    <w:next w:val="1385"/>
    <w:qFormat/>
    <w:pPr>
      <w:ind w:left="0" w:firstLine="5120"/>
      <w:spacing w:before="280" w:after="280" w:line="240" w:lineRule="auto"/>
    </w:pPr>
    <w:rPr>
      <w:rFonts w:ascii="Times New Roman" w:hAnsi="Times New Roman" w:cs="Times New Roman"/>
    </w:rPr>
  </w:style>
  <w:style w:type="paragraph" w:styleId="1405" w:customStyle="1">
    <w:name w:val="表格文字（居中）"/>
    <w:basedOn w:val="1010"/>
    <w:next w:val="1401"/>
    <w:qFormat/>
    <w:pPr>
      <w:ind w:left="0" w:firstLine="2560"/>
      <w:jc w:val="center"/>
      <w:spacing w:before="0" w:after="0" w:line="360" w:lineRule="auto"/>
    </w:pPr>
    <w:rPr>
      <w:rFonts w:ascii="Times New Roman" w:hAnsi="Times New Roman" w:cs="Times New Roman"/>
    </w:rPr>
  </w:style>
  <w:style w:type="paragraph" w:styleId="1406" w:customStyle="1">
    <w:name w:val="正文首行缩进两字符"/>
    <w:basedOn w:val="1010"/>
    <w:next w:val="1388"/>
    <w:qFormat/>
    <w:pPr>
      <w:ind w:left="200" w:firstLine="3784"/>
      <w:spacing w:before="0" w:after="0" w:line="360" w:lineRule="auto"/>
    </w:pPr>
    <w:rPr>
      <w:rFonts w:ascii="Times New Roman" w:hAnsi="Times New Roman" w:cs="Times New Roman"/>
    </w:rPr>
  </w:style>
  <w:style w:type="paragraph" w:styleId="1407" w:customStyle="1">
    <w:name w:val="1"/>
    <w:basedOn w:val="1010"/>
    <w:next w:val="1043"/>
    <w:qFormat/>
    <w:pPr>
      <w:ind w:left="0" w:firstLine="2048"/>
      <w:spacing w:before="0" w:after="0" w:line="240" w:lineRule="auto"/>
    </w:pPr>
    <w:rPr>
      <w:rFonts w:ascii="Times New Roman" w:hAnsi="Times New Roman" w:cs="Times New Roman"/>
    </w:rPr>
  </w:style>
  <w:style w:type="paragraph" w:styleId="1408" w:customStyle="1">
    <w:name w:val="_Style 398"/>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9" w:customStyle="1">
    <w:name w:val="Table Paragraph"/>
    <w:basedOn w:val="1009"/>
    <w:uiPriority w:val="1"/>
    <w:qFormat/>
    <w:rPr>
      <w:rFonts w:ascii="宋体" w:hAnsi="宋体"/>
      <w:lang w:val="zh-CN" w:bidi="zh-CN"/>
    </w:rPr>
  </w:style>
  <w:style w:type="paragraph" w:styleId="1410" w:customStyle="1">
    <w:name w:val="_Style 400"/>
    <w:qFormat/>
    <w:rPr>
      <w:rFonts w:ascii="Calibri" w:hAnsi="Calibri"/>
    </w:rPr>
  </w:style>
  <w:style w:type="paragraph" w:styleId="1411" w:customStyle="1">
    <w:name w:val="Style1"/>
    <w:basedOn w:val="1009"/>
    <w:qFormat/>
    <w:pPr>
      <w:ind w:left="0"/>
      <w:tabs>
        <w:tab w:val="left" w:pos="-720" w:leader="none"/>
      </w:tabs>
    </w:pPr>
    <w:rPr>
      <w:rFonts w:ascii="Times New Roman" w:hAnsi="Times New Roman" w:cs="Times New Roman"/>
      <w:spacing w:val="-3"/>
      <w:sz w:val="24"/>
      <w:szCs w:val="24"/>
      <w:lang w:val="en-AU" w:eastAsia="en-US"/>
    </w:rPr>
  </w:style>
  <w:style w:type="paragraph" w:styleId="1412" w:customStyle="1">
    <w:name w:val="msolistparagraph"/>
    <w:basedOn w:val="1010"/>
    <w:next w:val="1277"/>
    <w:qFormat/>
    <w:pPr>
      <w:ind w:left="420" w:firstLine="3748"/>
      <w:spacing w:before="0" w:after="0" w:line="240" w:lineRule="auto"/>
    </w:pPr>
    <w:rPr>
      <w:rFonts w:ascii="Times New Roman" w:hAnsi="Times New Roman" w:cs="Times New Roman"/>
    </w:rPr>
  </w:style>
  <w:style w:type="paragraph" w:styleId="1413" w:customStyle="1">
    <w:name w:val="Char1 Char Char Char"/>
    <w:basedOn w:val="1010"/>
    <w:next w:val="1414"/>
    <w:qFormat/>
    <w:pPr>
      <w:ind w:left="0" w:firstLine="2560"/>
      <w:spacing w:before="0" w:after="0" w:line="240" w:lineRule="auto"/>
    </w:pPr>
    <w:rPr>
      <w:rFonts w:ascii="Times New Roman" w:hAnsi="Times New Roman" w:cs="Times New Roman"/>
    </w:rPr>
  </w:style>
  <w:style w:type="paragraph" w:styleId="1414" w:customStyle="1">
    <w:name w:val="xl24"/>
    <w:basedOn w:val="1010"/>
    <w:next w:val="1359"/>
    <w:qFormat/>
    <w:pPr>
      <w:ind w:left="0" w:firstLine="20"/>
      <w:jc w:val="center"/>
      <w:spacing w:before="280" w:after="280" w:line="240" w:lineRule="auto"/>
      <w:shd w:val="clear" w:color="000000" w:fill="ffffff"/>
    </w:pPr>
    <w:rPr>
      <w:rFonts w:ascii="Times New Roman" w:hAnsi="Times New Roman" w:cs="Times New Roman"/>
    </w:rPr>
  </w:style>
  <w:style w:type="paragraph" w:styleId="1415" w:customStyle="1">
    <w:name w:val="表格文字"/>
    <w:next w:val="1373"/>
    <w:qFormat/>
    <w:pPr>
      <w:ind w:firstLine="3584"/>
    </w:pPr>
    <w:rPr>
      <w:rFonts w:ascii="Calibri" w:hAnsi="Calibri"/>
    </w:rPr>
  </w:style>
  <w:style w:type="paragraph" w:styleId="1416" w:customStyle="1">
    <w:name w:val="xl72"/>
    <w:basedOn w:val="1010"/>
    <w:next w:val="1272"/>
    <w:qFormat/>
    <w:pPr>
      <w:ind w:left="0" w:firstLine="3584"/>
      <w:spacing w:before="280" w:after="280" w:line="240" w:lineRule="auto"/>
    </w:pPr>
    <w:rPr>
      <w:rFonts w:ascii="Times New Roman" w:hAnsi="Times New Roman" w:cs="Times New Roman"/>
    </w:rPr>
  </w:style>
  <w:style w:type="paragraph" w:styleId="1417" w:customStyle="1">
    <w:name w:val="插图"/>
    <w:next w:val="1009"/>
    <w:qFormat/>
    <w:pPr>
      <w:ind w:firstLine="4608"/>
      <w:jc w:val="center"/>
    </w:pPr>
    <w:rPr>
      <w:rFonts w:ascii="Calibri" w:hAnsi="Calibri"/>
    </w:rPr>
  </w:style>
  <w:style w:type="paragraph" w:styleId="1418" w:customStyle="1">
    <w:name w:val="列出段落3"/>
    <w:basedOn w:val="1010"/>
    <w:next w:val="1312"/>
    <w:qFormat/>
    <w:pPr>
      <w:ind w:left="420" w:firstLine="3748"/>
      <w:spacing w:before="0" w:after="0" w:line="240" w:lineRule="auto"/>
    </w:pPr>
    <w:rPr>
      <w:rFonts w:ascii="Times New Roman" w:hAnsi="Times New Roman" w:cs="Times New Roman"/>
    </w:rPr>
  </w:style>
  <w:style w:type="paragraph" w:styleId="1419" w:customStyle="1">
    <w:name w:val="目录标题"/>
    <w:basedOn w:val="1010"/>
    <w:next w:val="1009"/>
    <w:qFormat/>
    <w:pPr>
      <w:ind w:left="419" w:firstLine="7331"/>
      <w:jc w:val="center"/>
      <w:spacing w:before="566" w:after="544" w:line="566" w:lineRule="atLeast"/>
    </w:pPr>
    <w:rPr>
      <w:rFonts w:ascii="Times New Roman" w:hAnsi="Times New Roman" w:cs="Times New Roman"/>
    </w:rPr>
  </w:style>
  <w:style w:type="paragraph" w:styleId="1420" w:customStyle="1">
    <w:name w:val="默认段落字体 Para Char Char Char Char Char Char Char Char Char1 Char Char Char Char"/>
    <w:basedOn w:val="1010"/>
    <w:next w:val="1315"/>
    <w:qFormat/>
    <w:pPr>
      <w:ind w:left="0" w:firstLine="2560"/>
      <w:spacing w:before="0" w:after="0" w:line="240" w:lineRule="auto"/>
    </w:pPr>
    <w:rPr>
      <w:rFonts w:ascii="Times New Roman" w:hAnsi="Times New Roman" w:cs="Times New Roman"/>
    </w:rPr>
  </w:style>
  <w:style w:type="paragraph" w:styleId="1421" w:customStyle="1">
    <w:name w:val="WPSOffice手动目录 2"/>
    <w:qFormat/>
    <w:pPr>
      <w:ind w:left="200"/>
    </w:pPr>
  </w:style>
  <w:style w:type="paragraph" w:styleId="1422" w:customStyle="1">
    <w:name w:val="表内文字"/>
    <w:basedOn w:val="1010"/>
    <w:next w:val="1051"/>
    <w:qFormat/>
    <w:pPr>
      <w:ind w:left="0" w:firstLine="7680"/>
      <w:jc w:val="center"/>
      <w:spacing w:before="50" w:after="50" w:line="240" w:lineRule="auto"/>
    </w:pPr>
    <w:rPr>
      <w:rFonts w:ascii="Times New Roman" w:hAnsi="Times New Roman" w:cs="Times New Roman"/>
    </w:rPr>
  </w:style>
  <w:style w:type="paragraph" w:styleId="1423" w:customStyle="1">
    <w:name w:val="xl66"/>
    <w:basedOn w:val="1010"/>
    <w:next w:val="1405"/>
    <w:qFormat/>
    <w:pPr>
      <w:ind w:left="0" w:firstLine="3584"/>
      <w:spacing w:before="280" w:after="280" w:line="240" w:lineRule="auto"/>
    </w:pPr>
    <w:rPr>
      <w:rFonts w:ascii="Times New Roman" w:hAnsi="Times New Roman" w:cs="Times New Roman"/>
    </w:rPr>
  </w:style>
  <w:style w:type="paragraph" w:styleId="1424" w:customStyle="1">
    <w:name w:val="*正文"/>
    <w:basedOn w:val="1009"/>
    <w:qFormat/>
    <w:pPr>
      <w:ind w:left="0" w:firstLine="200"/>
      <w:spacing w:line="360" w:lineRule="auto"/>
    </w:pPr>
    <w:rPr>
      <w:rFonts w:ascii="仿宋_GB2312" w:hAnsi="Times New Roman" w:eastAsia="仿宋_GB2312" w:cs="Times New Roman"/>
      <w:sz w:val="24"/>
      <w:szCs w:val="28"/>
    </w:rPr>
  </w:style>
  <w:style w:type="paragraph" w:styleId="1425" w:customStyle="1">
    <w:name w:val="0"/>
    <w:basedOn w:val="1010"/>
    <w:next w:val="1318"/>
    <w:qFormat/>
    <w:pPr>
      <w:ind w:left="0" w:firstLine="2815"/>
      <w:spacing w:before="0" w:after="0" w:line="360" w:lineRule="auto"/>
    </w:pPr>
    <w:rPr>
      <w:rFonts w:ascii="Times New Roman" w:hAnsi="Times New Roman" w:cs="Times New Roman"/>
    </w:rPr>
  </w:style>
  <w:style w:type="table" w:styleId="1426" w:customStyle="1">
    <w:name w:val="网格型1"/>
    <w:basedOn w:val="102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7" w:customStyle="1">
    <w:name w:val="font61"/>
    <w:qFormat/>
    <w:rPr>
      <w:rFonts w:hint="default" w:ascii="Times New Roman" w:hAnsi="Times New Roman" w:cs="Times New Roman"/>
      <w:b/>
      <w:bCs/>
      <w:color w:val="000000"/>
      <w:sz w:val="24"/>
      <w:szCs w:val="24"/>
      <w:u w:val="none"/>
    </w:rPr>
  </w:style>
  <w:style w:type="character" w:styleId="1428" w:customStyle="1">
    <w:name w:val="正文首行缩进 2 字符"/>
    <w:basedOn w:val="1019"/>
    <w:link w:val="1069"/>
    <w:qFormat/>
    <w:rPr>
      <w:rFonts w:ascii="Times New Roman" w:hAnsi="Times New Roman" w:cs="Times New Roman"/>
    </w:rPr>
  </w:style>
  <w:style w:type="numbering" w:styleId="1429" w:customStyle="1">
    <w:name w:val="无列表1"/>
    <w:next w:val="1021"/>
    <w:uiPriority w:val="99"/>
    <w:semiHidden/>
    <w:unhideWhenUsed/>
  </w:style>
  <w:style w:type="character" w:styleId="1430" w:customStyle="1">
    <w:name w:val="正文文本缩进 字符"/>
    <w:basedOn w:val="1019"/>
    <w:link w:val="1022"/>
    <w:rPr>
      <w:rFonts w:ascii="Times New Roman" w:hAnsi="Times New Roman" w:cs="Times New Roman"/>
    </w:rPr>
  </w:style>
  <w:style w:type="character" w:styleId="1431" w:customStyle="1">
    <w:name w:val="font31"/>
    <w:basedOn w:val="1019"/>
    <w:rPr>
      <w:rFonts w:ascii="宋体" w:hAnsi="宋体" w:eastAsia="宋体" w:cs="宋体"/>
      <w:color w:val="000000"/>
      <w:sz w:val="20"/>
      <w:szCs w:val="20"/>
      <w:u w:val="none"/>
    </w:rPr>
  </w:style>
  <w:style w:type="character" w:styleId="1432" w:customStyle="1">
    <w:name w:val="font51"/>
    <w:basedOn w:val="1019"/>
    <w:qFormat/>
    <w:rPr>
      <w:rFonts w:ascii="Arial" w:hAnsi="Arial" w:cs="Arial"/>
      <w:color w:val="000000"/>
      <w:sz w:val="12"/>
      <w:szCs w:val="12"/>
      <w:u w:val="none"/>
    </w:rPr>
  </w:style>
  <w:style w:type="character" w:styleId="1433" w:customStyle="1">
    <w:name w:val="font112"/>
    <w:basedOn w:val="1019"/>
    <w:qFormat/>
    <w:rPr>
      <w:rFonts w:ascii="宋体" w:hAnsi="宋体" w:eastAsia="宋体" w:cs="宋体"/>
      <w:color w:val="000000"/>
      <w:sz w:val="18"/>
      <w:szCs w:val="18"/>
      <w:u w:val="none"/>
    </w:rPr>
  </w:style>
  <w:style w:type="character" w:styleId="1434" w:customStyle="1">
    <w:name w:val="font121"/>
    <w:basedOn w:val="1019"/>
    <w:qFormat/>
    <w:rPr>
      <w:rFonts w:hint="default" w:ascii="Times New Roman" w:hAnsi="Times New Roman" w:cs="Times New Roman"/>
      <w:color w:val="000000"/>
      <w:sz w:val="18"/>
      <w:szCs w:val="18"/>
      <w:u w:val="none"/>
    </w:rPr>
  </w:style>
  <w:style w:type="character" w:styleId="1435" w:customStyle="1">
    <w:name w:val="font81"/>
    <w:basedOn w:val="1019"/>
    <w:qFormat/>
    <w:rPr>
      <w:rFonts w:hint="default" w:ascii="Arial" w:hAnsi="Arial" w:cs="Arial"/>
      <w:color w:val="000000"/>
      <w:sz w:val="22"/>
      <w:szCs w:val="22"/>
      <w:u w:val="none"/>
    </w:rPr>
  </w:style>
  <w:style w:type="character" w:styleId="1436" w:customStyle="1">
    <w:name w:val="font11"/>
    <w:basedOn w:val="1019"/>
    <w:qFormat/>
    <w:rPr>
      <w:rFonts w:hint="default" w:ascii="Arial" w:hAnsi="Arial" w:cs="Arial"/>
      <w:color w:val="000000"/>
      <w:sz w:val="10"/>
      <w:szCs w:val="10"/>
      <w:u w:val="none"/>
    </w:rPr>
  </w:style>
  <w:style w:type="character" w:styleId="1437" w:customStyle="1">
    <w:name w:val="font71"/>
    <w:basedOn w:val="1019"/>
    <w:qFormat/>
    <w:rPr>
      <w:rFonts w:ascii="Calibri" w:hAnsi="Calibri" w:cs="Calibri"/>
      <w:color w:val="000000"/>
      <w:sz w:val="20"/>
      <w:szCs w:val="20"/>
      <w:u w:val="none"/>
    </w:rPr>
  </w:style>
  <w:style w:type="character" w:styleId="1438" w:customStyle="1">
    <w:name w:val="标题 1 字符"/>
    <w:basedOn w:val="1019"/>
    <w:link w:val="1010"/>
    <w:qFormat/>
    <w:rPr>
      <w:rFonts w:ascii="Calibri" w:hAnsi="Calibri"/>
    </w:rPr>
  </w:style>
  <w:style w:type="character" w:styleId="1439" w:customStyle="1">
    <w:name w:val="标题 2 字符"/>
    <w:basedOn w:val="1019"/>
    <w:link w:val="1011"/>
    <w:qFormat/>
    <w:rPr>
      <w:rFonts w:ascii="Times New Roman" w:hAnsi="Times New Roman" w:cs="Times New Roman"/>
    </w:rPr>
  </w:style>
  <w:style w:type="character" w:styleId="1440" w:customStyle="1">
    <w:name w:val="标题 3 字符"/>
    <w:basedOn w:val="1019"/>
    <w:link w:val="1012"/>
    <w:rPr>
      <w:rFonts w:ascii="Times New Roman" w:hAnsi="Times New Roman" w:cs="Times New Roman"/>
    </w:rPr>
  </w:style>
  <w:style w:type="character" w:styleId="1441" w:customStyle="1">
    <w:name w:val="标题 4 字符"/>
    <w:basedOn w:val="1019"/>
    <w:link w:val="1013"/>
    <w:rPr>
      <w:rFonts w:ascii="Times New Roman" w:hAnsi="Times New Roman" w:cs="Times New Roman"/>
    </w:rPr>
  </w:style>
  <w:style w:type="character" w:styleId="1442" w:customStyle="1">
    <w:name w:val="标题 5 字符"/>
    <w:basedOn w:val="1019"/>
    <w:link w:val="1014"/>
    <w:qFormat/>
    <w:rPr>
      <w:rFonts w:ascii="Times New Roman" w:hAnsi="Times New Roman" w:cs="Times New Roman"/>
    </w:rPr>
  </w:style>
  <w:style w:type="character" w:styleId="1443" w:customStyle="1">
    <w:name w:val="标题 6 字符"/>
    <w:basedOn w:val="1019"/>
    <w:link w:val="1015"/>
    <w:rPr>
      <w:rFonts w:ascii="Times New Roman" w:hAnsi="Times New Roman" w:cs="Times New Roman"/>
    </w:rPr>
  </w:style>
  <w:style w:type="character" w:styleId="1444" w:customStyle="1">
    <w:name w:val="标题 7 字符"/>
    <w:basedOn w:val="1019"/>
    <w:link w:val="1016"/>
    <w:rPr>
      <w:rFonts w:ascii="Times New Roman" w:hAnsi="Times New Roman" w:cs="Times New Roman"/>
    </w:rPr>
  </w:style>
  <w:style w:type="character" w:styleId="1445" w:customStyle="1">
    <w:name w:val="标题 8 字符"/>
    <w:basedOn w:val="1019"/>
    <w:link w:val="1017"/>
    <w:qFormat/>
    <w:rPr>
      <w:rFonts w:ascii="Times New Roman" w:hAnsi="Times New Roman" w:cs="Times New Roman"/>
    </w:rPr>
  </w:style>
  <w:style w:type="character" w:styleId="1446" w:customStyle="1">
    <w:name w:val="标题 9 字符"/>
    <w:basedOn w:val="1019"/>
    <w:link w:val="1018"/>
    <w:rPr>
      <w:rFonts w:ascii="Times New Roman" w:hAnsi="Times New Roman" w:cs="Times New Roman"/>
    </w:rPr>
  </w:style>
  <w:style w:type="character" w:styleId="1447" w:customStyle="1">
    <w:name w:val="正文首行缩进 字符"/>
    <w:basedOn w:val="1088"/>
    <w:link w:val="1058"/>
    <w:rPr>
      <w:rFonts w:ascii="Calibri" w:hAnsi="Calibri" w:eastAsia="宋体" w:cs="Times New Roman"/>
      <w:sz w:val="21"/>
    </w:rPr>
  </w:style>
  <w:style w:type="character" w:styleId="1448" w:customStyle="1">
    <w:name w:val="正文文本 3 字符"/>
    <w:basedOn w:val="1019"/>
    <w:link w:val="1034"/>
    <w:rPr>
      <w:rFonts w:ascii="Times New Roman" w:hAnsi="Times New Roman" w:cs="Times New Roman"/>
    </w:rPr>
  </w:style>
  <w:style w:type="character" w:styleId="1449" w:customStyle="1">
    <w:name w:val="纯文本 字符"/>
    <w:basedOn w:val="1019"/>
    <w:link w:val="1042"/>
    <w:rPr>
      <w:rFonts w:ascii="Times New Roman" w:hAnsi="Times New Roman" w:cs="Times New Roman"/>
    </w:rPr>
  </w:style>
  <w:style w:type="character" w:styleId="1450" w:customStyle="1">
    <w:name w:val="日期 字符"/>
    <w:basedOn w:val="1019"/>
    <w:link w:val="1047"/>
    <w:rPr>
      <w:rFonts w:ascii="Times New Roman" w:hAnsi="Times New Roman" w:cs="Times New Roman"/>
    </w:rPr>
  </w:style>
  <w:style w:type="character" w:styleId="1451" w:customStyle="1">
    <w:name w:val="正文文本缩进 2 字符"/>
    <w:basedOn w:val="1019"/>
    <w:link w:val="1048"/>
    <w:rPr>
      <w:rFonts w:ascii="Times New Roman" w:hAnsi="Times New Roman" w:cs="Times New Roman"/>
    </w:rPr>
  </w:style>
  <w:style w:type="character" w:styleId="1452" w:customStyle="1">
    <w:name w:val="尾注文本 字符"/>
    <w:basedOn w:val="1019"/>
    <w:link w:val="1049"/>
    <w:qFormat/>
    <w:rPr>
      <w:rFonts w:ascii="Times New Roman" w:hAnsi="Times New Roman" w:cs="Times New Roman"/>
    </w:rPr>
  </w:style>
  <w:style w:type="character" w:styleId="1453" w:customStyle="1">
    <w:name w:val="副标题 字符"/>
    <w:basedOn w:val="1019"/>
    <w:link w:val="1056"/>
    <w:qFormat/>
    <w:rPr>
      <w:rFonts w:ascii="Calibri" w:hAnsi="Calibri"/>
    </w:rPr>
  </w:style>
  <w:style w:type="character" w:styleId="1454" w:customStyle="1">
    <w:name w:val="脚注文本 字符"/>
    <w:basedOn w:val="1019"/>
    <w:link w:val="1059"/>
    <w:rPr>
      <w:rFonts w:ascii="Times New Roman" w:hAnsi="Times New Roman" w:cs="Times New Roman"/>
    </w:rPr>
  </w:style>
  <w:style w:type="character" w:styleId="1455" w:customStyle="1">
    <w:name w:val="正文文本 2 字符"/>
    <w:basedOn w:val="1019"/>
    <w:link w:val="1065"/>
    <w:rPr>
      <w:rFonts w:ascii="Times New Roman" w:hAnsi="Times New Roman" w:cs="Times New Roman"/>
    </w:rPr>
  </w:style>
  <w:style w:type="character" w:styleId="1456" w:customStyle="1">
    <w:name w:val="HTML 预设格式 字符"/>
    <w:basedOn w:val="1019"/>
    <w:link w:val="1066"/>
    <w:qFormat/>
    <w:rPr>
      <w:rFonts w:ascii="Times New Roman" w:hAnsi="Times New Roman" w:cs="Times New Roman"/>
    </w:rPr>
  </w:style>
  <w:style w:type="paragraph" w:styleId="1457" w:customStyle="1">
    <w:name w:val="引用1"/>
    <w:next w:val="1009"/>
    <w:qFormat/>
    <w:pPr>
      <w:ind w:left="3680" w:right="864"/>
      <w:jc w:val="center"/>
      <w:spacing w:before="200" w:after="160"/>
    </w:pPr>
    <w:rPr>
      <w:rFonts w:ascii="Calibri" w:hAnsi="Calibri"/>
      <w:i/>
    </w:rPr>
  </w:style>
  <w:style w:type="paragraph" w:styleId="1458" w:customStyle="1">
    <w:name w:val="明显引用1"/>
    <w:next w:val="1009"/>
    <w:qFormat/>
    <w:pPr>
      <w:ind w:left="3766" w:right="950"/>
      <w:jc w:val="center"/>
      <w:spacing w:before="360" w:after="360"/>
    </w:pPr>
    <w:rPr>
      <w:rFonts w:ascii="Calibri" w:hAnsi="Calibri"/>
      <w:i/>
    </w:rPr>
  </w:style>
  <w:style w:type="paragraph" w:styleId="1459" w:customStyle="1">
    <w:name w:val="表格字体"/>
    <w:basedOn w:val="1009"/>
    <w:qFormat/>
    <w:pPr>
      <w:ind w:left="0"/>
      <w:spacing w:line="400" w:lineRule="exact"/>
    </w:pPr>
    <w:rPr>
      <w:rFonts w:hint="eastAsia" w:asciiTheme="minorHAnsi" w:hAnsiTheme="minorHAnsi" w:eastAsiaTheme="minorEastAsia"/>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ECBEA2-4BA2-42AF-B081-03939AAB09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2026-04-17T01:57:00Z</dcterms:created>
  <dcterms:modified xsi:type="dcterms:W3CDTF">2026-04-20T06:02:42Z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