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201" w:name="_GoBack"/>
      <w:r/>
      <w:bookmarkEnd w:id="201"/>
      <w:r/>
      <w:r/>
    </w:p>
    <w:p>
      <w:pPr>
        <w:pStyle w:val="657"/>
        <w:rPr>
          <w:rFonts w:hint="eastAsia"/>
          <w:color w:val="000000"/>
        </w:rPr>
      </w:pPr>
      <w:r>
        <w:rPr>
          <w:rFonts w:hint="eastAsia"/>
          <w:color w:val="000000"/>
        </w:rPr>
      </w:r>
      <w:r/>
    </w:p>
    <w:p>
      <w:pPr>
        <w:pStyle w:val="65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i w:val="0"/>
          <w:iCs w:val="0"/>
          <w:caps w:val="0"/>
          <w:color w:val="000000"/>
          <w:spacing w:val="0"/>
          <w:sz w:val="32"/>
          <w:szCs w:val="32"/>
          <w:shd w:val="clear" w:color="auto" w:fill="auto"/>
        </w:rPr>
        <w:t xml:space="preserve">南京技师学院教学楼空调建设项目</w:t>
      </w:r>
      <w:r/>
    </w:p>
    <w:p>
      <w:pPr>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0076</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8"/>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lang w:val="en-US" w:eastAsia="zh-CN"/>
        </w:rPr>
        <w:t xml:space="preserve">3</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31</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34</w:t>
      </w:r>
      <w:bookmarkEnd w:id="0"/>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52" w:lineRule="auto"/>
        <w:widowControl w:val="off"/>
        <w:rPr>
          <w:rFonts w:ascii="宋体" w:hAnsi="宋体"/>
          <w:color w:val="000000"/>
          <w:sz w:val="24"/>
          <w:szCs w:val="24"/>
        </w:rPr>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lang w:val="en-US" w:eastAsia="zh-CN"/>
        </w:rPr>
        <w:t xml:space="preserve">南京技师学院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南京技师学院教学楼空调建设项目</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00"/>
          <w:sz w:val="24"/>
          <w:szCs w:val="24"/>
          <w:lang w:val="en-US"/>
        </w:rPr>
      </w:pPr>
      <w:r/>
      <w:bookmarkStart w:id="12" w:name="_Toc35393622"/>
      <w:r/>
      <w:bookmarkStart w:id="13" w:name="_Toc28359080"/>
      <w:r/>
      <w:bookmarkStart w:id="14" w:name="_Toc28359003"/>
      <w:r/>
      <w:bookmarkStart w:id="15" w:name="_Toc35393791"/>
      <w:r/>
      <w:bookmarkStart w:id="16" w:name="_Toc38985264"/>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26-0076</w:t>
      </w:r>
      <w:r/>
    </w:p>
    <w:p>
      <w:pPr>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u w:val="none"/>
          <w:lang w:val="en-US" w:eastAsia="zh-CN"/>
        </w:rPr>
        <w:t xml:space="preserve">南京技师学院教学楼空调建设项目</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430万元</w:t>
      </w:r>
      <w:r/>
    </w:p>
    <w:p>
      <w:pPr>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最高限价：430万元</w:t>
      </w:r>
      <w:r/>
    </w:p>
    <w:p>
      <w:pPr>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Times New Roman"/>
          <w:color w:val="000000"/>
          <w:sz w:val="24"/>
          <w:szCs w:val="24"/>
          <w:lang w:val="en-US" w:eastAsia="zh-CN"/>
        </w:rPr>
        <w:t xml:space="preserve">为改善教学环境、提升教学质量、缩小与同类院校差距、响应国家节能政策，现</w:t>
      </w:r>
      <w:r>
        <w:rPr>
          <w:rFonts w:hint="eastAsia" w:ascii="宋体" w:hAnsi="宋体" w:eastAsia="宋体" w:cs="Times New Roman"/>
          <w:color w:val="000000"/>
          <w:sz w:val="24"/>
          <w:szCs w:val="24"/>
        </w:rPr>
        <w:t xml:space="preserve">学院涵德楼、启智楼、敏学楼、精技楼四栋教学楼</w:t>
      </w:r>
      <w:r>
        <w:rPr>
          <w:rFonts w:hint="eastAsia" w:ascii="宋体" w:hAnsi="宋体" w:eastAsia="宋体" w:cs="Times New Roman"/>
          <w:color w:val="000000"/>
          <w:sz w:val="24"/>
          <w:szCs w:val="24"/>
          <w:lang w:val="en-US" w:eastAsia="zh-CN"/>
        </w:rPr>
        <w:t xml:space="preserve">需建设集中式多联机空调系统，通过标准化、智能化的空调方案，解决当前教学环境痛点，为师生打造舒适、节能、安全的教学空间。</w:t>
      </w:r>
      <w:r>
        <w:rPr>
          <w:rFonts w:hint="eastAsia" w:ascii="宋体" w:hAnsi="宋体" w:cs="宋体"/>
          <w:color w:val="000000"/>
          <w:sz w:val="24"/>
          <w:szCs w:val="24"/>
        </w:rPr>
        <w:t xml:space="preserve">（详细内容见本招标文件第四章） </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30天</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8985265"/>
      <w:r/>
      <w:bookmarkStart w:id="18" w:name="_Toc35393792"/>
      <w:r/>
      <w:bookmarkStart w:id="19" w:name="_Toc28359004"/>
      <w:r/>
      <w:bookmarkStart w:id="20" w:name="_Toc35393623"/>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w:t>
      </w:r>
      <w:r/>
    </w:p>
    <w:p>
      <w:pPr>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left="0" w:right="0" w:firstLine="480"/>
        <w:jc w:val="both"/>
        <w:spacing w:before="0" w:after="0" w:line="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1.提交投标文件截止时间、开标时间：2026年6月11日9时30分（北京时间）。</w:t>
      </w:r>
      <w:r/>
    </w:p>
    <w:p>
      <w:pPr>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52" w:lineRule="auto"/>
        <w:widowControl w:val="off"/>
        <w:rPr>
          <w:rFonts w:ascii="宋体" w:hAnsi="宋体" w:cs="宋体"/>
          <w:color w:val="000000"/>
          <w:sz w:val="24"/>
          <w:szCs w:val="24"/>
        </w:rPr>
      </w:pPr>
      <w:r/>
      <w:bookmarkStart w:id="27" w:name="_Toc35393795"/>
      <w:r/>
      <w:bookmarkStart w:id="28" w:name="_Toc35393626"/>
      <w:r/>
      <w:bookmarkStart w:id="29" w:name="_Toc38985268"/>
      <w:r>
        <w:rPr>
          <w:rFonts w:hint="eastAsia" w:ascii="宋体" w:hAnsi="宋体" w:cs="宋体"/>
          <w:color w:val="000000"/>
          <w:sz w:val="24"/>
          <w:szCs w:val="24"/>
        </w:rPr>
        <w:t xml:space="preserve">公告期限为自本公告发布之日起5个工作日。</w:t>
      </w:r>
      <w:r/>
    </w:p>
    <w:p>
      <w:pPr>
        <w:pStyle w:val="659"/>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27"/>
      <w:r/>
      <w:bookmarkEnd w:id="28"/>
      <w:r/>
      <w:bookmarkEnd w:id="29"/>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0" w:name="_Toc38985269"/>
      <w:r/>
      <w:bookmarkStart w:id="31" w:name="_Toc35393627"/>
      <w:r/>
      <w:bookmarkStart w:id="32" w:name="_Toc35393796"/>
      <w:r/>
      <w:bookmarkStart w:id="33" w:name="_Toc28359008"/>
      <w:r/>
      <w:bookmarkStart w:id="34"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color w:val="000000"/>
          <w:sz w:val="24"/>
          <w:szCs w:val="24"/>
        </w:rPr>
        <w:t xml:space="preserve">2.本项目组织勘察及答疑，供应商代表携带加盖单位公章的营业执照复印件、法定代表人授权委托书、身份证参加。签到时间：2026年5月28日9时00分至9时30分，地址：南京市栖霞区学海路29号，联系人：潘老师，联系电话：025-85796589</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采购人《质疑函》收件人：潘老师，收件地址：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栖霞</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学海</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29</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b w:val="0"/>
          <w:bCs w:val="0"/>
          <w:color w:val="000000"/>
          <w:sz w:val="24"/>
          <w:lang w:val="en-US" w:eastAsia="zh-CN"/>
        </w:rPr>
        <w:t xml:space="preserve">联系电话：025-85796589。</w:t>
      </w:r>
      <w:r/>
    </w:p>
    <w:p>
      <w:pPr>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659"/>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0"/>
      <w:r/>
      <w:bookmarkEnd w:id="31"/>
      <w:r/>
      <w:bookmarkEnd w:id="32"/>
      <w:r/>
      <w:bookmarkEnd w:id="33"/>
      <w:r/>
      <w:bookmarkEnd w:id="34"/>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称：南京技师学院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ascii="宋体" w:hAnsi="宋体" w:eastAsia="宋体" w:cs="Times New Roman"/>
          <w:color w:val="000000"/>
          <w:sz w:val="24"/>
          <w:szCs w:val="24"/>
          <w:u w:val="none"/>
          <w:lang w:val="en-US" w:eastAsia="zh-CN"/>
        </w:rPr>
        <w:t xml:space="preserve">南京市栖霞区</w:t>
      </w:r>
      <w:r>
        <w:rPr>
          <w:rFonts w:ascii="宋体" w:hAnsi="宋体" w:eastAsia="宋体" w:cs="Times New Roman"/>
          <w:color w:val="000000"/>
          <w:sz w:val="24"/>
          <w:szCs w:val="24"/>
          <w:u w:val="none"/>
          <w:lang w:val="en-US" w:eastAsia="zh-CN"/>
        </w:rPr>
        <w:fldChar w:fldCharType="begin"/>
      </w:r>
      <w:r>
        <w:rPr>
          <w:rFonts w:ascii="宋体" w:hAnsi="宋体" w:eastAsia="宋体" w:cs="Times New Roman"/>
          <w:color w:val="000000"/>
          <w:sz w:val="24"/>
          <w:szCs w:val="24"/>
          <w:u w:val="none"/>
          <w:lang w:val="en-US" w:eastAsia="zh-CN"/>
        </w:rPr>
        <w:instrText xml:space="preserve"> HYPERLINK "https://baike.baidu.com/item/%E4%BB%99%E6%9E%97%E5%A4%A7%E5%AD%A6%E5%9F%8E/5326085?fromModule=lemma_inlink" \t "https://baike.baidu.com/item/%E5%8D%97%E4%BA%AC%E6%8A%80%E5%B8%88%E5%AD%A6%E9%99%A2/_blank" </w:instrText>
      </w:r>
      <w:r>
        <w:rPr>
          <w:rFonts w:ascii="宋体" w:hAnsi="宋体" w:eastAsia="宋体" w:cs="Times New Roman"/>
          <w:color w:val="000000"/>
          <w:sz w:val="24"/>
          <w:szCs w:val="24"/>
          <w:u w:val="none"/>
          <w:lang w:val="en-US" w:eastAsia="zh-CN"/>
        </w:rPr>
        <w:fldChar w:fldCharType="separate"/>
      </w:r>
      <w:r>
        <w:rPr>
          <w:rFonts w:ascii="宋体" w:hAnsi="宋体" w:eastAsia="宋体" w:cs="Times New Roman"/>
          <w:color w:val="000000"/>
          <w:sz w:val="24"/>
          <w:szCs w:val="24"/>
          <w:u w:val="none"/>
          <w:lang w:val="en-US" w:eastAsia="zh-CN"/>
        </w:rPr>
        <w:t xml:space="preserve">仙林大学城</w:t>
      </w:r>
      <w:r>
        <w:rPr>
          <w:rFonts w:ascii="宋体" w:hAnsi="宋体" w:eastAsia="宋体" w:cs="Times New Roman"/>
          <w:color w:val="000000"/>
          <w:sz w:val="24"/>
          <w:szCs w:val="24"/>
          <w:u w:val="none"/>
          <w:lang w:val="en-US" w:eastAsia="zh-CN"/>
        </w:rPr>
        <w:fldChar w:fldCharType="end"/>
      </w:r>
      <w:r>
        <w:rPr>
          <w:rFonts w:ascii="宋体" w:hAnsi="宋体" w:eastAsia="宋体" w:cs="Times New Roman"/>
          <w:color w:val="000000"/>
          <w:sz w:val="24"/>
          <w:szCs w:val="24"/>
          <w:u w:val="none"/>
          <w:lang w:val="en-US" w:eastAsia="zh-CN"/>
        </w:rPr>
        <w:t xml:space="preserve">学海路29号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联系人：潘老师</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w:t>
      </w:r>
      <w:bookmarkStart w:id="35" w:name="_Toc28359086"/>
      <w:r/>
      <w:bookmarkStart w:id="36" w:name="_Toc28359009"/>
      <w:r>
        <w:rPr>
          <w:rFonts w:hint="eastAsia" w:ascii="宋体" w:hAnsi="宋体" w:eastAsia="宋体" w:cs="Times New Roman"/>
          <w:color w:val="000000"/>
          <w:sz w:val="24"/>
          <w:szCs w:val="24"/>
          <w:u w:val="none"/>
          <w:lang w:val="en-US" w:eastAsia="zh-CN"/>
        </w:rPr>
        <w:t xml:space="preserve">85796589</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35"/>
      <w:r/>
      <w:bookmarkEnd w:id="36"/>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p>
    <w:p>
      <w:pPr>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37" w:name="_Toc120614211"/>
      <w:r>
        <w:rPr>
          <w:rFonts w:hint="eastAsia" w:ascii="方正小标宋简体" w:hAnsi="方正小标宋简体" w:eastAsia="方正小标宋简体" w:cs="方正小标宋简体"/>
          <w:color w:val="000000"/>
          <w:sz w:val="36"/>
          <w:szCs w:val="36"/>
        </w:rPr>
        <w:t xml:space="preserve">第二章  </w:t>
      </w:r>
      <w:bookmarkEnd w:id="37"/>
      <w:r/>
      <w:bookmarkStart w:id="38" w:name="_Toc16938518"/>
      <w:r/>
      <w:bookmarkStart w:id="39" w:name="_Toc513029202"/>
      <w:r/>
      <w:bookmarkStart w:id="40" w:name="_Toc20823274"/>
      <w:r/>
      <w:bookmarkStart w:id="41" w:name="_Toc120614213"/>
      <w:r>
        <w:rPr>
          <w:rFonts w:hint="eastAsia" w:ascii="方正小标宋简体" w:hAnsi="方正小标宋简体" w:eastAsia="方正小标宋简体" w:cs="方正小标宋简体"/>
          <w:color w:val="000000"/>
          <w:sz w:val="36"/>
          <w:szCs w:val="36"/>
        </w:rPr>
        <w:t xml:space="preserve">投标人须知</w:t>
      </w:r>
      <w:bookmarkEnd w:id="38"/>
      <w:r/>
      <w:bookmarkEnd w:id="39"/>
      <w:r/>
      <w:bookmarkEnd w:id="40"/>
      <w:r/>
      <w:bookmarkEnd w:id="41"/>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2" w:name="_Toc20823275"/>
      <w:r/>
      <w:bookmarkStart w:id="43" w:name="_Toc513029203"/>
      <w:r/>
      <w:bookmarkStart w:id="44" w:name="_Toc120614214"/>
      <w:r/>
      <w:bookmarkStart w:id="45" w:name="_Toc16938519"/>
      <w:r/>
      <w:bookmarkStart w:id="46" w:name="_Toc20823314"/>
      <w:r/>
      <w:bookmarkStart w:id="47" w:name="_Toc479757207"/>
      <w:r/>
      <w:bookmarkStart w:id="48" w:name="_Toc513029242"/>
      <w:r/>
      <w:bookmarkStart w:id="49" w:name="_Toc120614221"/>
      <w:r/>
      <w:bookmarkStart w:id="50" w:name="_Toc16938558"/>
      <w:r>
        <w:rPr>
          <w:rFonts w:hint="eastAsia" w:ascii="方正黑体_GBK" w:hAnsi="方正黑体_GBK" w:eastAsia="方正黑体_GBK" w:cs="方正黑体_GBK"/>
          <w:b w:val="0"/>
          <w:bCs w:val="0"/>
          <w:color w:val="000000"/>
          <w:sz w:val="30"/>
          <w:szCs w:val="30"/>
        </w:rPr>
        <w:t xml:space="preserve">一、总则</w:t>
      </w:r>
      <w:bookmarkEnd w:id="42"/>
      <w:r/>
      <w:bookmarkEnd w:id="43"/>
      <w:r/>
      <w:bookmarkEnd w:id="44"/>
      <w:r/>
      <w:bookmarkEnd w:id="45"/>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1" w:name="_Hlt16619475"/>
      <w:r/>
      <w:bookmarkEnd w:id="51"/>
      <w:r/>
      <w:bookmarkStart w:id="52" w:name="_Toc458694821"/>
      <w:r/>
      <w:bookmarkStart w:id="53" w:name="_Toc20823276"/>
      <w:r/>
      <w:bookmarkStart w:id="54" w:name="_Toc513029204"/>
      <w:r/>
      <w:bookmarkStart w:id="55" w:name="_Toc16938520"/>
      <w:r>
        <w:rPr>
          <w:rFonts w:hint="eastAsia" w:ascii="方正楷体_GBK" w:hAnsi="方正楷体_GBK" w:eastAsia="方正楷体_GBK" w:cs="方正楷体_GBK"/>
          <w:b/>
          <w:bCs/>
          <w:color w:val="000000"/>
        </w:rPr>
        <w:t xml:space="preserve">1</w:t>
      </w:r>
      <w:bookmarkEnd w:id="52"/>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6" w:name="_Toc20823277"/>
      <w:r/>
      <w:bookmarkStart w:id="57" w:name="_Toc513029205"/>
      <w:r/>
      <w:bookmarkStart w:id="58" w:name="_Toc1693852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56"/>
      <w:r/>
      <w:bookmarkEnd w:id="57"/>
      <w:r/>
      <w:bookmarkEnd w:id="5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9" w:name="_Toc513029206"/>
      <w:r/>
      <w:bookmarkStart w:id="60" w:name="_Toc20823278"/>
      <w:r/>
      <w:bookmarkStart w:id="61" w:name="_Toc16938522"/>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16938523"/>
      <w:r/>
      <w:bookmarkStart w:id="63" w:name="_Toc513029207"/>
      <w:r/>
      <w:bookmarkStart w:id="64" w:name="_Toc462564067"/>
      <w:r/>
      <w:bookmarkStart w:id="65" w:name="_Toc20823279"/>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2"/>
      <w:r/>
      <w:bookmarkEnd w:id="63"/>
      <w:r/>
      <w:bookmarkEnd w:id="64"/>
      <w:r/>
      <w:bookmarkEnd w:id="6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6" w:name="_Toc513029209"/>
      <w:r/>
      <w:bookmarkStart w:id="67" w:name="_Toc120614215"/>
      <w:r/>
      <w:bookmarkStart w:id="68" w:name="_Toc16938525"/>
      <w:r/>
      <w:bookmarkStart w:id="69" w:name="_Toc20823281"/>
      <w:r>
        <w:rPr>
          <w:rFonts w:hint="eastAsia" w:ascii="方正黑体_GBK" w:hAnsi="方正黑体_GBK" w:eastAsia="方正黑体_GBK" w:cs="方正黑体_GBK"/>
          <w:b w:val="0"/>
          <w:bCs w:val="0"/>
          <w:color w:val="000000"/>
          <w:sz w:val="30"/>
          <w:szCs w:val="30"/>
        </w:rPr>
        <w:t xml:space="preserve">二、招标文件</w:t>
      </w:r>
      <w:bookmarkEnd w:id="66"/>
      <w:r/>
      <w:bookmarkEnd w:id="67"/>
      <w:r/>
      <w:bookmarkEnd w:id="68"/>
      <w:r/>
      <w:bookmarkEnd w:id="69"/>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0" w:name="_Toc16938526"/>
      <w:r/>
      <w:bookmarkStart w:id="71" w:name="_Toc513029210"/>
      <w:r/>
      <w:bookmarkStart w:id="72"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3" w:name="_Toc462564070"/>
      <w:r/>
      <w:bookmarkStart w:id="74" w:name="_Toc20823283"/>
      <w:r/>
      <w:bookmarkStart w:id="75" w:name="_Toc16938527"/>
      <w:r/>
      <w:bookmarkStart w:id="76" w:name="_Toc513029211"/>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7" w:name="_Toc513029212"/>
      <w:r/>
      <w:bookmarkStart w:id="78" w:name="_Toc462564071"/>
      <w:r/>
      <w:bookmarkStart w:id="79" w:name="_Toc16938528"/>
      <w:r/>
      <w:bookmarkStart w:id="80"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77"/>
      <w:r/>
      <w:bookmarkEnd w:id="78"/>
      <w:r/>
      <w:bookmarkEnd w:id="79"/>
      <w:r/>
      <w:bookmarkEnd w:id="80"/>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1" w:name="_Toc462564072"/>
      <w:r/>
      <w:bookmarkStart w:id="82" w:name="_Toc20823285"/>
      <w:r/>
      <w:bookmarkStart w:id="83" w:name="_Toc120614216"/>
      <w:r/>
      <w:bookmarkStart w:id="84" w:name="_Toc16938529"/>
      <w:r/>
      <w:bookmarkStart w:id="85"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1"/>
      <w:r/>
      <w:bookmarkEnd w:id="82"/>
      <w:r/>
      <w:bookmarkEnd w:id="83"/>
      <w:r/>
      <w:bookmarkEnd w:id="84"/>
      <w:r/>
      <w:bookmarkEnd w:id="85"/>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6" w:name="_Toc16938530"/>
      <w:r/>
      <w:bookmarkStart w:id="87" w:name="_Toc513029214"/>
      <w:r/>
      <w:bookmarkStart w:id="88" w:name="_Toc20823286"/>
      <w:r/>
      <w:bookmarkStart w:id="89" w:name="_Toc462564073"/>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86"/>
      <w:r/>
      <w:bookmarkEnd w:id="87"/>
      <w:r/>
      <w:bookmarkEnd w:id="88"/>
      <w:r/>
      <w:bookmarkEnd w:id="8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0" w:name="_Toc513029215"/>
      <w:r/>
      <w:bookmarkStart w:id="91" w:name="_Toc16938531"/>
      <w:r/>
      <w:bookmarkStart w:id="92" w:name="_Toc462564074"/>
      <w:r/>
      <w:bookmarkStart w:id="93" w:name="_Toc20823287"/>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0"/>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4" w:name="_Hlt26668975"/>
      <w:r/>
      <w:bookmarkEnd w:id="94"/>
      <w:r/>
      <w:bookmarkStart w:id="95" w:name="_Hlt26954838"/>
      <w:r/>
      <w:bookmarkEnd w:id="95"/>
      <w:r/>
      <w:bookmarkStart w:id="96" w:name="_Hlt26670360"/>
      <w:r/>
      <w:bookmarkEnd w:id="96"/>
      <w:r/>
      <w:bookmarkStart w:id="97" w:name="_Toc14577357"/>
      <w:r/>
      <w:bookmarkStart w:id="98" w:name="_Toc513029219"/>
      <w:r/>
      <w:bookmarkStart w:id="99" w:name="_Toc49090509"/>
      <w:r/>
      <w:bookmarkStart w:id="100" w:name="_Toc49090507"/>
      <w:r/>
      <w:bookmarkStart w:id="101" w:name="_Toc513029216"/>
      <w:r/>
      <w:bookmarkStart w:id="102" w:name="_Toc14577354"/>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97"/>
      <w:r/>
      <w:bookmarkEnd w:id="98"/>
      <w:r/>
      <w:bookmarkEnd w:id="99"/>
      <w:r/>
      <w:bookmarkEnd w:id="100"/>
      <w:bookmarkEnd w:id="101"/>
      <w:bookmarkEnd w:id="102"/>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3" w:name="_Toc14577355"/>
      <w:r/>
      <w:bookmarkStart w:id="104"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3"/>
      <w:r/>
      <w:bookmarkStart w:id="105" w:name="_Hlt26670373"/>
      <w:r/>
      <w:bookmarkEnd w:id="105"/>
      <w:r>
        <w:rPr>
          <w:rFonts w:hint="eastAsia" w:ascii="方正楷体_GBK" w:hAnsi="方正楷体_GBK" w:eastAsia="方正楷体_GBK" w:cs="方正楷体_GBK"/>
          <w:b/>
          <w:bCs/>
          <w:color w:val="000000"/>
        </w:rPr>
        <w:t xml:space="preserve">表</w:t>
      </w:r>
      <w:bookmarkEnd w:id="104"/>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6" w:name="_Hlt26954840"/>
      <w:r/>
      <w:bookmarkEnd w:id="106"/>
      <w:r>
        <w:rPr>
          <w:rFonts w:hint="eastAsia" w:ascii="宋体" w:hAnsi="宋体" w:eastAsia="宋体" w:cs="Times New Roman"/>
          <w:color w:val="000000"/>
          <w:sz w:val="24"/>
        </w:rPr>
        <w:t xml:space="preserve">标人应按照招标文件规定格式填报投标分项报价表</w:t>
      </w:r>
      <w:bookmarkStart w:id="107" w:name="_Hlt26670399"/>
      <w:r/>
      <w:bookmarkEnd w:id="107"/>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8" w:name="_Hlt26954848"/>
      <w:r/>
      <w:bookmarkEnd w:id="108"/>
      <w:r/>
      <w:bookmarkStart w:id="109" w:name="_Hlt26668983"/>
      <w:r/>
      <w:bookmarkEnd w:id="109"/>
      <w:r/>
      <w:bookmarkStart w:id="110" w:name="_Hlt26954842"/>
      <w:r/>
      <w:bookmarkEnd w:id="110"/>
      <w:r/>
      <w:bookmarkStart w:id="111" w:name="_Hlt26670486"/>
      <w:r/>
      <w:bookmarkEnd w:id="111"/>
      <w:r/>
      <w:bookmarkStart w:id="112" w:name="_Hlt26670482"/>
      <w:r/>
      <w:bookmarkEnd w:id="112"/>
      <w:r/>
      <w:bookmarkStart w:id="113" w:name="_Hlt26954731"/>
      <w:r/>
      <w:bookmarkEnd w:id="113"/>
      <w:r/>
      <w:bookmarkStart w:id="114" w:name="_Hlt26670403"/>
      <w:r/>
      <w:bookmarkEnd w:id="114"/>
      <w:r/>
      <w:bookmarkStart w:id="115" w:name="_Hlt26954846"/>
      <w:r/>
      <w:bookmarkEnd w:id="115"/>
      <w:r/>
      <w:bookmarkStart w:id="116" w:name="_Hlt26670425"/>
      <w:r/>
      <w:bookmarkEnd w:id="116"/>
      <w:r/>
      <w:bookmarkStart w:id="117" w:name="_Hlt26954844"/>
      <w:r/>
      <w:bookmarkEnd w:id="117"/>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8" w:name="_Toc14577359"/>
      <w:r/>
      <w:bookmarkStart w:id="119" w:name="_Toc49090510"/>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18"/>
      <w:bookmarkEnd w:id="119"/>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3"/>
      <w:r/>
      <w:bookmarkEnd w:id="12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5" w:name="_Hlt26954852"/>
      <w:r/>
      <w:bookmarkEnd w:id="125"/>
      <w:r/>
      <w:bookmarkStart w:id="126" w:name="_Hlt26954739"/>
      <w:r/>
      <w:bookmarkEnd w:id="126"/>
      <w:r/>
      <w:bookmarkStart w:id="127" w:name="_Toc20823296"/>
      <w:r/>
      <w:bookmarkStart w:id="128" w:name="_Toc120614217"/>
      <w:r/>
      <w:bookmarkStart w:id="129" w:name="_Toc16938540"/>
      <w:r/>
      <w:bookmarkStart w:id="130" w:name="_Toc513029224"/>
      <w:r>
        <w:rPr>
          <w:rFonts w:hint="eastAsia" w:ascii="方正黑体_GBK" w:hAnsi="方正黑体_GBK" w:eastAsia="方正黑体_GBK" w:cs="方正黑体_GBK"/>
          <w:b w:val="0"/>
          <w:bCs w:val="0"/>
          <w:color w:val="000000"/>
          <w:sz w:val="30"/>
          <w:szCs w:val="30"/>
        </w:rPr>
        <w:t xml:space="preserve">四、投标文件的递交</w:t>
      </w:r>
      <w:bookmarkEnd w:id="127"/>
      <w:r/>
      <w:bookmarkEnd w:id="128"/>
      <w:r/>
      <w:bookmarkEnd w:id="129"/>
      <w:r/>
      <w:bookmarkEnd w:id="130"/>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1" w:name="_Toc513029225"/>
      <w:r/>
      <w:bookmarkStart w:id="132" w:name="_Toc16938541"/>
      <w:r/>
      <w:bookmarkStart w:id="133" w:name="_Toc462564084"/>
      <w:r/>
      <w:bookmarkStart w:id="134" w:name="_Toc20823297"/>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1"/>
      <w:r/>
      <w:bookmarkEnd w:id="132"/>
      <w:r/>
      <w:bookmarkEnd w:id="133"/>
      <w:r/>
      <w:bookmarkEnd w:id="134"/>
      <w:r>
        <w:rPr>
          <w:rFonts w:hint="eastAsia" w:ascii="方正楷体_GBK" w:hAnsi="方正楷体_GBK" w:eastAsia="方正楷体_GBK" w:cs="方正楷体_GBK"/>
          <w:b/>
          <w:bCs/>
          <w:color w:val="000000"/>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5" w:name="_Toc513029226"/>
      <w:r/>
      <w:bookmarkStart w:id="136" w:name="_Toc16938542"/>
      <w:r/>
      <w:bookmarkStart w:id="137" w:name="_Toc20823298"/>
      <w:r/>
      <w:bookmarkEnd w:id="135"/>
      <w:bookmarkEnd w:id="136"/>
      <w:bookmarkEnd w:id="137"/>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8" w:name="_Toc20823299"/>
      <w:r/>
      <w:bookmarkStart w:id="139" w:name="_Toc16938543"/>
      <w:r/>
      <w:bookmarkStart w:id="140"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8"/>
      <w:r/>
      <w:bookmarkEnd w:id="139"/>
      <w:r/>
      <w:bookmarkEnd w:id="140"/>
      <w:r>
        <w:rPr>
          <w:rFonts w:hint="eastAsia" w:ascii="方正楷体_GBK" w:hAnsi="方正楷体_GBK" w:eastAsia="方正楷体_GBK" w:cs="方正楷体_GBK"/>
          <w:b/>
          <w:bCs/>
          <w:color w:val="000000"/>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1" w:name="_Toc20823300"/>
      <w:r/>
      <w:bookmarkStart w:id="142" w:name="_Toc513029228"/>
      <w:r/>
      <w:bookmarkStart w:id="143" w:name="_Toc16938544"/>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1"/>
      <w:r/>
      <w:bookmarkEnd w:id="142"/>
      <w:r/>
      <w:bookmarkEnd w:id="14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4" w:name="_Toc20823301"/>
      <w:r/>
      <w:bookmarkStart w:id="145" w:name="_Toc120614218"/>
      <w:r/>
      <w:bookmarkStart w:id="146" w:name="_Toc16938545"/>
      <w:r/>
      <w:bookmarkStart w:id="147" w:name="_Toc513029229"/>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4"/>
      <w:r/>
      <w:bookmarkEnd w:id="145"/>
      <w:r/>
      <w:bookmarkEnd w:id="146"/>
      <w:r/>
      <w:bookmarkEnd w:id="147"/>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8" w:name="_Toc513029230"/>
      <w:r/>
      <w:bookmarkStart w:id="149" w:name="_Toc16938546"/>
      <w:r/>
      <w:bookmarkStart w:id="150" w:name="_Toc2082330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16938547"/>
      <w:r/>
      <w:bookmarkStart w:id="152" w:name="_Toc513029231"/>
      <w:r/>
      <w:bookmarkStart w:id="153" w:name="_Toc2082330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bookmarkEnd w:id="151"/>
      <w:bookmarkEnd w:id="152"/>
      <w:bookmarkEnd w:id="153"/>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16938548"/>
      <w:r/>
      <w:bookmarkStart w:id="155" w:name="_Toc20823304"/>
      <w:r/>
      <w:bookmarkStart w:id="156"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57" w:name="_Toc513029233"/>
      <w:r/>
      <w:bookmarkStart w:id="158" w:name="_Toc20823305"/>
      <w:r/>
      <w:bookmarkStart w:id="159"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57"/>
      <w:r/>
      <w:bookmarkEnd w:id="158"/>
      <w:r/>
      <w:bookmarkEnd w:id="159"/>
      <w:r>
        <w:rPr>
          <w:rFonts w:hint="eastAsia" w:ascii="方正楷体_GBK" w:hAnsi="方正楷体_GBK" w:eastAsia="方正楷体_GBK" w:cs="方正楷体_GBK"/>
          <w:b/>
          <w:bCs/>
          <w:color w:val="000000"/>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0" w:name="_Toc513029234"/>
      <w:r/>
      <w:bookmarkStart w:id="161" w:name="_Toc20823306"/>
      <w:r/>
      <w:bookmarkStart w:id="162"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3"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3"/>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0"/>
      <w:r/>
      <w:bookmarkEnd w:id="161"/>
      <w:r/>
      <w:bookmarkEnd w:id="162"/>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4" w:name="_Toc513029235"/>
      <w:r/>
      <w:bookmarkStart w:id="165" w:name="_Toc20823307"/>
      <w:r/>
      <w:bookmarkStart w:id="166" w:name="_Toc16938551"/>
      <w:r/>
      <w:bookmarkStart w:id="167"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4"/>
      <w:r/>
      <w:bookmarkEnd w:id="165"/>
      <w:r/>
      <w:bookmarkEnd w:id="166"/>
      <w:r>
        <w:rPr>
          <w:rFonts w:hint="eastAsia" w:ascii="方正黑体_GBK" w:hAnsi="方正黑体_GBK" w:eastAsia="方正黑体_GBK" w:cs="方正黑体_GBK"/>
          <w:b w:val="0"/>
          <w:bCs w:val="0"/>
          <w:color w:val="000000"/>
          <w:sz w:val="30"/>
          <w:szCs w:val="30"/>
        </w:rPr>
        <w:t xml:space="preserve">定标</w:t>
      </w:r>
      <w:bookmarkEnd w:id="167"/>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8" w:name="_Toc513029238"/>
      <w:r/>
      <w:bookmarkStart w:id="169" w:name="_Toc20823310"/>
      <w:r/>
      <w:bookmarkStart w:id="170" w:name="_Toc16938554"/>
      <w:r>
        <w:rPr>
          <w:rFonts w:hint="eastAsia" w:ascii="方正楷体_GBK" w:hAnsi="方正楷体_GBK" w:eastAsia="方正楷体_GBK" w:cs="方正楷体_GBK"/>
          <w:b/>
          <w:bCs/>
          <w:color w:val="000000"/>
        </w:rPr>
        <w:t xml:space="preserve">2</w:t>
      </w:r>
      <w:bookmarkEnd w:id="168"/>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69"/>
      <w:r/>
      <w:bookmarkEnd w:id="170"/>
      <w:r>
        <w:rPr>
          <w:rFonts w:hint="eastAsia" w:ascii="方正楷体_GBK" w:hAnsi="方正楷体_GBK" w:eastAsia="方正楷体_GBK" w:cs="方正楷体_GBK"/>
          <w:b/>
          <w:bCs/>
          <w:color w:val="000000"/>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1"/>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2" w:name="_Toc120614220"/>
      <w:r/>
      <w:bookmarkStart w:id="173" w:name="_Toc513029236"/>
      <w:r/>
      <w:bookmarkStart w:id="174" w:name="_Toc16938552"/>
      <w:r/>
      <w:bookmarkStart w:id="175" w:name="_Toc20823308"/>
      <w:r>
        <w:rPr>
          <w:rFonts w:hint="eastAsia" w:ascii="方正黑体_GBK" w:hAnsi="方正黑体_GBK" w:eastAsia="方正黑体_GBK" w:cs="方正黑体_GBK"/>
          <w:b w:val="0"/>
          <w:bCs w:val="0"/>
          <w:color w:val="000000"/>
          <w:sz w:val="30"/>
          <w:szCs w:val="30"/>
        </w:rPr>
        <w:t xml:space="preserve">七、授予合同</w:t>
      </w:r>
      <w:bookmarkEnd w:id="172"/>
      <w:r/>
      <w:bookmarkEnd w:id="173"/>
      <w:bookmarkEnd w:id="174"/>
      <w:bookmarkEnd w:id="175"/>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6" w:name="_Toc513029237"/>
      <w:r/>
      <w:bookmarkStart w:id="177" w:name="_Toc16938553"/>
      <w:r/>
      <w:bookmarkStart w:id="178" w:name="_Toc20823309"/>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6"/>
      <w:bookmarkEnd w:id="177"/>
      <w:bookmarkEnd w:id="178"/>
      <w:r/>
    </w:p>
    <w:p>
      <w:pPr>
        <w:pStyle w:val="661"/>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65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661"/>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661"/>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661"/>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661"/>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661"/>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1"/>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65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657"/>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6"/>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79" w:name="_Toc16938559"/>
      <w:r/>
      <w:bookmarkStart w:id="180" w:name="_Toc513029243"/>
      <w:r/>
      <w:bookmarkStart w:id="181" w:name="_Toc20823315"/>
      <w:r/>
      <w:bookmarkStart w:id="182" w:name="_Hlt16619350"/>
      <w:r/>
      <w:bookmarkStart w:id="183" w:name="_Toc16938590"/>
      <w:r/>
      <w:bookmarkStart w:id="184" w:name="_Toc20823346"/>
      <w:r/>
      <w:bookmarkStart w:id="185" w:name="_Toc120614244"/>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66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662"/>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pStyle w:val="6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662"/>
        <w:jc w:val="left"/>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ascii="宋体" w:hAnsi="宋体" w:eastAsia="宋体" w:cs="宋体"/>
          <w:color w:val="000000"/>
          <w:sz w:val="24"/>
          <w:szCs w:val="24"/>
        </w:rPr>
        <w:t xml:space="preserve">8.1.2 全部货物送达甲方现场并完成清点签收、乙方启动安装调试工作后，甲方向乙方支付合同总价款的40%</w:t>
      </w:r>
      <w:r>
        <w:rPr>
          <w:rFonts w:hint="eastAsia" w:ascii="宋体" w:hAnsi="宋体" w:eastAsia="宋体" w:cs="Courier New"/>
          <w:color w:val="000000"/>
          <w:sz w:val="24"/>
          <w:szCs w:val="24"/>
          <w:highlight w:val="none"/>
          <w:lang w:val="en-US" w:eastAsia="zh-CN"/>
        </w:rPr>
        <w:t xml:space="preserve">作为</w:t>
      </w:r>
      <w:r>
        <w:rPr>
          <w:rFonts w:ascii="宋体" w:hAnsi="宋体" w:eastAsia="宋体" w:cs="宋体"/>
          <w:color w:val="000000"/>
          <w:sz w:val="24"/>
          <w:szCs w:val="24"/>
        </w:rPr>
        <w:t xml:space="preserve">进度款。</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8.1.3 乙方完成全部安装、调试工作，项目整体经甲方验收合格且相关资料移交完毕后，甲方向乙方支付合同总价款剩余30%</w:t>
      </w:r>
      <w:r>
        <w:rPr>
          <w:rFonts w:hint="eastAsia" w:ascii="宋体" w:hAnsi="宋体" w:eastAsia="宋体" w:cs="Courier New"/>
          <w:color w:val="000000"/>
          <w:sz w:val="24"/>
          <w:szCs w:val="24"/>
          <w:highlight w:val="none"/>
          <w:lang w:val="en-US" w:eastAsia="zh-CN"/>
        </w:rPr>
        <w:t xml:space="preserve">作为</w:t>
      </w:r>
      <w:r>
        <w:rPr>
          <w:rFonts w:ascii="宋体" w:hAnsi="宋体" w:eastAsia="宋体" w:cs="宋体"/>
          <w:color w:val="000000"/>
          <w:sz w:val="24"/>
          <w:szCs w:val="24"/>
        </w:rPr>
        <w:t xml:space="preserve">尾款。</w:t>
      </w:r>
      <w:r/>
    </w:p>
    <w:p>
      <w:pPr>
        <w:pStyle w:val="662"/>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8.1.4 满足合同约定支付条件的，甲方收到乙方发票后10个工作日内，将资金支付到合同约定的乙方账户。 </w:t>
      </w:r>
      <w:r/>
    </w:p>
    <w:p>
      <w:pPr>
        <w:pStyle w:val="66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66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乙方负责终身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1%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b w:val="0"/>
          <w:bCs w:val="0"/>
          <w:color w:val="000000"/>
          <w:sz w:val="24"/>
          <w:szCs w:val="24"/>
          <w:u w:val="single"/>
        </w:rPr>
        <w:t xml:space="preserve">0.05%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1</w:t>
      </w:r>
      <w:r>
        <w:rPr>
          <w:rFonts w:ascii="宋体" w:hAnsi="宋体" w:eastAsia="宋体" w:cs="宋体"/>
          <w:color w:val="000000"/>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b w:val="0"/>
          <w:bCs w:val="0"/>
          <w:color w:val="000000"/>
          <w:sz w:val="24"/>
          <w:szCs w:val="24"/>
          <w:u w:val="single"/>
        </w:rPr>
        <w:t xml:space="preserve">0.05%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1%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79"/>
      <w:bookmarkEnd w:id="180"/>
      <w:bookmarkEnd w:id="181"/>
      <w:r/>
    </w:p>
    <w:p>
      <w:pPr>
        <w:pStyle w:val="662"/>
        <w:keepLines w:val="0"/>
        <w:keepNext w:val="0"/>
        <w:pageBreakBefore w:val="0"/>
        <w:spacing w:before="120" w:after="120" w:line="264" w:lineRule="auto"/>
        <w:widowControl w:val="off"/>
        <w:rPr>
          <w:rFonts w:hint="eastAsia" w:hAnsi="宋体" w:eastAsia="宋体" w:cs="Courier New"/>
          <w:color w:val="000000"/>
          <w:sz w:val="24"/>
          <w:szCs w:val="24"/>
        </w:rPr>
      </w:pPr>
      <w:r/>
      <w:bookmarkStart w:id="186" w:name="_Hlt16619369"/>
      <w:r/>
      <w:bookmarkEnd w:id="186"/>
      <w:r>
        <w:rPr>
          <w:rFonts w:hint="eastAsia" w:hAnsi="宋体" w:eastAsia="宋体" w:cs="Courier New"/>
          <w:color w:val="000000"/>
          <w:sz w:val="24"/>
          <w:szCs w:val="24"/>
        </w:rPr>
        <w:t xml:space="preserve">  </w:t>
      </w:r>
      <w:r/>
    </w:p>
    <w:p>
      <w:pPr>
        <w:pStyle w:val="662"/>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662"/>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662"/>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662"/>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662"/>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662"/>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66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2"/>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3"/>
      <w:r/>
      <w:bookmarkEnd w:id="184"/>
      <w:r/>
      <w:bookmarkEnd w:id="185"/>
      <w:r/>
      <w:r/>
    </w:p>
    <w:p>
      <w:pPr>
        <w:ind w:firstLine="420"/>
        <w:jc w:val="left"/>
        <w:rPr>
          <w:rFonts w:hint="eastAsia" w:ascii="宋体" w:hAnsi="宋体" w:eastAsia="宋体" w:cs="Times New Roman"/>
          <w:color w:val="000000"/>
          <w:sz w:val="24"/>
          <w:szCs w:val="24"/>
          <w:lang w:val="zh-CN" w:eastAsia="zh-CN"/>
        </w:rPr>
      </w:pPr>
      <w:r/>
      <w:bookmarkStart w:id="187" w:name="_Toc49090575"/>
      <w:r/>
      <w:bookmarkStart w:id="188" w:name="_Toc26554093"/>
      <w:r>
        <w:rPr>
          <w:rFonts w:hint="eastAsia" w:ascii="宋体" w:hAnsi="宋体" w:eastAsia="宋体" w:cs="Times New Roman"/>
          <w:b/>
          <w:bCs/>
          <w:color w:val="000000"/>
          <w:sz w:val="24"/>
          <w:szCs w:val="24"/>
          <w:lang w:val="zh-CN" w:eastAsia="zh-CN"/>
        </w:rPr>
        <w:t xml:space="preserve">一、项目属性：</w:t>
      </w:r>
      <w:r>
        <w:rPr>
          <w:rFonts w:hint="eastAsia" w:ascii="宋体" w:hAnsi="宋体" w:eastAsia="宋体" w:cs="Times New Roman"/>
          <w:color w:val="000000"/>
          <w:sz w:val="24"/>
          <w:szCs w:val="24"/>
          <w:lang w:val="zh-CN" w:eastAsia="zh-CN"/>
        </w:rPr>
        <w:t xml:space="preserve">货物类项目。</w:t>
      </w:r>
      <w:r/>
    </w:p>
    <w:p>
      <w:pPr>
        <w:ind w:firstLine="420"/>
        <w:jc w:val="lef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zh-CN" w:eastAsia="zh-CN"/>
        </w:rPr>
        <w:t xml:space="preserve">二、项目概况</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（一）项目背景</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南京技师学院涵德楼、启智楼、敏学楼、精技楼四栋教学楼未安装空调，落后于发展需求，为改善教学环境、提升教学质量、缩小与同类院校差距、响应国家节能政策，现需要建设教学楼集中式多联机空调系统，通过标准化、智能化的空调方案，解决当前教学环境痛点，为师生打造舒适、节能、安全的教学空间。</w:t>
      </w:r>
      <w:r>
        <w:rPr>
          <w:rFonts w:hint="eastAsia" w:ascii="宋体" w:hAnsi="宋体" w:eastAsia="宋体" w:cs="Times New Roman"/>
          <w:color w:val="000000"/>
          <w:sz w:val="24"/>
          <w:szCs w:val="24"/>
          <w:lang w:val="zh-CN" w:eastAsia="zh-CN" w:bidi="ar-SA"/>
        </w:rPr>
        <w:t xml:space="preserve">采购范围包括空调系统、控制器、管道、保温、配件、运输、保险、安装调试及相关服务，满足空调系统在部分负荷状态下系统高效、经济地运行。</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2.设备环境条件</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（一）设备运行地：南京。</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空调系统设计选用的气象参数须在国家范围提供的参数基础上，充分考虑空调系统在本建筑中的运行环境、建筑周围环境和采购人使用特性等因素，以及建筑、结构、强电、通信、给排水等各专业的交叉影响与配合，选择或调整空调系统设计及校核用的室外气象参数。</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（二）项目建设遵循标准</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本项目空调设计依据：根据现行国家颁发的有关暖通规范，标准进行设计，具体为：</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（1）07K506《多联式空调机系统设计与施工安装》</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（2）GBJ19《采暖通风与空气调节设计规范》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（3）GB50243《通风与空调工程施工及验收规范》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（4）GBJ16《建筑设计防火规范》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（5）GBJ300《通风与空调工程质量评定标准》</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（6）DB32/307《江苏省建筑安装工程施工技工规程——通风空调工程》</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（7）DB32/311《江苏省建筑安装工程技术操作规程——保温防腐工程》</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（8）机械制冷《ANSIB9.1 安全规范》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（9）《电气装置施工及验收规范》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（10）《民用建筑热工设计规范》 </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（11）《绿色建筑评价标准》 </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（12）《绿色工程抗震设计规范》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（13）《公共建筑节能设计标准》 </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（14）《建筑节能工程施工质量验收规范》</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（15）《实用供热空调设计手册》</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（16）《全国民用建筑工程设计技术措施暖通空调·动力》</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（17）《全国民用建筑工程设计技术措施节能专篇 暖通空调·动力》</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（18）国家其他相应标准或规范</w:t>
      </w:r>
      <w:r/>
    </w:p>
    <w:p>
      <w:pPr>
        <w:ind w:firstLine="420"/>
        <w:jc w:val="lef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zh-CN" w:eastAsia="zh-CN"/>
        </w:rPr>
        <w:t xml:space="preserve">招标文件涉及标准中未标年号的一律采用最新的标准；随着标准的修订，以修订后的最新标准为依据。</w:t>
      </w:r>
      <w:r/>
    </w:p>
    <w:p>
      <w:pPr>
        <w:ind w:firstLine="480"/>
        <w:keepLines w:val="0"/>
        <w:keepNext w:val="0"/>
        <w:pageBreakBefore w:val="0"/>
        <w:spacing w:line="400" w:lineRule="exact"/>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650"/>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977"/>
        <w:gridCol w:w="1186"/>
        <w:gridCol w:w="777"/>
        <w:gridCol w:w="1595"/>
        <w:gridCol w:w="1021"/>
        <w:gridCol w:w="777"/>
        <w:gridCol w:w="778"/>
        <w:gridCol w:w="1066"/>
      </w:tblGrid>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分项名称</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p>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产品类型</w:t>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所属行业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属性</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政府强制采购节能产品</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多联式空调室外机3</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46500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核心产品</w:t>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多联式空调室外机4</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主要产品</w:t>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四面出风嵌入式室内机1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四面出风嵌入式室内机2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3150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四面出风嵌入式室内机3</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3250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风管式室内机</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线控器</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338</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智能控制系统</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2099</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铜管及保温3</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铜管及保温4</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1903</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铜管及保温5</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568</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铜管及保温6</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466</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铜管及保温7</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571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铜管及保温8</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铜管及保温9</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486</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分歧管</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315</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冷凝水管及保温1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1206</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冷凝水管及保温2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1634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3400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信号线管</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3400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控制线</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2550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控制线管</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2550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冷媒</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ascii="宋体" w:hAnsi="宋体" w:eastAsia="宋体" w:cs="宋体"/>
                <w:color w:val="000000"/>
                <w:sz w:val="24"/>
                <w:szCs w:val="24"/>
                <w:lang w:val="en-US" w:eastAsia="zh-CN"/>
              </w:rPr>
              <w:suppressLineNumbers w:val="0"/>
            </w:pPr>
            <w:r>
              <w:rPr>
                <w:rFonts w:hint="eastAsia" w:ascii="宋体" w:hAnsi="宋体" w:cs="宋体"/>
                <w:i w:val="0"/>
                <w:iCs w:val="0"/>
                <w:color w:val="000000"/>
                <w:sz w:val="24"/>
                <w:szCs w:val="24"/>
                <w:u w:val="none"/>
                <w:lang w:val="en-US" w:eastAsia="zh-CN" w:bidi="ar"/>
              </w:rPr>
              <w:t xml:space="preserve">kg</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多联机外机辅材</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多联机内机辅材</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338</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多联机室外机安装</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多联机室内机安装</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338</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设备吊装</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穿墙打孔费及套管</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设备基础</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设备系统调试</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临时设施、运输</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770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挖沟槽3</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挖沟槽4</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开孔</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桥架安装</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服务</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主电缆</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860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室外机电缆1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室外机电缆2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室外机电缆3</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室内机电线</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6600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配电箱</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空开1</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空开2</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1700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90"/>
        </w:trPr>
        <w:tc>
          <w:tcPr>
            <w:tcBorders>
              <w:top w:val="single" w:color="000000" w:sz="8" w:space="0"/>
              <w:left w:val="single" w:color="000000" w:sz="8" w:space="0"/>
              <w:bottom w:val="single" w:color="000000" w:sz="8" w:space="0"/>
              <w:right w:val="single" w:color="000000" w:sz="8" w:space="0"/>
            </w:tcBorders>
            <w:tcW w:w="32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tcBorders>
              <w:top w:val="single" w:color="000000" w:sz="8" w:space="0"/>
              <w:left w:val="single" w:color="000000" w:sz="8" w:space="0"/>
              <w:bottom w:val="single" w:color="000000" w:sz="8" w:space="0"/>
              <w:right w:val="single" w:color="000000" w:sz="8" w:space="0"/>
            </w:tcBorders>
            <w:tcW w:w="1160"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盘柜配线</w:t>
            </w:r>
            <w:r/>
          </w:p>
        </w:tc>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8" w:space="0"/>
              <w:left w:val="single" w:color="000000" w:sz="8" w:space="0"/>
              <w:bottom w:val="single" w:color="000000" w:sz="8" w:space="0"/>
              <w:right w:val="single" w:color="000000" w:sz="8" w:space="0"/>
            </w:tcBorders>
            <w:tcW w:w="407"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tcBorders>
              <w:top w:val="single" w:color="000000" w:sz="8" w:space="0"/>
              <w:left w:val="single" w:color="000000" w:sz="8" w:space="0"/>
              <w:bottom w:val="single" w:color="000000" w:sz="8" w:space="0"/>
              <w:right w:val="single" w:color="000000" w:sz="8" w:space="0"/>
            </w:tcBorders>
            <w:tcW w:w="612" w:type="dxa"/>
            <w:vAlign w:val="center"/>
            <w:textDirection w:val="lrTb"/>
            <w:noWrap w:val="false"/>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tcBorders>
              <w:top w:val="single" w:color="000000" w:sz="8" w:space="0"/>
              <w:left w:val="single" w:color="000000" w:sz="8" w:space="0"/>
              <w:bottom w:val="single" w:color="000000" w:sz="8" w:space="0"/>
              <w:right w:val="single" w:color="000000" w:sz="8" w:space="0"/>
            </w:tcBorders>
            <w:tcW w:w="599" w:type="dxa"/>
            <w:vAlign w:val="center"/>
            <w:textDirection w:val="lrTb"/>
            <w:noWrap w:val="false"/>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工业</w:t>
            </w:r>
            <w:r/>
          </w:p>
        </w:tc>
        <w:tc>
          <w:tcPr>
            <w:tcBorders>
              <w:top w:val="single" w:color="000000" w:sz="8" w:space="0"/>
              <w:left w:val="single" w:color="000000" w:sz="8" w:space="0"/>
              <w:bottom w:val="single" w:color="000000" w:sz="8" w:space="0"/>
              <w:right w:val="single" w:color="000000" w:sz="8" w:space="0"/>
            </w:tcBorders>
            <w:tcW w:w="385" w:type="dxa"/>
            <w:vAlign w:val="center"/>
            <w:textDirection w:val="lrTb"/>
            <w:noWrap/>
          </w:tcPr>
          <w:p>
            <w:pPr>
              <w:jc w:val="center"/>
              <w:keepLines w:val="0"/>
              <w:keepNext w:val="0"/>
              <w:spacing w:line="4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货物</w:t>
            </w:r>
            <w:r/>
          </w:p>
        </w:tc>
        <w:tc>
          <w:tcPr>
            <w:tcBorders>
              <w:top w:val="single" w:color="000000" w:sz="8" w:space="0"/>
              <w:left w:val="single" w:color="000000" w:sz="8" w:space="0"/>
              <w:bottom w:val="single" w:color="000000" w:sz="8" w:space="0"/>
              <w:right w:val="single" w:color="000000" w:sz="8" w:space="0"/>
            </w:tcBorders>
            <w:tcW w:w="625" w:type="dxa"/>
            <w:vAlign w:val="center"/>
            <w:textDirection w:val="lrTb"/>
            <w:noWrap/>
          </w:tcPr>
          <w:p>
            <w:pPr>
              <w:jc w:val="center"/>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ind w:firstLine="480"/>
        <w:keepLines w:val="0"/>
        <w:keepNext w:val="0"/>
        <w:pageBreakBefore w:val="0"/>
        <w:spacing w:line="400" w:lineRule="exact"/>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ind w:firstLine="480"/>
        <w:keepLines w:val="0"/>
        <w:keepNext w:val="0"/>
        <w:pageBreakBefore w:val="0"/>
        <w:spacing w:line="400" w:lineRule="exact"/>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spacing w:line="400" w:lineRule="exact"/>
        <w:rPr>
          <w:rFonts w:hint="eastAsia" w:ascii="宋体" w:hAnsi="宋体" w:cs="宋体"/>
          <w:bCs/>
          <w:color w:val="000000"/>
          <w:sz w:val="24"/>
          <w:szCs w:val="24"/>
          <w:lang w:val="en-US" w:eastAsia="zh-CN"/>
        </w:rPr>
        <w:outlineLvl w:val="2"/>
      </w:pPr>
      <w:r>
        <w:rPr>
          <w:rFonts w:hint="eastAsia" w:ascii="宋体" w:hAnsi="宋体" w:cs="宋体"/>
          <w:bCs/>
          <w:color w:val="000000"/>
          <w:sz w:val="24"/>
          <w:szCs w:val="24"/>
        </w:rPr>
        <w:t xml:space="preserve">（一）</w:t>
      </w:r>
      <w:r>
        <w:rPr>
          <w:rFonts w:hint="eastAsia" w:ascii="宋体" w:hAnsi="宋体" w:cs="宋体"/>
          <w:bCs/>
          <w:color w:val="000000"/>
          <w:sz w:val="24"/>
          <w:szCs w:val="24"/>
          <w:lang w:val="en-US" w:eastAsia="zh-CN"/>
        </w:rPr>
        <w:t xml:space="preserve">技术要求</w:t>
      </w:r>
      <w:r/>
    </w:p>
    <w:p>
      <w:pPr>
        <w:ind w:firstLine="480"/>
        <w:spacing w:line="400" w:lineRule="exact"/>
        <w:rPr>
          <w:rFonts w:ascii="宋体" w:hAnsi="宋体" w:cs="宋体"/>
          <w:bCs/>
          <w:color w:val="000000"/>
          <w:sz w:val="24"/>
          <w:szCs w:val="24"/>
        </w:rPr>
        <w:outlineLvl w:val="2"/>
      </w:pPr>
      <w:r>
        <w:rPr>
          <w:rFonts w:hint="eastAsia" w:ascii="宋体" w:hAnsi="宋体" w:cs="宋体"/>
          <w:bCs/>
          <w:color w:val="000000"/>
          <w:sz w:val="24"/>
          <w:szCs w:val="24"/>
          <w:lang w:val="en-US" w:eastAsia="zh-CN"/>
        </w:rPr>
        <w:t xml:space="preserve">1.产品技术指标</w:t>
      </w:r>
      <w:r/>
    </w:p>
    <w:tbl>
      <w:tblPr>
        <w:tblStyle w:val="650"/>
        <w:tblpPr w:horzAnchor="page" w:tblpX="820" w:vertAnchor="text" w:tblpY="506" w:leftFromText="180" w:topFromText="0" w:rightFromText="180" w:bottomFromText="0"/>
        <w:tblW w:w="10199" w:type="dxa"/>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2779"/>
        <w:gridCol w:w="5103"/>
        <w:gridCol w:w="695"/>
        <w:gridCol w:w="927"/>
      </w:tblGrid>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jc w:val="cente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规格参数</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多联式空调室外机1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★1、制冷量≥56.0KW；制热量≥63.0KW；</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▲2、制冷功率≤15.0KW；制热功率≤15.5KW；  </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3、外机风量（m³/h）≥16000；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r>
      <w:tr>
        <w:trP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多联式空调室外机2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★1、制冷量≥101.0KW；制热量≥112.0KW；</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▲2、制冷功率≤27.3KW；制热功率≤27.1KW；  </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3、外机风量（m³/h）≥28000；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多联式空调室外机3</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★1、制冷量≥117.0KW；制热量≥130.0KW；</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▲2、制冷功率≤34.2KW；制热功率≤33.0KW；  </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3、外机风量（m³/h）≥30000；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12</w:t>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多联式空调室外机4</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★1、制冷量≥129.5KW；制热量≥144.0KW；</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▲2、制冷功率≤36.5KW；制热功率≤35.6KW；  </w:t>
            </w:r>
            <w:r/>
          </w:p>
          <w:p>
            <w:pP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3、外机风量（m³/h）≥33000；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w:t>
            </w:r>
            <w:r/>
          </w:p>
        </w:tc>
      </w:tr>
      <w:tr>
        <w:trPr>
          <w:trHeight w:val="40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四面出风嵌入式室内机1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1、制冷量≥4.5KW，制热量≥5.0KW； </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2、额定功率≤0.05KW；</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3、最大运行噪音≤37dB(A)； </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40</w:t>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四面出风嵌入式室内机2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1、制冷量≥7.1KW，制热量≥8.0KW； </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2、额定功率≤0.06KW；</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3、最大运行噪音≤38dB(A)； </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20</w:t>
            </w:r>
            <w:r/>
          </w:p>
        </w:tc>
      </w:tr>
      <w:tr>
        <w:trPr>
          <w:trHeight w:val="139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四面出风嵌入式室内机3</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1、制冷量≥8.0KW，制热量≥9.0KW； </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2、额定功率≤0.07KW；</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3、最大运行噪音≤43dB(A)； </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260</w:t>
            </w:r>
            <w:r/>
          </w:p>
        </w:tc>
      </w:tr>
      <w:tr>
        <w:trPr>
          <w:trHeight w:val="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风管式室内机</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1、制冷量≥10.0KW，制热量≥11.2KW； </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2、额定功率≤0.18KW；</w:t>
            </w:r>
            <w:r/>
          </w:p>
          <w:p>
            <w:pPr>
              <w:jc w:val="left"/>
              <w:spacing w:line="400" w:lineRule="exact"/>
              <w:rPr>
                <w:color w:val="000000"/>
              </w:rPr>
            </w:pPr>
            <w:r>
              <w:rPr>
                <w:rFonts w:hint="eastAsia" w:ascii="宋体" w:hAnsi="宋体" w:cs="宋体"/>
                <w:color w:val="000000"/>
                <w:sz w:val="24"/>
                <w:szCs w:val="24"/>
              </w:rPr>
              <w:t xml:space="preserve">3、最大运行噪音≤42dB(A)； </w:t>
            </w:r>
            <w:r/>
          </w:p>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4、机外静压≥150Pa；    </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18</w:t>
            </w:r>
            <w:r/>
          </w:p>
        </w:tc>
      </w:tr>
      <w:tr>
        <w:trPr>
          <w:trHeight w:val="50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线控器</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spacing w:line="400" w:lineRule="exact"/>
              <w:rPr>
                <w:color w:val="000000"/>
              </w:rPr>
            </w:pPr>
            <w:r>
              <w:rPr>
                <w:rFonts w:hint="eastAsia" w:ascii="宋体" w:hAnsi="宋体" w:cs="宋体"/>
                <w:color w:val="000000"/>
                <w:sz w:val="24"/>
                <w:szCs w:val="24"/>
              </w:rPr>
              <w:t xml:space="preserve">液晶控制开关</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338</w:t>
            </w:r>
            <w:r/>
          </w:p>
        </w:tc>
      </w:tr>
      <w:tr>
        <w:trPr>
          <w:trHeight w:val="98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智能控制系统</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智能控制系统、统一集中控制、可按教室按层按楼栋单独控制</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w:t>
            </w:r>
            <w:r/>
          </w:p>
        </w:tc>
      </w:tr>
      <w:tr>
        <w:trPr>
          <w:trHeight w:val="84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铜管规格：直径6.35mm；2、保温管阻燃：B1级、厚度20mm；3、质量要求：国标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235</w:t>
            </w:r>
            <w:r/>
          </w:p>
        </w:tc>
      </w:tr>
      <w:tr>
        <w:trPr>
          <w:trHeight w:val="84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铜管规格：直径9.52mm；2、保温管阻燃：B1级、厚度20mm；3、质量要求：国标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2099</w:t>
            </w:r>
            <w:r/>
          </w:p>
        </w:tc>
      </w:tr>
      <w:tr>
        <w:trPr>
          <w:trHeight w:val="6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铜管及保温3</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铜管规格：直径12.7mm；2、保温管阻燃：B1级、厚度20mm；3、质量要求：国标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464</w:t>
            </w:r>
            <w:r/>
          </w:p>
        </w:tc>
      </w:tr>
      <w:tr>
        <w:trPr>
          <w:trHeight w:val="73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铜管及保温4</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铜管规格：直径15.9mm；2、保温管阻燃：B1级、厚度20mm。3、质量要求：国标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1903</w:t>
            </w:r>
            <w:r/>
          </w:p>
        </w:tc>
      </w:tr>
      <w:tr>
        <w:trPr>
          <w:trHeight w:val="1105"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铜管及保温5</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铜管规格：直径19.1mm；2、保温管阻燃：B1级、厚度20mm。3、质量要求：国标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568</w:t>
            </w:r>
            <w:r/>
          </w:p>
        </w:tc>
      </w:tr>
      <w:tr>
        <w:trPr>
          <w:trHeight w:val="808"/>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铜管及保温6</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铜管规格：直径22.2mm；2、保温管阻燃：B1级、厚度20mm。3、质量要求：国标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466</w:t>
            </w:r>
            <w:r/>
          </w:p>
        </w:tc>
      </w:tr>
      <w:tr>
        <w:trPr>
          <w:trHeight w:val="98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铜管及保温7</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铜管规格：直径28.6mm；2、保温管阻燃：B1级、厚度20mm；3、质量要求：国标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571</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铜管及保温8</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铜管规格：直径31.8mm；2、保温管阻燃：B1级、厚度20mm；3、质量要求：国标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r>
      <w:tr>
        <w:trPr>
          <w:trHeight w:val="881"/>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铜管及保温9</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铜管规格：直径38.16mm；2、保温管阻燃：B1级、厚度20mm；3、质量要求：国标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486</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分歧管</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分歧管 规格：分歧管</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315</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冷凝水管及保温1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冷凝水管含保温1、冷凝管规格：DN25</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1206</w:t>
            </w:r>
            <w:r/>
          </w:p>
        </w:tc>
      </w:tr>
      <w:tr>
        <w:trPr>
          <w:trHeight w:val="68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冷凝水管及保温2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冷凝水管含保温1、冷凝管规格：DN32</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1634</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信号线1.线径0.75mm*2 ；2.质量要求：国标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3400</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信号线管</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信号线管1.线管规格：PVC20；2.质量要求：国标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3400</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控制线</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控制线1.线径0.75mm*2 ；2.质量要求：国标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2550</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控制线管</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控制线管1.线管规格：PVC20；2.质量要求：国标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2550</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冷媒</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1.规格：R410a</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ascii="宋体" w:hAnsi="宋体" w:cs="宋体"/>
                <w:color w:val="000000"/>
                <w:sz w:val="24"/>
                <w:szCs w:val="24"/>
              </w:rPr>
            </w:pPr>
            <w:r>
              <w:rPr>
                <w:rFonts w:hint="eastAsia" w:ascii="宋体" w:hAnsi="宋体" w:cs="宋体"/>
                <w:color w:val="000000"/>
                <w:sz w:val="24"/>
                <w:szCs w:val="24"/>
                <w:lang w:bidi="ar"/>
              </w:rPr>
              <w:t xml:space="preserve">kg</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258</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多联机外机辅材</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1.辅材项：吊筋、螺栓等；2.国标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多联机内机辅材</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1.辅材项：吊筋、螺栓等；2.国标</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338</w:t>
            </w:r>
            <w:r/>
          </w:p>
        </w:tc>
      </w:tr>
      <w:tr>
        <w:trPr>
          <w:trHeight w:val="55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多联机室外机安装</w:t>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多联机室内机安装</w:t>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338</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设备吊装</w:t>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穿墙打孔费及套管</w:t>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设备基础</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eastAsia="宋体" w:cs="宋体"/>
                <w:color w:val="000000"/>
                <w:sz w:val="24"/>
                <w:szCs w:val="24"/>
                <w:lang w:bidi="ar"/>
              </w:rPr>
              <w:t xml:space="preserve">混凝土基础</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2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设备系统调试</w:t>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43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临时设施费，运输</w:t>
            </w:r>
            <w:r/>
          </w:p>
        </w:tc>
        <w:tc>
          <w:tcPr>
            <w:tcBorders>
              <w:top w:val="single" w:color="000000" w:sz="4" w:space="0"/>
              <w:left w:val="single" w:color="000000" w:sz="4" w:space="0"/>
              <w:bottom w:val="single" w:color="000000" w:sz="4" w:space="0"/>
              <w:right w:val="single" w:color="000000" w:sz="4" w:space="0"/>
            </w:tcBorders>
            <w:tcW w:w="5103" w:type="dxa"/>
            <w:vAlign w:val="bottom"/>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沟槽1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电缆管沟开挖回填（单管）</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220</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沟槽2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电缆管沟开挖回填（2管）</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39</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沟槽3</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电缆管沟开挖回填（3管）</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p>
        </w:tc>
      </w:tr>
      <w:tr>
        <w:trPr>
          <w:trHeight w:val="41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沟槽4</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电缆管沟开挖回填（4管）</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p>
        </w:tc>
      </w:tr>
      <w:tr>
        <w:trPr>
          <w:trHeight w:val="69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开孔</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穿墙孔洞</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桥架安装</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桥架200*150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120</w:t>
            </w:r>
            <w:r/>
          </w:p>
        </w:tc>
      </w:tr>
      <w:tr>
        <w:trPr>
          <w:trHeight w:val="850" w:hRule="exact"/>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主电缆</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YJV4*185mm²+1*70mm²</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860</w:t>
            </w:r>
            <w:r/>
          </w:p>
        </w:tc>
      </w:tr>
      <w:tr>
        <w:trPr>
          <w:trHeight w:val="54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室外机电缆1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YJV4*25mm²+1*16mm²</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153</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室外机电缆2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YJV5*16mm²</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285</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室外机电缆3</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YJV5*6mm²</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92</w:t>
            </w:r>
            <w:r/>
          </w:p>
        </w:tc>
      </w:tr>
      <w:tr>
        <w:trPr>
          <w:trHeight w:val="55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47</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室内机电线</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BV3*2.5mm</w:t>
            </w:r>
            <w:r>
              <w:rPr>
                <w:rStyle w:val="663"/>
                <w:color w:val="000000"/>
                <w:sz w:val="24"/>
                <w:szCs w:val="24"/>
                <w:lang w:bidi="ar"/>
              </w:rPr>
              <w:t xml:space="preserve">²</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6600</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配电箱</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不锈钢防雨配电箱安装900*600*300</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2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49</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空开1</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400A</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r>
      <w:tr>
        <w:trPr>
          <w:trHeight w:val="43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空开2</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100A</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p>
        </w:tc>
      </w:tr>
      <w:tr>
        <w:trPr>
          <w:trHeight w:val="41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盘柜配线</w:t>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50mm²</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p>
        </w:tc>
      </w:tr>
    </w:tbl>
    <w:p>
      <w:pPr>
        <w:ind w:firstLine="482"/>
        <w:spacing w:line="400" w:lineRule="exact"/>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序号1-8产品为政府强制采购节能产品，签订合同时提供国家确定的认证机构出具的、处于有效期之内的节能产品认证证书。</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2.其他技术要求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▲（1）所投多联机室外机采用全直流变频喷气增焓涡旋式压缩机，并且要采用环保冷媒R410A,能实现0~480HZ无级调级运转。</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▲（2）所投多联机产品8HP、10HP、12HP、14HP、16HP、18HP、20HP、22HP、24HP、26HP单模块的APF加权平均值≥5.5。</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▲（3）所投多联机产品应能满足设计图纸的要求，并满足工程所在地的气象条件，室外机具备-20℃～60℃的温度运行范围。</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（4）所投多联机制造商所生产的多联机运行平均无故障时间MTBF≥12年。</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机组具备高低压保护、温度保护、压缩机过载保护等安全保障，最大程度保护机组不受损坏。机组自带缺相、相序保护功能，万一发生电源缺相、反相故障时，保护装置将保护运转中的机器。所投多联机产品四面出风嵌入式室内机采用直流室内电机且四个导风百叶可独立控制，需标配冷凝水提升泵，冷凝水泵为直流水泵，水泵扬程不小于1200mm。</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（6）为便于</w:t>
      </w:r>
      <w:r>
        <w:rPr>
          <w:rFonts w:hint="eastAsia" w:ascii="宋体" w:hAnsi="宋体" w:eastAsia="宋体" w:cs="Times New Roman"/>
          <w:color w:val="000000"/>
          <w:sz w:val="24"/>
          <w:szCs w:val="24"/>
          <w:lang w:val="zh-CN" w:eastAsia="zh-CN"/>
        </w:rPr>
        <w:t xml:space="preserve">统一管理，所投多联机室外机设备可以自联网。机组需配备智能控制系统实现云集控功能，可实现空调系统统一集中控制、可按教室按层按楼栋单独控制功能，可通过手机APP、电脑远程控制，实现模式设置、温度调节、风速调节、状态查询、日程设定、分组管理、功能锁定、故障提醒、能耗分析、一键报修等功能。智能控制系统后续使用不额外增加网络流量费用。智能控制系统为 BS 架构本地部署，支持统一集中控制、按区域单独控制、手机 APP / 电脑远程控制（模式、温度、风速、状态、日程、分组、锁定、故障、能耗、一键报修）；质保期内免费维护。</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▲（7）所投多联机组支持纯市电、纯光伏、交直流混合三种运行模式，机组具备直流用电侧接入功能（预留接口，无需额外配置设备）。</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注：1.上述打“★”“▲”技术参数，供应商承诺签订合同前提供加盖制造商公章的多联机产品样册或国家认可检测资质的第三方检测机构出具证书或检测报告(承诺函格式自拟)。</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2.“其他技术要求”，供应商承诺签订合同前提供加盖制造商公章的多联机产品样册或国家认可检测资质的第三方检测机构出具证书或检测报告(承诺函格式自拟)。</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p>
      <w:pPr>
        <w:ind w:firstLine="420"/>
        <w:jc w:val="left"/>
        <w:rPr>
          <w:rFonts w:hint="eastAsia" w:ascii="宋体" w:hAnsi="宋体" w:eastAsia="宋体" w:cs="Times New Roman"/>
          <w:color w:val="000000"/>
          <w:sz w:val="24"/>
          <w:szCs w:val="24"/>
          <w:lang w:val="zh-CN" w:eastAsia="zh-CN"/>
        </w:rPr>
        <w:outlineLvl w:val="2"/>
      </w:pPr>
      <w:r>
        <w:rPr>
          <w:rFonts w:hint="eastAsia" w:ascii="宋体" w:hAnsi="宋体" w:eastAsia="宋体" w:cs="Times New Roman"/>
          <w:color w:val="000000"/>
          <w:sz w:val="24"/>
          <w:szCs w:val="24"/>
          <w:lang w:val="zh-CN" w:eastAsia="zh-CN"/>
        </w:rPr>
        <w:t xml:space="preserve">★（二）商务要求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1.报价要求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报价应包含与本次采购项目有关的所有费用。供应商应对招标文件中的产品清单内容逐项报价。包含但不限于人员、设备、安装、调试、验收、售后服务、伴随配套服务等所有含税费用。同时，还应包含支付给员工的工资和国家强制缴纳的各种社会保障资金，以及供应商认为需要的其他费用等。</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（2）供应商的任何错漏、优惠、竞争性报价不得作为减轻责任、减少服务、增加收费、降低服务质量的理由。</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（4）本项目为交钥匙项目，报价应包括全部货物、工程和服务的价格及相关税费、拆除、运输到指定地点的装运费用、保险费、安装调试、验收、售后服务等其他有关的所有费用。</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2.实施要求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（1）总体要求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供应商应根据本项目特点及现场勘查，制定本项目实施总体方案。方案应当包含本项目实施进度计划、备货期方案、安装方案、设备配置、现场安装平面布置、拟投入的劳动力计划、人员培训等内容，方案应完整、科学、有针对性，能确保项目如期完成。</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（2）质量要求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供应商根据本项目特点及现场勘查，制定本项目质量安全保障措施，措施应能确保实施质量、安全、环境保护、文明、成品保护等。措施应有针对性、必要和有效，做到工完、料尽、场地清，确保空调安装的质量符合国家有关标准，确保项目实施期间零安全事故，确保不对校园环境造成损伤。施工人员施工期间应服从采购人的安全保卫规章制度和相应部门的管理。供应商施工人员的安全、施工中所造成的一切安全事故及施工中涉及的物品安全等均由供应商负责，采购人不承担项目实施过程中所产生的任何安全责任。</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（3）验收要求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供应商根据本项目特点及现场勘查，制定完善的项目验收方案。验收方案要体现项目全过程管理的要求，对货物进场、货物拆箱、货物安装前、货物安装后、货物使用以及</w:t>
      </w:r>
      <w:r>
        <w:rPr>
          <w:rFonts w:hint="eastAsia" w:ascii="宋体" w:hAnsi="宋体" w:eastAsia="宋体" w:cs="Times New Roman"/>
          <w:color w:val="000000"/>
          <w:sz w:val="24"/>
          <w:szCs w:val="24"/>
          <w:lang w:val="zh-CN" w:eastAsia="zh-CN" w:bidi="ar"/>
        </w:rPr>
        <w:t xml:space="preserve">送电系统调试、电缆泄漏试验</w:t>
      </w:r>
      <w:r>
        <w:rPr>
          <w:rFonts w:hint="eastAsia" w:ascii="宋体" w:hAnsi="宋体" w:eastAsia="宋体" w:cs="Times New Roman"/>
          <w:color w:val="000000"/>
          <w:sz w:val="24"/>
          <w:szCs w:val="24"/>
          <w:lang w:val="zh-CN" w:eastAsia="zh-CN"/>
        </w:rPr>
        <w:t xml:space="preserve">等全过程关键节点制定对应的验收要求，确保项目安装质量，实现项目整体验收一次性通过。验收前须提供详细的竣工资料，如竣工结算报告、竣工图等相关资料。</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（4）质保及售后服务要求</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①所投多联机空调原厂质保不少于5年（质保自项目验收合格之日起计），供应商在中标后7个工作日内签订合同时提供所投产品制造商针对本项目的原厂质保函，质保费用包含在投标总报价中。</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②供应商须根据采购文件要求和项目实际，提供详细的售后服务方案，应包括以下内容：服务体系与范围、故障解决方案、售后服务联系方式与响应时间、应急处理方案、专业技术人员保障服务等。</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3.付款条件</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以第三章合同文本内容为准。</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4.交付时间及地点</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（1）交付时间：合同签订后30天内交付完成。</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（2）交付地点：采购人指定地点。</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5.履约保证金</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以第三章合同文本内容为准。</w:t>
      </w:r>
      <w:r/>
    </w:p>
    <w:p>
      <w:pPr>
        <w:ind w:firstLine="420"/>
        <w:jc w:val="left"/>
        <w:rPr>
          <w:rFonts w:hint="eastAsia" w:ascii="宋体" w:hAnsi="宋体" w:eastAsia="宋体" w:cs="Times New Roman"/>
          <w:color w:val="000000"/>
          <w:sz w:val="24"/>
          <w:szCs w:val="24"/>
          <w:lang w:val="zh-CN" w:eastAsia="zh-CN"/>
        </w:rPr>
      </w:pPr>
      <w:r/>
      <w:bookmarkStart w:id="189" w:name="OLE_LINK1"/>
      <w:r>
        <w:rPr>
          <w:rFonts w:hint="eastAsia" w:ascii="宋体" w:hAnsi="宋体" w:eastAsia="宋体" w:cs="Times New Roman"/>
          <w:color w:val="000000"/>
          <w:sz w:val="24"/>
          <w:szCs w:val="24"/>
          <w:lang w:val="zh-CN" w:eastAsia="zh-CN"/>
        </w:rPr>
        <w:t xml:space="preserve">6.其他要求</w:t>
      </w:r>
      <w:bookmarkEnd w:id="189"/>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20"/>
        <w:jc w:val="left"/>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t xml:space="preserve">履约能力项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66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1.</w:t>
            </w:r>
            <w:r>
              <w:rPr>
                <w:rFonts w:hint="eastAsia" w:ascii="宋体" w:hAnsi="宋体" w:eastAsia="宋体" w:cs="宋体"/>
                <w:b/>
                <w:bCs/>
                <w:color w:val="000000"/>
                <w:spacing w:val="-3"/>
                <w:szCs w:val="21"/>
              </w:rPr>
              <w:t xml:space="preserve">价</w:t>
            </w:r>
            <w:r>
              <w:rPr>
                <w:rFonts w:hint="eastAsia" w:ascii="宋体" w:hAnsi="宋体" w:eastAsia="宋体" w:cs="宋体"/>
                <w:b/>
                <w:bCs/>
                <w:color w:val="000000"/>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6"/>
                <w:szCs w:val="21"/>
              </w:rPr>
              <w:t xml:space="preserve">1</w:t>
            </w:r>
            <w:r>
              <w:rPr>
                <w:rFonts w:hint="eastAsia" w:ascii="宋体" w:hAnsi="宋体" w:eastAsia="宋体" w:cs="宋体"/>
                <w:color w:val="000000"/>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color w:val="000000"/>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pacing w:val="1"/>
                <w:szCs w:val="21"/>
              </w:rPr>
              <w:t xml:space="preserve">采用低价优先</w:t>
            </w:r>
            <w:r>
              <w:rPr>
                <w:rFonts w:hint="eastAsia"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即满足招标文件要求且投标价格最低的投标</w:t>
            </w:r>
            <w:r>
              <w:rPr>
                <w:rFonts w:hint="eastAsia" w:ascii="宋体" w:hAnsi="宋体" w:eastAsia="宋体" w:cs="宋体"/>
                <w:color w:val="000000"/>
                <w:spacing w:val="1"/>
                <w:szCs w:val="21"/>
              </w:rPr>
              <w:t xml:space="preserve">报价为评标基准</w:t>
            </w:r>
            <w:r>
              <w:rPr>
                <w:rFonts w:hint="eastAsia"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其价格分为满分。其他投标人的价格分统一按</w:t>
            </w:r>
            <w:r>
              <w:rPr>
                <w:rFonts w:hint="eastAsia" w:ascii="宋体" w:hAnsi="宋体" w:eastAsia="宋体" w:cs="宋体"/>
                <w:color w:val="000000"/>
                <w:spacing w:val="-1"/>
                <w:szCs w:val="21"/>
              </w:rPr>
              <w:t xml:space="preserve">照下列公</w:t>
            </w:r>
            <w:r>
              <w:rPr>
                <w:rFonts w:hint="eastAsia" w:ascii="宋体" w:hAnsi="宋体" w:eastAsia="宋体" w:cs="宋体"/>
                <w:color w:val="000000"/>
                <w:szCs w:val="21"/>
              </w:rPr>
              <w:t xml:space="preserve">式计算：投标报价得分=(评标基准价/投标报价)×</w:t>
            </w:r>
            <w:r>
              <w:rPr>
                <w:rFonts w:hint="eastAsia" w:ascii="宋体" w:hAnsi="宋体" w:eastAsia="宋体" w:cs="宋体"/>
                <w:color w:val="000000"/>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lang w:val="en-US" w:eastAsia="zh-CN"/>
              </w:rPr>
              <w:t xml:space="preserve">50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Cs w:val="21"/>
              </w:rPr>
            </w:pPr>
            <w:r>
              <w:rPr>
                <w:rFonts w:hint="eastAsia" w:ascii="宋体" w:hAnsi="宋体" w:eastAsia="宋体" w:cs="宋体"/>
                <w:b/>
                <w:bCs/>
                <w:color w:val="000000"/>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lang w:val="en-US" w:eastAsia="zh-CN"/>
              </w:rPr>
              <w:t xml:space="preserve">产品技术要求</w:t>
            </w:r>
            <w:r/>
          </w:p>
        </w:tc>
        <w:tc>
          <w:tcPr>
            <w:tcW w:w="6330" w:type="dxa"/>
            <w:vAlign w:val="center"/>
            <w:textDirection w:val="lrTb"/>
            <w:noWrap w:val="false"/>
          </w:tcPr>
          <w:p>
            <w:pPr>
              <w:jc w:val="both"/>
              <w:keepLines w:val="0"/>
              <w:keepNext w:val="0"/>
              <w:pageBreakBefore w:val="0"/>
              <w:spacing w:line="264" w:lineRule="auto"/>
              <w:widowControl w:val="off"/>
              <w:rPr>
                <w:rFonts w:ascii="宋体" w:hAnsi="宋体" w:eastAsia="宋体" w:cs="宋体"/>
                <w:color w:val="000000"/>
                <w:spacing w:val="1"/>
                <w:szCs w:val="21"/>
                <w:lang w:val="en-US"/>
              </w:rPr>
            </w:pPr>
            <w:r>
              <w:rPr>
                <w:rFonts w:hint="eastAsia" w:ascii="宋体" w:hAnsi="宋体" w:eastAsia="宋体" w:cs="宋体"/>
                <w:color w:val="000000"/>
                <w:szCs w:val="21"/>
                <w:lang w:val="en-US" w:eastAsia="zh-CN"/>
              </w:rPr>
              <w:t xml:space="preserve">产品技术要求全部满足招标要求的得满分，打★指标为必须满足项，如有负偏离将作为无效投标，打▲指标为重要指标，有1项负偏离扣2分，其余指标有1项负偏离扣0.28分</w:t>
            </w:r>
            <w:r>
              <w:rPr>
                <w:rFonts w:hint="eastAsia" w:ascii="宋体" w:hAnsi="宋体" w:eastAsia="宋体" w:cs="宋体"/>
                <w:color w:val="000000"/>
                <w:sz w:val="21"/>
                <w:szCs w:val="21"/>
                <w:lang w:val="en-US" w:eastAsia="zh-CN"/>
              </w:rPr>
              <w:t xml:space="preserve">。</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lang w:eastAsia="zh-CN"/>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b/>
                <w:bCs/>
                <w:color w:val="000000"/>
                <w:spacing w:val="-3"/>
                <w:szCs w:val="21"/>
                <w:lang w:val="en-US" w:eastAsia="zh-CN"/>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lang w:val="en-US" w:eastAsia="zh-CN"/>
              </w:rPr>
            </w:pPr>
            <w:r>
              <w:rPr>
                <w:rFonts w:hint="eastAsia" w:ascii="宋体" w:hAnsi="宋体" w:cs="宋体"/>
                <w:color w:val="000000"/>
                <w:spacing w:val="-2"/>
                <w:szCs w:val="21"/>
              </w:rPr>
              <w:t xml:space="preserve">3.1</w:t>
            </w:r>
            <w:r/>
          </w:p>
        </w:tc>
        <w:tc>
          <w:tcPr>
            <w:tcW w:w="1179" w:type="dxa"/>
            <w:vAlign w:val="center"/>
            <w:textDirection w:val="lrTb"/>
            <w:noWrap w:val="false"/>
          </w:tcPr>
          <w:p>
            <w:pPr>
              <w:jc w:val="left"/>
              <w:spacing w:before="68" w:line="264" w:lineRule="auto"/>
              <w:rPr>
                <w:rFonts w:hint="eastAsia" w:ascii="宋体" w:hAnsi="宋体" w:eastAsia="宋体" w:cs="宋体"/>
                <w:color w:val="000000"/>
                <w:spacing w:val="0"/>
                <w:szCs w:val="21"/>
                <w:highlight w:val="none"/>
                <w:lang w:val="en-US" w:eastAsia="zh-CN"/>
              </w:rPr>
            </w:pPr>
            <w:r>
              <w:rPr>
                <w:rFonts w:hint="eastAsia" w:ascii="宋体" w:hAnsi="宋体" w:cs="宋体"/>
                <w:color w:val="000000"/>
                <w:szCs w:val="21"/>
              </w:rPr>
              <w:t xml:space="preserve">实施方案</w:t>
            </w:r>
            <w:r/>
          </w:p>
        </w:tc>
        <w:tc>
          <w:tcPr>
            <w:tcW w:w="6330" w:type="dxa"/>
            <w:vAlign w:val="center"/>
            <w:textDirection w:val="lrTb"/>
            <w:noWrap w:val="false"/>
          </w:tcPr>
          <w:p>
            <w:pPr>
              <w:pStyle w:val="666"/>
              <w:spacing w:line="264" w:lineRule="auto"/>
              <w:rPr>
                <w:rFonts w:hint="eastAsia"/>
                <w:color w:val="000000"/>
                <w:sz w:val="21"/>
                <w:szCs w:val="21"/>
                <w:lang w:val="en-US" w:bidi="ar-SA"/>
              </w:rPr>
              <w:pBdr>
                <w:top w:val="none" w:color="000000" w:sz="0" w:space="0"/>
                <w:left w:val="none" w:color="000000" w:sz="0" w:space="0"/>
                <w:bottom w:val="none" w:color="000000" w:sz="0" w:space="0"/>
                <w:right w:val="none" w:color="000000" w:sz="0" w:space="0"/>
              </w:pBdr>
            </w:pPr>
            <w:r>
              <w:rPr>
                <w:rFonts w:hint="eastAsia"/>
                <w:color w:val="000000"/>
                <w:sz w:val="21"/>
                <w:szCs w:val="21"/>
                <w:lang w:val="en-US" w:bidi="ar-SA"/>
              </w:rPr>
              <w:t xml:space="preserve">根据本项目采购需求编制实施方案，内容包含：1.供货进度保证措施；2.质量保证措施；3.协调配合措施；4.应急措施。以上每项内容逐条阐述。</w:t>
            </w:r>
            <w:r/>
          </w:p>
          <w:p>
            <w:pPr>
              <w:pStyle w:val="666"/>
              <w:spacing w:line="264" w:lineRule="auto"/>
              <w:rPr>
                <w:rFonts w:hint="eastAsia"/>
                <w:color w:val="000000"/>
                <w:szCs w:val="21"/>
                <w:lang w:val="en-US" w:bidi="ar-SA"/>
              </w:rPr>
              <w:pBdr>
                <w:top w:val="none" w:color="000000" w:sz="0" w:space="0"/>
                <w:left w:val="none" w:color="000000" w:sz="0" w:space="0"/>
                <w:bottom w:val="none" w:color="000000" w:sz="0" w:space="0"/>
                <w:right w:val="none" w:color="000000" w:sz="0" w:space="0"/>
              </w:pBdr>
            </w:pPr>
            <w:r>
              <w:rPr>
                <w:rFonts w:hint="eastAsia"/>
                <w:color w:val="000000"/>
                <w:sz w:val="21"/>
                <w:szCs w:val="21"/>
                <w:lang w:val="en-US" w:bidi="ar-SA"/>
              </w:rPr>
              <w:t xml:space="preserve">方案内容全面完整、可行性强，且专门针对本项目，契合采购需求视为符合；方案内容属于通用类，非专门针对本项目，部分契合采购需求视为部分符合；方案内容非专门针对本项目，脱离采购需求视为不符合。</w:t>
            </w:r>
            <w:r/>
          </w:p>
          <w:p>
            <w:pPr>
              <w:pStyle w:val="666"/>
              <w:spacing w:line="264" w:lineRule="auto"/>
              <w:rPr>
                <w:rFonts w:hint="eastAsia"/>
                <w:color w:val="000000"/>
                <w:szCs w:val="21"/>
                <w:lang w:val="en-US" w:bidi="ar-SA"/>
              </w:rPr>
              <w:pBdr>
                <w:top w:val="none" w:color="000000" w:sz="0" w:space="0"/>
                <w:left w:val="none" w:color="000000" w:sz="0" w:space="0"/>
                <w:bottom w:val="none" w:color="000000" w:sz="0" w:space="0"/>
                <w:right w:val="none" w:color="000000" w:sz="0" w:space="0"/>
              </w:pBdr>
            </w:pPr>
            <w:r>
              <w:rPr>
                <w:rFonts w:hint="eastAsia"/>
                <w:color w:val="000000"/>
                <w:sz w:val="21"/>
                <w:szCs w:val="21"/>
                <w:lang w:val="en-US" w:bidi="ar-SA"/>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lang w:val="en-US" w:eastAsia="zh-CN"/>
              </w:rPr>
            </w:pPr>
            <w:r>
              <w:rPr>
                <w:rFonts w:hint="eastAsia" w:ascii="宋体" w:hAnsi="宋体" w:cs="宋体"/>
                <w:color w:val="000000"/>
                <w:spacing w:val="-2"/>
                <w:szCs w:val="21"/>
              </w:rPr>
              <w:t xml:space="preserve">3.2</w:t>
            </w:r>
            <w:r/>
          </w:p>
        </w:tc>
        <w:tc>
          <w:tcPr>
            <w:tcW w:w="1179" w:type="dxa"/>
            <w:vAlign w:val="center"/>
            <w:textDirection w:val="lrTb"/>
            <w:noWrap w:val="false"/>
          </w:tcPr>
          <w:p>
            <w:pPr>
              <w:jc w:val="both"/>
              <w:spacing w:before="0" w:line="264" w:lineRule="auto"/>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Cs w:val="21"/>
              </w:rPr>
              <w:t xml:space="preserve">售后服务方案</w:t>
            </w:r>
            <w:r/>
          </w:p>
        </w:tc>
        <w:tc>
          <w:tcPr>
            <w:tcW w:w="6330" w:type="dxa"/>
            <w:vAlign w:val="center"/>
            <w:textDirection w:val="lrTb"/>
            <w:noWrap w:val="false"/>
          </w:tcPr>
          <w:p>
            <w:pPr>
              <w:pStyle w:val="666"/>
              <w:spacing w:line="264" w:lineRule="auto"/>
              <w:rPr>
                <w:rFonts w:hint="eastAsia"/>
                <w:color w:val="000000"/>
                <w:szCs w:val="21"/>
                <w:lang w:val="en-US" w:bidi="ar-SA"/>
              </w:rPr>
              <w:pBdr>
                <w:top w:val="none" w:color="000000" w:sz="0" w:space="0"/>
                <w:left w:val="none" w:color="000000" w:sz="0" w:space="0"/>
                <w:bottom w:val="none" w:color="000000" w:sz="0" w:space="0"/>
                <w:right w:val="none" w:color="000000" w:sz="0" w:space="0"/>
              </w:pBdr>
            </w:pPr>
            <w:r>
              <w:rPr>
                <w:rFonts w:hint="eastAsia"/>
                <w:color w:val="000000"/>
                <w:sz w:val="21"/>
                <w:szCs w:val="21"/>
                <w:lang w:val="en-US" w:bidi="ar-SA"/>
              </w:rPr>
              <w:t xml:space="preserve">根据本项目采购需求编制售后服务方案，内容包含：1.售后服务内容；2.故障解决方案；3.售后服务体系；4.专业技术人员保障。以上每项内容逐条阐述。方案内容全面完整、措施科学可行，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lang w:val="en-US" w:eastAsia="zh-CN"/>
              </w:rPr>
            </w:pPr>
            <w:r>
              <w:rPr>
                <w:rFonts w:hint="eastAsia" w:ascii="宋体" w:hAnsi="宋体" w:cs="宋体"/>
                <w:color w:val="000000"/>
                <w:spacing w:val="-2"/>
                <w:szCs w:val="21"/>
              </w:rPr>
              <w:t xml:space="preserve">3.3</w:t>
            </w:r>
            <w:r/>
          </w:p>
        </w:tc>
        <w:tc>
          <w:tcPr>
            <w:tcW w:w="1179" w:type="dxa"/>
            <w:vAlign w:val="center"/>
            <w:textDirection w:val="lrTb"/>
            <w:noWrap w:val="false"/>
          </w:tcPr>
          <w:p>
            <w:pPr>
              <w:jc w:val="both"/>
              <w:spacing w:before="0" w:line="264" w:lineRule="auto"/>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z w:val="21"/>
                <w:szCs w:val="21"/>
              </w:rPr>
              <w:t xml:space="preserve">质保期承诺</w:t>
            </w:r>
            <w:r/>
          </w:p>
        </w:tc>
        <w:tc>
          <w:tcPr>
            <w:tcW w:w="6330" w:type="dxa"/>
            <w:vAlign w:val="center"/>
            <w:textDirection w:val="lrTb"/>
            <w:noWrap w:val="false"/>
          </w:tcPr>
          <w:p>
            <w:pPr>
              <w:pStyle w:val="666"/>
              <w:spacing w:line="264" w:lineRule="auto"/>
              <w:rPr>
                <w:rFonts w:hint="eastAsia"/>
                <w:color w:val="000000"/>
                <w:sz w:val="21"/>
                <w:szCs w:val="21"/>
                <w:lang w:val="en-US" w:bidi="ar-SA"/>
              </w:rPr>
            </w:pPr>
            <w:r>
              <w:rPr>
                <w:rFonts w:hint="eastAsia"/>
                <w:color w:val="000000"/>
                <w:sz w:val="21"/>
                <w:szCs w:val="21"/>
                <w:lang w:val="en-US" w:bidi="ar-SA"/>
              </w:rPr>
              <w:t xml:space="preserve">在所投多联机原厂5年质保期基础上，质保期每延长1年得0.5分，最多得2分。（</w:t>
            </w:r>
            <w:r>
              <w:rPr>
                <w:rFonts w:hint="eastAsia"/>
                <w:color w:val="000000"/>
                <w:sz w:val="21"/>
                <w:szCs w:val="21"/>
                <w:lang w:val="en-US" w:eastAsia="zh-CN" w:bidi="ar-SA"/>
              </w:rPr>
              <w:t xml:space="preserve">供应商提供</w:t>
            </w:r>
            <w:r>
              <w:rPr>
                <w:rFonts w:hint="eastAsia"/>
                <w:color w:val="000000"/>
                <w:sz w:val="21"/>
                <w:szCs w:val="21"/>
                <w:lang w:val="en-US" w:bidi="ar-SA"/>
              </w:rPr>
              <w:t xml:space="preserve">承诺函，</w:t>
            </w:r>
            <w:r>
              <w:rPr>
                <w:rFonts w:hint="eastAsia"/>
                <w:color w:val="000000"/>
                <w:sz w:val="21"/>
                <w:szCs w:val="21"/>
                <w:lang w:val="en-US" w:eastAsia="zh-CN" w:bidi="ar-SA"/>
              </w:rPr>
              <w:t xml:space="preserve">承诺函</w:t>
            </w:r>
            <w:r>
              <w:rPr>
                <w:rFonts w:hint="eastAsia"/>
                <w:color w:val="000000"/>
                <w:sz w:val="21"/>
                <w:szCs w:val="21"/>
                <w:lang w:val="en-US" w:bidi="ar-SA"/>
              </w:rPr>
              <w:t xml:space="preserve">格式自拟）</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Cs w:val="21"/>
                <w:lang w:val="en-US" w:eastAsia="zh-CN"/>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b w:val="0"/>
                <w:bCs w:val="0"/>
                <w:color w:val="000000"/>
                <w:spacing w:val="0"/>
                <w:szCs w:val="21"/>
                <w:lang w:val="en-US" w:eastAsia="zh-CN"/>
              </w:rPr>
              <w:t xml:space="preserve">4.业绩</w:t>
            </w:r>
            <w:r/>
          </w:p>
        </w:tc>
      </w:tr>
      <w:tr>
        <w:trPr>
          <w:jc w:val="center"/>
          <w:trHeight w:val="1015"/>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rPr>
            </w:pPr>
            <w:r>
              <w:rPr>
                <w:rFonts w:hint="eastAsia" w:ascii="宋体" w:hAnsi="宋体" w:cs="宋体"/>
                <w:color w:val="000000"/>
                <w:spacing w:val="-2"/>
                <w:szCs w:val="21"/>
              </w:rPr>
              <w:t xml:space="preserve">4.1</w:t>
            </w:r>
            <w:r/>
          </w:p>
        </w:tc>
        <w:tc>
          <w:tcPr>
            <w:tcW w:w="1179" w:type="dxa"/>
            <w:vAlign w:val="center"/>
            <w:textDirection w:val="lrTb"/>
            <w:noWrap w:val="false"/>
          </w:tcPr>
          <w:p>
            <w:pPr>
              <w:ind w:firstLine="210"/>
              <w:spacing w:before="0" w:line="264" w:lineRule="auto"/>
              <w:rPr>
                <w:rFonts w:hint="eastAsia" w:ascii="宋体" w:hAnsi="宋体" w:eastAsia="宋体" w:cs="宋体"/>
                <w:color w:val="000000"/>
                <w:szCs w:val="21"/>
                <w:lang w:val="en-US" w:eastAsia="zh-CN"/>
              </w:rPr>
            </w:pPr>
            <w:r>
              <w:rPr>
                <w:rFonts w:hint="eastAsia" w:ascii="宋体" w:hAnsi="宋体" w:eastAsia="宋体" w:cs="宋体"/>
                <w:color w:val="000000"/>
                <w:spacing w:val="0"/>
                <w:szCs w:val="21"/>
              </w:rPr>
              <w:t xml:space="preserve">业绩</w:t>
            </w:r>
            <w:r/>
          </w:p>
        </w:tc>
        <w:tc>
          <w:tcPr>
            <w:tcW w:w="6330" w:type="dxa"/>
            <w:vAlign w:val="center"/>
            <w:textDirection w:val="lrTb"/>
            <w:noWrap w:val="false"/>
          </w:tcPr>
          <w:p>
            <w:pPr>
              <w:spacing w:line="264" w:lineRule="auto"/>
              <w:rPr>
                <w:rFonts w:hint="eastAsia" w:ascii="宋体" w:hAnsi="宋体" w:eastAsia="宋体" w:cs="宋体"/>
                <w:color w:val="000000"/>
                <w:sz w:val="21"/>
                <w:szCs w:val="21"/>
                <w:lang w:val="en-US" w:eastAsia="zh-CN" w:bidi="zh-CN"/>
              </w:rPr>
            </w:pPr>
            <w:r>
              <w:rPr>
                <w:rFonts w:hint="eastAsia" w:ascii="宋体" w:hAnsi="宋体" w:eastAsia="宋体" w:cs="宋体"/>
                <w:color w:val="000000"/>
                <w:szCs w:val="21"/>
              </w:rPr>
              <w:t xml:space="preserve">投标人提供2023年1月1日（含）以来所投品牌多联机产品业绩（至少包含多联机设备供货及安装），每提供1个得1分，最多得2分。（时间以合同签订时间为准，提供有效合同，合同页须清晰可见相应内容）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p>
        </w:tc>
        <w:tc>
          <w:tcPr>
            <w:tcW w:w="900" w:type="dxa"/>
            <w:vAlign w:val="center"/>
            <w:textDirection w:val="lrTb"/>
            <w:noWrap w:val="false"/>
          </w:tcPr>
          <w:p>
            <w:pPr>
              <w:jc w:val="center"/>
              <w:spacing w:before="68" w:line="264" w:lineRule="auto"/>
              <w:rPr>
                <w:rFonts w:hint="eastAsia" w:ascii="宋体" w:hAnsi="宋体" w:eastAsia="宋体" w:cs="宋体"/>
                <w:color w:val="000000"/>
                <w:szCs w:val="21"/>
                <w:lang w:eastAsia="zh-CN"/>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269"/>
        </w:trPr>
        <w:tc>
          <w:tcPr>
            <w:gridSpan w:val="5"/>
            <w:tcW w:w="9575" w:type="dxa"/>
            <w:vAlign w:val="top"/>
            <w:textDirection w:val="lrTb"/>
            <w:noWrap w:val="false"/>
          </w:tcPr>
          <w:p>
            <w:pPr>
              <w:keepLines w:val="0"/>
              <w:keepNext w:val="0"/>
              <w:pageBreakBefore w:val="0"/>
              <w:spacing w:before="0" w:line="264" w:lineRule="auto"/>
              <w:widowControl w:val="off"/>
              <w:rPr>
                <w:rFonts w:hint="eastAsia" w:ascii="宋体" w:hAnsi="宋体" w:eastAsia="宋体" w:cs="宋体"/>
                <w:color w:val="000000"/>
                <w:szCs w:val="21"/>
              </w:rPr>
            </w:pPr>
            <w:r>
              <w:rPr>
                <w:rFonts w:hint="eastAsia" w:ascii="宋体" w:hAnsi="宋体" w:eastAsia="宋体" w:cs="宋体"/>
                <w:b w:val="0"/>
                <w:bCs w:val="0"/>
                <w:color w:val="000000"/>
                <w:spacing w:val="0"/>
                <w:szCs w:val="21"/>
                <w:lang w:val="en-US" w:eastAsia="zh-CN"/>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0" w:line="264" w:lineRule="auto"/>
              <w:rPr>
                <w:rFonts w:hint="eastAsia" w:ascii="宋体" w:hAnsi="宋体" w:eastAsia="宋体" w:cs="宋体"/>
                <w:color w:val="000000"/>
                <w:spacing w:val="0"/>
                <w:szCs w:val="21"/>
                <w:lang w:val="en-US" w:eastAsia="zh-CN"/>
              </w:rPr>
            </w:pPr>
            <w:r>
              <w:rPr>
                <w:rFonts w:hint="eastAsia" w:ascii="宋体" w:hAnsi="宋体" w:eastAsia="宋体" w:cs="宋体"/>
                <w:color w:val="000000"/>
                <w:spacing w:val="0"/>
                <w:szCs w:val="21"/>
              </w:rPr>
              <w:t xml:space="preserve">履约能力1</w:t>
            </w:r>
            <w:r/>
          </w:p>
        </w:tc>
        <w:tc>
          <w:tcPr>
            <w:tcW w:w="6330" w:type="dxa"/>
            <w:vAlign w:val="center"/>
            <w:textDirection w:val="lrTb"/>
            <w:noWrap w:val="false"/>
          </w:tcPr>
          <w:p>
            <w:pPr>
              <w:jc w:val="both"/>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投标人派驻本项目的项目经理：</w:t>
            </w:r>
            <w:r/>
          </w:p>
          <w:p>
            <w:pPr>
              <w:ind w:left="0" w:right="0"/>
              <w:jc w:val="both"/>
              <w:keepLines w:val="0"/>
              <w:keepNext w:val="0"/>
              <w:spacing w:before="0" w:beforeAutospacing="0" w:after="0" w:afterAutospacing="0" w:line="264"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具备</w:t>
            </w:r>
            <w:r>
              <w:rPr>
                <w:rStyle w:val="667"/>
                <w:rFonts w:hint="eastAsia" w:ascii="宋体" w:hAnsi="宋体" w:eastAsia="宋体" w:cs="宋体"/>
                <w:b w:val="0"/>
                <w:bCs w:val="0"/>
                <w:color w:val="000000"/>
                <w:sz w:val="21"/>
                <w:szCs w:val="21"/>
              </w:rPr>
              <w:t xml:space="preserve">机电工程专业二级注册建造师证书</w:t>
            </w:r>
            <w:r>
              <w:rPr>
                <w:rFonts w:hint="eastAsia" w:ascii="宋体" w:hAnsi="宋体" w:eastAsia="宋体" w:cs="宋体"/>
                <w:color w:val="000000"/>
                <w:sz w:val="21"/>
                <w:szCs w:val="21"/>
              </w:rPr>
              <w:t xml:space="preserve">及有效的安全生产考核合格证书（B 证），得</w:t>
            </w:r>
            <w:r>
              <w:rPr>
                <w:rStyle w:val="667"/>
                <w:rFonts w:hint="eastAsia" w:ascii="宋体" w:hAnsi="宋体" w:eastAsia="宋体" w:cs="宋体"/>
                <w:b w:val="0"/>
                <w:bCs w:val="0"/>
                <w:color w:val="000000"/>
                <w:sz w:val="21"/>
                <w:szCs w:val="21"/>
                <w:lang w:eastAsia="zh-CN"/>
              </w:rPr>
              <w:t xml:space="preserve">2</w:t>
            </w:r>
            <w:r>
              <w:rPr>
                <w:rStyle w:val="667"/>
                <w:rFonts w:hint="eastAsia" w:ascii="宋体" w:hAnsi="宋体" w:eastAsia="宋体" w:cs="宋体"/>
                <w:b w:val="0"/>
                <w:bCs w:val="0"/>
                <w:color w:val="000000"/>
                <w:sz w:val="21"/>
                <w:szCs w:val="21"/>
              </w:rPr>
              <w:t xml:space="preserve">分</w:t>
            </w:r>
            <w:r>
              <w:rPr>
                <w:rFonts w:hint="eastAsia" w:ascii="宋体" w:hAnsi="宋体" w:eastAsia="宋体" w:cs="宋体"/>
                <w:color w:val="000000"/>
                <w:sz w:val="21"/>
                <w:szCs w:val="21"/>
              </w:rPr>
              <w:t xml:space="preserve">；</w:t>
            </w:r>
            <w:r/>
          </w:p>
          <w:p>
            <w:pPr>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（提供项目经理有效证书扫描件及投标人为其缴纳的自2026年1月以来任意一个月的社保</w:t>
            </w:r>
            <w:r>
              <w:rPr>
                <w:rFonts w:hint="eastAsia" w:ascii="宋体" w:hAnsi="宋体" w:eastAsia="宋体" w:cs="宋体"/>
                <w:color w:val="000000"/>
                <w:sz w:val="21"/>
                <w:szCs w:val="21"/>
                <w:lang w:eastAsia="zh-CN"/>
              </w:rPr>
              <w:t xml:space="preserve">证明</w:t>
            </w:r>
            <w:r>
              <w:rPr>
                <w:rFonts w:hint="eastAsia" w:ascii="宋体" w:hAnsi="宋体" w:eastAsia="宋体" w:cs="宋体"/>
                <w:color w:val="000000"/>
                <w:sz w:val="21"/>
                <w:szCs w:val="21"/>
              </w:rPr>
              <w:t xml:space="preserve">材料。）</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2</w:t>
            </w:r>
            <w:r/>
          </w:p>
        </w:tc>
        <w:tc>
          <w:tcPr>
            <w:tcW w:w="900" w:type="dxa"/>
            <w:vAlign w:val="center"/>
            <w:textDirection w:val="lrTb"/>
            <w:noWrap w:val="false"/>
          </w:tcPr>
          <w:p>
            <w:pPr>
              <w:jc w:val="center"/>
              <w:spacing w:before="68" w:line="264" w:lineRule="auto"/>
              <w:rPr>
                <w:rFonts w:hint="eastAsia" w:ascii="宋体" w:hAnsi="宋体" w:eastAsia="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rPr>
            </w:pPr>
            <w:r>
              <w:rPr>
                <w:rFonts w:hint="eastAsia" w:ascii="宋体" w:hAnsi="宋体" w:cs="宋体"/>
                <w:color w:val="000000"/>
                <w:spacing w:val="-2"/>
                <w:szCs w:val="21"/>
              </w:rPr>
              <w:t xml:space="preserve">5.2</w:t>
            </w:r>
            <w:r/>
          </w:p>
        </w:tc>
        <w:tc>
          <w:tcPr>
            <w:tcW w:w="1179" w:type="dxa"/>
            <w:vAlign w:val="center"/>
            <w:textDirection w:val="lrTb"/>
            <w:noWrap w:val="false"/>
          </w:tcPr>
          <w:p>
            <w:pPr>
              <w:spacing w:before="0" w:line="264" w:lineRule="auto"/>
              <w:rPr>
                <w:rFonts w:hint="eastAsia" w:ascii="宋体" w:hAnsi="宋体" w:eastAsia="宋体" w:cs="宋体"/>
                <w:color w:val="000000"/>
                <w:spacing w:val="0"/>
                <w:szCs w:val="21"/>
                <w:lang w:val="en-US" w:eastAsia="zh-CN"/>
              </w:rPr>
            </w:pPr>
            <w:r>
              <w:rPr>
                <w:rFonts w:hint="eastAsia" w:ascii="宋体" w:hAnsi="宋体" w:eastAsia="宋体" w:cs="宋体"/>
                <w:color w:val="000000"/>
                <w:spacing w:val="0"/>
                <w:szCs w:val="21"/>
              </w:rPr>
              <w:t xml:space="preserve">履约能力2</w:t>
            </w:r>
            <w:r/>
          </w:p>
        </w:tc>
        <w:tc>
          <w:tcPr>
            <w:tcW w:w="6330" w:type="dxa"/>
            <w:vAlign w:val="center"/>
            <w:textDirection w:val="lrTb"/>
            <w:noWrap w:val="false"/>
          </w:tcPr>
          <w:p>
            <w:pPr>
              <w:jc w:val="left"/>
              <w:keepLines w:val="0"/>
              <w:keepNext w:val="0"/>
              <w:spacing w:line="264"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投标人拟派本项目的安装维修人员（不含项目经理）：</w:t>
            </w:r>
            <w:r/>
          </w:p>
          <w:p>
            <w:pPr>
              <w:jc w:val="left"/>
              <w:keepLines w:val="0"/>
              <w:keepNext w:val="0"/>
              <w:spacing w:line="264"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具备应急管理部门颁发的特种作业操作证书，具体评分如下： </w:t>
            </w:r>
            <w:r/>
          </w:p>
          <w:p>
            <w:pPr>
              <w:numPr>
                <w:ilvl w:val="0"/>
                <w:numId w:val="2"/>
              </w:numPr>
              <w:jc w:val="left"/>
              <w:keepLines w:val="0"/>
              <w:keepNext w:val="0"/>
              <w:spacing w:line="264"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bidi="ar"/>
              </w:rPr>
              <w:t xml:space="preserve">具有安全生产监督管理局／应急管理部门颁发</w:t>
            </w:r>
            <w:r>
              <w:rPr>
                <w:rFonts w:hint="eastAsia" w:ascii="宋体" w:hAnsi="宋体" w:eastAsia="宋体" w:cs="宋体"/>
                <w:color w:val="000000"/>
                <w:sz w:val="21"/>
                <w:szCs w:val="21"/>
                <w:lang w:val="en-US" w:eastAsia="zh-CN" w:bidi="ar"/>
              </w:rPr>
              <w:t xml:space="preserve">的高处安装、维护、拆除作业证书：每1人得1分，最多计3分；</w:t>
            </w:r>
            <w:r/>
          </w:p>
          <w:p>
            <w:pPr>
              <w:numPr>
                <w:ilvl w:val="0"/>
                <w:numId w:val="2"/>
              </w:numPr>
              <w:jc w:val="left"/>
              <w:keepLines w:val="0"/>
              <w:keepNext w:val="0"/>
              <w:spacing w:line="264" w:lineRule="auto"/>
              <w:widowControl/>
              <w:rPr>
                <w:rFonts w:hint="eastAsia" w:ascii="宋体" w:hAnsi="宋体" w:eastAsia="宋体" w:cs="宋体"/>
                <w:color w:val="000000"/>
                <w:szCs w:val="21"/>
                <w:lang w:bidi="ar"/>
              </w:rPr>
              <w:suppressLineNumbers w:val="0"/>
            </w:pPr>
            <w:r>
              <w:rPr>
                <w:rFonts w:hint="eastAsia" w:ascii="宋体" w:hAnsi="宋体" w:eastAsia="宋体" w:cs="宋体"/>
                <w:color w:val="000000"/>
                <w:sz w:val="21"/>
                <w:szCs w:val="21"/>
                <w:lang w:val="en-US" w:eastAsia="zh-CN" w:bidi="ar"/>
              </w:rPr>
              <w:t xml:space="preserve"> 具有</w:t>
            </w:r>
            <w:r>
              <w:rPr>
                <w:rFonts w:hint="eastAsia" w:ascii="宋体" w:hAnsi="宋体" w:eastAsia="宋体" w:cs="宋体"/>
                <w:color w:val="000000"/>
                <w:sz w:val="21"/>
                <w:szCs w:val="21"/>
                <w:lang w:bidi="ar"/>
              </w:rPr>
              <w:t xml:space="preserve">安全生产监督管理局／应急管理部门颁发</w:t>
            </w:r>
            <w:r>
              <w:rPr>
                <w:rFonts w:hint="eastAsia" w:ascii="宋体" w:hAnsi="宋体" w:eastAsia="宋体" w:cs="宋体"/>
                <w:color w:val="000000"/>
                <w:sz w:val="21"/>
                <w:szCs w:val="21"/>
                <w:lang w:val="en-US" w:eastAsia="zh-CN" w:bidi="ar"/>
              </w:rPr>
              <w:t xml:space="preserve">的制冷与空调设备安装修理作业证书：每1人得1分，最多计1分；</w:t>
            </w:r>
            <w:r/>
          </w:p>
          <w:p>
            <w:pPr>
              <w:numPr>
                <w:ilvl w:val="0"/>
                <w:numId w:val="2"/>
              </w:numPr>
              <w:jc w:val="left"/>
              <w:keepLines w:val="0"/>
              <w:keepNext w:val="0"/>
              <w:spacing w:line="264" w:lineRule="auto"/>
              <w:widowControl/>
              <w:rPr>
                <w:rFonts w:hint="eastAsia" w:ascii="宋体" w:hAnsi="宋体" w:eastAsia="宋体" w:cs="宋体"/>
                <w:color w:val="000000"/>
                <w:szCs w:val="21"/>
                <w:lang w:bidi="ar"/>
              </w:rPr>
              <w:suppressLineNumbers w:val="0"/>
            </w:pPr>
            <w:r>
              <w:rPr>
                <w:rFonts w:hint="eastAsia" w:ascii="宋体" w:hAnsi="宋体" w:eastAsia="宋体" w:cs="宋体"/>
                <w:color w:val="000000"/>
                <w:sz w:val="21"/>
                <w:szCs w:val="21"/>
                <w:lang w:val="en-US" w:eastAsia="zh-CN" w:bidi="ar"/>
              </w:rPr>
              <w:t xml:space="preserve"> 具有</w:t>
            </w:r>
            <w:r>
              <w:rPr>
                <w:rFonts w:hint="eastAsia" w:ascii="宋体" w:hAnsi="宋体" w:eastAsia="宋体" w:cs="宋体"/>
                <w:color w:val="000000"/>
                <w:sz w:val="21"/>
                <w:szCs w:val="21"/>
                <w:lang w:bidi="ar"/>
              </w:rPr>
              <w:t xml:space="preserve">安全生产监督管理局／应急管理部门颁发</w:t>
            </w:r>
            <w:r>
              <w:rPr>
                <w:rFonts w:hint="eastAsia" w:ascii="宋体" w:hAnsi="宋体" w:eastAsia="宋体" w:cs="宋体"/>
                <w:color w:val="000000"/>
                <w:sz w:val="21"/>
                <w:szCs w:val="21"/>
                <w:lang w:val="en-US" w:eastAsia="zh-CN" w:bidi="ar"/>
              </w:rPr>
              <w:t xml:space="preserve">的熔化焊接与热切割作业证书：每1人得1分，最多计1分；  </w:t>
            </w:r>
            <w:r/>
          </w:p>
          <w:p>
            <w:pPr>
              <w:numPr>
                <w:ilvl w:val="0"/>
                <w:numId w:val="2"/>
              </w:numPr>
              <w:jc w:val="left"/>
              <w:keepLines w:val="0"/>
              <w:keepNext w:val="0"/>
              <w:spacing w:line="264" w:lineRule="auto"/>
              <w:widowControl/>
              <w:rPr>
                <w:rFonts w:hint="eastAsia" w:ascii="宋体" w:hAnsi="宋体" w:eastAsia="宋体" w:cs="宋体"/>
                <w:color w:val="000000"/>
                <w:szCs w:val="21"/>
                <w:lang w:bidi="ar"/>
              </w:rPr>
              <w:suppressLineNumbers w:val="0"/>
            </w:pPr>
            <w:r>
              <w:rPr>
                <w:rFonts w:hint="eastAsia" w:ascii="宋体" w:hAnsi="宋体" w:eastAsia="宋体" w:cs="宋体"/>
                <w:color w:val="000000"/>
                <w:sz w:val="21"/>
                <w:szCs w:val="21"/>
                <w:lang w:val="en-US" w:eastAsia="zh-CN" w:bidi="ar"/>
              </w:rPr>
              <w:t xml:space="preserve">具有</w:t>
            </w:r>
            <w:r>
              <w:rPr>
                <w:rFonts w:hint="eastAsia" w:ascii="宋体" w:hAnsi="宋体" w:eastAsia="宋体" w:cs="宋体"/>
                <w:color w:val="000000"/>
                <w:sz w:val="21"/>
                <w:szCs w:val="21"/>
                <w:lang w:bidi="ar"/>
              </w:rPr>
              <w:t xml:space="preserve">安全生产监督管理局／应急管理部门颁发</w:t>
            </w:r>
            <w:r>
              <w:rPr>
                <w:rFonts w:hint="eastAsia" w:ascii="宋体" w:hAnsi="宋体" w:eastAsia="宋体" w:cs="宋体"/>
                <w:color w:val="000000"/>
                <w:sz w:val="21"/>
                <w:szCs w:val="21"/>
                <w:lang w:val="en-US" w:eastAsia="zh-CN" w:bidi="ar"/>
              </w:rPr>
              <w:t xml:space="preserve">的低压电工作业证书：每1人得1分，最多计1分。 </w:t>
            </w:r>
            <w:r/>
          </w:p>
          <w:p>
            <w:pPr>
              <w:spacing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（提供以上有效证书复印件和公司为其缴纳的自2026年</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月以来任意一个月的社保证明证明材料，一人多证不重复得分）。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eastAsia="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p>
        </w:tc>
      </w:tr>
      <w:tr>
        <w:trPr>
          <w:jc w:val="center"/>
          <w:trHeight w:val="431"/>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spacing w:val="-6"/>
                <w:szCs w:val="21"/>
              </w:rPr>
            </w:pPr>
            <w:r>
              <w:rPr>
                <w:rFonts w:hint="eastAsia" w:ascii="宋体" w:hAnsi="宋体" w:eastAsia="宋体" w:cs="宋体"/>
                <w:b/>
                <w:bCs/>
                <w:color w:val="000000"/>
                <w:spacing w:val="-3"/>
                <w:szCs w:val="21"/>
                <w:lang w:val="en-US" w:eastAsia="zh-CN"/>
              </w:rPr>
              <w:t xml:space="preserve">6.节能环保</w:t>
            </w:r>
            <w:r/>
          </w:p>
        </w:tc>
      </w:tr>
      <w:tr>
        <w:trPr>
          <w:jc w:val="center"/>
          <w:trHeight w:val="676"/>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6.1</w:t>
            </w:r>
            <w:r/>
          </w:p>
        </w:tc>
        <w:tc>
          <w:tcPr>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p>
        </w:tc>
        <w:tc>
          <w:tcPr>
            <w:tcW w:w="6330" w:type="dxa"/>
            <w:vAlign w:val="center"/>
            <w:textDirection w:val="lrTb"/>
            <w:noWrap w:val="false"/>
          </w:tcPr>
          <w:p>
            <w:pPr>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标产品属于财政部、生态环境部公布的《环境</w:t>
            </w:r>
            <w:r>
              <w:rPr>
                <w:rFonts w:ascii="宋体" w:hAnsi="宋体" w:eastAsia="宋体" w:cs="宋体"/>
                <w:color w:val="000000"/>
                <w:szCs w:val="21"/>
                <w:lang w:val="en-US" w:eastAsia="zh-CN"/>
              </w:rPr>
              <w:t xml:space="preserve">标志产品品目清单</w:t>
            </w:r>
            <w:r>
              <w:rPr>
                <w:rFonts w:hint="eastAsia" w:ascii="宋体" w:hAnsi="宋体" w:eastAsia="宋体" w:cs="宋体"/>
                <w:color w:val="000000"/>
                <w:szCs w:val="21"/>
                <w:lang w:val="en-US" w:eastAsia="zh-CN"/>
              </w:rPr>
              <w:t xml:space="preserve">》</w:t>
            </w:r>
            <w:r>
              <w:rPr>
                <w:rFonts w:ascii="宋体" w:hAnsi="宋体" w:eastAsia="宋体" w:cs="宋体"/>
                <w:color w:val="000000"/>
                <w:szCs w:val="21"/>
              </w:rPr>
              <w:t xml:space="preserve">（财库〔2019〕1</w:t>
            </w:r>
            <w:r>
              <w:rPr>
                <w:rFonts w:hint="eastAsia" w:ascii="宋体" w:hAnsi="宋体" w:eastAsia="宋体" w:cs="宋体"/>
                <w:color w:val="000000"/>
                <w:szCs w:val="21"/>
                <w:lang w:val="en-US" w:eastAsia="zh-CN"/>
              </w:rPr>
              <w:t xml:space="preserve">8</w:t>
            </w:r>
            <w:r>
              <w:rPr>
                <w:rFonts w:ascii="宋体" w:hAnsi="宋体" w:eastAsia="宋体" w:cs="宋体"/>
                <w:color w:val="000000"/>
                <w:szCs w:val="21"/>
              </w:rPr>
              <w:t xml:space="preserve">号）</w:t>
            </w:r>
            <w:r>
              <w:rPr>
                <w:rFonts w:hint="eastAsia" w:ascii="宋体" w:hAnsi="宋体" w:eastAsia="宋体" w:cs="宋体"/>
                <w:color w:val="000000"/>
                <w:szCs w:val="21"/>
                <w:lang w:val="en-US" w:eastAsia="zh-CN"/>
              </w:rPr>
              <w:t xml:space="preserve">范围内的，投标人提供国家确定的认证机构出具的、处于有效期内的该环境标志产品认证证书的，有1个得0.5分，最多得1分。</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1</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Cs w:val="21"/>
                <w:lang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3"/>
                <w:szCs w:val="21"/>
              </w:rPr>
              <w:t xml:space="preserve">合</w:t>
            </w:r>
            <w:r>
              <w:rPr>
                <w:rFonts w:hint="eastAsia" w:ascii="宋体" w:hAnsi="宋体" w:eastAsia="宋体" w:cs="宋体"/>
                <w:color w:val="000000"/>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68"/>
        <w:rPr>
          <w:rFonts w:hint="eastAsia"/>
          <w:color w:val="000000"/>
          <w:lang w:val="en-US" w:eastAsia="zh-CN"/>
        </w:rPr>
      </w:pPr>
      <w:r>
        <w:rPr>
          <w:rFonts w:hint="eastAsia"/>
          <w:color w:val="000000"/>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bookmarkEnd w:id="187"/>
      <w:bookmarkEnd w:id="188"/>
      <w:bookmarkEnd w:id="190"/>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ascii="Times New Roman" w:hAnsi="Times New Roman" w:eastAsia="Times New Roman" w:cs="Times New Roman"/>
          <w:color w:val="000000"/>
          <w:sz w:val="21"/>
        </w:rPr>
        <w:t xml:space="preserve"> </w:t>
      </w: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hint="eastAsia" w:ascii="宋体" w:hAnsi="宋体"/>
          <w:b/>
          <w:color w:val="000000"/>
          <w:sz w:val="72"/>
          <w:szCs w:val="21"/>
        </w:rPr>
      </w:pPr>
      <w:r/>
      <w:bookmarkStart w:id="191" w:name="_Hlt26671244"/>
      <w:r/>
      <w:bookmarkEnd w:id="191"/>
      <w:r/>
      <w:bookmarkStart w:id="192" w:name="_Hlt26955039"/>
      <w:r/>
      <w:bookmarkEnd w:id="192"/>
      <w:r/>
      <w:bookmarkStart w:id="193" w:name="_Toc49090576"/>
      <w:r/>
      <w:bookmarkStart w:id="194" w:name="_Toc120614282"/>
      <w:r/>
      <w:bookmarkStart w:id="195"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3"/>
      <w:r/>
      <w:bookmarkEnd w:id="194"/>
      <w:r/>
      <w:bookmarkEnd w:id="195"/>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196"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671"/>
        <w:rPr>
          <w:rFonts w:ascii="宋体" w:hAnsi="宋体"/>
          <w:sz w:val="24"/>
        </w:rPr>
      </w:pPr>
      <w:r>
        <w:rPr>
          <w:rFonts w:ascii="宋体" w:hAnsi="宋体"/>
          <w:sz w:val="24"/>
        </w:rPr>
      </w:r>
      <w:r/>
    </w:p>
    <w:p>
      <w:pPr>
        <w:pStyle w:val="671"/>
        <w:rPr>
          <w:rFonts w:ascii="宋体" w:hAnsi="宋体"/>
          <w:sz w:val="24"/>
        </w:rPr>
      </w:pPr>
      <w:r>
        <w:rPr>
          <w:rFonts w:ascii="宋体" w:hAnsi="宋体"/>
          <w:sz w:val="24"/>
        </w:rPr>
      </w:r>
      <w:r/>
    </w:p>
    <w:p>
      <w:pPr>
        <w:pStyle w:val="671"/>
        <w:rPr>
          <w:rFonts w:ascii="宋体" w:hAnsi="宋体"/>
          <w:sz w:val="24"/>
        </w:rPr>
      </w:pPr>
      <w:r>
        <w:rPr>
          <w:rFonts w:ascii="宋体" w:hAnsi="宋体"/>
          <w:sz w:val="24"/>
        </w:rPr>
      </w:r>
      <w:r/>
    </w:p>
    <w:p>
      <w:pPr>
        <w:pStyle w:val="671"/>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67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auto"/>
          <w:sz w:val="32"/>
          <w:szCs w:val="32"/>
          <w:u w:val="single"/>
          <w:lang w:eastAsia="zh-CN"/>
        </w:rPr>
      </w:pPr>
      <w:r>
        <w:rPr>
          <w:rFonts w:hint="eastAsia" w:ascii="黑体" w:hAnsi="黑体" w:eastAsia="黑体" w:cs="Times New Roman"/>
          <w:i/>
          <w:color w:val="auto"/>
          <w:sz w:val="32"/>
          <w:szCs w:val="32"/>
          <w:u w:val="single"/>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67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7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673"/>
        <w:ind w:firstLine="480"/>
        <w:spacing w:line="420" w:lineRule="exact"/>
        <w:rPr>
          <w:rFonts w:hint="eastAsia"/>
          <w:sz w:val="24"/>
          <w:szCs w:val="24"/>
        </w:rPr>
      </w:pPr>
      <w:r>
        <w:rPr>
          <w:rFonts w:hint="eastAsia"/>
          <w:sz w:val="24"/>
          <w:szCs w:val="24"/>
        </w:rPr>
      </w:r>
      <w:r/>
    </w:p>
    <w:p>
      <w:pPr>
        <w:pStyle w:val="67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67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673"/>
        <w:ind w:firstLine="480"/>
        <w:spacing w:line="480" w:lineRule="exact"/>
        <w:rPr>
          <w:rFonts w:hint="eastAsia"/>
          <w:sz w:val="24"/>
          <w:szCs w:val="24"/>
        </w:rPr>
      </w:pPr>
      <w:r>
        <w:rPr>
          <w:rFonts w:hint="eastAsia"/>
          <w:sz w:val="24"/>
          <w:szCs w:val="24"/>
        </w:rPr>
        <w:t xml:space="preserve">被授权人身份证号码：</w:t>
      </w:r>
      <w:r/>
    </w:p>
    <w:p>
      <w:pPr>
        <w:pStyle w:val="67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673"/>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673"/>
        <w:ind w:firstLine="480"/>
        <w:spacing w:line="480" w:lineRule="exact"/>
        <w:rPr>
          <w:rFonts w:hint="eastAsia"/>
          <w:sz w:val="24"/>
          <w:szCs w:val="24"/>
          <w:u w:val="single"/>
        </w:rPr>
      </w:pPr>
      <w:r>
        <w:rPr>
          <w:rFonts w:hint="eastAsia"/>
          <w:sz w:val="24"/>
          <w:szCs w:val="24"/>
        </w:rPr>
        <w:t xml:space="preserve">单位地址：</w:t>
      </w:r>
      <w:r/>
    </w:p>
    <w:p>
      <w:pPr>
        <w:pStyle w:val="67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7" w:name="_Hlt26671380"/>
      <w:r/>
      <w:bookmarkEnd w:id="197"/>
      <w:r/>
      <w:bookmarkStart w:id="198" w:name="_Hlt26955070"/>
      <w:r/>
      <w:bookmarkEnd w:id="198"/>
      <w:r/>
      <w:bookmarkStart w:id="199" w:name="_格式3__银行出具的资信证明"/>
      <w:r/>
      <w:bookmarkEnd w:id="199"/>
      <w:r/>
      <w:r/>
    </w:p>
    <w:p>
      <w:pPr>
        <w:pStyle w:val="654"/>
        <w:rPr>
          <w:rFonts w:hint="eastAsia"/>
          <w:i/>
          <w:sz w:val="24"/>
          <w:szCs w:val="24"/>
          <w:u w:val="single"/>
        </w:rPr>
      </w:pPr>
      <w:r>
        <w:rPr>
          <w:rFonts w:hint="eastAsia"/>
          <w:i/>
          <w:sz w:val="24"/>
          <w:szCs w:val="24"/>
          <w:u w:val="single"/>
        </w:rPr>
      </w:r>
      <w:r/>
    </w:p>
    <w:p>
      <w:pPr>
        <w:pStyle w:val="654"/>
        <w:ind w:firstLine="0"/>
        <w:rPr>
          <w:rFonts w:hint="eastAsia"/>
        </w:rPr>
      </w:pPr>
      <w:r>
        <w:rPr>
          <w:rFonts w:hint="eastAsia"/>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658"/>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658"/>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658"/>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6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6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6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6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6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651"/>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658"/>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658"/>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658"/>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6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6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6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658"/>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658"/>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50"/>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65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50"/>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default" w:ascii="宋体" w:hAnsi="宋体" w:eastAsia="宋体" w:cs="宋体"/>
                <w:sz w:val="21"/>
                <w:szCs w:val="21"/>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50"/>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65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65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65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65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65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655"/>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65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65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65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5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65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5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65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65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65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7"/>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657"/>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65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671"/>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65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5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656"/>
          <w:rFonts w:hint="eastAsia"/>
          <w:i w:val="0"/>
          <w:u w:val="single"/>
          <w:shd w:val="clear" w:color="auto" w:fill="ffffff"/>
        </w:rPr>
        <w:t xml:space="preserve">（产品名称1）</w:t>
      </w:r>
      <w:r>
        <w:rPr>
          <w:rStyle w:val="65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656"/>
          <w:rFonts w:hint="eastAsia"/>
          <w:i w:val="0"/>
          <w:u w:val="single"/>
          <w:shd w:val="clear" w:color="auto" w:fill="ffffff"/>
        </w:rPr>
        <w:t xml:space="preserve">（厂名）</w:t>
      </w:r>
      <w:r>
        <w:rPr>
          <w:rStyle w:val="656"/>
          <w:rFonts w:hint="eastAsia"/>
          <w:i w:val="0"/>
          <w:shd w:val="clear" w:color="auto" w:fill="ffffff"/>
          <w:vertAlign w:val="superscript"/>
        </w:rPr>
        <w:t xml:space="preserve">2</w:t>
      </w:r>
      <w:r>
        <w:rPr>
          <w:rFonts w:hint="eastAsia"/>
          <w:shd w:val="clear" w:color="auto" w:fill="ffffff"/>
        </w:rPr>
        <w:t xml:space="preserve">，厂址为</w:t>
      </w:r>
      <w:r>
        <w:rPr>
          <w:rStyle w:val="656"/>
          <w:rFonts w:hint="eastAsia"/>
          <w:i w:val="0"/>
          <w:u w:val="single"/>
          <w:shd w:val="clear" w:color="auto" w:fill="ffffff"/>
        </w:rPr>
        <w:t xml:space="preserve">（生产厂址）</w:t>
      </w:r>
      <w:r>
        <w:rPr>
          <w:rFonts w:hint="eastAsia"/>
          <w:shd w:val="clear" w:color="auto" w:fill="ffffff"/>
        </w:rPr>
        <w:t xml:space="preserve">。</w:t>
      </w:r>
      <w:r>
        <w:rPr>
          <w:rStyle w:val="656"/>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656"/>
          <w:rFonts w:hint="eastAsia"/>
          <w:i/>
          <w:strike w:val="0"/>
          <w:u w:val="single"/>
          <w:shd w:val="clear" w:color="auto" w:fill="ffffff"/>
        </w:rPr>
        <w:t xml:space="preserve">（规定比例）</w:t>
      </w:r>
      <w:r>
        <w:rPr>
          <w:rStyle w:val="656"/>
          <w:rFonts w:hint="eastAsia"/>
          <w:i w:val="0"/>
          <w:shd w:val="clear" w:color="auto" w:fill="ffffff"/>
          <w:vertAlign w:val="superscript"/>
        </w:rPr>
        <w:t xml:space="preserve">3</w:t>
      </w:r>
      <w:r>
        <w:rPr>
          <w:rFonts w:hint="eastAsia"/>
          <w:strike w:val="0"/>
          <w:shd w:val="clear" w:color="auto" w:fill="ffffff"/>
        </w:rPr>
        <w:t xml:space="preserve">。</w:t>
      </w:r>
      <w:r>
        <w:rPr>
          <w:rStyle w:val="656"/>
          <w:rFonts w:hint="eastAsia"/>
          <w:i/>
          <w:strike w:val="0"/>
          <w:u w:val="single"/>
          <w:shd w:val="clear" w:color="auto" w:fill="ffffff"/>
        </w:rPr>
        <w:t xml:space="preserve">（产品名称1）</w:t>
      </w:r>
      <w:r>
        <w:rPr>
          <w:rFonts w:hint="eastAsia"/>
          <w:strike w:val="0"/>
          <w:shd w:val="clear" w:color="auto" w:fill="ffffff"/>
        </w:rPr>
        <w:t xml:space="preserve">的</w:t>
      </w:r>
      <w:r>
        <w:rPr>
          <w:rStyle w:val="656"/>
          <w:rFonts w:hint="eastAsia"/>
          <w:i/>
          <w:strike w:val="0"/>
          <w:u w:val="single"/>
          <w:shd w:val="clear" w:color="auto" w:fill="ffffff"/>
        </w:rPr>
        <w:t xml:space="preserve">（关键组件）</w:t>
      </w:r>
      <w:r>
        <w:rPr>
          <w:rStyle w:val="656"/>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656"/>
          <w:rFonts w:hint="eastAsia"/>
          <w:i/>
          <w:strike w:val="0"/>
          <w:u w:val="single"/>
          <w:shd w:val="clear" w:color="auto" w:fill="ffffff"/>
        </w:rPr>
        <w:t xml:space="preserve">（产品名称1）</w:t>
      </w:r>
      <w:r>
        <w:rPr>
          <w:rFonts w:hint="eastAsia"/>
          <w:strike w:val="0"/>
          <w:shd w:val="clear" w:color="auto" w:fill="ffffff"/>
        </w:rPr>
        <w:t xml:space="preserve">的</w:t>
      </w:r>
      <w:r>
        <w:rPr>
          <w:rStyle w:val="656"/>
          <w:rFonts w:hint="eastAsia"/>
          <w:i/>
          <w:strike w:val="0"/>
          <w:u w:val="single"/>
          <w:shd w:val="clear" w:color="auto" w:fill="ffffff"/>
        </w:rPr>
        <w:t xml:space="preserve">（关键工序）</w:t>
      </w:r>
      <w:r>
        <w:rPr>
          <w:rStyle w:val="656"/>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655"/>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656"/>
          <w:rFonts w:hint="eastAsia"/>
          <w:i w:val="0"/>
          <w:u w:val="single"/>
          <w:shd w:val="clear" w:color="auto" w:fill="ffffff"/>
        </w:rPr>
        <w:t xml:space="preserve">（产品名称2）</w:t>
      </w:r>
      <w:r>
        <w:rPr>
          <w:rFonts w:hint="eastAsia"/>
          <w:shd w:val="clear" w:color="auto" w:fill="ffffff"/>
        </w:rPr>
        <w:t xml:space="preserve">，生产厂为</w:t>
      </w:r>
      <w:r>
        <w:rPr>
          <w:rStyle w:val="656"/>
          <w:rFonts w:hint="eastAsia"/>
          <w:i w:val="0"/>
          <w:u w:val="single"/>
          <w:shd w:val="clear" w:color="auto" w:fill="ffffff"/>
        </w:rPr>
        <w:t xml:space="preserve">（厂名）</w:t>
      </w:r>
      <w:r>
        <w:rPr>
          <w:rFonts w:hint="eastAsia"/>
          <w:shd w:val="clear" w:color="auto" w:fill="ffffff"/>
        </w:rPr>
        <w:t xml:space="preserve">，厂址为</w:t>
      </w:r>
      <w:r>
        <w:rPr>
          <w:rStyle w:val="656"/>
          <w:rFonts w:hint="eastAsia"/>
          <w:i w:val="0"/>
          <w:u w:val="single"/>
          <w:shd w:val="clear" w:color="auto" w:fill="ffffff"/>
        </w:rPr>
        <w:t xml:space="preserve">（生产厂址）</w:t>
      </w:r>
      <w:r>
        <w:rPr>
          <w:rFonts w:hint="eastAsia"/>
          <w:shd w:val="clear" w:color="auto" w:fill="ffffff"/>
        </w:rPr>
        <w:t xml:space="preserve">。</w:t>
      </w:r>
      <w:r>
        <w:rPr>
          <w:rStyle w:val="656"/>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656"/>
          <w:rFonts w:hint="eastAsia"/>
          <w:i/>
          <w:strike w:val="0"/>
          <w:u w:val="single"/>
          <w:shd w:val="clear" w:color="auto" w:fill="ffffff"/>
        </w:rPr>
        <w:t xml:space="preserve">（规定比例）</w:t>
      </w:r>
      <w:r>
        <w:rPr>
          <w:rFonts w:hint="eastAsia"/>
          <w:strike w:val="0"/>
          <w:shd w:val="clear" w:color="auto" w:fill="ffffff"/>
        </w:rPr>
        <w:t xml:space="preserve">。</w:t>
      </w:r>
      <w:r>
        <w:rPr>
          <w:rStyle w:val="656"/>
          <w:rFonts w:hint="eastAsia"/>
          <w:i/>
          <w:strike w:val="0"/>
          <w:u w:val="single"/>
          <w:shd w:val="clear" w:color="auto" w:fill="ffffff"/>
        </w:rPr>
        <w:t xml:space="preserve">（产品名称2）</w:t>
      </w:r>
      <w:r>
        <w:rPr>
          <w:rFonts w:hint="eastAsia"/>
          <w:strike w:val="0"/>
          <w:shd w:val="clear" w:color="auto" w:fill="ffffff"/>
        </w:rPr>
        <w:t xml:space="preserve">的</w:t>
      </w:r>
      <w:r>
        <w:rPr>
          <w:rStyle w:val="656"/>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656"/>
          <w:rFonts w:hint="eastAsia"/>
          <w:i/>
          <w:strike w:val="0"/>
          <w:u w:val="single"/>
          <w:shd w:val="clear" w:color="auto" w:fill="ffffff"/>
        </w:rPr>
        <w:t xml:space="preserve">（产品名称2）</w:t>
      </w:r>
      <w:r>
        <w:rPr>
          <w:rFonts w:hint="eastAsia"/>
          <w:strike w:val="0"/>
          <w:shd w:val="clear" w:color="auto" w:fill="ffffff"/>
        </w:rPr>
        <w:t xml:space="preserve">的</w:t>
      </w:r>
      <w:r>
        <w:rPr>
          <w:rStyle w:val="656"/>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65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655"/>
        <w:ind w:firstLine="420"/>
        <w:spacing w:before="24" w:beforeAutospacing="0" w:after="24" w:afterAutospacing="0" w:line="360" w:lineRule="auto"/>
        <w:shd w:val="clear" w:color="auto" w:fill="ffffff"/>
        <w:rPr>
          <w:rFonts w:hint="eastAsia"/>
        </w:rPr>
      </w:pPr>
      <w:r/>
      <w:bookmarkStart w:id="200" w:name="OLE_LINK6"/>
      <w:r>
        <w:rPr>
          <w:rFonts w:hint="eastAsia"/>
          <w:shd w:val="clear" w:color="auto" w:fill="ffffff"/>
        </w:rPr>
        <w:t xml:space="preserve">本公司（单位）</w:t>
      </w:r>
      <w:bookmarkEnd w:id="200"/>
      <w:r>
        <w:rPr>
          <w:rFonts w:hint="eastAsia"/>
          <w:shd w:val="clear" w:color="auto" w:fill="ffffff"/>
        </w:rPr>
        <w:t xml:space="preserve">对上述声明内容的真实性负责。如有虚假，愿承担相应法律责任。</w:t>
      </w:r>
      <w:r/>
    </w:p>
    <w:p>
      <w:pPr>
        <w:pStyle w:val="65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65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5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65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65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655"/>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655"/>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65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b w:val="0"/>
          <w:bCs w:val="0"/>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b w:val="0"/>
          <w:bCs w:val="0"/>
          <w:sz w:val="32"/>
          <w:szCs w:val="32"/>
        </w:rPr>
      </w:pPr>
      <w:r>
        <w:br w:type="page" w:clear="all"/>
      </w:r>
      <w:bookmarkEnd w:id="19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Symbol">
    <w:panose1 w:val="05050102010706020507"/>
  </w:font>
  <w:font w:name="Wingdings">
    <w:panose1 w:val="05000000000000000000"/>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rPr>
        <w:rStyle w:val="677"/>
        <w:rFonts w:ascii="宋体" w:hAnsi="宋体"/>
      </w:rPr>
      <w:framePr w:wrap="around" w:vAnchor="text" w:hAnchor="margin" w:xAlign="center" w:y="1"/>
    </w:pPr>
    <w:r>
      <w:rPr>
        <w:rFonts w:ascii="宋体" w:hAnsi="宋体"/>
      </w:rPr>
      <w:fldChar w:fldCharType="begin"/>
    </w:r>
    <w:r>
      <w:rPr>
        <w:rStyle w:val="677"/>
        <w:rFonts w:ascii="宋体" w:hAnsi="宋体"/>
      </w:rPr>
      <w:instrText xml:space="preserve">PAGE  </w:instrText>
    </w:r>
    <w:r>
      <w:rPr>
        <w:rFonts w:ascii="宋体" w:hAnsi="宋体"/>
      </w:rPr>
      <w:fldChar w:fldCharType="separate"/>
    </w:r>
    <w:r>
      <w:rPr>
        <w:rStyle w:val="677"/>
        <w:rFonts w:ascii="宋体" w:hAnsi="宋体"/>
      </w:rPr>
      <w:t xml:space="preserve">４２</w:t>
    </w:r>
    <w:r>
      <w:rPr>
        <w:rFonts w:ascii="宋体" w:hAnsi="宋体"/>
      </w:rPr>
      <w:fldChar w:fldCharType="end"/>
    </w:r>
    <w:r/>
  </w:p>
  <w:p>
    <w:pPr>
      <w:pStyle w:val="6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rPr>
        <w:rStyle w:val="677"/>
      </w:rPr>
      <w:framePr w:wrap="around" w:vAnchor="text" w:hAnchor="margin" w:xAlign="center" w:y="1"/>
    </w:pPr>
    <w:r>
      <w:fldChar w:fldCharType="begin"/>
    </w:r>
    <w:r>
      <w:rPr>
        <w:rStyle w:val="677"/>
      </w:rPr>
      <w:instrText xml:space="preserve">PAGE  </w:instrText>
    </w:r>
    <w:r>
      <w:fldChar w:fldCharType="separate"/>
    </w:r>
    <w:r>
      <w:rPr>
        <w:rStyle w:val="677"/>
      </w:rPr>
      <w:t xml:space="preserve">1</w:t>
    </w:r>
    <w:r>
      <w:fldChar w:fldCharType="end"/>
    </w:r>
    <w:r/>
  </w:p>
  <w:p>
    <w:pPr>
      <w:pStyle w:val="6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8"/>
    <w:next w:val="6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paragraph" w:styleId="14">
    <w:name w:val="Heading 2"/>
    <w:basedOn w:val="648"/>
    <w:next w:val="6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9"/>
    <w:link w:val="14"/>
    <w:uiPriority w:val="9"/>
    <w:rPr>
      <w:rFonts w:ascii="Arial" w:hAnsi="Arial" w:eastAsia="Arial" w:cs="Arial"/>
      <w:sz w:val="34"/>
    </w:rPr>
  </w:style>
  <w:style w:type="paragraph" w:styleId="16">
    <w:name w:val="Heading 3"/>
    <w:basedOn w:val="648"/>
    <w:next w:val="6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9"/>
    <w:link w:val="16"/>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9"/>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8"/>
    <w:link w:val="42"/>
    <w:uiPriority w:val="99"/>
    <w:unhideWhenUsed/>
    <w:pPr>
      <w:spacing w:after="0" w:line="240" w:lineRule="auto"/>
      <w:tabs>
        <w:tab w:val="center" w:pos="7143" w:leader="none"/>
        <w:tab w:val="right" w:pos="14287" w:leader="none"/>
      </w:tabs>
    </w:pPr>
  </w:style>
  <w:style w:type="character" w:styleId="42">
    <w:name w:val="Header Char"/>
    <w:basedOn w:val="649"/>
    <w:link w:val="41"/>
    <w:uiPriority w:val="99"/>
  </w:style>
  <w:style w:type="paragraph" w:styleId="43">
    <w:name w:val="Footer"/>
    <w:basedOn w:val="648"/>
    <w:link w:val="46"/>
    <w:uiPriority w:val="99"/>
    <w:unhideWhenUsed/>
    <w:pPr>
      <w:spacing w:after="0" w:line="240" w:lineRule="auto"/>
      <w:tabs>
        <w:tab w:val="center" w:pos="7143" w:leader="none"/>
        <w:tab w:val="right" w:pos="14287" w:leader="none"/>
      </w:tabs>
    </w:pPr>
  </w:style>
  <w:style w:type="character" w:styleId="44">
    <w:name w:val="Footer Char"/>
    <w:basedOn w:val="649"/>
    <w:link w:val="4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5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49" w:default="1">
    <w:name w:val="Default Paragraph Font"/>
    <w:uiPriority w:val="0"/>
    <w:semiHidden/>
    <w:qFormat/>
  </w:style>
  <w:style w:type="table" w:styleId="650" w:default="1">
    <w:name w:val="Normal Table"/>
    <w:uiPriority w:val="0"/>
    <w:semiHidden/>
    <w:qFormat/>
    <w:tblPr>
      <w:tblCellMar>
        <w:left w:w="108" w:type="dxa"/>
        <w:top w:w="0" w:type="dxa"/>
        <w:right w:w="108" w:type="dxa"/>
        <w:bottom w:w="0" w:type="dxa"/>
      </w:tblCellMar>
    </w:tblPr>
  </w:style>
  <w:style w:type="paragraph" w:styleId="651">
    <w:name w:val="Body Text First Indent 2"/>
    <w:basedOn w:val="652"/>
    <w:next w:val="648"/>
    <w:uiPriority w:val="0"/>
    <w:qFormat/>
    <w:pPr>
      <w:ind w:left="0" w:firstLine="420"/>
      <w:spacing w:after="0" w:line="360" w:lineRule="auto"/>
    </w:pPr>
    <w:rPr>
      <w:rFonts w:ascii="宋体" w:hAnsi="宋体" w:eastAsia="宋体" w:cs="Times New Roman"/>
      <w:szCs w:val="20"/>
    </w:rPr>
  </w:style>
  <w:style w:type="paragraph" w:styleId="652">
    <w:name w:val="Body Text Indent"/>
    <w:basedOn w:val="648"/>
    <w:next w:val="653"/>
    <w:uiPriority w:val="0"/>
    <w:unhideWhenUsed/>
    <w:qFormat/>
    <w:pPr>
      <w:ind w:left="420"/>
      <w:spacing w:after="120"/>
    </w:pPr>
  </w:style>
  <w:style w:type="paragraph" w:styleId="653">
    <w:name w:val="envelope return"/>
    <w:basedOn w:val="648"/>
    <w:uiPriority w:val="0"/>
    <w:qFormat/>
    <w:rPr>
      <w:rFonts w:ascii="Arial" w:hAnsi="Arial" w:eastAsia="宋体" w:cs="宋体"/>
    </w:rPr>
  </w:style>
  <w:style w:type="paragraph" w:styleId="654">
    <w:name w:val="Normal Indent"/>
    <w:basedOn w:val="648"/>
    <w:uiPriority w:val="0"/>
    <w:qFormat/>
    <w:pPr>
      <w:ind w:firstLine="420"/>
    </w:pPr>
    <w:rPr>
      <w:szCs w:val="21"/>
    </w:rPr>
  </w:style>
  <w:style w:type="paragraph" w:styleId="655">
    <w:name w:val="Normal (Web)"/>
    <w:basedOn w:val="648"/>
    <w:uiPriority w:val="99"/>
    <w:qFormat/>
    <w:pPr>
      <w:jc w:val="left"/>
      <w:spacing w:before="100" w:beforeAutospacing="1" w:after="100" w:afterAutospacing="1"/>
      <w:widowControl/>
    </w:pPr>
    <w:rPr>
      <w:rFonts w:ascii="宋体" w:hAnsi="宋体" w:eastAsia="宋体" w:cs="宋体"/>
      <w:sz w:val="24"/>
      <w:szCs w:val="24"/>
    </w:rPr>
  </w:style>
  <w:style w:type="character" w:styleId="656">
    <w:name w:val="Emphasis"/>
    <w:uiPriority w:val="0"/>
    <w:qFormat/>
    <w:rPr>
      <w:i/>
    </w:rPr>
  </w:style>
  <w:style w:type="paragraph" w:styleId="657" w:customStyle="1">
    <w:name w:val="索引 41"/>
    <w:basedOn w:val="648"/>
    <w:next w:val="648"/>
    <w:uiPriority w:val="0"/>
    <w:semiHidden/>
    <w:qFormat/>
    <w:pPr>
      <w:ind w:left="1260"/>
    </w:pPr>
    <w:rPr>
      <w:rFonts w:ascii="Calibri" w:hAnsi="Calibri" w:eastAsia="Calibri" w:cs="宋体"/>
      <w:sz w:val="20"/>
      <w:lang w:val="zh-CN"/>
    </w:rPr>
  </w:style>
  <w:style w:type="paragraph" w:styleId="658" w:customStyle="1">
    <w:name w:val="普通正文"/>
    <w:basedOn w:val="648"/>
    <w:uiPriority w:val="0"/>
    <w:qFormat/>
    <w:pPr>
      <w:ind w:firstLine="480"/>
      <w:jc w:val="left"/>
      <w:spacing w:before="120" w:after="120" w:line="360" w:lineRule="auto"/>
    </w:pPr>
    <w:rPr>
      <w:rFonts w:ascii="Arial" w:hAnsi="Arial" w:eastAsia="宋体" w:cs="Times New Roman"/>
      <w:sz w:val="24"/>
      <w:szCs w:val="24"/>
    </w:rPr>
  </w:style>
  <w:style w:type="paragraph" w:styleId="659" w:customStyle="1">
    <w:name w:val="标题 31"/>
    <w:basedOn w:val="648"/>
    <w:next w:val="66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0" w:customStyle="1">
    <w:name w:val="正文缩进1"/>
    <w:basedOn w:val="648"/>
    <w:uiPriority w:val="0"/>
    <w:qFormat/>
    <w:pPr>
      <w:ind w:firstLine="420"/>
    </w:pPr>
    <w:rPr>
      <w:szCs w:val="21"/>
    </w:rPr>
  </w:style>
  <w:style w:type="paragraph" w:styleId="661" w:customStyle="1">
    <w:name w:val="标题 41"/>
    <w:basedOn w:val="648"/>
    <w:next w:val="660"/>
    <w:uiPriority w:val="0"/>
    <w:qFormat/>
    <w:pPr>
      <w:keepLines/>
      <w:keepNext/>
      <w:spacing w:before="280" w:after="290" w:line="376" w:lineRule="auto"/>
      <w:outlineLvl w:val="3"/>
    </w:pPr>
    <w:rPr>
      <w:rFonts w:ascii="Arial" w:hAnsi="Arial" w:eastAsia="黑体" w:cs="Arial"/>
      <w:b/>
      <w:bCs/>
      <w:sz w:val="28"/>
      <w:szCs w:val="28"/>
    </w:rPr>
  </w:style>
  <w:style w:type="paragraph" w:styleId="662" w:customStyle="1">
    <w:name w:val="纯文本1"/>
    <w:basedOn w:val="648"/>
    <w:uiPriority w:val="0"/>
    <w:qFormat/>
    <w:rPr>
      <w:rFonts w:ascii="宋体" w:hAnsi="Courier New" w:eastAsia="宋体" w:cs="Courier New"/>
      <w:szCs w:val="21"/>
    </w:rPr>
  </w:style>
  <w:style w:type="character" w:styleId="663" w:customStyle="1">
    <w:name w:val="font41"/>
    <w:basedOn w:val="664"/>
    <w:uiPriority w:val="0"/>
    <w:qFormat/>
    <w:rPr>
      <w:rFonts w:ascii="微软雅黑" w:hAnsi="微软雅黑" w:eastAsia="微软雅黑" w:cs="微软雅黑"/>
      <w:color w:val="000000"/>
      <w:sz w:val="22"/>
      <w:szCs w:val="22"/>
      <w:u w:val="none"/>
    </w:rPr>
  </w:style>
  <w:style w:type="character" w:styleId="664" w:customStyle="1">
    <w:name w:val="默认段落字体1"/>
    <w:uiPriority w:val="1"/>
    <w:unhideWhenUsed/>
    <w:qFormat/>
  </w:style>
  <w:style w:type="table" w:styleId="665" w:customStyle="1">
    <w:name w:val="Table Normal"/>
    <w:uiPriority w:val="0"/>
    <w:qFormat/>
    <w:tblPr/>
  </w:style>
  <w:style w:type="paragraph" w:styleId="666" w:customStyle="1">
    <w:name w:val="Table Paragraph"/>
    <w:basedOn w:val="648"/>
    <w:uiPriority w:val="1"/>
    <w:qFormat/>
    <w:pPr>
      <w:jc w:val="left"/>
    </w:pPr>
    <w:rPr>
      <w:rFonts w:ascii="宋体" w:hAnsi="宋体" w:eastAsia="宋体" w:cs="宋体"/>
      <w:sz w:val="22"/>
      <w:szCs w:val="22"/>
      <w:lang w:val="zh-CN" w:bidi="zh-CN"/>
    </w:rPr>
  </w:style>
  <w:style w:type="character" w:styleId="667" w:customStyle="1">
    <w:name w:val="要点1"/>
    <w:uiPriority w:val="0"/>
    <w:qFormat/>
    <w:rPr>
      <w:b/>
      <w:bCs/>
    </w:rPr>
  </w:style>
  <w:style w:type="paragraph" w:styleId="668" w:customStyle="1">
    <w:name w:val="正文首行缩进 21"/>
    <w:basedOn w:val="669"/>
    <w:next w:val="648"/>
    <w:uiPriority w:val="0"/>
    <w:qFormat/>
    <w:pPr>
      <w:ind w:left="0" w:firstLine="420"/>
      <w:spacing w:after="0" w:line="360" w:lineRule="auto"/>
    </w:pPr>
    <w:rPr>
      <w:rFonts w:ascii="宋体" w:hAnsi="宋体" w:eastAsia="宋体" w:cs="Times New Roman"/>
      <w:szCs w:val="20"/>
    </w:rPr>
  </w:style>
  <w:style w:type="paragraph" w:styleId="669" w:customStyle="1">
    <w:name w:val="正文文本缩进11"/>
    <w:basedOn w:val="648"/>
    <w:next w:val="670"/>
    <w:uiPriority w:val="0"/>
    <w:unhideWhenUsed/>
    <w:qFormat/>
    <w:pPr>
      <w:ind w:left="420"/>
      <w:spacing w:after="120"/>
    </w:pPr>
  </w:style>
  <w:style w:type="paragraph" w:styleId="670" w:customStyle="1">
    <w:name w:val="寄信人地址1"/>
    <w:basedOn w:val="648"/>
    <w:uiPriority w:val="0"/>
    <w:qFormat/>
    <w:rPr>
      <w:rFonts w:ascii="Arial" w:hAnsi="Arial" w:eastAsia="宋体" w:cs="宋体"/>
    </w:rPr>
  </w:style>
  <w:style w:type="paragraph" w:styleId="671" w:customStyle="1">
    <w:name w:val="正文文本12"/>
    <w:basedOn w:val="648"/>
    <w:uiPriority w:val="1"/>
    <w:qFormat/>
    <w:pPr>
      <w:ind w:left="120"/>
    </w:pPr>
    <w:rPr>
      <w:rFonts w:ascii="宋体" w:hAnsi="宋体" w:eastAsia="宋体" w:cs="宋体"/>
      <w:sz w:val="21"/>
      <w:szCs w:val="21"/>
      <w:lang w:val="zh-CN" w:eastAsia="zh-CN" w:bidi="zh-CN"/>
    </w:rPr>
  </w:style>
  <w:style w:type="paragraph" w:styleId="672" w:customStyle="1">
    <w:name w:val="正文文本 211"/>
    <w:basedOn w:val="648"/>
    <w:uiPriority w:val="99"/>
    <w:qFormat/>
    <w:pPr>
      <w:jc w:val="center"/>
    </w:pPr>
    <w:rPr>
      <w:b/>
      <w:bCs/>
      <w:sz w:val="20"/>
      <w:szCs w:val="20"/>
    </w:rPr>
  </w:style>
  <w:style w:type="paragraph" w:styleId="673" w:customStyle="1">
    <w:name w:val="Char"/>
    <w:basedOn w:val="648"/>
    <w:uiPriority w:val="0"/>
    <w:qFormat/>
    <w:pPr>
      <w:ind w:firstLine="200"/>
      <w:tabs>
        <w:tab w:val="left" w:pos="360" w:leader="none"/>
      </w:tabs>
    </w:pPr>
    <w:rPr>
      <w:rFonts w:ascii="Times New Roman" w:hAnsi="Times New Roman" w:eastAsia="宋体" w:cs="Times New Roman"/>
      <w:sz w:val="28"/>
      <w:szCs w:val="30"/>
    </w:rPr>
  </w:style>
  <w:style w:type="paragraph" w:styleId="674" w:customStyle="1">
    <w:name w:val="正文文本1"/>
    <w:basedOn w:val="648"/>
    <w:next w:val="648"/>
    <w:uiPriority w:val="0"/>
    <w:semiHidden/>
    <w:qFormat/>
    <w:rPr>
      <w:rFonts w:ascii="Arial" w:hAnsi="Arial" w:eastAsia="Arial" w:cs="Arial"/>
      <w:sz w:val="21"/>
      <w:szCs w:val="21"/>
      <w:lang w:val="en-US" w:eastAsia="en-US" w:bidi="ar-SA"/>
    </w:rPr>
  </w:style>
  <w:style w:type="paragraph" w:styleId="675" w:customStyle="1">
    <w:name w:val="页眉1"/>
    <w:basedOn w:val="64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76" w:customStyle="1">
    <w:name w:val="页脚1"/>
    <w:basedOn w:val="64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677" w:customStyle="1">
    <w:name w:val="页码1"/>
    <w:uiPriority w:val="0"/>
    <w:qFormat/>
  </w:style>
  <w:style w:type="numbering" w:styleId="16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中共佛山市委员会办公室</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邹丹-丹丹姐</dc:creator>
  <cp:lastModifiedBy>邹丹</cp:lastModifiedBy>
  <cp:revision>2</cp:revision>
  <dcterms:created xsi:type="dcterms:W3CDTF">2026-05-26T02:17:00Z</dcterms:created>
  <dcterms:modified xsi:type="dcterms:W3CDTF">2026-05-26T02:55:41Z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2A409BDEDCEC4FDFA26F757D99125821_13</vt:lpwstr>
  </property>
</Properties>
</file>